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  <w:bookmarkStart w:id="0" w:name="_1566977759"/>
      <w:bookmarkEnd w:id="0"/>
      <w:bookmarkStart w:id="1" w:name="_1566977865"/>
      <w:bookmarkEnd w:id="1"/>
      <w:bookmarkStart w:id="2" w:name="_1481378373"/>
      <w:bookmarkEnd w:id="2"/>
      <w:bookmarkStart w:id="3" w:name="_1441375514"/>
      <w:bookmarkEnd w:id="3"/>
      <w:bookmarkStart w:id="4" w:name="_1566977673"/>
      <w:bookmarkEnd w:id="4"/>
      <w:bookmarkStart w:id="5" w:name="_1566815299"/>
      <w:bookmarkEnd w:id="5"/>
      <w:bookmarkStart w:id="6" w:name="_1566815290"/>
      <w:bookmarkEnd w:id="6"/>
      <w:r>
        <w:rPr>
          <w:rFonts w:ascii="黑体" w:hAnsi="宋体" w:eastAsia="黑体" w:cs="黑体"/>
          <w:sz w:val="28"/>
          <w:szCs w:val="28"/>
        </w:rPr>
        <w:object>
          <v:shape id="_x0000_i1025" o:spt="75" type="#_x0000_t75" style="height:192.65pt;width:434pt;" o:ole="t" filled="f" o:preferrelative="t" stroked="f" coordsize="21600,21600">
            <v:path/>
            <v:fill on="f" focussize="0,0"/>
            <v:stroke on="f" joinstyle="miter"/>
            <v:imagedata r:id="rId5" cropbottom="45292f" o:title=""/>
            <o:lock v:ext="edit" aspectratio="t"/>
            <w10:wrap type="none"/>
            <w10:anchorlock/>
          </v:shape>
          <o:OLEObject Type="Embed" ProgID="Word.Document.8" ShapeID="_x0000_i1025" DrawAspect="Content" ObjectID="_1468075725" r:id="rId4">
            <o:LockedField>false</o:LockedField>
          </o:OLEObject>
        </w:object>
      </w: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中国工程建设标准化协会标准</w:t>
      </w: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绿色建材评价标准  钢质户门</w:t>
      </w:r>
    </w:p>
    <w:p>
      <w:pPr>
        <w:pStyle w:val="2"/>
        <w:jc w:val="center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Assessment standard for green building materials-steel door</w:t>
      </w: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中国计划出版社</w:t>
      </w:r>
    </w:p>
    <w:p>
      <w:pPr>
        <w:pStyle w:val="2"/>
        <w:rPr>
          <w:rFonts w:hAnsi="宋体"/>
        </w:rPr>
      </w:pP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前</w:t>
      </w:r>
      <w:r>
        <w:rPr>
          <w:rFonts w:ascii="黑体" w:eastAsia="黑体" w:cs="黑体"/>
          <w:sz w:val="32"/>
          <w:szCs w:val="32"/>
        </w:rPr>
        <w:t xml:space="preserve">   </w:t>
      </w:r>
      <w:r>
        <w:rPr>
          <w:rFonts w:hint="eastAsia" w:ascii="黑体" w:eastAsia="黑体" w:cs="黑体"/>
          <w:sz w:val="32"/>
          <w:szCs w:val="32"/>
        </w:rPr>
        <w:t>言</w:t>
      </w: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根据中国工程建设标准化协会《中国工程建设标准化协会2017年第三批产品标准试点项目计划》的通知（建标协字[2017]034号）</w:t>
      </w:r>
      <w:bookmarkStart w:id="106" w:name="_GoBack"/>
      <w:bookmarkEnd w:id="106"/>
      <w:r>
        <w:rPr>
          <w:rFonts w:hint="eastAsia" w:cs="宋体"/>
          <w:sz w:val="24"/>
          <w:szCs w:val="24"/>
        </w:rPr>
        <w:t>的要求，标准编制组经广泛调查研究，认真总结各地实践经验，参考有关国内外标准，并在广泛征求意见的基础上，制定本标准。</w:t>
      </w:r>
    </w:p>
    <w:p>
      <w:pPr>
        <w:spacing w:line="360" w:lineRule="auto"/>
        <w:ind w:firstLine="480" w:firstLineChars="200"/>
        <w:rPr>
          <w:rFonts w:cs="宋体"/>
          <w:sz w:val="24"/>
          <w:szCs w:val="24"/>
        </w:rPr>
      </w:pPr>
      <w:r>
        <w:rPr>
          <w:rFonts w:hint="eastAsia" w:cs="宋体"/>
          <w:sz w:val="24"/>
          <w:szCs w:val="24"/>
        </w:rPr>
        <w:t>本标准共分</w:t>
      </w:r>
      <w:r>
        <w:rPr>
          <w:rFonts w:hint="eastAsia"/>
          <w:sz w:val="24"/>
          <w:szCs w:val="24"/>
        </w:rPr>
        <w:t>5</w:t>
      </w:r>
      <w:r>
        <w:rPr>
          <w:rFonts w:hint="eastAsia" w:cs="宋体"/>
          <w:sz w:val="24"/>
          <w:szCs w:val="24"/>
        </w:rPr>
        <w:t>章，主要技术内容包括：</w:t>
      </w:r>
      <w:r>
        <w:rPr>
          <w:rFonts w:hint="eastAsia" w:cs="宋体"/>
          <w:sz w:val="24"/>
          <w:szCs w:val="24"/>
          <w:lang w:val="en-US" w:eastAsia="zh-CN"/>
        </w:rPr>
        <w:t>范围</w:t>
      </w:r>
      <w:r>
        <w:rPr>
          <w:rFonts w:hint="eastAsia" w:cs="宋体"/>
          <w:sz w:val="24"/>
          <w:szCs w:val="24"/>
        </w:rPr>
        <w:t>、</w:t>
      </w:r>
      <w:r>
        <w:rPr>
          <w:rFonts w:hint="eastAsia" w:cs="宋体"/>
          <w:sz w:val="24"/>
          <w:szCs w:val="24"/>
          <w:lang w:val="en-US" w:eastAsia="zh-CN"/>
        </w:rPr>
        <w:t>规范性引用文件</w:t>
      </w:r>
      <w:r>
        <w:rPr>
          <w:rFonts w:hint="eastAsia" w:cs="宋体"/>
          <w:sz w:val="24"/>
          <w:szCs w:val="24"/>
        </w:rPr>
        <w:t>、</w:t>
      </w:r>
      <w:r>
        <w:rPr>
          <w:rFonts w:hint="eastAsia" w:cs="宋体"/>
          <w:sz w:val="24"/>
          <w:szCs w:val="24"/>
          <w:lang w:val="en-US" w:eastAsia="zh-CN"/>
        </w:rPr>
        <w:t>术语和定义</w:t>
      </w:r>
      <w:r>
        <w:rPr>
          <w:rFonts w:hint="eastAsia" w:cs="宋体"/>
          <w:sz w:val="24"/>
          <w:szCs w:val="24"/>
        </w:rPr>
        <w:t>、评价指标</w:t>
      </w:r>
      <w:r>
        <w:rPr>
          <w:rFonts w:hint="eastAsia" w:cs="宋体"/>
          <w:sz w:val="24"/>
          <w:szCs w:val="24"/>
          <w:lang w:eastAsia="zh-CN"/>
        </w:rPr>
        <w:t>、</w:t>
      </w:r>
      <w:r>
        <w:rPr>
          <w:rFonts w:hint="eastAsia" w:cs="宋体"/>
          <w:sz w:val="24"/>
          <w:szCs w:val="24"/>
          <w:lang w:val="en-US" w:eastAsia="zh-CN"/>
        </w:rPr>
        <w:t>评价方法</w:t>
      </w:r>
      <w:r>
        <w:rPr>
          <w:rFonts w:hint="eastAsia" w:cs="宋体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本标准由中国工程建设标准化协会归口管理，由住房和城乡建设部科技与产业化发展中心（海淀区三里河路9号建设部南配楼，邮政编码：</w:t>
      </w:r>
      <w:r>
        <w:rPr>
          <w:sz w:val="24"/>
          <w:szCs w:val="24"/>
        </w:rPr>
        <w:t>100</w:t>
      </w:r>
      <w:r>
        <w:rPr>
          <w:rFonts w:hint="eastAsia"/>
          <w:sz w:val="24"/>
          <w:szCs w:val="24"/>
        </w:rPr>
        <w:t>835</w:t>
      </w:r>
      <w:r>
        <w:rPr>
          <w:rFonts w:hint="eastAsia" w:cs="宋体"/>
          <w:sz w:val="24"/>
          <w:szCs w:val="24"/>
        </w:rPr>
        <w:t>）负责具体技术内容的解释。执行过程中如有意见或建议，请将意见和资料寄送解释单位中国建筑装饰装修材料协会。</w:t>
      </w:r>
    </w:p>
    <w:p>
      <w:pPr>
        <w:spacing w:line="360" w:lineRule="auto"/>
        <w:ind w:firstLine="480" w:firstLineChars="200"/>
        <w:rPr>
          <w:rFonts w:cs="宋体"/>
          <w:sz w:val="24"/>
          <w:szCs w:val="24"/>
        </w:rPr>
      </w:pPr>
      <w:r>
        <w:rPr>
          <w:rFonts w:hint="eastAsia" w:cs="宋体"/>
          <w:sz w:val="24"/>
          <w:szCs w:val="24"/>
        </w:rPr>
        <w:t>本标准主编单位：住房和城乡建设部科技与产业化发展中心、中国建筑装饰装修材料协会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本标准参编单位：</w:t>
      </w:r>
    </w:p>
    <w:p>
      <w:pPr>
        <w:spacing w:line="360" w:lineRule="auto"/>
        <w:ind w:left="2879" w:leftChars="228" w:hanging="2400" w:hangingChars="1000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本标准主要起草人员：</w:t>
      </w:r>
      <w:r>
        <w:rPr>
          <w:sz w:val="24"/>
          <w:szCs w:val="24"/>
        </w:rPr>
        <w:t xml:space="preserve"> 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本标准主要审查人员：</w:t>
      </w:r>
      <w:r>
        <w:rPr>
          <w:sz w:val="24"/>
          <w:szCs w:val="24"/>
        </w:rPr>
        <w:t xml:space="preserve"> 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pStyle w:val="5"/>
        <w:rPr>
          <w:color w:val="000000"/>
        </w:rPr>
      </w:pPr>
      <w:r>
        <w:rPr>
          <w:rFonts w:hint="eastAsia"/>
          <w:color w:val="000000"/>
        </w:rPr>
        <w:t>绿色建材评价</w:t>
      </w:r>
      <w:r>
        <w:rPr>
          <w:rFonts w:hint="eastAsia"/>
          <w:color w:val="000000"/>
          <w:lang w:val="en-US" w:eastAsia="zh-CN"/>
        </w:rPr>
        <w:t>标准</w:t>
      </w:r>
      <w:r>
        <w:rPr>
          <w:rFonts w:hint="eastAsia"/>
          <w:color w:val="000000"/>
        </w:rPr>
        <w:t xml:space="preserve"> 钢质户门</w:t>
      </w:r>
    </w:p>
    <w:p>
      <w:pPr>
        <w:pStyle w:val="7"/>
        <w:numPr>
          <w:ilvl w:val="0"/>
          <w:numId w:val="1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7" w:name="_Toc360436746"/>
      <w:bookmarkStart w:id="8" w:name="_Toc406486337"/>
      <w:bookmarkStart w:id="9" w:name="_Toc360436832"/>
      <w:bookmarkStart w:id="10" w:name="_Toc350863984"/>
      <w:bookmarkStart w:id="11" w:name="_Toc396134027"/>
      <w:bookmarkStart w:id="12" w:name="_Toc360632420"/>
      <w:bookmarkStart w:id="13" w:name="_Toc462063250"/>
      <w:r>
        <w:rPr>
          <w:rFonts w:hint="eastAsia"/>
          <w:color w:val="000000"/>
        </w:rPr>
        <w:t>范围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pStyle w:val="6"/>
        <w:rPr>
          <w:rFonts w:ascii="Times New Roman"/>
        </w:rPr>
      </w:pPr>
      <w:bookmarkStart w:id="14" w:name="_Toc360436747"/>
      <w:bookmarkStart w:id="15" w:name="_Toc360632421"/>
      <w:bookmarkStart w:id="16" w:name="_Toc350863985"/>
      <w:bookmarkStart w:id="17" w:name="_Toc360436833"/>
      <w:bookmarkStart w:id="18" w:name="_Toc406486338"/>
      <w:bookmarkStart w:id="19" w:name="_Toc396134028"/>
      <w:r>
        <w:rPr>
          <w:rFonts w:ascii="Times New Roman"/>
        </w:rPr>
        <w:t>本标准规定了</w:t>
      </w:r>
      <w:r>
        <w:rPr>
          <w:rFonts w:hint="eastAsia" w:ascii="Times New Roman"/>
        </w:rPr>
        <w:t>钢质户门</w:t>
      </w:r>
      <w:r>
        <w:rPr>
          <w:rFonts w:ascii="Times New Roman"/>
        </w:rPr>
        <w:t>绿色建材评价的评价要求和评价方法。</w:t>
      </w:r>
    </w:p>
    <w:p>
      <w:pPr>
        <w:pStyle w:val="6"/>
        <w:rPr>
          <w:color w:val="000000"/>
        </w:rPr>
      </w:pPr>
      <w:r>
        <w:rPr>
          <w:rFonts w:ascii="Times New Roman"/>
        </w:rPr>
        <w:t>本标准适用于</w:t>
      </w:r>
      <w:r>
        <w:rPr>
          <w:rFonts w:hint="eastAsia" w:ascii="Times New Roman"/>
        </w:rPr>
        <w:t>钢质、</w:t>
      </w:r>
      <w:r>
        <w:rPr>
          <w:rFonts w:hint="eastAsia" w:ascii="Times New Roman"/>
          <w:color w:val="FF0000"/>
        </w:rPr>
        <w:t>钢木</w:t>
      </w:r>
      <w:r>
        <w:rPr>
          <w:rFonts w:hint="eastAsia" w:ascii="Times New Roman"/>
          <w:color w:val="FF0000"/>
          <w:lang w:val="en-US" w:eastAsia="zh-CN"/>
        </w:rPr>
        <w:t>质户</w:t>
      </w:r>
      <w:r>
        <w:rPr>
          <w:rFonts w:hint="eastAsia" w:ascii="Times New Roman"/>
          <w:color w:val="FF0000"/>
        </w:rPr>
        <w:t>门</w:t>
      </w:r>
      <w:r>
        <w:rPr>
          <w:rFonts w:ascii="Times New Roman"/>
        </w:rPr>
        <w:t>的绿色建材评价。</w:t>
      </w:r>
    </w:p>
    <w:p>
      <w:pPr>
        <w:pStyle w:val="7"/>
        <w:numPr>
          <w:ilvl w:val="0"/>
          <w:numId w:val="1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20" w:name="_Toc462063251"/>
      <w:r>
        <w:rPr>
          <w:rFonts w:hint="eastAsia"/>
          <w:color w:val="000000"/>
        </w:rPr>
        <w:t>规范性引用文件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pStyle w:val="6"/>
        <w:rPr>
          <w:rFonts w:ascii="Times New Roman"/>
          <w:color w:val="000000"/>
        </w:rPr>
      </w:pPr>
      <w:r>
        <w:rPr>
          <w:rFonts w:hint="eastAsia"/>
          <w:color w:val="000000"/>
        </w:rPr>
        <w:t>下列文件对于本文件的应用是必不可少的。凡是注日期的引用文件，仅注日期的版本适用于本文件。凡是不注</w:t>
      </w:r>
      <w:r>
        <w:rPr>
          <w:rFonts w:ascii="Times New Roman"/>
          <w:color w:val="000000"/>
        </w:rPr>
        <w:t>日期的引用文件，其最新版本（包括所有的修改单）适用于本文件。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GB 18597 危险废物贮存污染控制标准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GB18599 一般工业固废贮存控制标准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GB 12955 防火门</w:t>
      </w:r>
    </w:p>
    <w:p>
      <w:pPr>
        <w:pStyle w:val="6"/>
        <w:rPr>
          <w:rFonts w:hint="eastAsia" w:ascii="Times New Roman"/>
        </w:rPr>
      </w:pPr>
      <w:r>
        <w:rPr>
          <w:rFonts w:hint="eastAsia" w:ascii="Times New Roman"/>
        </w:rPr>
        <w:t>GB 17565 防盗安全门通用技术条件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GB/ T 20909 钢门窗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t>GB/T 19001 质量管理体系 要求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t>GB/T 24001 环境管理体系 要求及使用指南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t>GB/T 28001 职业健康安全管理体系 要求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GB/T 30591 建筑门窗洞口尺寸协调要求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GBZ 2.1-2007 工作场所有害因素职业接触限值 第1部分: 化学有害因素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GBZ 2.2-2007 工作场所有害因素职业接触限值 第2部分: 物理因素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 xml:space="preserve">AQ/T 9006 企业安全生产标准化基本规范 </w:t>
      </w:r>
    </w:p>
    <w:p>
      <w:pPr>
        <w:pStyle w:val="6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JG/T 392 建筑用钢木室内门</w:t>
      </w:r>
    </w:p>
    <w:p>
      <w:pPr>
        <w:pStyle w:val="6"/>
        <w:rPr>
          <w:rFonts w:ascii="Times New Roman"/>
        </w:rPr>
      </w:pPr>
      <w:r>
        <w:rPr>
          <w:rFonts w:hint="eastAsia" w:ascii="Times New Roman"/>
        </w:rPr>
        <w:t xml:space="preserve">JG/T 453 平开户门  </w:t>
      </w:r>
    </w:p>
    <w:p>
      <w:pPr>
        <w:pStyle w:val="7"/>
        <w:numPr>
          <w:ilvl w:val="0"/>
          <w:numId w:val="1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21" w:name="_Toc360436834"/>
      <w:bookmarkStart w:id="22" w:name="_Toc360632422"/>
      <w:bookmarkStart w:id="23" w:name="_Toc406486339"/>
      <w:bookmarkStart w:id="24" w:name="_Toc462063252"/>
      <w:bookmarkStart w:id="25" w:name="_Toc350863986"/>
      <w:bookmarkStart w:id="26" w:name="_Toc396134029"/>
      <w:bookmarkStart w:id="27" w:name="_Toc360436748"/>
      <w:r>
        <w:rPr>
          <w:rFonts w:hint="eastAsia"/>
          <w:color w:val="000000"/>
        </w:rPr>
        <w:t>术语和定义</w:t>
      </w:r>
      <w:bookmarkEnd w:id="21"/>
      <w:bookmarkEnd w:id="22"/>
      <w:bookmarkEnd w:id="23"/>
      <w:bookmarkEnd w:id="24"/>
      <w:bookmarkEnd w:id="25"/>
      <w:bookmarkEnd w:id="26"/>
      <w:bookmarkEnd w:id="27"/>
    </w:p>
    <w:p>
      <w:pPr>
        <w:pStyle w:val="6"/>
        <w:rPr>
          <w:color w:val="000000"/>
        </w:rPr>
      </w:pPr>
      <w:r>
        <w:rPr>
          <w:rFonts w:hint="eastAsia"/>
          <w:color w:val="000000"/>
        </w:rPr>
        <w:t>下列术语和定义适用于本文件。</w:t>
      </w:r>
    </w:p>
    <w:p>
      <w:pPr>
        <w:pStyle w:val="7"/>
        <w:tabs>
          <w:tab w:val="left" w:pos="0"/>
        </w:tabs>
        <w:spacing w:before="312" w:after="312"/>
        <w:outlineLvl w:val="2"/>
        <w:rPr>
          <w:color w:val="000000"/>
        </w:rPr>
      </w:pPr>
      <w:bookmarkStart w:id="28" w:name="_Toc384816546"/>
      <w:bookmarkStart w:id="29" w:name="_Toc406486340"/>
      <w:bookmarkStart w:id="30" w:name="_Toc360632423"/>
      <w:bookmarkStart w:id="31" w:name="_Toc396134030"/>
      <w:bookmarkStart w:id="32" w:name="_Toc360632654"/>
      <w:bookmarkStart w:id="33" w:name="_Toc397433558"/>
      <w:bookmarkStart w:id="34" w:name="_Toc396118199"/>
      <w:bookmarkStart w:id="35" w:name="_Toc360436749"/>
      <w:bookmarkStart w:id="36" w:name="_Toc360436835"/>
      <w:bookmarkStart w:id="37" w:name="_Toc406143963"/>
      <w:bookmarkStart w:id="38" w:name="_Toc408495873"/>
      <w:bookmarkStart w:id="39" w:name="_Toc397348586"/>
      <w:bookmarkStart w:id="40" w:name="_Toc350863987"/>
      <w:bookmarkStart w:id="41" w:name="_Toc462063253"/>
      <w:bookmarkStart w:id="42" w:name="_Toc6509"/>
      <w:r>
        <w:rPr>
          <w:rFonts w:hint="eastAsia"/>
          <w:color w:val="000000"/>
        </w:rPr>
        <w:t>3.1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r>
        <w:rPr>
          <w:rFonts w:hint="eastAsia"/>
          <w:color w:val="000000"/>
        </w:rPr>
        <w:t xml:space="preserve">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z w:val="24"/>
        </w:rPr>
      </w:pPr>
      <w:r>
        <w:rPr>
          <w:rFonts w:eastAsia="黑体"/>
        </w:rPr>
        <w:t>绿色建材  green building material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kern w:val="0"/>
          <w:szCs w:val="20"/>
        </w:rPr>
        <w:t>是指在全生命周期内可减少对天然资源消耗和减轻对生态环境影响，具有“节能、减排、安全、便利和可循环”特征的建材产品。</w:t>
      </w:r>
    </w:p>
    <w:bookmarkEnd w:id="42"/>
    <w:p>
      <w:pPr>
        <w:pStyle w:val="7"/>
        <w:tabs>
          <w:tab w:val="left" w:pos="0"/>
        </w:tabs>
        <w:spacing w:before="312" w:after="312"/>
        <w:outlineLvl w:val="2"/>
        <w:rPr>
          <w:color w:val="000000"/>
        </w:rPr>
      </w:pPr>
      <w:r>
        <w:rPr>
          <w:rFonts w:hint="eastAsia"/>
          <w:color w:val="000000"/>
        </w:rPr>
        <w:t>3.2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bookmarkStart w:id="43" w:name="_Toc360632655"/>
      <w:bookmarkStart w:id="44" w:name="_Toc360632424"/>
      <w:bookmarkStart w:id="45" w:name="_Toc396134031"/>
      <w:bookmarkStart w:id="46" w:name="_Toc360436750"/>
      <w:bookmarkStart w:id="47" w:name="_Toc397433559"/>
      <w:bookmarkStart w:id="48" w:name="_Toc406143964"/>
      <w:bookmarkStart w:id="49" w:name="_Toc360436836"/>
      <w:bookmarkStart w:id="50" w:name="_Toc408495874"/>
      <w:bookmarkStart w:id="51" w:name="_Toc384816547"/>
      <w:bookmarkStart w:id="52" w:name="_Toc350863988"/>
      <w:bookmarkStart w:id="53" w:name="_Toc397348587"/>
      <w:bookmarkStart w:id="54" w:name="_Toc396118200"/>
      <w:bookmarkStart w:id="55" w:name="_Toc406486341"/>
      <w:bookmarkStart w:id="56" w:name="_Toc462063255"/>
      <w:bookmarkStart w:id="57" w:name="_Toc16661"/>
      <w:r>
        <w:rPr>
          <w:rFonts w:hint="eastAsia" w:eastAsia="黑体"/>
        </w:rPr>
        <w:t>钢质户门</w:t>
      </w:r>
      <w:r>
        <w:rPr>
          <w:rFonts w:eastAsia="黑体"/>
        </w:rPr>
        <w:t xml:space="preserve"> </w:t>
      </w:r>
      <w:r>
        <w:rPr>
          <w:rFonts w:hint="eastAsia" w:eastAsia="黑体"/>
        </w:rPr>
        <w:t>steel apartment door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kern w:val="0"/>
          <w:szCs w:val="20"/>
        </w:rPr>
        <w:t>由</w:t>
      </w:r>
      <w:r>
        <w:rPr>
          <w:rFonts w:hint="eastAsia"/>
          <w:kern w:val="0"/>
          <w:szCs w:val="20"/>
        </w:rPr>
        <w:t>钢质型材或板材制作门框、门扇或门扇骨架结构，用于居住建筑的独立生活空间通往公共空间或室外的门</w:t>
      </w:r>
      <w:r>
        <w:rPr>
          <w:rFonts w:hint="eastAsia"/>
          <w:kern w:val="0"/>
          <w:szCs w:val="20"/>
          <w:lang w:eastAsia="zh-CN"/>
        </w:rPr>
        <w:t>，</w:t>
      </w:r>
      <w:r>
        <w:rPr>
          <w:rFonts w:hint="eastAsia"/>
          <w:kern w:val="0"/>
          <w:szCs w:val="20"/>
          <w:lang w:val="en-US" w:eastAsia="zh-CN"/>
        </w:rPr>
        <w:t>包括钢质门和钢木门</w:t>
      </w:r>
      <w:r>
        <w:rPr>
          <w:rFonts w:hint="eastAsia"/>
          <w:kern w:val="0"/>
          <w:szCs w:val="20"/>
        </w:rPr>
        <w:t>。</w:t>
      </w:r>
    </w:p>
    <w:p>
      <w:pPr>
        <w:pStyle w:val="7"/>
        <w:tabs>
          <w:tab w:val="left" w:pos="0"/>
        </w:tabs>
        <w:spacing w:before="312" w:after="312"/>
        <w:outlineLvl w:val="2"/>
        <w:rPr>
          <w:color w:val="000000"/>
        </w:rPr>
      </w:pPr>
      <w:r>
        <w:rPr>
          <w:rFonts w:hint="eastAsia"/>
          <w:color w:val="000000"/>
        </w:rPr>
        <w:t>3.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Start w:id="58" w:name="_Toc397433562"/>
      <w:bookmarkStart w:id="59" w:name="_Toc397348590"/>
      <w:bookmarkStart w:id="60" w:name="OLE_LINK6"/>
      <w:bookmarkStart w:id="61" w:name="OLE_LINK5"/>
      <w:bookmarkStart w:id="62" w:name="_Toc363024794"/>
      <w:bookmarkStart w:id="63" w:name="_Toc382580630"/>
      <w:bookmarkStart w:id="64" w:name="_Toc406143967"/>
      <w:bookmarkStart w:id="65" w:name="_Toc396118203"/>
      <w:bookmarkStart w:id="66" w:name="_Toc350863991"/>
      <w:bookmarkStart w:id="67" w:name="_Toc396134034"/>
      <w:bookmarkStart w:id="68" w:name="_Toc384816550"/>
      <w:r>
        <w:rPr>
          <w:rFonts w:hint="eastAsia"/>
          <w:color w:val="000000"/>
        </w:rPr>
        <w:t>3</w:t>
      </w:r>
      <w:bookmarkEnd w:id="56"/>
    </w:p>
    <w:bookmarkEnd w:id="57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eastAsia="黑体"/>
        </w:rPr>
        <w:t>环境产品声明</w:t>
      </w:r>
      <w:r>
        <w:rPr>
          <w:rFonts w:hint="eastAsia" w:eastAsia="黑体"/>
        </w:rPr>
        <w:t xml:space="preserve"> </w:t>
      </w:r>
      <w:r>
        <w:rPr>
          <w:rFonts w:eastAsia="黑体"/>
        </w:rPr>
        <w:t>environmental product declaration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t>提供基于预设参数的量化环境数据的环境声明，必要时包括附加环境信息。</w:t>
      </w:r>
    </w:p>
    <w:p>
      <w:pPr>
        <w:pStyle w:val="7"/>
        <w:tabs>
          <w:tab w:val="left" w:pos="0"/>
        </w:tabs>
        <w:spacing w:before="312" w:after="312"/>
        <w:outlineLvl w:val="2"/>
        <w:rPr>
          <w:color w:val="000000"/>
        </w:rPr>
      </w:pPr>
      <w:bookmarkStart w:id="69" w:name="_Toc408495875"/>
      <w:bookmarkStart w:id="70" w:name="_Toc462063256"/>
      <w:bookmarkStart w:id="71" w:name="_Toc30452"/>
      <w:r>
        <w:rPr>
          <w:rFonts w:hint="eastAsia"/>
          <w:color w:val="000000"/>
        </w:rPr>
        <w:t>3.</w:t>
      </w:r>
      <w:bookmarkEnd w:id="69"/>
      <w:r>
        <w:rPr>
          <w:rFonts w:hint="eastAsia"/>
          <w:color w:val="000000"/>
        </w:rPr>
        <w:t>4</w:t>
      </w:r>
      <w:bookmarkEnd w:id="70"/>
    </w:p>
    <w:bookmarkEnd w:id="71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eastAsia="黑体"/>
        </w:rPr>
        <w:t xml:space="preserve">碳足迹  </w:t>
      </w:r>
      <w:r>
        <w:fldChar w:fldCharType="begin"/>
      </w:r>
      <w:r>
        <w:instrText xml:space="preserve"> HYPERLINK "http://www.baidu.com/link?url=NM-sDc8vF8f6LBJJjre3x3OgH29MNSR7nUOi6mno3-iVlHb3Zlvs9wTbxnKcKC6gPud9_XI7Qg3qobY6J2p3_MuxwSugBbZWQE3OggbMvUq" \t "https://www.baidu.com/_blank" </w:instrText>
      </w:r>
      <w:r>
        <w:fldChar w:fldCharType="separate"/>
      </w:r>
      <w:r>
        <w:rPr>
          <w:rFonts w:eastAsia="黑体"/>
        </w:rPr>
        <w:t>carbon footprint</w:t>
      </w:r>
      <w:r>
        <w:rPr>
          <w:rFonts w:eastAsia="黑体"/>
        </w:rPr>
        <w:fldChar w:fldCharType="end"/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用以量化过程、过程系统或产品系统温室气体排放的参数，以表现它们对气候变化的贡献。</w:t>
      </w:r>
    </w:p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p>
      <w:pPr>
        <w:pStyle w:val="7"/>
        <w:numPr>
          <w:ilvl w:val="0"/>
          <w:numId w:val="1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72" w:name="_Toc406486353"/>
      <w:bookmarkStart w:id="73" w:name="_Toc462063257"/>
      <w:r>
        <w:rPr>
          <w:rFonts w:hint="eastAsia"/>
          <w:color w:val="000000"/>
        </w:rPr>
        <w:t>评价要求</w:t>
      </w:r>
      <w:bookmarkEnd w:id="72"/>
      <w:bookmarkEnd w:id="73"/>
    </w:p>
    <w:p>
      <w:pPr>
        <w:widowControl/>
        <w:spacing w:before="156" w:beforeLines="50" w:after="156" w:afterLines="50"/>
        <w:jc w:val="left"/>
        <w:outlineLvl w:val="2"/>
        <w:rPr>
          <w:rFonts w:eastAsia="黑体"/>
          <w:color w:val="000000"/>
          <w:kern w:val="0"/>
        </w:rPr>
      </w:pPr>
      <w:bookmarkStart w:id="74" w:name="_Toc456611366"/>
      <w:bookmarkStart w:id="75" w:name="_Toc406486354"/>
      <w:bookmarkStart w:id="76" w:name="_Toc22141"/>
      <w:bookmarkStart w:id="77" w:name="_Toc459107153"/>
      <w:bookmarkStart w:id="78" w:name="_Toc350864000"/>
      <w:bookmarkStart w:id="79" w:name="_Toc384816564"/>
      <w:bookmarkStart w:id="80" w:name="_Toc360436761"/>
      <w:bookmarkStart w:id="81" w:name="_Toc396134049"/>
      <w:bookmarkStart w:id="82" w:name="_Toc360632439"/>
      <w:bookmarkStart w:id="83" w:name="_Toc360436848"/>
      <w:bookmarkStart w:id="84" w:name="_Toc406486355"/>
      <w:r>
        <w:rPr>
          <w:rFonts w:eastAsia="黑体"/>
          <w:color w:val="000000"/>
          <w:kern w:val="0"/>
        </w:rPr>
        <w:t>4.1 基本要求</w:t>
      </w:r>
      <w:bookmarkEnd w:id="74"/>
      <w:bookmarkEnd w:id="75"/>
      <w:bookmarkEnd w:id="76"/>
      <w:bookmarkEnd w:id="77"/>
    </w:p>
    <w:p>
      <w:pPr>
        <w:pStyle w:val="8"/>
        <w:adjustRightInd w:val="0"/>
        <w:snapToGrid w:val="0"/>
        <w:spacing w:before="156" w:after="156"/>
        <w:rPr>
          <w:rFonts w:ascii="Times New Roman" w:eastAsia="宋体"/>
        </w:rPr>
      </w:pPr>
      <w:bookmarkStart w:id="85" w:name="_Toc459106415"/>
      <w:bookmarkStart w:id="86" w:name="_Toc462063258"/>
      <w:bookmarkStart w:id="87" w:name="_Toc436234466"/>
      <w:r>
        <w:rPr>
          <w:rFonts w:ascii="Times New Roman" w:eastAsia="宋体"/>
        </w:rPr>
        <w:t xml:space="preserve">4.1.1  </w:t>
      </w:r>
      <w:r>
        <w:rPr>
          <w:rFonts w:ascii="宋体" w:eastAsia="宋体"/>
        </w:rPr>
        <w:t>生产企业应</w:t>
      </w:r>
      <w:bookmarkEnd w:id="85"/>
      <w:bookmarkEnd w:id="86"/>
      <w:r>
        <w:rPr>
          <w:rFonts w:hint="eastAsia" w:ascii="宋体" w:eastAsia="宋体"/>
        </w:rPr>
        <w:t>应满足适用的国家标准、地方标准及环评批复的要求，并取得地方政府的排污许可证，</w:t>
      </w:r>
      <w:r>
        <w:rPr>
          <w:rFonts w:hint="eastAsia" w:ascii="Times New Roman" w:eastAsia="宋体"/>
        </w:rPr>
        <w:t>且近</w:t>
      </w:r>
      <w:r>
        <w:rPr>
          <w:rFonts w:ascii="Times New Roman" w:eastAsia="宋体"/>
        </w:rPr>
        <w:t>3</w:t>
      </w:r>
      <w:r>
        <w:rPr>
          <w:rFonts w:hint="eastAsia" w:ascii="Times New Roman" w:eastAsia="宋体"/>
        </w:rPr>
        <w:t>年无重大环境污染事件。</w:t>
      </w:r>
    </w:p>
    <w:p>
      <w:pPr>
        <w:pStyle w:val="8"/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4.1.</w:t>
      </w:r>
      <w:r>
        <w:rPr>
          <w:rFonts w:hint="eastAsia" w:ascii="Times New Roman" w:eastAsia="宋体"/>
        </w:rPr>
        <w:t>2</w:t>
      </w:r>
      <w:r>
        <w:rPr>
          <w:rFonts w:ascii="Times New Roman" w:eastAsia="宋体"/>
        </w:rPr>
        <w:t xml:space="preserve">  </w:t>
      </w:r>
      <w:r>
        <w:rPr>
          <w:rFonts w:hint="eastAsia" w:ascii="Times New Roman" w:eastAsia="宋体"/>
        </w:rPr>
        <w:t>一般固体废弃物的收集、贮存、处置应符合</w:t>
      </w:r>
      <w:r>
        <w:rPr>
          <w:rFonts w:ascii="Times New Roman" w:eastAsia="宋体"/>
        </w:rPr>
        <w:t>GB 18599</w:t>
      </w:r>
      <w:r>
        <w:rPr>
          <w:rFonts w:hint="eastAsia" w:ascii="Times New Roman" w:eastAsia="宋体"/>
        </w:rPr>
        <w:t>的相关规定。危险废物的贮存应符合</w:t>
      </w:r>
      <w:r>
        <w:rPr>
          <w:rFonts w:ascii="Times New Roman" w:eastAsia="宋体"/>
        </w:rPr>
        <w:t>GB 18597</w:t>
      </w:r>
      <w:r>
        <w:rPr>
          <w:rFonts w:hint="eastAsia" w:ascii="Times New Roman" w:eastAsia="宋体"/>
        </w:rPr>
        <w:t>的相关规定，后续应交付持有危险废物经营许可证的单位处置。</w:t>
      </w:r>
    </w:p>
    <w:p>
      <w:pPr>
        <w:pStyle w:val="8"/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4.1.</w:t>
      </w:r>
      <w:r>
        <w:rPr>
          <w:rFonts w:hint="eastAsia" w:ascii="Times New Roman" w:eastAsia="宋体"/>
        </w:rPr>
        <w:t>3</w:t>
      </w:r>
      <w:r>
        <w:rPr>
          <w:rFonts w:ascii="Times New Roman" w:eastAsia="宋体"/>
        </w:rPr>
        <w:t xml:space="preserve">  </w:t>
      </w:r>
      <w:r>
        <w:rPr>
          <w:rFonts w:hint="eastAsia" w:ascii="Times New Roman" w:eastAsia="宋体"/>
        </w:rPr>
        <w:t>生产企业应采用国家鼓励的先进技术工艺，不应使用国家或有关部门发布的淘汰或禁止的技术、工艺、装备及相关物质。</w:t>
      </w:r>
    </w:p>
    <w:p>
      <w:pPr>
        <w:pStyle w:val="8"/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hint="eastAsia" w:ascii="Times New Roman" w:eastAsia="宋体"/>
        </w:rPr>
        <w:t>4.1.4 工作场所有害因素职业接触限值，应满足</w:t>
      </w:r>
      <w:r>
        <w:rPr>
          <w:rFonts w:ascii="Times New Roman" w:eastAsia="宋体"/>
        </w:rPr>
        <w:t>GBZ 2.1</w:t>
      </w:r>
      <w:r>
        <w:rPr>
          <w:rFonts w:hint="eastAsia" w:ascii="Times New Roman" w:eastAsia="宋体"/>
          <w:lang w:val="en-US" w:eastAsia="zh-CN"/>
        </w:rPr>
        <w:t>-</w:t>
      </w:r>
      <w:r>
        <w:rPr>
          <w:rFonts w:ascii="Times New Roman" w:eastAsia="宋体"/>
        </w:rPr>
        <w:t>2007</w:t>
      </w:r>
      <w:r>
        <w:rPr>
          <w:rFonts w:hint="eastAsia" w:ascii="Times New Roman" w:eastAsia="宋体"/>
        </w:rPr>
        <w:t>和</w:t>
      </w:r>
      <w:r>
        <w:rPr>
          <w:rFonts w:ascii="Times New Roman" w:eastAsia="宋体"/>
        </w:rPr>
        <w:t>GBZ 2.2</w:t>
      </w:r>
      <w:r>
        <w:rPr>
          <w:rFonts w:hint="eastAsia" w:ascii="Times New Roman" w:eastAsia="宋体"/>
          <w:lang w:val="en-US" w:eastAsia="zh-CN"/>
        </w:rPr>
        <w:t>-</w:t>
      </w:r>
      <w:r>
        <w:rPr>
          <w:rFonts w:ascii="Times New Roman" w:eastAsia="宋体"/>
        </w:rPr>
        <w:t>2007</w:t>
      </w:r>
      <w:r>
        <w:rPr>
          <w:rFonts w:hint="eastAsia" w:ascii="Times New Roman" w:eastAsia="宋体"/>
        </w:rPr>
        <w:t>要求。</w:t>
      </w:r>
    </w:p>
    <w:p>
      <w:pPr>
        <w:pStyle w:val="8"/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hint="eastAsia" w:ascii="Times New Roman" w:eastAsia="宋体"/>
        </w:rPr>
        <w:t>4.1.5 安全生产管理，应符合</w:t>
      </w:r>
      <w:r>
        <w:rPr>
          <w:rFonts w:ascii="Times New Roman" w:eastAsia="宋体"/>
        </w:rPr>
        <w:t>AQ/T 9006</w:t>
      </w:r>
      <w:r>
        <w:rPr>
          <w:rFonts w:hint="eastAsia" w:ascii="Times New Roman" w:eastAsia="宋体"/>
        </w:rPr>
        <w:t>三级要求，且近</w:t>
      </w:r>
      <w:r>
        <w:rPr>
          <w:rFonts w:ascii="Times New Roman" w:eastAsia="宋体"/>
        </w:rPr>
        <w:t>3</w:t>
      </w:r>
      <w:r>
        <w:rPr>
          <w:rFonts w:hint="eastAsia" w:ascii="Times New Roman" w:eastAsia="宋体"/>
        </w:rPr>
        <w:t>年无重大安全事故。</w:t>
      </w:r>
    </w:p>
    <w:bookmarkEnd w:id="87"/>
    <w:p>
      <w:pPr>
        <w:pStyle w:val="8"/>
        <w:adjustRightInd w:val="0"/>
        <w:snapToGrid w:val="0"/>
        <w:spacing w:before="156" w:after="156"/>
        <w:rPr>
          <w:rFonts w:ascii="Times New Roman" w:eastAsia="宋体"/>
        </w:rPr>
      </w:pPr>
      <w:bookmarkStart w:id="88" w:name="_Toc436234470"/>
      <w:r>
        <w:rPr>
          <w:rFonts w:ascii="Times New Roman" w:eastAsia="宋体"/>
        </w:rPr>
        <w:t>4.1.</w:t>
      </w:r>
      <w:r>
        <w:rPr>
          <w:rFonts w:hint="eastAsia" w:ascii="Times New Roman" w:eastAsia="宋体"/>
        </w:rPr>
        <w:t xml:space="preserve">6  </w:t>
      </w:r>
      <w:bookmarkEnd w:id="88"/>
      <w:r>
        <w:rPr>
          <w:rFonts w:hint="eastAsia" w:ascii="Times New Roman" w:eastAsia="宋体"/>
        </w:rPr>
        <w:t>生产企业应按照GB/T 19001、GB/T 24001、和GB/T 28001分别建立并运行质量管理体系、环境管理体系和职业健康安全管理体系。</w:t>
      </w:r>
    </w:p>
    <w:p>
      <w:pPr>
        <w:pStyle w:val="8"/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4.1.</w:t>
      </w:r>
      <w:r>
        <w:rPr>
          <w:rFonts w:hint="eastAsia" w:ascii="Times New Roman" w:eastAsia="宋体"/>
        </w:rPr>
        <w:t>7  钢质户门基本性能应符合相应的现行国家、行业标准要求</w:t>
      </w:r>
      <w:r>
        <w:rPr>
          <w:rFonts w:hint="eastAsia" w:ascii="Times New Roman" w:eastAsia="宋体"/>
          <w:lang w:eastAsia="zh-CN"/>
        </w:rPr>
        <w:t>，</w:t>
      </w:r>
      <w:r>
        <w:rPr>
          <w:rFonts w:hint="eastAsia" w:ascii="Times New Roman" w:eastAsia="宋体"/>
          <w:lang w:val="en-US" w:eastAsia="zh-CN"/>
        </w:rPr>
        <w:t>防盗安全门符合GB 17565的要求，</w:t>
      </w:r>
      <w:r>
        <w:rPr>
          <w:rFonts w:hint="eastAsia" w:ascii="Times New Roman" w:eastAsia="宋体"/>
          <w:sz w:val="21"/>
          <w:szCs w:val="22"/>
          <w:lang w:val="en-US" w:eastAsia="zh-CN"/>
        </w:rPr>
        <w:t>防火门应符合GB 12955的要求，钢木门符合JG/T 392的要求，其他钢质户门应符合GB/T 20909和</w:t>
      </w:r>
      <w:r>
        <w:rPr>
          <w:rFonts w:hint="eastAsia" w:ascii="Times New Roman" w:eastAsia="宋体"/>
          <w:sz w:val="21"/>
          <w:szCs w:val="22"/>
        </w:rPr>
        <w:t>JG/T 453</w:t>
      </w:r>
      <w:r>
        <w:rPr>
          <w:rFonts w:hint="eastAsia" w:ascii="Times New Roman" w:eastAsia="宋体"/>
          <w:sz w:val="21"/>
          <w:szCs w:val="22"/>
          <w:lang w:val="en-US" w:eastAsia="zh-CN"/>
        </w:rPr>
        <w:t>的要求</w:t>
      </w:r>
      <w:r>
        <w:rPr>
          <w:rFonts w:hint="eastAsia" w:ascii="Times New Roman" w:eastAsia="宋体"/>
        </w:rPr>
        <w:t>。钢质户门的外形尺寸应符合GB/T 30591的要求。</w:t>
      </w:r>
    </w:p>
    <w:p>
      <w:pPr>
        <w:pStyle w:val="8"/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hint="eastAsia" w:ascii="Times New Roman" w:eastAsia="宋体"/>
        </w:rPr>
        <w:t>4.1.8  生产企业应提交钢质户门的环境产品声明（EPD）和碳足迹报告。</w:t>
      </w:r>
    </w:p>
    <w:p>
      <w:pPr>
        <w:pStyle w:val="9"/>
        <w:spacing w:before="156" w:after="156"/>
        <w:rPr>
          <w:color w:val="000000"/>
        </w:rPr>
      </w:pPr>
      <w:bookmarkStart w:id="89" w:name="_Toc462063260"/>
      <w:bookmarkStart w:id="90" w:name="_Toc31135"/>
      <w:r>
        <w:rPr>
          <w:rFonts w:hint="eastAsia"/>
          <w:color w:val="000000"/>
        </w:rPr>
        <w:t>4.2 评价指标要求</w:t>
      </w:r>
      <w:bookmarkEnd w:id="78"/>
      <w:bookmarkEnd w:id="79"/>
      <w:bookmarkEnd w:id="80"/>
      <w:bookmarkEnd w:id="81"/>
      <w:bookmarkEnd w:id="82"/>
      <w:bookmarkEnd w:id="83"/>
      <w:bookmarkEnd w:id="84"/>
      <w:bookmarkEnd w:id="89"/>
      <w:bookmarkEnd w:id="90"/>
    </w:p>
    <w:p>
      <w:pPr>
        <w:pStyle w:val="6"/>
        <w:rPr>
          <w:color w:val="000000"/>
        </w:rPr>
      </w:pPr>
      <w:r>
        <w:rPr>
          <w:rFonts w:hint="eastAsia" w:ascii="Times New Roman"/>
        </w:rPr>
        <w:t>钢质户门评价指标</w:t>
      </w:r>
      <w:r>
        <w:rPr>
          <w:rFonts w:ascii="Times New Roman"/>
        </w:rPr>
        <w:t>包括资源属性指标、能源属性指标、环境属性指标和</w:t>
      </w:r>
      <w:r>
        <w:rPr>
          <w:rFonts w:hint="eastAsia" w:ascii="Times New Roman"/>
        </w:rPr>
        <w:t>品质</w:t>
      </w:r>
      <w:r>
        <w:rPr>
          <w:rFonts w:ascii="Times New Roman"/>
        </w:rPr>
        <w:t>属性指标</w:t>
      </w:r>
      <w:r>
        <w:rPr>
          <w:rFonts w:hint="eastAsia" w:ascii="Times New Roman"/>
        </w:rPr>
        <w:t>，钢质户门的评价指标要求见表1。</w:t>
      </w:r>
    </w:p>
    <w:p>
      <w:pPr>
        <w:pStyle w:val="7"/>
        <w:spacing w:before="156" w:beforeLines="50" w:after="156" w:afterLines="50"/>
        <w:jc w:val="center"/>
        <w:outlineLvl w:val="9"/>
        <w:rPr>
          <w:rFonts w:ascii="Times New Roman"/>
        </w:rPr>
      </w:pPr>
      <w:bookmarkStart w:id="91" w:name="_Toc397348606"/>
      <w:bookmarkStart w:id="92" w:name="_Toc397433577"/>
      <w:bookmarkStart w:id="93" w:name="_Toc462063261"/>
      <w:bookmarkStart w:id="94" w:name="_Toc406486359"/>
      <w:bookmarkStart w:id="95" w:name="_Toc384816569"/>
      <w:bookmarkStart w:id="96" w:name="_Toc31213"/>
      <w:bookmarkStart w:id="97" w:name="_Toc396134054"/>
      <w:bookmarkStart w:id="98" w:name="_Toc350864007"/>
      <w:bookmarkStart w:id="99" w:name="_Toc360632446"/>
      <w:bookmarkStart w:id="100" w:name="_Toc360436855"/>
      <w:bookmarkStart w:id="101" w:name="_Toc360436768"/>
      <w:r>
        <w:rPr>
          <w:rFonts w:ascii="Times New Roman"/>
        </w:rPr>
        <w:t xml:space="preserve">表1. </w:t>
      </w:r>
      <w:r>
        <w:rPr>
          <w:rFonts w:hint="eastAsia" w:ascii="Times New Roman"/>
        </w:rPr>
        <w:t>钢质户门</w:t>
      </w:r>
      <w:r>
        <w:rPr>
          <w:rFonts w:ascii="Times New Roman"/>
        </w:rPr>
        <w:t>评价指标</w:t>
      </w:r>
      <w:bookmarkEnd w:id="91"/>
      <w:bookmarkEnd w:id="92"/>
      <w:r>
        <w:rPr>
          <w:rFonts w:ascii="Times New Roman"/>
        </w:rPr>
        <w:t>要求</w:t>
      </w:r>
      <w:bookmarkEnd w:id="93"/>
    </w:p>
    <w:tbl>
      <w:tblPr>
        <w:tblStyle w:val="4"/>
        <w:tblW w:w="87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1107"/>
        <w:gridCol w:w="1140"/>
        <w:gridCol w:w="810"/>
        <w:gridCol w:w="1644"/>
        <w:gridCol w:w="1150"/>
        <w:gridCol w:w="1"/>
        <w:gridCol w:w="1150"/>
        <w:gridCol w:w="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2247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394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判定依据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732" w:type="dxa"/>
            <w:vMerge w:val="continue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9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包装材料可回收</w:t>
            </w:r>
            <w:r>
              <w:rPr>
                <w:rFonts w:hint="eastAsia" w:hAnsi="宋体"/>
                <w:sz w:val="18"/>
                <w:szCs w:val="18"/>
                <w:lang w:val="en-US" w:eastAsia="zh-CN"/>
              </w:rPr>
              <w:t>率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394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提供证明材料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hAnsi="宋体"/>
                <w:color w:val="FF0000"/>
                <w:sz w:val="18"/>
                <w:szCs w:val="18"/>
              </w:rPr>
            </w:pPr>
            <w:r>
              <w:rPr>
                <w:rFonts w:hint="eastAsia" w:hAnsi="宋体"/>
                <w:color w:val="FF0000"/>
                <w:sz w:val="18"/>
                <w:szCs w:val="18"/>
              </w:rPr>
              <w:t>钢材利用率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rPr>
                <w:rFonts w:hAnsi="宋体"/>
                <w:color w:val="FF0000"/>
                <w:sz w:val="18"/>
                <w:szCs w:val="18"/>
              </w:rPr>
            </w:pPr>
            <w:r>
              <w:rPr>
                <w:rFonts w:hint="eastAsia" w:hAnsi="宋体"/>
                <w:color w:val="FF0000"/>
                <w:sz w:val="18"/>
                <w:szCs w:val="18"/>
              </w:rPr>
              <w:t>钢质门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FF0000"/>
                <w:kern w:val="0"/>
                <w:sz w:val="18"/>
                <w:szCs w:val="18"/>
              </w:rPr>
              <w:t>%</w:t>
            </w: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18"/>
                <w:szCs w:val="18"/>
              </w:rPr>
              <w:t>93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18"/>
                <w:szCs w:val="18"/>
              </w:rPr>
              <w:t>95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18"/>
                <w:szCs w:val="18"/>
              </w:rPr>
              <w:t>97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hAnsi="宋体"/>
                <w:color w:val="FF000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rPr>
                <w:rFonts w:hAnsi="宋体"/>
                <w:color w:val="FF0000"/>
                <w:sz w:val="18"/>
                <w:szCs w:val="18"/>
              </w:rPr>
            </w:pPr>
            <w:r>
              <w:rPr>
                <w:rFonts w:hint="eastAsia" w:hAnsi="宋体"/>
                <w:color w:val="FF0000"/>
                <w:sz w:val="18"/>
                <w:szCs w:val="18"/>
              </w:rPr>
              <w:t>钢木门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%</w:t>
            </w: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≥90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≥93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≥95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hAnsi="宋体"/>
                <w:color w:val="FF0000"/>
                <w:sz w:val="18"/>
                <w:szCs w:val="18"/>
              </w:rPr>
            </w:pPr>
            <w:r>
              <w:rPr>
                <w:rFonts w:hint="eastAsia" w:hAnsi="宋体"/>
                <w:color w:val="FF0000"/>
                <w:sz w:val="18"/>
                <w:szCs w:val="18"/>
              </w:rPr>
              <w:t>塑粉利用率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%</w:t>
            </w: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≥97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≥98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≥99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hAnsi="宋体"/>
                <w:color w:val="FF0000"/>
                <w:sz w:val="18"/>
                <w:szCs w:val="18"/>
              </w:rPr>
            </w:pPr>
            <w:r>
              <w:rPr>
                <w:rFonts w:hint="eastAsia" w:hAnsi="宋体"/>
                <w:color w:val="FF0000"/>
                <w:sz w:val="18"/>
                <w:szCs w:val="18"/>
              </w:rPr>
              <w:t>生产固废利用率（钢板、转印纸、保护膜等）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%</w:t>
            </w: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≥65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≥70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≥80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2247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喷涂干燥固化工艺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使用天然气、电、柴油等或采用节能燃煤热风炉，并对烟气进行治理</w:t>
            </w:r>
          </w:p>
        </w:tc>
        <w:tc>
          <w:tcPr>
            <w:tcW w:w="2301" w:type="dxa"/>
            <w:gridSpan w:val="3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使用天然气、电等清洁能源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rPr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采取余热利用措施，热风循环烘箱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水性喷涂材料使用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酸洗磷化环保处理工艺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279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低温、低磷处理工艺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低温、无磷处理工艺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总挥发性有机物</w:t>
            </w:r>
            <w:r>
              <w:rPr>
                <w:sz w:val="18"/>
                <w:szCs w:val="18"/>
              </w:rPr>
              <w:t>TVOC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g/L</w:t>
            </w: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</w:t>
            </w:r>
            <w:r>
              <w:rPr>
                <w:rFonts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</w:t>
            </w:r>
            <w:r>
              <w:rPr>
                <w:rFonts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</w:t>
            </w:r>
            <w:r>
              <w:rPr>
                <w:rFonts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填充材料甲醛释放限量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mg/L</w:t>
            </w:r>
          </w:p>
        </w:tc>
        <w:tc>
          <w:tcPr>
            <w:tcW w:w="164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</w:t>
            </w:r>
            <w:r>
              <w:rPr>
                <w:rFonts w:hint="eastAsia"/>
                <w:kern w:val="0"/>
                <w:sz w:val="18"/>
                <w:szCs w:val="18"/>
              </w:rPr>
              <w:t>0.5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</w:t>
            </w:r>
            <w:r>
              <w:rPr>
                <w:rFonts w:hint="eastAsia"/>
                <w:kern w:val="0"/>
                <w:sz w:val="18"/>
                <w:szCs w:val="18"/>
              </w:rPr>
              <w:t>0.3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</w:t>
            </w:r>
            <w:r>
              <w:rPr>
                <w:rFonts w:hint="eastAsia"/>
                <w:kern w:val="0"/>
                <w:sz w:val="18"/>
                <w:szCs w:val="18"/>
              </w:rPr>
              <w:t>0.1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反复启闭性能</w:t>
            </w:r>
          </w:p>
        </w:tc>
        <w:tc>
          <w:tcPr>
            <w:tcW w:w="810" w:type="dxa"/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次</w:t>
            </w:r>
          </w:p>
        </w:tc>
        <w:tc>
          <w:tcPr>
            <w:tcW w:w="1644" w:type="dxa"/>
            <w:shd w:val="clear" w:color="auto" w:fill="auto"/>
          </w:tcPr>
          <w:p>
            <w:pPr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sz w:val="18"/>
                <w:szCs w:val="18"/>
              </w:rPr>
              <w:t>100 000</w:t>
            </w:r>
          </w:p>
        </w:tc>
        <w:tc>
          <w:tcPr>
            <w:tcW w:w="1151" w:type="dxa"/>
            <w:gridSpan w:val="2"/>
            <w:shd w:val="clear" w:color="auto" w:fill="auto"/>
          </w:tcPr>
          <w:p>
            <w:pPr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sz w:val="18"/>
                <w:szCs w:val="18"/>
              </w:rPr>
              <w:t>200 000</w:t>
            </w:r>
          </w:p>
        </w:tc>
        <w:tc>
          <w:tcPr>
            <w:tcW w:w="1150" w:type="dxa"/>
            <w:shd w:val="clear" w:color="auto" w:fill="auto"/>
          </w:tcPr>
          <w:p>
            <w:pPr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FF0000"/>
                <w:sz w:val="18"/>
                <w:szCs w:val="18"/>
              </w:rPr>
              <w:t>00 000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空气声隔声性能</w:t>
            </w: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（</w:t>
            </w:r>
            <w:r>
              <w:rPr>
                <w:rFonts w:hint="eastAsia"/>
                <w:i/>
                <w:iCs/>
                <w:color w:val="FF0000"/>
                <w:kern w:val="0"/>
                <w:sz w:val="18"/>
                <w:szCs w:val="18"/>
              </w:rPr>
              <w:t>R</w:t>
            </w:r>
            <w:r>
              <w:rPr>
                <w:rFonts w:hint="eastAsia"/>
                <w:i/>
                <w:iCs/>
                <w:color w:val="FF0000"/>
                <w:kern w:val="0"/>
                <w:sz w:val="18"/>
                <w:szCs w:val="18"/>
                <w:vertAlign w:val="subscript"/>
              </w:rPr>
              <w:t>w</w:t>
            </w:r>
            <w:r>
              <w:rPr>
                <w:rFonts w:hint="eastAsia"/>
                <w:i/>
                <w:iCs/>
                <w:color w:val="FF0000"/>
                <w:kern w:val="0"/>
                <w:sz w:val="18"/>
                <w:szCs w:val="18"/>
              </w:rPr>
              <w:t>+C</w:t>
            </w:r>
            <w:r>
              <w:rPr>
                <w:rFonts w:hint="eastAsia"/>
                <w:i/>
                <w:iCs/>
                <w:color w:val="FF0000"/>
                <w:kern w:val="0"/>
                <w:sz w:val="18"/>
                <w:szCs w:val="18"/>
                <w:vertAlign w:val="subscript"/>
              </w:rPr>
              <w:t>tr</w:t>
            </w:r>
            <w:r>
              <w:rPr>
                <w:rFonts w:hint="eastAsia"/>
                <w:color w:val="FF0000"/>
                <w:kern w:val="0"/>
                <w:sz w:val="18"/>
                <w:szCs w:val="18"/>
              </w:rPr>
              <w:t>）</w:t>
            </w:r>
          </w:p>
        </w:tc>
        <w:tc>
          <w:tcPr>
            <w:tcW w:w="810" w:type="dxa"/>
            <w:shd w:val="clear" w:color="auto" w:fill="auto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1644" w:type="dxa"/>
            <w:shd w:val="clear" w:color="auto" w:fill="auto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&gt;25,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 w:hAnsi="Calibri" w:eastAsia="宋体" w:cs="Calibri"/>
                <w:sz w:val="18"/>
                <w:szCs w:val="18"/>
              </w:rPr>
              <w:t>0</w:t>
            </w:r>
          </w:p>
        </w:tc>
        <w:tc>
          <w:tcPr>
            <w:tcW w:w="1151" w:type="dxa"/>
            <w:gridSpan w:val="2"/>
            <w:shd w:val="clear" w:color="auto" w:fill="auto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&gt;30,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150" w:type="dxa"/>
            <w:shd w:val="clear" w:color="auto" w:fill="auto"/>
          </w:tcPr>
          <w:p>
            <w:pPr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&gt;35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bookmarkEnd w:id="94"/>
      <w:bookmarkEnd w:id="95"/>
      <w:bookmarkEnd w:id="96"/>
      <w:bookmarkEnd w:id="97"/>
      <w:bookmarkEnd w:id="98"/>
      <w:bookmarkEnd w:id="99"/>
      <w:bookmarkEnd w:id="100"/>
      <w:bookmarkEnd w:id="101"/>
    </w:tbl>
    <w:p>
      <w:pPr>
        <w:pStyle w:val="9"/>
        <w:spacing w:before="156" w:after="156"/>
        <w:rPr>
          <w:color w:val="000000"/>
        </w:rPr>
      </w:pPr>
      <w:bookmarkStart w:id="102" w:name="_Toc397348621"/>
      <w:r>
        <w:rPr>
          <w:rFonts w:hint="eastAsia"/>
          <w:color w:val="000000"/>
        </w:rPr>
        <w:t>4.3</w:t>
      </w:r>
      <w:r>
        <w:rPr>
          <w:rFonts w:hAnsi="黑体"/>
        </w:rPr>
        <w:t>数据处理和计算方法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kern w:val="0"/>
          <w:szCs w:val="20"/>
        </w:rPr>
        <w:t>各评价指标均按采样次数的实测数据进行平均。</w:t>
      </w:r>
    </w:p>
    <w:p>
      <w:pPr>
        <w:pStyle w:val="7"/>
        <w:numPr>
          <w:ilvl w:val="0"/>
          <w:numId w:val="1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103" w:name="_Toc462063266"/>
      <w:bookmarkStart w:id="104" w:name="_Toc456611292"/>
      <w:bookmarkStart w:id="105" w:name="_Toc459106422"/>
      <w:r>
        <w:rPr>
          <w:color w:val="000000"/>
        </w:rPr>
        <w:t>评价方法</w:t>
      </w:r>
      <w:bookmarkEnd w:id="103"/>
      <w:bookmarkEnd w:id="104"/>
      <w:bookmarkEnd w:id="105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jc w:val="left"/>
        <w:rPr>
          <w:rFonts w:ascii="宋体"/>
          <w:kern w:val="0"/>
          <w:szCs w:val="20"/>
        </w:rPr>
      </w:pPr>
      <w:r>
        <w:t>按照4.1基本要求和4.2评价指标要求开展第三方评价，</w:t>
      </w:r>
      <w:r>
        <w:rPr>
          <w:rFonts w:hint="eastAsia"/>
        </w:rPr>
        <w:t>并进行工厂检查。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jc w:val="center"/>
        <w:rPr>
          <w:rFonts w:ascii="宋体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jc w:val="center"/>
        <w:rPr>
          <w:rFonts w:ascii="宋体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jc w:val="center"/>
        <w:rPr>
          <w:rFonts w:ascii="宋体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jc w:val="center"/>
        <w:rPr>
          <w:rFonts w:ascii="宋体"/>
          <w:kern w:val="0"/>
          <w:szCs w:val="20"/>
        </w:rPr>
      </w:pPr>
      <w:r>
        <w:rPr>
          <w:rFonts w:ascii="宋体"/>
          <w:kern w:val="0"/>
          <w:szCs w:val="20"/>
        </w:rPr>
        <w:t>_______________________________</w:t>
      </w:r>
      <w:bookmarkEnd w:id="102"/>
    </w:p>
    <w:p>
      <w:pPr>
        <w:pStyle w:val="6"/>
      </w:pPr>
    </w:p>
    <w:p>
      <w:pPr>
        <w:spacing w:line="360" w:lineRule="auto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8000012" w:usb3="00000000" w:csb0="4002009F" w:csb1="DFD70000"/>
  </w:font>
  <w:font w:name="Yu Gothic UI">
    <w:altName w:val="Yu Gothic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Bodoni MT Black">
    <w:altName w:val="Segoe Print"/>
    <w:panose1 w:val="02070A03080606020203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思源黑体">
    <w:panose1 w:val="020B0500000000090000"/>
    <w:charset w:val="86"/>
    <w:family w:val="auto"/>
    <w:pitch w:val="default"/>
    <w:sig w:usb0="20000003" w:usb1="2ADF3C10" w:usb2="00000016" w:usb3="00000000" w:csb0="60060107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16D8B"/>
    <w:multiLevelType w:val="multilevel"/>
    <w:tmpl w:val="50616D8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3359F"/>
    <w:rsid w:val="00486E68"/>
    <w:rsid w:val="004F0023"/>
    <w:rsid w:val="004F49C0"/>
    <w:rsid w:val="00B02340"/>
    <w:rsid w:val="00F96F80"/>
    <w:rsid w:val="02867779"/>
    <w:rsid w:val="05CD1E13"/>
    <w:rsid w:val="0A476899"/>
    <w:rsid w:val="0B981D7E"/>
    <w:rsid w:val="0C8E391E"/>
    <w:rsid w:val="10BF35E5"/>
    <w:rsid w:val="12D8111F"/>
    <w:rsid w:val="14763324"/>
    <w:rsid w:val="14A23540"/>
    <w:rsid w:val="169706EA"/>
    <w:rsid w:val="1B2C2CBC"/>
    <w:rsid w:val="1EA928D3"/>
    <w:rsid w:val="221F01F7"/>
    <w:rsid w:val="22684E59"/>
    <w:rsid w:val="28890BE1"/>
    <w:rsid w:val="2C171A56"/>
    <w:rsid w:val="2CAA6386"/>
    <w:rsid w:val="2D971F7E"/>
    <w:rsid w:val="2D9811D9"/>
    <w:rsid w:val="3657294D"/>
    <w:rsid w:val="396B78D7"/>
    <w:rsid w:val="3A0640D3"/>
    <w:rsid w:val="3B916996"/>
    <w:rsid w:val="3C9D621B"/>
    <w:rsid w:val="3DE074CD"/>
    <w:rsid w:val="4007166D"/>
    <w:rsid w:val="40EF479A"/>
    <w:rsid w:val="4176109C"/>
    <w:rsid w:val="427E3F38"/>
    <w:rsid w:val="429E255E"/>
    <w:rsid w:val="4422143E"/>
    <w:rsid w:val="44F419FB"/>
    <w:rsid w:val="4A0963A5"/>
    <w:rsid w:val="4A634A51"/>
    <w:rsid w:val="4BE129F9"/>
    <w:rsid w:val="4CB3359F"/>
    <w:rsid w:val="4CBA1D2E"/>
    <w:rsid w:val="4D5C6B1A"/>
    <w:rsid w:val="509C7A7F"/>
    <w:rsid w:val="52383CA2"/>
    <w:rsid w:val="52753BF1"/>
    <w:rsid w:val="52C632B7"/>
    <w:rsid w:val="57093F8F"/>
    <w:rsid w:val="58702C13"/>
    <w:rsid w:val="58D01501"/>
    <w:rsid w:val="5B581A9B"/>
    <w:rsid w:val="5C8A501E"/>
    <w:rsid w:val="5F360059"/>
    <w:rsid w:val="60D858B6"/>
    <w:rsid w:val="610E6DE2"/>
    <w:rsid w:val="632C6E6F"/>
    <w:rsid w:val="66D826F2"/>
    <w:rsid w:val="6B74524C"/>
    <w:rsid w:val="6BB80811"/>
    <w:rsid w:val="6BC91DB4"/>
    <w:rsid w:val="710D3D07"/>
    <w:rsid w:val="72F13E00"/>
    <w:rsid w:val="751F1541"/>
    <w:rsid w:val="76263DD5"/>
    <w:rsid w:val="774C5F36"/>
    <w:rsid w:val="782A436C"/>
    <w:rsid w:val="790B24B9"/>
    <w:rsid w:val="7A0D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customStyle="1" w:styleId="5">
    <w:name w:val="目次、标准名称标题"/>
    <w:basedOn w:val="1"/>
    <w:next w:val="6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7">
    <w:name w:val="章标题"/>
    <w:next w:val="6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8">
    <w:name w:val="二级条标题"/>
    <w:basedOn w:val="9"/>
    <w:next w:val="6"/>
    <w:qFormat/>
    <w:uiPriority w:val="0"/>
    <w:pPr>
      <w:spacing w:before="50" w:after="50"/>
      <w:outlineLvl w:val="3"/>
    </w:pPr>
  </w:style>
  <w:style w:type="paragraph" w:customStyle="1" w:styleId="9">
    <w:name w:val="一级条标题"/>
    <w:next w:val="6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1">
    <w:name w:val="附录标识"/>
    <w:basedOn w:val="1"/>
    <w:next w:val="6"/>
    <w:qFormat/>
    <w:uiPriority w:val="0"/>
    <w:pPr>
      <w:keepNext/>
      <w:widowControl/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2">
    <w:name w:val="附录章标题"/>
    <w:next w:val="6"/>
    <w:qFormat/>
    <w:uiPriority w:val="0"/>
    <w:pPr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szCs w:val="22"/>
      <w:lang w:val="en-US" w:eastAsia="zh-CN" w:bidi="ar-SA"/>
    </w:rPr>
  </w:style>
  <w:style w:type="paragraph" w:customStyle="1" w:styleId="13">
    <w:name w:val="附录公式编号制表符"/>
    <w:basedOn w:val="1"/>
    <w:next w:val="6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14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5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406</Words>
  <Characters>2318</Characters>
  <Lines>19</Lines>
  <Paragraphs>5</Paragraphs>
  <ScaleCrop>false</ScaleCrop>
  <LinksUpToDate>false</LinksUpToDate>
  <CharactersWithSpaces>2719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2017-10-29T12:39:00Z</dcterms:created>
  <dc:creator>liuzq</dc:creator>
  <cp:lastModifiedBy>天际(lzq)</cp:lastModifiedBy>
  <dcterms:modified xsi:type="dcterms:W3CDTF">2018-01-22T15:15:15Z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