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7"/>
        <w:rPr>
          <w:rFonts w:ascii="Times New Roman"/>
        </w:rPr>
      </w:pPr>
      <w:r>
        <w:rPr>
          <w:rFonts w:ascii="Times New Roman"/>
        </w:rPr>
        <w:t>ICS</w:t>
      </w:r>
      <w:r>
        <w:rPr>
          <w:rFonts w:ascii="Times New Roman" w:eastAsia="MS Mincho"/>
        </w:rPr>
        <w:t> </w:t>
      </w:r>
      <w:r>
        <w:rPr>
          <w:rFonts w:ascii="Times New Roman"/>
        </w:rPr>
        <w:t>13.020.10</w:t>
      </w:r>
    </w:p>
    <w:tbl>
      <w:tblPr>
        <w:tblStyle w:val="24"/>
        <w:tblW w:w="9854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7"/>
              <w:rPr>
                <w:rFonts w:ascii="Times New Roman"/>
              </w:rPr>
            </w:pPr>
            <w:r>
              <w:pict>
                <v:rect id="BAH" o:spid="_x0000_s1026" o:spt="1" style="position:absolute;left:0pt;margin-left:-5.25pt;margin-top:0pt;height:15.6pt;width:68.25pt;z-index:-251658240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</v:rect>
              </w:pict>
            </w:r>
            <w:r>
              <w:rPr>
                <w:rFonts w:ascii="Times New Roman"/>
              </w:rPr>
              <w:t>Z 04</w:t>
            </w:r>
          </w:p>
        </w:tc>
      </w:tr>
    </w:tbl>
    <w:p>
      <w:pPr>
        <w:pStyle w:val="105"/>
        <w:rPr>
          <w:rFonts w:ascii="Times New Roman"/>
        </w:rPr>
      </w:pPr>
      <w:r>
        <w:rPr>
          <w:rFonts w:ascii="Times New Roman"/>
        </w:rPr>
        <w:t>T/CECS 1000X—</w:t>
      </w:r>
      <w:bookmarkStart w:id="0" w:name="StdNo2"/>
      <w:r>
        <w:rPr>
          <w:rFonts w:ascii="Times New Roman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    </w:t>
      </w:r>
      <w:r>
        <w:rPr>
          <w:rFonts w:ascii="Times New Roman"/>
        </w:rPr>
        <w:fldChar w:fldCharType="end"/>
      </w:r>
      <w:bookmarkEnd w:id="0"/>
    </w:p>
    <w:tbl>
      <w:tblPr>
        <w:tblStyle w:val="24"/>
        <w:tblW w:w="9356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3"/>
              <w:rPr>
                <w:rFonts w:ascii="Times New Roman"/>
              </w:rPr>
            </w:pPr>
            <w:bookmarkStart w:id="1" w:name="DT"/>
            <w:r>
              <w:pict>
                <v:rect id="DT" o:spid="_x0000_s1027" o:spt="1" style="position:absolute;left:0pt;margin-left:372.8pt;margin-top:2.7pt;height:18pt;width:90pt;z-index:-251661312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</v:rect>
              </w:pict>
            </w:r>
            <w:bookmarkEnd w:id="1"/>
          </w:p>
        </w:tc>
      </w:tr>
    </w:tbl>
    <w:p>
      <w:pPr>
        <w:pStyle w:val="105"/>
        <w:rPr>
          <w:rFonts w:ascii="Times New Roman"/>
        </w:rPr>
      </w:pPr>
    </w:p>
    <w:p>
      <w:pPr>
        <w:pStyle w:val="105"/>
        <w:rPr>
          <w:rFonts w:ascii="Times New Roman"/>
        </w:rPr>
      </w:pPr>
    </w:p>
    <w:p>
      <w:pPr>
        <w:pStyle w:val="53"/>
        <w:framePr w:x="1263" w:y="6378"/>
        <w:rPr>
          <w:rFonts w:ascii="Times New Roman"/>
        </w:rPr>
      </w:pPr>
      <w:bookmarkStart w:id="2" w:name="StdName"/>
      <w:r>
        <w:rPr>
          <w:rFonts w:ascii="Times New Roman"/>
        </w:rPr>
        <w:fldChar w:fldCharType="begin">
          <w:ffData>
            <w:name w:val="StdName"/>
            <w:enabled/>
            <w:calcOnExit w:val="0"/>
            <w:textInput/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  <w:fldChar w:fldCharType="separate"/>
      </w:r>
      <w:r>
        <w:rPr>
          <w:rFonts w:hint="eastAsia" w:ascii="Times New Roman"/>
        </w:rPr>
        <w:t>绿色建材评价标准</w:t>
      </w:r>
      <w:r>
        <w:rPr>
          <w:rFonts w:ascii="Times New Roman"/>
        </w:rPr>
        <w:t xml:space="preserve">  </w:t>
      </w:r>
      <w:r>
        <w:rPr>
          <w:rFonts w:hint="eastAsia" w:ascii="Times New Roman"/>
        </w:rPr>
        <w:t>工程修复材料</w:t>
      </w:r>
      <w:r>
        <w:rPr>
          <w:rFonts w:ascii="Times New Roman"/>
        </w:rPr>
        <w:fldChar w:fldCharType="end"/>
      </w:r>
      <w:bookmarkEnd w:id="2"/>
    </w:p>
    <w:p>
      <w:pPr>
        <w:pStyle w:val="52"/>
        <w:framePr w:x="1263" w:y="6378"/>
      </w:pPr>
      <w:bookmarkStart w:id="3" w:name="StdEnglishName"/>
      <w:r>
        <w:fldChar w:fldCharType="begin">
          <w:ffData>
            <w:name w:val="StdEnglishName"/>
            <w:enabled/>
            <w:calcOnExit w:val="0"/>
            <w:textInput>
              <w:default w:val="Green building materials assessment -engineering restoring material"/>
            </w:textInput>
          </w:ffData>
        </w:fldChar>
      </w:r>
      <w:r>
        <w:instrText xml:space="preserve">FORMTEXT</w:instrText>
      </w:r>
      <w:r>
        <w:fldChar w:fldCharType="separate"/>
      </w:r>
      <w:r>
        <w:t>Green building materials assessment -engineering restoring material</w:t>
      </w:r>
      <w:r>
        <w:fldChar w:fldCharType="end"/>
      </w:r>
      <w:bookmarkEnd w:id="3"/>
    </w:p>
    <w:p>
      <w:pPr>
        <w:pStyle w:val="51"/>
        <w:framePr w:x="1263" w:y="6378"/>
        <w:rPr>
          <w:rFonts w:ascii="Times New Roman"/>
        </w:rPr>
      </w:pPr>
    </w:p>
    <w:tbl>
      <w:tblPr>
        <w:tblStyle w:val="24"/>
        <w:tblW w:w="985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0"/>
              <w:framePr w:x="1263" w:y="6378"/>
              <w:rPr>
                <w:rFonts w:ascii="Times New Roman"/>
              </w:rPr>
            </w:pPr>
            <w:r>
              <w:pict>
                <v:rect id="RQ" o:spid="_x0000_s1028" o:spt="1" style="position:absolute;left:0pt;margin-left:173.3pt;margin-top:45.15pt;height:20pt;width:150pt;z-index:-251659264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w10:anchorlock/>
                </v:rect>
              </w:pict>
            </w:r>
            <w:r>
              <w:pict>
                <v:rect id="LB" o:spid="_x0000_s1029" o:spt="1" style="position:absolute;left:0pt;margin-left:193.3pt;margin-top:20.15pt;height:24pt;width:100pt;z-index:-251660288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w10:anchorlock/>
                </v:rect>
              </w:pict>
            </w:r>
            <w:r>
              <w:rPr>
                <w:rFonts w:hint="eastAsia" w:ascii="Times New Roman"/>
                <w:sz w:val="28"/>
              </w:rPr>
              <w:t>（征求意见稿）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6"/>
              <w:framePr w:x="1263" w:y="6378"/>
              <w:rPr>
                <w:rFonts w:ascii="Times New Roman"/>
              </w:rPr>
            </w:pPr>
            <w:r>
              <w:rPr>
                <w:rFonts w:ascii="Times New Roman"/>
              </w:rPr>
              <w:t>20190523</w:t>
            </w:r>
          </w:p>
        </w:tc>
      </w:tr>
    </w:tbl>
    <w:p>
      <w:pPr>
        <w:pStyle w:val="91"/>
        <w:framePr w:hAnchor="page" w:x="1140" w:y="13612"/>
      </w:pPr>
      <w:bookmarkStart w:id="4" w:name="FY"/>
      <w: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4"/>
      <w:r>
        <w:t xml:space="preserve"> - </w:t>
      </w:r>
      <w: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r>
        <w:t xml:space="preserve"> - </w:t>
      </w:r>
      <w:bookmarkStart w:id="5" w:name="FD"/>
      <w: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5"/>
      <w:r>
        <w:rPr>
          <w:rFonts w:hint="eastAsia"/>
        </w:rPr>
        <w:t>发布</w:t>
      </w:r>
      <w:r>
        <w:pict>
          <v:line id="直线 10" o:spid="_x0000_s1030" o:spt="20" style="position:absolute;left:0pt;margin-left:-1.95pt;margin-top:704pt;height:0pt;width:481.9pt;mso-position-vertical-relative:page;z-index:251658240;mso-width-relative:page;mso-height-relative:page;" coordsize="21600,21600">
            <v:path arrowok="t"/>
            <v:fill focussize="0,0"/>
            <v:stroke/>
            <v:imagedata o:title=""/>
            <o:lock v:ext="edit"/>
            <w10:anchorlock/>
          </v:line>
        </w:pict>
      </w:r>
    </w:p>
    <w:p>
      <w:pPr>
        <w:pStyle w:val="140"/>
        <w:framePr w:hAnchor="page" w:x="6287" w:y="13525"/>
      </w:pPr>
      <w:bookmarkStart w:id="6" w:name="SY"/>
      <w: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6"/>
      <w:r>
        <w:t xml:space="preserve"> - </w:t>
      </w:r>
      <w:bookmarkStart w:id="7" w:name="SM"/>
      <w: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7"/>
      <w:r>
        <w:t xml:space="preserve"> - </w:t>
      </w:r>
      <w:bookmarkStart w:id="8" w:name="SD"/>
      <w: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8"/>
      <w:r>
        <w:rPr>
          <w:rFonts w:hint="eastAsia"/>
        </w:rPr>
        <w:t>实施</w:t>
      </w:r>
    </w:p>
    <w:p>
      <w:pPr>
        <w:pStyle w:val="84"/>
        <w:rPr>
          <w:rFonts w:ascii="Times New Roman"/>
        </w:rPr>
      </w:pPr>
      <w:r>
        <w:rPr>
          <w:rFonts w:hint="eastAsia" w:ascii="Times New Roman"/>
        </w:rPr>
        <w:t>中国工程建设标准化协会</w:t>
      </w:r>
      <w:r>
        <w:rPr>
          <w:rFonts w:ascii="Times New Roman" w:eastAsia="MS Mincho"/>
        </w:rPr>
        <w:t>   </w:t>
      </w:r>
      <w:r>
        <w:rPr>
          <w:rStyle w:val="49"/>
          <w:rFonts w:hint="eastAsia" w:ascii="Times New Roman"/>
          <w:szCs w:val="28"/>
        </w:rPr>
        <w:t>发布</w:t>
      </w:r>
    </w:p>
    <w:p>
      <w:pPr>
        <w:pStyle w:val="18"/>
        <w:ind w:firstLine="31680"/>
        <w:rPr>
          <w:rFonts w:ascii="Times New Roman"/>
        </w:rPr>
        <w:sectPr>
          <w:pgSz w:w="11906" w:h="16838"/>
          <w:pgMar w:top="567" w:right="850" w:bottom="1134" w:left="1418" w:header="0" w:footer="0" w:gutter="0"/>
          <w:pgNumType w:start="1"/>
          <w:cols w:space="720" w:num="1"/>
          <w:docGrid w:type="lines" w:linePitch="312" w:charSpace="0"/>
        </w:sectPr>
      </w:pPr>
      <w:r>
        <w:pict>
          <v:shape id="文本框 37" o:spid="_x0000_s1031" o:spt="202" type="#_x0000_t202" style="position:absolute;left:0pt;margin-left:0.6pt;margin-top:77.1pt;height:149.85pt;width:481.85pt;z-index:251660288;mso-width-relative:page;mso-height-relative:page;" stroked="t" coordsize="21600,21600">
            <v:path/>
            <v:fill focussize="0,0"/>
            <v:stroke color="#FFFFFF" joinstyle="miter"/>
            <v:imagedata o:title=""/>
            <o:lock v:ext="edit"/>
            <v:textbox style="mso-fit-shape-to-text:t;">
              <w:txbxContent>
                <w:p>
                  <w:pPr>
                    <w:jc w:val="distribute"/>
                    <w:rPr>
                      <w:rFonts w:ascii="黑体" w:hAnsi="黑体" w:eastAsia="黑体"/>
                      <w:sz w:val="72"/>
                      <w:szCs w:val="72"/>
                    </w:rPr>
                  </w:pPr>
                  <w:r>
                    <w:rPr>
                      <w:rFonts w:hint="eastAsia" w:ascii="黑体" w:hAnsi="黑体" w:eastAsia="黑体"/>
                      <w:sz w:val="72"/>
                      <w:szCs w:val="72"/>
                    </w:rPr>
                    <w:t>团体标准</w:t>
                  </w:r>
                </w:p>
              </w:txbxContent>
            </v:textbox>
            <w10:anchorlock/>
          </v:shape>
        </w:pict>
      </w:r>
      <w:r>
        <w:pict>
          <v:line id="直线 11" o:spid="_x0000_s1032" o:spt="20" style="position:absolute;left:0pt;margin-left:-0.05pt;margin-top:184.25pt;height:0pt;width:481.9pt;z-index:251659264;mso-width-relative:page;mso-height-relative:page;" coordsize="21600,21600">
            <v:path arrowok="t"/>
            <v:fill focussize="0,0"/>
            <v:stroke/>
            <v:imagedata o:title=""/>
            <o:lock v:ext="edit"/>
            <w10:anchorlock/>
          </v:line>
        </w:pict>
      </w:r>
    </w:p>
    <w:p>
      <w:pPr>
        <w:pStyle w:val="127"/>
        <w:rPr>
          <w:rFonts w:ascii="Times New Roman"/>
        </w:rPr>
      </w:pPr>
      <w:bookmarkStart w:id="9" w:name="_Toc533518617"/>
      <w:r>
        <w:rPr>
          <w:rFonts w:hint="eastAsia" w:ascii="Times New Roman"/>
        </w:rPr>
        <w:t>目</w:t>
      </w:r>
      <w:bookmarkStart w:id="10" w:name="BKML"/>
      <w:r>
        <w:rPr>
          <w:rFonts w:ascii="Times New Roman" w:eastAsia="MS Mincho"/>
        </w:rPr>
        <w:t>  </w:t>
      </w:r>
      <w:r>
        <w:rPr>
          <w:rFonts w:hint="eastAsia" w:ascii="Times New Roman"/>
        </w:rPr>
        <w:t>次</w:t>
      </w:r>
      <w:bookmarkEnd w:id="9"/>
      <w:bookmarkEnd w:id="10"/>
    </w:p>
    <w:p>
      <w:pPr>
        <w:pStyle w:val="66"/>
        <w:spacing w:before="78" w:after="78"/>
        <w:rPr>
          <w:rFonts w:ascii="Times New Roman" w:eastAsia="等线"/>
          <w:szCs w:val="22"/>
        </w:rPr>
      </w:pP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TOC \o "1-3" \h \z \u </w:instrText>
      </w:r>
      <w:r>
        <w:rPr>
          <w:rFonts w:ascii="Times New Roman"/>
        </w:rPr>
        <w:fldChar w:fldCharType="separate"/>
      </w:r>
      <w:r>
        <w:fldChar w:fldCharType="begin"/>
      </w:r>
      <w:r>
        <w:instrText xml:space="preserve"> HYPERLINK \l "_Toc533518620" </w:instrText>
      </w:r>
      <w:r>
        <w:fldChar w:fldCharType="separate"/>
      </w:r>
      <w:r>
        <w:rPr>
          <w:rStyle w:val="31"/>
          <w:rFonts w:ascii="Times New Roman"/>
        </w:rPr>
        <w:t>1.</w:t>
      </w:r>
      <w:r>
        <w:rPr>
          <w:rStyle w:val="31"/>
          <w:rFonts w:hint="eastAsia" w:ascii="Times New Roman"/>
        </w:rPr>
        <w:t>范围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_Toc533518620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1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61"/>
        <w:tabs>
          <w:tab w:val="left" w:pos="1470"/>
        </w:tabs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"_Toc533518621" </w:instrText>
      </w:r>
      <w:r>
        <w:fldChar w:fldCharType="separate"/>
      </w:r>
      <w:r>
        <w:rPr>
          <w:rStyle w:val="31"/>
          <w:rFonts w:ascii="Times New Roman"/>
        </w:rPr>
        <w:t>2.</w:t>
      </w:r>
      <w:r>
        <w:rPr>
          <w:rStyle w:val="31"/>
          <w:rFonts w:hint="eastAsia" w:ascii="Times New Roman"/>
        </w:rPr>
        <w:t>规范性引用文件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_Toc533518621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1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61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"_Toc533518622" </w:instrText>
      </w:r>
      <w:r>
        <w:fldChar w:fldCharType="separate"/>
      </w:r>
      <w:r>
        <w:rPr>
          <w:rStyle w:val="31"/>
          <w:rFonts w:ascii="Times New Roman"/>
        </w:rPr>
        <w:t>3.</w:t>
      </w:r>
      <w:r>
        <w:rPr>
          <w:rStyle w:val="31"/>
          <w:rFonts w:hint="eastAsia" w:ascii="Times New Roman"/>
        </w:rPr>
        <w:t>术语和定义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_Toc533518622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2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61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"_Toc533518629" </w:instrText>
      </w:r>
      <w:r>
        <w:fldChar w:fldCharType="separate"/>
      </w:r>
      <w:r>
        <w:rPr>
          <w:rStyle w:val="31"/>
          <w:rFonts w:ascii="Times New Roman"/>
        </w:rPr>
        <w:t>4.</w:t>
      </w:r>
      <w:r>
        <w:rPr>
          <w:rStyle w:val="31"/>
          <w:rFonts w:hint="eastAsia" w:ascii="Times New Roman"/>
        </w:rPr>
        <w:t>评价要求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_Toc533518629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4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68"/>
        <w:ind w:firstLine="31680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"_Toc533518630" </w:instrText>
      </w:r>
      <w:r>
        <w:fldChar w:fldCharType="separate"/>
      </w:r>
      <w:r>
        <w:rPr>
          <w:rStyle w:val="31"/>
          <w:rFonts w:ascii="Times New Roman" w:eastAsia="黑体"/>
          <w:kern w:val="0"/>
        </w:rPr>
        <w:t xml:space="preserve">4.1 </w:t>
      </w:r>
      <w:r>
        <w:rPr>
          <w:rStyle w:val="31"/>
          <w:rFonts w:hint="eastAsia" w:ascii="Times New Roman"/>
          <w:kern w:val="0"/>
        </w:rPr>
        <w:t>基本要求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_Toc533518630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4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68"/>
        <w:ind w:firstLine="31680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"_Toc533518631" </w:instrText>
      </w:r>
      <w:r>
        <w:fldChar w:fldCharType="separate"/>
      </w:r>
      <w:r>
        <w:rPr>
          <w:rStyle w:val="31"/>
          <w:rFonts w:ascii="Times New Roman" w:eastAsia="黑体"/>
          <w:kern w:val="0"/>
        </w:rPr>
        <w:t xml:space="preserve">4.2 </w:t>
      </w:r>
      <w:r>
        <w:rPr>
          <w:rStyle w:val="31"/>
          <w:rFonts w:hint="eastAsia" w:ascii="Times New Roman"/>
          <w:kern w:val="0"/>
        </w:rPr>
        <w:t>评价指标要求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_Toc533518631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5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61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"_Toc533518632" </w:instrText>
      </w:r>
      <w:r>
        <w:fldChar w:fldCharType="separate"/>
      </w:r>
      <w:r>
        <w:rPr>
          <w:rStyle w:val="31"/>
          <w:rFonts w:ascii="Times New Roman"/>
        </w:rPr>
        <w:t>5.</w:t>
      </w:r>
      <w:r>
        <w:rPr>
          <w:rStyle w:val="31"/>
          <w:rFonts w:hint="eastAsia" w:ascii="Times New Roman"/>
        </w:rPr>
        <w:t>评价方法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_Toc533518632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8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r>
        <w:fldChar w:fldCharType="end"/>
      </w: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31680"/>
        <w:rPr>
          <w:rFonts w:ascii="Times New Roman"/>
        </w:rPr>
      </w:pPr>
    </w:p>
    <w:p>
      <w:pPr>
        <w:pStyle w:val="120"/>
        <w:rPr>
          <w:rFonts w:ascii="Times New Roman"/>
        </w:rPr>
      </w:pPr>
      <w:bookmarkStart w:id="11" w:name="_Toc533518618"/>
      <w:bookmarkStart w:id="12" w:name="_Toc524004770"/>
      <w:r>
        <w:rPr>
          <w:rFonts w:hint="eastAsia" w:ascii="Times New Roman"/>
        </w:rPr>
        <w:t>前</w:t>
      </w:r>
      <w:bookmarkStart w:id="13" w:name="BKQY"/>
      <w:r>
        <w:rPr>
          <w:rFonts w:ascii="Times New Roman" w:eastAsia="MS Mincho"/>
        </w:rPr>
        <w:t>  </w:t>
      </w:r>
      <w:r>
        <w:rPr>
          <w:rFonts w:hint="eastAsia" w:ascii="Times New Roman"/>
        </w:rPr>
        <w:t>言</w:t>
      </w:r>
      <w:bookmarkEnd w:id="11"/>
      <w:bookmarkEnd w:id="12"/>
      <w:bookmarkEnd w:id="13"/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本标准按照</w:t>
      </w:r>
      <w:r>
        <w:rPr>
          <w:rFonts w:ascii="Times New Roman"/>
        </w:rPr>
        <w:t>GB/T 1.1-2009</w:t>
      </w:r>
      <w:r>
        <w:rPr>
          <w:rFonts w:hint="eastAsia" w:ascii="Times New Roman"/>
        </w:rPr>
        <w:t>给出的规则起草。</w:t>
      </w:r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本标准是按中国工程建设标准化协会《</w:t>
      </w:r>
      <w:r>
        <w:rPr>
          <w:rFonts w:ascii="Times New Roman"/>
        </w:rPr>
        <w:t>2017</w:t>
      </w:r>
      <w:r>
        <w:rPr>
          <w:rFonts w:hint="eastAsia" w:ascii="Times New Roman"/>
        </w:rPr>
        <w:t>年第三批工程建设协会标准制订、修订计划》（建标协字〔</w:t>
      </w:r>
      <w:r>
        <w:rPr>
          <w:rFonts w:ascii="Times New Roman"/>
        </w:rPr>
        <w:t>2017</w:t>
      </w:r>
      <w:r>
        <w:rPr>
          <w:rFonts w:hint="eastAsia" w:ascii="Times New Roman"/>
        </w:rPr>
        <w:t>〕</w:t>
      </w:r>
      <w:r>
        <w:rPr>
          <w:rFonts w:ascii="Times New Roman"/>
        </w:rPr>
        <w:t>034</w:t>
      </w:r>
      <w:r>
        <w:rPr>
          <w:rFonts w:hint="eastAsia" w:ascii="Times New Roman"/>
        </w:rPr>
        <w:t>号的要求制定。</w:t>
      </w:r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本标准由中国工程建设标准化协会提出并归口。</w:t>
      </w:r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本标准负责起草单位：</w:t>
      </w:r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本标准参加起草单位：</w:t>
      </w:r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本标准主要起草人：</w:t>
      </w:r>
      <w:bookmarkStart w:id="124" w:name="_GoBack"/>
      <w:bookmarkEnd w:id="124"/>
    </w:p>
    <w:p>
      <w:pPr>
        <w:pStyle w:val="18"/>
        <w:ind w:firstLine="31680"/>
        <w:rPr>
          <w:rFonts w:ascii="Times New Roman"/>
        </w:rPr>
        <w:sectPr>
          <w:headerReference r:id="rId3" w:type="default"/>
          <w:footerReference r:id="rId4" w:type="default"/>
          <w:pgSz w:w="11906" w:h="16838"/>
          <w:pgMar w:top="567" w:right="1134" w:bottom="1134" w:left="1418" w:header="1418" w:footer="1134" w:gutter="0"/>
          <w:pgNumType w:fmt="upperRoman" w:start="1"/>
          <w:cols w:space="720" w:num="1"/>
          <w:formProt w:val="0"/>
          <w:docGrid w:type="lines" w:linePitch="312" w:charSpace="0"/>
        </w:sectPr>
      </w:pPr>
    </w:p>
    <w:p>
      <w:pPr>
        <w:pStyle w:val="127"/>
        <w:spacing w:before="156" w:after="156"/>
        <w:rPr>
          <w:rFonts w:ascii="Times New Roman"/>
          <w:color w:val="000000"/>
        </w:rPr>
      </w:pPr>
      <w:bookmarkStart w:id="14" w:name="_Toc533518619"/>
      <w:r>
        <w:rPr>
          <w:rFonts w:hint="eastAsia" w:ascii="Times New Roman"/>
          <w:color w:val="000000"/>
        </w:rPr>
        <w:t>绿色建材评价标准</w:t>
      </w:r>
      <w:r>
        <w:rPr>
          <w:rFonts w:ascii="Times New Roman"/>
          <w:color w:val="000000"/>
        </w:rPr>
        <w:t xml:space="preserve"> </w:t>
      </w:r>
      <w:r>
        <w:rPr>
          <w:rFonts w:hint="eastAsia" w:ascii="Times New Roman"/>
          <w:color w:val="000000"/>
        </w:rPr>
        <w:t>工程修复材料</w:t>
      </w:r>
      <w:bookmarkEnd w:id="14"/>
    </w:p>
    <w:p>
      <w:pPr>
        <w:pStyle w:val="81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15" w:name="_Toc360436746"/>
      <w:bookmarkStart w:id="16" w:name="_Toc350863984"/>
      <w:bookmarkStart w:id="17" w:name="_Toc406486337"/>
      <w:bookmarkStart w:id="18" w:name="_Toc533518620"/>
      <w:bookmarkStart w:id="19" w:name="_Toc396134027"/>
      <w:bookmarkStart w:id="20" w:name="_Toc462063250"/>
      <w:bookmarkStart w:id="21" w:name="_Toc360436832"/>
      <w:bookmarkStart w:id="22" w:name="_Toc360632420"/>
      <w:r>
        <w:rPr>
          <w:rFonts w:hint="eastAsia" w:ascii="Times New Roman"/>
          <w:color w:val="000000"/>
        </w:rPr>
        <w:t>范围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>
      <w:pPr>
        <w:pStyle w:val="18"/>
        <w:ind w:firstLine="31680"/>
        <w:rPr>
          <w:rFonts w:ascii="Times New Roman"/>
          <w:szCs w:val="22"/>
        </w:rPr>
      </w:pPr>
      <w:bookmarkStart w:id="23" w:name="_Toc396134028"/>
      <w:bookmarkStart w:id="24" w:name="_Toc360436833"/>
      <w:bookmarkStart w:id="25" w:name="_Toc360436747"/>
      <w:bookmarkStart w:id="26" w:name="_Toc406486338"/>
      <w:bookmarkStart w:id="27" w:name="_Toc350863985"/>
      <w:bookmarkStart w:id="28" w:name="_Toc360632421"/>
      <w:r>
        <w:rPr>
          <w:rFonts w:hint="eastAsia" w:ascii="Times New Roman"/>
        </w:rPr>
        <w:t>本标准规定了工程修复材料绿色建材评价的术语和定义、评</w:t>
      </w:r>
      <w:r>
        <w:rPr>
          <w:rFonts w:hint="eastAsia" w:ascii="Times New Roman"/>
          <w:szCs w:val="22"/>
        </w:rPr>
        <w:t>价要求和评价方法。</w:t>
      </w:r>
    </w:p>
    <w:p>
      <w:pPr>
        <w:pStyle w:val="18"/>
        <w:ind w:firstLine="31680"/>
        <w:rPr>
          <w:rFonts w:ascii="Times New Roman"/>
          <w:szCs w:val="22"/>
        </w:rPr>
      </w:pPr>
      <w:r>
        <w:rPr>
          <w:rFonts w:hint="eastAsia" w:ascii="Times New Roman"/>
          <w:szCs w:val="22"/>
        </w:rPr>
        <w:t>本标准适用于工程修复材料的绿色建材评价。</w:t>
      </w:r>
    </w:p>
    <w:p>
      <w:pPr>
        <w:pStyle w:val="81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29" w:name="_Toc533518621"/>
      <w:bookmarkStart w:id="30" w:name="_Toc462063251"/>
      <w:r>
        <w:rPr>
          <w:rFonts w:hint="eastAsia" w:ascii="Times New Roman"/>
          <w:color w:val="000000"/>
        </w:rPr>
        <w:t>规范性引用文件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</w:p>
    <w:p>
      <w:pPr>
        <w:pStyle w:val="18"/>
        <w:ind w:firstLine="31680"/>
        <w:rPr>
          <w:rFonts w:ascii="Times New Roman"/>
          <w:bCs/>
        </w:rPr>
      </w:pPr>
      <w:bookmarkStart w:id="31" w:name="_Toc360632422"/>
      <w:bookmarkStart w:id="32" w:name="_Toc350863986"/>
      <w:bookmarkStart w:id="33" w:name="_Toc360436748"/>
      <w:bookmarkStart w:id="34" w:name="_Toc462063252"/>
      <w:bookmarkStart w:id="35" w:name="_Toc396134029"/>
      <w:bookmarkStart w:id="36" w:name="_Toc360436834"/>
      <w:bookmarkStart w:id="37" w:name="_Toc406486339"/>
      <w:r>
        <w:rPr>
          <w:rFonts w:hint="eastAsia" w:ascii="Times New Roman"/>
          <w:bCs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2589 </w:t>
      </w:r>
      <w:r>
        <w:rPr>
          <w:rFonts w:hint="eastAsia" w:ascii="Times New Roman"/>
          <w:szCs w:val="22"/>
        </w:rPr>
        <w:t>综合能耗计算通则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5085.3 </w:t>
      </w:r>
      <w:r>
        <w:rPr>
          <w:rFonts w:hint="eastAsia" w:ascii="Times New Roman"/>
          <w:szCs w:val="22"/>
        </w:rPr>
        <w:t>危险废物鉴别标准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浸出毒性鉴别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6566 </w:t>
      </w:r>
      <w:r>
        <w:rPr>
          <w:rFonts w:hint="eastAsia" w:ascii="Times New Roman"/>
          <w:szCs w:val="22"/>
        </w:rPr>
        <w:t>建筑材料放射性核素限量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8076-2008 </w:t>
      </w:r>
      <w:r>
        <w:rPr>
          <w:rFonts w:hint="eastAsia" w:ascii="Times New Roman"/>
          <w:szCs w:val="22"/>
        </w:rPr>
        <w:t>混凝土外加剂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"http://www.baidu.com/link?url=bxtGBO4X7xj2h6Etfk3n_AfViqbjLKjYpOC-M4fQ-ud_bNqDJFyVx5CCKCohocVfg8Q4VRSZdEKgAuUEkeVxpa" \t "_blank" </w:instrText>
      </w:r>
      <w:r>
        <w:fldChar w:fldCharType="separate"/>
      </w:r>
      <w:r>
        <w:rPr>
          <w:rFonts w:ascii="Times New Roman"/>
          <w:szCs w:val="22"/>
        </w:rPr>
        <w:t xml:space="preserve">GB 12007.7-1989 </w:t>
      </w:r>
      <w:r>
        <w:rPr>
          <w:rFonts w:hint="eastAsia" w:ascii="Times New Roman"/>
          <w:szCs w:val="22"/>
        </w:rPr>
        <w:t>环氧树脂凝胶时间测定方法</w:t>
      </w:r>
      <w:r>
        <w:rPr>
          <w:rFonts w:hint="eastAsia" w:ascii="Times New Roman"/>
          <w:szCs w:val="22"/>
        </w:rPr>
        <w:fldChar w:fldCharType="end"/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14902 </w:t>
      </w:r>
      <w:r>
        <w:rPr>
          <w:rFonts w:hint="eastAsia" w:ascii="Times New Roman"/>
          <w:szCs w:val="22"/>
        </w:rPr>
        <w:t>预拌混凝土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16297 </w:t>
      </w:r>
      <w:r>
        <w:rPr>
          <w:rFonts w:hint="eastAsia" w:ascii="Times New Roman"/>
          <w:szCs w:val="22"/>
        </w:rPr>
        <w:t>大气污染物综合排放标准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18445 </w:t>
      </w:r>
      <w:r>
        <w:rPr>
          <w:rFonts w:hint="eastAsia" w:ascii="Times New Roman"/>
          <w:szCs w:val="22"/>
        </w:rPr>
        <w:t>水泥基渗透结晶型防水材料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18597 </w:t>
      </w:r>
      <w:r>
        <w:rPr>
          <w:rFonts w:hint="eastAsia" w:ascii="Times New Roman"/>
          <w:szCs w:val="22"/>
        </w:rPr>
        <w:t>危险废物贮存污染控制标准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18599 </w:t>
      </w:r>
      <w:r>
        <w:rPr>
          <w:rFonts w:hint="eastAsia" w:ascii="Times New Roman"/>
          <w:szCs w:val="22"/>
        </w:rPr>
        <w:t>一般工业固体废物贮存、处置场污染控制标准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19001 </w:t>
      </w:r>
      <w:r>
        <w:rPr>
          <w:rFonts w:hint="eastAsia" w:ascii="Times New Roman"/>
          <w:szCs w:val="22"/>
        </w:rPr>
        <w:t>质量管理体系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要求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23331 </w:t>
      </w:r>
      <w:r>
        <w:rPr>
          <w:rFonts w:hint="eastAsia" w:ascii="Times New Roman"/>
          <w:szCs w:val="22"/>
        </w:rPr>
        <w:t>能源管理体系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要求及使用指南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24001 </w:t>
      </w:r>
      <w:r>
        <w:rPr>
          <w:rFonts w:hint="eastAsia" w:ascii="Times New Roman"/>
          <w:szCs w:val="22"/>
        </w:rPr>
        <w:t>环境管理体系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要求及使用指南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24025  </w:t>
      </w:r>
      <w:r>
        <w:rPr>
          <w:rFonts w:hint="eastAsia" w:ascii="Times New Roman"/>
          <w:szCs w:val="22"/>
        </w:rPr>
        <w:t>环境标志和声明</w:t>
      </w:r>
      <w:r>
        <w:rPr>
          <w:rFonts w:ascii="Times New Roman"/>
          <w:szCs w:val="22"/>
        </w:rPr>
        <w:t xml:space="preserve"> III</w:t>
      </w:r>
      <w:r>
        <w:rPr>
          <w:rFonts w:hint="eastAsia" w:ascii="Times New Roman"/>
          <w:szCs w:val="22"/>
        </w:rPr>
        <w:t>型环境声明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原则和程序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GBT 25181 </w:t>
      </w:r>
      <w:r>
        <w:rPr>
          <w:rFonts w:hint="eastAsia" w:ascii="Times New Roman"/>
          <w:szCs w:val="22"/>
        </w:rPr>
        <w:t>预拌砂浆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28001 </w:t>
      </w:r>
      <w:r>
        <w:rPr>
          <w:rFonts w:hint="eastAsia" w:ascii="Times New Roman"/>
          <w:szCs w:val="22"/>
        </w:rPr>
        <w:t>职业健康安全管理体系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要求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35609 </w:t>
      </w:r>
      <w:r>
        <w:rPr>
          <w:rFonts w:hint="eastAsia" w:ascii="Times New Roman"/>
          <w:szCs w:val="22"/>
        </w:rPr>
        <w:t>绿色产品评价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防水与密封材料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"http://www.baidu.com/link?url=3A9yNr3qTOrUgJvu_AbrwpCkxzDMGUmguSon96gV3kenYj9I7napUJWx35wZRc_NZxVJ7q48CRezJnOb7TikFa" </w:instrText>
      </w:r>
      <w:r>
        <w:fldChar w:fldCharType="separate"/>
      </w:r>
      <w:r>
        <w:rPr>
          <w:rFonts w:ascii="Times New Roman"/>
          <w:szCs w:val="22"/>
        </w:rPr>
        <w:t xml:space="preserve">GB 36888 </w:t>
      </w:r>
      <w:r>
        <w:rPr>
          <w:rFonts w:hint="eastAsia" w:ascii="Times New Roman"/>
          <w:szCs w:val="22"/>
        </w:rPr>
        <w:t>预拌混凝土单位产品能源消耗限额</w:t>
      </w:r>
      <w:r>
        <w:rPr>
          <w:rFonts w:hint="eastAsia" w:ascii="Times New Roman"/>
          <w:szCs w:val="22"/>
        </w:rPr>
        <w:fldChar w:fldCharType="end"/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50081 </w:t>
      </w:r>
      <w:r>
        <w:rPr>
          <w:rFonts w:hint="eastAsia" w:ascii="Times New Roman"/>
          <w:szCs w:val="22"/>
        </w:rPr>
        <w:t>普通混凝土力学性能试验方法标准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50082 </w:t>
      </w:r>
      <w:r>
        <w:rPr>
          <w:rFonts w:hint="eastAsia" w:ascii="Times New Roman"/>
          <w:szCs w:val="22"/>
        </w:rPr>
        <w:t>普通混凝土长期性能和耐久性能试验方法标准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50176 </w:t>
      </w:r>
      <w:r>
        <w:rPr>
          <w:rFonts w:hint="eastAsia" w:ascii="Times New Roman"/>
          <w:szCs w:val="22"/>
        </w:rPr>
        <w:t>民用建筑热工设计规范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HJ/T 412 </w:t>
      </w:r>
      <w:r>
        <w:rPr>
          <w:rFonts w:hint="eastAsia" w:ascii="Times New Roman"/>
          <w:szCs w:val="22"/>
        </w:rPr>
        <w:t>环境标志产品技术要求</w:t>
      </w:r>
      <w:r>
        <w:rPr>
          <w:rFonts w:ascii="Times New Roman"/>
          <w:szCs w:val="22"/>
        </w:rPr>
        <w:t> </w:t>
      </w:r>
      <w:r>
        <w:rPr>
          <w:rFonts w:hint="eastAsia" w:ascii="Times New Roman"/>
          <w:szCs w:val="22"/>
        </w:rPr>
        <w:t>预拌混凝土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HJ 456 </w:t>
      </w:r>
      <w:r>
        <w:rPr>
          <w:rFonts w:hint="eastAsia" w:ascii="Times New Roman"/>
          <w:szCs w:val="22"/>
        </w:rPr>
        <w:t>环境标志产品技术要求刚性防水材料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"http://www.baidu.com/link?url=gM92wxhzi6vtdRTJavoRtBmwWGznP8zMCtZxLteegOu-cOVixYsXffNuvZnAYD1LSHF1syCedGlQLKzLj0xcAa" </w:instrText>
      </w:r>
      <w:r>
        <w:fldChar w:fldCharType="separate"/>
      </w:r>
      <w:r>
        <w:rPr>
          <w:rFonts w:ascii="Times New Roman"/>
          <w:szCs w:val="22"/>
        </w:rPr>
        <w:t xml:space="preserve">JC 474 </w:t>
      </w:r>
      <w:r>
        <w:rPr>
          <w:rFonts w:hint="eastAsia" w:ascii="Times New Roman"/>
          <w:szCs w:val="22"/>
        </w:rPr>
        <w:t>砂浆、混凝土防水剂</w:t>
      </w:r>
      <w:r>
        <w:rPr>
          <w:rFonts w:hint="eastAsia" w:ascii="Times New Roman"/>
          <w:szCs w:val="22"/>
        </w:rPr>
        <w:fldChar w:fldCharType="end"/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JC/T 907 </w:t>
      </w:r>
      <w:r>
        <w:rPr>
          <w:rFonts w:hint="eastAsia" w:ascii="Times New Roman"/>
          <w:szCs w:val="22"/>
        </w:rPr>
        <w:t>混凝土界面处理剂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JGJ/T 70 </w:t>
      </w:r>
      <w:r>
        <w:rPr>
          <w:rFonts w:hint="eastAsia" w:ascii="Times New Roman"/>
          <w:szCs w:val="22"/>
        </w:rPr>
        <w:t>建筑砂浆基本性能试验方法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JGJ/T 193 </w:t>
      </w:r>
      <w:r>
        <w:rPr>
          <w:rFonts w:hint="eastAsia" w:ascii="Times New Roman"/>
          <w:szCs w:val="22"/>
        </w:rPr>
        <w:t>混凝土耐久性检验评定标准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"http://www.baidu.com/link?url=kOtoSLUpQSPK6miefFPfg569h9z9fryfEh44murOLnaM70IpyPZ4cunYI7E0q5mQ" \t "_blank" </w:instrText>
      </w:r>
      <w:r>
        <w:fldChar w:fldCharType="separate"/>
      </w:r>
      <w:r>
        <w:rPr>
          <w:rFonts w:ascii="Times New Roman"/>
          <w:szCs w:val="22"/>
        </w:rPr>
        <w:t xml:space="preserve">JGJ /T 221 </w:t>
      </w:r>
      <w:r>
        <w:rPr>
          <w:rFonts w:hint="eastAsia" w:ascii="Times New Roman"/>
          <w:szCs w:val="22"/>
        </w:rPr>
        <w:t>纤维混凝土应用技术规程</w:t>
      </w:r>
      <w:r>
        <w:rPr>
          <w:rFonts w:hint="eastAsia" w:ascii="Times New Roman"/>
          <w:szCs w:val="22"/>
        </w:rPr>
        <w:fldChar w:fldCharType="end"/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"http://www.baidu.com/link?url=eV_2UQpE8Q_SPVYcEyO55ONLFqidGirqHNiTMO1t6LEMAiw-g_cnPxLRppjOvN8NteUv5c6ZVrOg4g1Zidg_yK" \t "_blank" </w:instrText>
      </w:r>
      <w:r>
        <w:fldChar w:fldCharType="separate"/>
      </w:r>
      <w:r>
        <w:rPr>
          <w:rFonts w:ascii="Times New Roman"/>
          <w:szCs w:val="22"/>
        </w:rPr>
        <w:t>JGJ/T 283 </w:t>
      </w:r>
      <w:r>
        <w:rPr>
          <w:rFonts w:hint="eastAsia" w:ascii="Times New Roman"/>
          <w:szCs w:val="22"/>
        </w:rPr>
        <w:t>自密实混凝土应用技术规程</w:t>
      </w:r>
      <w:r>
        <w:rPr>
          <w:rFonts w:hint="eastAsia" w:ascii="Times New Roman"/>
          <w:szCs w:val="22"/>
        </w:rPr>
        <w:fldChar w:fldCharType="end"/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JG/T 333 </w:t>
      </w:r>
      <w:r>
        <w:rPr>
          <w:rFonts w:hint="eastAsia" w:ascii="Times New Roman"/>
          <w:szCs w:val="22"/>
        </w:rPr>
        <w:t>混凝土裂缝修补灌浆材料技术条件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JG/T 336 </w:t>
      </w:r>
      <w:r>
        <w:rPr>
          <w:rFonts w:hint="eastAsia" w:ascii="Times New Roman"/>
          <w:szCs w:val="22"/>
        </w:rPr>
        <w:t>混凝土结构修复用聚合物水泥砂浆</w:t>
      </w:r>
    </w:p>
    <w:p>
      <w:pPr>
        <w:pStyle w:val="18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"http://www.baidu.com/link?url=_2yJLO8W6XTqWNEFeJnvkv2ACnnbZzWNNw9x99-ncoTDdi3n8XDOWklH1ZDjnaZwSRPFwZALqGFzXgouDSKAO_" \t "_blank" </w:instrText>
      </w:r>
      <w:r>
        <w:fldChar w:fldCharType="separate"/>
      </w:r>
      <w:r>
        <w:rPr>
          <w:rFonts w:ascii="Times New Roman"/>
          <w:szCs w:val="22"/>
        </w:rPr>
        <w:t>JT/T 1211.1 </w:t>
      </w:r>
      <w:r>
        <w:rPr>
          <w:rFonts w:hint="eastAsia" w:ascii="Times New Roman"/>
          <w:szCs w:val="22"/>
        </w:rPr>
        <w:t>公路工程水泥混凝土用快速修补材料</w:t>
      </w:r>
      <w:r>
        <w:rPr>
          <w:rFonts w:ascii="Times New Roman"/>
          <w:szCs w:val="22"/>
        </w:rPr>
        <w:t> </w:t>
      </w:r>
      <w:r>
        <w:rPr>
          <w:rFonts w:ascii="Times New Roman"/>
          <w:szCs w:val="22"/>
        </w:rPr>
        <w:fldChar w:fldCharType="end"/>
      </w:r>
      <w:r>
        <w:rPr>
          <w:rFonts w:hint="eastAsia" w:ascii="Times New Roman"/>
          <w:szCs w:val="22"/>
        </w:rPr>
        <w:t>第一部分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水泥基修补材料</w:t>
      </w:r>
    </w:p>
    <w:p>
      <w:pPr>
        <w:pStyle w:val="81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38" w:name="_Toc533518622"/>
      <w:r>
        <w:rPr>
          <w:rFonts w:hint="eastAsia" w:ascii="Times New Roman"/>
          <w:color w:val="000000"/>
        </w:rPr>
        <w:t>术语和定义</w:t>
      </w:r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>
      <w:pPr>
        <w:pStyle w:val="18"/>
        <w:ind w:firstLine="31680"/>
        <w:rPr>
          <w:rFonts w:ascii="Times New Roman"/>
          <w:color w:val="000000"/>
        </w:rPr>
      </w:pPr>
      <w:r>
        <w:rPr>
          <w:rFonts w:hint="eastAsia" w:ascii="Times New Roman"/>
          <w:color w:val="000000"/>
        </w:rPr>
        <w:t>下列术语和定义适用于本文件。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bookmarkStart w:id="39" w:name="_Toc408495873"/>
      <w:bookmarkStart w:id="40" w:name="_Toc360632654"/>
      <w:bookmarkStart w:id="41" w:name="_Toc462063253"/>
      <w:bookmarkStart w:id="42" w:name="_Toc397433558"/>
      <w:bookmarkStart w:id="43" w:name="_Toc533518623"/>
      <w:bookmarkStart w:id="44" w:name="_Toc406486340"/>
      <w:bookmarkStart w:id="45" w:name="_Toc360436835"/>
      <w:bookmarkStart w:id="46" w:name="_Toc360632423"/>
      <w:bookmarkStart w:id="47" w:name="_Toc360436749"/>
      <w:bookmarkStart w:id="48" w:name="_Toc350863987"/>
      <w:bookmarkStart w:id="49" w:name="_Toc406143963"/>
      <w:bookmarkStart w:id="50" w:name="_Toc396134030"/>
      <w:bookmarkStart w:id="51" w:name="_Toc397348586"/>
      <w:bookmarkStart w:id="52" w:name="_Toc396118199"/>
      <w:bookmarkStart w:id="53" w:name="_Toc384816546"/>
      <w:bookmarkStart w:id="54" w:name="_Toc6509"/>
      <w:r>
        <w:rPr>
          <w:rFonts w:ascii="Times New Roman"/>
          <w:color w:val="000000"/>
        </w:rPr>
        <w:t>3.1</w:t>
      </w:r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r>
        <w:rPr>
          <w:rFonts w:ascii="Times New Roman"/>
          <w:color w:val="000000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z w:val="24"/>
        </w:rPr>
      </w:pPr>
      <w:r>
        <w:rPr>
          <w:rFonts w:hint="eastAsia" w:eastAsia="黑体"/>
        </w:rPr>
        <w:t>绿色建材</w:t>
      </w:r>
      <w:r>
        <w:rPr>
          <w:rFonts w:eastAsia="黑体"/>
        </w:rPr>
        <w:t xml:space="preserve">  green building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ascii="宋体"/>
          <w:kern w:val="0"/>
          <w:szCs w:val="20"/>
        </w:rPr>
      </w:pPr>
      <w:r>
        <w:rPr>
          <w:rFonts w:hint="eastAsia"/>
          <w:kern w:val="0"/>
          <w:szCs w:val="20"/>
        </w:rPr>
        <w:t>在全生命周期内可减少对天然资源消耗和减轻对生态环境影响，具有</w:t>
      </w:r>
      <w:r>
        <w:rPr>
          <w:rFonts w:hint="eastAsia" w:ascii="宋体"/>
          <w:kern w:val="0"/>
          <w:szCs w:val="20"/>
        </w:rPr>
        <w:t>“</w:t>
      </w:r>
      <w:r>
        <w:rPr>
          <w:rFonts w:hint="eastAsia" w:ascii="宋体" w:hAnsi="宋体"/>
          <w:kern w:val="0"/>
          <w:szCs w:val="20"/>
        </w:rPr>
        <w:t>节能、减排、安全、便利和可循环</w:t>
      </w:r>
      <w:r>
        <w:rPr>
          <w:rFonts w:hint="eastAsia" w:ascii="宋体"/>
          <w:kern w:val="0"/>
          <w:szCs w:val="20"/>
        </w:rPr>
        <w:t>”</w:t>
      </w:r>
      <w:r>
        <w:rPr>
          <w:rFonts w:hint="eastAsia" w:ascii="宋体" w:hAnsi="宋体"/>
          <w:kern w:val="0"/>
          <w:szCs w:val="20"/>
        </w:rPr>
        <w:t>特征的建材产品。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bookmarkStart w:id="55" w:name="_Toc533518624"/>
      <w:r>
        <w:rPr>
          <w:rFonts w:ascii="Times New Roman"/>
        </w:rPr>
        <w:t>3.2</w:t>
      </w:r>
      <w:bookmarkEnd w:id="55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绿色建材评价</w:t>
      </w:r>
      <w:r>
        <w:rPr>
          <w:rFonts w:eastAsia="黑体"/>
        </w:rPr>
        <w:t xml:space="preserve"> green building material</w:t>
      </w:r>
      <w:r>
        <w:rPr>
          <w:sz w:val="24"/>
        </w:rPr>
        <w:t xml:space="preserve"> </w:t>
      </w:r>
      <w:r>
        <w:rPr>
          <w:rFonts w:eastAsia="黑体"/>
        </w:rPr>
        <w:t xml:space="preserve">assessment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依据绿色建材评价技术标准，按照程序和要求对申请开展评价的建材产品进行评价，确认其等级的活动。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bookmarkStart w:id="56" w:name="_Toc533518625"/>
      <w:r>
        <w:rPr>
          <w:rFonts w:ascii="Times New Roman"/>
        </w:rPr>
        <w:t>3.3</w:t>
      </w:r>
      <w:bookmarkEnd w:id="56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评价等级</w:t>
      </w:r>
      <w:r>
        <w:rPr>
          <w:rFonts w:eastAsia="黑体"/>
        </w:rPr>
        <w:t xml:space="preserve"> assessment level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产品评价结果所达到的绿色建材级别，由低到高分为一星级、二星级和三星级。</w:t>
      </w:r>
    </w:p>
    <w:bookmarkEnd w:id="54"/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bookmarkStart w:id="57" w:name="_Toc397433559"/>
      <w:bookmarkStart w:id="58" w:name="_Toc396118200"/>
      <w:bookmarkStart w:id="59" w:name="_Toc360436750"/>
      <w:bookmarkStart w:id="60" w:name="_Toc408495874"/>
      <w:bookmarkStart w:id="61" w:name="_Toc384816547"/>
      <w:bookmarkStart w:id="62" w:name="_Toc406486341"/>
      <w:bookmarkStart w:id="63" w:name="_Toc360632655"/>
      <w:bookmarkStart w:id="64" w:name="_Toc406143964"/>
      <w:bookmarkStart w:id="65" w:name="_Toc397348587"/>
      <w:bookmarkStart w:id="66" w:name="_Toc350863988"/>
      <w:bookmarkStart w:id="67" w:name="_Toc360436836"/>
      <w:bookmarkStart w:id="68" w:name="_Toc396134031"/>
      <w:bookmarkStart w:id="69" w:name="_Toc462063255"/>
      <w:bookmarkStart w:id="70" w:name="_Toc360632424"/>
      <w:bookmarkStart w:id="71" w:name="_Toc533518626"/>
      <w:bookmarkStart w:id="72" w:name="_Toc16661"/>
      <w:r>
        <w:rPr>
          <w:rFonts w:ascii="Times New Roman"/>
          <w:color w:val="000000"/>
        </w:rPr>
        <w:t>3.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Start w:id="73" w:name="_Toc350863991"/>
      <w:bookmarkStart w:id="74" w:name="OLE_LINK6"/>
      <w:bookmarkStart w:id="75" w:name="_Toc397348590"/>
      <w:bookmarkStart w:id="76" w:name="_Toc397433562"/>
      <w:bookmarkStart w:id="77" w:name="_Toc396118203"/>
      <w:bookmarkStart w:id="78" w:name="_Toc363024794"/>
      <w:bookmarkStart w:id="79" w:name="_Toc382580630"/>
      <w:bookmarkStart w:id="80" w:name="_Toc406143967"/>
      <w:bookmarkStart w:id="81" w:name="_Toc384816550"/>
      <w:bookmarkStart w:id="82" w:name="OLE_LINK5"/>
      <w:bookmarkStart w:id="83" w:name="_Toc396134034"/>
      <w:r>
        <w:rPr>
          <w:rFonts w:ascii="Times New Roman"/>
          <w:color w:val="000000"/>
        </w:rPr>
        <w:t>4</w:t>
      </w:r>
      <w:bookmarkEnd w:id="71"/>
    </w:p>
    <w:bookmarkEnd w:id="72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环境产品声明</w:t>
      </w:r>
      <w:r>
        <w:rPr>
          <w:rFonts w:eastAsia="黑体"/>
        </w:rPr>
        <w:t xml:space="preserve"> environmental product declaration</w:t>
      </w:r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提供基于预设参数的量化环境数据的环境声明，必要时包括附加环境信息。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bookmarkStart w:id="84" w:name="_Toc408495875"/>
      <w:bookmarkStart w:id="85" w:name="_Toc462063256"/>
      <w:bookmarkStart w:id="86" w:name="_Toc533518627"/>
      <w:bookmarkStart w:id="87" w:name="_Toc30452"/>
      <w:r>
        <w:rPr>
          <w:rFonts w:ascii="Times New Roman"/>
          <w:color w:val="000000"/>
        </w:rPr>
        <w:t>3.</w:t>
      </w:r>
      <w:bookmarkEnd w:id="84"/>
      <w:bookmarkEnd w:id="85"/>
      <w:r>
        <w:rPr>
          <w:rFonts w:ascii="Times New Roman"/>
          <w:color w:val="000000"/>
        </w:rPr>
        <w:t>5</w:t>
      </w:r>
      <w:bookmarkEnd w:id="86"/>
    </w:p>
    <w:bookmarkEnd w:id="87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碳足迹</w:t>
      </w:r>
      <w:r>
        <w:rPr>
          <w:rFonts w:eastAsia="黑体"/>
        </w:rPr>
        <w:t xml:space="preserve">  </w:t>
      </w:r>
      <w:r>
        <w:fldChar w:fldCharType="begin"/>
      </w:r>
      <w:r>
        <w:instrText xml:space="preserve"> HYPERLINK "http://www.baidu.com/link?url=NM-sDc8vF8f6LBJJjre3x3OgH29MNSR7nUOi6mno3-iVlHb3Zlvs9wTbxnKcKC6gPud9_XI7Qg3qobY6J2p3_MuxwSugBbZWQE3OggbMvUq" \t "https://www.baidu.com/_blank" </w:instrText>
      </w:r>
      <w:r>
        <w:fldChar w:fldCharType="separate"/>
      </w:r>
      <w:r>
        <w:rPr>
          <w:rFonts w:eastAsia="黑体"/>
        </w:rPr>
        <w:t>carbon footprint</w:t>
      </w:r>
      <w:r>
        <w:rPr>
          <w:rFonts w:eastAsia="黑体"/>
        </w:rPr>
        <w:fldChar w:fldCharType="end"/>
      </w:r>
    </w:p>
    <w:p>
      <w:pPr>
        <w:spacing w:line="30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用以量化过程、过程系统或产品系统温室气体排放的参数，以表现它们对气候变化的贡献。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r>
        <w:rPr>
          <w:rFonts w:ascii="Times New Roman"/>
          <w:color w:val="000000"/>
        </w:rPr>
        <w:t>3.6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工程修复材料</w:t>
      </w:r>
      <w:r>
        <w:rPr>
          <w:rFonts w:eastAsia="黑体"/>
        </w:rPr>
        <w:t xml:space="preserve"> Engineering restoring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</w:pPr>
      <w:r>
        <w:rPr>
          <w:rFonts w:hint="eastAsia"/>
          <w:shd w:val="clear" w:color="auto" w:fill="FFFFFF"/>
        </w:rPr>
        <w:t>用于混凝土工程修复的，恢复工程功能、延长其使用寿命的材料</w:t>
      </w:r>
      <w:r>
        <w:rPr>
          <w:rFonts w:hint="eastAsia"/>
        </w:rPr>
        <w:t>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r>
        <w:rPr>
          <w:rFonts w:ascii="Times New Roman"/>
        </w:rPr>
        <w:t>3.7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水泥基修复材料</w:t>
      </w:r>
      <w:r>
        <w:rPr>
          <w:rFonts w:eastAsia="黑体"/>
        </w:rPr>
        <w:t xml:space="preserve"> cement-based repairing materials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由水泥、矿物掺合料、骨料、外加剂等按适当比例组成，经加水搅拌、成型、养护制得的，用于建、构筑物修复用的水泥基材料。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r>
        <w:rPr>
          <w:rFonts w:ascii="Times New Roman"/>
        </w:rPr>
        <w:t>3.8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聚合物水泥混凝土</w:t>
      </w:r>
      <w:r>
        <w:rPr>
          <w:rFonts w:eastAsia="黑体"/>
        </w:rPr>
        <w:t xml:space="preserve"> polymer-modified cement concrete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以水泥、细骨料、粗骨料为主要组分，以聚合物乳液或可再分散乳胶粉为改性剂，添加适量助剂按适当比例配制而成的用于建、构筑物修复用的混凝土。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r>
        <w:rPr>
          <w:rFonts w:ascii="Times New Roman"/>
        </w:rPr>
        <w:t>3.9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聚合物水泥砂浆</w:t>
      </w:r>
      <w:r>
        <w:rPr>
          <w:rFonts w:eastAsia="黑体"/>
        </w:rPr>
        <w:t xml:space="preserve"> polymer-modified cement mortar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以水泥、细骨料为主要组分，以聚合物乳液或可再分散乳胶粉为改性剂，添加适量助剂按适当比例配制而成的用于建、构筑物修复用的砂浆。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r>
        <w:rPr>
          <w:rFonts w:ascii="Times New Roman"/>
        </w:rPr>
        <w:t>3.10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聚合物快速修复材料</w:t>
      </w:r>
      <w:r>
        <w:rPr>
          <w:rFonts w:eastAsia="黑体"/>
        </w:rPr>
        <w:t xml:space="preserve"> polymer-modified rapid repairing materials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由聚合物树脂、骨料、填料、助剂等按适当比例配制而成，适用于快速修补水泥混凝土表面病害或结构破损的材料。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r>
        <w:rPr>
          <w:rFonts w:ascii="Times New Roman"/>
          <w:color w:val="000000"/>
        </w:rPr>
        <w:t>3.11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高延性纤维增强水泥基复合材料</w:t>
      </w:r>
      <w:r>
        <w:rPr>
          <w:rFonts w:eastAsia="黑体"/>
        </w:rPr>
        <w:t xml:space="preserve"> engineered cementitious composites</w:t>
      </w:r>
      <w:r>
        <w:rPr>
          <w:rFonts w:hint="eastAsia" w:eastAsia="黑体"/>
        </w:rPr>
        <w:t>，</w:t>
      </w:r>
      <w:r>
        <w:rPr>
          <w:rFonts w:eastAsia="黑体"/>
        </w:rPr>
        <w:t>ECC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是一种以纤维作为增强材料，以水泥、矿物掺合料、骨料和混凝土外加剂为基体原材料，经加水搅拌、成型、养护制得的，在拉伸荷载下具有多缝开裂特性的复合增强材料。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r>
        <w:rPr>
          <w:rFonts w:ascii="Times New Roman"/>
          <w:color w:val="000000"/>
        </w:rPr>
        <w:t>3.12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水泥基渗透结晶型防水涂料</w:t>
      </w:r>
      <w:r>
        <w:rPr>
          <w:rFonts w:eastAsia="黑体"/>
        </w:rPr>
        <w:t xml:space="preserve"> capillary crystalline waterproofing materials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一种用于水泥混凝土的刚性防水涂料。其与水作用后，材料中含有的活性化学物质以水为载体向混凝土内部渗透，与水泥水化产物生成不溶于水的针状结晶体，填塞毛细孔道和微细缝隙，从而提高混凝土致密性的防水防护涂料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r>
        <w:rPr>
          <w:rFonts w:ascii="Times New Roman"/>
          <w:color w:val="000000"/>
        </w:rPr>
        <w:t>3.13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无机水性渗透结晶型材料</w:t>
      </w:r>
      <w:r>
        <w:rPr>
          <w:rFonts w:eastAsia="黑体"/>
        </w:rPr>
        <w:t xml:space="preserve"> capillary crystalline waterproofing materials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以碱金属硅酸盐溶液为基料，加入催化剂、表面活性剂、稳定剂等，经混合反应而成的无机透明液体，活性粒子粒径达到纳米级别，材料具有优异的渗透性，渗透至混凝土内部与水泥水化产物生成不溶于水的结晶体，填塞毛细孔道和微细缝隙，从而提高混凝土致密性的无机水性防水防护涂料。</w:t>
      </w:r>
    </w:p>
    <w:p>
      <w:pPr>
        <w:pStyle w:val="81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  <w:szCs w:val="21"/>
        </w:rPr>
      </w:pPr>
      <w:r>
        <w:rPr>
          <w:rFonts w:ascii="Times New Roman"/>
          <w:color w:val="000000"/>
          <w:szCs w:val="21"/>
        </w:rPr>
        <w:t>3.14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  <w:szCs w:val="21"/>
        </w:rPr>
      </w:pPr>
      <w:r>
        <w:rPr>
          <w:rFonts w:hint="eastAsia" w:eastAsia="黑体"/>
          <w:szCs w:val="21"/>
        </w:rPr>
        <w:t>界面处理材料</w:t>
      </w:r>
      <w:r>
        <w:rPr>
          <w:rFonts w:eastAsia="黑体"/>
          <w:szCs w:val="21"/>
        </w:rPr>
        <w:t xml:space="preserve"> interfacial bonding agent</w:t>
      </w:r>
    </w:p>
    <w:p>
      <w:pPr>
        <w:pStyle w:val="18"/>
        <w:ind w:firstLine="31680"/>
        <w:rPr>
          <w:rFonts w:ascii="Times New Roman"/>
          <w:szCs w:val="21"/>
        </w:rPr>
      </w:pPr>
      <w:r>
        <w:rPr>
          <w:rFonts w:hint="eastAsia" w:ascii="Times New Roman"/>
          <w:szCs w:val="21"/>
        </w:rPr>
        <w:t>用于混凝土修复区域界面处，增强相互粘结力的材料。</w:t>
      </w:r>
    </w:p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p>
      <w:pPr>
        <w:pStyle w:val="81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88" w:name="_Toc462063257"/>
      <w:bookmarkStart w:id="89" w:name="_Toc533518629"/>
      <w:bookmarkStart w:id="90" w:name="_Toc406486353"/>
      <w:r>
        <w:rPr>
          <w:rFonts w:hint="eastAsia" w:ascii="Times New Roman"/>
          <w:color w:val="000000"/>
        </w:rPr>
        <w:t>评价要求</w:t>
      </w:r>
      <w:bookmarkEnd w:id="88"/>
      <w:bookmarkEnd w:id="89"/>
      <w:bookmarkEnd w:id="90"/>
    </w:p>
    <w:p>
      <w:pPr>
        <w:widowControl/>
        <w:spacing w:beforeLines="50" w:afterLines="50"/>
        <w:jc w:val="left"/>
        <w:outlineLvl w:val="2"/>
        <w:rPr>
          <w:rFonts w:eastAsia="黑体"/>
          <w:color w:val="000000"/>
          <w:kern w:val="0"/>
        </w:rPr>
      </w:pPr>
      <w:r>
        <w:rPr>
          <w:rFonts w:eastAsia="黑体"/>
          <w:color w:val="000000"/>
          <w:kern w:val="0"/>
        </w:rPr>
        <w:t xml:space="preserve">4.1 </w:t>
      </w:r>
      <w:r>
        <w:rPr>
          <w:rFonts w:hint="eastAsia" w:eastAsia="黑体"/>
          <w:color w:val="000000"/>
          <w:kern w:val="0"/>
        </w:rPr>
        <w:t>产品分类</w:t>
      </w:r>
    </w:p>
    <w:p>
      <w:pPr>
        <w:widowControl/>
        <w:spacing w:beforeLines="50" w:afterLines="50"/>
        <w:jc w:val="left"/>
        <w:outlineLvl w:val="2"/>
        <w:rPr>
          <w:b/>
        </w:rPr>
      </w:pPr>
      <w:r>
        <w:t xml:space="preserve">4.1.1  </w:t>
      </w:r>
      <w:r>
        <w:rPr>
          <w:rFonts w:hint="eastAsia"/>
        </w:rPr>
        <w:t>适用于本标准的工程修复材料可按表</w:t>
      </w:r>
      <w:r>
        <w:t>1</w:t>
      </w:r>
      <w:r>
        <w:rPr>
          <w:rFonts w:hint="eastAsia"/>
        </w:rPr>
        <w:t>进行分类。表</w:t>
      </w:r>
      <w:r>
        <w:t>1</w:t>
      </w:r>
      <w:r>
        <w:rPr>
          <w:rFonts w:hint="eastAsia"/>
        </w:rPr>
        <w:t>中的三级分类包含但不限于表中产品。</w:t>
      </w:r>
    </w:p>
    <w:p>
      <w:pPr>
        <w:widowControl/>
        <w:spacing w:beforeLines="50" w:afterLines="50"/>
        <w:jc w:val="center"/>
        <w:outlineLvl w:val="2"/>
        <w:rPr>
          <w:b/>
        </w:rPr>
      </w:pPr>
      <w:r>
        <w:rPr>
          <w:rFonts w:hint="eastAsia"/>
          <w:b/>
        </w:rPr>
        <w:t>表</w:t>
      </w:r>
      <w:r>
        <w:rPr>
          <w:b/>
        </w:rPr>
        <w:t xml:space="preserve">1 </w:t>
      </w:r>
      <w:r>
        <w:rPr>
          <w:rFonts w:hint="eastAsia"/>
          <w:b/>
        </w:rPr>
        <w:t>产品分类</w:t>
      </w:r>
    </w:p>
    <w:tbl>
      <w:tblPr>
        <w:tblStyle w:val="24"/>
        <w:tblW w:w="957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1"/>
        <w:gridCol w:w="3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一级分类</w:t>
            </w:r>
          </w:p>
        </w:tc>
        <w:tc>
          <w:tcPr>
            <w:tcW w:w="3191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二级分类</w:t>
            </w:r>
          </w:p>
        </w:tc>
        <w:tc>
          <w:tcPr>
            <w:tcW w:w="3189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三级分类</w:t>
            </w:r>
            <w:r>
              <w:rPr>
                <w:sz w:val="18"/>
              </w:rPr>
              <w:t>(</w:t>
            </w:r>
            <w:r>
              <w:rPr>
                <w:rFonts w:hint="eastAsia"/>
                <w:sz w:val="18"/>
              </w:rPr>
              <w:t>包含但不限于</w:t>
            </w:r>
            <w:r>
              <w:rPr>
                <w:sz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水泥基修复材料</w:t>
            </w:r>
          </w:p>
        </w:tc>
        <w:tc>
          <w:tcPr>
            <w:tcW w:w="3191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水泥混凝土类</w:t>
            </w: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自密实混凝土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纤维混凝土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水泥基快速修补混凝土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restart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水泥砂浆类</w:t>
            </w: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水泥基加固灌浆料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高延性纤维增强水泥基复合材料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水泥基快速修补砂浆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水泥基涂料类</w:t>
            </w:r>
          </w:p>
        </w:tc>
        <w:tc>
          <w:tcPr>
            <w:tcW w:w="3189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水泥基渗透结晶型防水涂料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聚合物修复材料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聚合物改性混凝土类</w:t>
            </w: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聚合物水泥混凝土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聚合物改性砂浆类</w:t>
            </w: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聚合物水泥砂浆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聚合物树脂快速修补材料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聚合物灌浆料</w:t>
            </w: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环氧灌浆料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聚氨酯灌浆料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丙烯酸盐灌浆料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无机水性渗透修复材料</w:t>
            </w:r>
          </w:p>
        </w:tc>
        <w:tc>
          <w:tcPr>
            <w:tcW w:w="3191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3189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无机水性渗透结晶型材料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辅助用材料</w:t>
            </w:r>
          </w:p>
        </w:tc>
        <w:tc>
          <w:tcPr>
            <w:tcW w:w="3191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界面处理材料</w:t>
            </w: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水泥基界面剂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89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聚合物改性界面剂</w:t>
            </w:r>
          </w:p>
        </w:tc>
      </w:tr>
    </w:tbl>
    <w:p>
      <w:pPr>
        <w:widowControl/>
        <w:spacing w:beforeLines="50" w:afterLines="50"/>
        <w:jc w:val="center"/>
        <w:outlineLvl w:val="2"/>
      </w:pPr>
    </w:p>
    <w:p>
      <w:pPr>
        <w:widowControl/>
        <w:spacing w:beforeLines="50" w:afterLines="50"/>
        <w:jc w:val="left"/>
        <w:outlineLvl w:val="2"/>
        <w:rPr>
          <w:rFonts w:eastAsia="黑体"/>
          <w:color w:val="000000"/>
          <w:kern w:val="0"/>
        </w:rPr>
      </w:pPr>
      <w:bookmarkStart w:id="91" w:name="_Toc533518630"/>
      <w:bookmarkStart w:id="92" w:name="_Toc406486354"/>
      <w:bookmarkStart w:id="93" w:name="_Toc456611366"/>
      <w:bookmarkStart w:id="94" w:name="_Toc22141"/>
      <w:bookmarkStart w:id="95" w:name="_Toc459107153"/>
      <w:bookmarkStart w:id="96" w:name="_Toc396134049"/>
      <w:bookmarkStart w:id="97" w:name="_Toc360436848"/>
      <w:bookmarkStart w:id="98" w:name="_Toc406486355"/>
      <w:bookmarkStart w:id="99" w:name="_Toc360436761"/>
      <w:bookmarkStart w:id="100" w:name="_Toc360632439"/>
      <w:bookmarkStart w:id="101" w:name="_Toc384816564"/>
      <w:bookmarkStart w:id="102" w:name="_Toc350864000"/>
      <w:r>
        <w:rPr>
          <w:rFonts w:eastAsia="黑体"/>
          <w:color w:val="000000"/>
          <w:kern w:val="0"/>
        </w:rPr>
        <w:t xml:space="preserve">4.2 </w:t>
      </w:r>
      <w:r>
        <w:rPr>
          <w:rFonts w:hint="eastAsia" w:eastAsia="黑体"/>
          <w:color w:val="000000"/>
          <w:kern w:val="0"/>
        </w:rPr>
        <w:t>基本要求</w:t>
      </w:r>
      <w:bookmarkEnd w:id="91"/>
      <w:bookmarkEnd w:id="92"/>
      <w:bookmarkEnd w:id="93"/>
      <w:bookmarkEnd w:id="94"/>
      <w:bookmarkEnd w:id="95"/>
    </w:p>
    <w:p>
      <w:pPr>
        <w:widowControl/>
        <w:autoSpaceDE w:val="0"/>
        <w:autoSpaceDN w:val="0"/>
        <w:rPr>
          <w:kern w:val="0"/>
        </w:rPr>
      </w:pPr>
      <w:r>
        <w:t xml:space="preserve">4.2.1 </w:t>
      </w:r>
      <w:r>
        <w:rPr>
          <w:rFonts w:hint="eastAsia"/>
        </w:rPr>
        <w:t>工程修复材料基本性能应符合</w:t>
      </w:r>
      <w:r>
        <w:t>GB 8076</w:t>
      </w:r>
      <w:r>
        <w:rPr>
          <w:rFonts w:hint="eastAsia"/>
        </w:rPr>
        <w:t>、</w:t>
      </w:r>
      <w:r>
        <w:t>GB 18445</w:t>
      </w:r>
      <w:r>
        <w:rPr>
          <w:rFonts w:hint="eastAsia"/>
        </w:rPr>
        <w:t>、</w:t>
      </w:r>
      <w:r>
        <w:t>GB/T 25181</w:t>
      </w:r>
      <w:r>
        <w:rPr>
          <w:rFonts w:hint="eastAsia"/>
        </w:rPr>
        <w:t>、</w:t>
      </w:r>
      <w:r>
        <w:t>JG/T 336</w:t>
      </w:r>
      <w:r>
        <w:rPr>
          <w:rFonts w:hint="eastAsia"/>
        </w:rPr>
        <w:t>、</w:t>
      </w:r>
      <w:r>
        <w:t>JGJ/T221</w:t>
      </w:r>
      <w:r>
        <w:rPr>
          <w:rFonts w:hint="eastAsia"/>
        </w:rPr>
        <w:t>、</w:t>
      </w:r>
      <w:r>
        <w:t>JGJ/T 283</w:t>
      </w:r>
      <w:r>
        <w:rPr>
          <w:rFonts w:hint="eastAsia"/>
        </w:rPr>
        <w:t>、</w:t>
      </w:r>
      <w:r>
        <w:t>JC/T474</w:t>
      </w:r>
      <w:r>
        <w:rPr>
          <w:rFonts w:hint="eastAsia"/>
        </w:rPr>
        <w:t>、</w:t>
      </w:r>
      <w:r>
        <w:t>JC/T907</w:t>
      </w:r>
      <w:r>
        <w:rPr>
          <w:rFonts w:hint="eastAsia"/>
        </w:rPr>
        <w:t>、</w:t>
      </w:r>
      <w:r>
        <w:t>JTT 1211.1</w:t>
      </w:r>
      <w:r>
        <w:rPr>
          <w:rFonts w:hint="eastAsia"/>
        </w:rPr>
        <w:t>等相应的现行国家、行业标准要求</w:t>
      </w:r>
      <w:r>
        <w:rPr>
          <w:rFonts w:hint="eastAsia"/>
          <w:kern w:val="0"/>
        </w:rPr>
        <w:t>。</w:t>
      </w:r>
    </w:p>
    <w:p>
      <w:pPr>
        <w:widowControl/>
        <w:adjustRightInd w:val="0"/>
        <w:snapToGrid w:val="0"/>
        <w:spacing w:beforeLines="50" w:afterLines="50"/>
        <w:jc w:val="left"/>
        <w:outlineLvl w:val="3"/>
        <w:rPr>
          <w:kern w:val="0"/>
        </w:rPr>
      </w:pPr>
      <w:r>
        <w:rPr>
          <w:kern w:val="0"/>
        </w:rPr>
        <w:t xml:space="preserve">4.2.2 </w:t>
      </w:r>
      <w:r>
        <w:rPr>
          <w:rFonts w:hint="eastAsia"/>
          <w:kern w:val="0"/>
        </w:rPr>
        <w:t>生产企业的污染物排放应符合相关环境保护法律法规、适用的国家或地方污染物排放标准的要求，且近三年无重大环境污染事件。</w:t>
      </w:r>
    </w:p>
    <w:p>
      <w:pPr>
        <w:widowControl/>
        <w:adjustRightInd w:val="0"/>
        <w:snapToGrid w:val="0"/>
        <w:spacing w:beforeLines="50" w:afterLines="50"/>
        <w:jc w:val="left"/>
        <w:outlineLvl w:val="3"/>
        <w:rPr>
          <w:kern w:val="0"/>
        </w:rPr>
      </w:pPr>
      <w:r>
        <w:rPr>
          <w:kern w:val="0"/>
        </w:rPr>
        <w:t xml:space="preserve">4.2.3 </w:t>
      </w:r>
      <w:r>
        <w:rPr>
          <w:rFonts w:hint="eastAsia"/>
          <w:kern w:val="0"/>
        </w:rPr>
        <w:t>一般固体废弃物的收集、贮存、处置应符合</w:t>
      </w:r>
      <w:r>
        <w:rPr>
          <w:kern w:val="0"/>
        </w:rPr>
        <w:t>GB 18599</w:t>
      </w:r>
      <w:r>
        <w:rPr>
          <w:rFonts w:hint="eastAsia"/>
          <w:kern w:val="0"/>
        </w:rPr>
        <w:t>的相关规定。危险废物的贮存应符合</w:t>
      </w:r>
      <w:r>
        <w:rPr>
          <w:kern w:val="0"/>
        </w:rPr>
        <w:t>GB 18597</w:t>
      </w:r>
      <w:r>
        <w:rPr>
          <w:rFonts w:hint="eastAsia"/>
          <w:kern w:val="0"/>
        </w:rPr>
        <w:t>的相关规定，后续应交付持有危险废物经营许可证的单位处置。</w:t>
      </w:r>
    </w:p>
    <w:p>
      <w:pPr>
        <w:widowControl/>
        <w:spacing w:beforeLines="50" w:afterLines="50"/>
        <w:jc w:val="left"/>
        <w:outlineLvl w:val="3"/>
        <w:rPr>
          <w:color w:val="000000"/>
          <w:kern w:val="0"/>
        </w:rPr>
      </w:pPr>
      <w:r>
        <w:rPr>
          <w:rFonts w:eastAsia="黑体"/>
          <w:kern w:val="0"/>
        </w:rPr>
        <w:t xml:space="preserve">4.2.4 </w:t>
      </w:r>
      <w:r>
        <w:rPr>
          <w:rFonts w:hint="eastAsia"/>
          <w:kern w:val="0"/>
        </w:rPr>
        <w:t>安全生产管理应符合适用的国家标准、地方标准规定，且近三年无导致人员死亡的安全生产事故。</w:t>
      </w:r>
    </w:p>
    <w:p>
      <w:pPr>
        <w:widowControl/>
        <w:adjustRightInd w:val="0"/>
        <w:snapToGrid w:val="0"/>
        <w:spacing w:beforeLines="50" w:afterLines="50"/>
        <w:jc w:val="left"/>
        <w:outlineLvl w:val="3"/>
        <w:rPr>
          <w:kern w:val="0"/>
        </w:rPr>
      </w:pPr>
      <w:r>
        <w:rPr>
          <w:kern w:val="0"/>
        </w:rPr>
        <w:t xml:space="preserve">4.2.5 </w:t>
      </w:r>
      <w:r>
        <w:rPr>
          <w:rFonts w:hint="eastAsia"/>
          <w:kern w:val="0"/>
        </w:rPr>
        <w:t>生产企业应按照</w:t>
      </w:r>
      <w:r>
        <w:rPr>
          <w:kern w:val="0"/>
        </w:rPr>
        <w:t>GB/T 19001</w:t>
      </w:r>
      <w:r>
        <w:rPr>
          <w:rFonts w:hint="eastAsia"/>
          <w:kern w:val="0"/>
        </w:rPr>
        <w:t>、</w:t>
      </w:r>
      <w:r>
        <w:rPr>
          <w:kern w:val="0"/>
        </w:rPr>
        <w:t>GB/T 24001</w:t>
      </w:r>
      <w:r>
        <w:rPr>
          <w:rFonts w:hint="eastAsia"/>
          <w:kern w:val="0"/>
        </w:rPr>
        <w:t>和</w:t>
      </w:r>
      <w:r>
        <w:t xml:space="preserve"> </w:t>
      </w:r>
      <w:r>
        <w:rPr>
          <w:kern w:val="0"/>
        </w:rPr>
        <w:t>GB/T 28001</w:t>
      </w:r>
      <w:r>
        <w:rPr>
          <w:rFonts w:hint="eastAsia"/>
          <w:kern w:val="0"/>
        </w:rPr>
        <w:t>要求分别建立并运行质量管理体系、环境管理体系和职业健康安全管理体系。</w:t>
      </w:r>
    </w:p>
    <w:p>
      <w:pPr>
        <w:widowControl/>
        <w:adjustRightInd w:val="0"/>
        <w:snapToGrid w:val="0"/>
        <w:spacing w:beforeLines="50" w:afterLines="50"/>
        <w:jc w:val="left"/>
        <w:outlineLvl w:val="3"/>
        <w:rPr>
          <w:kern w:val="0"/>
        </w:rPr>
      </w:pPr>
      <w:r>
        <w:rPr>
          <w:kern w:val="0"/>
        </w:rPr>
        <w:t xml:space="preserve">4.2.6 </w:t>
      </w:r>
      <w:r>
        <w:rPr>
          <w:rFonts w:hint="eastAsia"/>
          <w:kern w:val="0"/>
        </w:rPr>
        <w:t>生产企业应采用国家鼓励的先进技术工艺，不应使用国家或有关部门发布的淘汰或禁止的技术、工艺、装备及相关物质。</w:t>
      </w:r>
    </w:p>
    <w:p>
      <w:pPr>
        <w:widowControl/>
        <w:spacing w:beforeLines="50" w:afterLines="50"/>
        <w:jc w:val="left"/>
        <w:outlineLvl w:val="2"/>
        <w:rPr>
          <w:rFonts w:eastAsia="黑体"/>
          <w:color w:val="000000"/>
          <w:kern w:val="0"/>
        </w:rPr>
      </w:pPr>
      <w:bookmarkStart w:id="103" w:name="_Toc31135"/>
      <w:bookmarkStart w:id="104" w:name="_Toc462063260"/>
      <w:bookmarkStart w:id="105" w:name="_Toc533518631"/>
      <w:r>
        <w:rPr>
          <w:rFonts w:eastAsia="黑体"/>
          <w:color w:val="000000"/>
          <w:kern w:val="0"/>
        </w:rPr>
        <w:t xml:space="preserve">4.3 </w:t>
      </w:r>
      <w:r>
        <w:rPr>
          <w:rFonts w:hint="eastAsia" w:eastAsia="黑体"/>
          <w:color w:val="000000"/>
          <w:kern w:val="0"/>
        </w:rPr>
        <w:t>评价指标要求</w:t>
      </w:r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</w:p>
    <w:p>
      <w:pPr>
        <w:pStyle w:val="18"/>
        <w:spacing w:before="120" w:after="120"/>
        <w:ind w:firstLine="31680"/>
        <w:rPr>
          <w:rFonts w:ascii="Times New Roman" w:eastAsia="黑体"/>
          <w:color w:val="000000"/>
        </w:rPr>
      </w:pPr>
      <w:r>
        <w:rPr>
          <w:rFonts w:hint="eastAsia" w:ascii="Times New Roman"/>
        </w:rPr>
        <w:t>工程修复材料评价指标包括资源属性指标、能源属性指标、环境属性指标和品质属性指标。水泥混凝土和砂浆类评价指标要求见表</w:t>
      </w:r>
      <w:r>
        <w:rPr>
          <w:rFonts w:ascii="Times New Roman"/>
        </w:rPr>
        <w:t>2</w:t>
      </w:r>
      <w:r>
        <w:rPr>
          <w:rFonts w:hint="eastAsia" w:ascii="Times New Roman"/>
        </w:rPr>
        <w:t>，聚合物水泥混凝土和砂浆评价指标要求见表</w:t>
      </w:r>
      <w:r>
        <w:rPr>
          <w:rFonts w:ascii="Times New Roman"/>
        </w:rPr>
        <w:t>3</w:t>
      </w:r>
      <w:r>
        <w:rPr>
          <w:rFonts w:hint="eastAsia" w:ascii="Times New Roman"/>
        </w:rPr>
        <w:t>，聚合物树脂快速修补材料评价指标要求见表</w:t>
      </w:r>
      <w:r>
        <w:rPr>
          <w:rFonts w:ascii="Times New Roman"/>
        </w:rPr>
        <w:t>4</w:t>
      </w:r>
      <w:r>
        <w:rPr>
          <w:rFonts w:hint="eastAsia" w:ascii="Times New Roman"/>
        </w:rPr>
        <w:t>，水泥基渗透结晶型防水涂料的评价指标要求见表</w:t>
      </w:r>
      <w:r>
        <w:rPr>
          <w:rFonts w:ascii="Times New Roman"/>
        </w:rPr>
        <w:t>5</w:t>
      </w:r>
      <w:r>
        <w:rPr>
          <w:rFonts w:hint="eastAsia" w:ascii="Times New Roman"/>
        </w:rPr>
        <w:t>，聚合物灌浆类评价指标要求见表</w:t>
      </w:r>
      <w:r>
        <w:rPr>
          <w:rFonts w:ascii="Times New Roman"/>
        </w:rPr>
        <w:t>6</w:t>
      </w:r>
      <w:r>
        <w:rPr>
          <w:rFonts w:hint="eastAsia" w:ascii="Times New Roman"/>
        </w:rPr>
        <w:t>，无机水性渗透结晶型材料的评价指标要求见表</w:t>
      </w:r>
      <w:r>
        <w:rPr>
          <w:rFonts w:ascii="Times New Roman"/>
        </w:rPr>
        <w:t>7</w:t>
      </w:r>
      <w:r>
        <w:rPr>
          <w:rFonts w:hint="eastAsia" w:ascii="Times New Roman"/>
        </w:rPr>
        <w:t>，界面处理材料的评价指标要求见表</w:t>
      </w:r>
      <w:r>
        <w:rPr>
          <w:rFonts w:ascii="Times New Roman"/>
        </w:rPr>
        <w:t>8</w:t>
      </w:r>
      <w:r>
        <w:rPr>
          <w:rFonts w:hint="eastAsia" w:ascii="Times New Roman"/>
        </w:rPr>
        <w:t>。</w:t>
      </w: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2 </w:t>
      </w:r>
      <w:r>
        <w:rPr>
          <w:rFonts w:hint="eastAsia" w:eastAsia="黑体"/>
          <w:color w:val="000000"/>
          <w:kern w:val="0"/>
        </w:rPr>
        <w:t>水泥混凝土类和砂浆类评价指标要求</w:t>
      </w:r>
    </w:p>
    <w:tbl>
      <w:tblPr>
        <w:tblStyle w:val="24"/>
        <w:tblW w:w="89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61"/>
        <w:gridCol w:w="561"/>
        <w:gridCol w:w="1995"/>
        <w:gridCol w:w="662"/>
        <w:gridCol w:w="975"/>
        <w:gridCol w:w="950"/>
        <w:gridCol w:w="1213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bookmarkStart w:id="106" w:name="_Hlk8334103"/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117" w:type="dxa"/>
            <w:gridSpan w:val="3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62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3138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964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7" w:type="dxa"/>
            <w:gridSpan w:val="3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2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950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213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964" w:type="dxa"/>
            <w:vMerge w:val="continue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10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3117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42"/>
              <w:jc w:val="both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3138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964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103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7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42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cs="Times New Roman"/>
                <w:color w:val="auto"/>
                <w:sz w:val="18"/>
                <w:szCs w:val="18"/>
              </w:rPr>
              <w:t>固体废弃物添加量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3138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≥30</w:t>
            </w:r>
          </w:p>
        </w:tc>
        <w:tc>
          <w:tcPr>
            <w:tcW w:w="964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103" w:type="dxa"/>
            <w:vMerge w:val="restart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1122" w:type="dxa"/>
            <w:gridSpan w:val="2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预拌混凝土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925" w:type="dxa"/>
            <w:gridSpan w:val="2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级</w:t>
            </w:r>
          </w:p>
        </w:tc>
        <w:tc>
          <w:tcPr>
            <w:tcW w:w="1213" w:type="dxa"/>
            <w:vMerge w:val="restart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级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GB36888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103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湿拌砂浆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925" w:type="dxa"/>
            <w:gridSpan w:val="2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vMerge w:val="continue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103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干混砂浆和干混混凝土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≤1.45</w:t>
            </w:r>
          </w:p>
        </w:tc>
        <w:tc>
          <w:tcPr>
            <w:tcW w:w="95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≤1.20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≤0.85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03" w:type="dxa"/>
            <w:vMerge w:val="restart"/>
            <w:tcBorders>
              <w:top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3117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水溶性六价铬含量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mg/t</w:t>
            </w:r>
          </w:p>
        </w:tc>
        <w:tc>
          <w:tcPr>
            <w:tcW w:w="3138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≤200</w:t>
            </w:r>
          </w:p>
        </w:tc>
        <w:tc>
          <w:tcPr>
            <w:tcW w:w="964" w:type="dxa"/>
            <w:vMerge w:val="restart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HJ/T 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7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氨释放量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mg/m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138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sz w:val="18"/>
                <w:szCs w:val="18"/>
              </w:rPr>
              <w:t>0.2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7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单位产品工业废水排放量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3138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10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3117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混凝土中水溶性氯离子含量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%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0.20</w:t>
            </w:r>
          </w:p>
        </w:tc>
        <w:tc>
          <w:tcPr>
            <w:tcW w:w="95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0.10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0.06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 50164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强度</w:t>
            </w:r>
          </w:p>
        </w:tc>
        <w:tc>
          <w:tcPr>
            <w:tcW w:w="561" w:type="dxa"/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混凝土</w:t>
            </w:r>
          </w:p>
        </w:tc>
        <w:tc>
          <w:tcPr>
            <w:tcW w:w="1995" w:type="dxa"/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实测强度与设计强度的比值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925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≤1.3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≤1.25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50081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restart"/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砂浆</w:t>
            </w:r>
          </w:p>
        </w:tc>
        <w:tc>
          <w:tcPr>
            <w:tcW w:w="1995" w:type="dxa"/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抗压强度实测值与设计值的比值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925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≥1.05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≤1.8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JGJ/T 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原始拉伸粘结强度实测值与设计值的比值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925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≥1.05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≤1.5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耐久性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61" w:type="dxa"/>
            <w:vMerge w:val="restart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混凝土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抗渗等级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——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P8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95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P10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P12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"http://www.csres.com/detail/208313.html" \t "_blank" </w:instrText>
            </w:r>
            <w:r>
              <w:fldChar w:fldCharType="separate"/>
            </w:r>
            <w:r>
              <w:rPr>
                <w:kern w:val="0"/>
                <w:sz w:val="18"/>
                <w:szCs w:val="18"/>
              </w:rPr>
              <w:t>GB/T 50082</w:t>
            </w:r>
            <w:r>
              <w:rPr>
                <w:kern w:val="0"/>
                <w:sz w:val="18"/>
                <w:szCs w:val="18"/>
              </w:rPr>
              <w:fldChar w:fldCharType="end"/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、</w:t>
            </w:r>
          </w:p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JGJ/T 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抗氯离子渗透等级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——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II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95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III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IV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抗碳化等级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——</w:t>
            </w:r>
          </w:p>
        </w:tc>
        <w:tc>
          <w:tcPr>
            <w:tcW w:w="1925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III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IV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抗冻等级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——</w:t>
            </w:r>
          </w:p>
        </w:tc>
        <w:tc>
          <w:tcPr>
            <w:tcW w:w="1925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F300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F400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砂浆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冻融循环后抗压强度损失率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6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≤25</w:t>
            </w:r>
          </w:p>
        </w:tc>
        <w:tc>
          <w:tcPr>
            <w:tcW w:w="95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2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GB/T 25181</w:t>
            </w:r>
          </w:p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984" w:type="dxa"/>
            <w:gridSpan w:val="9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企业具有</w:t>
            </w:r>
            <w:r>
              <w:rPr>
                <w:rFonts w:hint="eastAsia"/>
                <w:sz w:val="18"/>
                <w:szCs w:val="21"/>
              </w:rPr>
              <w:t>上料、包装、码垛自动化系统的，单位产品生产能耗限值增加</w:t>
            </w:r>
            <w:r>
              <w:rPr>
                <w:sz w:val="18"/>
                <w:szCs w:val="21"/>
              </w:rPr>
              <w:t>0.35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；企业具有</w:t>
            </w:r>
            <w:r>
              <w:rPr>
                <w:rFonts w:hint="eastAsia"/>
                <w:sz w:val="18"/>
                <w:szCs w:val="21"/>
              </w:rPr>
              <w:t>上料、包装、码垛、存贮、分拣自动化系统，单位产品生产能耗限值增加</w:t>
            </w:r>
            <w:r>
              <w:rPr>
                <w:sz w:val="18"/>
                <w:szCs w:val="21"/>
              </w:rPr>
              <w:t>0.55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本条款评价企业按照工程需要试配、生产相应耐久性能产品的能力，不要求所有出厂产品均符合本条款规定的耐久性要求。</w:t>
            </w:r>
            <w:r>
              <w:rPr>
                <w:rFonts w:hint="eastAsia"/>
                <w:sz w:val="18"/>
                <w:szCs w:val="18"/>
              </w:rPr>
              <w:t>当适用的产品标准未规定相关指标时，该产品不参评此指标。</w:t>
            </w:r>
          </w:p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本条款适用于主要应用范围在寒冷地区、严寒地区与水接触的产品，应用于其他建筑气候区的产品不参评。建筑气候区的划分</w:t>
            </w:r>
            <w:r>
              <w:rPr>
                <w:rFonts w:hint="eastAsia"/>
                <w:sz w:val="18"/>
                <w:szCs w:val="18"/>
              </w:rPr>
              <w:t>按照</w:t>
            </w:r>
            <w:r>
              <w:rPr>
                <w:sz w:val="18"/>
                <w:szCs w:val="18"/>
              </w:rPr>
              <w:t>GB50176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进行。</w:t>
            </w:r>
          </w:p>
        </w:tc>
      </w:tr>
      <w:bookmarkEnd w:id="106"/>
    </w:tbl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3 </w:t>
      </w:r>
      <w:r>
        <w:rPr>
          <w:rFonts w:hint="eastAsia" w:eastAsia="黑体"/>
          <w:color w:val="000000"/>
          <w:kern w:val="0"/>
        </w:rPr>
        <w:t>聚合物水泥混凝土和砂浆评价指标要求</w:t>
      </w:r>
    </w:p>
    <w:tbl>
      <w:tblPr>
        <w:tblStyle w:val="24"/>
        <w:tblW w:w="957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3059"/>
        <w:gridCol w:w="857"/>
        <w:gridCol w:w="831"/>
        <w:gridCol w:w="991"/>
        <w:gridCol w:w="161"/>
        <w:gridCol w:w="662"/>
        <w:gridCol w:w="879"/>
        <w:gridCol w:w="1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916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31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6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09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823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03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3916" w:type="dxa"/>
            <w:gridSpan w:val="2"/>
            <w:noWrap/>
            <w:vAlign w:val="center"/>
          </w:tcPr>
          <w:p>
            <w:pPr>
              <w:pStyle w:val="142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831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693" w:type="dxa"/>
            <w:gridSpan w:val="4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097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03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3059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85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干粉类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3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9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≤1.45</w:t>
            </w:r>
          </w:p>
        </w:tc>
        <w:tc>
          <w:tcPr>
            <w:tcW w:w="823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≤1.20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≤0.85</w:t>
            </w:r>
          </w:p>
        </w:tc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033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9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乳液类</w:t>
            </w:r>
          </w:p>
        </w:tc>
        <w:tc>
          <w:tcPr>
            <w:tcW w:w="83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9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≤3.5</w:t>
            </w:r>
          </w:p>
        </w:tc>
        <w:tc>
          <w:tcPr>
            <w:tcW w:w="823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≤3.0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≤2.5</w:t>
            </w:r>
          </w:p>
        </w:tc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3" w:type="dxa"/>
            <w:vMerge w:val="restart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3916" w:type="dxa"/>
            <w:gridSpan w:val="2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水溶性六价铬含量</w:t>
            </w:r>
          </w:p>
        </w:tc>
        <w:tc>
          <w:tcPr>
            <w:tcW w:w="831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mg/t</w:t>
            </w:r>
          </w:p>
        </w:tc>
        <w:tc>
          <w:tcPr>
            <w:tcW w:w="2693" w:type="dxa"/>
            <w:gridSpan w:val="4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≤200</w:t>
            </w:r>
          </w:p>
        </w:tc>
        <w:tc>
          <w:tcPr>
            <w:tcW w:w="1097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HJ/T 412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3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6" w:type="dxa"/>
            <w:gridSpan w:val="2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单位产品工业废水排放量</w:t>
            </w:r>
          </w:p>
        </w:tc>
        <w:tc>
          <w:tcPr>
            <w:tcW w:w="831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2693" w:type="dxa"/>
            <w:gridSpan w:val="4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39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混凝土实测强度与设计强度的比值</w:t>
            </w:r>
          </w:p>
        </w:tc>
        <w:tc>
          <w:tcPr>
            <w:tcW w:w="831" w:type="dxa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sz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814" w:type="dxa"/>
            <w:gridSpan w:val="3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≤1.3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≤1.25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50081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砂浆抗压强度实测值与设计值的比值</w:t>
            </w:r>
          </w:p>
        </w:tc>
        <w:tc>
          <w:tcPr>
            <w:tcW w:w="831" w:type="dxa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814" w:type="dxa"/>
            <w:gridSpan w:val="3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≥1.05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≤1.8</w:t>
            </w:r>
          </w:p>
        </w:tc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JGJ/T 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砂浆原始拉伸粘结强度实测值与设计值的比值</w:t>
            </w:r>
          </w:p>
        </w:tc>
        <w:tc>
          <w:tcPr>
            <w:tcW w:w="831" w:type="dxa"/>
            <w:noWrap/>
            <w:vAlign w:val="center"/>
          </w:tcPr>
          <w:p>
            <w:pPr>
              <w:jc w:val="center"/>
              <w:rPr>
                <w:sz w:val="18"/>
                <w:szCs w:val="21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814" w:type="dxa"/>
            <w:gridSpan w:val="3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≥1.05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≤1.5</w:t>
            </w:r>
          </w:p>
        </w:tc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耐水、耐冻融拉伸强度实测值与设计值的比值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31" w:type="dxa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——</w:t>
            </w:r>
          </w:p>
        </w:tc>
        <w:tc>
          <w:tcPr>
            <w:tcW w:w="1152" w:type="dxa"/>
            <w:gridSpan w:val="2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≥1.05</w:t>
            </w:r>
          </w:p>
        </w:tc>
        <w:tc>
          <w:tcPr>
            <w:tcW w:w="66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≥1.1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≥1.3</w:t>
            </w:r>
          </w:p>
        </w:tc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70" w:type="dxa"/>
            <w:gridSpan w:val="9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企业具有</w:t>
            </w:r>
            <w:r>
              <w:rPr>
                <w:rFonts w:hint="eastAsia"/>
                <w:sz w:val="18"/>
                <w:szCs w:val="21"/>
              </w:rPr>
              <w:t>上料、包装、码垛自动化系统的，单位产品生产能耗限值增加</w:t>
            </w:r>
            <w:r>
              <w:rPr>
                <w:sz w:val="18"/>
                <w:szCs w:val="21"/>
              </w:rPr>
              <w:t>0.35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；企业具有</w:t>
            </w:r>
            <w:r>
              <w:rPr>
                <w:rFonts w:hint="eastAsia"/>
                <w:sz w:val="18"/>
                <w:szCs w:val="21"/>
              </w:rPr>
              <w:t>上料、包装、码垛、存贮、分拣自动化系统，单位产品生产能耗限值增加</w:t>
            </w:r>
            <w:r>
              <w:rPr>
                <w:sz w:val="18"/>
                <w:szCs w:val="21"/>
              </w:rPr>
              <w:t>0.55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</w:tbl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>4</w:t>
      </w:r>
      <w:r>
        <w:rPr>
          <w:rFonts w:hint="eastAsia" w:eastAsia="黑体"/>
          <w:color w:val="000000"/>
          <w:kern w:val="0"/>
        </w:rPr>
        <w:t>聚合物树脂快速修补材料评价指标要求</w:t>
      </w:r>
    </w:p>
    <w:tbl>
      <w:tblPr>
        <w:tblStyle w:val="24"/>
        <w:tblW w:w="957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2141"/>
        <w:gridCol w:w="1248"/>
        <w:gridCol w:w="848"/>
        <w:gridCol w:w="977"/>
        <w:gridCol w:w="893"/>
        <w:gridCol w:w="893"/>
        <w:gridCol w:w="13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0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389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4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763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360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9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36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3389" w:type="dxa"/>
            <w:gridSpan w:val="2"/>
            <w:noWrap/>
            <w:vAlign w:val="center"/>
          </w:tcPr>
          <w:p>
            <w:pPr>
              <w:pStyle w:val="142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848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763" w:type="dxa"/>
            <w:gridSpan w:val="3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360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210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141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粉料组分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48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77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≤1.45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≤1.20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≤0.85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210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1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树脂组分</w:t>
            </w:r>
          </w:p>
        </w:tc>
        <w:tc>
          <w:tcPr>
            <w:tcW w:w="848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7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≤3.5</w:t>
            </w:r>
          </w:p>
        </w:tc>
        <w:tc>
          <w:tcPr>
            <w:tcW w:w="89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≤3.0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≤2.5</w:t>
            </w:r>
          </w:p>
        </w:tc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1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9" w:type="dxa"/>
            <w:gridSpan w:val="2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单位产品工业废水排放量</w:t>
            </w:r>
          </w:p>
        </w:tc>
        <w:tc>
          <w:tcPr>
            <w:tcW w:w="848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2763" w:type="dxa"/>
            <w:gridSpan w:val="3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1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3389" w:type="dxa"/>
            <w:gridSpan w:val="2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固化时间</w:t>
            </w:r>
          </w:p>
        </w:tc>
        <w:tc>
          <w:tcPr>
            <w:tcW w:w="848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</w:t>
            </w:r>
          </w:p>
        </w:tc>
        <w:tc>
          <w:tcPr>
            <w:tcW w:w="2763" w:type="dxa"/>
            <w:gridSpan w:val="3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≤12</w:t>
            </w:r>
          </w:p>
        </w:tc>
        <w:tc>
          <w:tcPr>
            <w:tcW w:w="13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GB12007.7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1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1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抗压强度</w:t>
            </w:r>
          </w:p>
        </w:tc>
        <w:tc>
          <w:tcPr>
            <w:tcW w:w="124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12h</w:t>
            </w:r>
          </w:p>
        </w:tc>
        <w:tc>
          <w:tcPr>
            <w:tcW w:w="848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97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≥30</w:t>
            </w:r>
          </w:p>
        </w:tc>
        <w:tc>
          <w:tcPr>
            <w:tcW w:w="8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≥35</w:t>
            </w:r>
          </w:p>
        </w:tc>
        <w:tc>
          <w:tcPr>
            <w:tcW w:w="8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≥40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JGJ/T 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1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48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97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≥45</w:t>
            </w:r>
          </w:p>
        </w:tc>
        <w:tc>
          <w:tcPr>
            <w:tcW w:w="8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≥55</w:t>
            </w:r>
          </w:p>
        </w:tc>
        <w:tc>
          <w:tcPr>
            <w:tcW w:w="8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≥65</w:t>
            </w:r>
          </w:p>
        </w:tc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1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28d</w:t>
            </w:r>
          </w:p>
        </w:tc>
        <w:tc>
          <w:tcPr>
            <w:tcW w:w="848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97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≥55</w:t>
            </w:r>
          </w:p>
        </w:tc>
        <w:tc>
          <w:tcPr>
            <w:tcW w:w="8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≥65</w:t>
            </w:r>
          </w:p>
        </w:tc>
        <w:tc>
          <w:tcPr>
            <w:tcW w:w="8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≥75</w:t>
            </w:r>
          </w:p>
        </w:tc>
        <w:tc>
          <w:tcPr>
            <w:tcW w:w="13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70" w:type="dxa"/>
            <w:gridSpan w:val="8"/>
            <w:vAlign w:val="center"/>
          </w:tcPr>
          <w:p>
            <w:pPr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企业具有</w:t>
            </w:r>
            <w:r>
              <w:rPr>
                <w:rFonts w:hint="eastAsia"/>
                <w:sz w:val="18"/>
                <w:szCs w:val="21"/>
              </w:rPr>
              <w:t>上料、包装、码垛自动化系统的，单位产品生产能耗限值增加</w:t>
            </w:r>
            <w:r>
              <w:rPr>
                <w:sz w:val="18"/>
                <w:szCs w:val="21"/>
              </w:rPr>
              <w:t>0.35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；企业具有</w:t>
            </w:r>
            <w:r>
              <w:rPr>
                <w:rFonts w:hint="eastAsia"/>
                <w:sz w:val="18"/>
                <w:szCs w:val="21"/>
              </w:rPr>
              <w:t>上料、包装、码垛、存贮、分拣自动化系统，单位产品生产能耗限值增加</w:t>
            </w:r>
            <w:r>
              <w:rPr>
                <w:sz w:val="18"/>
                <w:szCs w:val="21"/>
              </w:rPr>
              <w:t>0.55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</w:tbl>
    <w:p>
      <w:pPr>
        <w:widowControl/>
        <w:spacing w:beforeLines="50" w:afterLines="50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5 </w:t>
      </w:r>
      <w:r>
        <w:rPr>
          <w:rFonts w:hint="eastAsia" w:eastAsia="黑体"/>
          <w:color w:val="000000"/>
          <w:kern w:val="0"/>
        </w:rPr>
        <w:t>水泥基渗透结晶型防水涂料评价指标要求</w:t>
      </w:r>
    </w:p>
    <w:tbl>
      <w:tblPr>
        <w:tblStyle w:val="24"/>
        <w:tblW w:w="9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476"/>
        <w:gridCol w:w="2877"/>
        <w:gridCol w:w="656"/>
        <w:gridCol w:w="756"/>
        <w:gridCol w:w="756"/>
        <w:gridCol w:w="756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6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4353" w:type="dxa"/>
            <w:gridSpan w:val="2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56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268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077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6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756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756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077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3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42"/>
              <w:jc w:val="both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268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077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93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≤1.45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≤1.20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≤0.85</w:t>
            </w:r>
          </w:p>
        </w:tc>
        <w:tc>
          <w:tcPr>
            <w:tcW w:w="10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6" w:type="dxa"/>
            <w:tcBorders>
              <w:top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单位产品大气颗粒物排放等级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</w:t>
            </w:r>
          </w:p>
        </w:tc>
        <w:tc>
          <w:tcPr>
            <w:tcW w:w="1077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GB16297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氯离子含量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%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≤0.10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≤0.06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≤0.03</w:t>
            </w:r>
          </w:p>
        </w:tc>
        <w:tc>
          <w:tcPr>
            <w:tcW w:w="1077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 18445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tcBorders>
              <w:top w:val="nil"/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混凝土抗渗性能</w:t>
            </w:r>
          </w:p>
        </w:tc>
        <w:tc>
          <w:tcPr>
            <w:tcW w:w="28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抗渗压力比（带涂层）</w:t>
            </w:r>
            <w:r>
              <w:rPr>
                <w:kern w:val="0"/>
                <w:sz w:val="18"/>
                <w:szCs w:val="18"/>
              </w:rPr>
              <w:t>/</w:t>
            </w:r>
          </w:p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 d</w:t>
            </w:r>
          </w:p>
        </w:tc>
        <w:tc>
          <w:tcPr>
            <w:tcW w:w="656" w:type="dxa"/>
            <w:vMerge w:val="restart"/>
            <w:tcBorders>
              <w:top w:val="nil"/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≥250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≥275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≥300</w:t>
            </w:r>
          </w:p>
        </w:tc>
        <w:tc>
          <w:tcPr>
            <w:tcW w:w="1077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28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抗渗压力比（去涂层）</w:t>
            </w:r>
            <w:r>
              <w:rPr>
                <w:kern w:val="0"/>
                <w:sz w:val="18"/>
                <w:szCs w:val="18"/>
              </w:rPr>
              <w:t>/28d</w:t>
            </w:r>
          </w:p>
        </w:tc>
        <w:tc>
          <w:tcPr>
            <w:tcW w:w="656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≥175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≥185</w:t>
            </w:r>
          </w:p>
        </w:tc>
        <w:tc>
          <w:tcPr>
            <w:tcW w:w="756" w:type="dxa"/>
            <w:tcBorders>
              <w:left w:val="nil"/>
              <w:bottom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≥200</w:t>
            </w:r>
          </w:p>
        </w:tc>
        <w:tc>
          <w:tcPr>
            <w:tcW w:w="1077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28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带涂层混凝土的二次抗渗压力</w:t>
            </w:r>
            <w:r>
              <w:rPr>
                <w:kern w:val="0"/>
                <w:sz w:val="18"/>
                <w:szCs w:val="18"/>
              </w:rPr>
              <w:t>/56d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kern w:val="0"/>
                <w:sz w:val="18"/>
                <w:szCs w:val="18"/>
              </w:rPr>
              <w:t>MPa</w:t>
            </w:r>
          </w:p>
        </w:tc>
        <w:tc>
          <w:tcPr>
            <w:tcW w:w="1512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≥0.8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≥0.9</w:t>
            </w:r>
          </w:p>
        </w:tc>
        <w:tc>
          <w:tcPr>
            <w:tcW w:w="1077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6 </w:t>
      </w:r>
      <w:r>
        <w:rPr>
          <w:rFonts w:hint="eastAsia" w:eastAsia="黑体"/>
          <w:color w:val="000000"/>
          <w:kern w:val="0"/>
        </w:rPr>
        <w:t>聚合物灌浆料评价指标要求</w:t>
      </w:r>
    </w:p>
    <w:tbl>
      <w:tblPr>
        <w:tblStyle w:val="24"/>
        <w:tblW w:w="95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244"/>
        <w:gridCol w:w="833"/>
        <w:gridCol w:w="1074"/>
        <w:gridCol w:w="959"/>
        <w:gridCol w:w="961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244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33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2994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311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8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44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33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959" w:type="dxa"/>
            <w:tcBorders>
              <w:left w:val="nil"/>
            </w:tcBorders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961" w:type="dxa"/>
            <w:tcBorders>
              <w:left w:val="nil"/>
            </w:tcBorders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311" w:type="dxa"/>
            <w:vMerge w:val="continue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188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32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42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cs="Times New Roman"/>
                <w:color w:val="auto"/>
                <w:sz w:val="18"/>
                <w:szCs w:val="18"/>
              </w:rPr>
              <w:t>生产过程产生废弃物可利用率</w:t>
            </w:r>
          </w:p>
        </w:tc>
        <w:tc>
          <w:tcPr>
            <w:tcW w:w="8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299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100</w:t>
            </w:r>
          </w:p>
        </w:tc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188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32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单位产品生产能耗（来源）</w:t>
            </w:r>
          </w:p>
        </w:tc>
        <w:tc>
          <w:tcPr>
            <w:tcW w:w="8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kgce/t</w:t>
            </w:r>
          </w:p>
        </w:tc>
        <w:tc>
          <w:tcPr>
            <w:tcW w:w="107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≤3.5</w:t>
            </w:r>
          </w:p>
        </w:tc>
        <w:tc>
          <w:tcPr>
            <w:tcW w:w="95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≤3.0</w:t>
            </w:r>
          </w:p>
        </w:tc>
        <w:tc>
          <w:tcPr>
            <w:tcW w:w="961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≤2.5</w:t>
            </w:r>
          </w:p>
        </w:tc>
        <w:tc>
          <w:tcPr>
            <w:tcW w:w="1311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88" w:type="dxa"/>
            <w:tcBorders>
              <w:top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32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挥发性有机物（</w:t>
            </w:r>
            <w:r>
              <w:rPr>
                <w:kern w:val="0"/>
                <w:sz w:val="18"/>
                <w:szCs w:val="18"/>
              </w:rPr>
              <w:t>VOC</w:t>
            </w:r>
            <w:r>
              <w:rPr>
                <w:rFonts w:hint="eastAsia"/>
                <w:kern w:val="0"/>
                <w:sz w:val="18"/>
                <w:szCs w:val="18"/>
              </w:rPr>
              <w:t>）含量</w:t>
            </w:r>
          </w:p>
        </w:tc>
        <w:tc>
          <w:tcPr>
            <w:tcW w:w="8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g/L</w:t>
            </w:r>
          </w:p>
        </w:tc>
        <w:tc>
          <w:tcPr>
            <w:tcW w:w="299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单组分</w:t>
            </w:r>
            <w:r>
              <w:rPr>
                <w:sz w:val="18"/>
                <w:szCs w:val="18"/>
              </w:rPr>
              <w:t>≤100</w:t>
            </w:r>
            <w:r>
              <w:rPr>
                <w:rFonts w:hint="eastAsia"/>
                <w:sz w:val="18"/>
                <w:szCs w:val="18"/>
              </w:rPr>
              <w:t>，多组分</w:t>
            </w:r>
            <w:r>
              <w:rPr>
                <w:sz w:val="18"/>
                <w:szCs w:val="18"/>
              </w:rPr>
              <w:t>≤50</w:t>
            </w:r>
          </w:p>
        </w:tc>
        <w:tc>
          <w:tcPr>
            <w:tcW w:w="1311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GB/T35609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18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32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灌注能力</w:t>
            </w:r>
          </w:p>
        </w:tc>
        <w:tc>
          <w:tcPr>
            <w:tcW w:w="8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t>min</w:t>
            </w:r>
          </w:p>
        </w:tc>
        <w:tc>
          <w:tcPr>
            <w:tcW w:w="299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≤8</w:t>
            </w:r>
          </w:p>
        </w:tc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JGT 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188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粘结强度</w:t>
            </w:r>
          </w:p>
        </w:tc>
        <w:tc>
          <w:tcPr>
            <w:tcW w:w="8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szCs w:val="21"/>
              </w:rPr>
            </w:pPr>
            <w:r>
              <w:t>Mpa</w:t>
            </w:r>
          </w:p>
        </w:tc>
        <w:tc>
          <w:tcPr>
            <w:tcW w:w="299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≥2.5</w:t>
            </w:r>
          </w:p>
        </w:tc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JGT 333</w:t>
            </w:r>
          </w:p>
        </w:tc>
      </w:tr>
    </w:tbl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7 </w:t>
      </w:r>
      <w:r>
        <w:rPr>
          <w:rFonts w:hint="eastAsia" w:eastAsia="黑体"/>
          <w:color w:val="000000"/>
          <w:kern w:val="0"/>
        </w:rPr>
        <w:t>无机水性渗透结晶型材料评价指标要求</w:t>
      </w:r>
    </w:p>
    <w:tbl>
      <w:tblPr>
        <w:tblStyle w:val="24"/>
        <w:tblW w:w="95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4329"/>
        <w:gridCol w:w="691"/>
        <w:gridCol w:w="794"/>
        <w:gridCol w:w="794"/>
        <w:gridCol w:w="796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4329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91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384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179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1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794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796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179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87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42"/>
              <w:jc w:val="both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238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100</w:t>
            </w:r>
          </w:p>
        </w:tc>
        <w:tc>
          <w:tcPr>
            <w:tcW w:w="117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987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kgce/t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≤0.6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≤0.4</w:t>
            </w:r>
          </w:p>
        </w:tc>
        <w:tc>
          <w:tcPr>
            <w:tcW w:w="117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单位产品废水排放量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t/t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≤0.020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≤0.015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≤0.010</w:t>
            </w:r>
          </w:p>
        </w:tc>
        <w:tc>
          <w:tcPr>
            <w:tcW w:w="117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87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品质属性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28d</w:t>
            </w:r>
            <w:r>
              <w:rPr>
                <w:rFonts w:hint="eastAsia"/>
                <w:kern w:val="0"/>
                <w:sz w:val="18"/>
                <w:szCs w:val="18"/>
              </w:rPr>
              <w:t>混凝土抗压强度比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t>%</w:t>
            </w:r>
          </w:p>
        </w:tc>
        <w:tc>
          <w:tcPr>
            <w:tcW w:w="238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≥100</w:t>
            </w:r>
          </w:p>
        </w:tc>
        <w:tc>
          <w:tcPr>
            <w:tcW w:w="1179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JC474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987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tcBorders>
              <w:top w:val="nil"/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48h</w:t>
            </w:r>
            <w:r>
              <w:rPr>
                <w:rFonts w:hint="eastAsia"/>
                <w:kern w:val="0"/>
                <w:sz w:val="18"/>
                <w:szCs w:val="18"/>
              </w:rPr>
              <w:t>混凝土吸水量比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eastAsia="微软雅黑"/>
                <w:kern w:val="0"/>
                <w:sz w:val="18"/>
                <w:szCs w:val="18"/>
              </w:rPr>
            </w:pPr>
            <w:r>
              <w:rPr>
                <w:rFonts w:eastAsia="微软雅黑"/>
                <w:kern w:val="0"/>
                <w:sz w:val="18"/>
                <w:szCs w:val="18"/>
              </w:rPr>
              <w:t>%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≤65</w:t>
            </w:r>
          </w:p>
        </w:tc>
        <w:tc>
          <w:tcPr>
            <w:tcW w:w="794" w:type="dxa"/>
            <w:tcBorders>
              <w:left w:val="nil"/>
              <w:bottom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≤45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≤25</w:t>
            </w:r>
          </w:p>
        </w:tc>
        <w:tc>
          <w:tcPr>
            <w:tcW w:w="1179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987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28d</w:t>
            </w:r>
            <w:r>
              <w:rPr>
                <w:rFonts w:hint="eastAsia"/>
                <w:kern w:val="0"/>
                <w:sz w:val="18"/>
                <w:szCs w:val="18"/>
              </w:rPr>
              <w:t>混凝土氯离子迁移系数比（</w:t>
            </w:r>
            <w:r>
              <w:rPr>
                <w:kern w:val="0"/>
                <w:sz w:val="18"/>
                <w:szCs w:val="18"/>
              </w:rPr>
              <w:t>C50</w:t>
            </w:r>
            <w:r>
              <w:rPr>
                <w:rFonts w:hint="eastAsia"/>
                <w:kern w:val="0"/>
                <w:sz w:val="18"/>
                <w:szCs w:val="18"/>
              </w:rPr>
              <w:t>基准混凝土）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eastAsia="微软雅黑"/>
                <w:kern w:val="0"/>
                <w:sz w:val="18"/>
                <w:szCs w:val="18"/>
              </w:rPr>
            </w:pPr>
            <w:r>
              <w:rPr>
                <w:rFonts w:eastAsia="微软雅黑"/>
                <w:kern w:val="0"/>
                <w:sz w:val="18"/>
                <w:szCs w:val="18"/>
              </w:rPr>
              <w:t>%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≤80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≤75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≤50</w:t>
            </w:r>
          </w:p>
        </w:tc>
        <w:tc>
          <w:tcPr>
            <w:tcW w:w="117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50082</w:t>
            </w:r>
          </w:p>
        </w:tc>
      </w:tr>
    </w:tbl>
    <w:p>
      <w:pPr>
        <w:pStyle w:val="18"/>
        <w:ind w:firstLine="31680"/>
        <w:rPr>
          <w:rFonts w:ascii="Times New Roman"/>
          <w:szCs w:val="21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8 </w:t>
      </w:r>
      <w:r>
        <w:rPr>
          <w:rFonts w:hint="eastAsia" w:eastAsia="黑体"/>
          <w:color w:val="000000"/>
          <w:kern w:val="0"/>
        </w:rPr>
        <w:t>界面处理材料评价指标要求</w:t>
      </w:r>
    </w:p>
    <w:tbl>
      <w:tblPr>
        <w:tblStyle w:val="24"/>
        <w:tblW w:w="957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974"/>
        <w:gridCol w:w="1547"/>
        <w:gridCol w:w="901"/>
        <w:gridCol w:w="901"/>
        <w:gridCol w:w="901"/>
        <w:gridCol w:w="901"/>
        <w:gridCol w:w="13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521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901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703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32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17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3521" w:type="dxa"/>
            <w:gridSpan w:val="2"/>
            <w:noWrap/>
            <w:vAlign w:val="center"/>
          </w:tcPr>
          <w:p>
            <w:pPr>
              <w:pStyle w:val="142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901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703" w:type="dxa"/>
            <w:gridSpan w:val="3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328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11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1974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15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干粉类</w:t>
            </w:r>
          </w:p>
        </w:tc>
        <w:tc>
          <w:tcPr>
            <w:tcW w:w="9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01" w:type="dxa"/>
            <w:noWrap/>
            <w:vAlign w:val="center"/>
          </w:tcPr>
          <w:p>
            <w:pPr>
              <w:pStyle w:val="142"/>
              <w:spacing w:before="156" w:after="156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≤1.45</w:t>
            </w:r>
          </w:p>
        </w:tc>
        <w:tc>
          <w:tcPr>
            <w:tcW w:w="901" w:type="dxa"/>
            <w:vAlign w:val="center"/>
          </w:tcPr>
          <w:p>
            <w:pPr>
              <w:pStyle w:val="142"/>
              <w:spacing w:before="120" w:after="120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≤1.20</w:t>
            </w:r>
          </w:p>
        </w:tc>
        <w:tc>
          <w:tcPr>
            <w:tcW w:w="901" w:type="dxa"/>
            <w:vAlign w:val="center"/>
          </w:tcPr>
          <w:p>
            <w:pPr>
              <w:pStyle w:val="142"/>
              <w:spacing w:before="120" w:after="120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≤0.85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117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乳液类</w:t>
            </w:r>
          </w:p>
        </w:tc>
        <w:tc>
          <w:tcPr>
            <w:tcW w:w="9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01" w:type="dxa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≤3.5</w:t>
            </w:r>
          </w:p>
        </w:tc>
        <w:tc>
          <w:tcPr>
            <w:tcW w:w="9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≤3.0</w:t>
            </w:r>
          </w:p>
        </w:tc>
        <w:tc>
          <w:tcPr>
            <w:tcW w:w="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≤2.5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GB/T 35609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1974" w:type="dxa"/>
            <w:vMerge w:val="restart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有害物限值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甲醛</w:t>
            </w:r>
          </w:p>
        </w:tc>
        <w:tc>
          <w:tcPr>
            <w:tcW w:w="901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mg/m³</w:t>
            </w:r>
          </w:p>
        </w:tc>
        <w:tc>
          <w:tcPr>
            <w:tcW w:w="1802" w:type="dxa"/>
            <w:gridSpan w:val="2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328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HJ456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7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苯</w:t>
            </w:r>
          </w:p>
        </w:tc>
        <w:tc>
          <w:tcPr>
            <w:tcW w:w="901" w:type="dxa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mg/m³</w:t>
            </w:r>
          </w:p>
        </w:tc>
        <w:tc>
          <w:tcPr>
            <w:tcW w:w="1802" w:type="dxa"/>
            <w:gridSpan w:val="2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17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1974" w:type="dxa"/>
            <w:vMerge w:val="restart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剪切粘结强度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90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80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≥0.7</w:t>
            </w:r>
          </w:p>
        </w:tc>
        <w:tc>
          <w:tcPr>
            <w:tcW w:w="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≥1.0</w:t>
            </w:r>
          </w:p>
        </w:tc>
        <w:tc>
          <w:tcPr>
            <w:tcW w:w="1328" w:type="dxa"/>
            <w:vMerge w:val="restart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JC/T907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14d</w:t>
            </w:r>
          </w:p>
        </w:tc>
        <w:tc>
          <w:tcPr>
            <w:tcW w:w="90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80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≥1.0</w:t>
            </w:r>
          </w:p>
        </w:tc>
        <w:tc>
          <w:tcPr>
            <w:tcW w:w="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≥1.5</w:t>
            </w:r>
          </w:p>
        </w:tc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 w:val="restart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拉伸粘结强度</w:t>
            </w: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浸水处理</w:t>
            </w:r>
          </w:p>
        </w:tc>
        <w:tc>
          <w:tcPr>
            <w:tcW w:w="90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802" w:type="dxa"/>
            <w:gridSpan w:val="2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≥0.3</w:t>
            </w:r>
          </w:p>
        </w:tc>
        <w:tc>
          <w:tcPr>
            <w:tcW w:w="90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≥0.5</w:t>
            </w:r>
          </w:p>
        </w:tc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热处理</w:t>
            </w:r>
          </w:p>
        </w:tc>
        <w:tc>
          <w:tcPr>
            <w:tcW w:w="90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80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0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冻融循环处理</w:t>
            </w:r>
          </w:p>
        </w:tc>
        <w:tc>
          <w:tcPr>
            <w:tcW w:w="90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80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0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碱处理</w:t>
            </w:r>
          </w:p>
        </w:tc>
        <w:tc>
          <w:tcPr>
            <w:tcW w:w="90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80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0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</w:p>
        </w:tc>
      </w:tr>
    </w:tbl>
    <w:p>
      <w:pPr>
        <w:pStyle w:val="81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107" w:name="_Toc533518632"/>
      <w:r>
        <w:rPr>
          <w:rFonts w:hint="eastAsia" w:ascii="Times New Roman"/>
          <w:color w:val="000000"/>
        </w:rPr>
        <w:t>评价方法</w:t>
      </w:r>
      <w:bookmarkEnd w:id="107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kern w:val="0"/>
          <w:szCs w:val="20"/>
        </w:rPr>
      </w:pPr>
      <w:bookmarkStart w:id="108" w:name="_Toc350864010"/>
      <w:bookmarkStart w:id="109" w:name="_Toc384816571"/>
      <w:bookmarkStart w:id="110" w:name="_Toc360632449"/>
      <w:bookmarkStart w:id="111" w:name="_Toc360436771"/>
      <w:bookmarkStart w:id="112" w:name="_Toc396134056"/>
      <w:bookmarkStart w:id="113" w:name="_Toc360436858"/>
      <w:r>
        <w:t xml:space="preserve">5.1 </w:t>
      </w:r>
      <w:r>
        <w:rPr>
          <w:rFonts w:hint="eastAsia"/>
        </w:rPr>
        <w:t>生产企业</w:t>
      </w:r>
      <w:r>
        <w:rPr>
          <w:rFonts w:hint="eastAsia"/>
          <w:kern w:val="0"/>
          <w:szCs w:val="20"/>
        </w:rPr>
        <w:t>应按第</w:t>
      </w:r>
      <w:r>
        <w:rPr>
          <w:kern w:val="0"/>
          <w:szCs w:val="20"/>
        </w:rPr>
        <w:t>4</w:t>
      </w:r>
      <w:r>
        <w:rPr>
          <w:rFonts w:hint="eastAsia"/>
          <w:kern w:val="0"/>
          <w:szCs w:val="20"/>
        </w:rPr>
        <w:t>章的规定提供相关证明文件。</w:t>
      </w:r>
    </w:p>
    <w:p>
      <w:r>
        <w:t xml:space="preserve">5.2 </w:t>
      </w:r>
      <w:r>
        <w:rPr>
          <w:rFonts w:hint="eastAsia"/>
        </w:rPr>
        <w:t>工程修复材料相应指标的评价应按第</w:t>
      </w:r>
      <w:r>
        <w:t>4</w:t>
      </w:r>
      <w:r>
        <w:rPr>
          <w:rFonts w:hint="eastAsia"/>
        </w:rPr>
        <w:t>章表中列出的评价依据进行，产品基本性能应按相应产品的标准进行检测</w:t>
      </w:r>
      <w:bookmarkStart w:id="114" w:name="_Toc462063266"/>
      <w:bookmarkStart w:id="115" w:name="_Toc456611292"/>
      <w:bookmarkStart w:id="116" w:name="_Toc459106422"/>
      <w:r>
        <w:rPr>
          <w:rFonts w:hint="eastAsia" w:ascii="宋体" w:hAnsi="宋体"/>
        </w:rPr>
        <w:t>，可浸出重金属应按</w:t>
      </w:r>
      <w:r>
        <w:t>GB5085.3</w:t>
      </w:r>
      <w:r>
        <w:rPr>
          <w:rFonts w:hint="eastAsia" w:ascii="宋体" w:hAnsi="宋体"/>
        </w:rPr>
        <w:t>的规定进行，建筑材料放射性核素检测及限量应按</w:t>
      </w:r>
      <w:r>
        <w:rPr>
          <w:rFonts w:ascii="宋体" w:hAnsi="宋体"/>
        </w:rPr>
        <w:t xml:space="preserve">GB6566 </w:t>
      </w:r>
      <w:r>
        <w:rPr>
          <w:rFonts w:hint="eastAsia" w:ascii="宋体" w:hAnsi="宋体"/>
        </w:rPr>
        <w:t>进行</w:t>
      </w:r>
      <w:r>
        <w:rPr>
          <w:rFonts w:hint="eastAsia"/>
        </w:rPr>
        <w:t>。</w:t>
      </w:r>
    </w:p>
    <w:bookmarkEnd w:id="114"/>
    <w:bookmarkEnd w:id="115"/>
    <w:bookmarkEnd w:id="116"/>
    <w:p>
      <w:pPr>
        <w:autoSpaceDE w:val="0"/>
        <w:autoSpaceDN w:val="0"/>
        <w:adjustRightInd w:val="0"/>
        <w:rPr>
          <w:kern w:val="0"/>
        </w:rPr>
      </w:pPr>
      <w:r>
        <w:t xml:space="preserve">5.3 </w:t>
      </w:r>
      <w:r>
        <w:rPr>
          <w:rFonts w:hint="eastAsia"/>
        </w:rPr>
        <w:t>采用符合性评价，</w:t>
      </w:r>
      <w:r>
        <w:rPr>
          <w:rFonts w:hint="eastAsia"/>
          <w:kern w:val="0"/>
        </w:rPr>
        <w:t>生产企业满足第</w:t>
      </w:r>
      <w:r>
        <w:rPr>
          <w:kern w:val="0"/>
        </w:rPr>
        <w:t>4</w:t>
      </w:r>
      <w:r>
        <w:rPr>
          <w:rFonts w:hint="eastAsia"/>
          <w:kern w:val="0"/>
        </w:rPr>
        <w:t>章对某一评价等级的全部要求时，</w:t>
      </w:r>
      <w:r>
        <w:rPr>
          <w:rFonts w:hint="eastAsia"/>
        </w:rPr>
        <w:t>判定评价结果</w:t>
      </w:r>
      <w:r>
        <w:rPr>
          <w:rFonts w:hint="eastAsia"/>
          <w:kern w:val="0"/>
        </w:rPr>
        <w:t>符合该等级规定。</w:t>
      </w:r>
      <w:bookmarkEnd w:id="108"/>
      <w:bookmarkEnd w:id="109"/>
      <w:bookmarkEnd w:id="110"/>
      <w:bookmarkEnd w:id="111"/>
      <w:bookmarkEnd w:id="112"/>
      <w:bookmarkEnd w:id="113"/>
    </w:p>
    <w:p>
      <w:pPr>
        <w:autoSpaceDE w:val="0"/>
        <w:autoSpaceDN w:val="0"/>
        <w:adjustRightInd w:val="0"/>
        <w:rPr>
          <w:kern w:val="0"/>
        </w:rPr>
      </w:pPr>
    </w:p>
    <w:p>
      <w:pPr>
        <w:pStyle w:val="131"/>
      </w:pPr>
    </w:p>
    <w:p>
      <w:pPr>
        <w:pStyle w:val="150"/>
      </w:pPr>
      <w:bookmarkStart w:id="117" w:name="_Toc532820968"/>
      <w:bookmarkEnd w:id="117"/>
      <w:bookmarkStart w:id="118" w:name="_Toc532820840"/>
      <w:bookmarkEnd w:id="118"/>
    </w:p>
    <w:p>
      <w:pPr>
        <w:pStyle w:val="86"/>
        <w:rPr>
          <w:rFonts w:ascii="Times New Roman"/>
        </w:rPr>
      </w:pPr>
      <w:r>
        <w:rPr>
          <w:rFonts w:ascii="Times New Roman"/>
        </w:rPr>
        <w:br w:type="textWrapping"/>
      </w:r>
      <w:bookmarkStart w:id="119" w:name="_Toc524004822"/>
      <w:bookmarkStart w:id="120" w:name="_Toc532820841"/>
      <w:bookmarkStart w:id="121" w:name="_Toc532820969"/>
      <w:r>
        <w:rPr>
          <w:rFonts w:hint="eastAsia" w:ascii="Times New Roman"/>
        </w:rPr>
        <w:t>（规范性附录）</w:t>
      </w:r>
      <w:r>
        <w:rPr>
          <w:rFonts w:ascii="Times New Roman"/>
        </w:rPr>
        <w:br w:type="textWrapping"/>
      </w:r>
      <w:bookmarkEnd w:id="119"/>
      <w:r>
        <w:rPr>
          <w:rFonts w:hint="eastAsia" w:ascii="Times New Roman"/>
        </w:rPr>
        <w:t>评价指标计算方法</w:t>
      </w:r>
      <w:bookmarkEnd w:id="120"/>
      <w:bookmarkEnd w:id="121"/>
    </w:p>
    <w:p>
      <w:pPr>
        <w:pStyle w:val="72"/>
        <w:numPr>
          <w:ilvl w:val="1"/>
          <w:numId w:val="19"/>
        </w:numPr>
        <w:spacing w:before="312" w:after="312"/>
        <w:rPr>
          <w:rFonts w:ascii="Times New Roman"/>
          <w:kern w:val="0"/>
        </w:rPr>
      </w:pPr>
      <w:r>
        <w:rPr>
          <w:rFonts w:hint="eastAsia" w:ascii="Times New Roman"/>
          <w:kern w:val="0"/>
        </w:rPr>
        <w:t>生产过程产生废弃物利用率</w:t>
      </w:r>
    </w:p>
    <w:p>
      <w:pPr>
        <w:pStyle w:val="18"/>
        <w:ind w:firstLine="31680"/>
        <w:rPr>
          <w:rFonts w:ascii="Times New Roman"/>
        </w:rPr>
      </w:pPr>
      <w:bookmarkStart w:id="122" w:name="_Toc459106426"/>
      <w:bookmarkStart w:id="123" w:name="_Toc456611296"/>
      <w:r>
        <w:rPr>
          <w:rFonts w:hint="eastAsia" w:ascii="Times New Roman"/>
        </w:rPr>
        <w:t>原则上应以近</w:t>
      </w:r>
      <w:r>
        <w:rPr>
          <w:rFonts w:ascii="Times New Roman"/>
        </w:rPr>
        <w:t>12</w:t>
      </w:r>
      <w:r>
        <w:rPr>
          <w:rFonts w:hint="eastAsia" w:ascii="Times New Roman"/>
        </w:rPr>
        <w:t>个月作为统计期计算生产过程产生废弃物利用率的平均值。企业正式投产不足</w:t>
      </w:r>
      <w:r>
        <w:rPr>
          <w:rFonts w:ascii="Times New Roman"/>
        </w:rPr>
        <w:t>12</w:t>
      </w:r>
      <w:r>
        <w:rPr>
          <w:rFonts w:hint="eastAsia" w:ascii="Times New Roman"/>
        </w:rPr>
        <w:t>个月时，统计期可适当缩短，但不应少于</w:t>
      </w:r>
      <w:r>
        <w:rPr>
          <w:rFonts w:ascii="Times New Roman"/>
        </w:rPr>
        <w:t>6</w:t>
      </w:r>
      <w:r>
        <w:rPr>
          <w:rFonts w:hint="eastAsia" w:ascii="Times New Roman"/>
        </w:rPr>
        <w:t>个月。按公式（</w:t>
      </w:r>
      <w:r>
        <w:rPr>
          <w:rFonts w:ascii="Times New Roman"/>
          <w:szCs w:val="21"/>
        </w:rPr>
        <w:t>A.4</w:t>
      </w:r>
      <w:r>
        <w:rPr>
          <w:rFonts w:hint="eastAsia" w:ascii="Times New Roman"/>
        </w:rPr>
        <w:t>）计算：</w:t>
      </w:r>
    </w:p>
    <w:p>
      <w:pPr>
        <w:pStyle w:val="18"/>
        <w:ind w:firstLine="31680"/>
        <w:jc w:val="center"/>
        <w:rPr>
          <w:rFonts w:ascii="Times New Roman"/>
        </w:rPr>
      </w:pPr>
      <w:r>
        <w:rPr>
          <w:rFonts w:ascii="Times New Roman"/>
          <w:position w:val="-32"/>
        </w:rPr>
        <w:object>
          <v:shape id="_x0000_i1025" o:spt="75" type="#_x0000_t75" style="height:35.25pt;width:44.2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 xml:space="preserve"> …………………………………………(A.1)</w:t>
      </w:r>
    </w:p>
    <w:p>
      <w:pPr>
        <w:pStyle w:val="104"/>
        <w:ind w:firstLine="2415" w:firstLineChars="1150"/>
        <w:jc w:val="left"/>
        <w:rPr>
          <w:rFonts w:ascii="Times New Roman"/>
          <w:kern w:val="2"/>
          <w:szCs w:val="21"/>
        </w:rPr>
      </w:pPr>
      <w:r>
        <w:rPr>
          <w:rFonts w:ascii="Times New Roman"/>
        </w:rPr>
        <w:t xml:space="preserve">  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式中：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i/>
          <w:szCs w:val="21"/>
        </w:rPr>
        <w:t xml:space="preserve">R </w:t>
      </w:r>
      <w:r>
        <w:rPr>
          <w:szCs w:val="21"/>
        </w:rPr>
        <w:t>——</w:t>
      </w:r>
      <w:r>
        <w:rPr>
          <w:rFonts w:hint="eastAsia"/>
          <w:szCs w:val="21"/>
        </w:rPr>
        <w:t>生产过程产生固体废弃物利用率，</w:t>
      </w:r>
      <w:r>
        <w:rPr>
          <w:szCs w:val="21"/>
        </w:rPr>
        <w:t>%</w:t>
      </w:r>
      <w:r>
        <w:rPr>
          <w:rFonts w:hint="eastAsia"/>
          <w:szCs w:val="21"/>
        </w:rPr>
        <w:t>；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i/>
          <w:szCs w:val="21"/>
        </w:rPr>
        <w:t>M</w:t>
      </w:r>
      <w:r>
        <w:rPr>
          <w:iCs/>
          <w:szCs w:val="21"/>
          <w:vertAlign w:val="subscript"/>
        </w:rPr>
        <w:t>r</w:t>
      </w:r>
      <w:r>
        <w:rPr>
          <w:szCs w:val="21"/>
        </w:rPr>
        <w:t>——</w:t>
      </w:r>
      <w:r>
        <w:rPr>
          <w:rFonts w:hint="eastAsia"/>
          <w:szCs w:val="21"/>
        </w:rPr>
        <w:t>统计期内回收再利用的废弃物量，不含废水，单位为千克（</w:t>
      </w:r>
      <w:r>
        <w:rPr>
          <w:szCs w:val="21"/>
        </w:rPr>
        <w:t>kg</w:t>
      </w:r>
      <w:r>
        <w:rPr>
          <w:rFonts w:hint="eastAsia"/>
          <w:szCs w:val="21"/>
        </w:rPr>
        <w:t>）；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i/>
          <w:szCs w:val="21"/>
        </w:rPr>
        <w:t>M</w:t>
      </w:r>
      <w:r>
        <w:rPr>
          <w:iCs/>
          <w:szCs w:val="21"/>
          <w:vertAlign w:val="subscript"/>
        </w:rPr>
        <w:t>p</w:t>
      </w:r>
      <w:r>
        <w:rPr>
          <w:szCs w:val="21"/>
        </w:rPr>
        <w:t>——</w:t>
      </w:r>
      <w:r>
        <w:rPr>
          <w:rFonts w:hint="eastAsia"/>
          <w:szCs w:val="21"/>
        </w:rPr>
        <w:t>统计期内生产产生的废弃物总量，不含废水，单位为千克（</w:t>
      </w:r>
      <w:r>
        <w:rPr>
          <w:szCs w:val="21"/>
        </w:rPr>
        <w:t>kg</w:t>
      </w:r>
      <w:r>
        <w:rPr>
          <w:rFonts w:hint="eastAsia"/>
          <w:szCs w:val="21"/>
        </w:rPr>
        <w:t>）。</w:t>
      </w:r>
    </w:p>
    <w:p>
      <w:pPr>
        <w:pStyle w:val="72"/>
        <w:numPr>
          <w:ilvl w:val="1"/>
          <w:numId w:val="19"/>
        </w:numPr>
        <w:spacing w:before="312" w:after="312"/>
        <w:rPr>
          <w:rFonts w:ascii="Times New Roman"/>
          <w:kern w:val="0"/>
        </w:rPr>
      </w:pPr>
      <w:r>
        <w:rPr>
          <w:rFonts w:hint="eastAsia" w:ascii="Times New Roman"/>
          <w:kern w:val="0"/>
        </w:rPr>
        <w:t>固体废弃物掺加量</w:t>
      </w:r>
      <w:bookmarkEnd w:id="122"/>
      <w:bookmarkEnd w:id="123"/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原则上应以近</w:t>
      </w:r>
      <w:r>
        <w:rPr>
          <w:rFonts w:ascii="Times New Roman"/>
        </w:rPr>
        <w:t>12</w:t>
      </w:r>
      <w:r>
        <w:rPr>
          <w:rFonts w:hint="eastAsia" w:ascii="Times New Roman"/>
        </w:rPr>
        <w:t>个月作为统计期计算固体废弃物掺加量的平均值。企业正式投产不足</w:t>
      </w:r>
      <w:r>
        <w:rPr>
          <w:rFonts w:ascii="Times New Roman"/>
        </w:rPr>
        <w:t>12</w:t>
      </w:r>
      <w:r>
        <w:rPr>
          <w:rFonts w:hint="eastAsia" w:ascii="Times New Roman"/>
        </w:rPr>
        <w:t>个月时，统计期可适当缩短，但不应少于</w:t>
      </w:r>
      <w:r>
        <w:rPr>
          <w:rFonts w:ascii="Times New Roman"/>
        </w:rPr>
        <w:t>6</w:t>
      </w:r>
      <w:r>
        <w:rPr>
          <w:rFonts w:hint="eastAsia" w:ascii="Times New Roman"/>
        </w:rPr>
        <w:t>个月。按公式（</w:t>
      </w:r>
      <w:r>
        <w:rPr>
          <w:rFonts w:ascii="Times New Roman"/>
          <w:szCs w:val="21"/>
        </w:rPr>
        <w:t>A.2</w:t>
      </w:r>
      <w:r>
        <w:rPr>
          <w:rFonts w:hint="eastAsia" w:ascii="Times New Roman"/>
        </w:rPr>
        <w:t>）计算：</w:t>
      </w:r>
    </w:p>
    <w:p>
      <w:pPr>
        <w:pStyle w:val="18"/>
        <w:ind w:firstLine="31680"/>
        <w:rPr>
          <w:rFonts w:ascii="Times New Roman"/>
        </w:rPr>
      </w:pPr>
      <w:r>
        <w:rPr>
          <w:rFonts w:ascii="Times New Roman"/>
        </w:rPr>
        <w:t xml:space="preserve">           </w:t>
      </w:r>
      <w:r>
        <w:rPr>
          <w:rFonts w:ascii="Times New Roman"/>
          <w:position w:val="-30"/>
        </w:rPr>
        <w:object>
          <v:shape id="_x0000_i1026" o:spt="75" type="#_x0000_t75" style="height:33.75pt;width:84.7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8">
            <o:LockedField>false</o:LockedField>
          </o:OLEObject>
        </w:object>
      </w:r>
      <w:r>
        <w:rPr>
          <w:rFonts w:ascii="Times New Roman"/>
        </w:rPr>
        <w:t xml:space="preserve">  …………………………………………(A.2)    </w:t>
      </w:r>
    </w:p>
    <w:p>
      <w:pPr>
        <w:pStyle w:val="18"/>
        <w:spacing w:line="520" w:lineRule="exact"/>
        <w:ind w:firstLine="31680"/>
        <w:rPr>
          <w:rFonts w:ascii="Times New Roman"/>
        </w:rPr>
      </w:pPr>
      <w:r>
        <w:rPr>
          <w:rFonts w:hint="eastAsia" w:ascii="Times New Roman"/>
        </w:rPr>
        <w:t>式中：</w:t>
      </w:r>
    </w:p>
    <w:p>
      <w:pPr>
        <w:pStyle w:val="18"/>
        <w:spacing w:line="520" w:lineRule="exact"/>
        <w:ind w:firstLine="31680"/>
        <w:rPr>
          <w:rFonts w:ascii="Times New Roman"/>
        </w:rPr>
      </w:pPr>
      <w:r>
        <w:rPr>
          <w:rFonts w:ascii="Times New Roman"/>
          <w:i/>
        </w:rPr>
        <w:t xml:space="preserve">U </w:t>
      </w:r>
      <w:r>
        <w:rPr>
          <w:rFonts w:ascii="Times New Roman"/>
          <w:szCs w:val="21"/>
        </w:rPr>
        <w:t>——</w:t>
      </w:r>
      <w:r>
        <w:rPr>
          <w:rFonts w:hint="eastAsia" w:ascii="Times New Roman"/>
        </w:rPr>
        <w:t>固体废弃物掺加量，</w:t>
      </w:r>
      <w:r>
        <w:rPr>
          <w:rFonts w:ascii="Times New Roman"/>
        </w:rPr>
        <w:t>%</w:t>
      </w:r>
      <w:r>
        <w:rPr>
          <w:rFonts w:hint="eastAsia" w:ascii="Times New Roman"/>
        </w:rPr>
        <w:t>；</w:t>
      </w:r>
    </w:p>
    <w:p>
      <w:pPr>
        <w:pStyle w:val="18"/>
        <w:spacing w:line="520" w:lineRule="exact"/>
        <w:ind w:firstLine="31680"/>
        <w:rPr>
          <w:rFonts w:ascii="Times New Roman"/>
        </w:rPr>
      </w:pPr>
      <w:r>
        <w:rPr>
          <w:rFonts w:ascii="Times New Roman"/>
          <w:i/>
        </w:rPr>
        <w:t>M</w:t>
      </w:r>
      <w:r>
        <w:rPr>
          <w:rFonts w:ascii="Times New Roman"/>
          <w:iCs/>
          <w:vertAlign w:val="subscript"/>
        </w:rPr>
        <w:t>w</w:t>
      </w:r>
      <w:r>
        <w:rPr>
          <w:rFonts w:ascii="Times New Roman"/>
          <w:i/>
          <w:vertAlign w:val="subscript"/>
        </w:rPr>
        <w:t xml:space="preserve"> </w:t>
      </w:r>
      <w:r>
        <w:rPr>
          <w:rFonts w:ascii="Times New Roman"/>
          <w:szCs w:val="21"/>
        </w:rPr>
        <w:t>——</w:t>
      </w:r>
      <w:r>
        <w:rPr>
          <w:rFonts w:hint="eastAsia" w:ascii="Times New Roman"/>
        </w:rPr>
        <w:t>统计期内使用的外购固体废弃物总量，不含水，单位为吨（</w:t>
      </w:r>
      <w:r>
        <w:rPr>
          <w:rFonts w:ascii="Times New Roman"/>
        </w:rPr>
        <w:t>t</w:t>
      </w:r>
      <w:r>
        <w:rPr>
          <w:rFonts w:hint="eastAsia" w:ascii="Times New Roman"/>
        </w:rPr>
        <w:t>）；</w:t>
      </w:r>
    </w:p>
    <w:p>
      <w:pPr>
        <w:pStyle w:val="18"/>
        <w:spacing w:line="520" w:lineRule="exact"/>
        <w:ind w:firstLine="31680"/>
        <w:rPr>
          <w:rFonts w:ascii="Times New Roman"/>
        </w:rPr>
      </w:pPr>
      <w:r>
        <w:rPr>
          <w:rFonts w:ascii="Times New Roman"/>
          <w:i/>
        </w:rPr>
        <w:t>M</w:t>
      </w:r>
      <w:r>
        <w:rPr>
          <w:rFonts w:ascii="Times New Roman"/>
          <w:iCs/>
          <w:vertAlign w:val="subscript"/>
        </w:rPr>
        <w:t>t</w:t>
      </w:r>
      <w:r>
        <w:rPr>
          <w:rFonts w:ascii="Times New Roman"/>
          <w:iCs/>
        </w:rPr>
        <w:t xml:space="preserve"> </w:t>
      </w:r>
      <w:r>
        <w:rPr>
          <w:rFonts w:ascii="Times New Roman"/>
        </w:rPr>
        <w:t>——</w:t>
      </w:r>
      <w:r>
        <w:rPr>
          <w:rFonts w:hint="eastAsia" w:ascii="Times New Roman"/>
        </w:rPr>
        <w:t>统计期内使用的原材料总量，不含水，单位为吨（</w:t>
      </w:r>
      <w:r>
        <w:rPr>
          <w:rFonts w:ascii="Times New Roman"/>
        </w:rPr>
        <w:t>t</w:t>
      </w:r>
      <w:r>
        <w:rPr>
          <w:rFonts w:hint="eastAsia" w:ascii="Times New Roman"/>
        </w:rPr>
        <w:t>）。</w:t>
      </w:r>
    </w:p>
    <w:p>
      <w:pPr>
        <w:pStyle w:val="72"/>
        <w:numPr>
          <w:ilvl w:val="1"/>
          <w:numId w:val="19"/>
        </w:numPr>
        <w:spacing w:before="312" w:after="312"/>
        <w:rPr>
          <w:rFonts w:ascii="Times New Roman"/>
        </w:rPr>
      </w:pPr>
      <w:r>
        <w:rPr>
          <w:rFonts w:hint="eastAsia" w:ascii="Times New Roman"/>
        </w:rPr>
        <w:t>单位产品废水排放量</w:t>
      </w:r>
    </w:p>
    <w:p>
      <w:pPr>
        <w:pStyle w:val="18"/>
        <w:ind w:firstLine="31680"/>
        <w:rPr>
          <w:rFonts w:ascii="Times New Roman"/>
        </w:rPr>
      </w:pPr>
      <w:r>
        <w:rPr>
          <w:rFonts w:hint="eastAsia" w:ascii="Times New Roman"/>
        </w:rPr>
        <w:t>原则上应以近</w:t>
      </w:r>
      <w:r>
        <w:rPr>
          <w:rFonts w:ascii="Times New Roman"/>
        </w:rPr>
        <w:t>12</w:t>
      </w:r>
      <w:r>
        <w:rPr>
          <w:rFonts w:hint="eastAsia" w:ascii="Times New Roman"/>
        </w:rPr>
        <w:t>个月作为统计期计算生产过程单位产品废水排放量的平均值。企业正式投产不足</w:t>
      </w:r>
      <w:r>
        <w:rPr>
          <w:rFonts w:ascii="Times New Roman"/>
        </w:rPr>
        <w:t>12</w:t>
      </w:r>
      <w:r>
        <w:rPr>
          <w:rFonts w:hint="eastAsia" w:ascii="Times New Roman"/>
        </w:rPr>
        <w:t>个月时，统计期可适当缩短，但不应少于</w:t>
      </w:r>
      <w:r>
        <w:rPr>
          <w:rFonts w:ascii="Times New Roman"/>
        </w:rPr>
        <w:t>6</w:t>
      </w:r>
      <w:r>
        <w:rPr>
          <w:rFonts w:hint="eastAsia" w:ascii="Times New Roman"/>
        </w:rPr>
        <w:t>个月。每生产</w:t>
      </w:r>
      <w:r>
        <w:rPr>
          <w:rFonts w:ascii="Times New Roman"/>
        </w:rPr>
        <w:t>1t</w:t>
      </w:r>
      <w:r>
        <w:rPr>
          <w:rFonts w:hint="eastAsia" w:ascii="Times New Roman"/>
        </w:rPr>
        <w:t>产品排放的废水量即单位产品废水排放量，按公式（</w:t>
      </w:r>
      <w:r>
        <w:rPr>
          <w:rFonts w:ascii="Times New Roman"/>
        </w:rPr>
        <w:t>A.3</w:t>
      </w:r>
      <w:r>
        <w:rPr>
          <w:rFonts w:hint="eastAsia" w:ascii="Times New Roman"/>
        </w:rPr>
        <w:t>）计算：</w:t>
      </w:r>
    </w:p>
    <w:p>
      <w:pPr>
        <w:pStyle w:val="18"/>
        <w:ind w:firstLine="31680"/>
        <w:rPr>
          <w:rFonts w:ascii="Times New Roman"/>
        </w:rPr>
      </w:pPr>
    </w:p>
    <w:p>
      <w:pPr>
        <w:pStyle w:val="18"/>
        <w:ind w:firstLine="0" w:firstLineChars="0"/>
        <w:rPr>
          <w:rFonts w:ascii="Times New Roman"/>
        </w:rPr>
      </w:pPr>
      <w:r>
        <w:rPr>
          <w:rFonts w:ascii="Times New Roman"/>
        </w:rPr>
        <w:t xml:space="preserve">                          </w:t>
      </w:r>
      <w:r>
        <w:rPr>
          <w:rFonts w:ascii="Times New Roman"/>
          <w:position w:val="-32"/>
        </w:rPr>
        <w:object>
          <v:shape id="_x0000_i1027" o:spt="75" type="#_x0000_t75" style="height:35.25pt;width:41.2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0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 xml:space="preserve"> …………………………………………(A.3)   </w:t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QUOTE  </w:instrText>
      </w:r>
      <w:r>
        <w:rPr>
          <w:rFonts w:ascii="Times New Roman"/>
        </w:rPr>
        <w:fldChar w:fldCharType="end"/>
      </w:r>
      <w:r>
        <w:rPr>
          <w:rFonts w:ascii="Times New Roman"/>
        </w:rPr>
        <w:t xml:space="preserve"> </w:t>
      </w:r>
    </w:p>
    <w:p>
      <w:pPr>
        <w:pStyle w:val="18"/>
        <w:spacing w:line="520" w:lineRule="exact"/>
        <w:ind w:firstLine="31680"/>
        <w:rPr>
          <w:rFonts w:ascii="Times New Roman"/>
        </w:rPr>
      </w:pPr>
      <w:r>
        <w:rPr>
          <w:rFonts w:ascii="Times New Roman"/>
          <w:i/>
        </w:rPr>
        <w:t>V</w:t>
      </w:r>
      <w:r>
        <w:rPr>
          <w:rFonts w:ascii="Times New Roman"/>
          <w:iCs/>
          <w:vertAlign w:val="subscript"/>
        </w:rPr>
        <w:t>j</w:t>
      </w:r>
      <w:r>
        <w:rPr>
          <w:rFonts w:ascii="Times New Roman"/>
        </w:rPr>
        <w:t>——</w:t>
      </w:r>
      <w:r>
        <w:rPr>
          <w:rFonts w:hint="eastAsia" w:ascii="Times New Roman"/>
        </w:rPr>
        <w:t>单位产品废水排放量，单位为吨每吨（</w:t>
      </w:r>
      <w:r>
        <w:rPr>
          <w:rFonts w:ascii="Times New Roman"/>
        </w:rPr>
        <w:t>t/t</w:t>
      </w:r>
      <w:r>
        <w:rPr>
          <w:rFonts w:hint="eastAsia" w:ascii="Times New Roman"/>
        </w:rPr>
        <w:t>）；</w:t>
      </w:r>
    </w:p>
    <w:p>
      <w:pPr>
        <w:pStyle w:val="18"/>
        <w:spacing w:line="520" w:lineRule="exact"/>
        <w:ind w:firstLine="31680"/>
        <w:rPr>
          <w:rFonts w:ascii="Times New Roman"/>
        </w:rPr>
      </w:pPr>
      <w:r>
        <w:rPr>
          <w:rFonts w:ascii="Times New Roman"/>
          <w:i/>
        </w:rPr>
        <w:t>V</w:t>
      </w:r>
      <w:r>
        <w:rPr>
          <w:rFonts w:ascii="Times New Roman"/>
          <w:iCs/>
          <w:vertAlign w:val="subscript"/>
        </w:rPr>
        <w:t>w</w:t>
      </w:r>
      <w:r>
        <w:rPr>
          <w:rFonts w:ascii="Times New Roman"/>
          <w:i/>
          <w:vertAlign w:val="subscript"/>
        </w:rPr>
        <w:t xml:space="preserve"> </w:t>
      </w:r>
      <w:r>
        <w:rPr>
          <w:rFonts w:ascii="Times New Roman"/>
        </w:rPr>
        <w:t>——</w:t>
      </w:r>
      <w:r>
        <w:rPr>
          <w:rFonts w:hint="eastAsia" w:ascii="Times New Roman"/>
        </w:rPr>
        <w:t>统计期内产品生产废水排放量，单位为吨（</w:t>
      </w:r>
      <w:r>
        <w:rPr>
          <w:rFonts w:ascii="Times New Roman"/>
        </w:rPr>
        <w:t>t</w:t>
      </w:r>
      <w:r>
        <w:rPr>
          <w:rFonts w:hint="eastAsia" w:ascii="Times New Roman"/>
        </w:rPr>
        <w:t>）；</w:t>
      </w:r>
    </w:p>
    <w:p>
      <w:pPr>
        <w:pStyle w:val="18"/>
        <w:ind w:firstLine="31680"/>
        <w:rPr>
          <w:rFonts w:ascii="Times New Roman"/>
        </w:rPr>
      </w:pPr>
      <w:r>
        <w:rPr>
          <w:rFonts w:ascii="Times New Roman"/>
          <w:i/>
        </w:rPr>
        <w:t>P</w:t>
      </w:r>
      <w:r>
        <w:rPr>
          <w:rFonts w:ascii="Times New Roman"/>
        </w:rPr>
        <w:t>——</w:t>
      </w:r>
      <w:r>
        <w:rPr>
          <w:rFonts w:hint="eastAsia" w:ascii="Times New Roman"/>
        </w:rPr>
        <w:t>统计期内符合相关标准的合格产品总产量，单位为吨（</w:t>
      </w:r>
      <w:r>
        <w:rPr>
          <w:rFonts w:ascii="Times New Roman"/>
        </w:rPr>
        <w:t>t</w:t>
      </w:r>
      <w:r>
        <w:rPr>
          <w:rFonts w:hint="eastAsia" w:ascii="Times New Roman"/>
        </w:rPr>
        <w:t>）。</w:t>
      </w:r>
    </w:p>
    <w:p>
      <w:pPr>
        <w:pStyle w:val="74"/>
      </w:pPr>
      <w:r>
        <w:t>_________________________________</w:t>
      </w:r>
    </w:p>
    <w:sectPr>
      <w:pgSz w:w="11906" w:h="16838"/>
      <w:pgMar w:top="567" w:right="1134" w:bottom="1134" w:left="1418" w:header="1418" w:footer="1134" w:gutter="0"/>
      <w:pgNumType w:start="1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Kozuka Mincho Pro M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8"/>
    </w:pPr>
    <w:r>
      <w:fldChar w:fldCharType="begin"/>
    </w:r>
    <w:r>
      <w:instrText xml:space="preserve"> PAGE  \* MERGEFORMAT </w:instrText>
    </w:r>
    <w:r>
      <w:fldChar w:fldCharType="separate"/>
    </w:r>
    <w:r>
      <w:t>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0"/>
    </w:pPr>
    <w:r>
      <w:t>T/ CECS 1000X—XXXX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32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</w:abstractNum>
  <w:abstractNum w:abstractNumId="1">
    <w:nsid w:val="093C6778"/>
    <w:multiLevelType w:val="multilevel"/>
    <w:tmpl w:val="093C6778"/>
    <w:lvl w:ilvl="0" w:tentative="0">
      <w:start w:val="1"/>
      <w:numFmt w:val="decimal"/>
      <w:pStyle w:val="45"/>
      <w:suff w:val="nothing"/>
      <w:lvlText w:val="示例%1："/>
      <w:lvlJc w:val="left"/>
      <w:pPr>
        <w:ind w:firstLine="397"/>
      </w:pPr>
      <w:rPr>
        <w:rFonts w:hint="eastAsia" w:ascii="黑体" w:eastAsia="黑体" w:cs="Times New Roman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 w:cs="Times New Roman"/>
      </w:rPr>
    </w:lvl>
  </w:abstractNum>
  <w:abstractNum w:abstractNumId="2">
    <w:nsid w:val="0AE367E9"/>
    <w:multiLevelType w:val="multilevel"/>
    <w:tmpl w:val="0AE367E9"/>
    <w:lvl w:ilvl="0" w:tentative="0">
      <w:start w:val="1"/>
      <w:numFmt w:val="none"/>
      <w:pStyle w:val="146"/>
      <w:suff w:val="nothing"/>
      <w:lvlText w:val="%1示例："/>
      <w:lvlJc w:val="left"/>
      <w:pPr>
        <w:ind w:firstLine="363"/>
      </w:pPr>
      <w:rPr>
        <w:rFonts w:hint="eastAsia" w:ascii="黑体" w:eastAsia="黑体" w:cs="Times New Roman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</w:abstractNum>
  <w:abstractNum w:abstractNumId="3">
    <w:nsid w:val="0DDE2B46"/>
    <w:multiLevelType w:val="multilevel"/>
    <w:tmpl w:val="0DDE2B46"/>
    <w:lvl w:ilvl="0" w:tentative="0">
      <w:start w:val="1"/>
      <w:numFmt w:val="lowerLetter"/>
      <w:pStyle w:val="103"/>
      <w:suff w:val="nothing"/>
      <w:lvlText w:val="%1   "/>
      <w:lvlJc w:val="left"/>
      <w:pPr>
        <w:ind w:left="544" w:hanging="181"/>
      </w:pPr>
      <w:rPr>
        <w:rFonts w:hint="eastAsia" w:ascii="宋体" w:eastAsia="宋体" w:cs="Times New Roman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</w:abstractNum>
  <w:abstractNum w:abstractNumId="4">
    <w:nsid w:val="1DBF583A"/>
    <w:multiLevelType w:val="multilevel"/>
    <w:tmpl w:val="1DBF583A"/>
    <w:lvl w:ilvl="0" w:tentative="0">
      <w:start w:val="1"/>
      <w:numFmt w:val="decimal"/>
      <w:pStyle w:val="141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</w:abstractNum>
  <w:abstractNum w:abstractNumId="5">
    <w:nsid w:val="1FC91163"/>
    <w:multiLevelType w:val="multilevel"/>
    <w:tmpl w:val="1FC91163"/>
    <w:lvl w:ilvl="0" w:tentative="0">
      <w:start w:val="1"/>
      <w:numFmt w:val="decimal"/>
      <w:pStyle w:val="81"/>
      <w:suff w:val="nothing"/>
      <w:lvlText w:val="%1　"/>
      <w:lvlJc w:val="left"/>
      <w:rPr>
        <w:rFonts w:hint="eastAsia" w:ascii="黑体" w:hAnsi="Times New Roman" w:eastAsia="黑体" w:cs="Times New Roman"/>
        <w:b w:val="0"/>
        <w:i w:val="0"/>
        <w:sz w:val="21"/>
        <w:szCs w:val="21"/>
      </w:rPr>
    </w:lvl>
    <w:lvl w:ilvl="1" w:tentative="0">
      <w:start w:val="1"/>
      <w:numFmt w:val="decimal"/>
      <w:pStyle w:val="59"/>
      <w:suff w:val="nothing"/>
      <w:lvlText w:val="%1.%2　"/>
      <w:lvlJc w:val="left"/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58"/>
      <w:suff w:val="nothing"/>
      <w:lvlText w:val="%1.%2.%3　"/>
      <w:lvlJc w:val="left"/>
      <w:pPr>
        <w:ind w:left="993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57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56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6">
    <w:nsid w:val="2A8F7113"/>
    <w:multiLevelType w:val="multilevel"/>
    <w:tmpl w:val="2A8F7113"/>
    <w:lvl w:ilvl="0" w:tentative="0">
      <w:start w:val="1"/>
      <w:numFmt w:val="upperLetter"/>
      <w:pStyle w:val="131"/>
      <w:suff w:val="space"/>
      <w:lvlText w:val="%1"/>
      <w:lvlJc w:val="left"/>
      <w:pPr>
        <w:ind w:left="623" w:hanging="425"/>
      </w:pPr>
      <w:rPr>
        <w:rFonts w:hint="eastAsia" w:cs="Times New Roman"/>
      </w:rPr>
    </w:lvl>
    <w:lvl w:ilvl="1" w:tentative="0">
      <w:start w:val="1"/>
      <w:numFmt w:val="decimal"/>
      <w:pStyle w:val="83"/>
      <w:suff w:val="nothing"/>
      <w:lvlText w:val="图%1.%2　"/>
      <w:lvlJc w:val="left"/>
      <w:pPr>
        <w:ind w:left="1190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 w:cs="Times New Roman"/>
      </w:rPr>
    </w:lvl>
  </w:abstractNum>
  <w:abstractNum w:abstractNumId="7">
    <w:nsid w:val="2C5917C3"/>
    <w:multiLevelType w:val="multilevel"/>
    <w:tmpl w:val="2C5917C3"/>
    <w:lvl w:ilvl="0" w:tentative="0">
      <w:start w:val="1"/>
      <w:numFmt w:val="none"/>
      <w:pStyle w:val="78"/>
      <w:suff w:val="nothing"/>
      <w:lvlText w:val="%1——"/>
      <w:lvlJc w:val="left"/>
      <w:pPr>
        <w:ind w:left="833" w:hanging="408"/>
      </w:pPr>
      <w:rPr>
        <w:rFonts w:hint="eastAsia" w:cs="Times New Roman"/>
      </w:rPr>
    </w:lvl>
    <w:lvl w:ilvl="1" w:tentative="0">
      <w:start w:val="1"/>
      <w:numFmt w:val="bullet"/>
      <w:pStyle w:val="145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 w:cs="Times New Roman"/>
      </w:rPr>
    </w:lvl>
  </w:abstractNum>
  <w:abstractNum w:abstractNumId="8">
    <w:nsid w:val="3D733618"/>
    <w:multiLevelType w:val="multilevel"/>
    <w:tmpl w:val="3D733618"/>
    <w:lvl w:ilvl="0" w:tentative="0">
      <w:start w:val="1"/>
      <w:numFmt w:val="decimal"/>
      <w:pStyle w:val="19"/>
      <w:lvlText w:val="%1)"/>
      <w:lvlJc w:val="left"/>
      <w:pPr>
        <w:tabs>
          <w:tab w:val="left" w:pos="0"/>
        </w:tabs>
        <w:ind w:left="720" w:hanging="357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 w:cs="Times New Roman"/>
      </w:rPr>
    </w:lvl>
  </w:abstractNum>
  <w:abstractNum w:abstractNumId="9">
    <w:nsid w:val="44C50F90"/>
    <w:multiLevelType w:val="multilevel"/>
    <w:tmpl w:val="44C50F90"/>
    <w:lvl w:ilvl="0" w:tentative="0">
      <w:start w:val="1"/>
      <w:numFmt w:val="lowerLetter"/>
      <w:pStyle w:val="125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 w:cs="Times New Roman"/>
        <w:b w:val="0"/>
        <w:i w:val="0"/>
        <w:sz w:val="21"/>
        <w:szCs w:val="21"/>
      </w:rPr>
    </w:lvl>
    <w:lvl w:ilvl="1" w:tentative="0">
      <w:start w:val="1"/>
      <w:numFmt w:val="decimal"/>
      <w:pStyle w:val="122"/>
      <w:lvlText w:val="%2)"/>
      <w:lvlJc w:val="left"/>
      <w:pPr>
        <w:tabs>
          <w:tab w:val="left" w:pos="1260"/>
        </w:tabs>
        <w:ind w:left="1259" w:hanging="419"/>
      </w:pPr>
      <w:rPr>
        <w:rFonts w:hint="eastAsia" w:cs="Times New Roman"/>
      </w:rPr>
    </w:lvl>
    <w:lvl w:ilvl="2" w:tentative="0">
      <w:start w:val="1"/>
      <w:numFmt w:val="decimal"/>
      <w:pStyle w:val="138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 w:cs="Times New Roman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 w:cs="Times New Roman"/>
      </w:rPr>
    </w:lvl>
  </w:abstractNum>
  <w:abstractNum w:abstractNumId="10">
    <w:nsid w:val="4B733A5F"/>
    <w:multiLevelType w:val="multilevel"/>
    <w:tmpl w:val="4B733A5F"/>
    <w:lvl w:ilvl="0" w:tentative="0">
      <w:start w:val="1"/>
      <w:numFmt w:val="decimal"/>
      <w:pStyle w:val="119"/>
      <w:suff w:val="nothing"/>
      <w:lvlText w:val="示例%1："/>
      <w:lvlJc w:val="left"/>
      <w:pPr>
        <w:ind w:firstLine="363"/>
      </w:pPr>
      <w:rPr>
        <w:rFonts w:hint="eastAsia" w:ascii="黑体" w:hAnsi="Times New Roman" w:eastAsia="黑体" w:cs="Times New Roman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rPr>
        <w:rFonts w:hint="eastAsia" w:cs="Times New Roman"/>
        <w:vertAlign w:val="baseline"/>
      </w:rPr>
    </w:lvl>
    <w:lvl w:ilvl="2" w:tentative="0">
      <w:start w:val="1"/>
      <w:numFmt w:val="decimal"/>
      <w:suff w:val="space"/>
      <w:lvlText w:val="2.2.%3"/>
      <w:lvlJc w:val="left"/>
      <w:rPr>
        <w:rFonts w:hint="eastAsia" w:cs="Times New Roman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</w:abstractNum>
  <w:abstractNum w:abstractNumId="11">
    <w:nsid w:val="50616D8B"/>
    <w:multiLevelType w:val="multilevel"/>
    <w:tmpl w:val="50616D8B"/>
    <w:lvl w:ilvl="0" w:tentative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557C2AF5"/>
    <w:multiLevelType w:val="multilevel"/>
    <w:tmpl w:val="557C2AF5"/>
    <w:lvl w:ilvl="0" w:tentative="0">
      <w:start w:val="1"/>
      <w:numFmt w:val="decimal"/>
      <w:pStyle w:val="112"/>
      <w:suff w:val="nothing"/>
      <w:lvlText w:val="图%1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13">
    <w:nsid w:val="60B55DC2"/>
    <w:multiLevelType w:val="multilevel"/>
    <w:tmpl w:val="60B55DC2"/>
    <w:lvl w:ilvl="0" w:tentative="0">
      <w:start w:val="1"/>
      <w:numFmt w:val="upperLetter"/>
      <w:pStyle w:val="150"/>
      <w:lvlText w:val="%1"/>
      <w:lvlJc w:val="left"/>
      <w:pPr>
        <w:tabs>
          <w:tab w:val="left" w:pos="0"/>
        </w:tabs>
        <w:ind w:hanging="425"/>
      </w:pPr>
      <w:rPr>
        <w:rFonts w:hint="eastAsia" w:cs="Times New Roman"/>
      </w:rPr>
    </w:lvl>
    <w:lvl w:ilvl="1" w:tentative="0">
      <w:start w:val="1"/>
      <w:numFmt w:val="decimal"/>
      <w:pStyle w:val="137"/>
      <w:suff w:val="nothing"/>
      <w:lvlText w:val="表%1.%2　"/>
      <w:lvlJc w:val="left"/>
      <w:pPr>
        <w:ind w:left="567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 w:cs="Times New Roman"/>
      </w:rPr>
    </w:lvl>
  </w:abstractNum>
  <w:abstractNum w:abstractNumId="14">
    <w:nsid w:val="646260FA"/>
    <w:multiLevelType w:val="multilevel"/>
    <w:tmpl w:val="646260FA"/>
    <w:lvl w:ilvl="0" w:tentative="0">
      <w:start w:val="1"/>
      <w:numFmt w:val="decimal"/>
      <w:pStyle w:val="100"/>
      <w:suff w:val="nothing"/>
      <w:lvlText w:val="表%1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5">
    <w:nsid w:val="657D3FBC"/>
    <w:multiLevelType w:val="multilevel"/>
    <w:tmpl w:val="657D3FBC"/>
    <w:lvl w:ilvl="0" w:tentative="0">
      <w:start w:val="1"/>
      <w:numFmt w:val="upperLetter"/>
      <w:pStyle w:val="86"/>
      <w:suff w:val="nothing"/>
      <w:lvlText w:val="附　录　%1"/>
      <w:lvlJc w:val="left"/>
      <w:rPr>
        <w:rFonts w:hint="eastAsia" w:ascii="黑体" w:hAnsi="Times New Roman" w:eastAsia="黑体" w:cs="Times New Roman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72"/>
      <w:suff w:val="nothing"/>
      <w:lvlText w:val="%1.%2　"/>
      <w:lvlJc w:val="left"/>
      <w:rPr>
        <w:rFonts w:hint="eastAsia" w:ascii="黑体" w:hAnsi="Times New Roman" w:eastAsia="黑体" w:cs="Times New Roman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71"/>
      <w:suff w:val="nothing"/>
      <w:lvlText w:val="%1.%2.%3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77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76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pStyle w:val="75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pStyle w:val="82"/>
      <w:suff w:val="nothing"/>
      <w:lvlText w:val="%1.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6">
    <w:nsid w:val="6D6C07CD"/>
    <w:multiLevelType w:val="multilevel"/>
    <w:tmpl w:val="6D6C07CD"/>
    <w:lvl w:ilvl="0" w:tentative="0">
      <w:start w:val="1"/>
      <w:numFmt w:val="lowerLetter"/>
      <w:pStyle w:val="136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 w:cs="Times New Roman"/>
        <w:b w:val="0"/>
        <w:i w:val="0"/>
        <w:sz w:val="21"/>
      </w:rPr>
    </w:lvl>
    <w:lvl w:ilvl="1" w:tentative="0">
      <w:start w:val="1"/>
      <w:numFmt w:val="decimal"/>
      <w:pStyle w:val="95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 w:cs="Times New Roman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 w:cs="Times New Roman"/>
      </w:rPr>
    </w:lvl>
  </w:abstractNum>
  <w:abstractNum w:abstractNumId="17">
    <w:nsid w:val="6DBF04F4"/>
    <w:multiLevelType w:val="multilevel"/>
    <w:tmpl w:val="6DBF04F4"/>
    <w:lvl w:ilvl="0" w:tentative="0">
      <w:start w:val="1"/>
      <w:numFmt w:val="none"/>
      <w:pStyle w:val="111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15"/>
  </w:num>
  <w:num w:numId="5">
    <w:abstractNumId w:val="7"/>
  </w:num>
  <w:num w:numId="6">
    <w:abstractNumId w:val="6"/>
  </w:num>
  <w:num w:numId="7">
    <w:abstractNumId w:val="16"/>
  </w:num>
  <w:num w:numId="8">
    <w:abstractNumId w:val="14"/>
  </w:num>
  <w:num w:numId="9">
    <w:abstractNumId w:val="3"/>
  </w:num>
  <w:num w:numId="10">
    <w:abstractNumId w:val="17"/>
  </w:num>
  <w:num w:numId="11">
    <w:abstractNumId w:val="12"/>
  </w:num>
  <w:num w:numId="12">
    <w:abstractNumId w:val="10"/>
  </w:num>
  <w:num w:numId="13">
    <w:abstractNumId w:val="9"/>
  </w:num>
  <w:num w:numId="14">
    <w:abstractNumId w:val="0"/>
  </w:num>
  <w:num w:numId="15">
    <w:abstractNumId w:val="13"/>
  </w:num>
  <w:num w:numId="16">
    <w:abstractNumId w:val="4"/>
  </w:num>
  <w:num w:numId="17">
    <w:abstractNumId w:val="2"/>
  </w:num>
  <w:num w:numId="18">
    <w:abstractNumId w:val="11"/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0244"/>
    <w:rsid w:val="0000185F"/>
    <w:rsid w:val="0000586F"/>
    <w:rsid w:val="00007D81"/>
    <w:rsid w:val="00013D86"/>
    <w:rsid w:val="00013E02"/>
    <w:rsid w:val="0002143C"/>
    <w:rsid w:val="00025A65"/>
    <w:rsid w:val="00026C31"/>
    <w:rsid w:val="00026F4A"/>
    <w:rsid w:val="00027280"/>
    <w:rsid w:val="00031803"/>
    <w:rsid w:val="000320A7"/>
    <w:rsid w:val="00035925"/>
    <w:rsid w:val="00036621"/>
    <w:rsid w:val="00040B15"/>
    <w:rsid w:val="00045561"/>
    <w:rsid w:val="0004726A"/>
    <w:rsid w:val="00047596"/>
    <w:rsid w:val="00047733"/>
    <w:rsid w:val="00050B96"/>
    <w:rsid w:val="0005187B"/>
    <w:rsid w:val="00065009"/>
    <w:rsid w:val="00067CDF"/>
    <w:rsid w:val="00074FBE"/>
    <w:rsid w:val="00083A09"/>
    <w:rsid w:val="000840F0"/>
    <w:rsid w:val="0009005E"/>
    <w:rsid w:val="00092670"/>
    <w:rsid w:val="00092857"/>
    <w:rsid w:val="000A1174"/>
    <w:rsid w:val="000A1D7C"/>
    <w:rsid w:val="000A20A9"/>
    <w:rsid w:val="000A337E"/>
    <w:rsid w:val="000A48B1"/>
    <w:rsid w:val="000A72F2"/>
    <w:rsid w:val="000B014C"/>
    <w:rsid w:val="000B3143"/>
    <w:rsid w:val="000B4E32"/>
    <w:rsid w:val="000C0FAB"/>
    <w:rsid w:val="000C6B05"/>
    <w:rsid w:val="000C6DD6"/>
    <w:rsid w:val="000C73D4"/>
    <w:rsid w:val="000D3D4C"/>
    <w:rsid w:val="000D4F51"/>
    <w:rsid w:val="000D718B"/>
    <w:rsid w:val="000E0C46"/>
    <w:rsid w:val="000F030C"/>
    <w:rsid w:val="000F129C"/>
    <w:rsid w:val="001049B7"/>
    <w:rsid w:val="001056DE"/>
    <w:rsid w:val="001069E8"/>
    <w:rsid w:val="001124C0"/>
    <w:rsid w:val="00117987"/>
    <w:rsid w:val="0013175F"/>
    <w:rsid w:val="00147666"/>
    <w:rsid w:val="001512B4"/>
    <w:rsid w:val="00157980"/>
    <w:rsid w:val="001620A5"/>
    <w:rsid w:val="00164E53"/>
    <w:rsid w:val="0016699D"/>
    <w:rsid w:val="00172A27"/>
    <w:rsid w:val="00175159"/>
    <w:rsid w:val="00176208"/>
    <w:rsid w:val="0018211B"/>
    <w:rsid w:val="001823BE"/>
    <w:rsid w:val="00182CDD"/>
    <w:rsid w:val="001840D3"/>
    <w:rsid w:val="001900F8"/>
    <w:rsid w:val="00191258"/>
    <w:rsid w:val="00192680"/>
    <w:rsid w:val="00193037"/>
    <w:rsid w:val="00193A2C"/>
    <w:rsid w:val="001A288E"/>
    <w:rsid w:val="001B6DC2"/>
    <w:rsid w:val="001C149C"/>
    <w:rsid w:val="001C21AC"/>
    <w:rsid w:val="001C47BA"/>
    <w:rsid w:val="001C4BA7"/>
    <w:rsid w:val="001C59EA"/>
    <w:rsid w:val="001C6DEA"/>
    <w:rsid w:val="001D406C"/>
    <w:rsid w:val="001D41EE"/>
    <w:rsid w:val="001E0380"/>
    <w:rsid w:val="001E13B1"/>
    <w:rsid w:val="001E2ADF"/>
    <w:rsid w:val="001F3A19"/>
    <w:rsid w:val="001F7837"/>
    <w:rsid w:val="00200052"/>
    <w:rsid w:val="00200FBA"/>
    <w:rsid w:val="00201EA8"/>
    <w:rsid w:val="00210015"/>
    <w:rsid w:val="00210FBD"/>
    <w:rsid w:val="002126D2"/>
    <w:rsid w:val="00215BC1"/>
    <w:rsid w:val="0021766A"/>
    <w:rsid w:val="00234467"/>
    <w:rsid w:val="00237D8D"/>
    <w:rsid w:val="00241DA2"/>
    <w:rsid w:val="00247FEE"/>
    <w:rsid w:val="00250E7D"/>
    <w:rsid w:val="002527AA"/>
    <w:rsid w:val="002559C1"/>
    <w:rsid w:val="002565D5"/>
    <w:rsid w:val="002622C0"/>
    <w:rsid w:val="00262E2F"/>
    <w:rsid w:val="0027064E"/>
    <w:rsid w:val="00273B5A"/>
    <w:rsid w:val="002778AE"/>
    <w:rsid w:val="0028269A"/>
    <w:rsid w:val="00283590"/>
    <w:rsid w:val="00286973"/>
    <w:rsid w:val="00293FC2"/>
    <w:rsid w:val="00294E70"/>
    <w:rsid w:val="002A1924"/>
    <w:rsid w:val="002A203D"/>
    <w:rsid w:val="002A7420"/>
    <w:rsid w:val="002B0F12"/>
    <w:rsid w:val="002B1308"/>
    <w:rsid w:val="002B4554"/>
    <w:rsid w:val="002C4BDD"/>
    <w:rsid w:val="002C6063"/>
    <w:rsid w:val="002C6184"/>
    <w:rsid w:val="002C72D8"/>
    <w:rsid w:val="002D11FA"/>
    <w:rsid w:val="002D2B1D"/>
    <w:rsid w:val="002E0DDF"/>
    <w:rsid w:val="002E2906"/>
    <w:rsid w:val="002E5635"/>
    <w:rsid w:val="002E64C3"/>
    <w:rsid w:val="002E6A2C"/>
    <w:rsid w:val="002F1D8C"/>
    <w:rsid w:val="002F21DA"/>
    <w:rsid w:val="003010DD"/>
    <w:rsid w:val="00301F39"/>
    <w:rsid w:val="00305DBA"/>
    <w:rsid w:val="00312AC2"/>
    <w:rsid w:val="003221CA"/>
    <w:rsid w:val="00325926"/>
    <w:rsid w:val="00327A8A"/>
    <w:rsid w:val="00330775"/>
    <w:rsid w:val="00336288"/>
    <w:rsid w:val="00336610"/>
    <w:rsid w:val="0034379A"/>
    <w:rsid w:val="00343F73"/>
    <w:rsid w:val="00345060"/>
    <w:rsid w:val="0035323B"/>
    <w:rsid w:val="003609D2"/>
    <w:rsid w:val="00361729"/>
    <w:rsid w:val="00363F22"/>
    <w:rsid w:val="00363FDE"/>
    <w:rsid w:val="00374C19"/>
    <w:rsid w:val="00375564"/>
    <w:rsid w:val="00377980"/>
    <w:rsid w:val="00383191"/>
    <w:rsid w:val="00386DED"/>
    <w:rsid w:val="003912E7"/>
    <w:rsid w:val="00393947"/>
    <w:rsid w:val="003A2275"/>
    <w:rsid w:val="003A443D"/>
    <w:rsid w:val="003A5925"/>
    <w:rsid w:val="003A6A4F"/>
    <w:rsid w:val="003A7088"/>
    <w:rsid w:val="003A769C"/>
    <w:rsid w:val="003B00DF"/>
    <w:rsid w:val="003B010F"/>
    <w:rsid w:val="003B1275"/>
    <w:rsid w:val="003B1778"/>
    <w:rsid w:val="003C11CB"/>
    <w:rsid w:val="003C75F3"/>
    <w:rsid w:val="003C78A3"/>
    <w:rsid w:val="003D781F"/>
    <w:rsid w:val="003E1867"/>
    <w:rsid w:val="003E5729"/>
    <w:rsid w:val="003E6933"/>
    <w:rsid w:val="003F4EE0"/>
    <w:rsid w:val="00400D43"/>
    <w:rsid w:val="00402153"/>
    <w:rsid w:val="00402FC1"/>
    <w:rsid w:val="00403130"/>
    <w:rsid w:val="00405AAC"/>
    <w:rsid w:val="00417CAD"/>
    <w:rsid w:val="004242B5"/>
    <w:rsid w:val="00425082"/>
    <w:rsid w:val="00431585"/>
    <w:rsid w:val="00431DEB"/>
    <w:rsid w:val="00433C3D"/>
    <w:rsid w:val="0043615C"/>
    <w:rsid w:val="004362A4"/>
    <w:rsid w:val="0043675B"/>
    <w:rsid w:val="00446B29"/>
    <w:rsid w:val="00450E3C"/>
    <w:rsid w:val="00453F9A"/>
    <w:rsid w:val="004570EA"/>
    <w:rsid w:val="004641CF"/>
    <w:rsid w:val="00471906"/>
    <w:rsid w:val="00471E91"/>
    <w:rsid w:val="00472D74"/>
    <w:rsid w:val="004737AE"/>
    <w:rsid w:val="00474675"/>
    <w:rsid w:val="0047470C"/>
    <w:rsid w:val="00485295"/>
    <w:rsid w:val="0049257D"/>
    <w:rsid w:val="00496011"/>
    <w:rsid w:val="004A35F9"/>
    <w:rsid w:val="004A62EE"/>
    <w:rsid w:val="004B24C1"/>
    <w:rsid w:val="004C292F"/>
    <w:rsid w:val="004C658A"/>
    <w:rsid w:val="004C7AA8"/>
    <w:rsid w:val="004D4E18"/>
    <w:rsid w:val="004F1965"/>
    <w:rsid w:val="004F37D8"/>
    <w:rsid w:val="005025DB"/>
    <w:rsid w:val="00510280"/>
    <w:rsid w:val="00511F62"/>
    <w:rsid w:val="00513D73"/>
    <w:rsid w:val="00514A43"/>
    <w:rsid w:val="005174E5"/>
    <w:rsid w:val="00520866"/>
    <w:rsid w:val="00522393"/>
    <w:rsid w:val="00522620"/>
    <w:rsid w:val="005228D7"/>
    <w:rsid w:val="00525656"/>
    <w:rsid w:val="00531924"/>
    <w:rsid w:val="00534C02"/>
    <w:rsid w:val="0054264B"/>
    <w:rsid w:val="00543786"/>
    <w:rsid w:val="005533D7"/>
    <w:rsid w:val="00565E62"/>
    <w:rsid w:val="005703DE"/>
    <w:rsid w:val="00583C4F"/>
    <w:rsid w:val="0058464E"/>
    <w:rsid w:val="005919D4"/>
    <w:rsid w:val="00592475"/>
    <w:rsid w:val="005A01CB"/>
    <w:rsid w:val="005A58FF"/>
    <w:rsid w:val="005A5EAF"/>
    <w:rsid w:val="005A64C0"/>
    <w:rsid w:val="005B3C11"/>
    <w:rsid w:val="005B5C51"/>
    <w:rsid w:val="005B68A2"/>
    <w:rsid w:val="005B6CD5"/>
    <w:rsid w:val="005B6FD5"/>
    <w:rsid w:val="005C1C28"/>
    <w:rsid w:val="005C6DB5"/>
    <w:rsid w:val="005C765E"/>
    <w:rsid w:val="005E19E7"/>
    <w:rsid w:val="005E288C"/>
    <w:rsid w:val="005E5FE8"/>
    <w:rsid w:val="005E68B0"/>
    <w:rsid w:val="005F1815"/>
    <w:rsid w:val="005F1DB5"/>
    <w:rsid w:val="0061716C"/>
    <w:rsid w:val="00623C6C"/>
    <w:rsid w:val="00624011"/>
    <w:rsid w:val="006243A1"/>
    <w:rsid w:val="006272C8"/>
    <w:rsid w:val="006314FC"/>
    <w:rsid w:val="00632E56"/>
    <w:rsid w:val="00635CBA"/>
    <w:rsid w:val="00636E62"/>
    <w:rsid w:val="00640EE5"/>
    <w:rsid w:val="0064338B"/>
    <w:rsid w:val="0064437C"/>
    <w:rsid w:val="00646542"/>
    <w:rsid w:val="006504F4"/>
    <w:rsid w:val="00654BC9"/>
    <w:rsid w:val="006552FD"/>
    <w:rsid w:val="00663AF3"/>
    <w:rsid w:val="00666B6C"/>
    <w:rsid w:val="00674D60"/>
    <w:rsid w:val="00675D3D"/>
    <w:rsid w:val="00682682"/>
    <w:rsid w:val="00682702"/>
    <w:rsid w:val="00690C0E"/>
    <w:rsid w:val="00691267"/>
    <w:rsid w:val="00692368"/>
    <w:rsid w:val="006964CC"/>
    <w:rsid w:val="006A2EBC"/>
    <w:rsid w:val="006A429F"/>
    <w:rsid w:val="006A5EA0"/>
    <w:rsid w:val="006A783B"/>
    <w:rsid w:val="006A7B33"/>
    <w:rsid w:val="006B3477"/>
    <w:rsid w:val="006B4E13"/>
    <w:rsid w:val="006B75DD"/>
    <w:rsid w:val="006C67E0"/>
    <w:rsid w:val="006C7ABA"/>
    <w:rsid w:val="006D0D60"/>
    <w:rsid w:val="006D1122"/>
    <w:rsid w:val="006D12FA"/>
    <w:rsid w:val="006D3C00"/>
    <w:rsid w:val="006E20C9"/>
    <w:rsid w:val="006E3675"/>
    <w:rsid w:val="006E4A7F"/>
    <w:rsid w:val="006E710E"/>
    <w:rsid w:val="006F137A"/>
    <w:rsid w:val="006F48F6"/>
    <w:rsid w:val="006F4C99"/>
    <w:rsid w:val="0070190E"/>
    <w:rsid w:val="00704DF6"/>
    <w:rsid w:val="0070651C"/>
    <w:rsid w:val="007106F5"/>
    <w:rsid w:val="007132A3"/>
    <w:rsid w:val="00716421"/>
    <w:rsid w:val="00724EFB"/>
    <w:rsid w:val="00731223"/>
    <w:rsid w:val="0073543A"/>
    <w:rsid w:val="007419C3"/>
    <w:rsid w:val="007467A7"/>
    <w:rsid w:val="007468E9"/>
    <w:rsid w:val="007469DD"/>
    <w:rsid w:val="0074741B"/>
    <w:rsid w:val="0074759E"/>
    <w:rsid w:val="007478EA"/>
    <w:rsid w:val="0075415C"/>
    <w:rsid w:val="00763502"/>
    <w:rsid w:val="00786F3A"/>
    <w:rsid w:val="007913AB"/>
    <w:rsid w:val="007914F7"/>
    <w:rsid w:val="007A5D36"/>
    <w:rsid w:val="007B1625"/>
    <w:rsid w:val="007B706E"/>
    <w:rsid w:val="007B71EB"/>
    <w:rsid w:val="007C5A49"/>
    <w:rsid w:val="007C6205"/>
    <w:rsid w:val="007C686A"/>
    <w:rsid w:val="007C728E"/>
    <w:rsid w:val="007D1689"/>
    <w:rsid w:val="007D2C53"/>
    <w:rsid w:val="007D3D60"/>
    <w:rsid w:val="007E1980"/>
    <w:rsid w:val="007E31DC"/>
    <w:rsid w:val="007E4B76"/>
    <w:rsid w:val="007E5EA8"/>
    <w:rsid w:val="007F0CF1"/>
    <w:rsid w:val="007F12A5"/>
    <w:rsid w:val="007F4CF1"/>
    <w:rsid w:val="007F61BE"/>
    <w:rsid w:val="007F758D"/>
    <w:rsid w:val="007F7D52"/>
    <w:rsid w:val="00803ADF"/>
    <w:rsid w:val="0080654C"/>
    <w:rsid w:val="008071C6"/>
    <w:rsid w:val="0080727A"/>
    <w:rsid w:val="00817A00"/>
    <w:rsid w:val="008207D9"/>
    <w:rsid w:val="008323E7"/>
    <w:rsid w:val="00835DB3"/>
    <w:rsid w:val="0083617B"/>
    <w:rsid w:val="008371BD"/>
    <w:rsid w:val="00843831"/>
    <w:rsid w:val="00844FB3"/>
    <w:rsid w:val="008504A8"/>
    <w:rsid w:val="008524F5"/>
    <w:rsid w:val="0085282E"/>
    <w:rsid w:val="00871039"/>
    <w:rsid w:val="0087198C"/>
    <w:rsid w:val="00872C1F"/>
    <w:rsid w:val="00873163"/>
    <w:rsid w:val="00873B42"/>
    <w:rsid w:val="00876179"/>
    <w:rsid w:val="0088048D"/>
    <w:rsid w:val="008821DA"/>
    <w:rsid w:val="008856D8"/>
    <w:rsid w:val="00892CB0"/>
    <w:rsid w:val="00892E82"/>
    <w:rsid w:val="008C1B58"/>
    <w:rsid w:val="008C39AE"/>
    <w:rsid w:val="008C5399"/>
    <w:rsid w:val="008C590D"/>
    <w:rsid w:val="008D13BE"/>
    <w:rsid w:val="008E031B"/>
    <w:rsid w:val="008E6A93"/>
    <w:rsid w:val="008E7029"/>
    <w:rsid w:val="008E7EF6"/>
    <w:rsid w:val="008F1F98"/>
    <w:rsid w:val="008F6758"/>
    <w:rsid w:val="009026D9"/>
    <w:rsid w:val="009040DD"/>
    <w:rsid w:val="00905B47"/>
    <w:rsid w:val="00911579"/>
    <w:rsid w:val="009123BF"/>
    <w:rsid w:val="0091331C"/>
    <w:rsid w:val="009148A7"/>
    <w:rsid w:val="009221CB"/>
    <w:rsid w:val="00925F22"/>
    <w:rsid w:val="009279DE"/>
    <w:rsid w:val="00930116"/>
    <w:rsid w:val="0094212C"/>
    <w:rsid w:val="009437F0"/>
    <w:rsid w:val="00954689"/>
    <w:rsid w:val="00955BA6"/>
    <w:rsid w:val="009617C9"/>
    <w:rsid w:val="00961C93"/>
    <w:rsid w:val="009647F2"/>
    <w:rsid w:val="00965324"/>
    <w:rsid w:val="0097091E"/>
    <w:rsid w:val="009760D3"/>
    <w:rsid w:val="00977132"/>
    <w:rsid w:val="00981A4B"/>
    <w:rsid w:val="00982501"/>
    <w:rsid w:val="00982FC8"/>
    <w:rsid w:val="009877D3"/>
    <w:rsid w:val="00994E8F"/>
    <w:rsid w:val="009951DC"/>
    <w:rsid w:val="009959BB"/>
    <w:rsid w:val="00995EBD"/>
    <w:rsid w:val="00997158"/>
    <w:rsid w:val="009A3A7C"/>
    <w:rsid w:val="009B2ADB"/>
    <w:rsid w:val="009B603A"/>
    <w:rsid w:val="009C2D0E"/>
    <w:rsid w:val="009C3DAC"/>
    <w:rsid w:val="009C42E0"/>
    <w:rsid w:val="009C71D9"/>
    <w:rsid w:val="009D05DB"/>
    <w:rsid w:val="009D5362"/>
    <w:rsid w:val="009E0C96"/>
    <w:rsid w:val="009E1415"/>
    <w:rsid w:val="009E6116"/>
    <w:rsid w:val="009F64E5"/>
    <w:rsid w:val="00A02E43"/>
    <w:rsid w:val="00A065F9"/>
    <w:rsid w:val="00A07F34"/>
    <w:rsid w:val="00A122BE"/>
    <w:rsid w:val="00A13966"/>
    <w:rsid w:val="00A22154"/>
    <w:rsid w:val="00A25C38"/>
    <w:rsid w:val="00A33B92"/>
    <w:rsid w:val="00A36BBE"/>
    <w:rsid w:val="00A3703F"/>
    <w:rsid w:val="00A40A53"/>
    <w:rsid w:val="00A4307A"/>
    <w:rsid w:val="00A47EBB"/>
    <w:rsid w:val="00A51CDD"/>
    <w:rsid w:val="00A56753"/>
    <w:rsid w:val="00A623EC"/>
    <w:rsid w:val="00A6730D"/>
    <w:rsid w:val="00A71625"/>
    <w:rsid w:val="00A71B9B"/>
    <w:rsid w:val="00A72F9B"/>
    <w:rsid w:val="00A751C7"/>
    <w:rsid w:val="00A87844"/>
    <w:rsid w:val="00AA038C"/>
    <w:rsid w:val="00AA7A09"/>
    <w:rsid w:val="00AB2083"/>
    <w:rsid w:val="00AB3B50"/>
    <w:rsid w:val="00AB7036"/>
    <w:rsid w:val="00AC05B1"/>
    <w:rsid w:val="00AC3F6F"/>
    <w:rsid w:val="00AD19FF"/>
    <w:rsid w:val="00AD1E4D"/>
    <w:rsid w:val="00AD356C"/>
    <w:rsid w:val="00AD4D47"/>
    <w:rsid w:val="00AD7608"/>
    <w:rsid w:val="00AE2914"/>
    <w:rsid w:val="00AE5663"/>
    <w:rsid w:val="00AE6D15"/>
    <w:rsid w:val="00B04182"/>
    <w:rsid w:val="00B05AD9"/>
    <w:rsid w:val="00B07AE3"/>
    <w:rsid w:val="00B07D68"/>
    <w:rsid w:val="00B108DC"/>
    <w:rsid w:val="00B11430"/>
    <w:rsid w:val="00B11AFD"/>
    <w:rsid w:val="00B13597"/>
    <w:rsid w:val="00B210B8"/>
    <w:rsid w:val="00B21B5D"/>
    <w:rsid w:val="00B21D0E"/>
    <w:rsid w:val="00B33643"/>
    <w:rsid w:val="00B353EB"/>
    <w:rsid w:val="00B40786"/>
    <w:rsid w:val="00B439C4"/>
    <w:rsid w:val="00B44F93"/>
    <w:rsid w:val="00B4535E"/>
    <w:rsid w:val="00B4611F"/>
    <w:rsid w:val="00B52A8C"/>
    <w:rsid w:val="00B6068D"/>
    <w:rsid w:val="00B60A3F"/>
    <w:rsid w:val="00B623D9"/>
    <w:rsid w:val="00B625BF"/>
    <w:rsid w:val="00B636A8"/>
    <w:rsid w:val="00B665C6"/>
    <w:rsid w:val="00B7748F"/>
    <w:rsid w:val="00B805AF"/>
    <w:rsid w:val="00B869EC"/>
    <w:rsid w:val="00B9397A"/>
    <w:rsid w:val="00B9633D"/>
    <w:rsid w:val="00BA27E0"/>
    <w:rsid w:val="00BA2EBE"/>
    <w:rsid w:val="00BA35A2"/>
    <w:rsid w:val="00BB0F28"/>
    <w:rsid w:val="00BB458A"/>
    <w:rsid w:val="00BD00D3"/>
    <w:rsid w:val="00BD1659"/>
    <w:rsid w:val="00BD3AA9"/>
    <w:rsid w:val="00BD4A18"/>
    <w:rsid w:val="00BD6DB2"/>
    <w:rsid w:val="00BD7C16"/>
    <w:rsid w:val="00BE11CF"/>
    <w:rsid w:val="00BE21AB"/>
    <w:rsid w:val="00BE55CB"/>
    <w:rsid w:val="00BE5A94"/>
    <w:rsid w:val="00BF617A"/>
    <w:rsid w:val="00BF6E08"/>
    <w:rsid w:val="00C00C74"/>
    <w:rsid w:val="00C0379D"/>
    <w:rsid w:val="00C03931"/>
    <w:rsid w:val="00C05FE3"/>
    <w:rsid w:val="00C143AF"/>
    <w:rsid w:val="00C2136D"/>
    <w:rsid w:val="00C214EE"/>
    <w:rsid w:val="00C2314B"/>
    <w:rsid w:val="00C24971"/>
    <w:rsid w:val="00C26BE5"/>
    <w:rsid w:val="00C26E4D"/>
    <w:rsid w:val="00C27909"/>
    <w:rsid w:val="00C27B03"/>
    <w:rsid w:val="00C314E1"/>
    <w:rsid w:val="00C34397"/>
    <w:rsid w:val="00C34DCF"/>
    <w:rsid w:val="00C4095D"/>
    <w:rsid w:val="00C54D2F"/>
    <w:rsid w:val="00C601D2"/>
    <w:rsid w:val="00C60FE7"/>
    <w:rsid w:val="00C65BCC"/>
    <w:rsid w:val="00C66970"/>
    <w:rsid w:val="00C81B4C"/>
    <w:rsid w:val="00C8691C"/>
    <w:rsid w:val="00CA168A"/>
    <w:rsid w:val="00CA357E"/>
    <w:rsid w:val="00CA44F9"/>
    <w:rsid w:val="00CA4A69"/>
    <w:rsid w:val="00CB10B3"/>
    <w:rsid w:val="00CC3E0C"/>
    <w:rsid w:val="00CC58D3"/>
    <w:rsid w:val="00CC7193"/>
    <w:rsid w:val="00CC784D"/>
    <w:rsid w:val="00CD4B67"/>
    <w:rsid w:val="00CE0AB3"/>
    <w:rsid w:val="00CE56FF"/>
    <w:rsid w:val="00D0337B"/>
    <w:rsid w:val="00D079B2"/>
    <w:rsid w:val="00D114E9"/>
    <w:rsid w:val="00D151F0"/>
    <w:rsid w:val="00D22DBC"/>
    <w:rsid w:val="00D240F8"/>
    <w:rsid w:val="00D34F5A"/>
    <w:rsid w:val="00D429C6"/>
    <w:rsid w:val="00D47748"/>
    <w:rsid w:val="00D54CC3"/>
    <w:rsid w:val="00D6041A"/>
    <w:rsid w:val="00D63371"/>
    <w:rsid w:val="00D633EB"/>
    <w:rsid w:val="00D7347B"/>
    <w:rsid w:val="00D77427"/>
    <w:rsid w:val="00D806A6"/>
    <w:rsid w:val="00D82FF7"/>
    <w:rsid w:val="00D847FE"/>
    <w:rsid w:val="00D964EA"/>
    <w:rsid w:val="00D966D0"/>
    <w:rsid w:val="00D96EA5"/>
    <w:rsid w:val="00DA0C59"/>
    <w:rsid w:val="00DA3991"/>
    <w:rsid w:val="00DB0476"/>
    <w:rsid w:val="00DB7E6C"/>
    <w:rsid w:val="00DC2D7E"/>
    <w:rsid w:val="00DC4E88"/>
    <w:rsid w:val="00DD5A29"/>
    <w:rsid w:val="00DD5D9D"/>
    <w:rsid w:val="00DE35CB"/>
    <w:rsid w:val="00DF21E9"/>
    <w:rsid w:val="00E00F14"/>
    <w:rsid w:val="00E06386"/>
    <w:rsid w:val="00E208AA"/>
    <w:rsid w:val="00E24EB4"/>
    <w:rsid w:val="00E256C0"/>
    <w:rsid w:val="00E31883"/>
    <w:rsid w:val="00E320ED"/>
    <w:rsid w:val="00E33AFB"/>
    <w:rsid w:val="00E34218"/>
    <w:rsid w:val="00E46282"/>
    <w:rsid w:val="00E5216E"/>
    <w:rsid w:val="00E60DAB"/>
    <w:rsid w:val="00E70AA3"/>
    <w:rsid w:val="00E75D30"/>
    <w:rsid w:val="00E805CA"/>
    <w:rsid w:val="00E82344"/>
    <w:rsid w:val="00E84C82"/>
    <w:rsid w:val="00E84D64"/>
    <w:rsid w:val="00E87408"/>
    <w:rsid w:val="00E9001D"/>
    <w:rsid w:val="00E914C4"/>
    <w:rsid w:val="00E934F5"/>
    <w:rsid w:val="00E96961"/>
    <w:rsid w:val="00EA66FE"/>
    <w:rsid w:val="00EA72EC"/>
    <w:rsid w:val="00EB11CB"/>
    <w:rsid w:val="00EB275A"/>
    <w:rsid w:val="00EB786A"/>
    <w:rsid w:val="00EC1578"/>
    <w:rsid w:val="00EC1C72"/>
    <w:rsid w:val="00EC3669"/>
    <w:rsid w:val="00EC3CC9"/>
    <w:rsid w:val="00EC680A"/>
    <w:rsid w:val="00EC6968"/>
    <w:rsid w:val="00ED39D9"/>
    <w:rsid w:val="00EE2BED"/>
    <w:rsid w:val="00EE374B"/>
    <w:rsid w:val="00EF0EA7"/>
    <w:rsid w:val="00EF7970"/>
    <w:rsid w:val="00EF7F14"/>
    <w:rsid w:val="00F01C23"/>
    <w:rsid w:val="00F11BB5"/>
    <w:rsid w:val="00F1417B"/>
    <w:rsid w:val="00F16009"/>
    <w:rsid w:val="00F211F8"/>
    <w:rsid w:val="00F34B99"/>
    <w:rsid w:val="00F40752"/>
    <w:rsid w:val="00F5183C"/>
    <w:rsid w:val="00F52DAB"/>
    <w:rsid w:val="00F541D1"/>
    <w:rsid w:val="00F543F0"/>
    <w:rsid w:val="00F5748B"/>
    <w:rsid w:val="00F66ED7"/>
    <w:rsid w:val="00F81D29"/>
    <w:rsid w:val="00F91C4D"/>
    <w:rsid w:val="00F92FD9"/>
    <w:rsid w:val="00FA6684"/>
    <w:rsid w:val="00FA731E"/>
    <w:rsid w:val="00FB2B38"/>
    <w:rsid w:val="00FC5051"/>
    <w:rsid w:val="00FC6358"/>
    <w:rsid w:val="00FC7076"/>
    <w:rsid w:val="00FD320D"/>
    <w:rsid w:val="00FE23DE"/>
    <w:rsid w:val="00FE5DB5"/>
    <w:rsid w:val="00FF240B"/>
    <w:rsid w:val="00FF719C"/>
    <w:rsid w:val="0307619C"/>
    <w:rsid w:val="031E5731"/>
    <w:rsid w:val="13CD134D"/>
    <w:rsid w:val="14A30D7D"/>
    <w:rsid w:val="162D408B"/>
    <w:rsid w:val="19FE690E"/>
    <w:rsid w:val="1A1164EF"/>
    <w:rsid w:val="1C311DF6"/>
    <w:rsid w:val="1C943AB5"/>
    <w:rsid w:val="255F64AA"/>
    <w:rsid w:val="2B431E66"/>
    <w:rsid w:val="2DEF44AF"/>
    <w:rsid w:val="346837A5"/>
    <w:rsid w:val="37874E65"/>
    <w:rsid w:val="38870784"/>
    <w:rsid w:val="3B584AA0"/>
    <w:rsid w:val="3DDE20C6"/>
    <w:rsid w:val="443D61B9"/>
    <w:rsid w:val="457D0248"/>
    <w:rsid w:val="45C55EBD"/>
    <w:rsid w:val="46347327"/>
    <w:rsid w:val="47783DF4"/>
    <w:rsid w:val="4A52472D"/>
    <w:rsid w:val="4EF34DD9"/>
    <w:rsid w:val="54916AD3"/>
    <w:rsid w:val="56C8095E"/>
    <w:rsid w:val="59FA324A"/>
    <w:rsid w:val="5BC96C1B"/>
    <w:rsid w:val="5C213D0D"/>
    <w:rsid w:val="5D0C23E9"/>
    <w:rsid w:val="5D187EE1"/>
    <w:rsid w:val="5DE913F3"/>
    <w:rsid w:val="5E8540B3"/>
    <w:rsid w:val="5F6949EA"/>
    <w:rsid w:val="752067DA"/>
    <w:rsid w:val="76B54401"/>
    <w:rsid w:val="7718021D"/>
    <w:rsid w:val="7B5534DD"/>
    <w:rsid w:val="7BBE1E9E"/>
    <w:rsid w:val="7FB8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99" w:name="index 1"/>
    <w:lsdException w:unhideWhenUsed="0" w:uiPriority="99" w:name="index 2"/>
    <w:lsdException w:qFormat="1" w:unhideWhenUsed="0" w:uiPriority="99" w:name="index 3"/>
    <w:lsdException w:qFormat="1" w:unhideWhenUsed="0" w:uiPriority="99" w:name="index 4"/>
    <w:lsdException w:qFormat="1" w:unhideWhenUsed="0" w:uiPriority="99" w:name="index 5"/>
    <w:lsdException w:unhideWhenUsed="0" w:uiPriority="99" w:name="index 6"/>
    <w:lsdException w:unhideWhenUsed="0" w:uiPriority="99" w:name="index 7"/>
    <w:lsdException w:qFormat="1" w:unhideWhenUsed="0" w:uiPriority="99" w:name="index 8"/>
    <w:lsdException w:qFormat="1" w:unhideWhenUsed="0" w:uiPriority="99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99" w:name="footnote text"/>
    <w:lsdException w:unhideWhenUsed="0" w:uiPriority="99" w:name="annotation text"/>
    <w:lsdException w:unhideWhenUsed="0" w:uiPriority="99" w:semiHidden="0" w:name="header"/>
    <w:lsdException w:unhideWhenUsed="0" w:uiPriority="99" w:semiHidden="0" w:name="footer"/>
    <w:lsdException w:unhideWhenUsed="0" w:uiPriority="99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name="footnote reference"/>
    <w:lsdException w:unhideWhenUsed="0" w:uiPriority="99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99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 w:locked="1"/>
    <w:lsdException w:qFormat="1" w:unhideWhenUsed="0" w:uiPriority="99" w:semiHidden="0" w:name="Emphasis"/>
    <w:lsdException w:unhideWhenUsed="0" w:uiPriority="99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35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6">
    <w:name w:val="Default Paragraph Font"/>
    <w:semiHidden/>
    <w:uiPriority w:val="99"/>
  </w:style>
  <w:style w:type="table" w:default="1" w:styleId="2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semiHidden/>
    <w:qFormat/>
    <w:uiPriority w:val="9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5">
    <w:name w:val="caption"/>
    <w:basedOn w:val="1"/>
    <w:next w:val="1"/>
    <w:qFormat/>
    <w:uiPriority w:val="99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6">
    <w:name w:val="index 5"/>
    <w:basedOn w:val="1"/>
    <w:next w:val="1"/>
    <w:semiHidden/>
    <w:qFormat/>
    <w:uiPriority w:val="9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7">
    <w:name w:val="Document Map"/>
    <w:basedOn w:val="1"/>
    <w:link w:val="36"/>
    <w:semiHidden/>
    <w:uiPriority w:val="99"/>
    <w:pPr>
      <w:shd w:val="clear" w:color="auto" w:fill="000080"/>
    </w:pPr>
  </w:style>
  <w:style w:type="paragraph" w:styleId="8">
    <w:name w:val="annotation text"/>
    <w:basedOn w:val="1"/>
    <w:link w:val="37"/>
    <w:semiHidden/>
    <w:uiPriority w:val="99"/>
    <w:pPr>
      <w:jc w:val="left"/>
    </w:pPr>
  </w:style>
  <w:style w:type="paragraph" w:styleId="9">
    <w:name w:val="index 6"/>
    <w:basedOn w:val="1"/>
    <w:next w:val="1"/>
    <w:semiHidden/>
    <w:uiPriority w:val="9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10">
    <w:name w:val="index 4"/>
    <w:basedOn w:val="1"/>
    <w:next w:val="1"/>
    <w:semiHidden/>
    <w:qFormat/>
    <w:uiPriority w:val="9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11">
    <w:name w:val="index 3"/>
    <w:basedOn w:val="1"/>
    <w:next w:val="1"/>
    <w:semiHidden/>
    <w:qFormat/>
    <w:uiPriority w:val="9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2">
    <w:name w:val="endnote text"/>
    <w:basedOn w:val="1"/>
    <w:link w:val="38"/>
    <w:semiHidden/>
    <w:qFormat/>
    <w:uiPriority w:val="99"/>
    <w:pPr>
      <w:snapToGrid w:val="0"/>
      <w:jc w:val="left"/>
    </w:pPr>
  </w:style>
  <w:style w:type="paragraph" w:styleId="13">
    <w:name w:val="Balloon Text"/>
    <w:basedOn w:val="1"/>
    <w:link w:val="39"/>
    <w:semiHidden/>
    <w:uiPriority w:val="99"/>
    <w:rPr>
      <w:sz w:val="18"/>
      <w:szCs w:val="18"/>
    </w:rPr>
  </w:style>
  <w:style w:type="paragraph" w:styleId="14">
    <w:name w:val="footer"/>
    <w:basedOn w:val="1"/>
    <w:link w:val="40"/>
    <w:uiPriority w:val="99"/>
    <w:pPr>
      <w:snapToGrid w:val="0"/>
      <w:ind w:right="210" w:rightChars="100"/>
      <w:jc w:val="right"/>
    </w:pPr>
    <w:rPr>
      <w:sz w:val="18"/>
      <w:szCs w:val="18"/>
    </w:rPr>
  </w:style>
  <w:style w:type="paragraph" w:styleId="15">
    <w:name w:val="header"/>
    <w:basedOn w:val="1"/>
    <w:link w:val="41"/>
    <w:uiPriority w:val="99"/>
    <w:pPr>
      <w:snapToGrid w:val="0"/>
      <w:jc w:val="left"/>
    </w:pPr>
    <w:rPr>
      <w:sz w:val="18"/>
      <w:szCs w:val="18"/>
    </w:rPr>
  </w:style>
  <w:style w:type="paragraph" w:styleId="16">
    <w:name w:val="index heading"/>
    <w:basedOn w:val="1"/>
    <w:next w:val="17"/>
    <w:semiHidden/>
    <w:uiPriority w:val="9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7">
    <w:name w:val="index 1"/>
    <w:basedOn w:val="1"/>
    <w:next w:val="18"/>
    <w:semiHidden/>
    <w:uiPriority w:val="99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18">
    <w:name w:val="段"/>
    <w:link w:val="46"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styleId="19">
    <w:name w:val="footnote text"/>
    <w:basedOn w:val="1"/>
    <w:link w:val="42"/>
    <w:semiHidden/>
    <w:uiPriority w:val="99"/>
    <w:pPr>
      <w:numPr>
        <w:ilvl w:val="0"/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20">
    <w:name w:val="index 7"/>
    <w:basedOn w:val="1"/>
    <w:next w:val="1"/>
    <w:semiHidden/>
    <w:uiPriority w:val="9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21">
    <w:name w:val="index 9"/>
    <w:basedOn w:val="1"/>
    <w:next w:val="1"/>
    <w:semiHidden/>
    <w:qFormat/>
    <w:uiPriority w:val="9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2">
    <w:name w:val="index 2"/>
    <w:basedOn w:val="1"/>
    <w:next w:val="1"/>
    <w:semiHidden/>
    <w:uiPriority w:val="99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23">
    <w:name w:val="annotation subject"/>
    <w:basedOn w:val="8"/>
    <w:next w:val="8"/>
    <w:link w:val="43"/>
    <w:semiHidden/>
    <w:uiPriority w:val="99"/>
    <w:rPr>
      <w:b/>
      <w:bCs/>
    </w:rPr>
  </w:style>
  <w:style w:type="table" w:styleId="25">
    <w:name w:val="Table Grid"/>
    <w:basedOn w:val="24"/>
    <w:uiPriority w:val="99"/>
    <w:rPr>
      <w:rFonts w:ascii="宋体"/>
      <w:kern w:val="0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endnote reference"/>
    <w:basedOn w:val="26"/>
    <w:semiHidden/>
    <w:uiPriority w:val="99"/>
    <w:rPr>
      <w:rFonts w:cs="Times New Roman"/>
      <w:vertAlign w:val="superscript"/>
    </w:rPr>
  </w:style>
  <w:style w:type="character" w:styleId="28">
    <w:name w:val="page number"/>
    <w:basedOn w:val="26"/>
    <w:uiPriority w:val="99"/>
    <w:rPr>
      <w:rFonts w:ascii="Times New Roman" w:hAnsi="Times New Roman" w:eastAsia="宋体" w:cs="Times New Roman"/>
      <w:sz w:val="18"/>
    </w:rPr>
  </w:style>
  <w:style w:type="character" w:styleId="29">
    <w:name w:val="FollowedHyperlink"/>
    <w:basedOn w:val="26"/>
    <w:uiPriority w:val="99"/>
    <w:rPr>
      <w:rFonts w:cs="Times New Roman"/>
      <w:color w:val="800080"/>
      <w:u w:val="single"/>
    </w:rPr>
  </w:style>
  <w:style w:type="character" w:styleId="30">
    <w:name w:val="Emphasis"/>
    <w:basedOn w:val="26"/>
    <w:qFormat/>
    <w:uiPriority w:val="99"/>
    <w:rPr>
      <w:rFonts w:cs="Times New Roman"/>
      <w:i/>
      <w:iCs/>
    </w:rPr>
  </w:style>
  <w:style w:type="character" w:styleId="31">
    <w:name w:val="Hyperlink"/>
    <w:basedOn w:val="26"/>
    <w:uiPriority w:val="99"/>
    <w:rPr>
      <w:rFonts w:cs="Times New Roman"/>
      <w:color w:val="0000FF"/>
      <w:spacing w:val="0"/>
      <w:w w:val="100"/>
      <w:sz w:val="21"/>
      <w:u w:val="single"/>
      <w:lang w:val="en-US" w:eastAsia="zh-CN"/>
    </w:rPr>
  </w:style>
  <w:style w:type="character" w:styleId="32">
    <w:name w:val="annotation reference"/>
    <w:basedOn w:val="26"/>
    <w:semiHidden/>
    <w:uiPriority w:val="99"/>
    <w:rPr>
      <w:rFonts w:cs="Times New Roman"/>
      <w:sz w:val="21"/>
    </w:rPr>
  </w:style>
  <w:style w:type="character" w:styleId="33">
    <w:name w:val="footnote reference"/>
    <w:basedOn w:val="26"/>
    <w:semiHidden/>
    <w:qFormat/>
    <w:uiPriority w:val="99"/>
    <w:rPr>
      <w:rFonts w:cs="Times New Roman"/>
      <w:vertAlign w:val="superscript"/>
    </w:rPr>
  </w:style>
  <w:style w:type="character" w:customStyle="1" w:styleId="34">
    <w:name w:val="Heading 1 Char"/>
    <w:basedOn w:val="26"/>
    <w:link w:val="2"/>
    <w:qFormat/>
    <w:locked/>
    <w:uiPriority w:val="99"/>
    <w:rPr>
      <w:b/>
      <w:kern w:val="44"/>
      <w:sz w:val="44"/>
    </w:rPr>
  </w:style>
  <w:style w:type="character" w:customStyle="1" w:styleId="35">
    <w:name w:val="Heading 3 Char"/>
    <w:basedOn w:val="26"/>
    <w:link w:val="3"/>
    <w:semiHidden/>
    <w:qFormat/>
    <w:locked/>
    <w:uiPriority w:val="99"/>
    <w:rPr>
      <w:b/>
      <w:kern w:val="2"/>
      <w:sz w:val="32"/>
    </w:rPr>
  </w:style>
  <w:style w:type="character" w:customStyle="1" w:styleId="36">
    <w:name w:val="Document Map Char"/>
    <w:basedOn w:val="26"/>
    <w:link w:val="7"/>
    <w:semiHidden/>
    <w:uiPriority w:val="99"/>
    <w:rPr>
      <w:sz w:val="0"/>
      <w:szCs w:val="0"/>
    </w:rPr>
  </w:style>
  <w:style w:type="character" w:customStyle="1" w:styleId="37">
    <w:name w:val="Comment Text Char"/>
    <w:basedOn w:val="26"/>
    <w:link w:val="8"/>
    <w:qFormat/>
    <w:locked/>
    <w:uiPriority w:val="99"/>
    <w:rPr>
      <w:kern w:val="2"/>
      <w:sz w:val="24"/>
    </w:rPr>
  </w:style>
  <w:style w:type="character" w:customStyle="1" w:styleId="38">
    <w:name w:val="Endnote Text Char"/>
    <w:basedOn w:val="26"/>
    <w:link w:val="12"/>
    <w:semiHidden/>
    <w:uiPriority w:val="99"/>
    <w:rPr>
      <w:szCs w:val="24"/>
    </w:rPr>
  </w:style>
  <w:style w:type="character" w:customStyle="1" w:styleId="39">
    <w:name w:val="Balloon Text Char"/>
    <w:basedOn w:val="26"/>
    <w:link w:val="13"/>
    <w:locked/>
    <w:uiPriority w:val="99"/>
    <w:rPr>
      <w:kern w:val="2"/>
      <w:sz w:val="18"/>
    </w:rPr>
  </w:style>
  <w:style w:type="character" w:customStyle="1" w:styleId="40">
    <w:name w:val="Footer Char"/>
    <w:basedOn w:val="26"/>
    <w:link w:val="14"/>
    <w:semiHidden/>
    <w:qFormat/>
    <w:uiPriority w:val="99"/>
    <w:rPr>
      <w:sz w:val="18"/>
      <w:szCs w:val="18"/>
    </w:rPr>
  </w:style>
  <w:style w:type="character" w:customStyle="1" w:styleId="41">
    <w:name w:val="Header Char"/>
    <w:basedOn w:val="26"/>
    <w:link w:val="15"/>
    <w:semiHidden/>
    <w:uiPriority w:val="99"/>
    <w:rPr>
      <w:sz w:val="18"/>
      <w:szCs w:val="18"/>
    </w:rPr>
  </w:style>
  <w:style w:type="character" w:customStyle="1" w:styleId="42">
    <w:name w:val="Footnote Text Char"/>
    <w:basedOn w:val="26"/>
    <w:link w:val="19"/>
    <w:semiHidden/>
    <w:uiPriority w:val="99"/>
    <w:rPr>
      <w:sz w:val="18"/>
      <w:szCs w:val="18"/>
    </w:rPr>
  </w:style>
  <w:style w:type="character" w:customStyle="1" w:styleId="43">
    <w:name w:val="Comment Subject Char"/>
    <w:basedOn w:val="37"/>
    <w:link w:val="23"/>
    <w:locked/>
    <w:uiPriority w:val="99"/>
    <w:rPr>
      <w:b/>
    </w:rPr>
  </w:style>
  <w:style w:type="character" w:customStyle="1" w:styleId="44">
    <w:name w:val="首示例 Char"/>
    <w:link w:val="45"/>
    <w:locked/>
    <w:uiPriority w:val="99"/>
    <w:rPr>
      <w:rFonts w:ascii="宋体" w:eastAsia="宋体"/>
      <w:kern w:val="2"/>
      <w:sz w:val="18"/>
      <w:lang w:val="en-US" w:eastAsia="zh-CN"/>
    </w:rPr>
  </w:style>
  <w:style w:type="paragraph" w:customStyle="1" w:styleId="45">
    <w:name w:val="首示例"/>
    <w:next w:val="18"/>
    <w:link w:val="44"/>
    <w:uiPriority w:val="99"/>
    <w:pPr>
      <w:numPr>
        <w:ilvl w:val="0"/>
        <w:numId w:val="2"/>
      </w:numPr>
      <w:tabs>
        <w:tab w:val="left" w:pos="360"/>
      </w:tabs>
      <w:ind w:firstLine="0"/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46">
    <w:name w:val="段 Char"/>
    <w:link w:val="18"/>
    <w:locked/>
    <w:uiPriority w:val="99"/>
    <w:rPr>
      <w:rFonts w:ascii="宋体"/>
      <w:sz w:val="21"/>
      <w:lang w:val="en-US" w:eastAsia="zh-CN"/>
    </w:rPr>
  </w:style>
  <w:style w:type="character" w:customStyle="1" w:styleId="47">
    <w:name w:val="附录公式 Char"/>
    <w:basedOn w:val="46"/>
    <w:link w:val="48"/>
    <w:locked/>
    <w:uiPriority w:val="99"/>
    <w:rPr>
      <w:rFonts w:cs="Times New Roman"/>
      <w:lang w:bidi="ar-SA"/>
    </w:rPr>
  </w:style>
  <w:style w:type="paragraph" w:customStyle="1" w:styleId="48">
    <w:name w:val="附录公式"/>
    <w:basedOn w:val="18"/>
    <w:next w:val="18"/>
    <w:link w:val="47"/>
    <w:uiPriority w:val="99"/>
  </w:style>
  <w:style w:type="character" w:customStyle="1" w:styleId="49">
    <w:name w:val="发布"/>
    <w:uiPriority w:val="99"/>
    <w:rPr>
      <w:rFonts w:ascii="黑体" w:eastAsia="黑体"/>
      <w:spacing w:val="85"/>
      <w:w w:val="100"/>
      <w:position w:val="3"/>
      <w:sz w:val="28"/>
    </w:rPr>
  </w:style>
  <w:style w:type="paragraph" w:customStyle="1" w:styleId="50">
    <w:name w:val="封面一致性程度标识2"/>
    <w:basedOn w:val="51"/>
    <w:uiPriority w:val="99"/>
    <w:pPr>
      <w:framePr w:y="4469"/>
    </w:pPr>
  </w:style>
  <w:style w:type="paragraph" w:customStyle="1" w:styleId="51">
    <w:name w:val="封面一致性程度标识"/>
    <w:basedOn w:val="52"/>
    <w:qFormat/>
    <w:uiPriority w:val="99"/>
    <w:pPr>
      <w:spacing w:before="440"/>
    </w:pPr>
    <w:rPr>
      <w:rFonts w:ascii="宋体" w:eastAsia="宋体"/>
    </w:rPr>
  </w:style>
  <w:style w:type="paragraph" w:customStyle="1" w:styleId="52">
    <w:name w:val="封面标准英文名称"/>
    <w:basedOn w:val="53"/>
    <w:uiPriority w:val="99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53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paragraph" w:customStyle="1" w:styleId="54">
    <w:name w:val="五级无"/>
    <w:basedOn w:val="55"/>
    <w:qFormat/>
    <w:uiPriority w:val="99"/>
    <w:pPr>
      <w:spacing w:beforeLines="0" w:afterLines="0"/>
    </w:pPr>
    <w:rPr>
      <w:rFonts w:ascii="宋体" w:eastAsia="宋体"/>
    </w:rPr>
  </w:style>
  <w:style w:type="paragraph" w:customStyle="1" w:styleId="55">
    <w:name w:val="五级条标题"/>
    <w:basedOn w:val="56"/>
    <w:next w:val="18"/>
    <w:uiPriority w:val="99"/>
    <w:pPr>
      <w:numPr>
        <w:ilvl w:val="0"/>
        <w:numId w:val="0"/>
      </w:numPr>
      <w:outlineLvl w:val="6"/>
    </w:pPr>
  </w:style>
  <w:style w:type="paragraph" w:customStyle="1" w:styleId="56">
    <w:name w:val="四级条标题"/>
    <w:basedOn w:val="57"/>
    <w:next w:val="18"/>
    <w:qFormat/>
    <w:uiPriority w:val="99"/>
    <w:pPr>
      <w:numPr>
        <w:ilvl w:val="4"/>
      </w:numPr>
      <w:outlineLvl w:val="5"/>
    </w:pPr>
  </w:style>
  <w:style w:type="paragraph" w:customStyle="1" w:styleId="57">
    <w:name w:val="三级条标题"/>
    <w:basedOn w:val="58"/>
    <w:next w:val="18"/>
    <w:qFormat/>
    <w:uiPriority w:val="99"/>
    <w:pPr>
      <w:numPr>
        <w:ilvl w:val="3"/>
      </w:numPr>
      <w:ind w:left="0"/>
      <w:outlineLvl w:val="4"/>
    </w:pPr>
  </w:style>
  <w:style w:type="paragraph" w:customStyle="1" w:styleId="58">
    <w:name w:val="二级条标题"/>
    <w:basedOn w:val="59"/>
    <w:next w:val="18"/>
    <w:uiPriority w:val="99"/>
    <w:pPr>
      <w:numPr>
        <w:ilvl w:val="2"/>
      </w:numPr>
      <w:spacing w:before="50" w:after="50"/>
      <w:outlineLvl w:val="3"/>
    </w:pPr>
  </w:style>
  <w:style w:type="paragraph" w:customStyle="1" w:styleId="59">
    <w:name w:val="一级条标题"/>
    <w:next w:val="18"/>
    <w:uiPriority w:val="99"/>
    <w:pPr>
      <w:numPr>
        <w:ilvl w:val="1"/>
        <w:numId w:val="3"/>
      </w:numPr>
      <w:spacing w:beforeLines="50" w:afterLines="50"/>
      <w:outlineLvl w:val="2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60">
    <w:name w:val="目录 71"/>
    <w:basedOn w:val="1"/>
    <w:next w:val="1"/>
    <w:semiHidden/>
    <w:qFormat/>
    <w:uiPriority w:val="99"/>
    <w:pPr>
      <w:tabs>
        <w:tab w:val="right" w:leader="dot" w:pos="9241"/>
      </w:tabs>
      <w:ind w:firstLine="505" w:firstLineChars="500"/>
      <w:jc w:val="left"/>
    </w:pPr>
    <w:rPr>
      <w:rFonts w:ascii="宋体"/>
      <w:szCs w:val="21"/>
    </w:rPr>
  </w:style>
  <w:style w:type="paragraph" w:customStyle="1" w:styleId="61">
    <w:name w:val="目录 21"/>
    <w:basedOn w:val="1"/>
    <w:next w:val="1"/>
    <w:qFormat/>
    <w:uiPriority w:val="99"/>
    <w:pPr>
      <w:tabs>
        <w:tab w:val="right" w:leader="dot" w:pos="9241"/>
      </w:tabs>
    </w:pPr>
    <w:rPr>
      <w:rFonts w:ascii="宋体"/>
      <w:szCs w:val="21"/>
    </w:rPr>
  </w:style>
  <w:style w:type="paragraph" w:customStyle="1" w:styleId="62">
    <w:name w:val="目录 41"/>
    <w:basedOn w:val="1"/>
    <w:next w:val="1"/>
    <w:semiHidden/>
    <w:uiPriority w:val="99"/>
    <w:pPr>
      <w:tabs>
        <w:tab w:val="right" w:leader="dot" w:pos="9241"/>
      </w:tabs>
      <w:ind w:firstLine="198" w:firstLineChars="200"/>
      <w:jc w:val="left"/>
    </w:pPr>
    <w:rPr>
      <w:rFonts w:ascii="宋体"/>
      <w:szCs w:val="21"/>
    </w:rPr>
  </w:style>
  <w:style w:type="paragraph" w:customStyle="1" w:styleId="63">
    <w:name w:val="目录 51"/>
    <w:basedOn w:val="1"/>
    <w:next w:val="1"/>
    <w:semiHidden/>
    <w:uiPriority w:val="99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customStyle="1" w:styleId="64">
    <w:name w:val="目录 91"/>
    <w:basedOn w:val="1"/>
    <w:next w:val="1"/>
    <w:semiHidden/>
    <w:uiPriority w:val="99"/>
    <w:pPr>
      <w:ind w:left="1470"/>
      <w:jc w:val="left"/>
    </w:pPr>
    <w:rPr>
      <w:sz w:val="20"/>
      <w:szCs w:val="20"/>
    </w:rPr>
  </w:style>
  <w:style w:type="paragraph" w:customStyle="1" w:styleId="65">
    <w:name w:val="目录 61"/>
    <w:basedOn w:val="1"/>
    <w:next w:val="1"/>
    <w:semiHidden/>
    <w:uiPriority w:val="99"/>
    <w:pPr>
      <w:tabs>
        <w:tab w:val="right" w:leader="dot" w:pos="9241"/>
      </w:tabs>
      <w:ind w:firstLine="403" w:firstLineChars="400"/>
      <w:jc w:val="left"/>
    </w:pPr>
    <w:rPr>
      <w:rFonts w:ascii="宋体"/>
      <w:szCs w:val="21"/>
    </w:rPr>
  </w:style>
  <w:style w:type="paragraph" w:customStyle="1" w:styleId="66">
    <w:name w:val="目录 11"/>
    <w:basedOn w:val="1"/>
    <w:next w:val="1"/>
    <w:uiPriority w:val="99"/>
    <w:pPr>
      <w:tabs>
        <w:tab w:val="right" w:leader="dot" w:pos="9241"/>
      </w:tabs>
      <w:spacing w:beforeLines="25" w:afterLines="25"/>
      <w:jc w:val="left"/>
    </w:pPr>
    <w:rPr>
      <w:rFonts w:ascii="宋体"/>
      <w:szCs w:val="21"/>
    </w:rPr>
  </w:style>
  <w:style w:type="paragraph" w:customStyle="1" w:styleId="67">
    <w:name w:val="目录 81"/>
    <w:basedOn w:val="1"/>
    <w:next w:val="1"/>
    <w:semiHidden/>
    <w:uiPriority w:val="99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customStyle="1" w:styleId="68">
    <w:name w:val="目录 31"/>
    <w:basedOn w:val="1"/>
    <w:next w:val="1"/>
    <w:uiPriority w:val="99"/>
    <w:pPr>
      <w:tabs>
        <w:tab w:val="right" w:leader="dot" w:pos="9241"/>
      </w:tabs>
      <w:ind w:firstLine="102" w:firstLineChars="100"/>
      <w:jc w:val="left"/>
    </w:pPr>
    <w:rPr>
      <w:rFonts w:ascii="宋体"/>
      <w:szCs w:val="21"/>
    </w:rPr>
  </w:style>
  <w:style w:type="paragraph" w:customStyle="1" w:styleId="69">
    <w:name w:val="标准书眉_偶数页"/>
    <w:basedOn w:val="70"/>
    <w:next w:val="1"/>
    <w:uiPriority w:val="99"/>
    <w:pPr>
      <w:tabs>
        <w:tab w:val="center" w:pos="4154"/>
        <w:tab w:val="right" w:pos="8306"/>
      </w:tabs>
      <w:jc w:val="left"/>
    </w:pPr>
  </w:style>
  <w:style w:type="paragraph" w:customStyle="1" w:styleId="70">
    <w:name w:val="标准书眉_奇数页"/>
    <w:next w:val="1"/>
    <w:qFormat/>
    <w:uiPriority w:val="99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71">
    <w:name w:val="附录一级条标题"/>
    <w:basedOn w:val="72"/>
    <w:next w:val="18"/>
    <w:qFormat/>
    <w:uiPriority w:val="99"/>
    <w:pPr>
      <w:numPr>
        <w:ilvl w:val="2"/>
      </w:numPr>
      <w:tabs>
        <w:tab w:val="left" w:pos="360"/>
      </w:tabs>
      <w:autoSpaceDN w:val="0"/>
      <w:spacing w:beforeLines="50" w:afterLines="50"/>
      <w:outlineLvl w:val="2"/>
    </w:pPr>
  </w:style>
  <w:style w:type="paragraph" w:customStyle="1" w:styleId="72">
    <w:name w:val="附录章标题"/>
    <w:next w:val="18"/>
    <w:qFormat/>
    <w:uiPriority w:val="99"/>
    <w:pPr>
      <w:numPr>
        <w:ilvl w:val="1"/>
        <w:numId w:val="4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szCs w:val="20"/>
      <w:lang w:val="en-US" w:eastAsia="zh-CN" w:bidi="ar-SA"/>
    </w:rPr>
  </w:style>
  <w:style w:type="paragraph" w:customStyle="1" w:styleId="73">
    <w:name w:val="封面标准名称2"/>
    <w:basedOn w:val="53"/>
    <w:qFormat/>
    <w:uiPriority w:val="99"/>
    <w:pPr>
      <w:framePr w:y="4469"/>
      <w:spacing w:beforeLines="630"/>
    </w:pPr>
  </w:style>
  <w:style w:type="paragraph" w:customStyle="1" w:styleId="74">
    <w:name w:val="终结线"/>
    <w:basedOn w:val="1"/>
    <w:qFormat/>
    <w:uiPriority w:val="99"/>
    <w:pPr>
      <w:framePr w:hSpace="181" w:vSpace="181" w:wrap="around" w:vAnchor="text" w:hAnchor="margin" w:xAlign="center" w:y="285"/>
    </w:pPr>
  </w:style>
  <w:style w:type="paragraph" w:customStyle="1" w:styleId="75">
    <w:name w:val="附录四级条标题"/>
    <w:basedOn w:val="76"/>
    <w:next w:val="18"/>
    <w:qFormat/>
    <w:uiPriority w:val="99"/>
    <w:pPr>
      <w:numPr>
        <w:ilvl w:val="5"/>
      </w:numPr>
      <w:tabs>
        <w:tab w:val="left" w:pos="360"/>
      </w:tabs>
      <w:outlineLvl w:val="5"/>
    </w:pPr>
  </w:style>
  <w:style w:type="paragraph" w:customStyle="1" w:styleId="76">
    <w:name w:val="附录三级条标题"/>
    <w:basedOn w:val="77"/>
    <w:next w:val="18"/>
    <w:qFormat/>
    <w:uiPriority w:val="99"/>
    <w:pPr>
      <w:numPr>
        <w:ilvl w:val="4"/>
      </w:numPr>
      <w:tabs>
        <w:tab w:val="left" w:pos="360"/>
      </w:tabs>
      <w:outlineLvl w:val="4"/>
    </w:pPr>
  </w:style>
  <w:style w:type="paragraph" w:customStyle="1" w:styleId="77">
    <w:name w:val="附录二级条标题"/>
    <w:basedOn w:val="1"/>
    <w:next w:val="18"/>
    <w:uiPriority w:val="99"/>
    <w:pPr>
      <w:widowControl/>
      <w:numPr>
        <w:ilvl w:val="3"/>
        <w:numId w:val="4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78">
    <w:name w:val="列项——（一级）"/>
    <w:qFormat/>
    <w:uiPriority w:val="99"/>
    <w:pPr>
      <w:widowControl w:val="0"/>
      <w:numPr>
        <w:ilvl w:val="0"/>
        <w:numId w:val="5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79">
    <w:name w:val="封面标准文稿类别2"/>
    <w:basedOn w:val="80"/>
    <w:qFormat/>
    <w:uiPriority w:val="99"/>
    <w:pPr>
      <w:framePr w:y="4469"/>
    </w:pPr>
  </w:style>
  <w:style w:type="paragraph" w:customStyle="1" w:styleId="80">
    <w:name w:val="封面标准文稿类别"/>
    <w:basedOn w:val="51"/>
    <w:qFormat/>
    <w:uiPriority w:val="99"/>
    <w:pPr>
      <w:spacing w:after="160" w:line="240" w:lineRule="auto"/>
    </w:pPr>
    <w:rPr>
      <w:sz w:val="24"/>
    </w:rPr>
  </w:style>
  <w:style w:type="paragraph" w:customStyle="1" w:styleId="81">
    <w:name w:val="章标题"/>
    <w:next w:val="18"/>
    <w:uiPriority w:val="99"/>
    <w:pPr>
      <w:numPr>
        <w:ilvl w:val="0"/>
        <w:numId w:val="3"/>
      </w:numPr>
      <w:spacing w:beforeLines="100" w:afterLines="10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82">
    <w:name w:val="附录五级条标题"/>
    <w:basedOn w:val="75"/>
    <w:next w:val="18"/>
    <w:uiPriority w:val="99"/>
    <w:pPr>
      <w:numPr>
        <w:ilvl w:val="6"/>
      </w:numPr>
      <w:outlineLvl w:val="6"/>
    </w:pPr>
  </w:style>
  <w:style w:type="paragraph" w:customStyle="1" w:styleId="83">
    <w:name w:val="附录图标题"/>
    <w:basedOn w:val="1"/>
    <w:next w:val="18"/>
    <w:qFormat/>
    <w:uiPriority w:val="99"/>
    <w:pPr>
      <w:numPr>
        <w:ilvl w:val="1"/>
        <w:numId w:val="6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84">
    <w:name w:val="其他发布部门"/>
    <w:basedOn w:val="85"/>
    <w:qFormat/>
    <w:uiPriority w:val="99"/>
    <w:pPr>
      <w:framePr w:y="15310"/>
      <w:spacing w:line="240" w:lineRule="atLeast"/>
    </w:pPr>
    <w:rPr>
      <w:rFonts w:ascii="黑体" w:eastAsia="黑体"/>
      <w:b w:val="0"/>
    </w:rPr>
  </w:style>
  <w:style w:type="paragraph" w:customStyle="1" w:styleId="85">
    <w:name w:val="发布部门"/>
    <w:next w:val="18"/>
    <w:qFormat/>
    <w:uiPriority w:val="99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kern w:val="0"/>
      <w:sz w:val="28"/>
      <w:szCs w:val="20"/>
      <w:lang w:val="en-US" w:eastAsia="zh-CN" w:bidi="ar-SA"/>
    </w:rPr>
  </w:style>
  <w:style w:type="paragraph" w:customStyle="1" w:styleId="86">
    <w:name w:val="附录标识"/>
    <w:basedOn w:val="1"/>
    <w:next w:val="18"/>
    <w:uiPriority w:val="99"/>
    <w:pPr>
      <w:keepNext/>
      <w:widowControl/>
      <w:numPr>
        <w:ilvl w:val="0"/>
        <w:numId w:val="4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87">
    <w:name w:val="示例内容"/>
    <w:qFormat/>
    <w:uiPriority w:val="99"/>
    <w:pPr>
      <w:ind w:firstLine="200" w:firstLineChars="200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88">
    <w:name w:val="标准称谓"/>
    <w:next w:val="1"/>
    <w:uiPriority w:val="99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kern w:val="0"/>
      <w:sz w:val="48"/>
      <w:szCs w:val="20"/>
      <w:lang w:val="en-US" w:eastAsia="zh-CN" w:bidi="ar-SA"/>
    </w:rPr>
  </w:style>
  <w:style w:type="paragraph" w:customStyle="1" w:styleId="89">
    <w:name w:val="附录四级无"/>
    <w:basedOn w:val="75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0">
    <w:name w:val="标准标志"/>
    <w:next w:val="1"/>
    <w:qFormat/>
    <w:uiPriority w:val="99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240" w:lineRule="atLeast"/>
      <w:jc w:val="right"/>
    </w:pPr>
    <w:rPr>
      <w:rFonts w:ascii="Times New Roman" w:hAnsi="Times New Roman" w:eastAsia="宋体" w:cs="Times New Roman"/>
      <w:b/>
      <w:w w:val="170"/>
      <w:kern w:val="0"/>
      <w:sz w:val="96"/>
      <w:szCs w:val="96"/>
      <w:lang w:val="en-US" w:eastAsia="zh-CN" w:bidi="ar-SA"/>
    </w:rPr>
  </w:style>
  <w:style w:type="paragraph" w:customStyle="1" w:styleId="91">
    <w:name w:val="其他发布日期"/>
    <w:basedOn w:val="92"/>
    <w:qFormat/>
    <w:uiPriority w:val="99"/>
    <w:pPr>
      <w:framePr w:vAnchor="page" w:hAnchor="text" w:x="1419"/>
    </w:pPr>
  </w:style>
  <w:style w:type="paragraph" w:customStyle="1" w:styleId="92">
    <w:name w:val="发布日期"/>
    <w:uiPriority w:val="99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kern w:val="0"/>
      <w:sz w:val="28"/>
      <w:szCs w:val="20"/>
      <w:lang w:val="en-US" w:eastAsia="zh-CN" w:bidi="ar-SA"/>
    </w:rPr>
  </w:style>
  <w:style w:type="paragraph" w:customStyle="1" w:styleId="93">
    <w:name w:val="封面标准代替信息"/>
    <w:uiPriority w:val="99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kern w:val="0"/>
      <w:sz w:val="21"/>
      <w:szCs w:val="21"/>
      <w:lang w:val="en-US" w:eastAsia="zh-CN" w:bidi="ar-SA"/>
    </w:rPr>
  </w:style>
  <w:style w:type="paragraph" w:customStyle="1" w:styleId="94">
    <w:name w:val="附录一级无"/>
    <w:basedOn w:val="71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5">
    <w:name w:val="附录数字编号列项（二级）"/>
    <w:uiPriority w:val="99"/>
    <w:pPr>
      <w:numPr>
        <w:ilvl w:val="1"/>
        <w:numId w:val="7"/>
      </w:numPr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96">
    <w:name w:val="封面标准文稿编辑信息"/>
    <w:basedOn w:val="80"/>
    <w:qFormat/>
    <w:uiPriority w:val="99"/>
    <w:pPr>
      <w:spacing w:before="180" w:line="180" w:lineRule="exact"/>
    </w:pPr>
    <w:rPr>
      <w:sz w:val="21"/>
    </w:rPr>
  </w:style>
  <w:style w:type="paragraph" w:customStyle="1" w:styleId="97">
    <w:name w:val="附录五级无"/>
    <w:basedOn w:val="82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8">
    <w:name w:val="标准书脚_奇数页"/>
    <w:qFormat/>
    <w:uiPriority w:val="99"/>
    <w:pPr>
      <w:spacing w:before="120"/>
      <w:ind w:right="198"/>
      <w:jc w:val="right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99">
    <w:name w:val="四级无"/>
    <w:basedOn w:val="56"/>
    <w:qFormat/>
    <w:uiPriority w:val="99"/>
    <w:pPr>
      <w:spacing w:beforeLines="0" w:afterLines="0"/>
    </w:pPr>
    <w:rPr>
      <w:rFonts w:ascii="宋体" w:eastAsia="宋体"/>
    </w:rPr>
  </w:style>
  <w:style w:type="paragraph" w:customStyle="1" w:styleId="100">
    <w:name w:val="正文表标题"/>
    <w:next w:val="18"/>
    <w:uiPriority w:val="99"/>
    <w:pPr>
      <w:numPr>
        <w:ilvl w:val="0"/>
        <w:numId w:val="8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01">
    <w:name w:val="条文脚注"/>
    <w:basedOn w:val="19"/>
    <w:uiPriority w:val="99"/>
    <w:pPr>
      <w:numPr>
        <w:numId w:val="0"/>
      </w:numPr>
      <w:jc w:val="both"/>
    </w:pPr>
  </w:style>
  <w:style w:type="paragraph" w:customStyle="1" w:styleId="102">
    <w:name w:val="其他标准称谓"/>
    <w:next w:val="1"/>
    <w:uiPriority w:val="99"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hAnsi="宋体" w:eastAsia="黑体" w:cs="Times New Roman"/>
      <w:spacing w:val="-40"/>
      <w:kern w:val="0"/>
      <w:sz w:val="48"/>
      <w:szCs w:val="52"/>
      <w:lang w:val="en-US" w:eastAsia="zh-CN" w:bidi="ar-SA"/>
    </w:rPr>
  </w:style>
  <w:style w:type="paragraph" w:customStyle="1" w:styleId="103">
    <w:name w:val="图表脚注说明"/>
    <w:basedOn w:val="1"/>
    <w:uiPriority w:val="99"/>
    <w:pPr>
      <w:numPr>
        <w:ilvl w:val="0"/>
        <w:numId w:val="9"/>
      </w:numPr>
    </w:pPr>
    <w:rPr>
      <w:rFonts w:ascii="宋体"/>
      <w:sz w:val="18"/>
      <w:szCs w:val="18"/>
    </w:rPr>
  </w:style>
  <w:style w:type="paragraph" w:customStyle="1" w:styleId="104">
    <w:name w:val="附录公式编号制表符"/>
    <w:basedOn w:val="1"/>
    <w:next w:val="18"/>
    <w:uiPriority w:val="99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105">
    <w:name w:val="封面标准号2"/>
    <w:uiPriority w:val="99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kern w:val="0"/>
      <w:sz w:val="28"/>
      <w:szCs w:val="28"/>
      <w:lang w:val="en-US" w:eastAsia="zh-CN" w:bidi="ar-SA"/>
    </w:rPr>
  </w:style>
  <w:style w:type="paragraph" w:customStyle="1" w:styleId="106">
    <w:name w:val="其他标准标志"/>
    <w:basedOn w:val="90"/>
    <w:uiPriority w:val="99"/>
    <w:pPr>
      <w:framePr w:w="6101" w:vAnchor="page" w:hAnchor="page" w:x="4673" w:y="942"/>
    </w:pPr>
    <w:rPr>
      <w:w w:val="130"/>
    </w:rPr>
  </w:style>
  <w:style w:type="paragraph" w:customStyle="1" w:styleId="107">
    <w:name w:val="目次、索引正文"/>
    <w:uiPriority w:val="99"/>
    <w:pPr>
      <w:spacing w:line="320" w:lineRule="exact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08">
    <w:name w:val="列项说明数字编号"/>
    <w:uiPriority w:val="99"/>
    <w:pPr>
      <w:ind w:left="600" w:leftChars="400" w:hanging="200" w:hangingChars="200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09">
    <w:name w:val="二级无"/>
    <w:basedOn w:val="58"/>
    <w:uiPriority w:val="99"/>
    <w:pPr>
      <w:spacing w:beforeLines="0" w:afterLines="0"/>
      <w:ind w:left="0"/>
    </w:pPr>
    <w:rPr>
      <w:rFonts w:ascii="宋体" w:eastAsia="宋体"/>
    </w:rPr>
  </w:style>
  <w:style w:type="paragraph" w:customStyle="1" w:styleId="110">
    <w:name w:val="封面标准英文名称2"/>
    <w:basedOn w:val="52"/>
    <w:uiPriority w:val="99"/>
    <w:pPr>
      <w:framePr w:y="4469"/>
    </w:pPr>
  </w:style>
  <w:style w:type="paragraph" w:customStyle="1" w:styleId="111">
    <w:name w:val="注："/>
    <w:next w:val="18"/>
    <w:qFormat/>
    <w:uiPriority w:val="99"/>
    <w:pPr>
      <w:widowControl w:val="0"/>
      <w:numPr>
        <w:ilvl w:val="0"/>
        <w:numId w:val="10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12">
    <w:name w:val="正文图标题"/>
    <w:next w:val="18"/>
    <w:uiPriority w:val="99"/>
    <w:pPr>
      <w:numPr>
        <w:ilvl w:val="0"/>
        <w:numId w:val="11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13">
    <w:name w:val="封面正文"/>
    <w:qFormat/>
    <w:uiPriority w:val="99"/>
    <w:pPr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114">
    <w:name w:val="参考文献、索引标题"/>
    <w:basedOn w:val="1"/>
    <w:next w:val="18"/>
    <w:uiPriority w:val="9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15">
    <w:name w:val="实施日期"/>
    <w:basedOn w:val="92"/>
    <w:uiPriority w:val="99"/>
    <w:pPr>
      <w:framePr w:vAnchor="page" w:hAnchor="text"/>
      <w:jc w:val="right"/>
    </w:pPr>
  </w:style>
  <w:style w:type="paragraph" w:customStyle="1" w:styleId="116">
    <w:name w:val="封面标准号1"/>
    <w:uiPriority w:val="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kern w:val="0"/>
      <w:sz w:val="28"/>
      <w:szCs w:val="20"/>
      <w:lang w:val="en-US" w:eastAsia="zh-CN" w:bidi="ar-SA"/>
    </w:rPr>
  </w:style>
  <w:style w:type="paragraph" w:customStyle="1" w:styleId="117">
    <w:name w:val="文献分类号"/>
    <w:qFormat/>
    <w:uiPriority w:val="99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118">
    <w:name w:val="标准书脚_偶数页"/>
    <w:qFormat/>
    <w:uiPriority w:val="99"/>
    <w:pPr>
      <w:spacing w:before="120"/>
      <w:ind w:left="221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19">
    <w:name w:val="示例×："/>
    <w:basedOn w:val="81"/>
    <w:qFormat/>
    <w:uiPriority w:val="99"/>
    <w:pPr>
      <w:numPr>
        <w:numId w:val="12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20">
    <w:name w:val="前言、引言标题"/>
    <w:next w:val="18"/>
    <w:uiPriority w:val="9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121">
    <w:name w:val="图标脚注说明"/>
    <w:basedOn w:val="18"/>
    <w:uiPriority w:val="99"/>
    <w:pPr>
      <w:ind w:left="840" w:hanging="420" w:firstLineChars="0"/>
    </w:pPr>
    <w:rPr>
      <w:sz w:val="18"/>
      <w:szCs w:val="18"/>
    </w:rPr>
  </w:style>
  <w:style w:type="paragraph" w:customStyle="1" w:styleId="122">
    <w:name w:val="数字编号列项（二级）"/>
    <w:uiPriority w:val="99"/>
    <w:pPr>
      <w:numPr>
        <w:ilvl w:val="1"/>
        <w:numId w:val="13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23">
    <w:name w:val="参考文献"/>
    <w:basedOn w:val="1"/>
    <w:next w:val="18"/>
    <w:uiPriority w:val="9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24">
    <w:name w:val="封面标准文稿编辑信息2"/>
    <w:basedOn w:val="96"/>
    <w:qFormat/>
    <w:uiPriority w:val="99"/>
    <w:pPr>
      <w:framePr w:y="4469"/>
    </w:pPr>
  </w:style>
  <w:style w:type="paragraph" w:customStyle="1" w:styleId="125">
    <w:name w:val="字母编号列项（一级）"/>
    <w:qFormat/>
    <w:uiPriority w:val="99"/>
    <w:pPr>
      <w:numPr>
        <w:ilvl w:val="0"/>
        <w:numId w:val="13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26">
    <w:name w:val="注：（正文）"/>
    <w:basedOn w:val="111"/>
    <w:next w:val="18"/>
    <w:qFormat/>
    <w:uiPriority w:val="99"/>
  </w:style>
  <w:style w:type="paragraph" w:customStyle="1" w:styleId="127">
    <w:name w:val="目次、标准名称标题"/>
    <w:basedOn w:val="1"/>
    <w:next w:val="18"/>
    <w:uiPriority w:val="9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128">
    <w:name w:val="图的脚注"/>
    <w:next w:val="18"/>
    <w:qFormat/>
    <w:uiPriority w:val="99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kern w:val="0"/>
      <w:sz w:val="18"/>
      <w:szCs w:val="20"/>
      <w:lang w:val="en-US" w:eastAsia="zh-CN" w:bidi="ar-SA"/>
    </w:rPr>
  </w:style>
  <w:style w:type="paragraph" w:customStyle="1" w:styleId="129">
    <w:name w:val="列项◆（三级）"/>
    <w:basedOn w:val="1"/>
    <w:uiPriority w:val="99"/>
    <w:pPr>
      <w:numPr>
        <w:ilvl w:val="2"/>
        <w:numId w:val="5"/>
      </w:numPr>
    </w:pPr>
    <w:rPr>
      <w:rFonts w:ascii="宋体"/>
      <w:szCs w:val="21"/>
    </w:rPr>
  </w:style>
  <w:style w:type="paragraph" w:customStyle="1" w:styleId="130">
    <w:name w:val="示例后文字"/>
    <w:basedOn w:val="18"/>
    <w:next w:val="18"/>
    <w:uiPriority w:val="99"/>
    <w:pPr>
      <w:ind w:firstLine="360"/>
    </w:pPr>
    <w:rPr>
      <w:sz w:val="18"/>
    </w:rPr>
  </w:style>
  <w:style w:type="paragraph" w:customStyle="1" w:styleId="131">
    <w:name w:val="附录图标号"/>
    <w:basedOn w:val="1"/>
    <w:uiPriority w:val="99"/>
    <w:pPr>
      <w:keepNext/>
      <w:pageBreakBefore/>
      <w:widowControl/>
      <w:numPr>
        <w:ilvl w:val="0"/>
        <w:numId w:val="6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132">
    <w:name w:val="注×："/>
    <w:qFormat/>
    <w:uiPriority w:val="99"/>
    <w:pPr>
      <w:widowControl w:val="0"/>
      <w:numPr>
        <w:ilvl w:val="0"/>
        <w:numId w:val="14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33">
    <w:name w:val="正文公式编号制表符"/>
    <w:basedOn w:val="18"/>
    <w:next w:val="18"/>
    <w:qFormat/>
    <w:uiPriority w:val="99"/>
    <w:pPr>
      <w:ind w:firstLine="0" w:firstLineChars="0"/>
    </w:pPr>
  </w:style>
  <w:style w:type="paragraph" w:customStyle="1" w:styleId="134">
    <w:name w:val="附录二级无"/>
    <w:basedOn w:val="77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35">
    <w:name w:val="附录标题"/>
    <w:basedOn w:val="18"/>
    <w:next w:val="18"/>
    <w:qFormat/>
    <w:uiPriority w:val="99"/>
    <w:pPr>
      <w:ind w:firstLine="0" w:firstLineChars="0"/>
      <w:jc w:val="center"/>
    </w:pPr>
    <w:rPr>
      <w:rFonts w:ascii="黑体" w:eastAsia="黑体"/>
    </w:rPr>
  </w:style>
  <w:style w:type="paragraph" w:customStyle="1" w:styleId="136">
    <w:name w:val="附录字母编号列项（一级）"/>
    <w:uiPriority w:val="99"/>
    <w:pPr>
      <w:numPr>
        <w:ilvl w:val="0"/>
        <w:numId w:val="7"/>
      </w:numPr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37">
    <w:name w:val="附录表标题"/>
    <w:basedOn w:val="1"/>
    <w:next w:val="18"/>
    <w:qFormat/>
    <w:uiPriority w:val="99"/>
    <w:pPr>
      <w:numPr>
        <w:ilvl w:val="1"/>
        <w:numId w:val="15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138">
    <w:name w:val="编号列项（三级）"/>
    <w:uiPriority w:val="99"/>
    <w:pPr>
      <w:numPr>
        <w:ilvl w:val="2"/>
        <w:numId w:val="13"/>
      </w:numPr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39">
    <w:name w:val="标准书眉一"/>
    <w:uiPriority w:val="99"/>
    <w:pPr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140">
    <w:name w:val="其他实施日期"/>
    <w:basedOn w:val="115"/>
    <w:uiPriority w:val="99"/>
  </w:style>
  <w:style w:type="paragraph" w:customStyle="1" w:styleId="141">
    <w:name w:val="注×：（正文）"/>
    <w:uiPriority w:val="99"/>
    <w:pPr>
      <w:numPr>
        <w:ilvl w:val="0"/>
        <w:numId w:val="16"/>
      </w:numPr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42">
    <w:name w:val="Default"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143">
    <w:name w:val="列项说明"/>
    <w:basedOn w:val="1"/>
    <w:uiPriority w:val="99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144">
    <w:name w:val="附录三级无"/>
    <w:basedOn w:val="76"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45">
    <w:name w:val="列项●（二级）"/>
    <w:uiPriority w:val="99"/>
    <w:pPr>
      <w:numPr>
        <w:ilvl w:val="1"/>
        <w:numId w:val="5"/>
      </w:numPr>
      <w:tabs>
        <w:tab w:val="left" w:pos="840"/>
      </w:tabs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46">
    <w:name w:val="示例"/>
    <w:next w:val="87"/>
    <w:uiPriority w:val="99"/>
    <w:pPr>
      <w:widowControl w:val="0"/>
      <w:numPr>
        <w:ilvl w:val="0"/>
        <w:numId w:val="17"/>
      </w:numPr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47">
    <w:name w:val="TOC 标题1"/>
    <w:basedOn w:val="2"/>
    <w:next w:val="1"/>
    <w:qFormat/>
    <w:uiPriority w:val="9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/>
      <w:b w:val="0"/>
      <w:bCs w:val="0"/>
      <w:color w:val="2F5496"/>
      <w:kern w:val="0"/>
      <w:sz w:val="32"/>
      <w:szCs w:val="32"/>
    </w:rPr>
  </w:style>
  <w:style w:type="paragraph" w:customStyle="1" w:styleId="148">
    <w:name w:val="三级无"/>
    <w:basedOn w:val="57"/>
    <w:qFormat/>
    <w:uiPriority w:val="99"/>
    <w:pPr>
      <w:spacing w:beforeLines="0" w:afterLines="0"/>
    </w:pPr>
    <w:rPr>
      <w:rFonts w:ascii="宋体" w:eastAsia="宋体"/>
    </w:rPr>
  </w:style>
  <w:style w:type="paragraph" w:customStyle="1" w:styleId="149">
    <w:name w:val="一级无"/>
    <w:basedOn w:val="59"/>
    <w:uiPriority w:val="99"/>
    <w:pPr>
      <w:spacing w:beforeLines="0" w:afterLines="0"/>
    </w:pPr>
    <w:rPr>
      <w:rFonts w:ascii="宋体" w:eastAsia="宋体"/>
    </w:rPr>
  </w:style>
  <w:style w:type="paragraph" w:customStyle="1" w:styleId="150">
    <w:name w:val="附录表标号"/>
    <w:basedOn w:val="1"/>
    <w:next w:val="18"/>
    <w:qFormat/>
    <w:uiPriority w:val="99"/>
    <w:pPr>
      <w:numPr>
        <w:ilvl w:val="0"/>
        <w:numId w:val="15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character" w:customStyle="1" w:styleId="151">
    <w:name w:val="批注文字 Char"/>
    <w:uiPriority w:val="99"/>
    <w:rPr>
      <w:kern w:val="2"/>
      <w:sz w:val="24"/>
    </w:rPr>
  </w:style>
  <w:style w:type="character" w:customStyle="1" w:styleId="152">
    <w:name w:val="段 Char Char"/>
    <w:qFormat/>
    <w:uiPriority w:val="99"/>
    <w:rPr>
      <w:rFonts w:ascii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zle</Company>
  <Pages>13</Pages>
  <Words>1442</Words>
  <Characters>8226</Characters>
  <Lines>0</Lines>
  <Paragraphs>0</Paragraphs>
  <TotalTime>266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2019-05-09T11:37:00Z</dcterms:created>
  <dc:creator>CNIS</dc:creator>
  <cp:lastModifiedBy>悠哈</cp:lastModifiedBy>
  <cp:lastPrinted>2019-05-24T03:42:00Z</cp:lastPrinted>
  <dcterms:modified xsi:type="dcterms:W3CDTF">2019-06-03T09:14:19Z</dcterms:modified>
  <dc:title>标准名称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