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rPr>
          <w:rFonts w:ascii="Times New Roman" w:hAnsi="Times New Roman" w:eastAsia="黑体"/>
          <w:sz w:val="28"/>
          <w:szCs w:val="28"/>
        </w:rPr>
      </w:pPr>
      <w:r>
        <w:rPr>
          <w:rFonts w:ascii="Times New Roman" w:hAnsi="Times New Roman" w:eastAsia="黑体"/>
          <w:sz w:val="28"/>
          <w:szCs w:val="28"/>
        </w:rPr>
        <w:t xml:space="preserve">                                                                                                                                                                                                                                                                                                    </w:t>
      </w:r>
    </w:p>
    <w:p>
      <w:pPr>
        <w:pStyle w:val="17"/>
        <w:rPr>
          <w:rFonts w:ascii="Times New Roman" w:hAnsi="Times New Roman" w:eastAsia="黑体"/>
          <w:sz w:val="28"/>
          <w:szCs w:val="28"/>
        </w:rPr>
      </w:pPr>
      <w:r>
        <w:rPr>
          <w:rFonts w:ascii="Times New Roman" w:hAnsi="Times New Roman" w:eastAsia="黑体"/>
          <w:sz w:val="28"/>
          <w:szCs w:val="28"/>
          <w:lang w:val="en-US" w:eastAsia="zh-CN"/>
        </w:rPr>
        <w:drawing>
          <wp:inline distT="0" distB="0" distL="0" distR="0">
            <wp:extent cx="1311910" cy="930275"/>
            <wp:effectExtent l="0" t="0" r="254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311910" cy="930275"/>
                    </a:xfrm>
                    <a:prstGeom prst="rect">
                      <a:avLst/>
                    </a:prstGeom>
                    <a:noFill/>
                    <a:ln>
                      <a:noFill/>
                    </a:ln>
                  </pic:spPr>
                </pic:pic>
              </a:graphicData>
            </a:graphic>
          </wp:inline>
        </w:drawing>
      </w:r>
      <w:r>
        <w:rPr>
          <w:rFonts w:ascii="Times New Roman" w:hAnsi="Times New Roman" w:eastAsia="黑体"/>
          <w:sz w:val="28"/>
          <w:szCs w:val="28"/>
        </w:rPr>
        <w:t xml:space="preserve">                            </w:t>
      </w:r>
      <w:r>
        <w:rPr>
          <w:rFonts w:ascii="Times New Roman" w:hAnsi="Times New Roman" w:eastAsia="黑体"/>
          <w:sz w:val="30"/>
          <w:szCs w:val="30"/>
        </w:rPr>
        <w:t>CECS XXX:201X</w:t>
      </w:r>
    </w:p>
    <w:p>
      <w:pPr>
        <w:pStyle w:val="17"/>
        <w:jc w:val="center"/>
        <w:rPr>
          <w:rFonts w:ascii="Times New Roman" w:hAnsi="Times New Roman" w:eastAsia="黑体"/>
          <w:sz w:val="28"/>
          <w:szCs w:val="28"/>
        </w:rPr>
      </w:pPr>
    </w:p>
    <w:p>
      <w:pPr>
        <w:pStyle w:val="17"/>
        <w:jc w:val="center"/>
        <w:rPr>
          <w:rFonts w:ascii="Times New Roman" w:hAnsi="Times New Roman" w:eastAsia="黑体"/>
          <w:sz w:val="28"/>
          <w:szCs w:val="28"/>
        </w:rPr>
      </w:pPr>
      <w:r>
        <w:rPr>
          <w:rFonts w:ascii="Times New Roman" w:hAnsi="Times New Roman"/>
          <w:lang w:val="en-US" w:eastAsia="zh-CN"/>
        </w:rPr>
        <w:pict>
          <v:line id="Line 2" o:spid="_x0000_s1026" o:spt="20" style="position:absolute;left:0pt;margin-left:0pt;margin-top:0pt;height:0pt;width:434.2pt;z-index:251658240;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V3QzEgIAACgEAAAOAAAAZHJzL2Uyb0RvYy54bWysU02P2jAQvVfqf7B8h3xso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">
            <v:path arrowok="t"/>
            <v:fill focussize="0,0"/>
            <v:stroke/>
            <v:imagedata o:title=""/>
            <o:lock v:ext="edit"/>
          </v:line>
        </w:pict>
      </w:r>
    </w:p>
    <w:p>
      <w:pPr>
        <w:pStyle w:val="17"/>
        <w:jc w:val="center"/>
        <w:rPr>
          <w:rFonts w:ascii="Times New Roman" w:hAnsi="Times New Roman" w:eastAsia="黑体"/>
          <w:sz w:val="28"/>
          <w:szCs w:val="28"/>
        </w:rPr>
      </w:pPr>
    </w:p>
    <w:p>
      <w:pPr>
        <w:pStyle w:val="17"/>
        <w:jc w:val="center"/>
        <w:rPr>
          <w:rFonts w:ascii="Times New Roman" w:hAnsi="Times New Roman" w:eastAsia="黑体"/>
          <w:sz w:val="28"/>
          <w:szCs w:val="28"/>
        </w:rPr>
      </w:pPr>
      <w:r>
        <w:rPr>
          <w:rFonts w:ascii="Times New Roman" w:hAnsi="Times New Roman" w:eastAsia="黑体"/>
          <w:sz w:val="28"/>
          <w:szCs w:val="28"/>
        </w:rPr>
        <w:t xml:space="preserve">中国工程建设协会标准                                                    </w:t>
      </w:r>
    </w:p>
    <w:p>
      <w:pPr>
        <w:pStyle w:val="17"/>
        <w:jc w:val="center"/>
        <w:rPr>
          <w:rFonts w:ascii="Times New Roman" w:hAnsi="Times New Roman" w:eastAsia="黑体"/>
          <w:sz w:val="28"/>
          <w:szCs w:val="28"/>
        </w:rPr>
      </w:pPr>
    </w:p>
    <w:p>
      <w:pPr>
        <w:pStyle w:val="17"/>
        <w:jc w:val="center"/>
        <w:rPr>
          <w:rFonts w:ascii="Times New Roman" w:hAnsi="Times New Roman" w:eastAsia="黑体"/>
          <w:sz w:val="32"/>
          <w:szCs w:val="32"/>
        </w:rPr>
      </w:pPr>
      <w:bookmarkStart w:id="808" w:name="_GoBack"/>
      <w:bookmarkEnd w:id="808"/>
      <w:r>
        <w:rPr>
          <w:rFonts w:hint="eastAsia" w:ascii="Times New Roman" w:hAnsi="Times New Roman" w:eastAsia="黑体"/>
          <w:sz w:val="32"/>
          <w:szCs w:val="32"/>
          <w:lang w:eastAsia="zh-CN"/>
        </w:rPr>
        <w:t>珊瑚礁砂混凝土应用技术规程</w:t>
      </w:r>
    </w:p>
    <w:p>
      <w:pPr>
        <w:pStyle w:val="17"/>
        <w:jc w:val="center"/>
        <w:rPr>
          <w:rFonts w:ascii="Times New Roman" w:hAnsi="Times New Roman" w:eastAsia="黑体"/>
          <w:sz w:val="24"/>
          <w:szCs w:val="24"/>
        </w:rPr>
      </w:pPr>
      <w:r>
        <w:rPr>
          <w:rFonts w:ascii="Times New Roman" w:hAnsi="Times New Roman" w:eastAsia="黑体"/>
          <w:sz w:val="24"/>
          <w:szCs w:val="24"/>
        </w:rPr>
        <w:t xml:space="preserve">Technical specification for </w:t>
      </w:r>
      <w:r>
        <w:rPr>
          <w:rFonts w:ascii="Times New Roman" w:hAnsi="Times New Roman" w:eastAsia="黑体"/>
          <w:sz w:val="24"/>
          <w:szCs w:val="24"/>
          <w:lang w:eastAsia="zh-CN"/>
        </w:rPr>
        <w:t>c</w:t>
      </w:r>
      <w:r>
        <w:rPr>
          <w:rFonts w:ascii="Times New Roman" w:hAnsi="Times New Roman" w:eastAsia="黑体"/>
          <w:sz w:val="24"/>
          <w:szCs w:val="24"/>
        </w:rPr>
        <w:t xml:space="preserve">oral </w:t>
      </w:r>
      <w:r>
        <w:rPr>
          <w:rFonts w:ascii="Times New Roman" w:hAnsi="Times New Roman" w:eastAsia="黑体"/>
          <w:sz w:val="24"/>
          <w:szCs w:val="24"/>
          <w:lang w:eastAsia="zh-CN"/>
        </w:rPr>
        <w:t xml:space="preserve">reef sand </w:t>
      </w:r>
      <w:r>
        <w:rPr>
          <w:rFonts w:ascii="Times New Roman" w:hAnsi="Times New Roman" w:eastAsia="黑体"/>
          <w:sz w:val="24"/>
          <w:szCs w:val="24"/>
        </w:rPr>
        <w:t>concrete</w:t>
      </w:r>
    </w:p>
    <w:p>
      <w:pPr>
        <w:pStyle w:val="17"/>
        <w:jc w:val="center"/>
        <w:rPr>
          <w:rFonts w:ascii="Times New Roman" w:hAnsi="Times New Roman" w:eastAsia="黑体"/>
        </w:rPr>
      </w:pPr>
    </w:p>
    <w:p>
      <w:pPr>
        <w:pStyle w:val="17"/>
        <w:jc w:val="center"/>
        <w:rPr>
          <w:rFonts w:ascii="Times New Roman" w:hAnsi="Times New Roman" w:eastAsia="黑体"/>
        </w:rPr>
      </w:pPr>
    </w:p>
    <w:p>
      <w:pPr>
        <w:pStyle w:val="17"/>
        <w:jc w:val="center"/>
        <w:rPr>
          <w:rFonts w:ascii="Times New Roman" w:hAnsi="Times New Roman" w:eastAsia="黑体"/>
        </w:rPr>
      </w:pPr>
      <w:r>
        <w:rPr>
          <w:rFonts w:ascii="Times New Roman" w:hAnsi="Times New Roman" w:eastAsia="黑体"/>
        </w:rPr>
        <w:t>（</w:t>
      </w:r>
      <w:r>
        <w:rPr>
          <w:rFonts w:ascii="Times New Roman" w:hAnsi="Times New Roman" w:eastAsia="黑体"/>
          <w:lang w:val="en-US" w:eastAsia="zh-CN"/>
        </w:rPr>
        <w:t>征求意见稿</w:t>
      </w:r>
      <w:r>
        <w:rPr>
          <w:rFonts w:ascii="Times New Roman" w:hAnsi="Times New Roman" w:eastAsia="黑体"/>
        </w:rPr>
        <w:t>）</w:t>
      </w:r>
    </w:p>
    <w:p>
      <w:pPr>
        <w:pStyle w:val="17"/>
        <w:spacing w:line="360" w:lineRule="auto"/>
        <w:ind w:left="1751" w:leftChars="258" w:hanging="1209" w:hangingChars="576"/>
        <w:rPr>
          <w:rFonts w:ascii="Times New Roman" w:hAnsi="Times New Roman" w:eastAsia="黑体"/>
        </w:rPr>
      </w:pPr>
    </w:p>
    <w:p>
      <w:pPr>
        <w:pStyle w:val="17"/>
        <w:spacing w:line="360" w:lineRule="auto"/>
        <w:jc w:val="center"/>
        <w:rPr>
          <w:rFonts w:ascii="Times New Roman" w:hAnsi="Times New Roman"/>
        </w:rPr>
      </w:pPr>
    </w:p>
    <w:p>
      <w:pPr>
        <w:pStyle w:val="17"/>
        <w:jc w:val="center"/>
        <w:rPr>
          <w:rFonts w:ascii="Times New Roman" w:hAnsi="Times New Roman"/>
        </w:rPr>
      </w:pPr>
    </w:p>
    <w:p>
      <w:pPr>
        <w:pStyle w:val="17"/>
        <w:jc w:val="center"/>
        <w:rPr>
          <w:rFonts w:ascii="Times New Roman" w:hAnsi="Times New Roman"/>
        </w:rPr>
      </w:pPr>
    </w:p>
    <w:p>
      <w:pPr>
        <w:pStyle w:val="17"/>
        <w:jc w:val="center"/>
        <w:rPr>
          <w:rFonts w:ascii="Times New Roman" w:hAnsi="Times New Roman"/>
        </w:rPr>
      </w:pPr>
    </w:p>
    <w:p>
      <w:pPr>
        <w:pStyle w:val="17"/>
        <w:jc w:val="center"/>
        <w:rPr>
          <w:rFonts w:ascii="Times New Roman" w:hAnsi="Times New Roman"/>
        </w:rPr>
      </w:pPr>
    </w:p>
    <w:p>
      <w:pPr>
        <w:pStyle w:val="17"/>
        <w:jc w:val="center"/>
        <w:rPr>
          <w:rFonts w:ascii="Times New Roman" w:hAnsi="Times New Roman"/>
        </w:rPr>
      </w:pPr>
    </w:p>
    <w:p>
      <w:pPr>
        <w:pStyle w:val="17"/>
        <w:jc w:val="center"/>
        <w:rPr>
          <w:rFonts w:ascii="Times New Roman" w:hAnsi="Times New Roman"/>
        </w:rPr>
      </w:pPr>
    </w:p>
    <w:p>
      <w:pPr>
        <w:pStyle w:val="17"/>
        <w:jc w:val="center"/>
        <w:rPr>
          <w:rFonts w:ascii="Times New Roman" w:hAnsi="Times New Roman"/>
        </w:rPr>
      </w:pPr>
    </w:p>
    <w:p>
      <w:pPr>
        <w:pStyle w:val="17"/>
        <w:jc w:val="center"/>
        <w:rPr>
          <w:rFonts w:ascii="Times New Roman" w:hAnsi="Times New Roman"/>
        </w:rPr>
      </w:pPr>
    </w:p>
    <w:p>
      <w:pPr>
        <w:pStyle w:val="17"/>
        <w:jc w:val="center"/>
        <w:rPr>
          <w:rFonts w:ascii="Times New Roman" w:hAnsi="Times New Roman"/>
        </w:rPr>
      </w:pPr>
    </w:p>
    <w:p>
      <w:pPr>
        <w:pStyle w:val="17"/>
        <w:jc w:val="center"/>
        <w:rPr>
          <w:rFonts w:ascii="Times New Roman" w:hAnsi="Times New Roman"/>
        </w:rPr>
      </w:pPr>
    </w:p>
    <w:p>
      <w:pPr>
        <w:pStyle w:val="17"/>
        <w:jc w:val="center"/>
        <w:rPr>
          <w:rFonts w:ascii="Times New Roman" w:hAnsi="Times New Roman"/>
        </w:rPr>
      </w:pPr>
    </w:p>
    <w:p>
      <w:pPr>
        <w:pStyle w:val="17"/>
        <w:jc w:val="center"/>
        <w:rPr>
          <w:rFonts w:ascii="Times New Roman" w:hAnsi="Times New Roman" w:eastAsia="黑体"/>
          <w:sz w:val="28"/>
          <w:szCs w:val="28"/>
        </w:rPr>
      </w:pPr>
      <w:r>
        <w:rPr>
          <w:rFonts w:ascii="Times New Roman" w:hAnsi="Times New Roman" w:eastAsia="黑体"/>
          <w:sz w:val="28"/>
          <w:szCs w:val="28"/>
        </w:rPr>
        <w:t xml:space="preserve">中国计划出版社 </w:t>
      </w:r>
    </w:p>
    <w:p>
      <w:pPr>
        <w:pStyle w:val="17"/>
        <w:rPr>
          <w:rFonts w:ascii="Times New Roman" w:hAnsi="Times New Roman"/>
        </w:rPr>
      </w:pPr>
      <w:r>
        <w:rPr>
          <w:rFonts w:ascii="Times New Roman" w:hAnsi="Times New Roman"/>
        </w:rPr>
        <w:br w:type="page"/>
      </w:r>
    </w:p>
    <w:p>
      <w:pPr>
        <w:jc w:val="center"/>
        <w:rPr>
          <w:rFonts w:eastAsia="黑体"/>
          <w:sz w:val="32"/>
          <w:szCs w:val="32"/>
        </w:rPr>
      </w:pPr>
      <w:r>
        <w:rPr>
          <w:rFonts w:eastAsia="黑体"/>
          <w:sz w:val="32"/>
          <w:szCs w:val="32"/>
        </w:rPr>
        <w:t>前   言</w:t>
      </w:r>
    </w:p>
    <w:p>
      <w:pPr>
        <w:jc w:val="center"/>
        <w:rPr>
          <w:rFonts w:eastAsia="黑体"/>
          <w:sz w:val="32"/>
          <w:szCs w:val="32"/>
        </w:rPr>
      </w:pPr>
    </w:p>
    <w:p>
      <w:pPr>
        <w:spacing w:line="360" w:lineRule="auto"/>
        <w:ind w:firstLine="480" w:firstLineChars="200"/>
        <w:rPr>
          <w:sz w:val="24"/>
          <w:szCs w:val="24"/>
        </w:rPr>
      </w:pPr>
      <w:r>
        <w:rPr>
          <w:sz w:val="24"/>
          <w:szCs w:val="24"/>
        </w:rPr>
        <w:t>根据中国工程建设标准化协会《关于印发&lt;2017年工程建设协会标准制订、修订计划&gt;的通知》（建标协字[2017]014号）的要求，标准编制组经广泛调查研究，认真总结各地实践经验，参考有关国内外标准，并在广泛征求意见的基础上，制定本标准。</w:t>
      </w:r>
    </w:p>
    <w:p>
      <w:pPr>
        <w:spacing w:line="360" w:lineRule="auto"/>
        <w:ind w:firstLine="480" w:firstLineChars="200"/>
        <w:rPr>
          <w:sz w:val="24"/>
          <w:szCs w:val="24"/>
        </w:rPr>
      </w:pPr>
      <w:r>
        <w:rPr>
          <w:sz w:val="24"/>
          <w:szCs w:val="24"/>
        </w:rPr>
        <w:t>本规范的主要技术内容有：1 总则；2 术语；3 基本规定；4 原材料；5 珊瑚骨料混凝土性能；6 配合比设计；7 施工；8质量检验和验收。</w:t>
      </w:r>
    </w:p>
    <w:p>
      <w:pPr>
        <w:spacing w:line="360" w:lineRule="auto"/>
        <w:ind w:firstLine="480" w:firstLineChars="200"/>
        <w:rPr>
          <w:sz w:val="24"/>
          <w:szCs w:val="24"/>
        </w:rPr>
      </w:pPr>
      <w:r>
        <w:rPr>
          <w:sz w:val="24"/>
          <w:szCs w:val="24"/>
        </w:rPr>
        <w:t>本标准由中国工程建设标准化协会</w:t>
      </w:r>
      <w:r>
        <w:rPr>
          <w:rFonts w:hint="eastAsia"/>
          <w:sz w:val="24"/>
          <w:szCs w:val="24"/>
        </w:rPr>
        <w:t>混凝土结构专业委员会</w:t>
      </w:r>
      <w:r>
        <w:rPr>
          <w:sz w:val="24"/>
          <w:szCs w:val="24"/>
        </w:rPr>
        <w:t>归口管理，由中国建筑科学研究院有限公司（北京市北三环东路30号，邮政编码：100013）负责具体技术内容的解释。执行过程中如有意见或建议，请将意见和资料寄送解释单位中国建筑科学研究院有限公司。</w:t>
      </w:r>
    </w:p>
    <w:p>
      <w:pPr>
        <w:spacing w:line="360" w:lineRule="auto"/>
        <w:ind w:firstLine="480" w:firstLineChars="200"/>
        <w:rPr>
          <w:sz w:val="24"/>
          <w:szCs w:val="24"/>
        </w:rPr>
      </w:pPr>
      <w:r>
        <w:rPr>
          <w:sz w:val="24"/>
          <w:szCs w:val="24"/>
        </w:rPr>
        <w:t>本标准主编单位：中国建筑科学研究院有限公司</w:t>
      </w:r>
    </w:p>
    <w:p>
      <w:pPr>
        <w:spacing w:line="360" w:lineRule="auto"/>
        <w:ind w:firstLine="480" w:firstLineChars="200"/>
        <w:rPr>
          <w:sz w:val="24"/>
          <w:szCs w:val="24"/>
        </w:rPr>
      </w:pPr>
      <w:r>
        <w:rPr>
          <w:sz w:val="24"/>
          <w:szCs w:val="24"/>
        </w:rPr>
        <w:t>本标准参编单位：</w:t>
      </w:r>
    </w:p>
    <w:p>
      <w:pPr>
        <w:spacing w:line="360" w:lineRule="auto"/>
        <w:ind w:firstLine="480" w:firstLineChars="200"/>
        <w:rPr>
          <w:sz w:val="24"/>
          <w:szCs w:val="24"/>
        </w:rPr>
      </w:pPr>
      <w:r>
        <w:rPr>
          <w:sz w:val="24"/>
          <w:szCs w:val="24"/>
        </w:rPr>
        <w:t xml:space="preserve">                </w:t>
      </w:r>
    </w:p>
    <w:p>
      <w:pPr>
        <w:spacing w:line="360" w:lineRule="auto"/>
        <w:ind w:firstLine="480" w:firstLineChars="200"/>
        <w:rPr>
          <w:sz w:val="24"/>
          <w:szCs w:val="24"/>
        </w:rPr>
      </w:pPr>
      <w:r>
        <w:rPr>
          <w:sz w:val="24"/>
          <w:szCs w:val="24"/>
        </w:rPr>
        <w:t>本标准主要起草人员：</w:t>
      </w:r>
    </w:p>
    <w:p>
      <w:pPr>
        <w:spacing w:line="360" w:lineRule="auto"/>
        <w:ind w:left="2898" w:leftChars="1380"/>
        <w:rPr>
          <w:sz w:val="24"/>
          <w:szCs w:val="24"/>
        </w:rPr>
      </w:pPr>
    </w:p>
    <w:p>
      <w:pPr>
        <w:spacing w:line="360" w:lineRule="auto"/>
        <w:ind w:firstLine="480" w:firstLineChars="200"/>
        <w:rPr>
          <w:sz w:val="24"/>
          <w:szCs w:val="24"/>
        </w:rPr>
      </w:pPr>
      <w:r>
        <w:rPr>
          <w:sz w:val="24"/>
          <w:szCs w:val="24"/>
        </w:rPr>
        <w:t>本标准主要审查人员：</w:t>
      </w:r>
    </w:p>
    <w:p>
      <w:pPr>
        <w:spacing w:line="360" w:lineRule="auto"/>
        <w:ind w:firstLine="480" w:firstLineChars="200"/>
        <w:rPr>
          <w:sz w:val="24"/>
          <w:szCs w:val="24"/>
        </w:rPr>
      </w:pPr>
    </w:p>
    <w:p>
      <w:pPr>
        <w:widowControl/>
        <w:jc w:val="left"/>
        <w:rPr>
          <w:sz w:val="28"/>
          <w:szCs w:val="28"/>
        </w:rPr>
      </w:pPr>
    </w:p>
    <w:p>
      <w:pPr>
        <w:widowControl/>
        <w:jc w:val="left"/>
        <w:rPr>
          <w:sz w:val="28"/>
          <w:szCs w:val="28"/>
        </w:rPr>
      </w:pPr>
      <w:r>
        <w:rPr>
          <w:sz w:val="28"/>
          <w:szCs w:val="28"/>
        </w:rPr>
        <w:br w:type="page"/>
      </w:r>
    </w:p>
    <w:p>
      <w:pPr>
        <w:pStyle w:val="17"/>
        <w:tabs>
          <w:tab w:val="center" w:pos="4153"/>
        </w:tabs>
        <w:rPr>
          <w:rFonts w:ascii="Times New Roman" w:hAnsi="Times New Roman"/>
          <w:b/>
          <w:sz w:val="28"/>
          <w:szCs w:val="28"/>
        </w:rPr>
      </w:pPr>
      <w:r>
        <w:rPr>
          <w:rFonts w:ascii="Times New Roman" w:hAnsi="Times New Roman"/>
          <w:b/>
          <w:sz w:val="28"/>
          <w:szCs w:val="28"/>
        </w:rPr>
        <w:tab/>
      </w:r>
      <w:r>
        <w:rPr>
          <w:rFonts w:ascii="Times New Roman" w:hAnsi="Times New Roman"/>
          <w:b/>
          <w:sz w:val="28"/>
          <w:szCs w:val="28"/>
        </w:rPr>
        <w:t>目  次</w:t>
      </w:r>
    </w:p>
    <w:p>
      <w:pPr>
        <w:pStyle w:val="23"/>
        <w:tabs>
          <w:tab w:val="right" w:leader="dot" w:pos="8296"/>
        </w:tabs>
        <w:rPr>
          <w:rFonts w:ascii="Times New Roman" w:hAnsi="Times New Roman" w:cs="Times New Roman"/>
          <w:kern w:val="2"/>
          <w:sz w:val="21"/>
        </w:rPr>
      </w:pPr>
      <w:r>
        <w:rPr>
          <w:rFonts w:ascii="Times New Roman" w:hAnsi="Times New Roman" w:cs="Times New Roman"/>
        </w:rPr>
        <w:fldChar w:fldCharType="begin"/>
      </w:r>
      <w:r>
        <w:rPr>
          <w:rFonts w:ascii="Times New Roman" w:hAnsi="Times New Roman" w:cs="Times New Roman"/>
        </w:rPr>
        <w:instrText xml:space="preserve"> TOC \o "1-2" \h \z \u </w:instrText>
      </w:r>
      <w:r>
        <w:rPr>
          <w:rFonts w:ascii="Times New Roman" w:hAnsi="Times New Roman" w:cs="Times New Roman"/>
        </w:rPr>
        <w:fldChar w:fldCharType="separate"/>
      </w:r>
      <w:r>
        <w:fldChar w:fldCharType="begin"/>
      </w:r>
      <w:r>
        <w:instrText xml:space="preserve"> HYPERLINK \l "_Toc513811947" </w:instrText>
      </w:r>
      <w:r>
        <w:fldChar w:fldCharType="separate"/>
      </w:r>
      <w:r>
        <w:rPr>
          <w:rStyle w:val="34"/>
          <w:rFonts w:ascii="Times New Roman" w:hAnsi="Times New Roman"/>
        </w:rPr>
        <w:t>1  总  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_Toc513811947 \h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r>
        <w:rPr>
          <w:rFonts w:ascii="Times New Roman" w:hAnsi="Times New Roman" w:cs="Times New Roman"/>
        </w:rPr>
        <w:fldChar w:fldCharType="end"/>
      </w:r>
    </w:p>
    <w:p>
      <w:pPr>
        <w:pStyle w:val="23"/>
        <w:tabs>
          <w:tab w:val="right" w:leader="dot" w:pos="8296"/>
        </w:tabs>
        <w:rPr>
          <w:rFonts w:ascii="Times New Roman" w:hAnsi="Times New Roman" w:cs="Times New Roman"/>
          <w:kern w:val="2"/>
          <w:sz w:val="21"/>
        </w:rPr>
      </w:pPr>
      <w:r>
        <w:fldChar w:fldCharType="begin"/>
      </w:r>
      <w:r>
        <w:instrText xml:space="preserve"> HYPERLINK \l "_Toc513811948" </w:instrText>
      </w:r>
      <w:r>
        <w:fldChar w:fldCharType="separate"/>
      </w:r>
      <w:r>
        <w:rPr>
          <w:rStyle w:val="34"/>
          <w:rFonts w:ascii="Times New Roman" w:hAnsi="Times New Roman"/>
        </w:rPr>
        <w:t>2  术语</w:t>
      </w:r>
      <w:r>
        <w:rPr>
          <w:rStyle w:val="34"/>
          <w:rFonts w:hint="eastAsia" w:ascii="Times New Roman" w:hAnsi="Times New Roman"/>
        </w:rPr>
        <w:t>和符号</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_Toc513811948 \h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r>
        <w:rPr>
          <w:rFonts w:ascii="Times New Roman" w:hAnsi="Times New Roman" w:cs="Times New Roman"/>
        </w:rPr>
        <w:fldChar w:fldCharType="end"/>
      </w:r>
    </w:p>
    <w:p>
      <w:pPr>
        <w:pStyle w:val="23"/>
        <w:tabs>
          <w:tab w:val="right" w:leader="dot" w:pos="8296"/>
        </w:tabs>
        <w:rPr>
          <w:rFonts w:ascii="Times New Roman" w:hAnsi="Times New Roman" w:cs="Times New Roman"/>
          <w:kern w:val="2"/>
          <w:sz w:val="21"/>
        </w:rPr>
      </w:pPr>
      <w:r>
        <w:fldChar w:fldCharType="begin"/>
      </w:r>
      <w:r>
        <w:instrText xml:space="preserve"> HYPERLINK \l "_Toc513811949" </w:instrText>
      </w:r>
      <w:r>
        <w:fldChar w:fldCharType="separate"/>
      </w:r>
      <w:r>
        <w:rPr>
          <w:rStyle w:val="34"/>
          <w:rFonts w:ascii="Times New Roman" w:hAnsi="Times New Roman"/>
        </w:rPr>
        <w:t>3  基本规定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_Toc513811949 \h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rPr>
          <w:rFonts w:ascii="Times New Roman" w:hAnsi="Times New Roman" w:cs="Times New Roman"/>
        </w:rPr>
        <w:fldChar w:fldCharType="end"/>
      </w:r>
    </w:p>
    <w:p>
      <w:pPr>
        <w:pStyle w:val="23"/>
        <w:tabs>
          <w:tab w:val="right" w:leader="dot" w:pos="8296"/>
        </w:tabs>
        <w:rPr>
          <w:rFonts w:ascii="Times New Roman" w:hAnsi="Times New Roman" w:cs="Times New Roman"/>
          <w:kern w:val="2"/>
          <w:sz w:val="21"/>
        </w:rPr>
      </w:pPr>
      <w:r>
        <w:fldChar w:fldCharType="begin"/>
      </w:r>
      <w:r>
        <w:instrText xml:space="preserve"> HYPERLINK \l "_Toc513811950" </w:instrText>
      </w:r>
      <w:r>
        <w:fldChar w:fldCharType="separate"/>
      </w:r>
      <w:r>
        <w:rPr>
          <w:rStyle w:val="34"/>
          <w:rFonts w:ascii="Times New Roman" w:hAnsi="Times New Roman"/>
        </w:rPr>
        <w:t>4  原材料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_Toc513811950 \h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sz w:val="21"/>
        </w:rPr>
      </w:pPr>
      <w:r>
        <w:fldChar w:fldCharType="begin"/>
      </w:r>
      <w:r>
        <w:instrText xml:space="preserve"> HYPERLINK \l "_Toc513811951" </w:instrText>
      </w:r>
      <w:r>
        <w:fldChar w:fldCharType="separate"/>
      </w:r>
      <w:r>
        <w:rPr>
          <w:rStyle w:val="34"/>
          <w:rFonts w:ascii="Times New Roman" w:hAnsi="Times New Roman"/>
          <w:bCs/>
        </w:rPr>
        <w:t>4.1  珊瑚粗骨料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_Toc513811951 \h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sz w:val="21"/>
        </w:rPr>
      </w:pPr>
      <w:r>
        <w:fldChar w:fldCharType="begin"/>
      </w:r>
      <w:r>
        <w:instrText xml:space="preserve"> HYPERLINK \l "_Toc513811952" </w:instrText>
      </w:r>
      <w:r>
        <w:fldChar w:fldCharType="separate"/>
      </w:r>
      <w:r>
        <w:rPr>
          <w:rStyle w:val="34"/>
          <w:rFonts w:ascii="Times New Roman" w:hAnsi="Times New Roman"/>
          <w:bCs/>
        </w:rPr>
        <w:t>4.2  珊瑚砂</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_Toc513811952 \h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sz w:val="21"/>
        </w:rPr>
      </w:pPr>
      <w:r>
        <w:fldChar w:fldCharType="begin"/>
      </w:r>
      <w:r>
        <w:instrText xml:space="preserve"> HYPERLINK \l "_Toc513811953" </w:instrText>
      </w:r>
      <w:r>
        <w:fldChar w:fldCharType="separate"/>
      </w:r>
      <w:r>
        <w:rPr>
          <w:rStyle w:val="34"/>
          <w:rFonts w:ascii="Times New Roman" w:hAnsi="Times New Roman"/>
          <w:bCs/>
        </w:rPr>
        <w:t>4.3  其他原材料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_Toc513811953 \h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r>
        <w:rPr>
          <w:rFonts w:ascii="Times New Roman" w:hAnsi="Times New Roman" w:cs="Times New Roman"/>
        </w:rPr>
        <w:fldChar w:fldCharType="end"/>
      </w:r>
    </w:p>
    <w:p>
      <w:pPr>
        <w:pStyle w:val="23"/>
        <w:tabs>
          <w:tab w:val="right" w:leader="dot" w:pos="8296"/>
        </w:tabs>
        <w:rPr>
          <w:rFonts w:ascii="Times New Roman" w:hAnsi="Times New Roman" w:cs="Times New Roman"/>
          <w:kern w:val="2"/>
          <w:sz w:val="21"/>
        </w:rPr>
      </w:pPr>
      <w:r>
        <w:fldChar w:fldCharType="begin"/>
      </w:r>
      <w:r>
        <w:instrText xml:space="preserve"> HYPERLINK \l "_Toc513811954" </w:instrText>
      </w:r>
      <w:r>
        <w:fldChar w:fldCharType="separate"/>
      </w:r>
      <w:r>
        <w:rPr>
          <w:rStyle w:val="34"/>
          <w:rFonts w:ascii="Times New Roman" w:hAnsi="Times New Roman"/>
        </w:rPr>
        <w:t>5  珊瑚骨料混凝土性能</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_Toc513811954 \h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sz w:val="21"/>
        </w:rPr>
      </w:pPr>
      <w:r>
        <w:fldChar w:fldCharType="begin"/>
      </w:r>
      <w:r>
        <w:instrText xml:space="preserve"> HYPERLINK \l "_Toc513811955" </w:instrText>
      </w:r>
      <w:r>
        <w:fldChar w:fldCharType="separate"/>
      </w:r>
      <w:r>
        <w:rPr>
          <w:rStyle w:val="34"/>
          <w:rFonts w:ascii="Times New Roman" w:hAnsi="Times New Roman"/>
          <w:bCs/>
        </w:rPr>
        <w:t>5.1  拌合物性能</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_Toc513811955 \h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sz w:val="21"/>
        </w:rPr>
      </w:pPr>
      <w:r>
        <w:fldChar w:fldCharType="begin"/>
      </w:r>
      <w:r>
        <w:instrText xml:space="preserve"> HYPERLINK \l "_Toc513811956" </w:instrText>
      </w:r>
      <w:r>
        <w:fldChar w:fldCharType="separate"/>
      </w:r>
      <w:r>
        <w:rPr>
          <w:rStyle w:val="34"/>
          <w:rFonts w:ascii="Times New Roman" w:hAnsi="Times New Roman"/>
          <w:bCs/>
        </w:rPr>
        <w:t>5.2  力学性能</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_Toc513811956 \h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sz w:val="21"/>
        </w:rPr>
      </w:pPr>
      <w:r>
        <w:fldChar w:fldCharType="begin"/>
      </w:r>
      <w:r>
        <w:instrText xml:space="preserve"> HYPERLINK \l "_Toc513811957" </w:instrText>
      </w:r>
      <w:r>
        <w:fldChar w:fldCharType="separate"/>
      </w:r>
      <w:r>
        <w:rPr>
          <w:rStyle w:val="34"/>
          <w:rFonts w:ascii="Times New Roman" w:hAnsi="Times New Roman"/>
          <w:bCs/>
        </w:rPr>
        <w:t>5.3  长期性能与耐久性能</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_Toc513811957 \h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r>
        <w:rPr>
          <w:rFonts w:ascii="Times New Roman" w:hAnsi="Times New Roman" w:cs="Times New Roman"/>
        </w:rPr>
        <w:fldChar w:fldCharType="end"/>
      </w:r>
    </w:p>
    <w:p>
      <w:pPr>
        <w:pStyle w:val="23"/>
        <w:tabs>
          <w:tab w:val="right" w:leader="dot" w:pos="8296"/>
        </w:tabs>
        <w:rPr>
          <w:rFonts w:ascii="Times New Roman" w:hAnsi="Times New Roman" w:cs="Times New Roman"/>
          <w:kern w:val="2"/>
          <w:sz w:val="21"/>
        </w:rPr>
      </w:pPr>
      <w:r>
        <w:fldChar w:fldCharType="begin"/>
      </w:r>
      <w:r>
        <w:instrText xml:space="preserve"> HYPERLINK \l "_Toc513811958" </w:instrText>
      </w:r>
      <w:r>
        <w:fldChar w:fldCharType="separate"/>
      </w:r>
      <w:r>
        <w:rPr>
          <w:rStyle w:val="34"/>
          <w:rFonts w:ascii="Times New Roman" w:hAnsi="Times New Roman"/>
        </w:rPr>
        <w:t>6  配合比设计</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_Toc513811958 \h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sz w:val="21"/>
        </w:rPr>
      </w:pPr>
      <w:r>
        <w:fldChar w:fldCharType="begin"/>
      </w:r>
      <w:r>
        <w:instrText xml:space="preserve"> HYPERLINK \l "_Toc513811959" </w:instrText>
      </w:r>
      <w:r>
        <w:fldChar w:fldCharType="separate"/>
      </w:r>
      <w:r>
        <w:rPr>
          <w:rStyle w:val="34"/>
          <w:rFonts w:ascii="Times New Roman" w:hAnsi="Times New Roman"/>
          <w:bCs/>
        </w:rPr>
        <w:t>6.1  一般要求</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_Toc513811959 \h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sz w:val="21"/>
        </w:rPr>
      </w:pPr>
      <w:r>
        <w:fldChar w:fldCharType="begin"/>
      </w:r>
      <w:r>
        <w:instrText xml:space="preserve"> HYPERLINK \l "_Toc513811960" </w:instrText>
      </w:r>
      <w:r>
        <w:fldChar w:fldCharType="separate"/>
      </w:r>
      <w:r>
        <w:rPr>
          <w:rStyle w:val="34"/>
          <w:rFonts w:ascii="Times New Roman" w:hAnsi="Times New Roman"/>
          <w:bCs/>
        </w:rPr>
        <w:t>6.2  配制强度的确定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_Toc513811960 \h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sz w:val="21"/>
        </w:rPr>
      </w:pPr>
      <w:r>
        <w:fldChar w:fldCharType="begin"/>
      </w:r>
      <w:r>
        <w:instrText xml:space="preserve"> HYPERLINK \l "_Toc513811961" </w:instrText>
      </w:r>
      <w:r>
        <w:fldChar w:fldCharType="separate"/>
      </w:r>
      <w:r>
        <w:rPr>
          <w:rStyle w:val="34"/>
          <w:rFonts w:ascii="Times New Roman" w:hAnsi="Times New Roman"/>
          <w:bCs/>
        </w:rPr>
        <w:t>6.3  耐久性能和长期性能要求</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_Toc513811961 \h </w:instrText>
      </w:r>
      <w:r>
        <w:rPr>
          <w:rFonts w:ascii="Times New Roman" w:hAnsi="Times New Roman" w:cs="Times New Roman"/>
        </w:rPr>
        <w:fldChar w:fldCharType="separate"/>
      </w:r>
      <w:r>
        <w:rPr>
          <w:rFonts w:ascii="Times New Roman" w:hAnsi="Times New Roman" w:cs="Times New Roman"/>
        </w:rPr>
        <w:t>12</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sz w:val="21"/>
        </w:rPr>
      </w:pPr>
      <w:r>
        <w:fldChar w:fldCharType="begin"/>
      </w:r>
      <w:r>
        <w:instrText xml:space="preserve"> HYPERLINK \l "_Toc513811962" </w:instrText>
      </w:r>
      <w:r>
        <w:fldChar w:fldCharType="separate"/>
      </w:r>
      <w:r>
        <w:rPr>
          <w:rStyle w:val="34"/>
          <w:rFonts w:ascii="Times New Roman" w:hAnsi="Times New Roman"/>
          <w:bCs/>
        </w:rPr>
        <w:t>6.4  配合比设计参数选择</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_Toc513811962 \h </w:instrText>
      </w:r>
      <w:r>
        <w:rPr>
          <w:rFonts w:ascii="Times New Roman" w:hAnsi="Times New Roman" w:cs="Times New Roman"/>
        </w:rPr>
        <w:fldChar w:fldCharType="separate"/>
      </w:r>
      <w:r>
        <w:rPr>
          <w:rFonts w:ascii="Times New Roman" w:hAnsi="Times New Roman" w:cs="Times New Roman"/>
        </w:rPr>
        <w:t>13</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sz w:val="21"/>
        </w:rPr>
      </w:pPr>
      <w:r>
        <w:fldChar w:fldCharType="begin"/>
      </w:r>
      <w:r>
        <w:instrText xml:space="preserve"> HYPERLINK \l "_Toc513811963" </w:instrText>
      </w:r>
      <w:r>
        <w:fldChar w:fldCharType="separate"/>
      </w:r>
      <w:r>
        <w:rPr>
          <w:rStyle w:val="34"/>
          <w:rFonts w:ascii="Times New Roman" w:hAnsi="Times New Roman"/>
          <w:bCs/>
        </w:rPr>
        <w:t>6.5  配合比计算与调整</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_Toc513811963 \h </w:instrText>
      </w:r>
      <w:r>
        <w:rPr>
          <w:rFonts w:ascii="Times New Roman" w:hAnsi="Times New Roman" w:cs="Times New Roman"/>
        </w:rPr>
        <w:fldChar w:fldCharType="separate"/>
      </w:r>
      <w:r>
        <w:rPr>
          <w:rFonts w:ascii="Times New Roman" w:hAnsi="Times New Roman" w:cs="Times New Roman"/>
        </w:rPr>
        <w:t>14</w:t>
      </w:r>
      <w:r>
        <w:rPr>
          <w:rFonts w:ascii="Times New Roman" w:hAnsi="Times New Roman" w:cs="Times New Roman"/>
        </w:rPr>
        <w:fldChar w:fldCharType="end"/>
      </w:r>
      <w:r>
        <w:rPr>
          <w:rFonts w:ascii="Times New Roman" w:hAnsi="Times New Roman" w:cs="Times New Roman"/>
        </w:rPr>
        <w:fldChar w:fldCharType="end"/>
      </w:r>
    </w:p>
    <w:p>
      <w:pPr>
        <w:pStyle w:val="23"/>
        <w:tabs>
          <w:tab w:val="right" w:leader="dot" w:pos="8296"/>
        </w:tabs>
        <w:rPr>
          <w:rFonts w:ascii="Times New Roman" w:hAnsi="Times New Roman" w:cs="Times New Roman"/>
          <w:kern w:val="2"/>
          <w:sz w:val="21"/>
        </w:rPr>
      </w:pPr>
      <w:r>
        <w:fldChar w:fldCharType="begin"/>
      </w:r>
      <w:r>
        <w:instrText xml:space="preserve"> HYPERLINK \l "_Toc513811964" </w:instrText>
      </w:r>
      <w:r>
        <w:fldChar w:fldCharType="separate"/>
      </w:r>
      <w:r>
        <w:rPr>
          <w:rStyle w:val="34"/>
          <w:rFonts w:ascii="Times New Roman" w:hAnsi="Times New Roman"/>
        </w:rPr>
        <w:t>7  生产与施工</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_Toc513811964 \h </w:instrText>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sz w:val="21"/>
        </w:rPr>
      </w:pPr>
      <w:r>
        <w:fldChar w:fldCharType="begin"/>
      </w:r>
      <w:r>
        <w:instrText xml:space="preserve"> HYPERLINK \l "_Toc513811965" </w:instrText>
      </w:r>
      <w:r>
        <w:fldChar w:fldCharType="separate"/>
      </w:r>
      <w:r>
        <w:rPr>
          <w:rStyle w:val="34"/>
          <w:rFonts w:ascii="Times New Roman" w:hAnsi="Times New Roman"/>
          <w:bCs/>
        </w:rPr>
        <w:t>7.1  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_Toc513811965 \h </w:instrText>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sz w:val="21"/>
        </w:rPr>
      </w:pPr>
      <w:r>
        <w:fldChar w:fldCharType="begin"/>
      </w:r>
      <w:r>
        <w:instrText xml:space="preserve"> HYPERLINK \l "_Toc513811966" </w:instrText>
      </w:r>
      <w:r>
        <w:fldChar w:fldCharType="separate"/>
      </w:r>
      <w:r>
        <w:rPr>
          <w:rStyle w:val="34"/>
          <w:rFonts w:ascii="Times New Roman" w:hAnsi="Times New Roman"/>
          <w:bCs/>
        </w:rPr>
        <w:t>7.2  原材料进场</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_Toc513811966 \h </w:instrText>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sz w:val="21"/>
        </w:rPr>
      </w:pPr>
      <w:r>
        <w:fldChar w:fldCharType="begin"/>
      </w:r>
      <w:r>
        <w:instrText xml:space="preserve"> HYPERLINK \l "_Toc513811967" </w:instrText>
      </w:r>
      <w:r>
        <w:fldChar w:fldCharType="separate"/>
      </w:r>
      <w:r>
        <w:rPr>
          <w:rStyle w:val="34"/>
          <w:rFonts w:ascii="Times New Roman" w:hAnsi="Times New Roman"/>
          <w:bCs/>
        </w:rPr>
        <w:t>7.3  计量</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_Toc513811967 \h </w:instrText>
      </w:r>
      <w:r>
        <w:rPr>
          <w:rFonts w:ascii="Times New Roman" w:hAnsi="Times New Roman" w:cs="Times New Roman"/>
        </w:rPr>
        <w:fldChar w:fldCharType="separate"/>
      </w:r>
      <w:r>
        <w:rPr>
          <w:rFonts w:ascii="Times New Roman" w:hAnsi="Times New Roman" w:cs="Times New Roman"/>
        </w:rPr>
        <w:t>20</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sz w:val="21"/>
        </w:rPr>
      </w:pPr>
      <w:r>
        <w:fldChar w:fldCharType="begin"/>
      </w:r>
      <w:r>
        <w:instrText xml:space="preserve"> HYPERLINK \l "_Toc513811968" </w:instrText>
      </w:r>
      <w:r>
        <w:fldChar w:fldCharType="separate"/>
      </w:r>
      <w:r>
        <w:rPr>
          <w:rStyle w:val="34"/>
          <w:rFonts w:ascii="Times New Roman" w:hAnsi="Times New Roman"/>
          <w:bCs/>
        </w:rPr>
        <w:t>7.4  搅拌</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_Toc513811968 \h </w:instrText>
      </w:r>
      <w:r>
        <w:rPr>
          <w:rFonts w:ascii="Times New Roman" w:hAnsi="Times New Roman" w:cs="Times New Roman"/>
        </w:rPr>
        <w:fldChar w:fldCharType="separate"/>
      </w:r>
      <w:r>
        <w:rPr>
          <w:rFonts w:ascii="Times New Roman" w:hAnsi="Times New Roman" w:cs="Times New Roman"/>
        </w:rPr>
        <w:t>20</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sz w:val="21"/>
        </w:rPr>
      </w:pPr>
      <w:r>
        <w:fldChar w:fldCharType="begin"/>
      </w:r>
      <w:r>
        <w:instrText xml:space="preserve"> HYPERLINK \l "_Toc513811969" </w:instrText>
      </w:r>
      <w:r>
        <w:fldChar w:fldCharType="separate"/>
      </w:r>
      <w:r>
        <w:rPr>
          <w:rStyle w:val="34"/>
          <w:rFonts w:ascii="Times New Roman" w:hAnsi="Times New Roman"/>
          <w:bCs/>
        </w:rPr>
        <w:t>7.5  运输</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_Toc513811969 \h </w:instrText>
      </w:r>
      <w:r>
        <w:rPr>
          <w:rFonts w:ascii="Times New Roman" w:hAnsi="Times New Roman" w:cs="Times New Roman"/>
        </w:rPr>
        <w:fldChar w:fldCharType="separate"/>
      </w:r>
      <w:r>
        <w:rPr>
          <w:rFonts w:ascii="Times New Roman" w:hAnsi="Times New Roman" w:cs="Times New Roman"/>
        </w:rPr>
        <w:t>21</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sz w:val="21"/>
        </w:rPr>
      </w:pPr>
      <w:r>
        <w:fldChar w:fldCharType="begin"/>
      </w:r>
      <w:r>
        <w:instrText xml:space="preserve"> HYPERLINK \l "_Toc513811970" </w:instrText>
      </w:r>
      <w:r>
        <w:fldChar w:fldCharType="separate"/>
      </w:r>
      <w:r>
        <w:rPr>
          <w:rStyle w:val="34"/>
          <w:rFonts w:ascii="Times New Roman" w:hAnsi="Times New Roman"/>
          <w:bCs/>
        </w:rPr>
        <w:t>7.6  浇筑</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_Toc513811970 \h </w:instrText>
      </w:r>
      <w:r>
        <w:rPr>
          <w:rFonts w:ascii="Times New Roman" w:hAnsi="Times New Roman" w:cs="Times New Roman"/>
        </w:rPr>
        <w:fldChar w:fldCharType="separate"/>
      </w:r>
      <w:r>
        <w:rPr>
          <w:rFonts w:ascii="Times New Roman" w:hAnsi="Times New Roman" w:cs="Times New Roman"/>
        </w:rPr>
        <w:t>21</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sz w:val="21"/>
        </w:rPr>
      </w:pPr>
      <w:r>
        <w:fldChar w:fldCharType="begin"/>
      </w:r>
      <w:r>
        <w:instrText xml:space="preserve"> HYPERLINK \l "_Toc513811971" </w:instrText>
      </w:r>
      <w:r>
        <w:fldChar w:fldCharType="separate"/>
      </w:r>
      <w:r>
        <w:rPr>
          <w:rStyle w:val="34"/>
          <w:rFonts w:ascii="Times New Roman" w:hAnsi="Times New Roman"/>
          <w:bCs/>
        </w:rPr>
        <w:t>7.7  养护</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_Toc513811971 \h </w:instrText>
      </w:r>
      <w:r>
        <w:rPr>
          <w:rFonts w:ascii="Times New Roman" w:hAnsi="Times New Roman" w:cs="Times New Roman"/>
        </w:rPr>
        <w:fldChar w:fldCharType="separate"/>
      </w:r>
      <w:r>
        <w:rPr>
          <w:rFonts w:ascii="Times New Roman" w:hAnsi="Times New Roman" w:cs="Times New Roman"/>
        </w:rPr>
        <w:t>22</w:t>
      </w:r>
      <w:r>
        <w:rPr>
          <w:rFonts w:ascii="Times New Roman" w:hAnsi="Times New Roman" w:cs="Times New Roman"/>
        </w:rPr>
        <w:fldChar w:fldCharType="end"/>
      </w:r>
      <w:r>
        <w:rPr>
          <w:rFonts w:ascii="Times New Roman" w:hAnsi="Times New Roman" w:cs="Times New Roman"/>
        </w:rPr>
        <w:fldChar w:fldCharType="end"/>
      </w:r>
    </w:p>
    <w:p>
      <w:pPr>
        <w:pStyle w:val="23"/>
        <w:tabs>
          <w:tab w:val="right" w:leader="dot" w:pos="8296"/>
        </w:tabs>
        <w:rPr>
          <w:rFonts w:ascii="Times New Roman" w:hAnsi="Times New Roman" w:cs="Times New Roman"/>
          <w:kern w:val="2"/>
          <w:sz w:val="21"/>
        </w:rPr>
      </w:pPr>
      <w:r>
        <w:fldChar w:fldCharType="begin"/>
      </w:r>
      <w:r>
        <w:instrText xml:space="preserve"> HYPERLINK \l "_Toc513811972" </w:instrText>
      </w:r>
      <w:r>
        <w:fldChar w:fldCharType="separate"/>
      </w:r>
      <w:r>
        <w:rPr>
          <w:rStyle w:val="34"/>
          <w:rFonts w:ascii="Times New Roman" w:hAnsi="Times New Roman"/>
        </w:rPr>
        <w:t>8  质量检验和验收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_Toc513811972 \h </w:instrText>
      </w:r>
      <w:r>
        <w:rPr>
          <w:rFonts w:ascii="Times New Roman" w:hAnsi="Times New Roman" w:cs="Times New Roman"/>
        </w:rPr>
        <w:fldChar w:fldCharType="separate"/>
      </w:r>
      <w:r>
        <w:rPr>
          <w:rFonts w:ascii="Times New Roman" w:hAnsi="Times New Roman" w:cs="Times New Roman"/>
        </w:rPr>
        <w:t>23</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sz w:val="21"/>
        </w:rPr>
      </w:pPr>
      <w:r>
        <w:fldChar w:fldCharType="begin"/>
      </w:r>
      <w:r>
        <w:instrText xml:space="preserve"> HYPERLINK \l "_Toc513811973" </w:instrText>
      </w:r>
      <w:r>
        <w:fldChar w:fldCharType="separate"/>
      </w:r>
      <w:r>
        <w:rPr>
          <w:rStyle w:val="34"/>
          <w:rFonts w:ascii="Times New Roman" w:hAnsi="Times New Roman"/>
          <w:bCs/>
        </w:rPr>
        <w:t>8.1  原材料质量检验</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_Toc513811973 \h </w:instrText>
      </w:r>
      <w:r>
        <w:rPr>
          <w:rFonts w:ascii="Times New Roman" w:hAnsi="Times New Roman" w:cs="Times New Roman"/>
        </w:rPr>
        <w:fldChar w:fldCharType="separate"/>
      </w:r>
      <w:r>
        <w:rPr>
          <w:rFonts w:ascii="Times New Roman" w:hAnsi="Times New Roman" w:cs="Times New Roman"/>
        </w:rPr>
        <w:t>23</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sz w:val="21"/>
        </w:rPr>
      </w:pPr>
      <w:r>
        <w:fldChar w:fldCharType="begin"/>
      </w:r>
      <w:r>
        <w:instrText xml:space="preserve"> HYPERLINK \l "_Toc513811974" </w:instrText>
      </w:r>
      <w:r>
        <w:fldChar w:fldCharType="separate"/>
      </w:r>
      <w:r>
        <w:rPr>
          <w:rStyle w:val="34"/>
          <w:rFonts w:ascii="Times New Roman" w:hAnsi="Times New Roman"/>
          <w:bCs/>
        </w:rPr>
        <w:t>8.2  珊瑚骨料混凝土性能检验</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_Toc513811974 \h </w:instrText>
      </w:r>
      <w:r>
        <w:rPr>
          <w:rFonts w:ascii="Times New Roman" w:hAnsi="Times New Roman" w:cs="Times New Roman"/>
        </w:rPr>
        <w:fldChar w:fldCharType="separate"/>
      </w:r>
      <w:r>
        <w:rPr>
          <w:rFonts w:ascii="Times New Roman" w:hAnsi="Times New Roman" w:cs="Times New Roman"/>
        </w:rPr>
        <w:t>23</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sz w:val="21"/>
        </w:rPr>
      </w:pPr>
      <w:r>
        <w:fldChar w:fldCharType="begin"/>
      </w:r>
      <w:r>
        <w:instrText xml:space="preserve"> HYPERLINK \l "_Toc513811975" </w:instrText>
      </w:r>
      <w:r>
        <w:fldChar w:fldCharType="separate"/>
      </w:r>
      <w:r>
        <w:rPr>
          <w:rStyle w:val="34"/>
          <w:rFonts w:ascii="Times New Roman" w:hAnsi="Times New Roman"/>
          <w:bCs/>
        </w:rPr>
        <w:t>8.3  验收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_Toc513811975 \h </w:instrText>
      </w:r>
      <w:r>
        <w:rPr>
          <w:rFonts w:ascii="Times New Roman" w:hAnsi="Times New Roman" w:cs="Times New Roman"/>
        </w:rPr>
        <w:fldChar w:fldCharType="separate"/>
      </w:r>
      <w:r>
        <w:rPr>
          <w:rFonts w:ascii="Times New Roman" w:hAnsi="Times New Roman" w:cs="Times New Roman"/>
        </w:rPr>
        <w:t>24</w:t>
      </w:r>
      <w:r>
        <w:rPr>
          <w:rFonts w:ascii="Times New Roman" w:hAnsi="Times New Roman" w:cs="Times New Roman"/>
        </w:rPr>
        <w:fldChar w:fldCharType="end"/>
      </w:r>
      <w:r>
        <w:rPr>
          <w:rFonts w:ascii="Times New Roman" w:hAnsi="Times New Roman" w:cs="Times New Roman"/>
        </w:rPr>
        <w:fldChar w:fldCharType="end"/>
      </w:r>
    </w:p>
    <w:p>
      <w:pPr>
        <w:pStyle w:val="23"/>
        <w:tabs>
          <w:tab w:val="right" w:leader="dot" w:pos="8296"/>
        </w:tabs>
        <w:rPr>
          <w:rFonts w:ascii="Times New Roman" w:hAnsi="Times New Roman" w:cs="Times New Roman"/>
          <w:kern w:val="2"/>
          <w:sz w:val="21"/>
        </w:rPr>
      </w:pPr>
      <w:r>
        <w:fldChar w:fldCharType="begin"/>
      </w:r>
      <w:r>
        <w:instrText xml:space="preserve"> HYPERLINK \l "_Toc513811976" </w:instrText>
      </w:r>
      <w:r>
        <w:fldChar w:fldCharType="separate"/>
      </w:r>
      <w:r>
        <w:rPr>
          <w:rStyle w:val="34"/>
          <w:rFonts w:ascii="Times New Roman" w:hAnsi="Times New Roman"/>
        </w:rPr>
        <w:t>本规程用词说明</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_Toc513811976 \h </w:instrText>
      </w:r>
      <w:r>
        <w:rPr>
          <w:rFonts w:ascii="Times New Roman" w:hAnsi="Times New Roman" w:cs="Times New Roman"/>
        </w:rPr>
        <w:fldChar w:fldCharType="separate"/>
      </w:r>
      <w:r>
        <w:rPr>
          <w:rFonts w:ascii="Times New Roman" w:hAnsi="Times New Roman" w:cs="Times New Roman"/>
        </w:rPr>
        <w:t>25</w:t>
      </w:r>
      <w:r>
        <w:rPr>
          <w:rFonts w:ascii="Times New Roman" w:hAnsi="Times New Roman" w:cs="Times New Roman"/>
        </w:rPr>
        <w:fldChar w:fldCharType="end"/>
      </w:r>
      <w:r>
        <w:rPr>
          <w:rFonts w:ascii="Times New Roman" w:hAnsi="Times New Roman" w:cs="Times New Roman"/>
        </w:rPr>
        <w:fldChar w:fldCharType="end"/>
      </w:r>
    </w:p>
    <w:p>
      <w:pPr>
        <w:pStyle w:val="23"/>
        <w:tabs>
          <w:tab w:val="right" w:leader="dot" w:pos="8296"/>
        </w:tabs>
        <w:rPr>
          <w:rFonts w:ascii="Times New Roman" w:hAnsi="Times New Roman" w:cs="Times New Roman"/>
          <w:kern w:val="2"/>
          <w:sz w:val="21"/>
        </w:rPr>
      </w:pPr>
      <w:r>
        <w:fldChar w:fldCharType="begin"/>
      </w:r>
      <w:r>
        <w:instrText xml:space="preserve"> HYPERLINK \l "_Toc513811977" </w:instrText>
      </w:r>
      <w:r>
        <w:fldChar w:fldCharType="separate"/>
      </w:r>
      <w:r>
        <w:rPr>
          <w:rStyle w:val="34"/>
          <w:rFonts w:ascii="Times New Roman" w:hAnsi="Times New Roman"/>
        </w:rPr>
        <w:t>引用标准名录</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_Toc513811977 \h </w:instrText>
      </w:r>
      <w:r>
        <w:rPr>
          <w:rFonts w:ascii="Times New Roman" w:hAnsi="Times New Roman" w:cs="Times New Roman"/>
        </w:rPr>
        <w:fldChar w:fldCharType="separate"/>
      </w:r>
      <w:r>
        <w:rPr>
          <w:rFonts w:ascii="Times New Roman" w:hAnsi="Times New Roman" w:cs="Times New Roman"/>
        </w:rPr>
        <w:t>26</w:t>
      </w:r>
      <w:r>
        <w:rPr>
          <w:rFonts w:ascii="Times New Roman" w:hAnsi="Times New Roman" w:cs="Times New Roman"/>
        </w:rPr>
        <w:fldChar w:fldCharType="end"/>
      </w:r>
      <w:r>
        <w:rPr>
          <w:rFonts w:ascii="Times New Roman" w:hAnsi="Times New Roman" w:cs="Times New Roman"/>
        </w:rPr>
        <w:fldChar w:fldCharType="end"/>
      </w:r>
    </w:p>
    <w:p>
      <w:pPr>
        <w:pStyle w:val="23"/>
        <w:tabs>
          <w:tab w:val="right" w:leader="dot" w:pos="8296"/>
        </w:tabs>
        <w:rPr>
          <w:rFonts w:ascii="Times New Roman" w:hAnsi="Times New Roman" w:cs="Times New Roman"/>
          <w:kern w:val="2"/>
          <w:sz w:val="21"/>
        </w:rPr>
      </w:pPr>
    </w:p>
    <w:p>
      <w:pPr>
        <w:pStyle w:val="23"/>
        <w:tabs>
          <w:tab w:val="right" w:leader="dot" w:pos="8296"/>
        </w:tabs>
        <w:rPr>
          <w:rStyle w:val="34"/>
          <w:rFonts w:hint="default" w:ascii="Times New Roman" w:hAnsi="Times New Roman" w:eastAsia="宋体"/>
          <w:lang w:val="en-US" w:eastAsia="zh-CN"/>
        </w:rPr>
      </w:pPr>
      <w:r>
        <w:rPr>
          <w:rFonts w:ascii="Times New Roman" w:hAnsi="Times New Roman" w:cs="Times New Roman"/>
        </w:rPr>
        <w:fldChar w:fldCharType="end"/>
      </w:r>
      <w:r>
        <w:rPr>
          <w:rFonts w:hint="eastAsia" w:ascii="Times New Roman" w:hAnsi="Times New Roman" w:cs="Times New Roman"/>
          <w:lang w:val="en-US" w:eastAsia="zh-CN"/>
        </w:rPr>
        <w:t>附条文说明</w:t>
      </w:r>
    </w:p>
    <w:p>
      <w:pPr>
        <w:pStyle w:val="17"/>
        <w:jc w:val="center"/>
        <w:rPr>
          <w:rFonts w:ascii="Times New Roman" w:hAnsi="Times New Roman"/>
          <w:b/>
          <w:sz w:val="28"/>
          <w:szCs w:val="28"/>
        </w:rPr>
      </w:pPr>
      <w:r>
        <w:rPr>
          <w:rStyle w:val="34"/>
          <w:rFonts w:ascii="Times New Roman" w:hAnsi="Times New Roman"/>
          <w:lang w:val="en-US" w:eastAsia="zh-CN"/>
        </w:rPr>
        <w:br w:type="page"/>
      </w:r>
      <w:r>
        <w:rPr>
          <w:rFonts w:ascii="Times New Roman" w:hAnsi="Times New Roman"/>
          <w:b/>
          <w:sz w:val="28"/>
          <w:szCs w:val="28"/>
        </w:rPr>
        <w:t>Contents</w:t>
      </w:r>
    </w:p>
    <w:p>
      <w:pPr>
        <w:pStyle w:val="23"/>
        <w:tabs>
          <w:tab w:val="right" w:leader="dot" w:pos="8296"/>
        </w:tabs>
        <w:rPr>
          <w:rFonts w:ascii="Times New Roman" w:hAnsi="Times New Roman" w:cs="Times New Roman"/>
          <w:kern w:val="2"/>
          <w:sz w:val="21"/>
        </w:rPr>
      </w:pPr>
    </w:p>
    <w:p>
      <w:pPr>
        <w:pStyle w:val="23"/>
        <w:tabs>
          <w:tab w:val="right" w:leader="dot" w:pos="8296"/>
        </w:tabs>
        <w:rPr>
          <w:rFonts w:ascii="Times New Roman" w:hAnsi="Times New Roman" w:cs="Times New Roman"/>
          <w:kern w:val="2"/>
          <w:sz w:val="21"/>
        </w:rPr>
      </w:pPr>
    </w:p>
    <w:p>
      <w:pPr>
        <w:pStyle w:val="23"/>
        <w:tabs>
          <w:tab w:val="right" w:leader="dot" w:pos="8296"/>
        </w:tabs>
        <w:rPr>
          <w:rFonts w:ascii="Times New Roman" w:hAnsi="Times New Roman" w:cs="Times New Roman"/>
          <w:kern w:val="2"/>
        </w:rPr>
      </w:pPr>
      <w:r>
        <w:fldChar w:fldCharType="begin"/>
      </w:r>
      <w:r>
        <w:instrText xml:space="preserve"> HYPERLINK \l "_Toc513811947" </w:instrText>
      </w:r>
      <w:r>
        <w:fldChar w:fldCharType="separate"/>
      </w:r>
      <w:r>
        <w:rPr>
          <w:rStyle w:val="34"/>
          <w:rFonts w:ascii="Times New Roman" w:hAnsi="Times New Roman"/>
          <w:u w:val="none"/>
        </w:rPr>
        <w:t>1  General Provisions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_Toc513811947 \h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r>
        <w:rPr>
          <w:rFonts w:ascii="Times New Roman" w:hAnsi="Times New Roman" w:cs="Times New Roman"/>
        </w:rPr>
        <w:fldChar w:fldCharType="end"/>
      </w:r>
    </w:p>
    <w:p>
      <w:pPr>
        <w:pStyle w:val="23"/>
        <w:tabs>
          <w:tab w:val="right" w:leader="dot" w:pos="8296"/>
        </w:tabs>
        <w:rPr>
          <w:rFonts w:ascii="Times New Roman" w:hAnsi="Times New Roman" w:cs="Times New Roman"/>
          <w:kern w:val="2"/>
        </w:rPr>
      </w:pPr>
      <w:r>
        <w:fldChar w:fldCharType="begin"/>
      </w:r>
      <w:r>
        <w:instrText xml:space="preserve"> HYPERLINK \l "_Toc513811948" </w:instrText>
      </w:r>
      <w:r>
        <w:fldChar w:fldCharType="separate"/>
      </w:r>
      <w:r>
        <w:rPr>
          <w:rStyle w:val="34"/>
          <w:rFonts w:ascii="Times New Roman" w:hAnsi="Times New Roman"/>
          <w:u w:val="none"/>
        </w:rPr>
        <w:t>2  Terms</w:t>
      </w:r>
      <w:r>
        <w:rPr>
          <w:rStyle w:val="34"/>
          <w:rFonts w:hint="eastAsia" w:ascii="Times New Roman" w:hAnsi="Times New Roman"/>
          <w:u w:val="none"/>
        </w:rPr>
        <w:t xml:space="preserve"> and symbols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_Toc513811948 \h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r>
        <w:rPr>
          <w:rFonts w:ascii="Times New Roman" w:hAnsi="Times New Roman" w:cs="Times New Roman"/>
        </w:rPr>
        <w:fldChar w:fldCharType="end"/>
      </w:r>
    </w:p>
    <w:p>
      <w:pPr>
        <w:pStyle w:val="23"/>
        <w:tabs>
          <w:tab w:val="right" w:leader="dot" w:pos="8296"/>
        </w:tabs>
        <w:rPr>
          <w:rFonts w:ascii="Times New Roman" w:hAnsi="Times New Roman" w:cs="Times New Roman"/>
          <w:kern w:val="2"/>
        </w:rPr>
      </w:pPr>
      <w:r>
        <w:fldChar w:fldCharType="begin"/>
      </w:r>
      <w:r>
        <w:instrText xml:space="preserve"> HYPERLINK \l "_Toc513811949" </w:instrText>
      </w:r>
      <w:r>
        <w:fldChar w:fldCharType="separate"/>
      </w:r>
      <w:r>
        <w:rPr>
          <w:rStyle w:val="34"/>
          <w:rFonts w:ascii="Times New Roman" w:hAnsi="Times New Roman"/>
          <w:u w:val="none"/>
        </w:rPr>
        <w:t>3  Basic provisions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_Toc513811949 \h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rPr>
          <w:rFonts w:ascii="Times New Roman" w:hAnsi="Times New Roman" w:cs="Times New Roman"/>
        </w:rPr>
        <w:fldChar w:fldCharType="end"/>
      </w:r>
    </w:p>
    <w:p>
      <w:pPr>
        <w:pStyle w:val="23"/>
        <w:tabs>
          <w:tab w:val="right" w:leader="dot" w:pos="8296"/>
        </w:tabs>
        <w:rPr>
          <w:rFonts w:ascii="Times New Roman" w:hAnsi="Times New Roman" w:cs="Times New Roman"/>
          <w:kern w:val="2"/>
        </w:rPr>
      </w:pPr>
      <w:r>
        <w:fldChar w:fldCharType="begin"/>
      </w:r>
      <w:r>
        <w:instrText xml:space="preserve"> HYPERLINK \l "_Toc513811950" </w:instrText>
      </w:r>
      <w:r>
        <w:fldChar w:fldCharType="separate"/>
      </w:r>
      <w:r>
        <w:rPr>
          <w:rStyle w:val="34"/>
          <w:rFonts w:ascii="Times New Roman" w:hAnsi="Times New Roman"/>
          <w:u w:val="none"/>
        </w:rPr>
        <w:t>4  Raw Materials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_Toc513811950 \h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rPr>
      </w:pPr>
      <w:r>
        <w:fldChar w:fldCharType="begin"/>
      </w:r>
      <w:r>
        <w:instrText xml:space="preserve"> HYPERLINK \l "_Toc513811951" </w:instrText>
      </w:r>
      <w:r>
        <w:fldChar w:fldCharType="separate"/>
      </w:r>
      <w:r>
        <w:rPr>
          <w:rStyle w:val="34"/>
          <w:rFonts w:ascii="Times New Roman" w:hAnsi="Times New Roman"/>
          <w:bCs/>
          <w:u w:val="none"/>
        </w:rPr>
        <w:t xml:space="preserve">4.1  </w:t>
      </w:r>
      <w:r>
        <w:rPr>
          <w:rFonts w:ascii="Times New Roman" w:hAnsi="Times New Roman" w:cs="Times New Roman"/>
        </w:rPr>
        <w:t>Coral coarse aggregate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_Toc513811951 \h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rPr>
      </w:pPr>
      <w:r>
        <w:fldChar w:fldCharType="begin"/>
      </w:r>
      <w:r>
        <w:instrText xml:space="preserve"> HYPERLINK \l "_Toc513811952" </w:instrText>
      </w:r>
      <w:r>
        <w:fldChar w:fldCharType="separate"/>
      </w:r>
      <w:r>
        <w:rPr>
          <w:rStyle w:val="34"/>
          <w:rFonts w:ascii="Times New Roman" w:hAnsi="Times New Roman"/>
          <w:bCs/>
          <w:u w:val="none"/>
        </w:rPr>
        <w:t xml:space="preserve">4.2  </w:t>
      </w:r>
      <w:r>
        <w:rPr>
          <w:rFonts w:ascii="Times New Roman" w:hAnsi="Times New Roman" w:cs="Times New Roman"/>
        </w:rPr>
        <w:t>coral sand</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_Toc513811952 \h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rPr>
      </w:pPr>
      <w:r>
        <w:fldChar w:fldCharType="begin"/>
      </w:r>
      <w:r>
        <w:instrText xml:space="preserve"> HYPERLINK \l "_Toc513811953" </w:instrText>
      </w:r>
      <w:r>
        <w:fldChar w:fldCharType="separate"/>
      </w:r>
      <w:r>
        <w:rPr>
          <w:rStyle w:val="34"/>
          <w:rFonts w:ascii="Times New Roman" w:hAnsi="Times New Roman"/>
          <w:bCs/>
          <w:u w:val="none"/>
        </w:rPr>
        <w:t>4.3  Other materials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_Toc513811953 \h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r>
        <w:rPr>
          <w:rFonts w:ascii="Times New Roman" w:hAnsi="Times New Roman" w:cs="Times New Roman"/>
        </w:rPr>
        <w:fldChar w:fldCharType="end"/>
      </w:r>
    </w:p>
    <w:p>
      <w:pPr>
        <w:pStyle w:val="23"/>
        <w:tabs>
          <w:tab w:val="right" w:leader="dot" w:pos="8296"/>
        </w:tabs>
        <w:rPr>
          <w:rFonts w:ascii="Times New Roman" w:hAnsi="Times New Roman" w:cs="Times New Roman"/>
          <w:kern w:val="2"/>
        </w:rPr>
      </w:pPr>
      <w:r>
        <w:fldChar w:fldCharType="begin"/>
      </w:r>
      <w:r>
        <w:instrText xml:space="preserve"> HYPERLINK \l "_Toc513811954" </w:instrText>
      </w:r>
      <w:r>
        <w:fldChar w:fldCharType="separate"/>
      </w:r>
      <w:r>
        <w:rPr>
          <w:rStyle w:val="34"/>
          <w:rFonts w:ascii="Times New Roman" w:hAnsi="Times New Roman"/>
          <w:u w:val="none"/>
        </w:rPr>
        <w:t>5  Properties of Coral aggregate concretce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_Toc513811954 \h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rPr>
      </w:pPr>
      <w:r>
        <w:fldChar w:fldCharType="begin"/>
      </w:r>
      <w:r>
        <w:instrText xml:space="preserve"> HYPERLINK \l "_Toc513811955" </w:instrText>
      </w:r>
      <w:r>
        <w:fldChar w:fldCharType="separate"/>
      </w:r>
      <w:r>
        <w:rPr>
          <w:rStyle w:val="34"/>
          <w:rFonts w:ascii="Times New Roman" w:hAnsi="Times New Roman"/>
          <w:bCs/>
          <w:u w:val="none"/>
        </w:rPr>
        <w:t>5.1  Work ability</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_Toc513811955 \h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rPr>
      </w:pPr>
      <w:r>
        <w:fldChar w:fldCharType="begin"/>
      </w:r>
      <w:r>
        <w:instrText xml:space="preserve"> HYPERLINK \l "_Toc513811956" </w:instrText>
      </w:r>
      <w:r>
        <w:fldChar w:fldCharType="separate"/>
      </w:r>
      <w:r>
        <w:rPr>
          <w:rStyle w:val="34"/>
          <w:rFonts w:ascii="Times New Roman" w:hAnsi="Times New Roman"/>
          <w:bCs/>
          <w:u w:val="none"/>
        </w:rPr>
        <w:t>5.2  Strength</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_Toc513811956 \h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rPr>
      </w:pPr>
      <w:r>
        <w:fldChar w:fldCharType="begin"/>
      </w:r>
      <w:r>
        <w:instrText xml:space="preserve"> HYPERLINK \l "_Toc513811957" </w:instrText>
      </w:r>
      <w:r>
        <w:fldChar w:fldCharType="separate"/>
      </w:r>
      <w:r>
        <w:rPr>
          <w:rStyle w:val="34"/>
          <w:rFonts w:ascii="Times New Roman" w:hAnsi="Times New Roman"/>
          <w:bCs/>
          <w:u w:val="none"/>
        </w:rPr>
        <w:t>5.3  Long-term performance and durability</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_Toc513811957 \h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r>
        <w:rPr>
          <w:rFonts w:ascii="Times New Roman" w:hAnsi="Times New Roman" w:cs="Times New Roman"/>
        </w:rPr>
        <w:fldChar w:fldCharType="end"/>
      </w:r>
    </w:p>
    <w:p>
      <w:pPr>
        <w:pStyle w:val="23"/>
        <w:tabs>
          <w:tab w:val="right" w:leader="dot" w:pos="8296"/>
        </w:tabs>
        <w:rPr>
          <w:rFonts w:ascii="Times New Roman" w:hAnsi="Times New Roman" w:cs="Times New Roman"/>
          <w:kern w:val="2"/>
        </w:rPr>
      </w:pPr>
      <w:r>
        <w:fldChar w:fldCharType="begin"/>
      </w:r>
      <w:r>
        <w:instrText xml:space="preserve"> HYPERLINK \l "_Toc513811958" </w:instrText>
      </w:r>
      <w:r>
        <w:fldChar w:fldCharType="separate"/>
      </w:r>
      <w:r>
        <w:rPr>
          <w:rStyle w:val="34"/>
          <w:rFonts w:ascii="Times New Roman" w:hAnsi="Times New Roman"/>
          <w:u w:val="none"/>
        </w:rPr>
        <w:t>6  Mix proportion design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_Toc513811958 \h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rPr>
      </w:pPr>
      <w:r>
        <w:fldChar w:fldCharType="begin"/>
      </w:r>
      <w:r>
        <w:instrText xml:space="preserve"> HYPERLINK \l "_Toc513811959" </w:instrText>
      </w:r>
      <w:r>
        <w:fldChar w:fldCharType="separate"/>
      </w:r>
      <w:r>
        <w:rPr>
          <w:rStyle w:val="34"/>
          <w:rFonts w:ascii="Times New Roman" w:hAnsi="Times New Roman"/>
          <w:bCs/>
          <w:u w:val="none"/>
        </w:rPr>
        <w:t>6.1  General requirements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_Toc513811959 \h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rPr>
      </w:pPr>
      <w:r>
        <w:fldChar w:fldCharType="begin"/>
      </w:r>
      <w:r>
        <w:instrText xml:space="preserve"> HYPERLINK \l "_Toc513811960" </w:instrText>
      </w:r>
      <w:r>
        <w:fldChar w:fldCharType="separate"/>
      </w:r>
      <w:r>
        <w:rPr>
          <w:rStyle w:val="34"/>
          <w:rFonts w:ascii="Times New Roman" w:hAnsi="Times New Roman"/>
          <w:bCs/>
          <w:u w:val="none"/>
        </w:rPr>
        <w:t>6.2  Preparation of concrete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_Toc513811960 \h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rPr>
      </w:pPr>
      <w:r>
        <w:fldChar w:fldCharType="begin"/>
      </w:r>
      <w:r>
        <w:instrText xml:space="preserve"> HYPERLINK \l "_Toc513811961" </w:instrText>
      </w:r>
      <w:r>
        <w:fldChar w:fldCharType="separate"/>
      </w:r>
      <w:r>
        <w:rPr>
          <w:rStyle w:val="34"/>
          <w:rFonts w:ascii="Times New Roman" w:hAnsi="Times New Roman"/>
          <w:bCs/>
          <w:u w:val="none"/>
        </w:rPr>
        <w:t>6.3  Long-term performance and durability requirements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_Toc513811961 \h </w:instrText>
      </w:r>
      <w:r>
        <w:rPr>
          <w:rFonts w:ascii="Times New Roman" w:hAnsi="Times New Roman" w:cs="Times New Roman"/>
        </w:rPr>
        <w:fldChar w:fldCharType="separate"/>
      </w:r>
      <w:r>
        <w:rPr>
          <w:rFonts w:ascii="Times New Roman" w:hAnsi="Times New Roman" w:cs="Times New Roman"/>
        </w:rPr>
        <w:t>12</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rPr>
      </w:pPr>
      <w:r>
        <w:fldChar w:fldCharType="begin"/>
      </w:r>
      <w:r>
        <w:instrText xml:space="preserve"> HYPERLINK \l "_Toc513811962" </w:instrText>
      </w:r>
      <w:r>
        <w:fldChar w:fldCharType="separate"/>
      </w:r>
      <w:r>
        <w:rPr>
          <w:rStyle w:val="34"/>
          <w:rFonts w:ascii="Times New Roman" w:hAnsi="Times New Roman"/>
          <w:bCs/>
          <w:u w:val="none"/>
        </w:rPr>
        <w:t>6.4  Mix Proportion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_Toc513811962 \h </w:instrText>
      </w:r>
      <w:r>
        <w:rPr>
          <w:rFonts w:ascii="Times New Roman" w:hAnsi="Times New Roman" w:cs="Times New Roman"/>
        </w:rPr>
        <w:fldChar w:fldCharType="separate"/>
      </w:r>
      <w:r>
        <w:rPr>
          <w:rFonts w:ascii="Times New Roman" w:hAnsi="Times New Roman" w:cs="Times New Roman"/>
        </w:rPr>
        <w:t>13</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rPr>
      </w:pPr>
      <w:r>
        <w:fldChar w:fldCharType="begin"/>
      </w:r>
      <w:r>
        <w:instrText xml:space="preserve"> HYPERLINK \l "_Toc513811963" </w:instrText>
      </w:r>
      <w:r>
        <w:fldChar w:fldCharType="separate"/>
      </w:r>
      <w:r>
        <w:rPr>
          <w:rStyle w:val="34"/>
          <w:rFonts w:ascii="Times New Roman" w:hAnsi="Times New Roman"/>
          <w:bCs/>
          <w:u w:val="none"/>
        </w:rPr>
        <w:t>6.5  Calculation and adjustment of Mix proportion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_Toc513811963 \h </w:instrText>
      </w:r>
      <w:r>
        <w:rPr>
          <w:rFonts w:ascii="Times New Roman" w:hAnsi="Times New Roman" w:cs="Times New Roman"/>
        </w:rPr>
        <w:fldChar w:fldCharType="separate"/>
      </w:r>
      <w:r>
        <w:rPr>
          <w:rFonts w:ascii="Times New Roman" w:hAnsi="Times New Roman" w:cs="Times New Roman"/>
        </w:rPr>
        <w:t>14</w:t>
      </w:r>
      <w:r>
        <w:rPr>
          <w:rFonts w:ascii="Times New Roman" w:hAnsi="Times New Roman" w:cs="Times New Roman"/>
        </w:rPr>
        <w:fldChar w:fldCharType="end"/>
      </w:r>
      <w:r>
        <w:rPr>
          <w:rFonts w:ascii="Times New Roman" w:hAnsi="Times New Roman" w:cs="Times New Roman"/>
        </w:rPr>
        <w:fldChar w:fldCharType="end"/>
      </w:r>
    </w:p>
    <w:p>
      <w:pPr>
        <w:pStyle w:val="23"/>
        <w:tabs>
          <w:tab w:val="right" w:leader="dot" w:pos="8296"/>
        </w:tabs>
        <w:rPr>
          <w:rFonts w:ascii="Times New Roman" w:hAnsi="Times New Roman" w:cs="Times New Roman"/>
          <w:kern w:val="2"/>
        </w:rPr>
      </w:pPr>
      <w:r>
        <w:fldChar w:fldCharType="begin"/>
      </w:r>
      <w:r>
        <w:instrText xml:space="preserve"> HYPERLINK \l "_Toc513811964" </w:instrText>
      </w:r>
      <w:r>
        <w:fldChar w:fldCharType="separate"/>
      </w:r>
      <w:r>
        <w:rPr>
          <w:rStyle w:val="34"/>
          <w:rFonts w:ascii="Times New Roman" w:hAnsi="Times New Roman"/>
          <w:bCs/>
          <w:u w:val="none"/>
        </w:rPr>
        <w:t>7  Production and construction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_Toc513811964 \h </w:instrText>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rPr>
      </w:pPr>
      <w:r>
        <w:fldChar w:fldCharType="begin"/>
      </w:r>
      <w:r>
        <w:instrText xml:space="preserve"> HYPERLINK \l "_Toc513811965" </w:instrText>
      </w:r>
      <w:r>
        <w:fldChar w:fldCharType="separate"/>
      </w:r>
      <w:r>
        <w:rPr>
          <w:rStyle w:val="34"/>
          <w:rFonts w:ascii="Times New Roman" w:hAnsi="Times New Roman"/>
          <w:bCs/>
          <w:u w:val="none"/>
        </w:rPr>
        <w:t>7.1  General requirements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_Toc513811965 \h </w:instrText>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rPr>
      </w:pPr>
      <w:r>
        <w:fldChar w:fldCharType="begin"/>
      </w:r>
      <w:r>
        <w:instrText xml:space="preserve"> HYPERLINK \l "_Toc513811966" </w:instrText>
      </w:r>
      <w:r>
        <w:fldChar w:fldCharType="separate"/>
      </w:r>
      <w:r>
        <w:rPr>
          <w:rStyle w:val="34"/>
          <w:rFonts w:ascii="Times New Roman" w:hAnsi="Times New Roman"/>
          <w:bCs/>
          <w:u w:val="none"/>
        </w:rPr>
        <w:t>7.2  Approach of Raw Materials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_Toc513811966 \h </w:instrText>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rPr>
      </w:pPr>
      <w:r>
        <w:fldChar w:fldCharType="begin"/>
      </w:r>
      <w:r>
        <w:instrText xml:space="preserve"> HYPERLINK \l "_Toc513811967" </w:instrText>
      </w:r>
      <w:r>
        <w:fldChar w:fldCharType="separate"/>
      </w:r>
      <w:r>
        <w:rPr>
          <w:rStyle w:val="34"/>
          <w:rFonts w:ascii="Times New Roman" w:hAnsi="Times New Roman"/>
          <w:bCs/>
          <w:u w:val="none"/>
        </w:rPr>
        <w:t>7.3  Measure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_Toc513811967 \h </w:instrText>
      </w:r>
      <w:r>
        <w:rPr>
          <w:rFonts w:ascii="Times New Roman" w:hAnsi="Times New Roman" w:cs="Times New Roman"/>
        </w:rPr>
        <w:fldChar w:fldCharType="separate"/>
      </w:r>
      <w:r>
        <w:rPr>
          <w:rFonts w:ascii="Times New Roman" w:hAnsi="Times New Roman" w:cs="Times New Roman"/>
        </w:rPr>
        <w:t>20</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rPr>
      </w:pPr>
      <w:r>
        <w:fldChar w:fldCharType="begin"/>
      </w:r>
      <w:r>
        <w:instrText xml:space="preserve"> HYPERLINK \l "_Toc513811968" </w:instrText>
      </w:r>
      <w:r>
        <w:fldChar w:fldCharType="separate"/>
      </w:r>
      <w:r>
        <w:rPr>
          <w:rStyle w:val="34"/>
          <w:rFonts w:ascii="Times New Roman" w:hAnsi="Times New Roman"/>
          <w:bCs/>
          <w:u w:val="none"/>
        </w:rPr>
        <w:t>7.4  Mixing</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_Toc513811968 \h </w:instrText>
      </w:r>
      <w:r>
        <w:rPr>
          <w:rFonts w:ascii="Times New Roman" w:hAnsi="Times New Roman" w:cs="Times New Roman"/>
        </w:rPr>
        <w:fldChar w:fldCharType="separate"/>
      </w:r>
      <w:r>
        <w:rPr>
          <w:rFonts w:ascii="Times New Roman" w:hAnsi="Times New Roman" w:cs="Times New Roman"/>
        </w:rPr>
        <w:t>20</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rPr>
      </w:pPr>
      <w:r>
        <w:fldChar w:fldCharType="begin"/>
      </w:r>
      <w:r>
        <w:instrText xml:space="preserve"> HYPERLINK \l "_Toc513811969" </w:instrText>
      </w:r>
      <w:r>
        <w:fldChar w:fldCharType="separate"/>
      </w:r>
      <w:r>
        <w:rPr>
          <w:rStyle w:val="34"/>
          <w:rFonts w:ascii="Times New Roman" w:hAnsi="Times New Roman"/>
          <w:bCs/>
          <w:u w:val="none"/>
        </w:rPr>
        <w:t>7.5  Transportation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_Toc513811969 \h </w:instrText>
      </w:r>
      <w:r>
        <w:rPr>
          <w:rFonts w:ascii="Times New Roman" w:hAnsi="Times New Roman" w:cs="Times New Roman"/>
        </w:rPr>
        <w:fldChar w:fldCharType="separate"/>
      </w:r>
      <w:r>
        <w:rPr>
          <w:rFonts w:ascii="Times New Roman" w:hAnsi="Times New Roman" w:cs="Times New Roman"/>
        </w:rPr>
        <w:t>21</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rPr>
      </w:pPr>
      <w:r>
        <w:fldChar w:fldCharType="begin"/>
      </w:r>
      <w:r>
        <w:instrText xml:space="preserve"> HYPERLINK \l "_Toc513811970" </w:instrText>
      </w:r>
      <w:r>
        <w:fldChar w:fldCharType="separate"/>
      </w:r>
      <w:r>
        <w:rPr>
          <w:rStyle w:val="34"/>
          <w:rFonts w:ascii="Times New Roman" w:hAnsi="Times New Roman"/>
          <w:bCs/>
          <w:u w:val="none"/>
        </w:rPr>
        <w:t>7.6  Pouring</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_Toc513811970 \h </w:instrText>
      </w:r>
      <w:r>
        <w:rPr>
          <w:rFonts w:ascii="Times New Roman" w:hAnsi="Times New Roman" w:cs="Times New Roman"/>
        </w:rPr>
        <w:fldChar w:fldCharType="separate"/>
      </w:r>
      <w:r>
        <w:rPr>
          <w:rFonts w:ascii="Times New Roman" w:hAnsi="Times New Roman" w:cs="Times New Roman"/>
        </w:rPr>
        <w:t>21</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rPr>
      </w:pPr>
      <w:r>
        <w:fldChar w:fldCharType="begin"/>
      </w:r>
      <w:r>
        <w:instrText xml:space="preserve"> HYPERLINK \l "_Toc513811971" </w:instrText>
      </w:r>
      <w:r>
        <w:fldChar w:fldCharType="separate"/>
      </w:r>
      <w:r>
        <w:rPr>
          <w:rStyle w:val="34"/>
          <w:rFonts w:ascii="Times New Roman" w:hAnsi="Times New Roman"/>
          <w:bCs/>
          <w:u w:val="none"/>
        </w:rPr>
        <w:t>7.7  Curing</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_Toc513811971 \h </w:instrText>
      </w:r>
      <w:r>
        <w:rPr>
          <w:rFonts w:ascii="Times New Roman" w:hAnsi="Times New Roman" w:cs="Times New Roman"/>
        </w:rPr>
        <w:fldChar w:fldCharType="separate"/>
      </w:r>
      <w:r>
        <w:rPr>
          <w:rFonts w:ascii="Times New Roman" w:hAnsi="Times New Roman" w:cs="Times New Roman"/>
        </w:rPr>
        <w:t>22</w:t>
      </w:r>
      <w:r>
        <w:rPr>
          <w:rFonts w:ascii="Times New Roman" w:hAnsi="Times New Roman" w:cs="Times New Roman"/>
        </w:rPr>
        <w:fldChar w:fldCharType="end"/>
      </w:r>
      <w:r>
        <w:rPr>
          <w:rFonts w:ascii="Times New Roman" w:hAnsi="Times New Roman" w:cs="Times New Roman"/>
        </w:rPr>
        <w:fldChar w:fldCharType="end"/>
      </w:r>
    </w:p>
    <w:p>
      <w:pPr>
        <w:pStyle w:val="23"/>
        <w:tabs>
          <w:tab w:val="right" w:leader="dot" w:pos="8296"/>
        </w:tabs>
        <w:rPr>
          <w:rFonts w:ascii="Times New Roman" w:hAnsi="Times New Roman" w:cs="Times New Roman"/>
          <w:kern w:val="2"/>
        </w:rPr>
      </w:pPr>
      <w:r>
        <w:fldChar w:fldCharType="begin"/>
      </w:r>
      <w:r>
        <w:instrText xml:space="preserve"> HYPERLINK \l "_Toc513811972" </w:instrText>
      </w:r>
      <w:r>
        <w:fldChar w:fldCharType="separate"/>
      </w:r>
      <w:r>
        <w:rPr>
          <w:rStyle w:val="34"/>
          <w:rFonts w:ascii="Times New Roman" w:hAnsi="Times New Roman"/>
          <w:u w:val="none"/>
        </w:rPr>
        <w:t>8  Quality Inspection and Acceptance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_Toc513811972 \h </w:instrText>
      </w:r>
      <w:r>
        <w:rPr>
          <w:rFonts w:ascii="Times New Roman" w:hAnsi="Times New Roman" w:cs="Times New Roman"/>
        </w:rPr>
        <w:fldChar w:fldCharType="separate"/>
      </w:r>
      <w:r>
        <w:rPr>
          <w:rFonts w:ascii="Times New Roman" w:hAnsi="Times New Roman" w:cs="Times New Roman"/>
        </w:rPr>
        <w:t>23</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rPr>
      </w:pPr>
      <w:r>
        <w:fldChar w:fldCharType="begin"/>
      </w:r>
      <w:r>
        <w:instrText xml:space="preserve"> HYPERLINK \l "_Toc513811973" </w:instrText>
      </w:r>
      <w:r>
        <w:fldChar w:fldCharType="separate"/>
      </w:r>
      <w:r>
        <w:rPr>
          <w:rStyle w:val="34"/>
          <w:rFonts w:ascii="Times New Roman" w:hAnsi="Times New Roman"/>
          <w:bCs/>
          <w:u w:val="none"/>
        </w:rPr>
        <w:t>8.1  Quality Inspection of Raw Materials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_Toc513811973 \h </w:instrText>
      </w:r>
      <w:r>
        <w:rPr>
          <w:rFonts w:ascii="Times New Roman" w:hAnsi="Times New Roman" w:cs="Times New Roman"/>
        </w:rPr>
        <w:fldChar w:fldCharType="separate"/>
      </w:r>
      <w:r>
        <w:rPr>
          <w:rFonts w:ascii="Times New Roman" w:hAnsi="Times New Roman" w:cs="Times New Roman"/>
        </w:rPr>
        <w:t>23</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rPr>
      </w:pPr>
      <w:r>
        <w:fldChar w:fldCharType="begin"/>
      </w:r>
      <w:r>
        <w:instrText xml:space="preserve"> HYPERLINK \l "_Toc513811974" </w:instrText>
      </w:r>
      <w:r>
        <w:fldChar w:fldCharType="separate"/>
      </w:r>
      <w:r>
        <w:rPr>
          <w:rStyle w:val="34"/>
          <w:rFonts w:ascii="Times New Roman" w:hAnsi="Times New Roman"/>
          <w:bCs/>
          <w:u w:val="none"/>
        </w:rPr>
        <w:t>8.2  Quality Inspection of Coral aggregate concretce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_Toc513811974 \h </w:instrText>
      </w:r>
      <w:r>
        <w:rPr>
          <w:rFonts w:ascii="Times New Roman" w:hAnsi="Times New Roman" w:cs="Times New Roman"/>
        </w:rPr>
        <w:fldChar w:fldCharType="separate"/>
      </w:r>
      <w:r>
        <w:rPr>
          <w:rFonts w:ascii="Times New Roman" w:hAnsi="Times New Roman" w:cs="Times New Roman"/>
        </w:rPr>
        <w:t>23</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rPr>
          <w:rFonts w:ascii="Times New Roman" w:hAnsi="Times New Roman" w:cs="Times New Roman"/>
          <w:kern w:val="2"/>
        </w:rPr>
      </w:pPr>
      <w:r>
        <w:fldChar w:fldCharType="begin"/>
      </w:r>
      <w:r>
        <w:instrText xml:space="preserve"> HYPERLINK \l "_Toc513811975" </w:instrText>
      </w:r>
      <w:r>
        <w:fldChar w:fldCharType="separate"/>
      </w:r>
      <w:r>
        <w:rPr>
          <w:rStyle w:val="34"/>
          <w:rFonts w:ascii="Times New Roman" w:hAnsi="Times New Roman"/>
          <w:bCs/>
          <w:u w:val="none"/>
        </w:rPr>
        <w:t>8.3  Acceptance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_Toc513811975 \h </w:instrText>
      </w:r>
      <w:r>
        <w:rPr>
          <w:rFonts w:ascii="Times New Roman" w:hAnsi="Times New Roman" w:cs="Times New Roman"/>
        </w:rPr>
        <w:fldChar w:fldCharType="separate"/>
      </w:r>
      <w:r>
        <w:rPr>
          <w:rFonts w:ascii="Times New Roman" w:hAnsi="Times New Roman" w:cs="Times New Roman"/>
        </w:rPr>
        <w:t>24</w:t>
      </w:r>
      <w:r>
        <w:rPr>
          <w:rFonts w:ascii="Times New Roman" w:hAnsi="Times New Roman" w:cs="Times New Roman"/>
        </w:rPr>
        <w:fldChar w:fldCharType="end"/>
      </w:r>
      <w:r>
        <w:rPr>
          <w:rFonts w:ascii="Times New Roman" w:hAnsi="Times New Roman" w:cs="Times New Roman"/>
        </w:rPr>
        <w:fldChar w:fldCharType="end"/>
      </w:r>
    </w:p>
    <w:p>
      <w:pPr>
        <w:pStyle w:val="23"/>
        <w:tabs>
          <w:tab w:val="right" w:leader="dot" w:pos="8296"/>
        </w:tabs>
        <w:rPr>
          <w:rFonts w:ascii="Times New Roman" w:hAnsi="Times New Roman" w:cs="Times New Roman"/>
          <w:kern w:val="2"/>
        </w:rPr>
      </w:pPr>
      <w:r>
        <w:fldChar w:fldCharType="begin"/>
      </w:r>
      <w:r>
        <w:instrText xml:space="preserve"> HYPERLINK \l "_Toc513811976" </w:instrText>
      </w:r>
      <w:r>
        <w:fldChar w:fldCharType="separate"/>
      </w:r>
      <w:r>
        <w:rPr>
          <w:rStyle w:val="34"/>
          <w:rFonts w:ascii="Times New Roman" w:hAnsi="Times New Roman"/>
          <w:u w:val="none"/>
        </w:rPr>
        <w:t>Explanation of  Wording in This Specification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_Toc513811976 \h </w:instrText>
      </w:r>
      <w:r>
        <w:rPr>
          <w:rFonts w:ascii="Times New Roman" w:hAnsi="Times New Roman" w:cs="Times New Roman"/>
        </w:rPr>
        <w:fldChar w:fldCharType="separate"/>
      </w:r>
      <w:r>
        <w:rPr>
          <w:rFonts w:ascii="Times New Roman" w:hAnsi="Times New Roman" w:cs="Times New Roman"/>
        </w:rPr>
        <w:t>25</w:t>
      </w:r>
      <w:r>
        <w:rPr>
          <w:rFonts w:ascii="Times New Roman" w:hAnsi="Times New Roman" w:cs="Times New Roman"/>
        </w:rPr>
        <w:fldChar w:fldCharType="end"/>
      </w:r>
      <w:r>
        <w:rPr>
          <w:rFonts w:ascii="Times New Roman" w:hAnsi="Times New Roman" w:cs="Times New Roman"/>
        </w:rPr>
        <w:fldChar w:fldCharType="end"/>
      </w:r>
    </w:p>
    <w:p>
      <w:pPr>
        <w:pStyle w:val="23"/>
        <w:tabs>
          <w:tab w:val="right" w:leader="dot" w:pos="8296"/>
        </w:tabs>
        <w:rPr>
          <w:rStyle w:val="34"/>
          <w:rFonts w:ascii="Times New Roman" w:hAnsi="Times New Roman"/>
          <w:u w:val="none"/>
        </w:rPr>
        <w:sectPr>
          <w:pgSz w:w="11906" w:h="16838"/>
          <w:pgMar w:top="1440" w:right="1800" w:bottom="1440" w:left="1800" w:header="851" w:footer="992" w:gutter="0"/>
          <w:cols w:space="720" w:num="1"/>
          <w:docGrid w:type="lines" w:linePitch="312" w:charSpace="0"/>
        </w:sectPr>
      </w:pPr>
      <w:r>
        <w:fldChar w:fldCharType="begin"/>
      </w:r>
      <w:r>
        <w:instrText xml:space="preserve"> HYPERLINK \l "_Toc513811977" </w:instrText>
      </w:r>
      <w:r>
        <w:fldChar w:fldCharType="separate"/>
      </w:r>
      <w:r>
        <w:rPr>
          <w:rStyle w:val="34"/>
          <w:rFonts w:ascii="Times New Roman" w:hAnsi="Times New Roman"/>
          <w:u w:val="none"/>
        </w:rPr>
        <w:t>Addition: Explanation of Provisions</w:t>
      </w:r>
      <w:r>
        <w:rPr>
          <w:rStyle w:val="34"/>
          <w:rFonts w:ascii="Times New Roman" w:hAnsi="Times New Roman"/>
          <w:u w:val="none"/>
        </w:rPr>
        <w:tab/>
      </w:r>
      <w:r>
        <w:rPr>
          <w:rStyle w:val="34"/>
          <w:rFonts w:ascii="Times New Roman" w:hAnsi="Times New Roman"/>
          <w:u w:val="none"/>
        </w:rPr>
        <w:fldChar w:fldCharType="begin"/>
      </w:r>
      <w:r>
        <w:rPr>
          <w:rStyle w:val="34"/>
          <w:rFonts w:ascii="Times New Roman" w:hAnsi="Times New Roman"/>
          <w:u w:val="none"/>
        </w:rPr>
        <w:instrText xml:space="preserve"> PAGEREF _Toc513811977 \h </w:instrText>
      </w:r>
      <w:r>
        <w:rPr>
          <w:rStyle w:val="34"/>
          <w:rFonts w:ascii="Times New Roman" w:hAnsi="Times New Roman"/>
          <w:u w:val="none"/>
        </w:rPr>
        <w:fldChar w:fldCharType="separate"/>
      </w:r>
      <w:r>
        <w:rPr>
          <w:rStyle w:val="34"/>
          <w:rFonts w:ascii="Times New Roman" w:hAnsi="Times New Roman"/>
          <w:u w:val="none"/>
        </w:rPr>
        <w:t>26</w:t>
      </w:r>
      <w:r>
        <w:rPr>
          <w:rStyle w:val="34"/>
          <w:rFonts w:ascii="Times New Roman" w:hAnsi="Times New Roman"/>
          <w:u w:val="none"/>
        </w:rPr>
        <w:fldChar w:fldCharType="end"/>
      </w:r>
      <w:r>
        <w:rPr>
          <w:rStyle w:val="34"/>
          <w:rFonts w:ascii="Times New Roman" w:hAnsi="Times New Roman"/>
          <w:u w:val="none"/>
        </w:rPr>
        <w:fldChar w:fldCharType="end"/>
      </w:r>
    </w:p>
    <w:p>
      <w:pPr>
        <w:pStyle w:val="2"/>
        <w:spacing w:before="120" w:after="120" w:line="360" w:lineRule="auto"/>
        <w:jc w:val="center"/>
        <w:rPr>
          <w:sz w:val="28"/>
          <w:szCs w:val="28"/>
        </w:rPr>
      </w:pPr>
      <w:bookmarkStart w:id="0" w:name="_Toc26199"/>
      <w:bookmarkStart w:id="1" w:name="_Toc388"/>
      <w:bookmarkStart w:id="2" w:name="_Toc15052984"/>
      <w:bookmarkStart w:id="3" w:name="_Toc492050305"/>
      <w:bookmarkStart w:id="4" w:name="_Toc514685574"/>
      <w:bookmarkStart w:id="5" w:name="_Toc513811947"/>
      <w:bookmarkStart w:id="6" w:name="_Toc499304687"/>
      <w:r>
        <w:rPr>
          <w:sz w:val="28"/>
          <w:szCs w:val="28"/>
        </w:rPr>
        <w:t>1  总  则</w:t>
      </w:r>
      <w:bookmarkEnd w:id="0"/>
      <w:bookmarkEnd w:id="1"/>
      <w:bookmarkEnd w:id="2"/>
      <w:bookmarkEnd w:id="3"/>
      <w:bookmarkEnd w:id="4"/>
      <w:bookmarkEnd w:id="5"/>
      <w:bookmarkEnd w:id="6"/>
    </w:p>
    <w:p>
      <w:pPr>
        <w:pStyle w:val="64"/>
        <w:spacing w:line="360" w:lineRule="auto"/>
      </w:pPr>
      <w:bookmarkStart w:id="7" w:name="_Toc514685575"/>
      <w:bookmarkStart w:id="8" w:name="_Toc243285165"/>
      <w:bookmarkStart w:id="9" w:name="_Toc15052985"/>
      <w:r>
        <w:rPr>
          <w:b/>
        </w:rPr>
        <w:t>1.0.1</w:t>
      </w:r>
      <w:r>
        <w:t xml:space="preserve">  为规范珊瑚骨料混凝土的应用，保证工程质量，制定本规范。</w:t>
      </w:r>
      <w:bookmarkEnd w:id="7"/>
      <w:bookmarkEnd w:id="8"/>
      <w:bookmarkEnd w:id="9"/>
    </w:p>
    <w:p>
      <w:pPr>
        <w:pStyle w:val="64"/>
        <w:spacing w:line="360" w:lineRule="auto"/>
      </w:pPr>
      <w:bookmarkStart w:id="10" w:name="_Toc243285166"/>
      <w:bookmarkStart w:id="11" w:name="_Toc15052986"/>
      <w:bookmarkStart w:id="12" w:name="_Toc514685576"/>
      <w:r>
        <w:rPr>
          <w:b/>
        </w:rPr>
        <w:t>1.0.2</w:t>
      </w:r>
      <w:r>
        <w:t xml:space="preserve">  本规范适用于建设工程中珊瑚骨料混凝土的配合比设计、施工、质量检验和验收。</w:t>
      </w:r>
      <w:bookmarkEnd w:id="10"/>
      <w:bookmarkEnd w:id="11"/>
      <w:bookmarkEnd w:id="12"/>
    </w:p>
    <w:p>
      <w:pPr>
        <w:pStyle w:val="64"/>
        <w:spacing w:line="360" w:lineRule="auto"/>
      </w:pPr>
      <w:bookmarkStart w:id="13" w:name="_Toc15052987"/>
      <w:bookmarkStart w:id="14" w:name="_Toc243285167"/>
      <w:bookmarkStart w:id="15" w:name="_Toc514685577"/>
      <w:r>
        <w:rPr>
          <w:b/>
        </w:rPr>
        <w:t>1.0.3</w:t>
      </w:r>
      <w:r>
        <w:t xml:space="preserve">  珊瑚骨料混凝土的应用除应符合本规范外，尚应符合国家现行有关标准的规定。</w:t>
      </w:r>
      <w:bookmarkEnd w:id="13"/>
      <w:bookmarkEnd w:id="14"/>
      <w:bookmarkEnd w:id="15"/>
    </w:p>
    <w:p>
      <w:pPr>
        <w:pStyle w:val="17"/>
        <w:spacing w:line="400" w:lineRule="exact"/>
        <w:rPr>
          <w:rFonts w:ascii="Times New Roman" w:hAnsi="Times New Roman"/>
          <w:lang w:val="en-US" w:eastAsia="zh-CN"/>
        </w:rPr>
      </w:pPr>
    </w:p>
    <w:p>
      <w:pPr>
        <w:pStyle w:val="17"/>
        <w:spacing w:line="400" w:lineRule="exact"/>
        <w:rPr>
          <w:rFonts w:ascii="Times New Roman" w:hAnsi="Times New Roman"/>
          <w:lang w:eastAsia="zh-CN"/>
        </w:rPr>
      </w:pPr>
    </w:p>
    <w:p>
      <w:pPr>
        <w:pStyle w:val="17"/>
        <w:spacing w:line="400" w:lineRule="exact"/>
        <w:rPr>
          <w:rFonts w:ascii="Times New Roman" w:hAnsi="Times New Roman"/>
          <w:lang w:eastAsia="zh-CN"/>
        </w:rPr>
      </w:pPr>
    </w:p>
    <w:p>
      <w:pPr>
        <w:pStyle w:val="17"/>
        <w:spacing w:line="400" w:lineRule="exact"/>
        <w:rPr>
          <w:rFonts w:ascii="Times New Roman" w:hAnsi="Times New Roman"/>
          <w:lang w:eastAsia="zh-CN"/>
        </w:rPr>
      </w:pPr>
    </w:p>
    <w:p>
      <w:pPr>
        <w:pStyle w:val="17"/>
        <w:spacing w:line="400" w:lineRule="exact"/>
        <w:rPr>
          <w:rFonts w:ascii="Times New Roman" w:hAnsi="Times New Roman"/>
          <w:lang w:eastAsia="zh-CN"/>
        </w:rPr>
      </w:pPr>
    </w:p>
    <w:p>
      <w:pPr>
        <w:widowControl/>
        <w:jc w:val="left"/>
      </w:pPr>
      <w:r>
        <w:br w:type="page"/>
      </w:r>
    </w:p>
    <w:p>
      <w:pPr>
        <w:pStyle w:val="2"/>
        <w:spacing w:before="120" w:after="120" w:line="360" w:lineRule="auto"/>
        <w:jc w:val="center"/>
        <w:rPr>
          <w:sz w:val="28"/>
          <w:szCs w:val="28"/>
          <w:lang w:eastAsia="zh-CN"/>
        </w:rPr>
      </w:pPr>
      <w:bookmarkStart w:id="16" w:name="_Toc492050306"/>
      <w:bookmarkStart w:id="17" w:name="_Toc499304688"/>
      <w:bookmarkStart w:id="18" w:name="_Toc24706"/>
      <w:bookmarkStart w:id="19" w:name="_Toc14882"/>
      <w:bookmarkStart w:id="20" w:name="_Toc513811948"/>
      <w:bookmarkStart w:id="21" w:name="_Toc514685578"/>
      <w:bookmarkStart w:id="22" w:name="_Toc276108767"/>
      <w:bookmarkStart w:id="23" w:name="_Toc15052988"/>
      <w:r>
        <w:rPr>
          <w:sz w:val="28"/>
          <w:szCs w:val="28"/>
        </w:rPr>
        <w:t>2  术语</w:t>
      </w:r>
      <w:bookmarkEnd w:id="16"/>
      <w:bookmarkEnd w:id="17"/>
      <w:bookmarkEnd w:id="18"/>
      <w:bookmarkEnd w:id="19"/>
      <w:bookmarkEnd w:id="20"/>
      <w:bookmarkEnd w:id="21"/>
      <w:bookmarkEnd w:id="22"/>
      <w:r>
        <w:rPr>
          <w:sz w:val="28"/>
          <w:szCs w:val="28"/>
        </w:rPr>
        <w:t>和符号</w:t>
      </w:r>
      <w:bookmarkEnd w:id="23"/>
    </w:p>
    <w:p>
      <w:pPr>
        <w:spacing w:beforeLines="100" w:afterLines="100" w:line="300" w:lineRule="auto"/>
        <w:jc w:val="center"/>
        <w:outlineLvl w:val="1"/>
        <w:rPr>
          <w:b/>
          <w:bCs/>
          <w:sz w:val="24"/>
          <w:szCs w:val="24"/>
        </w:rPr>
      </w:pPr>
      <w:bookmarkStart w:id="24" w:name="_Toc15052989"/>
      <w:r>
        <w:rPr>
          <w:rFonts w:hint="eastAsia"/>
          <w:b/>
          <w:bCs/>
          <w:sz w:val="24"/>
          <w:szCs w:val="24"/>
        </w:rPr>
        <w:t>2</w:t>
      </w:r>
      <w:r>
        <w:rPr>
          <w:b/>
          <w:bCs/>
          <w:sz w:val="24"/>
          <w:szCs w:val="24"/>
        </w:rPr>
        <w:t xml:space="preserve">.1  </w:t>
      </w:r>
      <w:r>
        <w:rPr>
          <w:rFonts w:hint="eastAsia"/>
          <w:b/>
          <w:bCs/>
          <w:sz w:val="24"/>
          <w:szCs w:val="24"/>
        </w:rPr>
        <w:t>术语</w:t>
      </w:r>
      <w:bookmarkEnd w:id="24"/>
    </w:p>
    <w:p>
      <w:pPr>
        <w:pStyle w:val="64"/>
        <w:spacing w:line="360" w:lineRule="auto"/>
      </w:pPr>
      <w:bookmarkStart w:id="25" w:name="_Toc514685579"/>
      <w:bookmarkStart w:id="26" w:name="_Toc15052990"/>
      <w:bookmarkStart w:id="27" w:name="_Toc243285169"/>
      <w:r>
        <w:rPr>
          <w:b/>
        </w:rPr>
        <w:t>2.</w:t>
      </w:r>
      <w:r>
        <w:rPr>
          <w:rFonts w:hint="eastAsia"/>
          <w:b/>
        </w:rPr>
        <w:t>1</w:t>
      </w:r>
      <w:r>
        <w:rPr>
          <w:b/>
        </w:rPr>
        <w:t>.1</w:t>
      </w:r>
      <w:r>
        <w:t xml:space="preserve">  珊瑚骨料 coral aggregate</w:t>
      </w:r>
      <w:bookmarkEnd w:id="25"/>
      <w:bookmarkEnd w:id="26"/>
      <w:bookmarkEnd w:id="27"/>
    </w:p>
    <w:p>
      <w:pPr>
        <w:pStyle w:val="64"/>
        <w:spacing w:line="360" w:lineRule="auto"/>
        <w:ind w:firstLine="480" w:firstLineChars="200"/>
      </w:pPr>
      <w:bookmarkStart w:id="28" w:name="_Toc514685580"/>
      <w:bookmarkStart w:id="29" w:name="_Toc15052991"/>
      <w:bookmarkStart w:id="30" w:name="_Toc243285170"/>
      <w:r>
        <w:t>利用造礁石珊瑚群体死后所形成的岩体，经水洗、破碎、筛分等处理后制得的骨料，包括珊瑚粗骨料和珊瑚砂。</w:t>
      </w:r>
      <w:bookmarkEnd w:id="28"/>
      <w:bookmarkEnd w:id="29"/>
    </w:p>
    <w:p>
      <w:pPr>
        <w:pStyle w:val="64"/>
        <w:spacing w:line="360" w:lineRule="auto"/>
      </w:pPr>
      <w:bookmarkStart w:id="31" w:name="_Toc15052992"/>
      <w:bookmarkStart w:id="32" w:name="_Toc514685581"/>
      <w:r>
        <w:rPr>
          <w:b/>
        </w:rPr>
        <w:t>2.</w:t>
      </w:r>
      <w:r>
        <w:rPr>
          <w:rFonts w:hint="eastAsia"/>
          <w:b/>
        </w:rPr>
        <w:t>1</w:t>
      </w:r>
      <w:r>
        <w:rPr>
          <w:b/>
        </w:rPr>
        <w:t>.2</w:t>
      </w:r>
      <w:r>
        <w:t xml:space="preserve">  珊瑚粗骨料 coral coarse aggregate</w:t>
      </w:r>
      <w:bookmarkEnd w:id="31"/>
      <w:bookmarkEnd w:id="32"/>
    </w:p>
    <w:p>
      <w:pPr>
        <w:pStyle w:val="64"/>
        <w:spacing w:line="360" w:lineRule="auto"/>
        <w:ind w:firstLine="480" w:firstLineChars="200"/>
      </w:pPr>
      <w:bookmarkStart w:id="33" w:name="_Toc514685582"/>
      <w:bookmarkStart w:id="34" w:name="_Toc15052993"/>
      <w:r>
        <w:t>由珊瑚礁或其碎屑加工而成，粒径大于4.75mm的颗粒。</w:t>
      </w:r>
      <w:bookmarkEnd w:id="33"/>
      <w:bookmarkEnd w:id="34"/>
    </w:p>
    <w:bookmarkEnd w:id="30"/>
    <w:p>
      <w:pPr>
        <w:pStyle w:val="64"/>
        <w:spacing w:line="360" w:lineRule="auto"/>
      </w:pPr>
      <w:bookmarkStart w:id="35" w:name="_Toc243285171"/>
      <w:bookmarkStart w:id="36" w:name="_Toc514685583"/>
      <w:bookmarkStart w:id="37" w:name="_Toc15052994"/>
      <w:r>
        <w:rPr>
          <w:b/>
        </w:rPr>
        <w:t>2.</w:t>
      </w:r>
      <w:r>
        <w:rPr>
          <w:rFonts w:hint="eastAsia"/>
          <w:b/>
        </w:rPr>
        <w:t>1</w:t>
      </w:r>
      <w:r>
        <w:rPr>
          <w:b/>
        </w:rPr>
        <w:t>.3</w:t>
      </w:r>
      <w:r>
        <w:t xml:space="preserve">  珊瑚细骨料 </w:t>
      </w:r>
      <w:bookmarkEnd w:id="35"/>
      <w:r>
        <w:t xml:space="preserve">coral </w:t>
      </w:r>
      <w:bookmarkEnd w:id="36"/>
      <w:r>
        <w:rPr>
          <w:rFonts w:hint="eastAsia"/>
        </w:rPr>
        <w:t>fine aggregate</w:t>
      </w:r>
      <w:bookmarkEnd w:id="37"/>
      <w:r>
        <w:t xml:space="preserve"> </w:t>
      </w:r>
    </w:p>
    <w:p>
      <w:pPr>
        <w:pStyle w:val="64"/>
        <w:spacing w:line="360" w:lineRule="auto"/>
        <w:ind w:firstLine="480" w:firstLineChars="200"/>
      </w:pPr>
      <w:bookmarkStart w:id="38" w:name="_Toc15052995"/>
      <w:bookmarkStart w:id="39" w:name="_Toc514685584"/>
      <w:bookmarkStart w:id="40" w:name="_Toc243285172"/>
      <w:r>
        <w:t>粒径不大于4.75mm的珊瑚碎屑。</w:t>
      </w:r>
      <w:bookmarkEnd w:id="38"/>
      <w:bookmarkEnd w:id="39"/>
    </w:p>
    <w:p>
      <w:pPr>
        <w:pStyle w:val="64"/>
        <w:spacing w:line="360" w:lineRule="auto"/>
      </w:pPr>
      <w:bookmarkStart w:id="41" w:name="_Toc514685585"/>
      <w:bookmarkStart w:id="42" w:name="_Toc15052996"/>
      <w:r>
        <w:rPr>
          <w:b/>
        </w:rPr>
        <w:t>2.</w:t>
      </w:r>
      <w:r>
        <w:rPr>
          <w:rFonts w:hint="eastAsia"/>
          <w:b/>
        </w:rPr>
        <w:t>1</w:t>
      </w:r>
      <w:r>
        <w:rPr>
          <w:b/>
        </w:rPr>
        <w:t>.4</w:t>
      </w:r>
      <w:r>
        <w:t xml:space="preserve">  珊瑚骨料混凝土 coral aggregate concrete</w:t>
      </w:r>
      <w:bookmarkEnd w:id="41"/>
      <w:bookmarkEnd w:id="42"/>
    </w:p>
    <w:p>
      <w:pPr>
        <w:pStyle w:val="64"/>
        <w:spacing w:line="360" w:lineRule="auto"/>
        <w:ind w:firstLine="480" w:firstLineChars="200"/>
      </w:pPr>
      <w:bookmarkStart w:id="43" w:name="_Toc15052997"/>
      <w:bookmarkStart w:id="44" w:name="_Toc514685586"/>
      <w:r>
        <w:t>用量不少于骨料总体积30%的珊瑚骨料配制的混凝土。</w:t>
      </w:r>
      <w:bookmarkEnd w:id="40"/>
      <w:bookmarkEnd w:id="43"/>
      <w:bookmarkEnd w:id="44"/>
    </w:p>
    <w:p>
      <w:pPr>
        <w:pStyle w:val="64"/>
        <w:spacing w:line="360" w:lineRule="auto"/>
      </w:pPr>
      <w:bookmarkStart w:id="45" w:name="_Toc514685587"/>
      <w:bookmarkStart w:id="46" w:name="_Toc15052998"/>
      <w:r>
        <w:rPr>
          <w:b/>
        </w:rPr>
        <w:t>2.</w:t>
      </w:r>
      <w:r>
        <w:rPr>
          <w:rFonts w:hint="eastAsia"/>
          <w:b/>
        </w:rPr>
        <w:t>1</w:t>
      </w:r>
      <w:r>
        <w:rPr>
          <w:b/>
        </w:rPr>
        <w:t>.5</w:t>
      </w:r>
      <w:r>
        <w:t xml:space="preserve">  净用水量  net water content</w:t>
      </w:r>
      <w:bookmarkEnd w:id="45"/>
      <w:bookmarkEnd w:id="46"/>
    </w:p>
    <w:p>
      <w:pPr>
        <w:pStyle w:val="64"/>
        <w:spacing w:line="360" w:lineRule="auto"/>
        <w:ind w:firstLine="480" w:firstLineChars="200"/>
      </w:pPr>
      <w:bookmarkStart w:id="47" w:name="_Toc514685588"/>
      <w:bookmarkStart w:id="48" w:name="_Toc15052999"/>
      <w:r>
        <w:t>珊瑚骨料混凝土拌合物中不包括珊瑚粗骨料与珊瑚砂的吸水量的用水量。</w:t>
      </w:r>
      <w:bookmarkEnd w:id="47"/>
      <w:bookmarkEnd w:id="48"/>
    </w:p>
    <w:p>
      <w:pPr>
        <w:pStyle w:val="64"/>
        <w:spacing w:line="360" w:lineRule="auto"/>
        <w:rPr>
          <w:b/>
        </w:rPr>
      </w:pPr>
      <w:bookmarkStart w:id="49" w:name="_Toc15053000"/>
      <w:bookmarkStart w:id="50" w:name="_Toc514685589"/>
      <w:r>
        <w:rPr>
          <w:b/>
        </w:rPr>
        <w:t>2.</w:t>
      </w:r>
      <w:r>
        <w:rPr>
          <w:rFonts w:hint="eastAsia"/>
          <w:b/>
        </w:rPr>
        <w:t>1</w:t>
      </w:r>
      <w:r>
        <w:rPr>
          <w:b/>
        </w:rPr>
        <w:t>.6</w:t>
      </w:r>
      <w:r>
        <w:t xml:space="preserve">  总用水量  total water content</w:t>
      </w:r>
      <w:bookmarkEnd w:id="49"/>
      <w:bookmarkEnd w:id="50"/>
    </w:p>
    <w:p>
      <w:pPr>
        <w:pStyle w:val="64"/>
        <w:spacing w:line="360" w:lineRule="auto"/>
        <w:ind w:firstLine="480" w:firstLineChars="200"/>
      </w:pPr>
      <w:bookmarkStart w:id="51" w:name="_Toc15053001"/>
      <w:bookmarkStart w:id="52" w:name="_Toc514685590"/>
      <w:r>
        <w:t>珊瑚骨料混凝土拌合物中净用水量和珊瑚粗骨料与珊瑚砂的吸水量的总和。</w:t>
      </w:r>
      <w:bookmarkEnd w:id="51"/>
      <w:bookmarkEnd w:id="52"/>
    </w:p>
    <w:p>
      <w:pPr>
        <w:pStyle w:val="64"/>
        <w:spacing w:line="360" w:lineRule="auto"/>
      </w:pPr>
      <w:bookmarkStart w:id="53" w:name="_Toc514685591"/>
      <w:bookmarkStart w:id="54" w:name="_Toc15053002"/>
      <w:r>
        <w:rPr>
          <w:b/>
        </w:rPr>
        <w:t>2.</w:t>
      </w:r>
      <w:r>
        <w:rPr>
          <w:rFonts w:hint="eastAsia"/>
          <w:b/>
        </w:rPr>
        <w:t>1</w:t>
      </w:r>
      <w:r>
        <w:rPr>
          <w:b/>
        </w:rPr>
        <w:t>.7</w:t>
      </w:r>
      <w:r>
        <w:t xml:space="preserve">  附加水量  additional water content</w:t>
      </w:r>
      <w:bookmarkEnd w:id="53"/>
      <w:bookmarkEnd w:id="54"/>
    </w:p>
    <w:p>
      <w:pPr>
        <w:pStyle w:val="64"/>
        <w:spacing w:line="360" w:lineRule="auto"/>
        <w:ind w:firstLine="480" w:firstLineChars="200"/>
      </w:pPr>
      <w:bookmarkStart w:id="55" w:name="_Toc15053003"/>
      <w:bookmarkStart w:id="56" w:name="_Toc514685592"/>
      <w:r>
        <w:t>采用未预湿的珊瑚粗骨料或珊瑚砂制备珊瑚骨料混凝土拌合物过程中，珊瑚粗骨料与珊瑚砂吸入的与规定时间吸水率相应的水量。</w:t>
      </w:r>
      <w:bookmarkEnd w:id="55"/>
      <w:bookmarkEnd w:id="56"/>
    </w:p>
    <w:p>
      <w:pPr>
        <w:pStyle w:val="64"/>
        <w:spacing w:line="360" w:lineRule="auto"/>
      </w:pPr>
      <w:bookmarkStart w:id="57" w:name="_Toc514685593"/>
      <w:bookmarkStart w:id="58" w:name="_Toc15053004"/>
      <w:r>
        <w:rPr>
          <w:b/>
        </w:rPr>
        <w:t>2.</w:t>
      </w:r>
      <w:r>
        <w:rPr>
          <w:rFonts w:hint="eastAsia"/>
          <w:b/>
        </w:rPr>
        <w:t>1</w:t>
      </w:r>
      <w:r>
        <w:rPr>
          <w:b/>
        </w:rPr>
        <w:t>.8</w:t>
      </w:r>
      <w:r>
        <w:t xml:space="preserve">  净水胶比  net water-binder ratio</w:t>
      </w:r>
      <w:bookmarkEnd w:id="57"/>
      <w:bookmarkEnd w:id="58"/>
    </w:p>
    <w:p>
      <w:pPr>
        <w:pStyle w:val="64"/>
        <w:spacing w:line="360" w:lineRule="auto"/>
        <w:ind w:firstLine="480" w:firstLineChars="200"/>
      </w:pPr>
      <w:bookmarkStart w:id="59" w:name="_Toc15053005"/>
      <w:bookmarkStart w:id="60" w:name="_Toc514685594"/>
      <w:r>
        <w:t>净用水量与胶凝材料用量之比。</w:t>
      </w:r>
      <w:bookmarkEnd w:id="59"/>
      <w:bookmarkEnd w:id="60"/>
    </w:p>
    <w:p>
      <w:pPr>
        <w:pStyle w:val="64"/>
        <w:spacing w:line="360" w:lineRule="auto"/>
      </w:pPr>
      <w:bookmarkStart w:id="61" w:name="_Toc514685595"/>
      <w:bookmarkStart w:id="62" w:name="_Toc15053006"/>
      <w:r>
        <w:rPr>
          <w:b/>
        </w:rPr>
        <w:t>2.</w:t>
      </w:r>
      <w:r>
        <w:rPr>
          <w:rFonts w:hint="eastAsia"/>
          <w:b/>
        </w:rPr>
        <w:t>1</w:t>
      </w:r>
      <w:r>
        <w:rPr>
          <w:b/>
        </w:rPr>
        <w:t>.9</w:t>
      </w:r>
      <w:r>
        <w:t xml:space="preserve">  体积砂率  volume rate of sand</w:t>
      </w:r>
      <w:bookmarkEnd w:id="61"/>
      <w:bookmarkEnd w:id="62"/>
    </w:p>
    <w:p>
      <w:pPr>
        <w:pStyle w:val="64"/>
        <w:spacing w:line="360" w:lineRule="auto"/>
        <w:ind w:firstLine="480" w:firstLineChars="200"/>
      </w:pPr>
      <w:bookmarkStart w:id="63" w:name="_Toc15053007"/>
      <w:bookmarkStart w:id="64" w:name="_Toc514685596"/>
      <w:r>
        <w:t>砂体积与骨料总体积之比。</w:t>
      </w:r>
      <w:bookmarkEnd w:id="63"/>
      <w:bookmarkEnd w:id="64"/>
    </w:p>
    <w:p>
      <w:pPr>
        <w:pStyle w:val="64"/>
        <w:spacing w:line="360" w:lineRule="auto"/>
      </w:pPr>
      <w:bookmarkStart w:id="65" w:name="_Toc514685597"/>
      <w:bookmarkStart w:id="66" w:name="_Toc15053008"/>
      <w:r>
        <w:rPr>
          <w:b/>
        </w:rPr>
        <w:t>2.</w:t>
      </w:r>
      <w:r>
        <w:rPr>
          <w:rFonts w:hint="eastAsia"/>
          <w:b/>
        </w:rPr>
        <w:t>1</w:t>
      </w:r>
      <w:r>
        <w:rPr>
          <w:b/>
        </w:rPr>
        <w:t>.10</w:t>
      </w:r>
      <w:r>
        <w:t xml:space="preserve">  绝对体积法  absolute volume method</w:t>
      </w:r>
      <w:bookmarkEnd w:id="65"/>
      <w:bookmarkEnd w:id="66"/>
    </w:p>
    <w:p>
      <w:pPr>
        <w:pStyle w:val="64"/>
        <w:spacing w:line="360" w:lineRule="auto"/>
        <w:ind w:firstLine="480" w:firstLineChars="200"/>
      </w:pPr>
      <w:bookmarkStart w:id="67" w:name="_Toc514685598"/>
      <w:bookmarkStart w:id="68" w:name="_Toc15053009"/>
      <w:r>
        <w:t>按每立方米珊瑚骨料混凝土的绝对体积等于各组成材料的绝对体积之和进行珊瑚骨料混凝土配合比计算的方法。</w:t>
      </w:r>
      <w:bookmarkEnd w:id="67"/>
      <w:bookmarkEnd w:id="68"/>
    </w:p>
    <w:p>
      <w:pPr>
        <w:pStyle w:val="64"/>
        <w:spacing w:line="360" w:lineRule="auto"/>
      </w:pPr>
      <w:bookmarkStart w:id="69" w:name="_Toc15053010"/>
      <w:r>
        <w:rPr>
          <w:b/>
        </w:rPr>
        <w:t>2.</w:t>
      </w:r>
      <w:r>
        <w:rPr>
          <w:rFonts w:hint="eastAsia"/>
          <w:b/>
        </w:rPr>
        <w:t>1</w:t>
      </w:r>
      <w:r>
        <w:rPr>
          <w:b/>
        </w:rPr>
        <w:t>.11</w:t>
      </w:r>
      <w:r>
        <w:t xml:space="preserve">  净化处理  washing treatment</w:t>
      </w:r>
      <w:bookmarkEnd w:id="69"/>
    </w:p>
    <w:p>
      <w:pPr>
        <w:pStyle w:val="64"/>
        <w:spacing w:line="360" w:lineRule="auto"/>
      </w:pPr>
      <w:bookmarkStart w:id="70" w:name="_Toc15053011"/>
      <w:r>
        <w:t>采用专用设备对珊瑚骨料进行淡水淘洗并使之符合本规程要求的生产过程</w:t>
      </w:r>
      <w:bookmarkEnd w:id="70"/>
    </w:p>
    <w:p>
      <w:pPr>
        <w:spacing w:beforeLines="100" w:afterLines="100" w:line="300" w:lineRule="auto"/>
        <w:jc w:val="center"/>
        <w:outlineLvl w:val="1"/>
        <w:rPr>
          <w:b/>
          <w:bCs/>
          <w:sz w:val="24"/>
          <w:szCs w:val="24"/>
        </w:rPr>
      </w:pPr>
      <w:bookmarkStart w:id="71" w:name="_Toc15053012"/>
      <w:r>
        <w:rPr>
          <w:rFonts w:hint="eastAsia"/>
          <w:b/>
          <w:bCs/>
          <w:sz w:val="24"/>
          <w:szCs w:val="24"/>
        </w:rPr>
        <w:t>2</w:t>
      </w:r>
      <w:r>
        <w:rPr>
          <w:b/>
          <w:bCs/>
          <w:sz w:val="24"/>
          <w:szCs w:val="24"/>
        </w:rPr>
        <w:t>.</w:t>
      </w:r>
      <w:r>
        <w:rPr>
          <w:rFonts w:hint="eastAsia"/>
          <w:b/>
          <w:bCs/>
          <w:sz w:val="24"/>
          <w:szCs w:val="24"/>
        </w:rPr>
        <w:t>2</w:t>
      </w:r>
      <w:r>
        <w:rPr>
          <w:b/>
          <w:bCs/>
          <w:sz w:val="24"/>
          <w:szCs w:val="24"/>
        </w:rPr>
        <w:t xml:space="preserve">  </w:t>
      </w:r>
      <w:r>
        <w:rPr>
          <w:rFonts w:hint="eastAsia"/>
          <w:b/>
          <w:bCs/>
          <w:sz w:val="24"/>
          <w:szCs w:val="24"/>
        </w:rPr>
        <w:t>符号</w:t>
      </w:r>
      <w:bookmarkEnd w:id="71"/>
    </w:p>
    <w:tbl>
      <w:tblPr>
        <w:tblStyle w:val="29"/>
        <w:tblW w:w="9446" w:type="dxa"/>
        <w:tblInd w:w="93" w:type="dxa"/>
        <w:tblLayout w:type="fixed"/>
        <w:tblCellMar>
          <w:top w:w="0" w:type="dxa"/>
          <w:left w:w="108" w:type="dxa"/>
          <w:bottom w:w="0" w:type="dxa"/>
          <w:right w:w="108" w:type="dxa"/>
        </w:tblCellMar>
      </w:tblPr>
      <w:tblGrid>
        <w:gridCol w:w="590"/>
        <w:gridCol w:w="696"/>
        <w:gridCol w:w="8160"/>
      </w:tblGrid>
      <w:tr>
        <w:tblPrEx>
          <w:tblLayout w:type="fixed"/>
          <w:tblCellMar>
            <w:top w:w="0" w:type="dxa"/>
            <w:left w:w="108" w:type="dxa"/>
            <w:bottom w:w="0" w:type="dxa"/>
            <w:right w:w="108" w:type="dxa"/>
          </w:tblCellMar>
        </w:tblPrEx>
        <w:trPr>
          <w:trHeight w:val="330" w:hRule="atLeast"/>
        </w:trPr>
        <w:tc>
          <w:tcPr>
            <w:tcW w:w="590" w:type="dxa"/>
            <w:tcBorders>
              <w:top w:val="nil"/>
              <w:left w:val="nil"/>
              <w:bottom w:val="nil"/>
              <w:right w:val="nil"/>
            </w:tcBorders>
            <w:shd w:val="clear" w:color="auto" w:fill="auto"/>
            <w:noWrap/>
            <w:vAlign w:val="bottom"/>
          </w:tcPr>
          <w:p>
            <w:pPr>
              <w:widowControl/>
              <w:spacing w:line="400" w:lineRule="exact"/>
              <w:jc w:val="center"/>
              <w:rPr>
                <w:color w:val="000000"/>
                <w:kern w:val="0"/>
                <w:sz w:val="24"/>
                <w:szCs w:val="24"/>
              </w:rPr>
            </w:pPr>
            <w:r>
              <w:rPr>
                <w:i/>
                <w:iCs/>
                <w:color w:val="000000"/>
                <w:kern w:val="0"/>
                <w:sz w:val="24"/>
                <w:szCs w:val="24"/>
              </w:rPr>
              <w:t>f</w:t>
            </w:r>
            <w:r>
              <w:rPr>
                <w:color w:val="000000"/>
                <w:kern w:val="0"/>
                <w:sz w:val="24"/>
                <w:szCs w:val="24"/>
                <w:vertAlign w:val="subscript"/>
              </w:rPr>
              <w:t>cu,i</w:t>
            </w:r>
          </w:p>
        </w:tc>
        <w:tc>
          <w:tcPr>
            <w:tcW w:w="696"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color w:val="000000"/>
                <w:kern w:val="0"/>
                <w:sz w:val="24"/>
                <w:szCs w:val="24"/>
              </w:rPr>
              <w:t>——</w:t>
            </w:r>
          </w:p>
        </w:tc>
        <w:tc>
          <w:tcPr>
            <w:tcW w:w="8160"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rFonts w:hint="eastAsia" w:ascii="宋体" w:hAnsi="宋体"/>
                <w:color w:val="000000"/>
                <w:kern w:val="0"/>
                <w:sz w:val="24"/>
                <w:szCs w:val="24"/>
              </w:rPr>
              <w:t>第</w:t>
            </w:r>
            <w:r>
              <w:rPr>
                <w:color w:val="000000"/>
                <w:kern w:val="0"/>
                <w:sz w:val="24"/>
                <w:szCs w:val="24"/>
              </w:rPr>
              <w:t>i</w:t>
            </w:r>
            <w:r>
              <w:rPr>
                <w:rFonts w:hint="eastAsia" w:ascii="宋体" w:hAnsi="宋体"/>
                <w:color w:val="000000"/>
                <w:kern w:val="0"/>
                <w:sz w:val="24"/>
                <w:szCs w:val="24"/>
              </w:rPr>
              <w:t>组的混凝土试件强度（</w:t>
            </w:r>
            <w:r>
              <w:rPr>
                <w:color w:val="000000"/>
                <w:kern w:val="0"/>
                <w:sz w:val="24"/>
                <w:szCs w:val="24"/>
              </w:rPr>
              <w:t>MPa</w:t>
            </w:r>
            <w:r>
              <w:rPr>
                <w:rFonts w:hint="eastAsia" w:ascii="宋体" w:hAnsi="宋体"/>
                <w:color w:val="000000"/>
                <w:kern w:val="0"/>
                <w:sz w:val="24"/>
                <w:szCs w:val="24"/>
              </w:rPr>
              <w:t>）；</w:t>
            </w:r>
          </w:p>
        </w:tc>
      </w:tr>
      <w:tr>
        <w:tblPrEx>
          <w:tblLayout w:type="fixed"/>
          <w:tblCellMar>
            <w:top w:w="0" w:type="dxa"/>
            <w:left w:w="108" w:type="dxa"/>
            <w:bottom w:w="0" w:type="dxa"/>
            <w:right w:w="108" w:type="dxa"/>
          </w:tblCellMar>
        </w:tblPrEx>
        <w:trPr>
          <w:trHeight w:val="330" w:hRule="atLeast"/>
        </w:trPr>
        <w:tc>
          <w:tcPr>
            <w:tcW w:w="590" w:type="dxa"/>
            <w:tcBorders>
              <w:top w:val="nil"/>
              <w:left w:val="nil"/>
              <w:bottom w:val="nil"/>
              <w:right w:val="nil"/>
            </w:tcBorders>
            <w:shd w:val="clear" w:color="auto" w:fill="auto"/>
            <w:noWrap/>
            <w:vAlign w:val="bottom"/>
          </w:tcPr>
          <w:p>
            <w:pPr>
              <w:widowControl/>
              <w:spacing w:line="400" w:lineRule="exact"/>
              <w:jc w:val="center"/>
              <w:rPr>
                <w:color w:val="000000"/>
                <w:kern w:val="0"/>
                <w:sz w:val="24"/>
                <w:szCs w:val="24"/>
              </w:rPr>
            </w:pPr>
            <w:r>
              <w:rPr>
                <w:i/>
                <w:iCs/>
                <w:color w:val="000000"/>
                <w:kern w:val="0"/>
                <w:sz w:val="24"/>
                <w:szCs w:val="24"/>
              </w:rPr>
              <w:t>f</w:t>
            </w:r>
            <w:r>
              <w:rPr>
                <w:color w:val="000000"/>
                <w:kern w:val="0"/>
                <w:sz w:val="24"/>
                <w:szCs w:val="24"/>
                <w:vertAlign w:val="subscript"/>
              </w:rPr>
              <w:t>cu,K</w:t>
            </w:r>
          </w:p>
        </w:tc>
        <w:tc>
          <w:tcPr>
            <w:tcW w:w="696"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color w:val="000000"/>
                <w:kern w:val="0"/>
                <w:sz w:val="24"/>
                <w:szCs w:val="24"/>
              </w:rPr>
              <w:t>——</w:t>
            </w:r>
          </w:p>
        </w:tc>
        <w:tc>
          <w:tcPr>
            <w:tcW w:w="8160"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rFonts w:hint="eastAsia" w:ascii="宋体" w:hAnsi="宋体"/>
                <w:color w:val="000000"/>
                <w:kern w:val="0"/>
                <w:sz w:val="24"/>
                <w:szCs w:val="24"/>
              </w:rPr>
              <w:t>珊瑚骨料混凝土立方体抗压强度标准值（</w:t>
            </w:r>
            <w:r>
              <w:rPr>
                <w:color w:val="000000"/>
                <w:kern w:val="0"/>
                <w:sz w:val="24"/>
                <w:szCs w:val="24"/>
              </w:rPr>
              <w:t>MPa</w:t>
            </w:r>
            <w:r>
              <w:rPr>
                <w:rFonts w:hint="eastAsia" w:ascii="宋体" w:hAnsi="宋体"/>
                <w:color w:val="000000"/>
                <w:kern w:val="0"/>
                <w:sz w:val="24"/>
                <w:szCs w:val="24"/>
              </w:rPr>
              <w:t>）；</w:t>
            </w:r>
          </w:p>
        </w:tc>
      </w:tr>
      <w:tr>
        <w:tblPrEx>
          <w:tblLayout w:type="fixed"/>
          <w:tblCellMar>
            <w:top w:w="0" w:type="dxa"/>
            <w:left w:w="108" w:type="dxa"/>
            <w:bottom w:w="0" w:type="dxa"/>
            <w:right w:w="108" w:type="dxa"/>
          </w:tblCellMar>
        </w:tblPrEx>
        <w:trPr>
          <w:trHeight w:val="330" w:hRule="atLeast"/>
        </w:trPr>
        <w:tc>
          <w:tcPr>
            <w:tcW w:w="590" w:type="dxa"/>
            <w:tcBorders>
              <w:top w:val="nil"/>
              <w:left w:val="nil"/>
              <w:bottom w:val="nil"/>
              <w:right w:val="nil"/>
            </w:tcBorders>
            <w:shd w:val="clear" w:color="auto" w:fill="auto"/>
            <w:noWrap/>
            <w:vAlign w:val="bottom"/>
          </w:tcPr>
          <w:p>
            <w:pPr>
              <w:widowControl/>
              <w:spacing w:line="400" w:lineRule="exact"/>
              <w:jc w:val="center"/>
              <w:rPr>
                <w:color w:val="000000"/>
                <w:kern w:val="0"/>
                <w:sz w:val="24"/>
                <w:szCs w:val="24"/>
              </w:rPr>
            </w:pPr>
            <w:r>
              <w:rPr>
                <w:i/>
                <w:iCs/>
                <w:color w:val="000000"/>
                <w:kern w:val="0"/>
                <w:sz w:val="24"/>
                <w:szCs w:val="24"/>
              </w:rPr>
              <w:t>f</w:t>
            </w:r>
            <w:r>
              <w:rPr>
                <w:color w:val="000000"/>
                <w:kern w:val="0"/>
                <w:sz w:val="24"/>
                <w:szCs w:val="24"/>
                <w:vertAlign w:val="subscript"/>
              </w:rPr>
              <w:t>cu,o</w:t>
            </w:r>
          </w:p>
        </w:tc>
        <w:tc>
          <w:tcPr>
            <w:tcW w:w="696"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color w:val="000000"/>
                <w:kern w:val="0"/>
                <w:sz w:val="24"/>
                <w:szCs w:val="24"/>
              </w:rPr>
              <w:t>——</w:t>
            </w:r>
          </w:p>
        </w:tc>
        <w:tc>
          <w:tcPr>
            <w:tcW w:w="8160"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rFonts w:hint="eastAsia" w:ascii="宋体" w:hAnsi="宋体"/>
                <w:color w:val="000000"/>
                <w:kern w:val="0"/>
                <w:sz w:val="24"/>
                <w:szCs w:val="24"/>
              </w:rPr>
              <w:t>珊瑚骨料混凝土的配制强度（</w:t>
            </w:r>
            <w:r>
              <w:rPr>
                <w:color w:val="000000"/>
                <w:kern w:val="0"/>
                <w:sz w:val="24"/>
                <w:szCs w:val="24"/>
              </w:rPr>
              <w:t>MPa</w:t>
            </w:r>
            <w:r>
              <w:rPr>
                <w:rFonts w:hint="eastAsia" w:ascii="宋体" w:hAnsi="宋体"/>
                <w:color w:val="000000"/>
                <w:kern w:val="0"/>
                <w:sz w:val="24"/>
                <w:szCs w:val="24"/>
              </w:rPr>
              <w:t>）；</w:t>
            </w:r>
          </w:p>
        </w:tc>
      </w:tr>
      <w:tr>
        <w:tblPrEx>
          <w:tblLayout w:type="fixed"/>
          <w:tblCellMar>
            <w:top w:w="0" w:type="dxa"/>
            <w:left w:w="108" w:type="dxa"/>
            <w:bottom w:w="0" w:type="dxa"/>
            <w:right w:w="108" w:type="dxa"/>
          </w:tblCellMar>
        </w:tblPrEx>
        <w:trPr>
          <w:trHeight w:val="375" w:hRule="atLeast"/>
        </w:trPr>
        <w:tc>
          <w:tcPr>
            <w:tcW w:w="590" w:type="dxa"/>
            <w:tcBorders>
              <w:top w:val="nil"/>
              <w:left w:val="nil"/>
              <w:bottom w:val="nil"/>
              <w:right w:val="nil"/>
            </w:tcBorders>
            <w:shd w:val="clear" w:color="auto" w:fill="auto"/>
            <w:noWrap/>
            <w:vAlign w:val="bottom"/>
          </w:tcPr>
          <w:p>
            <w:pPr>
              <w:widowControl/>
              <w:spacing w:line="400" w:lineRule="exact"/>
              <w:jc w:val="center"/>
              <w:rPr>
                <w:i/>
                <w:iCs/>
                <w:color w:val="000000"/>
                <w:kern w:val="0"/>
                <w:sz w:val="24"/>
                <w:szCs w:val="24"/>
              </w:rPr>
            </w:pPr>
            <w:r>
              <w:rPr>
                <w:i/>
                <w:iCs/>
                <w:color w:val="000000"/>
                <w:kern w:val="0"/>
                <w:sz w:val="24"/>
                <w:szCs w:val="24"/>
                <w:lang w:val="fr-FR"/>
              </w:rPr>
              <w:t>m</w:t>
            </w:r>
            <w:r>
              <w:rPr>
                <w:color w:val="000000"/>
                <w:kern w:val="0"/>
                <w:sz w:val="24"/>
                <w:szCs w:val="24"/>
                <w:vertAlign w:val="subscript"/>
                <w:lang w:val="fr-FR"/>
              </w:rPr>
              <w:t>a</w:t>
            </w:r>
          </w:p>
        </w:tc>
        <w:tc>
          <w:tcPr>
            <w:tcW w:w="696"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color w:val="000000"/>
                <w:kern w:val="0"/>
                <w:sz w:val="24"/>
                <w:szCs w:val="24"/>
              </w:rPr>
              <w:t>——</w:t>
            </w:r>
          </w:p>
        </w:tc>
        <w:tc>
          <w:tcPr>
            <w:tcW w:w="8160" w:type="dxa"/>
            <w:tcBorders>
              <w:top w:val="nil"/>
              <w:left w:val="nil"/>
              <w:bottom w:val="nil"/>
              <w:right w:val="nil"/>
            </w:tcBorders>
            <w:shd w:val="clear" w:color="auto" w:fill="auto"/>
            <w:noWrap/>
            <w:vAlign w:val="center"/>
          </w:tcPr>
          <w:p>
            <w:pPr>
              <w:widowControl/>
              <w:spacing w:line="400" w:lineRule="exact"/>
              <w:rPr>
                <w:color w:val="000000"/>
                <w:kern w:val="0"/>
                <w:sz w:val="24"/>
                <w:szCs w:val="24"/>
              </w:rPr>
            </w:pPr>
            <w:r>
              <w:rPr>
                <w:rFonts w:hint="eastAsia" w:ascii="宋体" w:hAnsi="宋体"/>
                <w:color w:val="000000"/>
                <w:kern w:val="0"/>
                <w:sz w:val="24"/>
                <w:szCs w:val="24"/>
              </w:rPr>
              <w:t>每立方米混凝土的珊瑚粗骨料用量</w:t>
            </w:r>
            <w:r>
              <w:rPr>
                <w:color w:val="000000"/>
                <w:kern w:val="0"/>
                <w:sz w:val="24"/>
                <w:szCs w:val="24"/>
              </w:rPr>
              <w:t>(kg)</w:t>
            </w:r>
            <w:r>
              <w:rPr>
                <w:rFonts w:hint="eastAsia" w:ascii="宋体" w:hAnsi="宋体"/>
                <w:color w:val="000000"/>
                <w:kern w:val="0"/>
                <w:sz w:val="24"/>
                <w:szCs w:val="24"/>
              </w:rPr>
              <w:t>；</w:t>
            </w:r>
          </w:p>
        </w:tc>
      </w:tr>
      <w:tr>
        <w:tblPrEx>
          <w:tblLayout w:type="fixed"/>
          <w:tblCellMar>
            <w:top w:w="0" w:type="dxa"/>
            <w:left w:w="108" w:type="dxa"/>
            <w:bottom w:w="0" w:type="dxa"/>
            <w:right w:w="108" w:type="dxa"/>
          </w:tblCellMar>
        </w:tblPrEx>
        <w:trPr>
          <w:trHeight w:val="330" w:hRule="atLeast"/>
        </w:trPr>
        <w:tc>
          <w:tcPr>
            <w:tcW w:w="590" w:type="dxa"/>
            <w:tcBorders>
              <w:top w:val="nil"/>
              <w:left w:val="nil"/>
              <w:bottom w:val="nil"/>
              <w:right w:val="nil"/>
            </w:tcBorders>
            <w:shd w:val="clear" w:color="auto" w:fill="auto"/>
            <w:noWrap/>
            <w:vAlign w:val="bottom"/>
          </w:tcPr>
          <w:p>
            <w:pPr>
              <w:widowControl/>
              <w:spacing w:line="400" w:lineRule="exact"/>
              <w:jc w:val="center"/>
              <w:rPr>
                <w:color w:val="000000"/>
                <w:kern w:val="0"/>
                <w:sz w:val="24"/>
                <w:szCs w:val="24"/>
              </w:rPr>
            </w:pPr>
            <w:r>
              <w:rPr>
                <w:i/>
                <w:iCs/>
                <w:color w:val="000000"/>
                <w:kern w:val="0"/>
                <w:sz w:val="24"/>
                <w:szCs w:val="24"/>
              </w:rPr>
              <w:t>m</w:t>
            </w:r>
            <w:r>
              <w:rPr>
                <w:color w:val="000000"/>
                <w:kern w:val="0"/>
                <w:sz w:val="24"/>
                <w:szCs w:val="24"/>
                <w:vertAlign w:val="subscript"/>
              </w:rPr>
              <w:t>b</w:t>
            </w:r>
          </w:p>
        </w:tc>
        <w:tc>
          <w:tcPr>
            <w:tcW w:w="696"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color w:val="000000"/>
                <w:kern w:val="0"/>
                <w:sz w:val="24"/>
                <w:szCs w:val="24"/>
              </w:rPr>
              <w:t>——</w:t>
            </w:r>
          </w:p>
        </w:tc>
        <w:tc>
          <w:tcPr>
            <w:tcW w:w="8160"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rFonts w:hint="eastAsia" w:ascii="宋体" w:hAnsi="宋体"/>
                <w:color w:val="000000"/>
                <w:kern w:val="0"/>
                <w:sz w:val="24"/>
                <w:szCs w:val="24"/>
              </w:rPr>
              <w:t>每立方米珊瑚骨料混凝土中胶凝材料用量（</w:t>
            </w:r>
            <w:r>
              <w:rPr>
                <w:color w:val="000000"/>
                <w:kern w:val="0"/>
                <w:sz w:val="24"/>
                <w:szCs w:val="24"/>
              </w:rPr>
              <w:t>kg</w:t>
            </w:r>
            <w:r>
              <w:rPr>
                <w:rFonts w:hint="eastAsia" w:ascii="宋体" w:hAnsi="宋体"/>
                <w:color w:val="000000"/>
                <w:kern w:val="0"/>
                <w:sz w:val="24"/>
                <w:szCs w:val="24"/>
              </w:rPr>
              <w:t>）；</w:t>
            </w:r>
          </w:p>
        </w:tc>
      </w:tr>
      <w:tr>
        <w:tblPrEx>
          <w:tblLayout w:type="fixed"/>
          <w:tblCellMar>
            <w:top w:w="0" w:type="dxa"/>
            <w:left w:w="108" w:type="dxa"/>
            <w:bottom w:w="0" w:type="dxa"/>
            <w:right w:w="108" w:type="dxa"/>
          </w:tblCellMar>
        </w:tblPrEx>
        <w:trPr>
          <w:trHeight w:val="375" w:hRule="atLeast"/>
        </w:trPr>
        <w:tc>
          <w:tcPr>
            <w:tcW w:w="590" w:type="dxa"/>
            <w:tcBorders>
              <w:top w:val="nil"/>
              <w:left w:val="nil"/>
              <w:bottom w:val="nil"/>
              <w:right w:val="nil"/>
            </w:tcBorders>
            <w:shd w:val="clear" w:color="auto" w:fill="auto"/>
            <w:noWrap/>
            <w:vAlign w:val="center"/>
          </w:tcPr>
          <w:p>
            <w:pPr>
              <w:widowControl/>
              <w:spacing w:line="400" w:lineRule="exact"/>
              <w:jc w:val="center"/>
              <w:rPr>
                <w:i/>
                <w:iCs/>
                <w:color w:val="000000"/>
                <w:kern w:val="0"/>
                <w:sz w:val="24"/>
                <w:szCs w:val="24"/>
              </w:rPr>
            </w:pPr>
            <w:r>
              <w:rPr>
                <w:i/>
                <w:iCs/>
                <w:color w:val="000000"/>
                <w:kern w:val="0"/>
                <w:sz w:val="24"/>
                <w:szCs w:val="24"/>
                <w:lang w:val="fr-FR"/>
              </w:rPr>
              <w:t>m</w:t>
            </w:r>
            <w:r>
              <w:rPr>
                <w:color w:val="000000"/>
                <w:kern w:val="0"/>
                <w:sz w:val="24"/>
                <w:szCs w:val="24"/>
                <w:vertAlign w:val="subscript"/>
                <w:lang w:val="fr-FR"/>
              </w:rPr>
              <w:t>c</w:t>
            </w:r>
          </w:p>
        </w:tc>
        <w:tc>
          <w:tcPr>
            <w:tcW w:w="696"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color w:val="000000"/>
                <w:kern w:val="0"/>
                <w:sz w:val="24"/>
                <w:szCs w:val="24"/>
              </w:rPr>
              <w:t>——</w:t>
            </w:r>
          </w:p>
        </w:tc>
        <w:tc>
          <w:tcPr>
            <w:tcW w:w="8160" w:type="dxa"/>
            <w:tcBorders>
              <w:top w:val="nil"/>
              <w:left w:val="nil"/>
              <w:bottom w:val="nil"/>
              <w:right w:val="nil"/>
            </w:tcBorders>
            <w:shd w:val="clear" w:color="auto" w:fill="auto"/>
            <w:noWrap/>
            <w:vAlign w:val="center"/>
          </w:tcPr>
          <w:p>
            <w:pPr>
              <w:widowControl/>
              <w:spacing w:line="400" w:lineRule="exact"/>
              <w:rPr>
                <w:color w:val="000000"/>
                <w:kern w:val="0"/>
                <w:sz w:val="24"/>
                <w:szCs w:val="24"/>
              </w:rPr>
            </w:pPr>
            <w:r>
              <w:rPr>
                <w:rFonts w:hint="eastAsia" w:ascii="宋体" w:hAnsi="宋体"/>
                <w:color w:val="000000"/>
                <w:kern w:val="0"/>
                <w:sz w:val="24"/>
                <w:szCs w:val="24"/>
              </w:rPr>
              <w:t>每立方米珊瑚骨料混凝土的水泥用量</w:t>
            </w:r>
            <w:r>
              <w:rPr>
                <w:color w:val="000000"/>
                <w:kern w:val="0"/>
                <w:sz w:val="24"/>
                <w:szCs w:val="24"/>
              </w:rPr>
              <w:t>(kg)</w:t>
            </w:r>
            <w:r>
              <w:rPr>
                <w:rFonts w:hint="eastAsia" w:ascii="宋体" w:hAnsi="宋体"/>
                <w:color w:val="000000"/>
                <w:kern w:val="0"/>
                <w:sz w:val="24"/>
                <w:szCs w:val="24"/>
              </w:rPr>
              <w:t xml:space="preserve"> ；</w:t>
            </w:r>
          </w:p>
        </w:tc>
      </w:tr>
      <w:tr>
        <w:tblPrEx>
          <w:tblLayout w:type="fixed"/>
          <w:tblCellMar>
            <w:top w:w="0" w:type="dxa"/>
            <w:left w:w="108" w:type="dxa"/>
            <w:bottom w:w="0" w:type="dxa"/>
            <w:right w:w="108" w:type="dxa"/>
          </w:tblCellMar>
        </w:tblPrEx>
        <w:trPr>
          <w:trHeight w:val="375" w:hRule="atLeast"/>
        </w:trPr>
        <w:tc>
          <w:tcPr>
            <w:tcW w:w="590" w:type="dxa"/>
            <w:tcBorders>
              <w:top w:val="nil"/>
              <w:left w:val="nil"/>
              <w:bottom w:val="nil"/>
              <w:right w:val="nil"/>
            </w:tcBorders>
            <w:shd w:val="clear" w:color="auto" w:fill="auto"/>
            <w:noWrap/>
            <w:vAlign w:val="center"/>
          </w:tcPr>
          <w:p>
            <w:pPr>
              <w:widowControl/>
              <w:spacing w:line="400" w:lineRule="exact"/>
              <w:jc w:val="center"/>
              <w:rPr>
                <w:i/>
                <w:iCs/>
                <w:color w:val="000000"/>
                <w:kern w:val="0"/>
                <w:sz w:val="24"/>
                <w:szCs w:val="24"/>
              </w:rPr>
            </w:pPr>
            <w:r>
              <w:rPr>
                <w:i/>
                <w:iCs/>
                <w:color w:val="000000"/>
                <w:kern w:val="0"/>
                <w:sz w:val="24"/>
                <w:szCs w:val="24"/>
                <w:lang w:val="fr-FR"/>
              </w:rPr>
              <w:t>m</w:t>
            </w:r>
            <w:r>
              <w:rPr>
                <w:color w:val="000000"/>
                <w:kern w:val="0"/>
                <w:sz w:val="24"/>
                <w:szCs w:val="24"/>
                <w:vertAlign w:val="subscript"/>
                <w:lang w:val="fr-FR"/>
              </w:rPr>
              <w:t>s</w:t>
            </w:r>
          </w:p>
        </w:tc>
        <w:tc>
          <w:tcPr>
            <w:tcW w:w="696"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color w:val="000000"/>
                <w:kern w:val="0"/>
                <w:sz w:val="24"/>
                <w:szCs w:val="24"/>
              </w:rPr>
              <w:t>——</w:t>
            </w:r>
          </w:p>
        </w:tc>
        <w:tc>
          <w:tcPr>
            <w:tcW w:w="8160" w:type="dxa"/>
            <w:tcBorders>
              <w:top w:val="nil"/>
              <w:left w:val="nil"/>
              <w:bottom w:val="nil"/>
              <w:right w:val="nil"/>
            </w:tcBorders>
            <w:shd w:val="clear" w:color="auto" w:fill="auto"/>
            <w:noWrap/>
            <w:vAlign w:val="center"/>
          </w:tcPr>
          <w:p>
            <w:pPr>
              <w:widowControl/>
              <w:spacing w:line="400" w:lineRule="exact"/>
              <w:rPr>
                <w:color w:val="000000"/>
                <w:kern w:val="0"/>
                <w:sz w:val="24"/>
                <w:szCs w:val="24"/>
              </w:rPr>
            </w:pPr>
            <w:r>
              <w:rPr>
                <w:rFonts w:hint="eastAsia" w:ascii="宋体" w:hAnsi="宋体"/>
                <w:color w:val="000000"/>
                <w:kern w:val="0"/>
                <w:sz w:val="24"/>
                <w:szCs w:val="24"/>
              </w:rPr>
              <w:t>每立方米珊瑚骨料混凝土的细骨料用量</w:t>
            </w:r>
            <w:r>
              <w:rPr>
                <w:color w:val="000000"/>
                <w:kern w:val="0"/>
                <w:sz w:val="24"/>
                <w:szCs w:val="24"/>
              </w:rPr>
              <w:t>(kg)</w:t>
            </w:r>
            <w:r>
              <w:rPr>
                <w:rFonts w:hint="eastAsia" w:ascii="宋体" w:hAnsi="宋体"/>
                <w:color w:val="000000"/>
                <w:kern w:val="0"/>
                <w:sz w:val="24"/>
                <w:szCs w:val="24"/>
              </w:rPr>
              <w:t xml:space="preserve"> ；</w:t>
            </w:r>
          </w:p>
        </w:tc>
      </w:tr>
      <w:tr>
        <w:tblPrEx>
          <w:tblLayout w:type="fixed"/>
          <w:tblCellMar>
            <w:top w:w="0" w:type="dxa"/>
            <w:left w:w="108" w:type="dxa"/>
            <w:bottom w:w="0" w:type="dxa"/>
            <w:right w:w="108" w:type="dxa"/>
          </w:tblCellMar>
        </w:tblPrEx>
        <w:trPr>
          <w:trHeight w:val="375" w:hRule="atLeast"/>
        </w:trPr>
        <w:tc>
          <w:tcPr>
            <w:tcW w:w="590" w:type="dxa"/>
            <w:tcBorders>
              <w:top w:val="nil"/>
              <w:left w:val="nil"/>
              <w:bottom w:val="nil"/>
              <w:right w:val="nil"/>
            </w:tcBorders>
            <w:shd w:val="clear" w:color="auto" w:fill="auto"/>
            <w:noWrap/>
            <w:vAlign w:val="bottom"/>
          </w:tcPr>
          <w:p>
            <w:pPr>
              <w:widowControl/>
              <w:spacing w:line="400" w:lineRule="exact"/>
              <w:jc w:val="center"/>
              <w:rPr>
                <w:color w:val="000000"/>
                <w:kern w:val="0"/>
                <w:sz w:val="24"/>
                <w:szCs w:val="24"/>
              </w:rPr>
            </w:pPr>
            <w:r>
              <w:rPr>
                <w:i/>
                <w:iCs/>
                <w:color w:val="000000"/>
                <w:kern w:val="0"/>
                <w:sz w:val="24"/>
                <w:szCs w:val="24"/>
              </w:rPr>
              <w:t>m</w:t>
            </w:r>
            <w:r>
              <w:rPr>
                <w:color w:val="000000"/>
                <w:kern w:val="0"/>
                <w:sz w:val="24"/>
                <w:szCs w:val="24"/>
                <w:vertAlign w:val="subscript"/>
              </w:rPr>
              <w:t>wa</w:t>
            </w:r>
          </w:p>
        </w:tc>
        <w:tc>
          <w:tcPr>
            <w:tcW w:w="696"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color w:val="000000"/>
                <w:kern w:val="0"/>
                <w:sz w:val="24"/>
                <w:szCs w:val="24"/>
              </w:rPr>
              <w:t>——</w:t>
            </w:r>
          </w:p>
        </w:tc>
        <w:tc>
          <w:tcPr>
            <w:tcW w:w="8160"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rFonts w:hint="eastAsia" w:ascii="宋体" w:hAnsi="宋体"/>
                <w:color w:val="000000"/>
                <w:kern w:val="0"/>
                <w:sz w:val="24"/>
                <w:szCs w:val="24"/>
              </w:rPr>
              <w:t>每立方米珊瑚骨料混凝土的附加水量</w:t>
            </w:r>
            <w:r>
              <w:rPr>
                <w:color w:val="000000"/>
                <w:kern w:val="0"/>
                <w:sz w:val="24"/>
                <w:szCs w:val="24"/>
              </w:rPr>
              <w:t>(kg)</w:t>
            </w:r>
            <w:r>
              <w:rPr>
                <w:rFonts w:hint="eastAsia" w:ascii="宋体" w:hAnsi="宋体"/>
                <w:color w:val="000000"/>
                <w:kern w:val="0"/>
                <w:sz w:val="24"/>
                <w:szCs w:val="24"/>
              </w:rPr>
              <w:t xml:space="preserve"> ；</w:t>
            </w:r>
          </w:p>
        </w:tc>
      </w:tr>
      <w:tr>
        <w:tblPrEx>
          <w:tblLayout w:type="fixed"/>
          <w:tblCellMar>
            <w:top w:w="0" w:type="dxa"/>
            <w:left w:w="108" w:type="dxa"/>
            <w:bottom w:w="0" w:type="dxa"/>
            <w:right w:w="108" w:type="dxa"/>
          </w:tblCellMar>
        </w:tblPrEx>
        <w:trPr>
          <w:trHeight w:val="375" w:hRule="atLeast"/>
        </w:trPr>
        <w:tc>
          <w:tcPr>
            <w:tcW w:w="590" w:type="dxa"/>
            <w:tcBorders>
              <w:top w:val="nil"/>
              <w:left w:val="nil"/>
              <w:bottom w:val="nil"/>
              <w:right w:val="nil"/>
            </w:tcBorders>
            <w:shd w:val="clear" w:color="auto" w:fill="auto"/>
            <w:noWrap/>
            <w:vAlign w:val="bottom"/>
          </w:tcPr>
          <w:p>
            <w:pPr>
              <w:widowControl/>
              <w:spacing w:line="400" w:lineRule="exact"/>
              <w:jc w:val="center"/>
              <w:rPr>
                <w:i/>
                <w:iCs/>
                <w:color w:val="000000"/>
                <w:kern w:val="0"/>
                <w:sz w:val="24"/>
                <w:szCs w:val="24"/>
              </w:rPr>
            </w:pPr>
            <w:r>
              <w:rPr>
                <w:i/>
                <w:iCs/>
                <w:color w:val="000000"/>
                <w:kern w:val="0"/>
                <w:sz w:val="24"/>
                <w:szCs w:val="24"/>
              </w:rPr>
              <w:t>m</w:t>
            </w:r>
            <w:r>
              <w:rPr>
                <w:color w:val="000000"/>
                <w:kern w:val="0"/>
                <w:sz w:val="24"/>
                <w:szCs w:val="24"/>
                <w:vertAlign w:val="subscript"/>
              </w:rPr>
              <w:t>wn</w:t>
            </w:r>
          </w:p>
        </w:tc>
        <w:tc>
          <w:tcPr>
            <w:tcW w:w="696"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color w:val="000000"/>
                <w:kern w:val="0"/>
                <w:sz w:val="24"/>
                <w:szCs w:val="24"/>
              </w:rPr>
              <w:t>——</w:t>
            </w:r>
          </w:p>
        </w:tc>
        <w:tc>
          <w:tcPr>
            <w:tcW w:w="8160"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rFonts w:hint="eastAsia" w:ascii="宋体" w:hAnsi="宋体"/>
                <w:color w:val="000000"/>
                <w:kern w:val="0"/>
                <w:sz w:val="24"/>
                <w:szCs w:val="24"/>
              </w:rPr>
              <w:t>每立方米珊瑚骨料混凝土的净用水量；</w:t>
            </w:r>
          </w:p>
        </w:tc>
      </w:tr>
      <w:tr>
        <w:tblPrEx>
          <w:tblLayout w:type="fixed"/>
          <w:tblCellMar>
            <w:top w:w="0" w:type="dxa"/>
            <w:left w:w="108" w:type="dxa"/>
            <w:bottom w:w="0" w:type="dxa"/>
            <w:right w:w="108" w:type="dxa"/>
          </w:tblCellMar>
        </w:tblPrEx>
        <w:trPr>
          <w:trHeight w:val="375" w:hRule="atLeast"/>
        </w:trPr>
        <w:tc>
          <w:tcPr>
            <w:tcW w:w="590" w:type="dxa"/>
            <w:tcBorders>
              <w:top w:val="nil"/>
              <w:left w:val="nil"/>
              <w:bottom w:val="nil"/>
              <w:right w:val="nil"/>
            </w:tcBorders>
            <w:shd w:val="clear" w:color="auto" w:fill="auto"/>
            <w:noWrap/>
            <w:vAlign w:val="bottom"/>
          </w:tcPr>
          <w:p>
            <w:pPr>
              <w:widowControl/>
              <w:spacing w:line="400" w:lineRule="exact"/>
              <w:jc w:val="center"/>
              <w:rPr>
                <w:i/>
                <w:iCs/>
                <w:color w:val="000000"/>
                <w:kern w:val="0"/>
                <w:sz w:val="24"/>
                <w:szCs w:val="24"/>
              </w:rPr>
            </w:pPr>
            <w:r>
              <w:rPr>
                <w:i/>
                <w:iCs/>
                <w:color w:val="000000"/>
                <w:kern w:val="0"/>
                <w:sz w:val="24"/>
                <w:szCs w:val="24"/>
              </w:rPr>
              <w:t>m</w:t>
            </w:r>
            <w:r>
              <w:rPr>
                <w:color w:val="000000"/>
                <w:kern w:val="0"/>
                <w:sz w:val="24"/>
                <w:szCs w:val="24"/>
                <w:vertAlign w:val="subscript"/>
              </w:rPr>
              <w:t>wt</w:t>
            </w:r>
          </w:p>
        </w:tc>
        <w:tc>
          <w:tcPr>
            <w:tcW w:w="696"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color w:val="000000"/>
                <w:kern w:val="0"/>
                <w:sz w:val="24"/>
                <w:szCs w:val="24"/>
              </w:rPr>
              <w:t>——</w:t>
            </w:r>
          </w:p>
        </w:tc>
        <w:tc>
          <w:tcPr>
            <w:tcW w:w="8160"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rFonts w:hint="eastAsia" w:ascii="宋体" w:hAnsi="宋体"/>
                <w:color w:val="000000"/>
                <w:kern w:val="0"/>
                <w:sz w:val="24"/>
                <w:szCs w:val="24"/>
              </w:rPr>
              <w:t>每立方米珊瑚骨料混凝土的总用水量</w:t>
            </w:r>
            <w:r>
              <w:rPr>
                <w:color w:val="000000"/>
                <w:kern w:val="0"/>
                <w:sz w:val="24"/>
                <w:szCs w:val="24"/>
              </w:rPr>
              <w:t>(kg)</w:t>
            </w:r>
            <w:r>
              <w:rPr>
                <w:rFonts w:hint="eastAsia" w:ascii="宋体" w:hAnsi="宋体"/>
                <w:color w:val="000000"/>
                <w:kern w:val="0"/>
                <w:sz w:val="24"/>
                <w:szCs w:val="24"/>
              </w:rPr>
              <w:t>；</w:t>
            </w:r>
          </w:p>
        </w:tc>
      </w:tr>
      <w:tr>
        <w:tblPrEx>
          <w:tblLayout w:type="fixed"/>
          <w:tblCellMar>
            <w:top w:w="0" w:type="dxa"/>
            <w:left w:w="108" w:type="dxa"/>
            <w:bottom w:w="0" w:type="dxa"/>
            <w:right w:w="108" w:type="dxa"/>
          </w:tblCellMar>
        </w:tblPrEx>
        <w:trPr>
          <w:trHeight w:val="315" w:hRule="atLeast"/>
        </w:trPr>
        <w:tc>
          <w:tcPr>
            <w:tcW w:w="590" w:type="dxa"/>
            <w:tcBorders>
              <w:top w:val="nil"/>
              <w:left w:val="nil"/>
              <w:bottom w:val="nil"/>
              <w:right w:val="nil"/>
            </w:tcBorders>
            <w:shd w:val="clear" w:color="auto" w:fill="auto"/>
            <w:noWrap/>
            <w:vAlign w:val="bottom"/>
          </w:tcPr>
          <w:p>
            <w:pPr>
              <w:widowControl/>
              <w:spacing w:line="400" w:lineRule="exact"/>
              <w:jc w:val="center"/>
              <w:rPr>
                <w:i/>
                <w:iCs/>
                <w:color w:val="000000"/>
                <w:kern w:val="0"/>
                <w:sz w:val="24"/>
                <w:szCs w:val="24"/>
              </w:rPr>
            </w:pPr>
            <w:r>
              <w:rPr>
                <w:i/>
                <w:iCs/>
                <w:color w:val="000000"/>
                <w:kern w:val="0"/>
                <w:sz w:val="24"/>
                <w:szCs w:val="24"/>
              </w:rPr>
              <w:t>n</w:t>
            </w:r>
          </w:p>
        </w:tc>
        <w:tc>
          <w:tcPr>
            <w:tcW w:w="696"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color w:val="000000"/>
                <w:kern w:val="0"/>
                <w:sz w:val="24"/>
                <w:szCs w:val="24"/>
              </w:rPr>
              <w:t>——</w:t>
            </w:r>
          </w:p>
        </w:tc>
        <w:tc>
          <w:tcPr>
            <w:tcW w:w="8160"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rFonts w:hint="eastAsia" w:ascii="宋体" w:hAnsi="宋体"/>
                <w:color w:val="000000"/>
                <w:kern w:val="0"/>
                <w:sz w:val="24"/>
                <w:szCs w:val="24"/>
              </w:rPr>
              <w:t>混凝土试件组数；</w:t>
            </w:r>
          </w:p>
        </w:tc>
      </w:tr>
      <w:tr>
        <w:tblPrEx>
          <w:tblLayout w:type="fixed"/>
          <w:tblCellMar>
            <w:top w:w="0" w:type="dxa"/>
            <w:left w:w="108" w:type="dxa"/>
            <w:bottom w:w="0" w:type="dxa"/>
            <w:right w:w="108" w:type="dxa"/>
          </w:tblCellMar>
        </w:tblPrEx>
        <w:trPr>
          <w:trHeight w:val="315" w:hRule="atLeast"/>
        </w:trPr>
        <w:tc>
          <w:tcPr>
            <w:tcW w:w="590" w:type="dxa"/>
            <w:tcBorders>
              <w:top w:val="nil"/>
              <w:left w:val="nil"/>
              <w:bottom w:val="nil"/>
              <w:right w:val="nil"/>
            </w:tcBorders>
            <w:shd w:val="clear" w:color="auto" w:fill="auto"/>
            <w:noWrap/>
            <w:vAlign w:val="bottom"/>
          </w:tcPr>
          <w:p>
            <w:pPr>
              <w:widowControl/>
              <w:spacing w:line="400" w:lineRule="exact"/>
              <w:jc w:val="center"/>
              <w:rPr>
                <w:i/>
                <w:iCs/>
                <w:color w:val="000000"/>
                <w:kern w:val="0"/>
                <w:sz w:val="24"/>
                <w:szCs w:val="24"/>
              </w:rPr>
            </w:pPr>
            <w:r>
              <w:rPr>
                <w:i/>
                <w:iCs/>
                <w:color w:val="000000"/>
                <w:kern w:val="0"/>
                <w:sz w:val="24"/>
                <w:szCs w:val="24"/>
              </w:rPr>
              <w:t>P</w:t>
            </w:r>
          </w:p>
        </w:tc>
        <w:tc>
          <w:tcPr>
            <w:tcW w:w="696"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color w:val="000000"/>
                <w:kern w:val="0"/>
                <w:sz w:val="24"/>
                <w:szCs w:val="24"/>
              </w:rPr>
              <w:t>——</w:t>
            </w:r>
          </w:p>
        </w:tc>
        <w:tc>
          <w:tcPr>
            <w:tcW w:w="8160"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rFonts w:hint="eastAsia" w:ascii="宋体" w:hAnsi="宋体"/>
                <w:color w:val="000000"/>
                <w:kern w:val="0"/>
                <w:sz w:val="24"/>
                <w:szCs w:val="24"/>
              </w:rPr>
              <w:t>设计要求的抗渗等级值；</w:t>
            </w:r>
          </w:p>
        </w:tc>
      </w:tr>
      <w:tr>
        <w:tblPrEx>
          <w:tblLayout w:type="fixed"/>
          <w:tblCellMar>
            <w:top w:w="0" w:type="dxa"/>
            <w:left w:w="108" w:type="dxa"/>
            <w:bottom w:w="0" w:type="dxa"/>
            <w:right w:w="108" w:type="dxa"/>
          </w:tblCellMar>
        </w:tblPrEx>
        <w:trPr>
          <w:trHeight w:val="375" w:hRule="atLeast"/>
        </w:trPr>
        <w:tc>
          <w:tcPr>
            <w:tcW w:w="590" w:type="dxa"/>
            <w:tcBorders>
              <w:top w:val="nil"/>
              <w:left w:val="nil"/>
              <w:bottom w:val="nil"/>
              <w:right w:val="nil"/>
            </w:tcBorders>
            <w:shd w:val="clear" w:color="auto" w:fill="auto"/>
            <w:noWrap/>
            <w:vAlign w:val="bottom"/>
          </w:tcPr>
          <w:p>
            <w:pPr>
              <w:widowControl/>
              <w:spacing w:line="400" w:lineRule="exact"/>
              <w:jc w:val="center"/>
              <w:rPr>
                <w:i/>
                <w:iCs/>
                <w:color w:val="000000"/>
                <w:kern w:val="0"/>
                <w:sz w:val="24"/>
                <w:szCs w:val="24"/>
              </w:rPr>
            </w:pPr>
            <w:r>
              <w:rPr>
                <w:i/>
                <w:iCs/>
                <w:color w:val="000000"/>
                <w:kern w:val="0"/>
                <w:sz w:val="24"/>
                <w:szCs w:val="24"/>
              </w:rPr>
              <w:t>P</w:t>
            </w:r>
            <w:r>
              <w:rPr>
                <w:color w:val="000000"/>
                <w:kern w:val="0"/>
                <w:sz w:val="24"/>
                <w:szCs w:val="24"/>
                <w:vertAlign w:val="subscript"/>
              </w:rPr>
              <w:t>t</w:t>
            </w:r>
          </w:p>
        </w:tc>
        <w:tc>
          <w:tcPr>
            <w:tcW w:w="696"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color w:val="000000"/>
                <w:kern w:val="0"/>
                <w:sz w:val="24"/>
                <w:szCs w:val="24"/>
              </w:rPr>
              <w:t>——</w:t>
            </w:r>
          </w:p>
        </w:tc>
        <w:tc>
          <w:tcPr>
            <w:tcW w:w="8160"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rFonts w:hint="eastAsia" w:ascii="宋体" w:hAnsi="宋体"/>
                <w:color w:val="000000"/>
                <w:kern w:val="0"/>
                <w:sz w:val="24"/>
                <w:szCs w:val="24"/>
              </w:rPr>
              <w:t>六个混凝土试件中不少于</w:t>
            </w:r>
            <w:r>
              <w:rPr>
                <w:color w:val="000000"/>
                <w:kern w:val="0"/>
                <w:sz w:val="24"/>
                <w:szCs w:val="24"/>
              </w:rPr>
              <w:t>4</w:t>
            </w:r>
            <w:r>
              <w:rPr>
                <w:rFonts w:hint="eastAsia" w:ascii="宋体" w:hAnsi="宋体"/>
                <w:color w:val="000000"/>
                <w:kern w:val="0"/>
                <w:sz w:val="24"/>
                <w:szCs w:val="24"/>
              </w:rPr>
              <w:t>个未出现渗水时的最大水压值（</w:t>
            </w:r>
            <w:r>
              <w:rPr>
                <w:color w:val="000000"/>
                <w:kern w:val="0"/>
                <w:sz w:val="24"/>
                <w:szCs w:val="24"/>
              </w:rPr>
              <w:t>MPa</w:t>
            </w:r>
            <w:r>
              <w:rPr>
                <w:rFonts w:hint="eastAsia" w:ascii="宋体" w:hAnsi="宋体"/>
                <w:color w:val="000000"/>
                <w:kern w:val="0"/>
                <w:sz w:val="24"/>
                <w:szCs w:val="24"/>
              </w:rPr>
              <w:t>）；</w:t>
            </w:r>
          </w:p>
        </w:tc>
      </w:tr>
      <w:tr>
        <w:tblPrEx>
          <w:tblLayout w:type="fixed"/>
          <w:tblCellMar>
            <w:top w:w="0" w:type="dxa"/>
            <w:left w:w="108" w:type="dxa"/>
            <w:bottom w:w="0" w:type="dxa"/>
            <w:right w:w="108" w:type="dxa"/>
          </w:tblCellMar>
        </w:tblPrEx>
        <w:trPr>
          <w:trHeight w:val="375" w:hRule="atLeast"/>
        </w:trPr>
        <w:tc>
          <w:tcPr>
            <w:tcW w:w="590" w:type="dxa"/>
            <w:tcBorders>
              <w:top w:val="nil"/>
              <w:left w:val="nil"/>
              <w:bottom w:val="nil"/>
              <w:right w:val="nil"/>
            </w:tcBorders>
            <w:shd w:val="clear" w:color="auto" w:fill="auto"/>
            <w:noWrap/>
            <w:vAlign w:val="center"/>
          </w:tcPr>
          <w:p>
            <w:pPr>
              <w:widowControl/>
              <w:spacing w:line="400" w:lineRule="exact"/>
              <w:jc w:val="center"/>
              <w:rPr>
                <w:i/>
                <w:iCs/>
                <w:color w:val="000000"/>
                <w:kern w:val="0"/>
                <w:sz w:val="24"/>
                <w:szCs w:val="24"/>
              </w:rPr>
            </w:pPr>
            <w:r>
              <w:rPr>
                <w:i/>
                <w:iCs/>
                <w:color w:val="000000"/>
                <w:kern w:val="0"/>
                <w:sz w:val="24"/>
                <w:szCs w:val="24"/>
                <w:lang w:val="fr-FR"/>
              </w:rPr>
              <w:t>S</w:t>
            </w:r>
            <w:r>
              <w:rPr>
                <w:color w:val="000000"/>
                <w:kern w:val="0"/>
                <w:sz w:val="24"/>
                <w:szCs w:val="24"/>
                <w:vertAlign w:val="subscript"/>
                <w:lang w:val="fr-FR"/>
              </w:rPr>
              <w:t>p</w:t>
            </w:r>
          </w:p>
        </w:tc>
        <w:tc>
          <w:tcPr>
            <w:tcW w:w="696"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color w:val="000000"/>
                <w:kern w:val="0"/>
                <w:sz w:val="24"/>
                <w:szCs w:val="24"/>
              </w:rPr>
              <w:t>——</w:t>
            </w:r>
          </w:p>
        </w:tc>
        <w:tc>
          <w:tcPr>
            <w:tcW w:w="8160" w:type="dxa"/>
            <w:tcBorders>
              <w:top w:val="nil"/>
              <w:left w:val="nil"/>
              <w:bottom w:val="nil"/>
              <w:right w:val="nil"/>
            </w:tcBorders>
            <w:shd w:val="clear" w:color="auto" w:fill="auto"/>
            <w:noWrap/>
            <w:vAlign w:val="center"/>
          </w:tcPr>
          <w:p>
            <w:pPr>
              <w:widowControl/>
              <w:spacing w:line="400" w:lineRule="exact"/>
              <w:rPr>
                <w:color w:val="000000"/>
                <w:kern w:val="0"/>
                <w:sz w:val="24"/>
                <w:szCs w:val="24"/>
              </w:rPr>
            </w:pPr>
            <w:r>
              <w:rPr>
                <w:rFonts w:hint="eastAsia" w:ascii="宋体" w:hAnsi="宋体"/>
                <w:color w:val="000000"/>
                <w:kern w:val="0"/>
                <w:sz w:val="24"/>
                <w:szCs w:val="24"/>
              </w:rPr>
              <w:t>体积砂率</w:t>
            </w:r>
            <w:r>
              <w:rPr>
                <w:color w:val="000000"/>
                <w:kern w:val="0"/>
                <w:sz w:val="24"/>
                <w:szCs w:val="24"/>
              </w:rPr>
              <w:t>(</w:t>
            </w:r>
            <w:r>
              <w:rPr>
                <w:rFonts w:hint="eastAsia" w:ascii="宋体" w:hAnsi="宋体"/>
                <w:color w:val="000000"/>
                <w:kern w:val="0"/>
                <w:sz w:val="24"/>
                <w:szCs w:val="24"/>
              </w:rPr>
              <w:t>％</w:t>
            </w:r>
            <w:r>
              <w:rPr>
                <w:color w:val="000000"/>
                <w:kern w:val="0"/>
                <w:sz w:val="24"/>
                <w:szCs w:val="24"/>
              </w:rPr>
              <w:t>)</w:t>
            </w:r>
            <w:r>
              <w:rPr>
                <w:rFonts w:hint="eastAsia" w:ascii="宋体" w:hAnsi="宋体"/>
                <w:color w:val="000000"/>
                <w:kern w:val="0"/>
                <w:sz w:val="24"/>
                <w:szCs w:val="24"/>
              </w:rPr>
              <w:t>；</w:t>
            </w:r>
          </w:p>
        </w:tc>
      </w:tr>
      <w:tr>
        <w:tblPrEx>
          <w:tblLayout w:type="fixed"/>
          <w:tblCellMar>
            <w:top w:w="0" w:type="dxa"/>
            <w:left w:w="108" w:type="dxa"/>
            <w:bottom w:w="0" w:type="dxa"/>
            <w:right w:w="108" w:type="dxa"/>
          </w:tblCellMar>
        </w:tblPrEx>
        <w:trPr>
          <w:trHeight w:val="375" w:hRule="atLeast"/>
        </w:trPr>
        <w:tc>
          <w:tcPr>
            <w:tcW w:w="590" w:type="dxa"/>
            <w:tcBorders>
              <w:top w:val="nil"/>
              <w:left w:val="nil"/>
              <w:bottom w:val="nil"/>
              <w:right w:val="nil"/>
            </w:tcBorders>
            <w:shd w:val="clear" w:color="auto" w:fill="auto"/>
            <w:noWrap/>
            <w:vAlign w:val="center"/>
          </w:tcPr>
          <w:p>
            <w:pPr>
              <w:widowControl/>
              <w:spacing w:line="400" w:lineRule="exact"/>
              <w:jc w:val="center"/>
              <w:rPr>
                <w:i/>
                <w:iCs/>
                <w:color w:val="000000"/>
                <w:kern w:val="0"/>
                <w:sz w:val="24"/>
                <w:szCs w:val="24"/>
              </w:rPr>
            </w:pPr>
            <w:r>
              <w:rPr>
                <w:i/>
                <w:iCs/>
                <w:color w:val="000000"/>
                <w:kern w:val="0"/>
                <w:sz w:val="24"/>
                <w:szCs w:val="24"/>
                <w:lang w:val="fr-FR"/>
              </w:rPr>
              <w:t>V</w:t>
            </w:r>
            <w:r>
              <w:rPr>
                <w:color w:val="000000"/>
                <w:kern w:val="0"/>
                <w:sz w:val="24"/>
                <w:szCs w:val="24"/>
                <w:vertAlign w:val="subscript"/>
                <w:lang w:val="fr-FR"/>
              </w:rPr>
              <w:t>a</w:t>
            </w:r>
          </w:p>
        </w:tc>
        <w:tc>
          <w:tcPr>
            <w:tcW w:w="696"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color w:val="000000"/>
                <w:kern w:val="0"/>
                <w:sz w:val="24"/>
                <w:szCs w:val="24"/>
              </w:rPr>
              <w:t>——</w:t>
            </w:r>
          </w:p>
        </w:tc>
        <w:tc>
          <w:tcPr>
            <w:tcW w:w="8160" w:type="dxa"/>
            <w:tcBorders>
              <w:top w:val="nil"/>
              <w:left w:val="nil"/>
              <w:bottom w:val="nil"/>
              <w:right w:val="nil"/>
            </w:tcBorders>
            <w:shd w:val="clear" w:color="auto" w:fill="auto"/>
            <w:noWrap/>
            <w:vAlign w:val="center"/>
          </w:tcPr>
          <w:p>
            <w:pPr>
              <w:widowControl/>
              <w:spacing w:line="400" w:lineRule="exact"/>
              <w:rPr>
                <w:color w:val="000000"/>
                <w:kern w:val="0"/>
                <w:sz w:val="24"/>
                <w:szCs w:val="24"/>
              </w:rPr>
            </w:pPr>
            <w:r>
              <w:rPr>
                <w:rFonts w:hint="eastAsia" w:ascii="宋体" w:hAnsi="宋体"/>
                <w:color w:val="000000"/>
                <w:kern w:val="0"/>
                <w:sz w:val="24"/>
                <w:szCs w:val="24"/>
              </w:rPr>
              <w:t>每立方米混凝土的珊瑚粗骨料体积</w:t>
            </w:r>
            <w:r>
              <w:rPr>
                <w:color w:val="000000"/>
                <w:kern w:val="0"/>
                <w:sz w:val="24"/>
                <w:szCs w:val="24"/>
              </w:rPr>
              <w:t>(m</w:t>
            </w:r>
            <w:r>
              <w:rPr>
                <w:color w:val="000000"/>
                <w:kern w:val="0"/>
                <w:sz w:val="24"/>
                <w:szCs w:val="24"/>
                <w:vertAlign w:val="superscript"/>
              </w:rPr>
              <w:t>3</w:t>
            </w:r>
            <w:r>
              <w:rPr>
                <w:color w:val="000000"/>
                <w:kern w:val="0"/>
                <w:sz w:val="24"/>
                <w:szCs w:val="24"/>
              </w:rPr>
              <w:t>)</w:t>
            </w:r>
            <w:r>
              <w:rPr>
                <w:rFonts w:hint="eastAsia" w:ascii="宋体" w:hAnsi="宋体"/>
                <w:color w:val="000000"/>
                <w:kern w:val="0"/>
                <w:sz w:val="24"/>
                <w:szCs w:val="24"/>
              </w:rPr>
              <w:t>；</w:t>
            </w:r>
          </w:p>
        </w:tc>
      </w:tr>
      <w:tr>
        <w:tblPrEx>
          <w:tblLayout w:type="fixed"/>
          <w:tblCellMar>
            <w:top w:w="0" w:type="dxa"/>
            <w:left w:w="108" w:type="dxa"/>
            <w:bottom w:w="0" w:type="dxa"/>
            <w:right w:w="108" w:type="dxa"/>
          </w:tblCellMar>
        </w:tblPrEx>
        <w:trPr>
          <w:trHeight w:val="375" w:hRule="atLeast"/>
        </w:trPr>
        <w:tc>
          <w:tcPr>
            <w:tcW w:w="590" w:type="dxa"/>
            <w:tcBorders>
              <w:top w:val="nil"/>
              <w:left w:val="nil"/>
              <w:bottom w:val="nil"/>
              <w:right w:val="nil"/>
            </w:tcBorders>
            <w:shd w:val="clear" w:color="auto" w:fill="auto"/>
            <w:noWrap/>
            <w:vAlign w:val="bottom"/>
          </w:tcPr>
          <w:p>
            <w:pPr>
              <w:widowControl/>
              <w:spacing w:line="400" w:lineRule="exact"/>
              <w:jc w:val="center"/>
              <w:rPr>
                <w:i/>
                <w:iCs/>
                <w:color w:val="000000"/>
                <w:kern w:val="0"/>
                <w:sz w:val="24"/>
                <w:szCs w:val="24"/>
              </w:rPr>
            </w:pPr>
            <w:r>
              <w:rPr>
                <w:i/>
                <w:iCs/>
                <w:color w:val="000000"/>
                <w:kern w:val="0"/>
                <w:sz w:val="24"/>
                <w:szCs w:val="24"/>
                <w:lang w:val="fr-FR"/>
              </w:rPr>
              <w:t>V</w:t>
            </w:r>
            <w:r>
              <w:rPr>
                <w:color w:val="000000"/>
                <w:kern w:val="0"/>
                <w:sz w:val="24"/>
                <w:szCs w:val="24"/>
                <w:vertAlign w:val="subscript"/>
                <w:lang w:val="fr-FR"/>
              </w:rPr>
              <w:t>s</w:t>
            </w:r>
          </w:p>
        </w:tc>
        <w:tc>
          <w:tcPr>
            <w:tcW w:w="696"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color w:val="000000"/>
                <w:kern w:val="0"/>
                <w:sz w:val="24"/>
                <w:szCs w:val="24"/>
              </w:rPr>
              <w:t>——</w:t>
            </w:r>
          </w:p>
        </w:tc>
        <w:tc>
          <w:tcPr>
            <w:tcW w:w="8160" w:type="dxa"/>
            <w:tcBorders>
              <w:top w:val="nil"/>
              <w:left w:val="nil"/>
              <w:bottom w:val="nil"/>
              <w:right w:val="nil"/>
            </w:tcBorders>
            <w:shd w:val="clear" w:color="auto" w:fill="auto"/>
            <w:noWrap/>
            <w:vAlign w:val="center"/>
          </w:tcPr>
          <w:p>
            <w:pPr>
              <w:widowControl/>
              <w:spacing w:line="400" w:lineRule="exact"/>
              <w:rPr>
                <w:color w:val="000000"/>
                <w:kern w:val="0"/>
                <w:sz w:val="24"/>
                <w:szCs w:val="24"/>
              </w:rPr>
            </w:pPr>
            <w:r>
              <w:rPr>
                <w:rFonts w:hint="eastAsia" w:ascii="宋体" w:hAnsi="宋体"/>
                <w:color w:val="000000"/>
                <w:kern w:val="0"/>
                <w:sz w:val="24"/>
                <w:szCs w:val="24"/>
              </w:rPr>
              <w:t>每立方米珊瑚骨料混凝土的细骨料体积</w:t>
            </w:r>
            <w:r>
              <w:rPr>
                <w:color w:val="000000"/>
                <w:kern w:val="0"/>
                <w:sz w:val="24"/>
                <w:szCs w:val="24"/>
              </w:rPr>
              <w:t>(m</w:t>
            </w:r>
            <w:r>
              <w:rPr>
                <w:color w:val="000000"/>
                <w:kern w:val="0"/>
                <w:sz w:val="24"/>
                <w:szCs w:val="24"/>
                <w:vertAlign w:val="superscript"/>
              </w:rPr>
              <w:t>3</w:t>
            </w:r>
            <w:r>
              <w:rPr>
                <w:color w:val="000000"/>
                <w:kern w:val="0"/>
                <w:sz w:val="24"/>
                <w:szCs w:val="24"/>
              </w:rPr>
              <w:t>)</w:t>
            </w:r>
            <w:r>
              <w:rPr>
                <w:rFonts w:hint="eastAsia" w:ascii="宋体" w:hAnsi="宋体"/>
                <w:color w:val="000000"/>
                <w:kern w:val="0"/>
                <w:sz w:val="24"/>
                <w:szCs w:val="24"/>
              </w:rPr>
              <w:t>；</w:t>
            </w:r>
          </w:p>
        </w:tc>
      </w:tr>
      <w:tr>
        <w:tblPrEx>
          <w:tblLayout w:type="fixed"/>
          <w:tblCellMar>
            <w:top w:w="0" w:type="dxa"/>
            <w:left w:w="108" w:type="dxa"/>
            <w:bottom w:w="0" w:type="dxa"/>
            <w:right w:w="108" w:type="dxa"/>
          </w:tblCellMar>
        </w:tblPrEx>
        <w:trPr>
          <w:trHeight w:val="330" w:hRule="atLeast"/>
        </w:trPr>
        <w:tc>
          <w:tcPr>
            <w:tcW w:w="590" w:type="dxa"/>
            <w:tcBorders>
              <w:top w:val="nil"/>
              <w:left w:val="nil"/>
              <w:bottom w:val="nil"/>
              <w:right w:val="nil"/>
            </w:tcBorders>
            <w:shd w:val="clear" w:color="auto" w:fill="auto"/>
            <w:noWrap/>
            <w:vAlign w:val="bottom"/>
          </w:tcPr>
          <w:p>
            <w:pPr>
              <w:widowControl/>
              <w:spacing w:line="400" w:lineRule="exact"/>
              <w:jc w:val="center"/>
              <w:rPr>
                <w:i/>
                <w:iCs/>
                <w:color w:val="000000"/>
                <w:kern w:val="0"/>
                <w:sz w:val="24"/>
                <w:szCs w:val="24"/>
              </w:rPr>
            </w:pPr>
            <w:r>
              <w:rPr>
                <w:i/>
                <w:iCs/>
                <w:color w:val="000000"/>
                <w:kern w:val="0"/>
                <w:sz w:val="24"/>
                <w:szCs w:val="24"/>
              </w:rPr>
              <w:t>β</w:t>
            </w:r>
            <w:r>
              <w:rPr>
                <w:color w:val="000000"/>
                <w:kern w:val="0"/>
                <w:sz w:val="24"/>
                <w:szCs w:val="24"/>
                <w:vertAlign w:val="subscript"/>
              </w:rPr>
              <w:t>f</w:t>
            </w:r>
          </w:p>
        </w:tc>
        <w:tc>
          <w:tcPr>
            <w:tcW w:w="696"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color w:val="000000"/>
                <w:kern w:val="0"/>
                <w:sz w:val="24"/>
                <w:szCs w:val="24"/>
              </w:rPr>
              <w:t>——</w:t>
            </w:r>
          </w:p>
        </w:tc>
        <w:tc>
          <w:tcPr>
            <w:tcW w:w="8160"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rFonts w:hint="eastAsia" w:ascii="宋体" w:hAnsi="宋体"/>
                <w:color w:val="000000"/>
                <w:kern w:val="0"/>
                <w:sz w:val="24"/>
                <w:szCs w:val="24"/>
              </w:rPr>
              <w:t>矿物掺合料掺量（</w:t>
            </w:r>
            <w:r>
              <w:rPr>
                <w:color w:val="000000"/>
                <w:kern w:val="0"/>
                <w:sz w:val="24"/>
                <w:szCs w:val="24"/>
              </w:rPr>
              <w:t>%</w:t>
            </w:r>
            <w:r>
              <w:rPr>
                <w:rFonts w:hint="eastAsia" w:ascii="宋体" w:hAnsi="宋体"/>
                <w:color w:val="000000"/>
                <w:kern w:val="0"/>
                <w:sz w:val="24"/>
                <w:szCs w:val="24"/>
              </w:rPr>
              <w:t>）；</w:t>
            </w:r>
          </w:p>
        </w:tc>
      </w:tr>
      <w:tr>
        <w:tblPrEx>
          <w:tblLayout w:type="fixed"/>
          <w:tblCellMar>
            <w:top w:w="0" w:type="dxa"/>
            <w:left w:w="108" w:type="dxa"/>
            <w:bottom w:w="0" w:type="dxa"/>
            <w:right w:w="108" w:type="dxa"/>
          </w:tblCellMar>
        </w:tblPrEx>
        <w:trPr>
          <w:trHeight w:val="315" w:hRule="atLeast"/>
        </w:trPr>
        <w:tc>
          <w:tcPr>
            <w:tcW w:w="590" w:type="dxa"/>
            <w:tcBorders>
              <w:top w:val="nil"/>
              <w:left w:val="nil"/>
              <w:bottom w:val="nil"/>
              <w:right w:val="nil"/>
            </w:tcBorders>
            <w:shd w:val="clear" w:color="auto" w:fill="auto"/>
            <w:noWrap/>
            <w:vAlign w:val="bottom"/>
          </w:tcPr>
          <w:p>
            <w:pPr>
              <w:widowControl/>
              <w:spacing w:line="400" w:lineRule="exact"/>
              <w:jc w:val="center"/>
              <w:rPr>
                <w:color w:val="000000"/>
                <w:kern w:val="0"/>
                <w:sz w:val="24"/>
                <w:szCs w:val="24"/>
              </w:rPr>
            </w:pPr>
            <w:r>
              <w:rPr>
                <w:color w:val="000000"/>
                <w:kern w:val="0"/>
                <w:sz w:val="24"/>
                <w:szCs w:val="24"/>
              </w:rPr>
              <w:t>η</w:t>
            </w:r>
          </w:p>
        </w:tc>
        <w:tc>
          <w:tcPr>
            <w:tcW w:w="696"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color w:val="000000"/>
                <w:kern w:val="0"/>
                <w:sz w:val="24"/>
                <w:szCs w:val="24"/>
              </w:rPr>
              <w:t>——</w:t>
            </w:r>
          </w:p>
        </w:tc>
        <w:tc>
          <w:tcPr>
            <w:tcW w:w="8160"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rFonts w:hint="eastAsia" w:ascii="宋体" w:hAnsi="宋体"/>
                <w:color w:val="000000"/>
                <w:kern w:val="0"/>
                <w:sz w:val="24"/>
                <w:szCs w:val="24"/>
              </w:rPr>
              <w:t>方量校正系数</w:t>
            </w:r>
            <w:r>
              <w:rPr>
                <w:color w:val="000000"/>
                <w:kern w:val="0"/>
                <w:sz w:val="24"/>
                <w:szCs w:val="24"/>
              </w:rPr>
              <w:t>;</w:t>
            </w:r>
          </w:p>
        </w:tc>
      </w:tr>
      <w:tr>
        <w:tblPrEx>
          <w:tblLayout w:type="fixed"/>
          <w:tblCellMar>
            <w:top w:w="0" w:type="dxa"/>
            <w:left w:w="108" w:type="dxa"/>
            <w:bottom w:w="0" w:type="dxa"/>
            <w:right w:w="108" w:type="dxa"/>
          </w:tblCellMar>
        </w:tblPrEx>
        <w:trPr>
          <w:trHeight w:val="405" w:hRule="atLeast"/>
        </w:trPr>
        <w:tc>
          <w:tcPr>
            <w:tcW w:w="590" w:type="dxa"/>
            <w:tcBorders>
              <w:top w:val="nil"/>
              <w:left w:val="nil"/>
              <w:bottom w:val="nil"/>
              <w:right w:val="nil"/>
            </w:tcBorders>
            <w:shd w:val="clear" w:color="auto" w:fill="auto"/>
            <w:noWrap/>
            <w:vAlign w:val="bottom"/>
          </w:tcPr>
          <w:p>
            <w:pPr>
              <w:widowControl/>
              <w:spacing w:line="400" w:lineRule="exact"/>
              <w:jc w:val="left"/>
              <w:rPr>
                <w:i/>
                <w:iCs/>
                <w:color w:val="000000"/>
                <w:kern w:val="0"/>
                <w:sz w:val="24"/>
                <w:szCs w:val="24"/>
              </w:rPr>
            </w:pPr>
            <w:r>
              <w:rPr>
                <w:i/>
                <w:iCs/>
                <w:color w:val="000000"/>
                <w:kern w:val="0"/>
                <w:sz w:val="24"/>
                <w:szCs w:val="24"/>
              </w:rPr>
              <w:t>ρ</w:t>
            </w:r>
            <w:r>
              <w:rPr>
                <w:color w:val="000000"/>
                <w:kern w:val="0"/>
                <w:sz w:val="24"/>
                <w:szCs w:val="24"/>
                <w:vertAlign w:val="subscript"/>
              </w:rPr>
              <w:t>ap</w:t>
            </w:r>
          </w:p>
        </w:tc>
        <w:tc>
          <w:tcPr>
            <w:tcW w:w="696"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color w:val="000000"/>
                <w:kern w:val="0"/>
                <w:sz w:val="24"/>
                <w:szCs w:val="24"/>
              </w:rPr>
              <w:t>——</w:t>
            </w:r>
          </w:p>
        </w:tc>
        <w:tc>
          <w:tcPr>
            <w:tcW w:w="8160"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rFonts w:hint="eastAsia" w:ascii="宋体" w:hAnsi="宋体"/>
                <w:color w:val="000000"/>
                <w:kern w:val="0"/>
                <w:sz w:val="24"/>
                <w:szCs w:val="24"/>
              </w:rPr>
              <w:t>珊瑚粗骨料的颗粒表观密度</w:t>
            </w:r>
            <w:r>
              <w:rPr>
                <w:color w:val="000000"/>
                <w:kern w:val="0"/>
                <w:sz w:val="24"/>
                <w:szCs w:val="24"/>
              </w:rPr>
              <w:t>( kg/m</w:t>
            </w:r>
            <w:r>
              <w:rPr>
                <w:color w:val="000000"/>
                <w:kern w:val="0"/>
                <w:sz w:val="24"/>
                <w:szCs w:val="24"/>
                <w:vertAlign w:val="superscript"/>
              </w:rPr>
              <w:t>3</w:t>
            </w:r>
            <w:r>
              <w:rPr>
                <w:color w:val="000000"/>
                <w:kern w:val="0"/>
                <w:sz w:val="24"/>
                <w:szCs w:val="24"/>
              </w:rPr>
              <w:t>)</w:t>
            </w:r>
            <w:r>
              <w:rPr>
                <w:rFonts w:hint="eastAsia" w:ascii="宋体" w:hAnsi="宋体"/>
                <w:color w:val="000000"/>
                <w:kern w:val="0"/>
                <w:sz w:val="24"/>
                <w:szCs w:val="24"/>
              </w:rPr>
              <w:t xml:space="preserve"> ；</w:t>
            </w:r>
          </w:p>
        </w:tc>
      </w:tr>
      <w:tr>
        <w:tblPrEx>
          <w:tblLayout w:type="fixed"/>
          <w:tblCellMar>
            <w:top w:w="0" w:type="dxa"/>
            <w:left w:w="108" w:type="dxa"/>
            <w:bottom w:w="0" w:type="dxa"/>
            <w:right w:w="108" w:type="dxa"/>
          </w:tblCellMar>
        </w:tblPrEx>
        <w:trPr>
          <w:trHeight w:val="405" w:hRule="atLeast"/>
        </w:trPr>
        <w:tc>
          <w:tcPr>
            <w:tcW w:w="590" w:type="dxa"/>
            <w:tcBorders>
              <w:top w:val="nil"/>
              <w:left w:val="nil"/>
              <w:bottom w:val="nil"/>
              <w:right w:val="nil"/>
            </w:tcBorders>
            <w:shd w:val="clear" w:color="auto" w:fill="auto"/>
            <w:noWrap/>
            <w:vAlign w:val="bottom"/>
          </w:tcPr>
          <w:p>
            <w:pPr>
              <w:widowControl/>
              <w:spacing w:line="400" w:lineRule="exact"/>
              <w:jc w:val="left"/>
              <w:rPr>
                <w:i/>
                <w:iCs/>
                <w:color w:val="000000"/>
                <w:kern w:val="0"/>
                <w:sz w:val="24"/>
                <w:szCs w:val="24"/>
              </w:rPr>
            </w:pPr>
            <w:r>
              <w:rPr>
                <w:i/>
                <w:iCs/>
                <w:color w:val="000000"/>
                <w:kern w:val="0"/>
                <w:sz w:val="24"/>
                <w:szCs w:val="24"/>
              </w:rPr>
              <w:t>ρ</w:t>
            </w:r>
            <w:r>
              <w:rPr>
                <w:color w:val="000000"/>
                <w:kern w:val="0"/>
                <w:sz w:val="24"/>
                <w:szCs w:val="24"/>
                <w:vertAlign w:val="subscript"/>
              </w:rPr>
              <w:t>c</w:t>
            </w:r>
          </w:p>
        </w:tc>
        <w:tc>
          <w:tcPr>
            <w:tcW w:w="696"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color w:val="000000"/>
                <w:kern w:val="0"/>
                <w:sz w:val="24"/>
                <w:szCs w:val="24"/>
              </w:rPr>
              <w:t>——</w:t>
            </w:r>
          </w:p>
        </w:tc>
        <w:tc>
          <w:tcPr>
            <w:tcW w:w="8160"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rFonts w:hint="eastAsia" w:ascii="宋体" w:hAnsi="宋体"/>
                <w:color w:val="000000"/>
                <w:kern w:val="0"/>
                <w:sz w:val="24"/>
                <w:szCs w:val="24"/>
              </w:rPr>
              <w:t>水泥的表观密度</w:t>
            </w:r>
            <w:r>
              <w:rPr>
                <w:color w:val="000000"/>
                <w:kern w:val="0"/>
                <w:sz w:val="24"/>
                <w:szCs w:val="24"/>
              </w:rPr>
              <w:t>(g/cm</w:t>
            </w:r>
            <w:r>
              <w:rPr>
                <w:color w:val="000000"/>
                <w:kern w:val="0"/>
                <w:sz w:val="24"/>
                <w:szCs w:val="24"/>
                <w:vertAlign w:val="superscript"/>
              </w:rPr>
              <w:t>3</w:t>
            </w:r>
            <w:r>
              <w:rPr>
                <w:color w:val="000000"/>
                <w:kern w:val="0"/>
                <w:sz w:val="24"/>
                <w:szCs w:val="24"/>
              </w:rPr>
              <w:t>)</w:t>
            </w:r>
            <w:r>
              <w:rPr>
                <w:rFonts w:hint="eastAsia" w:ascii="宋体" w:hAnsi="宋体"/>
                <w:color w:val="000000"/>
                <w:kern w:val="0"/>
                <w:sz w:val="24"/>
                <w:szCs w:val="24"/>
              </w:rPr>
              <w:t xml:space="preserve"> ；</w:t>
            </w:r>
          </w:p>
        </w:tc>
      </w:tr>
      <w:tr>
        <w:tblPrEx>
          <w:tblLayout w:type="fixed"/>
          <w:tblCellMar>
            <w:top w:w="0" w:type="dxa"/>
            <w:left w:w="108" w:type="dxa"/>
            <w:bottom w:w="0" w:type="dxa"/>
            <w:right w:w="108" w:type="dxa"/>
          </w:tblCellMar>
        </w:tblPrEx>
        <w:trPr>
          <w:trHeight w:val="405" w:hRule="atLeast"/>
        </w:trPr>
        <w:tc>
          <w:tcPr>
            <w:tcW w:w="590"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i/>
                <w:iCs/>
                <w:color w:val="000000"/>
                <w:kern w:val="0"/>
                <w:sz w:val="24"/>
                <w:szCs w:val="24"/>
              </w:rPr>
              <w:t>ρ</w:t>
            </w:r>
            <w:r>
              <w:rPr>
                <w:color w:val="000000"/>
                <w:kern w:val="0"/>
                <w:sz w:val="24"/>
                <w:szCs w:val="24"/>
                <w:vertAlign w:val="subscript"/>
              </w:rPr>
              <w:t>cc</w:t>
            </w:r>
          </w:p>
        </w:tc>
        <w:tc>
          <w:tcPr>
            <w:tcW w:w="696"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color w:val="000000"/>
                <w:kern w:val="0"/>
                <w:sz w:val="24"/>
                <w:szCs w:val="24"/>
              </w:rPr>
              <w:t>——</w:t>
            </w:r>
          </w:p>
        </w:tc>
        <w:tc>
          <w:tcPr>
            <w:tcW w:w="8160"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rFonts w:hint="eastAsia" w:ascii="宋体" w:hAnsi="宋体"/>
                <w:color w:val="000000"/>
                <w:kern w:val="0"/>
                <w:sz w:val="24"/>
                <w:szCs w:val="24"/>
              </w:rPr>
              <w:t>按选定配合比各组成材料计算的拌合物表观密度</w:t>
            </w:r>
            <w:r>
              <w:rPr>
                <w:color w:val="000000"/>
                <w:kern w:val="0"/>
                <w:sz w:val="24"/>
                <w:szCs w:val="24"/>
              </w:rPr>
              <w:t>(kg/m</w:t>
            </w:r>
            <w:r>
              <w:rPr>
                <w:color w:val="000000"/>
                <w:kern w:val="0"/>
                <w:sz w:val="24"/>
                <w:szCs w:val="24"/>
                <w:vertAlign w:val="superscript"/>
              </w:rPr>
              <w:t>3</w:t>
            </w:r>
            <w:r>
              <w:rPr>
                <w:color w:val="000000"/>
                <w:kern w:val="0"/>
                <w:sz w:val="24"/>
                <w:szCs w:val="24"/>
              </w:rPr>
              <w:t>)</w:t>
            </w:r>
            <w:r>
              <w:rPr>
                <w:rFonts w:hint="eastAsia" w:ascii="宋体" w:hAnsi="宋体"/>
                <w:color w:val="000000"/>
                <w:kern w:val="0"/>
                <w:sz w:val="24"/>
                <w:szCs w:val="24"/>
              </w:rPr>
              <w:t xml:space="preserve"> ；</w:t>
            </w:r>
          </w:p>
        </w:tc>
      </w:tr>
      <w:tr>
        <w:tblPrEx>
          <w:tblLayout w:type="fixed"/>
          <w:tblCellMar>
            <w:top w:w="0" w:type="dxa"/>
            <w:left w:w="108" w:type="dxa"/>
            <w:bottom w:w="0" w:type="dxa"/>
            <w:right w:w="108" w:type="dxa"/>
          </w:tblCellMar>
        </w:tblPrEx>
        <w:trPr>
          <w:trHeight w:val="405" w:hRule="atLeast"/>
        </w:trPr>
        <w:tc>
          <w:tcPr>
            <w:tcW w:w="590"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i/>
                <w:iCs/>
                <w:color w:val="000000"/>
                <w:kern w:val="0"/>
                <w:sz w:val="24"/>
                <w:szCs w:val="24"/>
              </w:rPr>
              <w:t>ρ</w:t>
            </w:r>
            <w:r>
              <w:rPr>
                <w:color w:val="000000"/>
                <w:kern w:val="0"/>
                <w:sz w:val="24"/>
                <w:szCs w:val="24"/>
                <w:vertAlign w:val="subscript"/>
              </w:rPr>
              <w:t>co</w:t>
            </w:r>
          </w:p>
        </w:tc>
        <w:tc>
          <w:tcPr>
            <w:tcW w:w="696"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color w:val="000000"/>
                <w:kern w:val="0"/>
                <w:sz w:val="24"/>
                <w:szCs w:val="24"/>
              </w:rPr>
              <w:t>——</w:t>
            </w:r>
          </w:p>
        </w:tc>
        <w:tc>
          <w:tcPr>
            <w:tcW w:w="8160"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rFonts w:hint="eastAsia" w:ascii="宋体" w:hAnsi="宋体"/>
                <w:color w:val="000000"/>
                <w:kern w:val="0"/>
                <w:sz w:val="24"/>
                <w:szCs w:val="24"/>
              </w:rPr>
              <w:t>按选定配合比配制混凝土实测的拌合物的表观密度</w:t>
            </w:r>
            <w:r>
              <w:rPr>
                <w:color w:val="000000"/>
                <w:kern w:val="0"/>
                <w:sz w:val="24"/>
                <w:szCs w:val="24"/>
              </w:rPr>
              <w:t>(kg/m</w:t>
            </w:r>
            <w:r>
              <w:rPr>
                <w:color w:val="000000"/>
                <w:kern w:val="0"/>
                <w:sz w:val="24"/>
                <w:szCs w:val="24"/>
                <w:vertAlign w:val="superscript"/>
              </w:rPr>
              <w:t>3</w:t>
            </w:r>
            <w:r>
              <w:rPr>
                <w:color w:val="000000"/>
                <w:kern w:val="0"/>
                <w:sz w:val="24"/>
                <w:szCs w:val="24"/>
              </w:rPr>
              <w:t>)</w:t>
            </w:r>
            <w:r>
              <w:rPr>
                <w:rFonts w:hint="eastAsia"/>
                <w:color w:val="000000"/>
                <w:kern w:val="0"/>
                <w:sz w:val="24"/>
                <w:szCs w:val="24"/>
              </w:rPr>
              <w:t>；</w:t>
            </w:r>
          </w:p>
        </w:tc>
      </w:tr>
      <w:tr>
        <w:tblPrEx>
          <w:tblLayout w:type="fixed"/>
          <w:tblCellMar>
            <w:top w:w="0" w:type="dxa"/>
            <w:left w:w="108" w:type="dxa"/>
            <w:bottom w:w="0" w:type="dxa"/>
            <w:right w:w="108" w:type="dxa"/>
          </w:tblCellMar>
        </w:tblPrEx>
        <w:trPr>
          <w:trHeight w:val="375" w:hRule="atLeast"/>
        </w:trPr>
        <w:tc>
          <w:tcPr>
            <w:tcW w:w="590" w:type="dxa"/>
            <w:tcBorders>
              <w:top w:val="nil"/>
              <w:left w:val="nil"/>
              <w:bottom w:val="nil"/>
              <w:right w:val="nil"/>
            </w:tcBorders>
            <w:shd w:val="clear" w:color="auto" w:fill="auto"/>
            <w:noWrap/>
            <w:vAlign w:val="center"/>
          </w:tcPr>
          <w:p>
            <w:pPr>
              <w:widowControl/>
              <w:spacing w:line="400" w:lineRule="exact"/>
              <w:jc w:val="right"/>
              <w:rPr>
                <w:i/>
                <w:iCs/>
                <w:color w:val="000000"/>
                <w:kern w:val="0"/>
                <w:sz w:val="24"/>
                <w:szCs w:val="24"/>
              </w:rPr>
            </w:pPr>
            <w:r>
              <w:rPr>
                <w:i/>
                <w:iCs/>
                <w:color w:val="000000"/>
                <w:kern w:val="0"/>
                <w:sz w:val="24"/>
                <w:szCs w:val="24"/>
              </w:rPr>
              <w:t>ρ</w:t>
            </w:r>
            <w:r>
              <w:rPr>
                <w:color w:val="000000"/>
                <w:kern w:val="0"/>
                <w:sz w:val="24"/>
                <w:szCs w:val="24"/>
                <w:vertAlign w:val="subscript"/>
              </w:rPr>
              <w:t>s</w:t>
            </w:r>
          </w:p>
        </w:tc>
        <w:tc>
          <w:tcPr>
            <w:tcW w:w="696"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color w:val="000000"/>
                <w:kern w:val="0"/>
                <w:sz w:val="24"/>
                <w:szCs w:val="24"/>
              </w:rPr>
              <w:t>——</w:t>
            </w:r>
          </w:p>
        </w:tc>
        <w:tc>
          <w:tcPr>
            <w:tcW w:w="8160"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rFonts w:hint="eastAsia" w:ascii="宋体" w:hAnsi="宋体"/>
                <w:color w:val="000000"/>
                <w:kern w:val="0"/>
                <w:sz w:val="24"/>
                <w:szCs w:val="24"/>
              </w:rPr>
              <w:t>细骨料的表观密度</w:t>
            </w:r>
            <w:r>
              <w:rPr>
                <w:color w:val="000000"/>
                <w:kern w:val="0"/>
                <w:sz w:val="24"/>
                <w:szCs w:val="24"/>
              </w:rPr>
              <w:t>(g/cm</w:t>
            </w:r>
            <w:r>
              <w:rPr>
                <w:color w:val="000000"/>
                <w:kern w:val="0"/>
                <w:sz w:val="24"/>
                <w:szCs w:val="24"/>
                <w:vertAlign w:val="superscript"/>
              </w:rPr>
              <w:t>3</w:t>
            </w:r>
            <w:r>
              <w:rPr>
                <w:color w:val="000000"/>
                <w:kern w:val="0"/>
                <w:sz w:val="24"/>
                <w:szCs w:val="24"/>
              </w:rPr>
              <w:t>)</w:t>
            </w:r>
            <w:r>
              <w:rPr>
                <w:rFonts w:hint="eastAsia" w:ascii="宋体" w:hAnsi="宋体"/>
                <w:color w:val="000000"/>
                <w:kern w:val="0"/>
                <w:sz w:val="24"/>
                <w:szCs w:val="24"/>
              </w:rPr>
              <w:t xml:space="preserve"> ；</w:t>
            </w:r>
          </w:p>
        </w:tc>
      </w:tr>
      <w:tr>
        <w:tblPrEx>
          <w:tblLayout w:type="fixed"/>
          <w:tblCellMar>
            <w:top w:w="0" w:type="dxa"/>
            <w:left w:w="108" w:type="dxa"/>
            <w:bottom w:w="0" w:type="dxa"/>
            <w:right w:w="108" w:type="dxa"/>
          </w:tblCellMar>
        </w:tblPrEx>
        <w:trPr>
          <w:trHeight w:val="300" w:hRule="atLeast"/>
        </w:trPr>
        <w:tc>
          <w:tcPr>
            <w:tcW w:w="590" w:type="dxa"/>
            <w:tcBorders>
              <w:top w:val="nil"/>
              <w:left w:val="nil"/>
              <w:bottom w:val="nil"/>
              <w:right w:val="nil"/>
            </w:tcBorders>
            <w:shd w:val="clear" w:color="auto" w:fill="auto"/>
            <w:noWrap/>
            <w:vAlign w:val="bottom"/>
          </w:tcPr>
          <w:p>
            <w:pPr>
              <w:widowControl/>
              <w:spacing w:line="400" w:lineRule="exact"/>
              <w:jc w:val="center"/>
              <w:rPr>
                <w:color w:val="000000"/>
                <w:kern w:val="0"/>
                <w:sz w:val="24"/>
                <w:szCs w:val="24"/>
              </w:rPr>
            </w:pPr>
            <w:r>
              <w:rPr>
                <w:color w:val="000000"/>
                <w:kern w:val="0"/>
                <w:sz w:val="24"/>
                <w:szCs w:val="24"/>
              </w:rPr>
              <w:t>ρw</w:t>
            </w:r>
          </w:p>
        </w:tc>
        <w:tc>
          <w:tcPr>
            <w:tcW w:w="696"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color w:val="000000"/>
                <w:kern w:val="0"/>
                <w:sz w:val="24"/>
                <w:szCs w:val="24"/>
              </w:rPr>
              <w:t>——</w:t>
            </w:r>
          </w:p>
        </w:tc>
        <w:tc>
          <w:tcPr>
            <w:tcW w:w="8160"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rFonts w:hint="eastAsia" w:ascii="宋体" w:hAnsi="宋体"/>
                <w:color w:val="000000"/>
                <w:kern w:val="0"/>
                <w:sz w:val="24"/>
                <w:szCs w:val="24"/>
              </w:rPr>
              <w:t>水的表观密度</w:t>
            </w:r>
            <w:r>
              <w:rPr>
                <w:color w:val="000000"/>
                <w:kern w:val="0"/>
                <w:sz w:val="24"/>
                <w:szCs w:val="24"/>
              </w:rPr>
              <w:t>(g/cm</w:t>
            </w:r>
            <w:r>
              <w:rPr>
                <w:color w:val="000000"/>
                <w:kern w:val="0"/>
                <w:sz w:val="24"/>
                <w:szCs w:val="24"/>
                <w:vertAlign w:val="superscript"/>
              </w:rPr>
              <w:t>3</w:t>
            </w:r>
            <w:r>
              <w:rPr>
                <w:color w:val="000000"/>
                <w:kern w:val="0"/>
                <w:sz w:val="24"/>
                <w:szCs w:val="24"/>
              </w:rPr>
              <w:t>)</w:t>
            </w:r>
            <w:r>
              <w:rPr>
                <w:rFonts w:hint="eastAsia" w:ascii="宋体" w:hAnsi="宋体"/>
                <w:color w:val="000000"/>
                <w:kern w:val="0"/>
                <w:sz w:val="24"/>
                <w:szCs w:val="24"/>
              </w:rPr>
              <w:t xml:space="preserve"> ；</w:t>
            </w:r>
          </w:p>
        </w:tc>
      </w:tr>
      <w:tr>
        <w:tblPrEx>
          <w:tblLayout w:type="fixed"/>
          <w:tblCellMar>
            <w:top w:w="0" w:type="dxa"/>
            <w:left w:w="108" w:type="dxa"/>
            <w:bottom w:w="0" w:type="dxa"/>
            <w:right w:w="108" w:type="dxa"/>
          </w:tblCellMar>
        </w:tblPrEx>
        <w:trPr>
          <w:trHeight w:val="300" w:hRule="atLeast"/>
        </w:trPr>
        <w:tc>
          <w:tcPr>
            <w:tcW w:w="590" w:type="dxa"/>
            <w:tcBorders>
              <w:top w:val="nil"/>
              <w:left w:val="nil"/>
              <w:bottom w:val="nil"/>
              <w:right w:val="nil"/>
            </w:tcBorders>
            <w:shd w:val="clear" w:color="auto" w:fill="auto"/>
            <w:noWrap/>
            <w:vAlign w:val="bottom"/>
          </w:tcPr>
          <w:p>
            <w:pPr>
              <w:widowControl/>
              <w:spacing w:line="400" w:lineRule="exact"/>
              <w:jc w:val="center"/>
              <w:rPr>
                <w:color w:val="000000"/>
                <w:kern w:val="0"/>
                <w:sz w:val="24"/>
                <w:szCs w:val="24"/>
              </w:rPr>
            </w:pPr>
            <w:r>
              <w:rPr>
                <w:color w:val="000000"/>
                <w:kern w:val="0"/>
                <w:sz w:val="24"/>
                <w:szCs w:val="24"/>
              </w:rPr>
              <w:t>σ</w:t>
            </w:r>
          </w:p>
        </w:tc>
        <w:tc>
          <w:tcPr>
            <w:tcW w:w="696"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color w:val="000000"/>
                <w:kern w:val="0"/>
                <w:sz w:val="24"/>
                <w:szCs w:val="24"/>
              </w:rPr>
              <w:t>——</w:t>
            </w:r>
          </w:p>
        </w:tc>
        <w:tc>
          <w:tcPr>
            <w:tcW w:w="8160" w:type="dxa"/>
            <w:tcBorders>
              <w:top w:val="nil"/>
              <w:left w:val="nil"/>
              <w:bottom w:val="nil"/>
              <w:right w:val="nil"/>
            </w:tcBorders>
            <w:shd w:val="clear" w:color="auto" w:fill="auto"/>
            <w:noWrap/>
            <w:vAlign w:val="bottom"/>
          </w:tcPr>
          <w:p>
            <w:pPr>
              <w:widowControl/>
              <w:spacing w:line="400" w:lineRule="exact"/>
              <w:jc w:val="left"/>
              <w:rPr>
                <w:color w:val="000000"/>
                <w:kern w:val="0"/>
                <w:sz w:val="24"/>
                <w:szCs w:val="24"/>
              </w:rPr>
            </w:pPr>
            <w:r>
              <w:rPr>
                <w:rFonts w:hint="eastAsia" w:ascii="宋体" w:hAnsi="宋体"/>
                <w:color w:val="000000"/>
                <w:kern w:val="0"/>
                <w:sz w:val="24"/>
                <w:szCs w:val="24"/>
              </w:rPr>
              <w:t>珊瑚骨料混凝土的强度标准差（</w:t>
            </w:r>
            <w:r>
              <w:rPr>
                <w:color w:val="000000"/>
                <w:kern w:val="0"/>
                <w:sz w:val="24"/>
                <w:szCs w:val="24"/>
              </w:rPr>
              <w:t>MPa</w:t>
            </w:r>
            <w:r>
              <w:rPr>
                <w:rFonts w:hint="eastAsia" w:ascii="宋体" w:hAnsi="宋体"/>
                <w:color w:val="000000"/>
                <w:kern w:val="0"/>
                <w:sz w:val="24"/>
                <w:szCs w:val="24"/>
              </w:rPr>
              <w:t>）。</w:t>
            </w:r>
          </w:p>
        </w:tc>
      </w:tr>
    </w:tbl>
    <w:p>
      <w:pPr>
        <w:widowControl/>
        <w:jc w:val="left"/>
        <w:rPr>
          <w:sz w:val="24"/>
          <w:szCs w:val="24"/>
        </w:rPr>
      </w:pPr>
    </w:p>
    <w:p>
      <w:pPr>
        <w:widowControl/>
        <w:jc w:val="left"/>
        <w:rPr>
          <w:sz w:val="24"/>
          <w:szCs w:val="24"/>
        </w:rPr>
      </w:pPr>
      <w:r>
        <w:rPr>
          <w:sz w:val="24"/>
          <w:szCs w:val="24"/>
        </w:rPr>
        <w:br w:type="page"/>
      </w:r>
    </w:p>
    <w:p>
      <w:pPr>
        <w:pStyle w:val="2"/>
        <w:spacing w:before="120" w:after="120" w:line="360" w:lineRule="auto"/>
        <w:jc w:val="center"/>
        <w:rPr>
          <w:sz w:val="24"/>
          <w:szCs w:val="24"/>
        </w:rPr>
      </w:pPr>
      <w:bookmarkStart w:id="72" w:name="_Toc514685599"/>
      <w:bookmarkStart w:id="73" w:name="_Toc499304691"/>
      <w:bookmarkStart w:id="74" w:name="_Toc12913"/>
      <w:bookmarkStart w:id="75" w:name="_Toc3641"/>
      <w:bookmarkStart w:id="76" w:name="_Toc492050309"/>
      <w:bookmarkStart w:id="77" w:name="_Toc513811949"/>
      <w:bookmarkStart w:id="78" w:name="_Toc15053013"/>
      <w:r>
        <w:rPr>
          <w:sz w:val="24"/>
          <w:szCs w:val="24"/>
        </w:rPr>
        <w:t>3  基本规定</w:t>
      </w:r>
      <w:bookmarkEnd w:id="72"/>
      <w:bookmarkEnd w:id="73"/>
      <w:bookmarkEnd w:id="74"/>
      <w:bookmarkEnd w:id="75"/>
      <w:bookmarkEnd w:id="76"/>
      <w:bookmarkEnd w:id="77"/>
      <w:bookmarkEnd w:id="78"/>
    </w:p>
    <w:p>
      <w:pPr>
        <w:pStyle w:val="64"/>
        <w:spacing w:line="360" w:lineRule="auto"/>
        <w:rPr>
          <w:rFonts w:eastAsia="黑体"/>
        </w:rPr>
      </w:pPr>
      <w:bookmarkStart w:id="79" w:name="_Toc243285180"/>
      <w:bookmarkStart w:id="80" w:name="_Toc514685600"/>
      <w:bookmarkStart w:id="81" w:name="_Toc15053014"/>
      <w:r>
        <w:rPr>
          <w:b/>
        </w:rPr>
        <w:t>3.0.1</w:t>
      </w:r>
      <w:r>
        <w:t xml:space="preserve">  </w:t>
      </w:r>
      <w:bookmarkEnd w:id="79"/>
      <w:r>
        <w:t>珊瑚骨料混凝土的强度等级应划分为：C5.0、C7.5、C10、C15、C20、C25、C30、C35、C40、C45、C50。</w:t>
      </w:r>
      <w:bookmarkEnd w:id="80"/>
      <w:bookmarkEnd w:id="81"/>
    </w:p>
    <w:p>
      <w:pPr>
        <w:pStyle w:val="64"/>
        <w:spacing w:line="360" w:lineRule="auto"/>
      </w:pPr>
      <w:bookmarkStart w:id="82" w:name="_Toc243285182"/>
      <w:bookmarkStart w:id="83" w:name="_Toc15053015"/>
      <w:bookmarkStart w:id="84" w:name="_Toc514685601"/>
      <w:r>
        <w:rPr>
          <w:b/>
        </w:rPr>
        <w:t>3.0.2</w:t>
      </w:r>
      <w:r>
        <w:t xml:space="preserve">  珊瑚骨料混凝土制备宜采用预拌生产方式，且应符合现行国家标准《预拌混凝土》GB/T 14902的规定。</w:t>
      </w:r>
      <w:bookmarkEnd w:id="82"/>
      <w:bookmarkEnd w:id="83"/>
      <w:bookmarkEnd w:id="84"/>
    </w:p>
    <w:p>
      <w:pPr>
        <w:pStyle w:val="64"/>
        <w:spacing w:line="360" w:lineRule="auto"/>
      </w:pPr>
      <w:bookmarkStart w:id="85" w:name="_Toc514685602"/>
      <w:bookmarkStart w:id="86" w:name="_Toc15053016"/>
      <w:r>
        <w:rPr>
          <w:b/>
        </w:rPr>
        <w:t>3.0.3</w:t>
      </w:r>
      <w:r>
        <w:t xml:space="preserve">  珊瑚骨料混凝土结构设计应与现行国家标准《混凝土结构设计规范》GB 50010配套执行。</w:t>
      </w:r>
      <w:bookmarkEnd w:id="85"/>
      <w:bookmarkEnd w:id="86"/>
    </w:p>
    <w:p>
      <w:pPr>
        <w:pStyle w:val="64"/>
        <w:spacing w:line="360" w:lineRule="auto"/>
      </w:pPr>
      <w:bookmarkStart w:id="87" w:name="_Toc15053017"/>
      <w:bookmarkStart w:id="88" w:name="_Toc514685603"/>
      <w:r>
        <w:rPr>
          <w:b/>
        </w:rPr>
        <w:t>3.0.4</w:t>
      </w:r>
      <w:r>
        <w:t xml:space="preserve">  用于钢筋混凝土结构的珊瑚骨料应作净化处理。</w:t>
      </w:r>
      <w:bookmarkEnd w:id="87"/>
      <w:bookmarkEnd w:id="88"/>
    </w:p>
    <w:p>
      <w:pPr>
        <w:pStyle w:val="64"/>
        <w:spacing w:line="360" w:lineRule="auto"/>
      </w:pPr>
      <w:bookmarkStart w:id="89" w:name="_Toc15053018"/>
      <w:bookmarkStart w:id="90" w:name="_Toc514685604"/>
      <w:bookmarkStart w:id="91" w:name="_Toc243285181"/>
      <w:r>
        <w:rPr>
          <w:b/>
        </w:rPr>
        <w:t>3.0.5</w:t>
      </w:r>
      <w:r>
        <w:t xml:space="preserve">  珊瑚骨料不应用于预应力混凝土。</w:t>
      </w:r>
      <w:bookmarkEnd w:id="89"/>
      <w:bookmarkEnd w:id="90"/>
      <w:bookmarkEnd w:id="91"/>
    </w:p>
    <w:p>
      <w:pPr>
        <w:tabs>
          <w:tab w:val="left" w:pos="2280"/>
        </w:tabs>
        <w:spacing w:line="360" w:lineRule="auto"/>
      </w:pPr>
    </w:p>
    <w:p>
      <w:pPr>
        <w:tabs>
          <w:tab w:val="left" w:pos="2280"/>
        </w:tabs>
        <w:spacing w:line="360" w:lineRule="auto"/>
      </w:pPr>
    </w:p>
    <w:p>
      <w:pPr>
        <w:tabs>
          <w:tab w:val="left" w:pos="2280"/>
        </w:tabs>
        <w:spacing w:line="360" w:lineRule="auto"/>
      </w:pPr>
    </w:p>
    <w:p>
      <w:pPr>
        <w:tabs>
          <w:tab w:val="left" w:pos="2280"/>
        </w:tabs>
        <w:spacing w:line="360" w:lineRule="auto"/>
      </w:pPr>
    </w:p>
    <w:p>
      <w:pPr>
        <w:tabs>
          <w:tab w:val="left" w:pos="2280"/>
        </w:tabs>
        <w:spacing w:line="360" w:lineRule="auto"/>
        <w:rPr>
          <w:sz w:val="24"/>
          <w:szCs w:val="24"/>
        </w:rPr>
        <w:sectPr>
          <w:footerReference r:id="rId3" w:type="default"/>
          <w:pgSz w:w="11906" w:h="16838"/>
          <w:pgMar w:top="1440" w:right="1800" w:bottom="1440" w:left="1800" w:header="851" w:footer="992" w:gutter="0"/>
          <w:pgNumType w:start="1"/>
          <w:cols w:space="720" w:num="1"/>
          <w:docGrid w:type="lines" w:linePitch="312" w:charSpace="0"/>
        </w:sectPr>
      </w:pPr>
    </w:p>
    <w:p>
      <w:pPr>
        <w:pStyle w:val="50"/>
        <w:spacing w:before="312" w:after="312"/>
      </w:pPr>
      <w:bookmarkStart w:id="92" w:name="_Toc236584231"/>
      <w:bookmarkStart w:id="93" w:name="_Toc236584161"/>
      <w:bookmarkStart w:id="94" w:name="_Toc235251702"/>
      <w:bookmarkStart w:id="95" w:name="_Toc513811950"/>
      <w:bookmarkStart w:id="96" w:name="_Toc245290858"/>
      <w:bookmarkStart w:id="97" w:name="_Toc242936854"/>
      <w:bookmarkStart w:id="98" w:name="_Toc514685605"/>
      <w:bookmarkStart w:id="99" w:name="_Toc245291071"/>
      <w:bookmarkStart w:id="100" w:name="_Toc245290380"/>
      <w:bookmarkStart w:id="101" w:name="_Toc243285183"/>
      <w:bookmarkStart w:id="102" w:name="_Toc237336825"/>
      <w:bookmarkStart w:id="103" w:name="_Toc15053019"/>
      <w:bookmarkStart w:id="104" w:name="_Toc238356680"/>
      <w:r>
        <w:t xml:space="preserve">4  </w:t>
      </w:r>
      <w:bookmarkEnd w:id="92"/>
      <w:bookmarkEnd w:id="93"/>
      <w:bookmarkEnd w:id="94"/>
      <w:r>
        <w:t>原材料</w:t>
      </w:r>
      <w:bookmarkEnd w:id="95"/>
      <w:bookmarkEnd w:id="96"/>
      <w:bookmarkEnd w:id="97"/>
      <w:bookmarkEnd w:id="98"/>
      <w:bookmarkEnd w:id="99"/>
      <w:bookmarkEnd w:id="100"/>
      <w:bookmarkEnd w:id="101"/>
      <w:bookmarkEnd w:id="102"/>
      <w:bookmarkEnd w:id="103"/>
      <w:bookmarkEnd w:id="104"/>
    </w:p>
    <w:p>
      <w:pPr>
        <w:spacing w:beforeLines="100" w:afterLines="100" w:line="300" w:lineRule="auto"/>
        <w:jc w:val="center"/>
        <w:outlineLvl w:val="1"/>
        <w:rPr>
          <w:b/>
          <w:bCs/>
          <w:sz w:val="24"/>
          <w:szCs w:val="24"/>
        </w:rPr>
      </w:pPr>
      <w:bookmarkStart w:id="105" w:name="_Toc245290859"/>
      <w:bookmarkStart w:id="106" w:name="_Toc237336826"/>
      <w:bookmarkStart w:id="107" w:name="_Toc242936855"/>
      <w:bookmarkStart w:id="108" w:name="_Toc245291072"/>
      <w:bookmarkStart w:id="109" w:name="_Toc238356681"/>
      <w:bookmarkStart w:id="110" w:name="_Toc245290381"/>
      <w:bookmarkStart w:id="111" w:name="_Toc243285184"/>
      <w:bookmarkStart w:id="112" w:name="_Toc514685606"/>
      <w:bookmarkStart w:id="113" w:name="_Toc513811951"/>
      <w:bookmarkStart w:id="114" w:name="_Toc15053020"/>
      <w:r>
        <w:rPr>
          <w:b/>
          <w:bCs/>
          <w:sz w:val="24"/>
          <w:szCs w:val="24"/>
        </w:rPr>
        <w:t xml:space="preserve">4.1  </w:t>
      </w:r>
      <w:bookmarkEnd w:id="105"/>
      <w:bookmarkEnd w:id="106"/>
      <w:bookmarkEnd w:id="107"/>
      <w:bookmarkEnd w:id="108"/>
      <w:bookmarkEnd w:id="109"/>
      <w:bookmarkEnd w:id="110"/>
      <w:bookmarkEnd w:id="111"/>
      <w:r>
        <w:rPr>
          <w:b/>
          <w:bCs/>
          <w:sz w:val="24"/>
          <w:szCs w:val="24"/>
        </w:rPr>
        <w:t>珊瑚粗骨料</w:t>
      </w:r>
      <w:bookmarkEnd w:id="112"/>
      <w:bookmarkEnd w:id="113"/>
      <w:bookmarkEnd w:id="114"/>
    </w:p>
    <w:p>
      <w:pPr>
        <w:pStyle w:val="64"/>
        <w:spacing w:line="360" w:lineRule="auto"/>
        <w:rPr>
          <w:b/>
        </w:rPr>
      </w:pPr>
      <w:bookmarkStart w:id="115" w:name="_Toc15053021"/>
      <w:bookmarkStart w:id="116" w:name="_Toc514685607"/>
      <w:r>
        <w:rPr>
          <w:b/>
        </w:rPr>
        <w:t>4.1.1</w:t>
      </w:r>
      <w:r>
        <w:t xml:space="preserve">  珊瑚粗骨料的颗粒级配应满足表4.1.1的要求。</w:t>
      </w:r>
      <w:bookmarkEnd w:id="115"/>
      <w:bookmarkEnd w:id="116"/>
    </w:p>
    <w:p>
      <w:pPr>
        <w:topLinePunct/>
        <w:adjustRightInd w:val="0"/>
        <w:jc w:val="center"/>
        <w:rPr>
          <w:b/>
        </w:rPr>
      </w:pPr>
      <w:r>
        <w:rPr>
          <w:rFonts w:eastAsia="黑体"/>
          <w:bCs/>
        </w:rPr>
        <w:t>表4.1.1  珊瑚粗骨料的颗粒级配</w:t>
      </w:r>
    </w:p>
    <w:tbl>
      <w:tblPr>
        <w:tblStyle w:val="29"/>
        <w:tblW w:w="8053" w:type="dxa"/>
        <w:jc w:val="center"/>
        <w:tblInd w:w="-2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7"/>
        <w:gridCol w:w="834"/>
        <w:gridCol w:w="834"/>
        <w:gridCol w:w="834"/>
        <w:gridCol w:w="834"/>
        <w:gridCol w:w="834"/>
        <w:gridCol w:w="834"/>
        <w:gridCol w:w="834"/>
        <w:gridCol w:w="834"/>
        <w:gridCol w:w="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4" w:hRule="atLeast"/>
          <w:jc w:val="center"/>
        </w:trPr>
        <w:tc>
          <w:tcPr>
            <w:tcW w:w="547" w:type="dxa"/>
            <w:vMerge w:val="restart"/>
            <w:tcMar>
              <w:left w:w="0" w:type="dxa"/>
              <w:right w:w="0" w:type="dxa"/>
            </w:tcMar>
            <w:vAlign w:val="center"/>
          </w:tcPr>
          <w:p>
            <w:pPr>
              <w:pStyle w:val="17"/>
              <w:ind w:left="-21" w:leftChars="-10"/>
              <w:jc w:val="center"/>
              <w:rPr>
                <w:rFonts w:ascii="Times New Roman" w:hAnsi="Times New Roman"/>
                <w:color w:val="000000"/>
                <w:spacing w:val="-6"/>
                <w:sz w:val="18"/>
                <w:lang w:eastAsia="zh-CN"/>
              </w:rPr>
            </w:pPr>
            <w:r>
              <w:rPr>
                <w:rFonts w:ascii="Times New Roman" w:hAnsi="Times New Roman"/>
                <w:color w:val="000000"/>
                <w:spacing w:val="-6"/>
                <w:sz w:val="18"/>
              </w:rPr>
              <w:t>级配</w:t>
            </w:r>
          </w:p>
          <w:p>
            <w:pPr>
              <w:pStyle w:val="17"/>
              <w:ind w:left="-21" w:leftChars="-10"/>
              <w:jc w:val="center"/>
              <w:rPr>
                <w:rFonts w:ascii="Times New Roman" w:hAnsi="Times New Roman"/>
                <w:color w:val="000000"/>
                <w:spacing w:val="-6"/>
                <w:sz w:val="18"/>
              </w:rPr>
            </w:pPr>
            <w:r>
              <w:rPr>
                <w:rFonts w:ascii="Times New Roman" w:hAnsi="Times New Roman"/>
                <w:color w:val="000000"/>
                <w:spacing w:val="-6"/>
                <w:sz w:val="18"/>
              </w:rPr>
              <w:t>类别</w:t>
            </w:r>
          </w:p>
        </w:tc>
        <w:tc>
          <w:tcPr>
            <w:tcW w:w="834" w:type="dxa"/>
            <w:vMerge w:val="restart"/>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公称</w:t>
            </w:r>
          </w:p>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粒级</w:t>
            </w:r>
          </w:p>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mm</w:t>
            </w:r>
          </w:p>
        </w:tc>
        <w:tc>
          <w:tcPr>
            <w:tcW w:w="6672" w:type="dxa"/>
            <w:gridSpan w:val="8"/>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各号筛的累计筛余(按质量计)％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4" w:hRule="atLeast"/>
          <w:jc w:val="center"/>
        </w:trPr>
        <w:tc>
          <w:tcPr>
            <w:tcW w:w="547" w:type="dxa"/>
            <w:vMerge w:val="continue"/>
            <w:tcMar>
              <w:left w:w="0" w:type="dxa"/>
              <w:right w:w="0" w:type="dxa"/>
            </w:tcMar>
            <w:vAlign w:val="center"/>
          </w:tcPr>
          <w:p>
            <w:pPr>
              <w:pStyle w:val="17"/>
              <w:ind w:left="-21" w:leftChars="-10"/>
              <w:jc w:val="center"/>
              <w:rPr>
                <w:rFonts w:ascii="Times New Roman" w:hAnsi="Times New Roman"/>
                <w:color w:val="000000"/>
                <w:spacing w:val="-6"/>
                <w:sz w:val="18"/>
              </w:rPr>
            </w:pPr>
          </w:p>
        </w:tc>
        <w:tc>
          <w:tcPr>
            <w:tcW w:w="834" w:type="dxa"/>
            <w:vMerge w:val="continue"/>
            <w:tcMar>
              <w:left w:w="0" w:type="dxa"/>
              <w:right w:w="0" w:type="dxa"/>
            </w:tcMar>
            <w:vAlign w:val="center"/>
          </w:tcPr>
          <w:p>
            <w:pPr>
              <w:pStyle w:val="17"/>
              <w:ind w:left="-63" w:leftChars="-30"/>
              <w:jc w:val="center"/>
              <w:rPr>
                <w:rFonts w:ascii="Times New Roman" w:hAnsi="Times New Roman"/>
                <w:color w:val="000000"/>
                <w:spacing w:val="-6"/>
                <w:sz w:val="18"/>
              </w:rPr>
            </w:pPr>
          </w:p>
        </w:tc>
        <w:tc>
          <w:tcPr>
            <w:tcW w:w="6672" w:type="dxa"/>
            <w:gridSpan w:val="8"/>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方孔筛孔径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4" w:hRule="atLeast"/>
          <w:jc w:val="center"/>
        </w:trPr>
        <w:tc>
          <w:tcPr>
            <w:tcW w:w="547" w:type="dxa"/>
            <w:vMerge w:val="continue"/>
            <w:tcMar>
              <w:left w:w="0" w:type="dxa"/>
              <w:right w:w="0" w:type="dxa"/>
            </w:tcMar>
            <w:vAlign w:val="center"/>
          </w:tcPr>
          <w:p>
            <w:pPr>
              <w:pStyle w:val="17"/>
              <w:ind w:left="-21" w:leftChars="-10"/>
              <w:jc w:val="center"/>
              <w:rPr>
                <w:rFonts w:ascii="Times New Roman" w:hAnsi="Times New Roman"/>
                <w:color w:val="000000"/>
                <w:spacing w:val="-6"/>
                <w:sz w:val="18"/>
              </w:rPr>
            </w:pPr>
          </w:p>
        </w:tc>
        <w:tc>
          <w:tcPr>
            <w:tcW w:w="834" w:type="dxa"/>
            <w:vMerge w:val="continue"/>
            <w:tcMar>
              <w:left w:w="0" w:type="dxa"/>
              <w:right w:w="0" w:type="dxa"/>
            </w:tcMar>
            <w:vAlign w:val="center"/>
          </w:tcPr>
          <w:p>
            <w:pPr>
              <w:pStyle w:val="17"/>
              <w:ind w:left="-63" w:leftChars="-30"/>
              <w:jc w:val="center"/>
              <w:rPr>
                <w:rFonts w:ascii="Times New Roman" w:hAnsi="Times New Roman"/>
                <w:color w:val="000000"/>
                <w:spacing w:val="-6"/>
                <w:sz w:val="18"/>
              </w:rPr>
            </w:pP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37.5mm</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31.5mm</w:t>
            </w:r>
          </w:p>
        </w:tc>
        <w:tc>
          <w:tcPr>
            <w:tcW w:w="834" w:type="dxa"/>
            <w:tcMar>
              <w:left w:w="0" w:type="dxa"/>
              <w:right w:w="0" w:type="dxa"/>
            </w:tcMar>
            <w:vAlign w:val="center"/>
          </w:tcPr>
          <w:p>
            <w:pPr>
              <w:pStyle w:val="17"/>
              <w:jc w:val="center"/>
              <w:rPr>
                <w:rFonts w:ascii="Times New Roman" w:hAnsi="Times New Roman"/>
                <w:color w:val="000000"/>
                <w:spacing w:val="-6"/>
                <w:sz w:val="18"/>
              </w:rPr>
            </w:pPr>
            <w:r>
              <w:rPr>
                <w:rFonts w:ascii="Times New Roman" w:hAnsi="Times New Roman"/>
                <w:color w:val="000000"/>
                <w:spacing w:val="-6"/>
                <w:sz w:val="18"/>
              </w:rPr>
              <w:t>26.5 mm</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19.0mm</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16.0mm</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9.50mm</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4.75mm</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2.36mm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4" w:hRule="atLeast"/>
          <w:jc w:val="center"/>
        </w:trPr>
        <w:tc>
          <w:tcPr>
            <w:tcW w:w="547" w:type="dxa"/>
            <w:vMerge w:val="restart"/>
            <w:tcMar>
              <w:left w:w="0" w:type="dxa"/>
              <w:right w:w="0" w:type="dxa"/>
            </w:tcMar>
            <w:vAlign w:val="center"/>
          </w:tcPr>
          <w:p>
            <w:pPr>
              <w:pStyle w:val="17"/>
              <w:ind w:left="-21" w:leftChars="-10"/>
              <w:jc w:val="center"/>
              <w:rPr>
                <w:rFonts w:ascii="Times New Roman" w:hAnsi="Times New Roman"/>
                <w:color w:val="000000"/>
                <w:spacing w:val="-6"/>
                <w:sz w:val="18"/>
                <w:lang w:eastAsia="zh-CN"/>
              </w:rPr>
            </w:pPr>
            <w:r>
              <w:rPr>
                <w:rFonts w:ascii="Times New Roman" w:hAnsi="Times New Roman"/>
                <w:color w:val="000000"/>
                <w:spacing w:val="-6"/>
                <w:sz w:val="18"/>
              </w:rPr>
              <w:t>连续</w:t>
            </w:r>
          </w:p>
          <w:p>
            <w:pPr>
              <w:pStyle w:val="17"/>
              <w:ind w:left="-21" w:leftChars="-10"/>
              <w:jc w:val="center"/>
              <w:rPr>
                <w:rFonts w:ascii="Times New Roman" w:hAnsi="Times New Roman"/>
                <w:color w:val="000000"/>
                <w:spacing w:val="-6"/>
                <w:sz w:val="18"/>
              </w:rPr>
            </w:pPr>
            <w:r>
              <w:rPr>
                <w:rFonts w:ascii="Times New Roman" w:hAnsi="Times New Roman"/>
                <w:color w:val="000000"/>
                <w:spacing w:val="-6"/>
                <w:sz w:val="18"/>
              </w:rPr>
              <w:t>粒级</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5～40</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0～10</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40～60</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50～85</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90～100</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95～100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4" w:hRule="atLeast"/>
          <w:jc w:val="center"/>
        </w:trPr>
        <w:tc>
          <w:tcPr>
            <w:tcW w:w="547" w:type="dxa"/>
            <w:vMerge w:val="continue"/>
            <w:tcMar>
              <w:left w:w="0" w:type="dxa"/>
              <w:right w:w="0" w:type="dxa"/>
            </w:tcMar>
            <w:vAlign w:val="center"/>
          </w:tcPr>
          <w:p>
            <w:pPr>
              <w:pStyle w:val="17"/>
              <w:ind w:left="-21" w:leftChars="-10"/>
              <w:jc w:val="center"/>
              <w:rPr>
                <w:rFonts w:ascii="Times New Roman" w:hAnsi="Times New Roman"/>
                <w:color w:val="000000"/>
                <w:spacing w:val="-6"/>
                <w:sz w:val="18"/>
              </w:rPr>
            </w:pP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5"/>
              </w:rPr>
              <w:t>5</w:t>
            </w:r>
            <w:r>
              <w:rPr>
                <w:rFonts w:ascii="Times New Roman" w:hAnsi="Times New Roman"/>
                <w:color w:val="000000"/>
                <w:spacing w:val="-6"/>
                <w:sz w:val="18"/>
              </w:rPr>
              <w:t>～</w:t>
            </w:r>
            <w:r>
              <w:rPr>
                <w:rFonts w:ascii="Times New Roman" w:hAnsi="Times New Roman"/>
                <w:color w:val="000000"/>
                <w:spacing w:val="-6"/>
                <w:sz w:val="15"/>
              </w:rPr>
              <w:t>31.5</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0～5</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0～10</w:t>
            </w:r>
          </w:p>
        </w:tc>
        <w:tc>
          <w:tcPr>
            <w:tcW w:w="834" w:type="dxa"/>
            <w:tcMar>
              <w:left w:w="0" w:type="dxa"/>
              <w:right w:w="0" w:type="dxa"/>
            </w:tcMar>
            <w:vAlign w:val="center"/>
          </w:tcPr>
          <w:p>
            <w:pPr>
              <w:pStyle w:val="17"/>
              <w:jc w:val="center"/>
              <w:rPr>
                <w:rFonts w:ascii="Times New Roman" w:hAnsi="Times New Roman"/>
                <w:color w:val="000000"/>
                <w:spacing w:val="-6"/>
                <w:sz w:val="18"/>
              </w:rPr>
            </w:pPr>
            <w:r>
              <w:rPr>
                <w:rFonts w:ascii="Times New Roman" w:hAnsi="Times New Roman"/>
                <w:color w:val="000000"/>
                <w:spacing w:val="-6"/>
                <w:sz w:val="18"/>
              </w:rPr>
              <w:t>-</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40～75</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90～100</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95～100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4" w:hRule="atLeast"/>
          <w:jc w:val="center"/>
        </w:trPr>
        <w:tc>
          <w:tcPr>
            <w:tcW w:w="547" w:type="dxa"/>
            <w:vMerge w:val="continue"/>
            <w:tcMar>
              <w:left w:w="0" w:type="dxa"/>
              <w:right w:w="0" w:type="dxa"/>
            </w:tcMar>
            <w:vAlign w:val="center"/>
          </w:tcPr>
          <w:p>
            <w:pPr>
              <w:pStyle w:val="17"/>
              <w:ind w:left="-21" w:leftChars="-10"/>
              <w:jc w:val="center"/>
              <w:rPr>
                <w:rFonts w:ascii="Times New Roman" w:hAnsi="Times New Roman"/>
                <w:color w:val="000000"/>
                <w:spacing w:val="-6"/>
                <w:sz w:val="18"/>
              </w:rPr>
            </w:pP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5～25</w:t>
            </w:r>
          </w:p>
        </w:tc>
        <w:tc>
          <w:tcPr>
            <w:tcW w:w="834" w:type="dxa"/>
            <w:tcMar>
              <w:left w:w="0" w:type="dxa"/>
              <w:right w:w="0" w:type="dxa"/>
            </w:tcMar>
            <w:vAlign w:val="center"/>
          </w:tcPr>
          <w:p>
            <w:pPr>
              <w:pStyle w:val="17"/>
              <w:ind w:left="-63" w:leftChars="-30"/>
              <w:jc w:val="center"/>
              <w:rPr>
                <w:rFonts w:ascii="Times New Roman" w:hAnsi="Times New Roman"/>
                <w:spacing w:val="-6"/>
                <w:sz w:val="18"/>
              </w:rPr>
            </w:pPr>
            <w:r>
              <w:rPr>
                <w:rFonts w:ascii="Times New Roman" w:hAnsi="Times New Roman"/>
                <w:spacing w:val="-6"/>
                <w:sz w:val="18"/>
              </w:rPr>
              <w:t>0</w:t>
            </w:r>
          </w:p>
        </w:tc>
        <w:tc>
          <w:tcPr>
            <w:tcW w:w="834" w:type="dxa"/>
            <w:tcMar>
              <w:left w:w="0" w:type="dxa"/>
              <w:right w:w="0" w:type="dxa"/>
            </w:tcMar>
            <w:vAlign w:val="center"/>
          </w:tcPr>
          <w:p>
            <w:pPr>
              <w:pStyle w:val="17"/>
              <w:ind w:left="-63" w:leftChars="-30"/>
              <w:jc w:val="center"/>
              <w:rPr>
                <w:rFonts w:ascii="Times New Roman" w:hAnsi="Times New Roman"/>
                <w:spacing w:val="-6"/>
                <w:sz w:val="18"/>
              </w:rPr>
            </w:pPr>
            <w:r>
              <w:rPr>
                <w:rFonts w:ascii="Times New Roman" w:hAnsi="Times New Roman"/>
                <w:spacing w:val="-6"/>
                <w:sz w:val="18"/>
              </w:rPr>
              <w:t>0～5</w:t>
            </w:r>
          </w:p>
        </w:tc>
        <w:tc>
          <w:tcPr>
            <w:tcW w:w="834" w:type="dxa"/>
            <w:tcMar>
              <w:left w:w="0" w:type="dxa"/>
              <w:right w:w="0" w:type="dxa"/>
            </w:tcMar>
            <w:vAlign w:val="center"/>
          </w:tcPr>
          <w:p>
            <w:pPr>
              <w:pStyle w:val="17"/>
              <w:ind w:left="-63" w:leftChars="-30"/>
              <w:jc w:val="center"/>
              <w:rPr>
                <w:rFonts w:ascii="Times New Roman" w:hAnsi="Times New Roman"/>
                <w:spacing w:val="-6"/>
                <w:sz w:val="18"/>
              </w:rPr>
            </w:pPr>
            <w:r>
              <w:rPr>
                <w:rFonts w:ascii="Times New Roman" w:hAnsi="Times New Roman"/>
                <w:spacing w:val="-6"/>
                <w:sz w:val="18"/>
              </w:rPr>
              <w:t>0～10</w:t>
            </w:r>
          </w:p>
        </w:tc>
        <w:tc>
          <w:tcPr>
            <w:tcW w:w="834" w:type="dxa"/>
            <w:tcMar>
              <w:left w:w="0" w:type="dxa"/>
              <w:right w:w="0" w:type="dxa"/>
            </w:tcMar>
            <w:vAlign w:val="center"/>
          </w:tcPr>
          <w:p>
            <w:pPr>
              <w:pStyle w:val="17"/>
              <w:ind w:left="-63" w:leftChars="-30"/>
              <w:jc w:val="center"/>
              <w:rPr>
                <w:rFonts w:ascii="Times New Roman" w:hAnsi="Times New Roman"/>
                <w:spacing w:val="-6"/>
                <w:sz w:val="18"/>
              </w:rPr>
            </w:pPr>
            <w:r>
              <w:rPr>
                <w:rFonts w:ascii="Times New Roman" w:hAnsi="Times New Roman"/>
                <w:spacing w:val="-6"/>
                <w:sz w:val="18"/>
              </w:rPr>
              <w:t>-</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30～70</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90～100</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95～100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4" w:hRule="atLeast"/>
          <w:jc w:val="center"/>
        </w:trPr>
        <w:tc>
          <w:tcPr>
            <w:tcW w:w="547" w:type="dxa"/>
            <w:vMerge w:val="continue"/>
            <w:tcMar>
              <w:left w:w="0" w:type="dxa"/>
              <w:right w:w="0" w:type="dxa"/>
            </w:tcMar>
            <w:vAlign w:val="center"/>
          </w:tcPr>
          <w:p>
            <w:pPr>
              <w:pStyle w:val="17"/>
              <w:ind w:left="-21" w:leftChars="-10"/>
              <w:jc w:val="center"/>
              <w:rPr>
                <w:rFonts w:ascii="Times New Roman" w:hAnsi="Times New Roman"/>
                <w:color w:val="000000"/>
                <w:spacing w:val="-6"/>
                <w:sz w:val="18"/>
              </w:rPr>
            </w:pP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5～20</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0</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0～5</w:t>
            </w:r>
          </w:p>
        </w:tc>
        <w:tc>
          <w:tcPr>
            <w:tcW w:w="834" w:type="dxa"/>
            <w:tcMar>
              <w:left w:w="0" w:type="dxa"/>
              <w:right w:w="0" w:type="dxa"/>
            </w:tcMar>
            <w:vAlign w:val="center"/>
          </w:tcPr>
          <w:p>
            <w:pPr>
              <w:pStyle w:val="17"/>
              <w:jc w:val="center"/>
              <w:rPr>
                <w:rFonts w:ascii="Times New Roman" w:hAnsi="Times New Roman"/>
                <w:color w:val="000000"/>
                <w:spacing w:val="-6"/>
                <w:sz w:val="18"/>
              </w:rPr>
            </w:pPr>
            <w:r>
              <w:rPr>
                <w:rFonts w:ascii="Times New Roman" w:hAnsi="Times New Roman"/>
                <w:color w:val="000000"/>
                <w:spacing w:val="-6"/>
                <w:sz w:val="18"/>
              </w:rPr>
              <w:t>-</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0～10</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40～80</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90～100</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95～100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4" w:hRule="atLeast"/>
          <w:jc w:val="center"/>
        </w:trPr>
        <w:tc>
          <w:tcPr>
            <w:tcW w:w="547" w:type="dxa"/>
            <w:vMerge w:val="continue"/>
            <w:tcMar>
              <w:left w:w="0" w:type="dxa"/>
              <w:right w:w="0" w:type="dxa"/>
            </w:tcMar>
            <w:vAlign w:val="center"/>
          </w:tcPr>
          <w:p>
            <w:pPr>
              <w:pStyle w:val="17"/>
              <w:ind w:left="-21" w:leftChars="-10"/>
              <w:jc w:val="center"/>
              <w:rPr>
                <w:rFonts w:ascii="Times New Roman" w:hAnsi="Times New Roman"/>
                <w:color w:val="000000"/>
                <w:spacing w:val="-6"/>
                <w:sz w:val="18"/>
              </w:rPr>
            </w:pP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5～16</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w:t>
            </w:r>
          </w:p>
        </w:tc>
        <w:tc>
          <w:tcPr>
            <w:tcW w:w="834" w:type="dxa"/>
            <w:tcMar>
              <w:left w:w="0" w:type="dxa"/>
              <w:right w:w="0" w:type="dxa"/>
            </w:tcMar>
            <w:vAlign w:val="center"/>
          </w:tcPr>
          <w:p>
            <w:pPr>
              <w:pStyle w:val="17"/>
              <w:jc w:val="center"/>
              <w:rPr>
                <w:rFonts w:ascii="Times New Roman" w:hAnsi="Times New Roman"/>
                <w:color w:val="000000"/>
                <w:spacing w:val="-6"/>
                <w:sz w:val="18"/>
              </w:rPr>
            </w:pPr>
            <w:r>
              <w:rPr>
                <w:rFonts w:ascii="Times New Roman" w:hAnsi="Times New Roman"/>
                <w:color w:val="000000"/>
                <w:spacing w:val="-6"/>
                <w:sz w:val="18"/>
              </w:rPr>
              <w:t>0</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0～5</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0～10</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20～60</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85～100</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95～100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4" w:hRule="atLeast"/>
          <w:jc w:val="center"/>
        </w:trPr>
        <w:tc>
          <w:tcPr>
            <w:tcW w:w="547" w:type="dxa"/>
            <w:vMerge w:val="continue"/>
            <w:tcMar>
              <w:left w:w="0" w:type="dxa"/>
              <w:right w:w="0" w:type="dxa"/>
            </w:tcMar>
            <w:vAlign w:val="center"/>
          </w:tcPr>
          <w:p>
            <w:pPr>
              <w:pStyle w:val="17"/>
              <w:ind w:left="-21" w:leftChars="-10"/>
              <w:jc w:val="center"/>
              <w:rPr>
                <w:rFonts w:ascii="Times New Roman" w:hAnsi="Times New Roman"/>
                <w:color w:val="000000"/>
                <w:spacing w:val="-6"/>
                <w:sz w:val="18"/>
              </w:rPr>
            </w:pP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5～10</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w:t>
            </w:r>
          </w:p>
        </w:tc>
        <w:tc>
          <w:tcPr>
            <w:tcW w:w="834" w:type="dxa"/>
            <w:tcMar>
              <w:left w:w="0" w:type="dxa"/>
              <w:right w:w="0" w:type="dxa"/>
            </w:tcMar>
            <w:vAlign w:val="center"/>
          </w:tcPr>
          <w:p>
            <w:pPr>
              <w:pStyle w:val="17"/>
              <w:jc w:val="center"/>
              <w:rPr>
                <w:rFonts w:ascii="Times New Roman" w:hAnsi="Times New Roman"/>
                <w:color w:val="000000"/>
                <w:spacing w:val="-6"/>
                <w:sz w:val="18"/>
              </w:rPr>
            </w:pPr>
            <w:r>
              <w:rPr>
                <w:rFonts w:ascii="Times New Roman" w:hAnsi="Times New Roman"/>
                <w:color w:val="000000"/>
                <w:spacing w:val="-6"/>
                <w:sz w:val="18"/>
              </w:rPr>
              <w:t>-</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0</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0～15</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80～100</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95～100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4" w:hRule="atLeast"/>
          <w:jc w:val="center"/>
        </w:trPr>
        <w:tc>
          <w:tcPr>
            <w:tcW w:w="547" w:type="dxa"/>
            <w:tcMar>
              <w:left w:w="0" w:type="dxa"/>
              <w:right w:w="0" w:type="dxa"/>
            </w:tcMar>
            <w:vAlign w:val="center"/>
          </w:tcPr>
          <w:p>
            <w:pPr>
              <w:pStyle w:val="17"/>
              <w:ind w:left="-21" w:leftChars="-10"/>
              <w:jc w:val="center"/>
              <w:rPr>
                <w:rFonts w:ascii="Times New Roman" w:hAnsi="Times New Roman"/>
                <w:color w:val="000000"/>
                <w:spacing w:val="-6"/>
                <w:sz w:val="18"/>
              </w:rPr>
            </w:pPr>
            <w:r>
              <w:rPr>
                <w:rFonts w:ascii="Times New Roman" w:hAnsi="Times New Roman"/>
                <w:color w:val="000000"/>
                <w:spacing w:val="-6"/>
                <w:sz w:val="18"/>
              </w:rPr>
              <w:t>单粒级</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10～16</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w:t>
            </w:r>
          </w:p>
        </w:tc>
        <w:tc>
          <w:tcPr>
            <w:tcW w:w="834" w:type="dxa"/>
            <w:tcMar>
              <w:left w:w="0" w:type="dxa"/>
              <w:right w:w="0" w:type="dxa"/>
            </w:tcMar>
            <w:vAlign w:val="center"/>
          </w:tcPr>
          <w:p>
            <w:pPr>
              <w:pStyle w:val="17"/>
              <w:jc w:val="center"/>
              <w:rPr>
                <w:rFonts w:ascii="Times New Roman" w:hAnsi="Times New Roman"/>
                <w:color w:val="000000"/>
                <w:spacing w:val="-6"/>
                <w:sz w:val="18"/>
              </w:rPr>
            </w:pPr>
            <w:r>
              <w:rPr>
                <w:rFonts w:ascii="Times New Roman" w:hAnsi="Times New Roman"/>
                <w:color w:val="000000"/>
                <w:spacing w:val="-6"/>
                <w:sz w:val="18"/>
              </w:rPr>
              <w:t>-</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0</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0～15</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85～100</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90～100</w:t>
            </w:r>
          </w:p>
        </w:tc>
        <w:tc>
          <w:tcPr>
            <w:tcW w:w="834"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w:t>
            </w:r>
          </w:p>
        </w:tc>
      </w:tr>
    </w:tbl>
    <w:p>
      <w:pPr>
        <w:pStyle w:val="64"/>
        <w:spacing w:line="360" w:lineRule="auto"/>
      </w:pPr>
      <w:bookmarkStart w:id="117" w:name="_Toc514685608"/>
      <w:bookmarkStart w:id="118" w:name="_Toc15053022"/>
      <w:r>
        <w:rPr>
          <w:b/>
        </w:rPr>
        <w:t>4.1.2</w:t>
      </w:r>
      <w:r>
        <w:t xml:space="preserve">  珊瑚粗骨料的质量要求应满足表4.1.2的要求。珊瑚粗骨料的质量检验的试验方法应符合国家现行标准《轻集料及其试验试验方法 第2部分：轻集料试验方法》GB/T17431.2和《普通混凝土用砂、石质量及检验方法标准》JGJ52的规定。</w:t>
      </w:r>
      <w:bookmarkEnd w:id="117"/>
      <w:bookmarkEnd w:id="118"/>
    </w:p>
    <w:p>
      <w:pPr>
        <w:topLinePunct/>
        <w:adjustRightInd w:val="0"/>
        <w:jc w:val="center"/>
        <w:rPr>
          <w:rFonts w:eastAsia="黑体"/>
          <w:bCs/>
        </w:rPr>
      </w:pPr>
      <w:r>
        <w:rPr>
          <w:rFonts w:eastAsia="黑体"/>
          <w:bCs/>
        </w:rPr>
        <w:t>表4.1.2  珊瑚粗骨料的质量要求</w:t>
      </w:r>
    </w:p>
    <w:tbl>
      <w:tblPr>
        <w:tblStyle w:val="29"/>
        <w:tblW w:w="8420" w:type="dxa"/>
        <w:jc w:val="center"/>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57" w:type="dxa"/>
          <w:bottom w:w="0" w:type="dxa"/>
          <w:right w:w="57" w:type="dxa"/>
        </w:tblCellMar>
      </w:tblPr>
      <w:tblGrid>
        <w:gridCol w:w="4804"/>
        <w:gridCol w:w="3616"/>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57" w:type="dxa"/>
            <w:bottom w:w="0" w:type="dxa"/>
            <w:right w:w="57" w:type="dxa"/>
          </w:tblCellMar>
        </w:tblPrEx>
        <w:trPr>
          <w:cantSplit/>
          <w:trHeight w:val="389" w:hRule="atLeast"/>
          <w:jc w:val="center"/>
        </w:trPr>
        <w:tc>
          <w:tcPr>
            <w:tcW w:w="4804" w:type="dxa"/>
            <w:vAlign w:val="center"/>
          </w:tcPr>
          <w:p>
            <w:pPr>
              <w:pStyle w:val="65"/>
            </w:pPr>
            <w:r>
              <w:t>项目</w:t>
            </w:r>
          </w:p>
        </w:tc>
        <w:tc>
          <w:tcPr>
            <w:tcW w:w="3616" w:type="dxa"/>
            <w:vAlign w:val="center"/>
          </w:tcPr>
          <w:p>
            <w:pPr>
              <w:pStyle w:val="65"/>
            </w:pPr>
            <w:r>
              <w:t>指标</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57" w:type="dxa"/>
            <w:bottom w:w="0" w:type="dxa"/>
            <w:right w:w="57" w:type="dxa"/>
          </w:tblCellMar>
        </w:tblPrEx>
        <w:trPr>
          <w:cantSplit/>
          <w:trHeight w:val="389" w:hRule="atLeast"/>
          <w:jc w:val="center"/>
        </w:trPr>
        <w:tc>
          <w:tcPr>
            <w:tcW w:w="4804" w:type="dxa"/>
            <w:vAlign w:val="center"/>
          </w:tcPr>
          <w:p>
            <w:pPr>
              <w:pStyle w:val="65"/>
            </w:pPr>
            <w:r>
              <w:t>氯离子含量（%，按质量计）</w:t>
            </w:r>
          </w:p>
        </w:tc>
        <w:tc>
          <w:tcPr>
            <w:tcW w:w="3616" w:type="dxa"/>
            <w:vAlign w:val="center"/>
          </w:tcPr>
          <w:p>
            <w:pPr>
              <w:pStyle w:val="65"/>
            </w:pPr>
            <w:r>
              <w:t>0.03</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57" w:type="dxa"/>
            <w:bottom w:w="0" w:type="dxa"/>
            <w:right w:w="57" w:type="dxa"/>
          </w:tblCellMar>
        </w:tblPrEx>
        <w:trPr>
          <w:cantSplit/>
          <w:trHeight w:val="389" w:hRule="atLeast"/>
          <w:jc w:val="center"/>
        </w:trPr>
        <w:tc>
          <w:tcPr>
            <w:tcW w:w="4804" w:type="dxa"/>
            <w:vAlign w:val="center"/>
          </w:tcPr>
          <w:p>
            <w:pPr>
              <w:pStyle w:val="65"/>
            </w:pPr>
            <w:r>
              <w:t>筒压强度（MPa）</w:t>
            </w:r>
          </w:p>
        </w:tc>
        <w:tc>
          <w:tcPr>
            <w:tcW w:w="3616" w:type="dxa"/>
            <w:vAlign w:val="center"/>
          </w:tcPr>
          <w:p>
            <w:pPr>
              <w:pStyle w:val="65"/>
            </w:pPr>
            <w:r>
              <w:t>≥1.5</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57" w:type="dxa"/>
            <w:bottom w:w="0" w:type="dxa"/>
            <w:right w:w="57" w:type="dxa"/>
          </w:tblCellMar>
        </w:tblPrEx>
        <w:trPr>
          <w:cantSplit/>
          <w:trHeight w:val="389" w:hRule="atLeast"/>
          <w:jc w:val="center"/>
        </w:trPr>
        <w:tc>
          <w:tcPr>
            <w:tcW w:w="4804" w:type="dxa"/>
            <w:vAlign w:val="center"/>
          </w:tcPr>
          <w:p>
            <w:pPr>
              <w:pStyle w:val="65"/>
            </w:pPr>
            <w:r>
              <w:t>软化系数</w:t>
            </w:r>
          </w:p>
        </w:tc>
        <w:tc>
          <w:tcPr>
            <w:tcW w:w="3616" w:type="dxa"/>
            <w:vAlign w:val="center"/>
          </w:tcPr>
          <w:p>
            <w:pPr>
              <w:pStyle w:val="65"/>
            </w:pPr>
            <w:r>
              <w:t>≥0.7</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57" w:type="dxa"/>
            <w:bottom w:w="0" w:type="dxa"/>
            <w:right w:w="57" w:type="dxa"/>
          </w:tblCellMar>
        </w:tblPrEx>
        <w:trPr>
          <w:cantSplit/>
          <w:trHeight w:val="389" w:hRule="atLeast"/>
          <w:jc w:val="center"/>
        </w:trPr>
        <w:tc>
          <w:tcPr>
            <w:tcW w:w="4804" w:type="dxa"/>
            <w:vAlign w:val="center"/>
          </w:tcPr>
          <w:p>
            <w:pPr>
              <w:pStyle w:val="65"/>
            </w:pPr>
            <w:r>
              <w:t>含泥量（%，按质量计）</w:t>
            </w:r>
          </w:p>
        </w:tc>
        <w:tc>
          <w:tcPr>
            <w:tcW w:w="3616" w:type="dxa"/>
            <w:vAlign w:val="center"/>
          </w:tcPr>
          <w:p>
            <w:pPr>
              <w:pStyle w:val="65"/>
            </w:pPr>
            <w:r>
              <w:t>≤3.0</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57" w:type="dxa"/>
            <w:bottom w:w="0" w:type="dxa"/>
            <w:right w:w="57" w:type="dxa"/>
          </w:tblCellMar>
        </w:tblPrEx>
        <w:trPr>
          <w:cantSplit/>
          <w:trHeight w:val="389" w:hRule="atLeast"/>
          <w:jc w:val="center"/>
        </w:trPr>
        <w:tc>
          <w:tcPr>
            <w:tcW w:w="4804" w:type="dxa"/>
            <w:vAlign w:val="center"/>
          </w:tcPr>
          <w:p>
            <w:pPr>
              <w:pStyle w:val="65"/>
            </w:pPr>
            <w:r>
              <w:t>泥块含量（%，按质量计）</w:t>
            </w:r>
          </w:p>
        </w:tc>
        <w:tc>
          <w:tcPr>
            <w:tcW w:w="3616" w:type="dxa"/>
            <w:vAlign w:val="center"/>
          </w:tcPr>
          <w:p>
            <w:pPr>
              <w:pStyle w:val="65"/>
            </w:pPr>
            <w:r>
              <w:t>≤1.0</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57" w:type="dxa"/>
            <w:bottom w:w="0" w:type="dxa"/>
            <w:right w:w="57" w:type="dxa"/>
          </w:tblCellMar>
        </w:tblPrEx>
        <w:trPr>
          <w:cantSplit/>
          <w:trHeight w:val="389" w:hRule="atLeast"/>
          <w:jc w:val="center"/>
        </w:trPr>
        <w:tc>
          <w:tcPr>
            <w:tcW w:w="4804" w:type="dxa"/>
            <w:vAlign w:val="center"/>
          </w:tcPr>
          <w:p>
            <w:pPr>
              <w:pStyle w:val="65"/>
            </w:pPr>
            <w:r>
              <w:t>针片状颗粒含量（%，按质量计）</w:t>
            </w:r>
          </w:p>
        </w:tc>
        <w:tc>
          <w:tcPr>
            <w:tcW w:w="3616" w:type="dxa"/>
            <w:vAlign w:val="center"/>
          </w:tcPr>
          <w:p>
            <w:pPr>
              <w:pStyle w:val="65"/>
            </w:pPr>
            <w:r>
              <w:t>≤8.0</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57" w:type="dxa"/>
            <w:bottom w:w="0" w:type="dxa"/>
            <w:right w:w="57" w:type="dxa"/>
          </w:tblCellMar>
        </w:tblPrEx>
        <w:trPr>
          <w:cantSplit/>
          <w:trHeight w:val="389" w:hRule="atLeast"/>
          <w:jc w:val="center"/>
        </w:trPr>
        <w:tc>
          <w:tcPr>
            <w:tcW w:w="4804" w:type="dxa"/>
            <w:vAlign w:val="center"/>
          </w:tcPr>
          <w:p>
            <w:pPr>
              <w:pStyle w:val="65"/>
            </w:pPr>
            <w:r>
              <w:t>硫化物及硫酸盐含量（%，折算为SO</w:t>
            </w:r>
            <w:r>
              <w:rPr>
                <w:vertAlign w:val="subscript"/>
              </w:rPr>
              <w:t>3</w:t>
            </w:r>
            <w:r>
              <w:t>，按质量计）</w:t>
            </w:r>
          </w:p>
        </w:tc>
        <w:tc>
          <w:tcPr>
            <w:tcW w:w="3616" w:type="dxa"/>
            <w:vAlign w:val="center"/>
          </w:tcPr>
          <w:p>
            <w:pPr>
              <w:pStyle w:val="65"/>
            </w:pPr>
            <w:r>
              <w:t>≤1.0</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57" w:type="dxa"/>
            <w:bottom w:w="0" w:type="dxa"/>
            <w:right w:w="57" w:type="dxa"/>
          </w:tblCellMar>
        </w:tblPrEx>
        <w:trPr>
          <w:cantSplit/>
          <w:trHeight w:val="389" w:hRule="atLeast"/>
          <w:jc w:val="center"/>
        </w:trPr>
        <w:tc>
          <w:tcPr>
            <w:tcW w:w="4804" w:type="dxa"/>
            <w:vAlign w:val="center"/>
          </w:tcPr>
          <w:p>
            <w:pPr>
              <w:pStyle w:val="65"/>
            </w:pPr>
            <w:r>
              <w:t>有机物含量</w:t>
            </w:r>
          </w:p>
        </w:tc>
        <w:tc>
          <w:tcPr>
            <w:tcW w:w="3616" w:type="dxa"/>
            <w:vAlign w:val="center"/>
          </w:tcPr>
          <w:p>
            <w:pPr>
              <w:pStyle w:val="65"/>
            </w:pPr>
            <w:r>
              <w:t>符合现行国家标准《轻集料及其试验方法 第2部分：轻集料试验方法》GB/T17431.2的规定。</w:t>
            </w:r>
          </w:p>
        </w:tc>
      </w:tr>
    </w:tbl>
    <w:p>
      <w:pPr>
        <w:spacing w:beforeLines="100" w:afterLines="100" w:line="300" w:lineRule="auto"/>
        <w:jc w:val="center"/>
        <w:outlineLvl w:val="1"/>
        <w:rPr>
          <w:b/>
          <w:bCs/>
          <w:sz w:val="24"/>
          <w:szCs w:val="24"/>
        </w:rPr>
      </w:pPr>
      <w:bookmarkStart w:id="119" w:name="_Toc513811952"/>
      <w:bookmarkStart w:id="120" w:name="_Toc514685609"/>
      <w:bookmarkStart w:id="121" w:name="_Toc15053023"/>
      <w:r>
        <w:rPr>
          <w:b/>
          <w:bCs/>
          <w:sz w:val="24"/>
          <w:szCs w:val="24"/>
        </w:rPr>
        <w:t>4.2  珊瑚砂</w:t>
      </w:r>
      <w:bookmarkEnd w:id="119"/>
      <w:bookmarkEnd w:id="120"/>
      <w:bookmarkEnd w:id="121"/>
    </w:p>
    <w:p>
      <w:pPr>
        <w:topLinePunct/>
        <w:adjustRightInd w:val="0"/>
        <w:spacing w:before="156" w:line="360" w:lineRule="auto"/>
        <w:rPr>
          <w:sz w:val="24"/>
          <w:szCs w:val="24"/>
        </w:rPr>
      </w:pPr>
      <w:r>
        <w:rPr>
          <w:b/>
          <w:sz w:val="24"/>
          <w:szCs w:val="24"/>
        </w:rPr>
        <w:t>4.2.1</w:t>
      </w:r>
      <w:r>
        <w:rPr>
          <w:sz w:val="24"/>
          <w:szCs w:val="24"/>
        </w:rPr>
        <w:t xml:space="preserve">  珊瑚砂的颗粒级配应满足表4.2.1的要求。</w:t>
      </w:r>
    </w:p>
    <w:p>
      <w:pPr>
        <w:topLinePunct/>
        <w:adjustRightInd w:val="0"/>
        <w:jc w:val="center"/>
        <w:rPr>
          <w:rFonts w:eastAsia="黑体"/>
          <w:bCs/>
        </w:rPr>
      </w:pPr>
      <w:r>
        <w:rPr>
          <w:rFonts w:eastAsia="黑体"/>
          <w:bCs/>
        </w:rPr>
        <w:t>表4.2.1  珊瑚砂的颗粒级配</w:t>
      </w:r>
    </w:p>
    <w:tbl>
      <w:tblPr>
        <w:tblStyle w:val="29"/>
        <w:tblW w:w="8150" w:type="dxa"/>
        <w:jc w:val="center"/>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9"/>
        <w:gridCol w:w="1035"/>
        <w:gridCol w:w="1035"/>
        <w:gridCol w:w="1035"/>
        <w:gridCol w:w="1035"/>
        <w:gridCol w:w="1035"/>
        <w:gridCol w:w="1035"/>
        <w:gridCol w:w="10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6" w:hRule="atLeast"/>
          <w:jc w:val="center"/>
        </w:trPr>
        <w:tc>
          <w:tcPr>
            <w:tcW w:w="899" w:type="dxa"/>
            <w:vMerge w:val="restart"/>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公称</w:t>
            </w:r>
          </w:p>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粒级</w:t>
            </w:r>
          </w:p>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mm</w:t>
            </w:r>
          </w:p>
        </w:tc>
        <w:tc>
          <w:tcPr>
            <w:tcW w:w="7251" w:type="dxa"/>
            <w:gridSpan w:val="7"/>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各号筛的累计筛余(按质量计)％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6" w:hRule="atLeast"/>
          <w:jc w:val="center"/>
        </w:trPr>
        <w:tc>
          <w:tcPr>
            <w:tcW w:w="899" w:type="dxa"/>
            <w:vMerge w:val="continue"/>
            <w:tcMar>
              <w:left w:w="0" w:type="dxa"/>
              <w:right w:w="0" w:type="dxa"/>
            </w:tcMar>
            <w:vAlign w:val="center"/>
          </w:tcPr>
          <w:p>
            <w:pPr>
              <w:pStyle w:val="17"/>
              <w:ind w:left="-63" w:leftChars="-30"/>
              <w:jc w:val="center"/>
              <w:rPr>
                <w:rFonts w:ascii="Times New Roman" w:hAnsi="Times New Roman"/>
                <w:color w:val="000000"/>
                <w:spacing w:val="-6"/>
                <w:sz w:val="18"/>
              </w:rPr>
            </w:pPr>
          </w:p>
        </w:tc>
        <w:tc>
          <w:tcPr>
            <w:tcW w:w="7251" w:type="dxa"/>
            <w:gridSpan w:val="7"/>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方孔筛孔径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6" w:hRule="atLeast"/>
          <w:jc w:val="center"/>
        </w:trPr>
        <w:tc>
          <w:tcPr>
            <w:tcW w:w="899" w:type="dxa"/>
            <w:vMerge w:val="continue"/>
            <w:tcMar>
              <w:left w:w="0" w:type="dxa"/>
              <w:right w:w="0" w:type="dxa"/>
            </w:tcMar>
            <w:vAlign w:val="center"/>
          </w:tcPr>
          <w:p>
            <w:pPr>
              <w:pStyle w:val="17"/>
              <w:ind w:left="-63" w:leftChars="-30"/>
              <w:jc w:val="center"/>
              <w:rPr>
                <w:rFonts w:ascii="Times New Roman" w:hAnsi="Times New Roman"/>
                <w:color w:val="000000"/>
                <w:spacing w:val="-6"/>
                <w:sz w:val="18"/>
              </w:rPr>
            </w:pPr>
          </w:p>
        </w:tc>
        <w:tc>
          <w:tcPr>
            <w:tcW w:w="1035"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9.50mm</w:t>
            </w:r>
          </w:p>
        </w:tc>
        <w:tc>
          <w:tcPr>
            <w:tcW w:w="1035"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4.75mm</w:t>
            </w:r>
          </w:p>
        </w:tc>
        <w:tc>
          <w:tcPr>
            <w:tcW w:w="1035"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2.36mm</w:t>
            </w:r>
          </w:p>
        </w:tc>
        <w:tc>
          <w:tcPr>
            <w:tcW w:w="1035"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1.18mm</w:t>
            </w:r>
          </w:p>
        </w:tc>
        <w:tc>
          <w:tcPr>
            <w:tcW w:w="1035"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600</w:t>
            </w:r>
            <w:r>
              <w:rPr>
                <w:rFonts w:ascii="Times New Roman" w:hAnsi="Times New Roman"/>
                <w:color w:val="000000"/>
                <w:spacing w:val="-6"/>
                <w:sz w:val="18"/>
              </w:rPr>
              <w:sym w:font="Symbol" w:char="F06D"/>
            </w:r>
            <w:r>
              <w:rPr>
                <w:rFonts w:ascii="Times New Roman" w:hAnsi="Times New Roman"/>
                <w:color w:val="000000"/>
                <w:spacing w:val="-6"/>
                <w:sz w:val="18"/>
              </w:rPr>
              <w:t>m</w:t>
            </w:r>
          </w:p>
        </w:tc>
        <w:tc>
          <w:tcPr>
            <w:tcW w:w="1035"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300</w:t>
            </w:r>
            <w:r>
              <w:rPr>
                <w:rFonts w:ascii="Times New Roman" w:hAnsi="Times New Roman"/>
                <w:color w:val="000000"/>
                <w:spacing w:val="-6"/>
                <w:sz w:val="18"/>
              </w:rPr>
              <w:sym w:font="Symbol" w:char="F06D"/>
            </w:r>
            <w:r>
              <w:rPr>
                <w:rFonts w:ascii="Times New Roman" w:hAnsi="Times New Roman"/>
                <w:color w:val="000000"/>
                <w:spacing w:val="-6"/>
                <w:sz w:val="18"/>
              </w:rPr>
              <w:t>m</w:t>
            </w:r>
          </w:p>
        </w:tc>
        <w:tc>
          <w:tcPr>
            <w:tcW w:w="1041"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150</w:t>
            </w:r>
            <w:r>
              <w:rPr>
                <w:rFonts w:ascii="Times New Roman" w:hAnsi="Times New Roman"/>
                <w:color w:val="000000"/>
                <w:spacing w:val="-6"/>
                <w:sz w:val="18"/>
              </w:rPr>
              <w:sym w:font="Symbol" w:char="F06D"/>
            </w:r>
            <w:r>
              <w:rPr>
                <w:rFonts w:ascii="Times New Roman" w:hAnsi="Times New Roman"/>
                <w:color w:val="000000"/>
                <w:spacing w:val="-6"/>
                <w:sz w:val="18"/>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6" w:hRule="atLeast"/>
          <w:jc w:val="center"/>
        </w:trPr>
        <w:tc>
          <w:tcPr>
            <w:tcW w:w="899"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0～5</w:t>
            </w:r>
          </w:p>
        </w:tc>
        <w:tc>
          <w:tcPr>
            <w:tcW w:w="1035"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0</w:t>
            </w:r>
          </w:p>
        </w:tc>
        <w:tc>
          <w:tcPr>
            <w:tcW w:w="1035"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0～10</w:t>
            </w:r>
          </w:p>
        </w:tc>
        <w:tc>
          <w:tcPr>
            <w:tcW w:w="1035"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0～35</w:t>
            </w:r>
          </w:p>
        </w:tc>
        <w:tc>
          <w:tcPr>
            <w:tcW w:w="1035"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20～60</w:t>
            </w:r>
          </w:p>
        </w:tc>
        <w:tc>
          <w:tcPr>
            <w:tcW w:w="1035"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30～80</w:t>
            </w:r>
          </w:p>
        </w:tc>
        <w:tc>
          <w:tcPr>
            <w:tcW w:w="1035"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65～90</w:t>
            </w:r>
          </w:p>
        </w:tc>
        <w:tc>
          <w:tcPr>
            <w:tcW w:w="1041" w:type="dxa"/>
            <w:tcMar>
              <w:left w:w="0" w:type="dxa"/>
              <w:right w:w="0" w:type="dxa"/>
            </w:tcMar>
            <w:vAlign w:val="center"/>
          </w:tcPr>
          <w:p>
            <w:pPr>
              <w:pStyle w:val="17"/>
              <w:ind w:left="-63" w:leftChars="-30"/>
              <w:jc w:val="center"/>
              <w:rPr>
                <w:rFonts w:ascii="Times New Roman" w:hAnsi="Times New Roman"/>
                <w:color w:val="000000"/>
                <w:spacing w:val="-6"/>
                <w:sz w:val="18"/>
              </w:rPr>
            </w:pPr>
            <w:r>
              <w:rPr>
                <w:rFonts w:ascii="Times New Roman" w:hAnsi="Times New Roman"/>
                <w:color w:val="000000"/>
                <w:spacing w:val="-6"/>
                <w:sz w:val="18"/>
              </w:rPr>
              <w:t>75～100</w:t>
            </w:r>
          </w:p>
        </w:tc>
      </w:tr>
    </w:tbl>
    <w:p>
      <w:pPr>
        <w:topLinePunct/>
        <w:adjustRightInd w:val="0"/>
        <w:spacing w:before="156" w:line="360" w:lineRule="auto"/>
        <w:rPr>
          <w:sz w:val="24"/>
          <w:szCs w:val="24"/>
        </w:rPr>
      </w:pPr>
      <w:r>
        <w:rPr>
          <w:b/>
          <w:sz w:val="24"/>
          <w:szCs w:val="24"/>
        </w:rPr>
        <w:t>4.2.2</w:t>
      </w:r>
      <w:r>
        <w:rPr>
          <w:sz w:val="24"/>
          <w:szCs w:val="24"/>
        </w:rPr>
        <w:t xml:space="preserve">  珊瑚砂的细度模数宜为2.3~3.7。</w:t>
      </w:r>
    </w:p>
    <w:p>
      <w:pPr>
        <w:pStyle w:val="64"/>
        <w:spacing w:line="360" w:lineRule="auto"/>
      </w:pPr>
      <w:bookmarkStart w:id="122" w:name="_Toc243285185"/>
      <w:bookmarkStart w:id="123" w:name="_Toc514685610"/>
      <w:bookmarkStart w:id="124" w:name="_Toc15053024"/>
      <w:r>
        <w:rPr>
          <w:b/>
        </w:rPr>
        <w:t>4.2.3</w:t>
      </w:r>
      <w:r>
        <w:t xml:space="preserve">  珊瑚砂的质量要求应满足表4.2.3的要求。</w:t>
      </w:r>
      <w:bookmarkEnd w:id="122"/>
      <w:r>
        <w:t>珊瑚砂的质量检验的试验方法应符合国家现行标准《轻集料及其试验试验方法 第2部分：轻集料试验方法》GB/T17431.2和《普通混凝土用砂、石质量及检验方法标准》JGJ52的规定。</w:t>
      </w:r>
      <w:bookmarkEnd w:id="123"/>
      <w:bookmarkEnd w:id="124"/>
    </w:p>
    <w:p>
      <w:pPr>
        <w:topLinePunct/>
        <w:adjustRightInd w:val="0"/>
        <w:jc w:val="center"/>
        <w:rPr>
          <w:rFonts w:eastAsia="黑体"/>
          <w:bCs/>
        </w:rPr>
      </w:pPr>
      <w:r>
        <w:rPr>
          <w:rFonts w:eastAsia="黑体"/>
          <w:bCs/>
        </w:rPr>
        <w:t>表4.2.3  珊瑚砂的质量要求</w:t>
      </w:r>
    </w:p>
    <w:tbl>
      <w:tblPr>
        <w:tblStyle w:val="29"/>
        <w:tblW w:w="8420" w:type="dxa"/>
        <w:jc w:val="center"/>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57" w:type="dxa"/>
          <w:bottom w:w="0" w:type="dxa"/>
          <w:right w:w="57" w:type="dxa"/>
        </w:tblCellMar>
      </w:tblPr>
      <w:tblGrid>
        <w:gridCol w:w="4804"/>
        <w:gridCol w:w="3616"/>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57" w:type="dxa"/>
            <w:bottom w:w="0" w:type="dxa"/>
            <w:right w:w="57" w:type="dxa"/>
          </w:tblCellMar>
        </w:tblPrEx>
        <w:trPr>
          <w:cantSplit/>
          <w:trHeight w:val="389" w:hRule="atLeast"/>
          <w:jc w:val="center"/>
        </w:trPr>
        <w:tc>
          <w:tcPr>
            <w:tcW w:w="4804" w:type="dxa"/>
            <w:vAlign w:val="center"/>
          </w:tcPr>
          <w:p>
            <w:pPr>
              <w:pStyle w:val="65"/>
            </w:pPr>
            <w:r>
              <w:t>项目</w:t>
            </w:r>
          </w:p>
        </w:tc>
        <w:tc>
          <w:tcPr>
            <w:tcW w:w="3616" w:type="dxa"/>
            <w:vAlign w:val="center"/>
          </w:tcPr>
          <w:p>
            <w:pPr>
              <w:pStyle w:val="65"/>
            </w:pPr>
            <w:r>
              <w:t>指标</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57" w:type="dxa"/>
            <w:bottom w:w="0" w:type="dxa"/>
            <w:right w:w="57" w:type="dxa"/>
          </w:tblCellMar>
        </w:tblPrEx>
        <w:trPr>
          <w:cantSplit/>
          <w:trHeight w:val="389" w:hRule="atLeast"/>
          <w:jc w:val="center"/>
        </w:trPr>
        <w:tc>
          <w:tcPr>
            <w:tcW w:w="4804" w:type="dxa"/>
            <w:vAlign w:val="center"/>
          </w:tcPr>
          <w:p>
            <w:pPr>
              <w:pStyle w:val="65"/>
            </w:pPr>
            <w:r>
              <w:t>水溶性氯离子含量（%，按质量计）</w:t>
            </w:r>
          </w:p>
        </w:tc>
        <w:tc>
          <w:tcPr>
            <w:tcW w:w="3616" w:type="dxa"/>
            <w:vAlign w:val="center"/>
          </w:tcPr>
          <w:p>
            <w:pPr>
              <w:pStyle w:val="65"/>
            </w:pPr>
            <w:r>
              <w:t>≤0.03</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57" w:type="dxa"/>
            <w:bottom w:w="0" w:type="dxa"/>
            <w:right w:w="57" w:type="dxa"/>
          </w:tblCellMar>
        </w:tblPrEx>
        <w:trPr>
          <w:cantSplit/>
          <w:trHeight w:val="389" w:hRule="atLeast"/>
          <w:jc w:val="center"/>
        </w:trPr>
        <w:tc>
          <w:tcPr>
            <w:tcW w:w="4804" w:type="dxa"/>
            <w:vAlign w:val="center"/>
          </w:tcPr>
          <w:p>
            <w:pPr>
              <w:pStyle w:val="65"/>
            </w:pPr>
            <w:r>
              <w:t>含泥量（%，按质量计）</w:t>
            </w:r>
          </w:p>
        </w:tc>
        <w:tc>
          <w:tcPr>
            <w:tcW w:w="3616" w:type="dxa"/>
            <w:vAlign w:val="center"/>
          </w:tcPr>
          <w:p>
            <w:pPr>
              <w:pStyle w:val="65"/>
            </w:pPr>
            <w:r>
              <w:t>≤3.0</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57" w:type="dxa"/>
            <w:bottom w:w="0" w:type="dxa"/>
            <w:right w:w="57" w:type="dxa"/>
          </w:tblCellMar>
        </w:tblPrEx>
        <w:trPr>
          <w:cantSplit/>
          <w:trHeight w:val="389" w:hRule="atLeast"/>
          <w:jc w:val="center"/>
        </w:trPr>
        <w:tc>
          <w:tcPr>
            <w:tcW w:w="4804" w:type="dxa"/>
            <w:vAlign w:val="center"/>
          </w:tcPr>
          <w:p>
            <w:pPr>
              <w:pStyle w:val="65"/>
            </w:pPr>
            <w:r>
              <w:t>泥块含量（%，按质量计）</w:t>
            </w:r>
          </w:p>
        </w:tc>
        <w:tc>
          <w:tcPr>
            <w:tcW w:w="3616" w:type="dxa"/>
            <w:vAlign w:val="center"/>
          </w:tcPr>
          <w:p>
            <w:pPr>
              <w:pStyle w:val="65"/>
            </w:pPr>
            <w:r>
              <w:t>≤1.0</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57" w:type="dxa"/>
            <w:bottom w:w="0" w:type="dxa"/>
            <w:right w:w="57" w:type="dxa"/>
          </w:tblCellMar>
        </w:tblPrEx>
        <w:trPr>
          <w:cantSplit/>
          <w:trHeight w:val="389" w:hRule="atLeast"/>
          <w:jc w:val="center"/>
        </w:trPr>
        <w:tc>
          <w:tcPr>
            <w:tcW w:w="4804" w:type="dxa"/>
            <w:vAlign w:val="center"/>
          </w:tcPr>
          <w:p>
            <w:pPr>
              <w:pStyle w:val="65"/>
            </w:pPr>
            <w:r>
              <w:t>贝壳含量（%，按质量计）</w:t>
            </w:r>
          </w:p>
        </w:tc>
        <w:tc>
          <w:tcPr>
            <w:tcW w:w="3616" w:type="dxa"/>
            <w:vAlign w:val="center"/>
          </w:tcPr>
          <w:p>
            <w:pPr>
              <w:pStyle w:val="65"/>
            </w:pPr>
            <w:r>
              <w:t>≤10</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57" w:type="dxa"/>
            <w:bottom w:w="0" w:type="dxa"/>
            <w:right w:w="57" w:type="dxa"/>
          </w:tblCellMar>
        </w:tblPrEx>
        <w:trPr>
          <w:cantSplit/>
          <w:trHeight w:val="389" w:hRule="atLeast"/>
          <w:jc w:val="center"/>
        </w:trPr>
        <w:tc>
          <w:tcPr>
            <w:tcW w:w="4804" w:type="dxa"/>
            <w:vAlign w:val="center"/>
          </w:tcPr>
          <w:p>
            <w:pPr>
              <w:pStyle w:val="65"/>
            </w:pPr>
            <w:r>
              <w:t>硫化物及硫酸盐含量（%，折算为SO</w:t>
            </w:r>
            <w:r>
              <w:rPr>
                <w:vertAlign w:val="subscript"/>
              </w:rPr>
              <w:t>3</w:t>
            </w:r>
            <w:r>
              <w:t>，按质量计）</w:t>
            </w:r>
          </w:p>
        </w:tc>
        <w:tc>
          <w:tcPr>
            <w:tcW w:w="3616" w:type="dxa"/>
            <w:vAlign w:val="center"/>
          </w:tcPr>
          <w:p>
            <w:pPr>
              <w:pStyle w:val="65"/>
            </w:pPr>
            <w:r>
              <w:t>≤1.0</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57" w:type="dxa"/>
            <w:bottom w:w="0" w:type="dxa"/>
            <w:right w:w="57" w:type="dxa"/>
          </w:tblCellMar>
        </w:tblPrEx>
        <w:trPr>
          <w:cantSplit/>
          <w:trHeight w:val="389" w:hRule="atLeast"/>
          <w:jc w:val="center"/>
        </w:trPr>
        <w:tc>
          <w:tcPr>
            <w:tcW w:w="4804" w:type="dxa"/>
            <w:vAlign w:val="center"/>
          </w:tcPr>
          <w:p>
            <w:pPr>
              <w:pStyle w:val="65"/>
            </w:pPr>
            <w:r>
              <w:t>有机物含量</w:t>
            </w:r>
          </w:p>
        </w:tc>
        <w:tc>
          <w:tcPr>
            <w:tcW w:w="3616" w:type="dxa"/>
            <w:vAlign w:val="center"/>
          </w:tcPr>
          <w:p>
            <w:pPr>
              <w:pStyle w:val="65"/>
            </w:pPr>
            <w:r>
              <w:t>符合现行国家标准《轻集料及其试验方法 第2部分：轻集料试验方法》GB/T17431.2的规定。</w:t>
            </w:r>
          </w:p>
        </w:tc>
      </w:tr>
    </w:tbl>
    <w:p>
      <w:pPr>
        <w:spacing w:beforeLines="100" w:afterLines="100" w:line="300" w:lineRule="auto"/>
        <w:jc w:val="center"/>
        <w:outlineLvl w:val="1"/>
        <w:rPr>
          <w:b/>
          <w:bCs/>
          <w:sz w:val="24"/>
          <w:szCs w:val="24"/>
        </w:rPr>
      </w:pPr>
      <w:bookmarkStart w:id="125" w:name="_Toc245291073"/>
      <w:bookmarkStart w:id="126" w:name="_Toc243285189"/>
      <w:bookmarkStart w:id="127" w:name="_Toc245290382"/>
      <w:bookmarkStart w:id="128" w:name="_Toc242936856"/>
      <w:bookmarkStart w:id="129" w:name="_Toc238356682"/>
      <w:bookmarkStart w:id="130" w:name="_Toc245290860"/>
      <w:bookmarkStart w:id="131" w:name="_Toc237336827"/>
      <w:bookmarkStart w:id="132" w:name="_Toc513811953"/>
      <w:bookmarkStart w:id="133" w:name="_Toc514685611"/>
      <w:bookmarkStart w:id="134" w:name="_Toc15053025"/>
      <w:r>
        <w:rPr>
          <w:b/>
          <w:bCs/>
          <w:sz w:val="24"/>
          <w:szCs w:val="24"/>
        </w:rPr>
        <w:t xml:space="preserve">4.3  </w:t>
      </w:r>
      <w:bookmarkEnd w:id="125"/>
      <w:bookmarkEnd w:id="126"/>
      <w:bookmarkEnd w:id="127"/>
      <w:bookmarkEnd w:id="128"/>
      <w:bookmarkEnd w:id="129"/>
      <w:bookmarkEnd w:id="130"/>
      <w:bookmarkEnd w:id="131"/>
      <w:r>
        <w:rPr>
          <w:b/>
          <w:bCs/>
          <w:sz w:val="24"/>
          <w:szCs w:val="24"/>
        </w:rPr>
        <w:t>其他原材料</w:t>
      </w:r>
      <w:bookmarkEnd w:id="132"/>
      <w:bookmarkEnd w:id="133"/>
      <w:bookmarkEnd w:id="134"/>
    </w:p>
    <w:p>
      <w:pPr>
        <w:pStyle w:val="64"/>
        <w:spacing w:line="360" w:lineRule="auto"/>
        <w:rPr>
          <w:bCs/>
        </w:rPr>
      </w:pPr>
      <w:bookmarkStart w:id="135" w:name="_Toc15053026"/>
      <w:bookmarkStart w:id="136" w:name="_Toc243285190"/>
      <w:bookmarkStart w:id="137" w:name="_Toc514685612"/>
      <w:r>
        <w:rPr>
          <w:b/>
        </w:rPr>
        <w:t>4.3.1</w:t>
      </w:r>
      <w:r>
        <w:t xml:space="preserve">  珊瑚骨料混凝土宜采用硅酸盐水泥或普通硅酸盐水泥。水泥应符合现行国家标准《通用硅酸盐水泥》GB 175的规定；其</w:t>
      </w:r>
      <w:r>
        <w:rPr>
          <w:bCs/>
        </w:rPr>
        <w:t>他品种的水泥尚应符合相应现行国家有关标准的规定。</w:t>
      </w:r>
      <w:bookmarkEnd w:id="135"/>
      <w:bookmarkEnd w:id="136"/>
      <w:bookmarkEnd w:id="137"/>
    </w:p>
    <w:p>
      <w:pPr>
        <w:pStyle w:val="64"/>
        <w:spacing w:line="360" w:lineRule="auto"/>
        <w:rPr>
          <w:b/>
        </w:rPr>
      </w:pPr>
      <w:bookmarkStart w:id="138" w:name="_Toc514685613"/>
      <w:bookmarkStart w:id="139" w:name="_Toc15053027"/>
      <w:r>
        <w:rPr>
          <w:b/>
        </w:rPr>
        <w:t>4.3.2</w:t>
      </w:r>
      <w:r>
        <w:t xml:space="preserve">  珊瑚骨料混凝土用矿物掺合料应符合下列规定：</w:t>
      </w:r>
      <w:bookmarkEnd w:id="138"/>
      <w:bookmarkEnd w:id="139"/>
    </w:p>
    <w:p>
      <w:pPr>
        <w:spacing w:line="360" w:lineRule="auto"/>
        <w:ind w:firstLine="425"/>
        <w:rPr>
          <w:bCs/>
          <w:sz w:val="24"/>
          <w:szCs w:val="24"/>
        </w:rPr>
      </w:pPr>
      <w:r>
        <w:rPr>
          <w:b/>
          <w:bCs/>
          <w:sz w:val="24"/>
          <w:szCs w:val="24"/>
        </w:rPr>
        <w:t>1</w:t>
      </w:r>
      <w:r>
        <w:rPr>
          <w:bCs/>
          <w:sz w:val="24"/>
          <w:szCs w:val="24"/>
        </w:rPr>
        <w:t xml:space="preserve">  粉煤灰应符合现行国家标准《用于水泥和混凝土中的粉煤灰》GB/T 1596的规定，且不宜低于Ⅱ级；磨细粉煤灰应符合现行国家标准《矿物掺合料应用技术规范》GB/T 51003的规定；</w:t>
      </w:r>
    </w:p>
    <w:p>
      <w:pPr>
        <w:pStyle w:val="17"/>
        <w:spacing w:line="360" w:lineRule="auto"/>
        <w:ind w:firstLine="482" w:firstLineChars="200"/>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粒化高炉矿渣粉应符合现行国家标准《用于水泥和混凝土中的粒化高炉矿渣粉》GB/T 18046的规定</w:t>
      </w:r>
      <w:r>
        <w:rPr>
          <w:rFonts w:ascii="Times New Roman" w:hAnsi="Times New Roman"/>
          <w:sz w:val="24"/>
          <w:szCs w:val="24"/>
          <w:lang w:eastAsia="zh-CN"/>
        </w:rPr>
        <w:t>，且不</w:t>
      </w:r>
      <w:r>
        <w:rPr>
          <w:rFonts w:ascii="Times New Roman" w:hAnsi="Times New Roman"/>
          <w:sz w:val="24"/>
          <w:szCs w:val="24"/>
        </w:rPr>
        <w:t>宜低于S95级；</w:t>
      </w:r>
    </w:p>
    <w:p>
      <w:pPr>
        <w:pStyle w:val="17"/>
        <w:spacing w:line="360" w:lineRule="auto"/>
        <w:ind w:firstLine="482" w:firstLineChars="200"/>
        <w:rPr>
          <w:rFonts w:ascii="Times New Roman" w:hAnsi="Times New Roman"/>
          <w:sz w:val="24"/>
          <w:szCs w:val="24"/>
        </w:rPr>
      </w:pPr>
      <w:r>
        <w:rPr>
          <w:rFonts w:ascii="Times New Roman" w:hAnsi="Times New Roman"/>
          <w:b/>
          <w:bCs/>
          <w:sz w:val="24"/>
          <w:szCs w:val="24"/>
        </w:rPr>
        <w:t>3</w:t>
      </w:r>
      <w:r>
        <w:rPr>
          <w:rFonts w:ascii="Times New Roman" w:hAnsi="Times New Roman"/>
          <w:sz w:val="24"/>
          <w:szCs w:val="24"/>
        </w:rPr>
        <w:t xml:space="preserve">  硅灰应符合现行国家标准《砂浆和混凝土用硅灰》GB/T 27690的规定；</w:t>
      </w:r>
    </w:p>
    <w:p>
      <w:pPr>
        <w:spacing w:line="360" w:lineRule="auto"/>
        <w:ind w:firstLine="425"/>
        <w:rPr>
          <w:sz w:val="24"/>
          <w:szCs w:val="24"/>
        </w:rPr>
      </w:pPr>
      <w:r>
        <w:rPr>
          <w:b/>
          <w:bCs/>
          <w:sz w:val="24"/>
          <w:szCs w:val="24"/>
        </w:rPr>
        <w:t>4</w:t>
      </w:r>
      <w:r>
        <w:rPr>
          <w:sz w:val="24"/>
          <w:szCs w:val="24"/>
        </w:rPr>
        <w:t xml:space="preserve">  石灰石粉应符合现行国家标准《石灰石粉混凝土》GB/T 30190和现行行业标准《石灰石粉在混凝土中应用技术规程》JGJ/T 318的规定。</w:t>
      </w:r>
    </w:p>
    <w:p>
      <w:pPr>
        <w:spacing w:line="360" w:lineRule="auto"/>
        <w:ind w:firstLine="425"/>
        <w:rPr>
          <w:sz w:val="24"/>
          <w:szCs w:val="24"/>
        </w:rPr>
      </w:pPr>
      <w:r>
        <w:rPr>
          <w:b/>
          <w:bCs/>
          <w:sz w:val="24"/>
          <w:szCs w:val="24"/>
        </w:rPr>
        <w:t>5</w:t>
      </w:r>
      <w:r>
        <w:rPr>
          <w:bCs/>
          <w:sz w:val="24"/>
          <w:szCs w:val="24"/>
        </w:rPr>
        <w:t xml:space="preserve">  复合掺合料应符合现行行业标准《混凝土用复合掺合料》JG/T 486的规定。</w:t>
      </w:r>
    </w:p>
    <w:p>
      <w:pPr>
        <w:pStyle w:val="64"/>
        <w:spacing w:line="360" w:lineRule="auto"/>
      </w:pPr>
      <w:bookmarkStart w:id="140" w:name="_Toc15053028"/>
      <w:bookmarkStart w:id="141" w:name="_Toc514685614"/>
      <w:bookmarkStart w:id="142" w:name="_Toc243285192"/>
      <w:r>
        <w:rPr>
          <w:b/>
        </w:rPr>
        <w:t>4.3.3</w:t>
      </w:r>
      <w:r>
        <w:t xml:space="preserve">  其他细骨料应符合现行行业标准《普通混凝土用砂、石质量及检验方法标准》JGJ 52的规定；珊瑚骨料混凝土用海砂还应符合现行行业标准《海砂混凝土应用技术规范》JGJ206的规定。</w:t>
      </w:r>
      <w:bookmarkEnd w:id="140"/>
      <w:bookmarkEnd w:id="141"/>
    </w:p>
    <w:bookmarkEnd w:id="142"/>
    <w:p>
      <w:pPr>
        <w:pStyle w:val="64"/>
        <w:spacing w:line="360" w:lineRule="auto"/>
      </w:pPr>
      <w:bookmarkStart w:id="143" w:name="_Toc243285193"/>
      <w:bookmarkStart w:id="144" w:name="_Toc514685615"/>
      <w:bookmarkStart w:id="145" w:name="_Toc15053029"/>
      <w:r>
        <w:rPr>
          <w:b/>
        </w:rPr>
        <w:t xml:space="preserve">4.3.4 </w:t>
      </w:r>
      <w:r>
        <w:t xml:space="preserve"> 珊瑚骨料混凝土用水应符合现行行业标准《混凝土用水标准》JGJ 63的规定；未经处理的海水不应用于混凝土结构中珊瑚骨料混凝土的拌制和养护。。</w:t>
      </w:r>
      <w:bookmarkEnd w:id="143"/>
      <w:bookmarkEnd w:id="144"/>
      <w:bookmarkEnd w:id="145"/>
    </w:p>
    <w:p>
      <w:pPr>
        <w:pStyle w:val="64"/>
        <w:spacing w:line="360" w:lineRule="auto"/>
      </w:pPr>
      <w:bookmarkStart w:id="146" w:name="OLE_LINK2"/>
      <w:bookmarkStart w:id="147" w:name="_Toc15053030"/>
      <w:bookmarkStart w:id="148" w:name="_Toc514685616"/>
      <w:bookmarkStart w:id="149" w:name="_Toc243285194"/>
      <w:r>
        <w:rPr>
          <w:b/>
        </w:rPr>
        <w:t>4.3.5</w:t>
      </w:r>
      <w:bookmarkEnd w:id="146"/>
      <w:r>
        <w:t xml:space="preserve">  珊瑚骨料混凝土用外加剂应符合现行国家标准《混凝土外加剂》GB 8076和《混凝土外加剂应用技术规范》GB 50119的规定。珊瑚骨料混凝土宜采用聚羧酸系减水剂，且聚羧酸系减水剂的质量应符合现行行业标准《聚羧酸系高性能减水剂》JG/T 223的规定。</w:t>
      </w:r>
      <w:bookmarkEnd w:id="147"/>
      <w:bookmarkEnd w:id="148"/>
      <w:bookmarkEnd w:id="149"/>
    </w:p>
    <w:p>
      <w:pPr>
        <w:pStyle w:val="64"/>
        <w:spacing w:line="360" w:lineRule="auto"/>
      </w:pPr>
      <w:bookmarkStart w:id="150" w:name="_Toc514685617"/>
      <w:bookmarkStart w:id="151" w:name="_Toc243285195"/>
      <w:bookmarkStart w:id="152" w:name="_Toc15053031"/>
      <w:r>
        <w:rPr>
          <w:b/>
        </w:rPr>
        <w:t>4.3.6</w:t>
      </w:r>
      <w:r>
        <w:t xml:space="preserve">  珊瑚骨料混凝土用于钢筋混凝土工程时，可掺加钢筋阻锈剂；阻锈剂的应用应符合现行行业标准《钢筋阻锈剂应用技术规程》JGJ/T 192的规定。</w:t>
      </w:r>
      <w:bookmarkEnd w:id="150"/>
      <w:bookmarkEnd w:id="151"/>
      <w:bookmarkEnd w:id="152"/>
    </w:p>
    <w:p>
      <w:pPr>
        <w:spacing w:beforeLines="50"/>
        <w:rPr>
          <w:b/>
        </w:rPr>
      </w:pPr>
    </w:p>
    <w:p>
      <w:pPr>
        <w:spacing w:beforeLines="50"/>
        <w:rPr>
          <w:b/>
        </w:rPr>
      </w:pPr>
    </w:p>
    <w:p>
      <w:pPr>
        <w:spacing w:beforeLines="50"/>
        <w:rPr>
          <w:b/>
        </w:rPr>
      </w:pPr>
    </w:p>
    <w:p>
      <w:pPr>
        <w:spacing w:beforeLines="50"/>
      </w:pPr>
    </w:p>
    <w:p>
      <w:pPr>
        <w:spacing w:beforeLines="50"/>
      </w:pPr>
    </w:p>
    <w:p>
      <w:pPr>
        <w:tabs>
          <w:tab w:val="left" w:pos="2280"/>
        </w:tabs>
        <w:spacing w:line="360" w:lineRule="auto"/>
        <w:rPr>
          <w:sz w:val="24"/>
          <w:szCs w:val="24"/>
        </w:rPr>
        <w:sectPr>
          <w:footerReference r:id="rId4" w:type="default"/>
          <w:pgSz w:w="11906" w:h="16838"/>
          <w:pgMar w:top="1440" w:right="1800" w:bottom="1440" w:left="1800" w:header="851" w:footer="992" w:gutter="0"/>
          <w:cols w:space="720" w:num="1"/>
          <w:docGrid w:type="lines" w:linePitch="312" w:charSpace="0"/>
        </w:sectPr>
      </w:pPr>
    </w:p>
    <w:p>
      <w:pPr>
        <w:pStyle w:val="50"/>
        <w:spacing w:before="312" w:after="312"/>
      </w:pPr>
      <w:bookmarkStart w:id="153" w:name="_Toc236584232"/>
      <w:bookmarkStart w:id="154" w:name="_Toc232243147"/>
      <w:bookmarkStart w:id="155" w:name="_Toc232495679"/>
      <w:bookmarkStart w:id="156" w:name="_Toc236584162"/>
      <w:bookmarkStart w:id="157" w:name="_Toc235251703"/>
      <w:bookmarkStart w:id="158" w:name="_Toc232517432"/>
      <w:bookmarkStart w:id="159" w:name="_Toc234206812"/>
      <w:bookmarkStart w:id="160" w:name="_Toc15053032"/>
      <w:bookmarkStart w:id="161" w:name="_Toc245291074"/>
      <w:bookmarkStart w:id="162" w:name="_Toc514685618"/>
      <w:bookmarkStart w:id="163" w:name="_Toc513811954"/>
      <w:bookmarkStart w:id="164" w:name="_Toc243285196"/>
      <w:bookmarkStart w:id="165" w:name="_Toc245290861"/>
      <w:bookmarkStart w:id="166" w:name="_Toc238356683"/>
      <w:bookmarkStart w:id="167" w:name="_Toc237336828"/>
      <w:bookmarkStart w:id="168" w:name="_Toc242936857"/>
      <w:bookmarkStart w:id="169" w:name="_Toc245290383"/>
      <w:r>
        <w:t xml:space="preserve">5  </w:t>
      </w:r>
      <w:bookmarkEnd w:id="153"/>
      <w:bookmarkEnd w:id="154"/>
      <w:bookmarkEnd w:id="155"/>
      <w:bookmarkEnd w:id="156"/>
      <w:bookmarkEnd w:id="157"/>
      <w:bookmarkEnd w:id="158"/>
      <w:bookmarkEnd w:id="159"/>
      <w:r>
        <w:t>珊瑚骨料混凝土性能</w:t>
      </w:r>
      <w:bookmarkEnd w:id="160"/>
      <w:bookmarkEnd w:id="161"/>
      <w:bookmarkEnd w:id="162"/>
      <w:bookmarkEnd w:id="163"/>
      <w:bookmarkEnd w:id="164"/>
      <w:bookmarkEnd w:id="165"/>
      <w:bookmarkEnd w:id="166"/>
      <w:bookmarkEnd w:id="167"/>
      <w:bookmarkEnd w:id="168"/>
      <w:bookmarkEnd w:id="169"/>
    </w:p>
    <w:p>
      <w:pPr>
        <w:spacing w:beforeLines="100" w:afterLines="100" w:line="300" w:lineRule="auto"/>
        <w:jc w:val="center"/>
        <w:outlineLvl w:val="1"/>
        <w:rPr>
          <w:b/>
          <w:bCs/>
          <w:sz w:val="24"/>
          <w:szCs w:val="24"/>
        </w:rPr>
      </w:pPr>
      <w:bookmarkStart w:id="170" w:name="_Toc236584233"/>
      <w:bookmarkStart w:id="171" w:name="_Toc232243149"/>
      <w:bookmarkStart w:id="172" w:name="_Toc232517434"/>
      <w:bookmarkStart w:id="173" w:name="_Toc235251705"/>
      <w:bookmarkStart w:id="174" w:name="_Toc234206814"/>
      <w:bookmarkStart w:id="175" w:name="_Toc232495681"/>
      <w:bookmarkStart w:id="176" w:name="_Toc236584163"/>
      <w:bookmarkStart w:id="177" w:name="_Toc245290384"/>
      <w:bookmarkStart w:id="178" w:name="_Toc238356684"/>
      <w:bookmarkStart w:id="179" w:name="_Toc242936858"/>
      <w:bookmarkStart w:id="180" w:name="_Toc237336829"/>
      <w:bookmarkStart w:id="181" w:name="_Toc245291075"/>
      <w:bookmarkStart w:id="182" w:name="_Toc243285197"/>
      <w:bookmarkStart w:id="183" w:name="_Toc245290862"/>
      <w:bookmarkStart w:id="184" w:name="_Toc15053033"/>
      <w:bookmarkStart w:id="185" w:name="_Toc514685619"/>
      <w:bookmarkStart w:id="186" w:name="_Toc513811955"/>
      <w:r>
        <w:rPr>
          <w:b/>
          <w:bCs/>
          <w:sz w:val="24"/>
          <w:szCs w:val="24"/>
        </w:rPr>
        <w:t xml:space="preserve">5.1  </w:t>
      </w:r>
      <w:bookmarkEnd w:id="170"/>
      <w:bookmarkEnd w:id="171"/>
      <w:bookmarkEnd w:id="172"/>
      <w:bookmarkEnd w:id="173"/>
      <w:bookmarkEnd w:id="174"/>
      <w:bookmarkEnd w:id="175"/>
      <w:bookmarkEnd w:id="176"/>
      <w:r>
        <w:rPr>
          <w:b/>
          <w:bCs/>
          <w:sz w:val="24"/>
          <w:szCs w:val="24"/>
        </w:rPr>
        <w:t>拌合物</w:t>
      </w:r>
      <w:bookmarkEnd w:id="177"/>
      <w:bookmarkEnd w:id="178"/>
      <w:bookmarkEnd w:id="179"/>
      <w:bookmarkEnd w:id="180"/>
      <w:bookmarkEnd w:id="181"/>
      <w:bookmarkEnd w:id="182"/>
      <w:bookmarkEnd w:id="183"/>
      <w:r>
        <w:rPr>
          <w:b/>
          <w:bCs/>
          <w:sz w:val="24"/>
          <w:szCs w:val="24"/>
        </w:rPr>
        <w:t>性能</w:t>
      </w:r>
      <w:bookmarkEnd w:id="184"/>
      <w:bookmarkEnd w:id="185"/>
      <w:bookmarkEnd w:id="186"/>
    </w:p>
    <w:p>
      <w:pPr>
        <w:pStyle w:val="64"/>
        <w:spacing w:line="360" w:lineRule="auto"/>
      </w:pPr>
      <w:bookmarkStart w:id="187" w:name="_Toc514685620"/>
      <w:bookmarkStart w:id="188" w:name="_Toc243285198"/>
      <w:bookmarkStart w:id="189" w:name="_Toc15053034"/>
      <w:bookmarkStart w:id="190" w:name="_Toc234206815"/>
      <w:bookmarkStart w:id="191" w:name="_Toc235251706"/>
      <w:r>
        <w:rPr>
          <w:b/>
        </w:rPr>
        <w:t>5.1.1</w:t>
      </w:r>
      <w:r>
        <w:t xml:space="preserve">  珊瑚骨料混凝土拌合物应具有良好的粘聚性、保水性和流动性，不应离析或泌水。</w:t>
      </w:r>
      <w:bookmarkEnd w:id="187"/>
      <w:bookmarkEnd w:id="188"/>
      <w:bookmarkEnd w:id="189"/>
    </w:p>
    <w:p>
      <w:pPr>
        <w:pStyle w:val="64"/>
        <w:spacing w:line="360" w:lineRule="auto"/>
      </w:pPr>
      <w:bookmarkStart w:id="192" w:name="_Toc15053035"/>
      <w:bookmarkStart w:id="193" w:name="_Toc514685621"/>
      <w:r>
        <w:rPr>
          <w:b/>
        </w:rPr>
        <w:t>5.1.2</w:t>
      </w:r>
      <w:r>
        <w:t xml:space="preserve">  珊瑚骨料混凝土坍落度和扩展度应满足工程设计和施工要求，对应允许偏差应符合表5.1.2的规定。</w:t>
      </w:r>
      <w:bookmarkEnd w:id="192"/>
      <w:bookmarkEnd w:id="193"/>
    </w:p>
    <w:p>
      <w:pPr>
        <w:topLinePunct/>
        <w:adjustRightInd w:val="0"/>
        <w:jc w:val="center"/>
        <w:rPr>
          <w:rFonts w:eastAsia="黑体"/>
          <w:bCs/>
        </w:rPr>
      </w:pPr>
      <w:r>
        <w:rPr>
          <w:rFonts w:eastAsia="黑体"/>
          <w:bCs/>
        </w:rPr>
        <w:t>表5.1.2  珊瑚骨料混凝土拌合物坍落度和扩展度的允许偏差</w:t>
      </w:r>
    </w:p>
    <w:tbl>
      <w:tblPr>
        <w:tblStyle w:val="29"/>
        <w:tblW w:w="77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7"/>
        <w:gridCol w:w="2567"/>
        <w:gridCol w:w="2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2567" w:type="dxa"/>
            <w:tcBorders>
              <w:top w:val="single" w:color="auto" w:sz="4" w:space="0"/>
              <w:left w:val="single" w:color="auto" w:sz="4" w:space="0"/>
              <w:bottom w:val="single" w:color="auto" w:sz="4" w:space="0"/>
              <w:right w:val="single" w:color="auto" w:sz="4" w:space="0"/>
            </w:tcBorders>
            <w:vAlign w:val="center"/>
          </w:tcPr>
          <w:p>
            <w:pPr>
              <w:widowControl/>
              <w:jc w:val="center"/>
              <w:rPr>
                <w:kern w:val="0"/>
              </w:rPr>
            </w:pPr>
            <w:r>
              <w:t>项目</w:t>
            </w:r>
          </w:p>
        </w:tc>
        <w:tc>
          <w:tcPr>
            <w:tcW w:w="2567" w:type="dxa"/>
            <w:tcBorders>
              <w:top w:val="single" w:color="auto" w:sz="4" w:space="0"/>
              <w:left w:val="single" w:color="auto" w:sz="4" w:space="0"/>
              <w:bottom w:val="single" w:color="auto" w:sz="4" w:space="0"/>
              <w:right w:val="single" w:color="auto" w:sz="4" w:space="0"/>
            </w:tcBorders>
            <w:vAlign w:val="center"/>
          </w:tcPr>
          <w:p>
            <w:pPr>
              <w:widowControl/>
              <w:jc w:val="center"/>
            </w:pPr>
            <w:r>
              <w:t>控制目标值（mm）</w:t>
            </w:r>
          </w:p>
        </w:tc>
        <w:tc>
          <w:tcPr>
            <w:tcW w:w="2566" w:type="dxa"/>
            <w:tcBorders>
              <w:top w:val="single" w:color="auto" w:sz="4" w:space="0"/>
              <w:left w:val="single" w:color="auto" w:sz="4" w:space="0"/>
              <w:bottom w:val="single" w:color="auto" w:sz="4" w:space="0"/>
              <w:right w:val="single" w:color="auto" w:sz="4" w:space="0"/>
            </w:tcBorders>
            <w:vAlign w:val="center"/>
          </w:tcPr>
          <w:p>
            <w:pPr>
              <w:widowControl/>
              <w:jc w:val="center"/>
            </w:pPr>
            <w:r>
              <w:t>允许偏差（mm）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256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pPr>
            <w:r>
              <w:t>坍落度</w:t>
            </w:r>
          </w:p>
        </w:tc>
        <w:tc>
          <w:tcPr>
            <w:tcW w:w="2567" w:type="dxa"/>
            <w:tcBorders>
              <w:top w:val="single" w:color="auto" w:sz="4" w:space="0"/>
              <w:left w:val="single" w:color="auto" w:sz="4" w:space="0"/>
              <w:bottom w:val="single" w:color="auto" w:sz="4" w:space="0"/>
              <w:right w:val="single" w:color="auto" w:sz="4" w:space="0"/>
            </w:tcBorders>
            <w:vAlign w:val="center"/>
          </w:tcPr>
          <w:p>
            <w:pPr>
              <w:widowControl/>
              <w:jc w:val="center"/>
              <w:rPr>
                <w:kern w:val="0"/>
              </w:rPr>
            </w:pPr>
            <w:r>
              <w:rPr>
                <w:kern w:val="0"/>
              </w:rPr>
              <w:t>≤40</w:t>
            </w:r>
          </w:p>
        </w:tc>
        <w:tc>
          <w:tcPr>
            <w:tcW w:w="2566" w:type="dxa"/>
            <w:tcBorders>
              <w:top w:val="single" w:color="auto" w:sz="4" w:space="0"/>
              <w:left w:val="single" w:color="auto" w:sz="4" w:space="0"/>
              <w:bottom w:val="single" w:color="auto" w:sz="4" w:space="0"/>
              <w:right w:val="single" w:color="auto" w:sz="4" w:space="0"/>
            </w:tcBorders>
            <w:vAlign w:val="center"/>
          </w:tcPr>
          <w:p>
            <w:pPr>
              <w:tabs>
                <w:tab w:val="left" w:pos="1080"/>
              </w:tabs>
              <w:spacing w:line="240" w:lineRule="atLeast"/>
              <w:jc w:val="center"/>
              <w:rPr>
                <w:kern w:val="0"/>
              </w:rPr>
            </w:pPr>
            <w:r>
              <w:rPr>
                <w:kern w:val="0"/>
              </w:rPr>
              <w:t>± 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2567" w:type="dxa"/>
            <w:vMerge w:val="continue"/>
            <w:tcBorders>
              <w:top w:val="single" w:color="auto" w:sz="4" w:space="0"/>
              <w:left w:val="single" w:color="auto" w:sz="4" w:space="0"/>
              <w:bottom w:val="single" w:color="auto" w:sz="4" w:space="0"/>
              <w:right w:val="single" w:color="auto" w:sz="4" w:space="0"/>
            </w:tcBorders>
            <w:vAlign w:val="center"/>
          </w:tcPr>
          <w:p>
            <w:pPr>
              <w:tabs>
                <w:tab w:val="left" w:pos="1080"/>
              </w:tabs>
              <w:spacing w:line="240" w:lineRule="atLeast"/>
              <w:jc w:val="center"/>
            </w:pPr>
          </w:p>
        </w:tc>
        <w:tc>
          <w:tcPr>
            <w:tcW w:w="2567" w:type="dxa"/>
            <w:tcBorders>
              <w:top w:val="single" w:color="auto" w:sz="4" w:space="0"/>
              <w:left w:val="single" w:color="auto" w:sz="4" w:space="0"/>
              <w:bottom w:val="single" w:color="auto" w:sz="4" w:space="0"/>
              <w:right w:val="single" w:color="auto" w:sz="4" w:space="0"/>
            </w:tcBorders>
            <w:vAlign w:val="center"/>
          </w:tcPr>
          <w:p>
            <w:pPr>
              <w:widowControl/>
              <w:jc w:val="center"/>
              <w:rPr>
                <w:kern w:val="0"/>
              </w:rPr>
            </w:pPr>
            <w:r>
              <w:rPr>
                <w:kern w:val="0"/>
              </w:rPr>
              <w:t>50 ~ 90</w:t>
            </w:r>
          </w:p>
        </w:tc>
        <w:tc>
          <w:tcPr>
            <w:tcW w:w="2566" w:type="dxa"/>
            <w:tcBorders>
              <w:top w:val="single" w:color="auto" w:sz="4" w:space="0"/>
              <w:left w:val="single" w:color="auto" w:sz="4" w:space="0"/>
              <w:bottom w:val="single" w:color="auto" w:sz="4" w:space="0"/>
              <w:right w:val="single" w:color="auto" w:sz="4" w:space="0"/>
            </w:tcBorders>
            <w:vAlign w:val="center"/>
          </w:tcPr>
          <w:p>
            <w:pPr>
              <w:widowControl/>
              <w:jc w:val="center"/>
              <w:rPr>
                <w:kern w:val="0"/>
              </w:rPr>
            </w:pPr>
            <w:r>
              <w:rPr>
                <w:kern w:val="0"/>
              </w:rPr>
              <w:t>± 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2567" w:type="dxa"/>
            <w:vMerge w:val="continue"/>
            <w:tcBorders>
              <w:top w:val="single" w:color="auto" w:sz="4" w:space="0"/>
              <w:left w:val="single" w:color="auto" w:sz="4" w:space="0"/>
              <w:bottom w:val="single" w:color="auto" w:sz="4" w:space="0"/>
              <w:right w:val="single" w:color="auto" w:sz="4" w:space="0"/>
            </w:tcBorders>
            <w:vAlign w:val="center"/>
          </w:tcPr>
          <w:p>
            <w:pPr>
              <w:tabs>
                <w:tab w:val="left" w:pos="1080"/>
              </w:tabs>
              <w:spacing w:line="240" w:lineRule="atLeast"/>
              <w:jc w:val="center"/>
            </w:pPr>
          </w:p>
        </w:tc>
        <w:tc>
          <w:tcPr>
            <w:tcW w:w="2567" w:type="dxa"/>
            <w:tcBorders>
              <w:top w:val="single" w:color="auto" w:sz="4" w:space="0"/>
              <w:left w:val="single" w:color="auto" w:sz="4" w:space="0"/>
              <w:bottom w:val="single" w:color="auto" w:sz="4" w:space="0"/>
              <w:right w:val="single" w:color="auto" w:sz="4" w:space="0"/>
            </w:tcBorders>
            <w:vAlign w:val="center"/>
          </w:tcPr>
          <w:p>
            <w:pPr>
              <w:widowControl/>
              <w:jc w:val="center"/>
              <w:rPr>
                <w:kern w:val="0"/>
              </w:rPr>
            </w:pPr>
            <w:r>
              <w:rPr>
                <w:kern w:val="0"/>
              </w:rPr>
              <w:t>100 ~ 150</w:t>
            </w:r>
          </w:p>
        </w:tc>
        <w:tc>
          <w:tcPr>
            <w:tcW w:w="2566" w:type="dxa"/>
            <w:tcBorders>
              <w:top w:val="single" w:color="auto" w:sz="4" w:space="0"/>
              <w:left w:val="single" w:color="auto" w:sz="4" w:space="0"/>
              <w:bottom w:val="single" w:color="auto" w:sz="4" w:space="0"/>
              <w:right w:val="single" w:color="auto" w:sz="4" w:space="0"/>
            </w:tcBorders>
            <w:vAlign w:val="center"/>
          </w:tcPr>
          <w:p>
            <w:pPr>
              <w:widowControl/>
              <w:jc w:val="center"/>
              <w:rPr>
                <w:kern w:val="0"/>
              </w:rPr>
            </w:pPr>
            <w:r>
              <w:rPr>
                <w:kern w:val="0"/>
              </w:rPr>
              <w:t>± 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2567" w:type="dxa"/>
            <w:vMerge w:val="continue"/>
            <w:tcBorders>
              <w:top w:val="single" w:color="auto" w:sz="4" w:space="0"/>
              <w:left w:val="single" w:color="auto" w:sz="4" w:space="0"/>
              <w:bottom w:val="single" w:color="auto" w:sz="4" w:space="0"/>
              <w:right w:val="single" w:color="auto" w:sz="4" w:space="0"/>
            </w:tcBorders>
            <w:vAlign w:val="center"/>
          </w:tcPr>
          <w:p>
            <w:pPr>
              <w:tabs>
                <w:tab w:val="left" w:pos="1080"/>
              </w:tabs>
              <w:spacing w:line="240" w:lineRule="atLeast"/>
              <w:jc w:val="center"/>
            </w:pPr>
          </w:p>
        </w:tc>
        <w:tc>
          <w:tcPr>
            <w:tcW w:w="2567" w:type="dxa"/>
            <w:tcBorders>
              <w:top w:val="single" w:color="auto" w:sz="4" w:space="0"/>
              <w:left w:val="single" w:color="auto" w:sz="4" w:space="0"/>
              <w:bottom w:val="single" w:color="auto" w:sz="4" w:space="0"/>
              <w:right w:val="single" w:color="auto" w:sz="4" w:space="0"/>
            </w:tcBorders>
            <w:vAlign w:val="center"/>
          </w:tcPr>
          <w:p>
            <w:pPr>
              <w:widowControl/>
              <w:jc w:val="center"/>
              <w:rPr>
                <w:kern w:val="0"/>
              </w:rPr>
            </w:pPr>
            <w:r>
              <w:rPr>
                <w:kern w:val="0"/>
              </w:rPr>
              <w:t>≥160</w:t>
            </w:r>
          </w:p>
        </w:tc>
        <w:tc>
          <w:tcPr>
            <w:tcW w:w="2566" w:type="dxa"/>
            <w:tcBorders>
              <w:top w:val="single" w:color="auto" w:sz="4" w:space="0"/>
              <w:left w:val="single" w:color="auto" w:sz="4" w:space="0"/>
              <w:bottom w:val="single" w:color="auto" w:sz="4" w:space="0"/>
              <w:right w:val="single" w:color="auto" w:sz="4" w:space="0"/>
            </w:tcBorders>
            <w:vAlign w:val="center"/>
          </w:tcPr>
          <w:p>
            <w:pPr>
              <w:widowControl/>
              <w:jc w:val="center"/>
              <w:rPr>
                <w:kern w:val="0"/>
              </w:rPr>
            </w:pPr>
            <w:r>
              <w:rPr>
                <w:kern w:val="0"/>
              </w:rPr>
              <w:t>± 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2567" w:type="dxa"/>
            <w:tcBorders>
              <w:top w:val="single" w:color="auto" w:sz="4" w:space="0"/>
              <w:left w:val="single" w:color="auto" w:sz="4" w:space="0"/>
              <w:bottom w:val="single" w:color="auto" w:sz="4" w:space="0"/>
              <w:right w:val="single" w:color="auto" w:sz="4" w:space="0"/>
            </w:tcBorders>
            <w:vAlign w:val="center"/>
          </w:tcPr>
          <w:p>
            <w:pPr>
              <w:tabs>
                <w:tab w:val="left" w:pos="1080"/>
              </w:tabs>
              <w:spacing w:line="240" w:lineRule="atLeast"/>
              <w:jc w:val="center"/>
            </w:pPr>
            <w:r>
              <w:t>扩展度</w:t>
            </w:r>
          </w:p>
        </w:tc>
        <w:tc>
          <w:tcPr>
            <w:tcW w:w="2567" w:type="dxa"/>
            <w:tcBorders>
              <w:top w:val="single" w:color="auto" w:sz="4" w:space="0"/>
              <w:left w:val="single" w:color="auto" w:sz="4" w:space="0"/>
              <w:bottom w:val="single" w:color="auto" w:sz="4" w:space="0"/>
              <w:right w:val="single" w:color="auto" w:sz="4" w:space="0"/>
            </w:tcBorders>
            <w:vAlign w:val="center"/>
          </w:tcPr>
          <w:p>
            <w:pPr>
              <w:widowControl/>
              <w:jc w:val="center"/>
              <w:rPr>
                <w:kern w:val="0"/>
              </w:rPr>
            </w:pPr>
            <w:r>
              <w:rPr>
                <w:kern w:val="0"/>
              </w:rPr>
              <w:t>≥500</w:t>
            </w:r>
          </w:p>
        </w:tc>
        <w:tc>
          <w:tcPr>
            <w:tcW w:w="2566" w:type="dxa"/>
            <w:tcBorders>
              <w:top w:val="single" w:color="auto" w:sz="4" w:space="0"/>
              <w:left w:val="single" w:color="auto" w:sz="4" w:space="0"/>
              <w:bottom w:val="single" w:color="auto" w:sz="4" w:space="0"/>
              <w:right w:val="single" w:color="auto" w:sz="4" w:space="0"/>
            </w:tcBorders>
            <w:vAlign w:val="center"/>
          </w:tcPr>
          <w:p>
            <w:pPr>
              <w:widowControl/>
              <w:jc w:val="center"/>
              <w:rPr>
                <w:kern w:val="0"/>
              </w:rPr>
            </w:pPr>
            <w:r>
              <w:rPr>
                <w:kern w:val="0"/>
              </w:rPr>
              <w:t>± 30</w:t>
            </w:r>
          </w:p>
        </w:tc>
      </w:tr>
    </w:tbl>
    <w:p>
      <w:pPr>
        <w:pStyle w:val="64"/>
        <w:spacing w:line="360" w:lineRule="auto"/>
      </w:pPr>
      <w:bookmarkStart w:id="194" w:name="_Toc15053036"/>
      <w:bookmarkStart w:id="195" w:name="_Toc514685622"/>
      <w:bookmarkStart w:id="196" w:name="_Toc243285199"/>
      <w:r>
        <w:rPr>
          <w:b/>
        </w:rPr>
        <w:t>5.1.3</w:t>
      </w:r>
      <w:r>
        <w:t xml:space="preserve">  泵送珊瑚骨料混凝土坍落度经时损失不宜大于30mm/h。</w:t>
      </w:r>
      <w:bookmarkEnd w:id="194"/>
      <w:bookmarkEnd w:id="195"/>
    </w:p>
    <w:p>
      <w:pPr>
        <w:pStyle w:val="64"/>
        <w:spacing w:line="360" w:lineRule="auto"/>
      </w:pPr>
      <w:bookmarkStart w:id="197" w:name="_Toc15053037"/>
      <w:bookmarkStart w:id="198" w:name="_Toc514685623"/>
      <w:r>
        <w:rPr>
          <w:b/>
        </w:rPr>
        <w:t>5.1.4</w:t>
      </w:r>
      <w:r>
        <w:t xml:space="preserve">  珊瑚骨料混凝土拌合物试验方法应符合现行国家标准《普通混凝土拌合物性能试验方法标准》GB/T 50080的规定。</w:t>
      </w:r>
      <w:bookmarkEnd w:id="196"/>
      <w:bookmarkEnd w:id="197"/>
      <w:bookmarkEnd w:id="198"/>
    </w:p>
    <w:p>
      <w:pPr>
        <w:pStyle w:val="64"/>
        <w:spacing w:line="360" w:lineRule="auto"/>
      </w:pPr>
      <w:bookmarkStart w:id="199" w:name="_Toc514685624"/>
      <w:bookmarkStart w:id="200" w:name="_Toc15053038"/>
      <w:bookmarkStart w:id="201" w:name="_Toc243285200"/>
      <w:r>
        <w:rPr>
          <w:b/>
        </w:rPr>
        <w:t>5.1.5</w:t>
      </w:r>
      <w:r>
        <w:t xml:space="preserve">  珊瑚骨料混凝土拌合物的水溶性氯离子最大含量应满足表5.1.5的规定。珊瑚骨料混凝土拌合物的水溶性氯离子含量应按照现行行业标准《混凝土中氯离子含量检测技术规程》JGJ/T322的规定。</w:t>
      </w:r>
      <w:bookmarkEnd w:id="199"/>
      <w:bookmarkEnd w:id="200"/>
    </w:p>
    <w:p>
      <w:pPr>
        <w:topLinePunct/>
        <w:adjustRightInd w:val="0"/>
        <w:jc w:val="center"/>
        <w:rPr>
          <w:rFonts w:eastAsia="黑体"/>
          <w:bCs/>
        </w:rPr>
      </w:pPr>
      <w:r>
        <w:rPr>
          <w:rFonts w:eastAsia="黑体"/>
          <w:bCs/>
        </w:rPr>
        <w:t>表5.1.5  珊瑚骨料混凝土拌合物中水溶性氯离子最大含量</w:t>
      </w:r>
    </w:p>
    <w:tbl>
      <w:tblPr>
        <w:tblStyle w:val="29"/>
        <w:tblW w:w="77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3"/>
        <w:gridCol w:w="2250"/>
        <w:gridCol w:w="2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jc w:val="center"/>
        </w:trPr>
        <w:tc>
          <w:tcPr>
            <w:tcW w:w="3223" w:type="dxa"/>
            <w:vMerge w:val="restart"/>
            <w:vAlign w:val="center"/>
          </w:tcPr>
          <w:p>
            <w:pPr>
              <w:jc w:val="center"/>
            </w:pPr>
            <w:r>
              <w:t>环境条件</w:t>
            </w:r>
          </w:p>
        </w:tc>
        <w:tc>
          <w:tcPr>
            <w:tcW w:w="4477" w:type="dxa"/>
            <w:gridSpan w:val="2"/>
            <w:vAlign w:val="center"/>
          </w:tcPr>
          <w:p>
            <w:pPr>
              <w:jc w:val="center"/>
            </w:pPr>
            <w:r>
              <w:t>水溶性氯离子最大含量</w:t>
            </w:r>
            <w:r>
              <w:rPr>
                <w:rFonts w:eastAsia="黑体"/>
                <w:sz w:val="24"/>
                <w:szCs w:val="24"/>
              </w:rPr>
              <w:t>（</w:t>
            </w:r>
            <w:r>
              <w:t>%，水泥用量的质量百分比</w:t>
            </w:r>
            <w:r>
              <w:rPr>
                <w:rFonts w:eastAsia="黑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jc w:val="center"/>
        </w:trPr>
        <w:tc>
          <w:tcPr>
            <w:tcW w:w="3223" w:type="dxa"/>
            <w:vMerge w:val="continue"/>
            <w:vAlign w:val="center"/>
          </w:tcPr>
          <w:p>
            <w:pPr>
              <w:jc w:val="center"/>
            </w:pPr>
          </w:p>
        </w:tc>
        <w:tc>
          <w:tcPr>
            <w:tcW w:w="2250" w:type="dxa"/>
            <w:vAlign w:val="center"/>
          </w:tcPr>
          <w:p>
            <w:pPr>
              <w:jc w:val="center"/>
            </w:pPr>
            <w:r>
              <w:t>钢筋混凝土</w:t>
            </w:r>
          </w:p>
        </w:tc>
        <w:tc>
          <w:tcPr>
            <w:tcW w:w="2227" w:type="dxa"/>
            <w:vAlign w:val="center"/>
          </w:tcPr>
          <w:p>
            <w:pPr>
              <w:jc w:val="center"/>
            </w:pPr>
            <w:r>
              <w:t>素混凝土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8" w:hRule="atLeast"/>
          <w:jc w:val="center"/>
        </w:trPr>
        <w:tc>
          <w:tcPr>
            <w:tcW w:w="3223" w:type="dxa"/>
            <w:vAlign w:val="center"/>
          </w:tcPr>
          <w:p>
            <w:pPr>
              <w:jc w:val="center"/>
            </w:pPr>
            <w:r>
              <w:t>干燥环境</w:t>
            </w:r>
          </w:p>
        </w:tc>
        <w:tc>
          <w:tcPr>
            <w:tcW w:w="2250" w:type="dxa"/>
            <w:vAlign w:val="center"/>
          </w:tcPr>
          <w:p>
            <w:pPr>
              <w:jc w:val="center"/>
            </w:pPr>
            <w:r>
              <w:t>0.3</w:t>
            </w:r>
          </w:p>
        </w:tc>
        <w:tc>
          <w:tcPr>
            <w:tcW w:w="2227" w:type="dxa"/>
            <w:vMerge w:val="restart"/>
            <w:vAlign w:val="center"/>
          </w:tcPr>
          <w:p>
            <w:pPr>
              <w:jc w:val="center"/>
            </w:pPr>
            <w: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jc w:val="center"/>
        </w:trPr>
        <w:tc>
          <w:tcPr>
            <w:tcW w:w="3223" w:type="dxa"/>
            <w:vAlign w:val="center"/>
          </w:tcPr>
          <w:p>
            <w:pPr>
              <w:jc w:val="center"/>
            </w:pPr>
            <w:r>
              <w:t>潮湿但不含氯离子的环境</w:t>
            </w:r>
          </w:p>
        </w:tc>
        <w:tc>
          <w:tcPr>
            <w:tcW w:w="2250" w:type="dxa"/>
            <w:vAlign w:val="center"/>
          </w:tcPr>
          <w:p>
            <w:pPr>
              <w:jc w:val="center"/>
            </w:pPr>
            <w:r>
              <w:t>0.1</w:t>
            </w:r>
          </w:p>
        </w:tc>
        <w:tc>
          <w:tcPr>
            <w:tcW w:w="2227" w:type="dxa"/>
            <w:vMerge w:val="continue"/>
            <w:vAlign w:val="center"/>
          </w:tcPr>
          <w:p>
            <w:pPr>
              <w:ind w:firstLine="357"/>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jc w:val="center"/>
        </w:trPr>
        <w:tc>
          <w:tcPr>
            <w:tcW w:w="3223" w:type="dxa"/>
            <w:vAlign w:val="center"/>
          </w:tcPr>
          <w:p>
            <w:pPr>
              <w:jc w:val="center"/>
            </w:pPr>
            <w:r>
              <w:t>潮湿且含有氯离子的环境</w:t>
            </w:r>
          </w:p>
        </w:tc>
        <w:tc>
          <w:tcPr>
            <w:tcW w:w="2250" w:type="dxa"/>
            <w:vAlign w:val="center"/>
          </w:tcPr>
          <w:p>
            <w:pPr>
              <w:jc w:val="center"/>
            </w:pPr>
            <w:r>
              <w:t>0.06</w:t>
            </w:r>
          </w:p>
        </w:tc>
        <w:tc>
          <w:tcPr>
            <w:tcW w:w="2227" w:type="dxa"/>
            <w:vMerge w:val="continue"/>
            <w:vAlign w:val="center"/>
          </w:tcPr>
          <w:p>
            <w:pPr>
              <w:ind w:firstLine="357"/>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jc w:val="center"/>
        </w:trPr>
        <w:tc>
          <w:tcPr>
            <w:tcW w:w="3223" w:type="dxa"/>
            <w:vAlign w:val="center"/>
          </w:tcPr>
          <w:p>
            <w:pPr>
              <w:jc w:val="center"/>
            </w:pPr>
            <w:r>
              <w:t>腐蚀环境</w:t>
            </w:r>
          </w:p>
        </w:tc>
        <w:tc>
          <w:tcPr>
            <w:tcW w:w="2250" w:type="dxa"/>
            <w:vAlign w:val="center"/>
          </w:tcPr>
          <w:p>
            <w:pPr>
              <w:jc w:val="center"/>
            </w:pPr>
            <w:r>
              <w:t>0.06</w:t>
            </w:r>
          </w:p>
        </w:tc>
        <w:tc>
          <w:tcPr>
            <w:tcW w:w="2227" w:type="dxa"/>
            <w:vMerge w:val="continue"/>
            <w:vAlign w:val="center"/>
          </w:tcPr>
          <w:p>
            <w:pPr>
              <w:ind w:firstLine="357"/>
              <w:jc w:val="center"/>
            </w:pPr>
          </w:p>
        </w:tc>
      </w:tr>
      <w:bookmarkEnd w:id="201"/>
    </w:tbl>
    <w:p>
      <w:pPr>
        <w:spacing w:beforeLines="100" w:afterLines="100" w:line="300" w:lineRule="auto"/>
        <w:jc w:val="center"/>
        <w:outlineLvl w:val="1"/>
        <w:rPr>
          <w:b/>
          <w:bCs/>
          <w:sz w:val="24"/>
          <w:szCs w:val="24"/>
        </w:rPr>
      </w:pPr>
      <w:bookmarkStart w:id="202" w:name="_Toc236584234"/>
      <w:bookmarkStart w:id="203" w:name="_Toc236584164"/>
      <w:bookmarkStart w:id="204" w:name="_Toc238356685"/>
      <w:bookmarkStart w:id="205" w:name="_Toc242936859"/>
      <w:bookmarkStart w:id="206" w:name="_Toc243285201"/>
      <w:bookmarkStart w:id="207" w:name="_Toc245290385"/>
      <w:bookmarkStart w:id="208" w:name="_Toc245290863"/>
      <w:bookmarkStart w:id="209" w:name="_Toc245291076"/>
      <w:bookmarkStart w:id="210" w:name="_Toc513811956"/>
      <w:bookmarkStart w:id="211" w:name="_Toc237336830"/>
      <w:bookmarkStart w:id="212" w:name="_Toc514685625"/>
      <w:bookmarkStart w:id="213" w:name="_Toc15053039"/>
      <w:r>
        <w:rPr>
          <w:b/>
          <w:bCs/>
          <w:sz w:val="24"/>
          <w:szCs w:val="24"/>
        </w:rPr>
        <w:t xml:space="preserve">5.2  </w:t>
      </w:r>
      <w:bookmarkEnd w:id="190"/>
      <w:bookmarkEnd w:id="191"/>
      <w:bookmarkEnd w:id="202"/>
      <w:bookmarkEnd w:id="203"/>
      <w:r>
        <w:rPr>
          <w:b/>
          <w:bCs/>
          <w:sz w:val="24"/>
          <w:szCs w:val="24"/>
        </w:rPr>
        <w:t>力学性能</w:t>
      </w:r>
      <w:bookmarkEnd w:id="204"/>
      <w:bookmarkEnd w:id="205"/>
      <w:bookmarkEnd w:id="206"/>
      <w:bookmarkEnd w:id="207"/>
      <w:bookmarkEnd w:id="208"/>
      <w:bookmarkEnd w:id="209"/>
      <w:bookmarkEnd w:id="210"/>
      <w:bookmarkEnd w:id="211"/>
      <w:bookmarkEnd w:id="212"/>
      <w:bookmarkEnd w:id="213"/>
    </w:p>
    <w:p>
      <w:pPr>
        <w:pStyle w:val="64"/>
        <w:spacing w:line="360" w:lineRule="auto"/>
      </w:pPr>
      <w:bookmarkStart w:id="214" w:name="_Toc15053040"/>
      <w:bookmarkStart w:id="215" w:name="_Toc514685626"/>
      <w:bookmarkStart w:id="216" w:name="_Toc243285202"/>
      <w:bookmarkStart w:id="217" w:name="_Toc236584165"/>
      <w:bookmarkStart w:id="218" w:name="_Toc236584235"/>
      <w:r>
        <w:rPr>
          <w:b/>
        </w:rPr>
        <w:t>5.2.1</w:t>
      </w:r>
      <w:r>
        <w:t xml:space="preserve">  珊瑚骨料混凝土的强度等级应按立方体抗压强度标准值确定。立方体抗压强度标准值应按标准方法制作并养护的边长为150mm的立方体试体，在28d龄期或设计规定龄期以标准试验方法测得的具有95%保证率的抗压强度值。</w:t>
      </w:r>
      <w:bookmarkEnd w:id="214"/>
      <w:bookmarkEnd w:id="215"/>
    </w:p>
    <w:p>
      <w:pPr>
        <w:pStyle w:val="64"/>
        <w:spacing w:line="360" w:lineRule="auto"/>
      </w:pPr>
      <w:bookmarkStart w:id="219" w:name="_Toc514685627"/>
      <w:bookmarkStart w:id="220" w:name="_Toc15053041"/>
      <w:r>
        <w:rPr>
          <w:b/>
        </w:rPr>
        <w:t>5.2.2</w:t>
      </w:r>
      <w:r>
        <w:t xml:space="preserve">  珊瑚骨料混凝土的强度标准值、强度设计值、弹性模量、轴心抗压强度、和轴心抗拉强度等可参考现行行业标准《轻骨料混凝土应用技术标准》JGJ/T </w:t>
      </w:r>
      <w:r>
        <w:rPr>
          <w:rFonts w:hint="eastAsia"/>
        </w:rPr>
        <w:t>12</w:t>
      </w:r>
      <w:r>
        <w:t>的规定。</w:t>
      </w:r>
      <w:bookmarkEnd w:id="216"/>
      <w:bookmarkEnd w:id="219"/>
      <w:bookmarkEnd w:id="220"/>
    </w:p>
    <w:p>
      <w:pPr>
        <w:pStyle w:val="64"/>
        <w:spacing w:line="360" w:lineRule="auto"/>
      </w:pPr>
      <w:bookmarkStart w:id="221" w:name="_Toc15053042"/>
      <w:bookmarkStart w:id="222" w:name="_Toc514685628"/>
      <w:r>
        <w:rPr>
          <w:b/>
        </w:rPr>
        <w:t>5.2.3</w:t>
      </w:r>
      <w:r>
        <w:t xml:space="preserve">  珊瑚骨料混凝土力学性能应按照现行国家标准《普通混凝土力学性能试验方法标准》GB/T 50081的规定进行试验测定，并应满足设计要求。</w:t>
      </w:r>
      <w:bookmarkEnd w:id="221"/>
      <w:bookmarkEnd w:id="222"/>
      <w:bookmarkStart w:id="223" w:name="_Toc243285203"/>
    </w:p>
    <w:p>
      <w:pPr>
        <w:pStyle w:val="64"/>
        <w:spacing w:line="360" w:lineRule="auto"/>
      </w:pPr>
      <w:bookmarkStart w:id="224" w:name="_Toc514685629"/>
      <w:bookmarkStart w:id="225" w:name="_Toc15053043"/>
      <w:r>
        <w:rPr>
          <w:b/>
        </w:rPr>
        <w:t>5.2.4</w:t>
      </w:r>
      <w:r>
        <w:t xml:space="preserve">  珊瑚骨料混凝土的泊松比可取0.2。</w:t>
      </w:r>
      <w:bookmarkEnd w:id="223"/>
      <w:bookmarkEnd w:id="224"/>
      <w:bookmarkEnd w:id="225"/>
    </w:p>
    <w:p>
      <w:pPr>
        <w:spacing w:beforeLines="100" w:afterLines="100" w:line="300" w:lineRule="auto"/>
        <w:jc w:val="center"/>
        <w:outlineLvl w:val="1"/>
        <w:rPr>
          <w:b/>
          <w:bCs/>
          <w:sz w:val="24"/>
          <w:szCs w:val="24"/>
        </w:rPr>
      </w:pPr>
      <w:bookmarkStart w:id="226" w:name="_Toc237336831"/>
      <w:bookmarkStart w:id="227" w:name="_Toc242936860"/>
      <w:bookmarkStart w:id="228" w:name="_Toc514685630"/>
      <w:bookmarkStart w:id="229" w:name="_Toc238356686"/>
      <w:bookmarkStart w:id="230" w:name="_Toc243285205"/>
      <w:bookmarkStart w:id="231" w:name="_Toc245290386"/>
      <w:bookmarkStart w:id="232" w:name="_Toc245290864"/>
      <w:bookmarkStart w:id="233" w:name="_Toc245291077"/>
      <w:bookmarkStart w:id="234" w:name="_Toc513811957"/>
      <w:bookmarkStart w:id="235" w:name="_Toc15053044"/>
      <w:r>
        <w:rPr>
          <w:b/>
          <w:bCs/>
          <w:sz w:val="24"/>
          <w:szCs w:val="24"/>
        </w:rPr>
        <w:t xml:space="preserve">5.3  </w:t>
      </w:r>
      <w:bookmarkEnd w:id="217"/>
      <w:bookmarkEnd w:id="218"/>
      <w:r>
        <w:rPr>
          <w:b/>
          <w:bCs/>
          <w:sz w:val="24"/>
          <w:szCs w:val="24"/>
        </w:rPr>
        <w:t>长期性能</w:t>
      </w:r>
      <w:bookmarkEnd w:id="226"/>
      <w:r>
        <w:rPr>
          <w:b/>
          <w:bCs/>
          <w:sz w:val="24"/>
          <w:szCs w:val="24"/>
        </w:rPr>
        <w:t>与耐久性能</w:t>
      </w:r>
      <w:bookmarkEnd w:id="227"/>
      <w:bookmarkEnd w:id="228"/>
      <w:bookmarkEnd w:id="229"/>
      <w:bookmarkEnd w:id="230"/>
      <w:bookmarkEnd w:id="231"/>
      <w:bookmarkEnd w:id="232"/>
      <w:bookmarkEnd w:id="233"/>
      <w:bookmarkEnd w:id="234"/>
      <w:bookmarkEnd w:id="235"/>
    </w:p>
    <w:p>
      <w:pPr>
        <w:pStyle w:val="64"/>
        <w:spacing w:line="360" w:lineRule="auto"/>
        <w:rPr>
          <w:b/>
        </w:rPr>
      </w:pPr>
      <w:bookmarkStart w:id="236" w:name="_Toc514685631"/>
      <w:bookmarkStart w:id="237" w:name="_Toc243285206"/>
      <w:bookmarkStart w:id="238" w:name="_Toc15053045"/>
      <w:r>
        <w:rPr>
          <w:b/>
        </w:rPr>
        <w:t>5.3.1</w:t>
      </w:r>
      <w:r>
        <w:t xml:space="preserve">  珊瑚骨料混凝土的收缩值和徐变系数可参考现行行业标准《轻骨料混凝土应用技术标准》JGJ/T</w:t>
      </w:r>
      <w:r>
        <w:rPr>
          <w:rFonts w:hint="eastAsia"/>
        </w:rPr>
        <w:t>12</w:t>
      </w:r>
      <w:r>
        <w:t>的规定，并应满足设计要求。</w:t>
      </w:r>
      <w:bookmarkEnd w:id="236"/>
      <w:bookmarkEnd w:id="237"/>
      <w:bookmarkEnd w:id="238"/>
    </w:p>
    <w:p>
      <w:pPr>
        <w:pStyle w:val="64"/>
        <w:spacing w:line="360" w:lineRule="auto"/>
        <w:rPr>
          <w:b/>
        </w:rPr>
      </w:pPr>
      <w:bookmarkStart w:id="239" w:name="_Toc243285207"/>
      <w:bookmarkStart w:id="240" w:name="_Toc514685632"/>
      <w:bookmarkStart w:id="241" w:name="_Toc15053046"/>
      <w:r>
        <w:rPr>
          <w:b/>
        </w:rPr>
        <w:t>5.3.2</w:t>
      </w:r>
      <w:r>
        <w:t xml:space="preserve">  </w:t>
      </w:r>
      <w:bookmarkEnd w:id="239"/>
      <w:bookmarkStart w:id="242" w:name="_Toc243285208"/>
      <w:r>
        <w:t>珊瑚骨料混凝土的碳化性能应符合表5.3.2的规定，并应满足设计要求。</w:t>
      </w:r>
      <w:bookmarkEnd w:id="240"/>
      <w:bookmarkEnd w:id="241"/>
    </w:p>
    <w:p>
      <w:pPr>
        <w:topLinePunct/>
        <w:adjustRightInd w:val="0"/>
        <w:jc w:val="center"/>
        <w:rPr>
          <w:rFonts w:eastAsia="黑体"/>
          <w:bCs/>
        </w:rPr>
      </w:pPr>
      <w:r>
        <w:rPr>
          <w:rFonts w:eastAsia="黑体"/>
          <w:bCs/>
        </w:rPr>
        <w:t>表5.3.2  珊瑚骨料混凝土碳化性能要求</w:t>
      </w:r>
    </w:p>
    <w:tbl>
      <w:tblPr>
        <w:tblStyle w:val="29"/>
        <w:tblW w:w="808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23"/>
        <w:gridCol w:w="3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4123" w:type="dxa"/>
            <w:vAlign w:val="center"/>
          </w:tcPr>
          <w:p>
            <w:pPr>
              <w:pStyle w:val="17"/>
              <w:spacing w:line="280" w:lineRule="atLeast"/>
              <w:jc w:val="center"/>
              <w:rPr>
                <w:rFonts w:ascii="Times New Roman" w:hAnsi="Times New Roman"/>
              </w:rPr>
            </w:pPr>
            <w:r>
              <w:rPr>
                <w:rFonts w:ascii="Times New Roman" w:hAnsi="Times New Roman"/>
              </w:rPr>
              <w:t>环境条件</w:t>
            </w:r>
          </w:p>
        </w:tc>
        <w:tc>
          <w:tcPr>
            <w:tcW w:w="3965" w:type="dxa"/>
            <w:vAlign w:val="center"/>
          </w:tcPr>
          <w:p>
            <w:pPr>
              <w:pStyle w:val="17"/>
              <w:spacing w:line="280" w:lineRule="atLeast"/>
              <w:jc w:val="center"/>
              <w:rPr>
                <w:rFonts w:ascii="Times New Roman" w:hAnsi="Times New Roman"/>
              </w:rPr>
            </w:pPr>
            <w:r>
              <w:rPr>
                <w:rFonts w:ascii="Times New Roman" w:hAnsi="Times New Roman"/>
              </w:rPr>
              <w:t>28d碳化深度（mm）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4123" w:type="dxa"/>
            <w:vAlign w:val="center"/>
          </w:tcPr>
          <w:p>
            <w:pPr>
              <w:pStyle w:val="17"/>
              <w:spacing w:line="280" w:lineRule="atLeast"/>
              <w:jc w:val="center"/>
              <w:rPr>
                <w:rFonts w:ascii="Times New Roman" w:hAnsi="Times New Roman"/>
              </w:rPr>
            </w:pPr>
            <w:r>
              <w:rPr>
                <w:rFonts w:ascii="Times New Roman" w:hAnsi="Times New Roman"/>
              </w:rPr>
              <w:t>室内，正常湿度</w:t>
            </w:r>
          </w:p>
        </w:tc>
        <w:tc>
          <w:tcPr>
            <w:tcW w:w="3965" w:type="dxa"/>
            <w:vAlign w:val="center"/>
          </w:tcPr>
          <w:p>
            <w:pPr>
              <w:pStyle w:val="17"/>
              <w:spacing w:line="280" w:lineRule="atLeast"/>
              <w:jc w:val="center"/>
              <w:rPr>
                <w:rFonts w:ascii="Times New Roman" w:hAnsi="Times New Roman"/>
              </w:rPr>
            </w:pPr>
            <w:r>
              <w:rPr>
                <w:rFonts w:ascii="Times New Roman" w:hAnsi="Times New Roma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4123" w:type="dxa"/>
            <w:vAlign w:val="center"/>
          </w:tcPr>
          <w:p>
            <w:pPr>
              <w:pStyle w:val="17"/>
              <w:spacing w:line="280" w:lineRule="atLeast"/>
              <w:jc w:val="center"/>
              <w:rPr>
                <w:rFonts w:ascii="Times New Roman" w:hAnsi="Times New Roman"/>
              </w:rPr>
            </w:pPr>
            <w:r>
              <w:rPr>
                <w:rFonts w:ascii="Times New Roman" w:hAnsi="Times New Roman"/>
              </w:rPr>
              <w:t>室外，正常湿度；室内，潮湿</w:t>
            </w:r>
          </w:p>
        </w:tc>
        <w:tc>
          <w:tcPr>
            <w:tcW w:w="3965" w:type="dxa"/>
            <w:vAlign w:val="center"/>
          </w:tcPr>
          <w:p>
            <w:pPr>
              <w:pStyle w:val="17"/>
              <w:spacing w:line="280" w:lineRule="atLeast"/>
              <w:jc w:val="center"/>
              <w:rPr>
                <w:rFonts w:ascii="Times New Roman" w:hAnsi="Times New Roman"/>
              </w:rPr>
            </w:pPr>
            <w:r>
              <w:rPr>
                <w:rFonts w:ascii="Times New Roman" w:hAnsi="Times New Roma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4123" w:type="dxa"/>
            <w:vAlign w:val="center"/>
          </w:tcPr>
          <w:p>
            <w:pPr>
              <w:pStyle w:val="17"/>
              <w:spacing w:line="280" w:lineRule="atLeast"/>
              <w:jc w:val="center"/>
              <w:rPr>
                <w:rFonts w:ascii="Times New Roman" w:hAnsi="Times New Roman"/>
              </w:rPr>
            </w:pPr>
            <w:r>
              <w:rPr>
                <w:rFonts w:ascii="Times New Roman" w:hAnsi="Times New Roman"/>
              </w:rPr>
              <w:t>室外，潮湿</w:t>
            </w:r>
          </w:p>
        </w:tc>
        <w:tc>
          <w:tcPr>
            <w:tcW w:w="3965" w:type="dxa"/>
            <w:vAlign w:val="center"/>
          </w:tcPr>
          <w:p>
            <w:pPr>
              <w:pStyle w:val="17"/>
              <w:spacing w:line="280" w:lineRule="atLeast"/>
              <w:jc w:val="center"/>
              <w:rPr>
                <w:rFonts w:ascii="Times New Roman" w:hAnsi="Times New Roman"/>
              </w:rPr>
            </w:pPr>
            <w:r>
              <w:rPr>
                <w:rFonts w:ascii="Times New Roman" w:hAnsi="Times New Roma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4123" w:type="dxa"/>
            <w:vAlign w:val="center"/>
          </w:tcPr>
          <w:p>
            <w:pPr>
              <w:pStyle w:val="17"/>
              <w:spacing w:line="280" w:lineRule="atLeast"/>
              <w:jc w:val="center"/>
              <w:rPr>
                <w:rFonts w:ascii="Times New Roman" w:hAnsi="Times New Roman"/>
              </w:rPr>
            </w:pPr>
            <w:r>
              <w:rPr>
                <w:rFonts w:ascii="Times New Roman" w:hAnsi="Times New Roman"/>
              </w:rPr>
              <w:t>干湿交替</w:t>
            </w:r>
          </w:p>
        </w:tc>
        <w:tc>
          <w:tcPr>
            <w:tcW w:w="3965" w:type="dxa"/>
            <w:vAlign w:val="center"/>
          </w:tcPr>
          <w:p>
            <w:pPr>
              <w:pStyle w:val="17"/>
              <w:spacing w:line="280" w:lineRule="atLeast"/>
              <w:jc w:val="center"/>
              <w:rPr>
                <w:rFonts w:ascii="Times New Roman" w:hAnsi="Times New Roman"/>
              </w:rPr>
            </w:pPr>
            <w:r>
              <w:rPr>
                <w:rFonts w:ascii="Times New Roman" w:hAnsi="Times New Roman"/>
              </w:rPr>
              <w:t>≤25</w:t>
            </w:r>
          </w:p>
        </w:tc>
      </w:tr>
    </w:tbl>
    <w:p>
      <w:pPr>
        <w:rPr>
          <w:sz w:val="18"/>
          <w:szCs w:val="18"/>
        </w:rPr>
      </w:pPr>
      <w:r>
        <w:rPr>
          <w:sz w:val="18"/>
          <w:szCs w:val="18"/>
        </w:rPr>
        <w:t>注：1  正常湿度系指相对湿度为55%～65%；</w:t>
      </w:r>
    </w:p>
    <w:p>
      <w:pPr>
        <w:ind w:firstLine="360" w:firstLineChars="200"/>
        <w:rPr>
          <w:sz w:val="18"/>
          <w:szCs w:val="18"/>
        </w:rPr>
      </w:pPr>
      <w:r>
        <w:rPr>
          <w:sz w:val="18"/>
          <w:szCs w:val="18"/>
        </w:rPr>
        <w:t>2  潮湿系指相对湿度为65%～80%；</w:t>
      </w:r>
    </w:p>
    <w:p>
      <w:pPr>
        <w:ind w:firstLine="360" w:firstLineChars="200"/>
        <w:rPr>
          <w:sz w:val="18"/>
          <w:szCs w:val="18"/>
        </w:rPr>
      </w:pPr>
      <w:r>
        <w:rPr>
          <w:sz w:val="18"/>
          <w:szCs w:val="18"/>
        </w:rPr>
        <w:t>3  28d碳化深度是采用现行国家标准《普通混凝土长期性能和耐久性能试验方法标准》GB/T 50082中碳化试验方法的试验结果。</w:t>
      </w:r>
    </w:p>
    <w:p>
      <w:pPr>
        <w:pStyle w:val="64"/>
        <w:spacing w:line="360" w:lineRule="auto"/>
      </w:pPr>
      <w:bookmarkStart w:id="243" w:name="_Toc15053047"/>
      <w:bookmarkStart w:id="244" w:name="_Toc514685633"/>
      <w:r>
        <w:rPr>
          <w:b/>
        </w:rPr>
        <w:t>5.3.3</w:t>
      </w:r>
      <w:r>
        <w:t xml:space="preserve">  珊瑚骨料混凝土的抗冻、抗渗、抗硫酸盐腐蚀、抗氯离子渗透等耐久性能应满足设计要求。</w:t>
      </w:r>
      <w:bookmarkEnd w:id="243"/>
      <w:bookmarkEnd w:id="244"/>
    </w:p>
    <w:p>
      <w:pPr>
        <w:pStyle w:val="64"/>
        <w:spacing w:line="360" w:lineRule="auto"/>
        <w:rPr>
          <w:b/>
        </w:rPr>
      </w:pPr>
      <w:bookmarkStart w:id="245" w:name="_Toc514685634"/>
      <w:bookmarkStart w:id="246" w:name="_Toc15053048"/>
      <w:r>
        <w:rPr>
          <w:b/>
        </w:rPr>
        <w:t>5.3.4</w:t>
      </w:r>
      <w:r>
        <w:t xml:space="preserve">  珊瑚骨料混凝土长期性能与耐久性能的试验方法应符合现行国家标准《普通混凝土长期性能和耐久性能试验方法标准》GB/T 50082的规定。</w:t>
      </w:r>
      <w:bookmarkEnd w:id="242"/>
      <w:bookmarkEnd w:id="245"/>
      <w:bookmarkEnd w:id="246"/>
    </w:p>
    <w:p>
      <w:pPr>
        <w:pStyle w:val="50"/>
        <w:spacing w:before="312" w:after="312"/>
      </w:pPr>
      <w:r>
        <w:rPr>
          <w:b w:val="0"/>
        </w:rPr>
        <w:br w:type="page"/>
      </w:r>
      <w:bookmarkStart w:id="247" w:name="_Toc514685635"/>
      <w:bookmarkStart w:id="248" w:name="_Toc232495685"/>
      <w:bookmarkStart w:id="249" w:name="_Toc232517438"/>
      <w:bookmarkStart w:id="250" w:name="_Toc513811958"/>
      <w:bookmarkStart w:id="251" w:name="_Toc236584167"/>
      <w:bookmarkStart w:id="252" w:name="_Toc242936861"/>
      <w:bookmarkStart w:id="253" w:name="_Toc232243153"/>
      <w:bookmarkStart w:id="254" w:name="_Toc243285209"/>
      <w:bookmarkStart w:id="255" w:name="_Toc236584237"/>
      <w:bookmarkStart w:id="256" w:name="_Toc235251709"/>
      <w:bookmarkStart w:id="257" w:name="_Toc245290865"/>
      <w:bookmarkStart w:id="258" w:name="_Toc245291078"/>
      <w:bookmarkStart w:id="259" w:name="_Toc237336833"/>
      <w:bookmarkStart w:id="260" w:name="_Toc234206818"/>
      <w:bookmarkStart w:id="261" w:name="_Toc238356687"/>
      <w:bookmarkStart w:id="262" w:name="_Toc15053049"/>
      <w:bookmarkStart w:id="263" w:name="_Toc245290387"/>
      <w:r>
        <w:t>6  配合比设计</w:t>
      </w:r>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p>
    <w:p>
      <w:pPr>
        <w:spacing w:beforeLines="100" w:afterLines="100" w:line="300" w:lineRule="auto"/>
        <w:jc w:val="center"/>
        <w:outlineLvl w:val="1"/>
        <w:rPr>
          <w:b/>
          <w:bCs/>
          <w:sz w:val="24"/>
          <w:szCs w:val="24"/>
        </w:rPr>
      </w:pPr>
      <w:bookmarkStart w:id="264" w:name="_Toc242936862"/>
      <w:bookmarkStart w:id="265" w:name="_Toc237336834"/>
      <w:bookmarkStart w:id="266" w:name="_Toc243285210"/>
      <w:bookmarkStart w:id="267" w:name="_Toc238356688"/>
      <w:bookmarkStart w:id="268" w:name="_Toc245290866"/>
      <w:bookmarkStart w:id="269" w:name="_Toc245291079"/>
      <w:bookmarkStart w:id="270" w:name="_Toc245290388"/>
      <w:bookmarkStart w:id="271" w:name="_Toc514685636"/>
      <w:bookmarkStart w:id="272" w:name="_Toc513811959"/>
      <w:bookmarkStart w:id="273" w:name="_Toc15053050"/>
      <w:r>
        <w:rPr>
          <w:b/>
          <w:bCs/>
          <w:sz w:val="24"/>
          <w:szCs w:val="24"/>
        </w:rPr>
        <w:t xml:space="preserve">6.1  </w:t>
      </w:r>
      <w:bookmarkEnd w:id="264"/>
      <w:bookmarkEnd w:id="265"/>
      <w:bookmarkEnd w:id="266"/>
      <w:bookmarkEnd w:id="267"/>
      <w:r>
        <w:rPr>
          <w:b/>
          <w:bCs/>
          <w:sz w:val="24"/>
          <w:szCs w:val="24"/>
        </w:rPr>
        <w:t>一般</w:t>
      </w:r>
      <w:bookmarkEnd w:id="268"/>
      <w:bookmarkEnd w:id="269"/>
      <w:bookmarkEnd w:id="270"/>
      <w:r>
        <w:rPr>
          <w:b/>
          <w:bCs/>
          <w:sz w:val="24"/>
          <w:szCs w:val="24"/>
        </w:rPr>
        <w:t>要求</w:t>
      </w:r>
      <w:bookmarkEnd w:id="271"/>
      <w:bookmarkEnd w:id="272"/>
      <w:bookmarkEnd w:id="273"/>
    </w:p>
    <w:p>
      <w:pPr>
        <w:pStyle w:val="64"/>
        <w:spacing w:line="360" w:lineRule="auto"/>
      </w:pPr>
      <w:bookmarkStart w:id="274" w:name="_Toc15053051"/>
      <w:bookmarkStart w:id="275" w:name="_Toc514685637"/>
      <w:bookmarkStart w:id="276" w:name="_Toc243285211"/>
      <w:r>
        <w:rPr>
          <w:b/>
        </w:rPr>
        <w:t>6.1.1</w:t>
      </w:r>
      <w:r>
        <w:t xml:space="preserve">  珊瑚骨料混凝土配合比设计应符合配制强度、拌合物性能、耐久性能规定，并应满足设计对珊瑚骨料混凝土的其他性能要求。</w:t>
      </w:r>
      <w:bookmarkEnd w:id="274"/>
      <w:bookmarkEnd w:id="275"/>
    </w:p>
    <w:p>
      <w:pPr>
        <w:pStyle w:val="64"/>
        <w:spacing w:line="360" w:lineRule="auto"/>
      </w:pPr>
      <w:bookmarkStart w:id="277" w:name="_Toc514685638"/>
      <w:bookmarkStart w:id="278" w:name="_Toc15053052"/>
      <w:r>
        <w:rPr>
          <w:b/>
        </w:rPr>
        <w:t>6.1.2</w:t>
      </w:r>
      <w:r>
        <w:t xml:space="preserve">  珊瑚骨料混凝土配合比设计应采用工程实际使用的原材料，并应以合理使用材料和节约水泥等胶凝材料为原则。</w:t>
      </w:r>
      <w:bookmarkEnd w:id="277"/>
      <w:bookmarkEnd w:id="278"/>
    </w:p>
    <w:p>
      <w:pPr>
        <w:pStyle w:val="64"/>
        <w:spacing w:line="360" w:lineRule="auto"/>
      </w:pPr>
      <w:bookmarkStart w:id="279" w:name="_Toc243285212"/>
      <w:bookmarkStart w:id="280" w:name="_Toc15053053"/>
      <w:bookmarkStart w:id="281" w:name="_Toc514685639"/>
      <w:r>
        <w:rPr>
          <w:b/>
        </w:rPr>
        <w:t>6.1.3</w:t>
      </w:r>
      <w:r>
        <w:t xml:space="preserve">  珊瑚骨料混凝土配合比中的粗骨料宜采用同一品种的珊瑚粗骨料；当掺用另一品种珊瑚粗骨料时，其掺用比例应通过试验确定。</w:t>
      </w:r>
      <w:bookmarkEnd w:id="279"/>
      <w:bookmarkEnd w:id="280"/>
      <w:bookmarkEnd w:id="281"/>
    </w:p>
    <w:p>
      <w:pPr>
        <w:pStyle w:val="64"/>
        <w:spacing w:line="360" w:lineRule="auto"/>
      </w:pPr>
      <w:bookmarkStart w:id="282" w:name="_Toc514685640"/>
      <w:bookmarkStart w:id="283" w:name="_Toc15053054"/>
      <w:r>
        <w:rPr>
          <w:b/>
        </w:rPr>
        <w:t>6.1.4</w:t>
      </w:r>
      <w:r>
        <w:t xml:space="preserve">  在珊瑚骨料混凝土中加入外加剂和矿物掺合料时，应符合下列规定：</w:t>
      </w:r>
      <w:bookmarkEnd w:id="282"/>
      <w:bookmarkEnd w:id="283"/>
    </w:p>
    <w:p>
      <w:pPr>
        <w:pStyle w:val="64"/>
        <w:spacing w:line="360" w:lineRule="auto"/>
        <w:ind w:firstLine="480" w:firstLineChars="200"/>
      </w:pPr>
      <w:bookmarkStart w:id="284" w:name="_Toc514685641"/>
      <w:bookmarkStart w:id="285" w:name="_Toc15053055"/>
      <w:r>
        <w:t>1  外加剂的品种和掺量应通过试验确定，与水泥等胶凝材料的适应性应满足设计与施工对混凝土性能的要求；</w:t>
      </w:r>
      <w:bookmarkEnd w:id="284"/>
      <w:bookmarkEnd w:id="285"/>
    </w:p>
    <w:p>
      <w:pPr>
        <w:pStyle w:val="64"/>
        <w:spacing w:line="360" w:lineRule="auto"/>
        <w:ind w:firstLine="480" w:firstLineChars="200"/>
      </w:pPr>
      <w:bookmarkStart w:id="286" w:name="_Toc15053056"/>
      <w:bookmarkStart w:id="287" w:name="_Toc514685642"/>
      <w:r>
        <w:t>2  矿物掺合料的品种和掺量应通过试验确定。</w:t>
      </w:r>
      <w:bookmarkEnd w:id="286"/>
      <w:bookmarkEnd w:id="287"/>
    </w:p>
    <w:bookmarkEnd w:id="276"/>
    <w:p>
      <w:pPr>
        <w:spacing w:beforeLines="100" w:afterLines="100" w:line="300" w:lineRule="auto"/>
        <w:jc w:val="center"/>
        <w:outlineLvl w:val="1"/>
        <w:rPr>
          <w:b/>
          <w:bCs/>
          <w:sz w:val="24"/>
          <w:szCs w:val="24"/>
        </w:rPr>
      </w:pPr>
      <w:bookmarkStart w:id="288" w:name="_Toc513811960"/>
      <w:bookmarkStart w:id="289" w:name="_Toc243285227"/>
      <w:bookmarkStart w:id="290" w:name="_Toc245290389"/>
      <w:bookmarkStart w:id="291" w:name="_Toc15053057"/>
      <w:bookmarkStart w:id="292" w:name="_Toc237336836"/>
      <w:bookmarkStart w:id="293" w:name="_Toc514685643"/>
      <w:bookmarkStart w:id="294" w:name="_Toc238356690"/>
      <w:bookmarkStart w:id="295" w:name="_Toc242936864"/>
      <w:bookmarkStart w:id="296" w:name="_Toc245291080"/>
      <w:bookmarkStart w:id="297" w:name="_Toc245290867"/>
      <w:r>
        <w:rPr>
          <w:b/>
          <w:bCs/>
          <w:sz w:val="24"/>
          <w:szCs w:val="24"/>
        </w:rPr>
        <w:t>6.2  配制强度的确定</w:t>
      </w:r>
      <w:bookmarkEnd w:id="288"/>
      <w:bookmarkEnd w:id="289"/>
      <w:bookmarkEnd w:id="290"/>
      <w:bookmarkEnd w:id="291"/>
      <w:bookmarkEnd w:id="292"/>
      <w:bookmarkEnd w:id="293"/>
      <w:bookmarkEnd w:id="294"/>
      <w:bookmarkEnd w:id="295"/>
      <w:bookmarkEnd w:id="296"/>
      <w:bookmarkEnd w:id="297"/>
    </w:p>
    <w:p>
      <w:pPr>
        <w:pStyle w:val="64"/>
        <w:spacing w:line="360" w:lineRule="auto"/>
      </w:pPr>
      <w:bookmarkStart w:id="298" w:name="_Toc15053058"/>
      <w:bookmarkStart w:id="299" w:name="_Toc514685644"/>
      <w:bookmarkStart w:id="300" w:name="_Toc243285228"/>
      <w:r>
        <w:rPr>
          <w:b/>
        </w:rPr>
        <w:t>6.2.1</w:t>
      </w:r>
      <w:r>
        <w:t xml:space="preserve">  珊瑚骨料混凝土的配制强度应按下式计算：</w:t>
      </w:r>
      <w:bookmarkEnd w:id="298"/>
      <w:bookmarkEnd w:id="299"/>
      <w:bookmarkEnd w:id="300"/>
    </w:p>
    <w:p>
      <w:pPr>
        <w:spacing w:line="360" w:lineRule="auto"/>
        <w:ind w:firstLine="1050" w:firstLineChars="500"/>
        <w:jc w:val="right"/>
      </w:pPr>
      <w:r>
        <w:rPr>
          <w:position w:val="-14"/>
        </w:rPr>
        <w:object>
          <v:shape id="_x0000_i1025" o:spt="75" type="#_x0000_t75" style="height:18.8pt;width:98.9pt;" o:ole="t" filled="f" o:preferrelative="t" stroked="f" coordsize="21600,21600">
            <v:path/>
            <v:fill on="f" focussize="0,0"/>
            <v:stroke on="f" joinstyle="miter"/>
            <v:imagedata r:id="rId10" o:title=""/>
            <o:lock v:ext="edit" aspectratio="t"/>
            <w10:wrap type="none"/>
            <w10:anchorlock/>
          </v:shape>
          <o:OLEObject Type="Embed" ProgID="Equation.DSMT4" ShapeID="_x0000_i1025" DrawAspect="Content" ObjectID="_1468075725" r:id="rId9">
            <o:LockedField>false</o:LockedField>
          </o:OLEObject>
        </w:object>
      </w:r>
      <w:r>
        <w:t xml:space="preserve">                      （6.2.1）</w:t>
      </w:r>
    </w:p>
    <w:p>
      <w:pPr>
        <w:pStyle w:val="64"/>
        <w:spacing w:line="360" w:lineRule="auto"/>
        <w:textAlignment w:val="center"/>
      </w:pPr>
      <w:bookmarkStart w:id="301" w:name="_Toc243285230"/>
      <w:bookmarkStart w:id="302" w:name="_Toc15053059"/>
      <w:bookmarkStart w:id="303" w:name="_Toc514685645"/>
      <w:r>
        <w:t>式中：</w:t>
      </w:r>
      <w:r>
        <w:object>
          <v:shape id="_x0000_i1026" o:spt="75" type="#_x0000_t75" style="height:18.8pt;width:21.9pt;" o:ole="t" filled="f" o:preferrelative="t" stroked="f" coordsize="21600,21600">
            <v:path/>
            <v:fill on="f" focussize="0,0"/>
            <v:stroke on="f" joinstyle="miter"/>
            <v:imagedata r:id="rId12" o:title=""/>
            <o:lock v:ext="edit" aspectratio="t"/>
            <w10:wrap type="none"/>
            <w10:anchorlock/>
          </v:shape>
          <o:OLEObject Type="Embed" ProgID="Equation.DSMT4" ShapeID="_x0000_i1026" DrawAspect="Content" ObjectID="_1468075726" r:id="rId11">
            <o:LockedField>false</o:LockedField>
          </o:OLEObject>
        </w:object>
      </w:r>
      <w:r>
        <w:t>——珊瑚骨料混凝土的配制强度（MPa）；</w:t>
      </w:r>
      <w:bookmarkEnd w:id="301"/>
      <w:bookmarkEnd w:id="302"/>
      <w:bookmarkEnd w:id="303"/>
    </w:p>
    <w:p>
      <w:pPr>
        <w:pStyle w:val="64"/>
        <w:spacing w:line="360" w:lineRule="auto"/>
        <w:ind w:left="1438" w:leftChars="342" w:hanging="720" w:hangingChars="300"/>
        <w:textAlignment w:val="center"/>
      </w:pPr>
      <w:bookmarkStart w:id="304" w:name="_Toc15053060"/>
      <w:bookmarkStart w:id="305" w:name="_Toc243285231"/>
      <w:bookmarkStart w:id="306" w:name="_Toc514685646"/>
      <w:r>
        <w:object>
          <v:shape id="_x0000_i1027" o:spt="75" type="#_x0000_t75" style="height:18.8pt;width:21.9pt;" o:ole="t" filled="f" o:preferrelative="t" stroked="f" coordsize="21600,21600">
            <v:path/>
            <v:fill on="f" focussize="0,0"/>
            <v:stroke on="f" joinstyle="miter"/>
            <v:imagedata r:id="rId14" o:title=""/>
            <o:lock v:ext="edit" aspectratio="t"/>
            <w10:wrap type="none"/>
            <w10:anchorlock/>
          </v:shape>
          <o:OLEObject Type="Embed" ProgID="Equation.DSMT4" ShapeID="_x0000_i1027" DrawAspect="Content" ObjectID="_1468075727" r:id="rId13">
            <o:LockedField>false</o:LockedField>
          </o:OLEObject>
        </w:object>
      </w:r>
      <w:r>
        <w:t>——珊瑚骨料混凝土立方体抗压强度标准值，取礁砂混凝土的设计强度等级值（MPa）；</w:t>
      </w:r>
      <w:bookmarkEnd w:id="304"/>
      <w:bookmarkEnd w:id="305"/>
      <w:bookmarkEnd w:id="306"/>
    </w:p>
    <w:p>
      <w:pPr>
        <w:pStyle w:val="64"/>
        <w:spacing w:line="360" w:lineRule="auto"/>
        <w:ind w:firstLine="960" w:firstLineChars="400"/>
        <w:textAlignment w:val="center"/>
      </w:pPr>
      <w:bookmarkStart w:id="307" w:name="_Toc15053061"/>
      <w:bookmarkStart w:id="308" w:name="_Toc243285232"/>
      <w:bookmarkStart w:id="309" w:name="_Toc514685647"/>
      <w:r>
        <w:object>
          <v:shape id="_x0000_i1028" o:spt="75" type="#_x0000_t75" style="height:11.25pt;width:11.9pt;" o:ole="t" filled="f" o:preferrelative="t" stroked="f" coordsize="21600,21600">
            <v:path/>
            <v:fill on="f" focussize="0,0"/>
            <v:stroke on="f" joinstyle="miter"/>
            <v:imagedata r:id="rId16" o:title=""/>
            <o:lock v:ext="edit" aspectratio="t"/>
            <w10:wrap type="none"/>
            <w10:anchorlock/>
          </v:shape>
          <o:OLEObject Type="Embed" ProgID="Equation.3" ShapeID="_x0000_i1028" DrawAspect="Content" ObjectID="_1468075728" r:id="rId15">
            <o:LockedField>false</o:LockedField>
          </o:OLEObject>
        </w:object>
      </w:r>
      <w:r>
        <w:t>——珊瑚骨料混凝土的强度标准差（MPa）。</w:t>
      </w:r>
      <w:bookmarkEnd w:id="307"/>
      <w:bookmarkEnd w:id="308"/>
      <w:bookmarkEnd w:id="309"/>
    </w:p>
    <w:p>
      <w:pPr>
        <w:spacing w:beforeLines="50" w:line="360" w:lineRule="auto"/>
        <w:rPr>
          <w:sz w:val="24"/>
          <w:szCs w:val="24"/>
        </w:rPr>
      </w:pPr>
      <w:r>
        <w:rPr>
          <w:b/>
          <w:sz w:val="24"/>
          <w:szCs w:val="24"/>
        </w:rPr>
        <w:t>6.2.2</w:t>
      </w:r>
      <w:r>
        <w:rPr>
          <w:sz w:val="24"/>
          <w:szCs w:val="24"/>
        </w:rPr>
        <w:t xml:space="preserve">  珊瑚骨料混凝土强度标准差应按下列规定确定：</w:t>
      </w:r>
    </w:p>
    <w:p>
      <w:pPr>
        <w:spacing w:line="360" w:lineRule="auto"/>
        <w:ind w:firstLine="482" w:firstLineChars="200"/>
        <w:rPr>
          <w:sz w:val="24"/>
          <w:szCs w:val="24"/>
        </w:rPr>
      </w:pPr>
      <w:r>
        <w:rPr>
          <w:b/>
          <w:bCs/>
          <w:sz w:val="24"/>
          <w:szCs w:val="24"/>
        </w:rPr>
        <w:t>1</w:t>
      </w:r>
      <w:r>
        <w:rPr>
          <w:sz w:val="24"/>
          <w:szCs w:val="24"/>
        </w:rPr>
        <w:t xml:space="preserve">  当具有3个月以内的同一品种、同一强度等级的珊瑚骨料混凝土强度资料，且试件组数不小于30组时，其珊瑚骨料混凝土强度标准差</w:t>
      </w:r>
      <w:r>
        <w:rPr>
          <w:i/>
          <w:sz w:val="24"/>
          <w:szCs w:val="24"/>
        </w:rPr>
        <w:t>σ</w:t>
      </w:r>
      <w:r>
        <w:rPr>
          <w:sz w:val="24"/>
          <w:szCs w:val="24"/>
        </w:rPr>
        <w:t>应按下式计算：</w:t>
      </w:r>
    </w:p>
    <w:p>
      <w:pPr>
        <w:tabs>
          <w:tab w:val="left" w:pos="7920"/>
        </w:tabs>
        <w:spacing w:line="360" w:lineRule="auto"/>
        <w:jc w:val="right"/>
        <w:rPr>
          <w:sz w:val="24"/>
          <w:szCs w:val="24"/>
        </w:rPr>
      </w:pPr>
      <w:r>
        <w:rPr>
          <w:position w:val="-26"/>
          <w:sz w:val="24"/>
          <w:szCs w:val="24"/>
        </w:rPr>
        <w:object>
          <v:shape id="_x0000_i1029" o:spt="75" type="#_x0000_t75" style="height:42.55pt;width:103.3pt;" o:ole="t" filled="f" o:preferrelative="t" stroked="f" coordsize="21600,21600">
            <v:path/>
            <v:fill on="f" focussize="0,0"/>
            <v:stroke on="f" joinstyle="miter"/>
            <v:imagedata r:id="rId18" o:title=""/>
            <o:lock v:ext="edit" aspectratio="t"/>
            <w10:wrap type="none"/>
            <w10:anchorlock/>
          </v:shape>
          <o:OLEObject Type="Embed" ProgID="Equation.DSMT4" ShapeID="_x0000_i1029" DrawAspect="Content" ObjectID="_1468075729" r:id="rId17">
            <o:LockedField>false</o:LockedField>
          </o:OLEObject>
        </w:object>
      </w:r>
      <w:r>
        <w:rPr>
          <w:sz w:val="24"/>
          <w:szCs w:val="24"/>
        </w:rPr>
        <w:t xml:space="preserve">                      （6.2.2）</w:t>
      </w:r>
    </w:p>
    <w:p>
      <w:pPr>
        <w:tabs>
          <w:tab w:val="left" w:pos="7920"/>
        </w:tabs>
        <w:spacing w:line="360" w:lineRule="auto"/>
        <w:rPr>
          <w:sz w:val="24"/>
          <w:szCs w:val="24"/>
        </w:rPr>
      </w:pPr>
      <w:r>
        <w:rPr>
          <w:sz w:val="24"/>
          <w:szCs w:val="24"/>
        </w:rPr>
        <w:t xml:space="preserve">式中： </w:t>
      </w:r>
      <w:r>
        <w:rPr>
          <w:i/>
          <w:sz w:val="24"/>
          <w:szCs w:val="24"/>
        </w:rPr>
        <w:t>σ</w:t>
      </w:r>
      <w:r>
        <w:rPr>
          <w:sz w:val="24"/>
          <w:szCs w:val="24"/>
        </w:rPr>
        <w:t>——珊瑚骨料混凝土强度标准差（MPa）；</w:t>
      </w:r>
    </w:p>
    <w:p>
      <w:pPr>
        <w:tabs>
          <w:tab w:val="left" w:pos="7920"/>
        </w:tabs>
        <w:spacing w:line="360" w:lineRule="auto"/>
        <w:ind w:left="630" w:leftChars="300"/>
        <w:rPr>
          <w:sz w:val="24"/>
          <w:szCs w:val="24"/>
        </w:rPr>
      </w:pPr>
      <w:r>
        <w:rPr>
          <w:i/>
          <w:sz w:val="24"/>
          <w:szCs w:val="24"/>
        </w:rPr>
        <w:t>f</w:t>
      </w:r>
      <w:r>
        <w:rPr>
          <w:sz w:val="24"/>
          <w:szCs w:val="24"/>
          <w:vertAlign w:val="subscript"/>
        </w:rPr>
        <w:t>cu</w:t>
      </w:r>
      <w:r>
        <w:rPr>
          <w:i/>
          <w:sz w:val="24"/>
          <w:szCs w:val="24"/>
          <w:vertAlign w:val="subscript"/>
        </w:rPr>
        <w:t>,i</w:t>
      </w:r>
      <w:r>
        <w:rPr>
          <w:sz w:val="24"/>
          <w:szCs w:val="24"/>
        </w:rPr>
        <w:t>——第</w:t>
      </w:r>
      <w:r>
        <w:rPr>
          <w:i/>
          <w:sz w:val="24"/>
          <w:szCs w:val="24"/>
        </w:rPr>
        <w:t>i</w:t>
      </w:r>
      <w:r>
        <w:rPr>
          <w:sz w:val="24"/>
          <w:szCs w:val="24"/>
        </w:rPr>
        <w:t>组的试件强度（MPa）；</w:t>
      </w:r>
    </w:p>
    <w:p>
      <w:pPr>
        <w:tabs>
          <w:tab w:val="left" w:pos="7920"/>
        </w:tabs>
        <w:spacing w:line="360" w:lineRule="auto"/>
        <w:ind w:firstLine="600" w:firstLineChars="250"/>
        <w:rPr>
          <w:sz w:val="24"/>
          <w:szCs w:val="24"/>
        </w:rPr>
      </w:pPr>
      <w:r>
        <w:rPr>
          <w:i/>
          <w:sz w:val="24"/>
          <w:szCs w:val="24"/>
        </w:rPr>
        <w:t>m</w:t>
      </w:r>
      <w:r>
        <w:rPr>
          <w:sz w:val="24"/>
          <w:szCs w:val="24"/>
          <w:vertAlign w:val="subscript"/>
        </w:rPr>
        <w:t>fcu</w:t>
      </w:r>
      <w:r>
        <w:rPr>
          <w:sz w:val="24"/>
          <w:szCs w:val="24"/>
        </w:rPr>
        <w:t>——</w:t>
      </w:r>
      <w:r>
        <w:rPr>
          <w:i/>
          <w:sz w:val="24"/>
          <w:szCs w:val="24"/>
        </w:rPr>
        <w:t>n</w:t>
      </w:r>
      <w:r>
        <w:rPr>
          <w:sz w:val="24"/>
          <w:szCs w:val="24"/>
        </w:rPr>
        <w:t>组试件的强度平均值（MPa）；</w:t>
      </w:r>
    </w:p>
    <w:p>
      <w:pPr>
        <w:tabs>
          <w:tab w:val="left" w:pos="7920"/>
        </w:tabs>
        <w:spacing w:line="360" w:lineRule="auto"/>
        <w:ind w:left="882" w:leftChars="420"/>
        <w:rPr>
          <w:sz w:val="24"/>
          <w:szCs w:val="24"/>
        </w:rPr>
      </w:pPr>
      <w:r>
        <w:rPr>
          <w:i/>
          <w:sz w:val="24"/>
          <w:szCs w:val="24"/>
        </w:rPr>
        <w:t>n</w:t>
      </w:r>
      <w:r>
        <w:rPr>
          <w:sz w:val="24"/>
          <w:szCs w:val="24"/>
        </w:rPr>
        <w:t>——试件组数。</w:t>
      </w:r>
    </w:p>
    <w:p>
      <w:pPr>
        <w:spacing w:line="360" w:lineRule="auto"/>
        <w:ind w:firstLine="482" w:firstLineChars="200"/>
        <w:rPr>
          <w:sz w:val="24"/>
          <w:szCs w:val="24"/>
        </w:rPr>
      </w:pPr>
      <w:r>
        <w:rPr>
          <w:b/>
          <w:bCs/>
          <w:sz w:val="24"/>
          <w:szCs w:val="24"/>
        </w:rPr>
        <w:t xml:space="preserve">2 </w:t>
      </w:r>
      <w:r>
        <w:rPr>
          <w:sz w:val="24"/>
          <w:szCs w:val="24"/>
        </w:rPr>
        <w:t xml:space="preserve"> 当没有近期的同一品种、同一强度等级的珊瑚骨料混凝土强度资料时，或当采用非统计方法评定强度时，珊瑚骨料混凝土强度标准差σ可按表6.2.2取值。</w:t>
      </w:r>
    </w:p>
    <w:p>
      <w:pPr>
        <w:topLinePunct/>
        <w:adjustRightInd w:val="0"/>
        <w:jc w:val="center"/>
        <w:rPr>
          <w:rFonts w:eastAsia="黑体"/>
          <w:bCs/>
        </w:rPr>
      </w:pPr>
      <w:r>
        <w:rPr>
          <w:rFonts w:eastAsia="黑体"/>
          <w:bCs/>
        </w:rPr>
        <w:t>表6.2.2  强度标准差σ取值表</w:t>
      </w:r>
    </w:p>
    <w:tbl>
      <w:tblPr>
        <w:tblStyle w:val="29"/>
        <w:tblW w:w="816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96"/>
        <w:gridCol w:w="1864"/>
        <w:gridCol w:w="1864"/>
        <w:gridCol w:w="1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2796" w:type="dxa"/>
            <w:vAlign w:val="center"/>
          </w:tcPr>
          <w:p>
            <w:pPr>
              <w:pStyle w:val="17"/>
              <w:jc w:val="center"/>
              <w:rPr>
                <w:rFonts w:ascii="Times New Roman" w:hAnsi="Times New Roman"/>
              </w:rPr>
            </w:pPr>
            <w:r>
              <w:rPr>
                <w:rFonts w:ascii="Times New Roman" w:hAnsi="Times New Roman"/>
                <w:lang w:eastAsia="zh-CN"/>
              </w:rPr>
              <w:t>珊瑚骨料</w:t>
            </w:r>
            <w:r>
              <w:rPr>
                <w:rFonts w:ascii="Times New Roman" w:hAnsi="Times New Roman"/>
              </w:rPr>
              <w:t>混凝土强度等级</w:t>
            </w:r>
          </w:p>
        </w:tc>
        <w:tc>
          <w:tcPr>
            <w:tcW w:w="1864" w:type="dxa"/>
            <w:vAlign w:val="center"/>
          </w:tcPr>
          <w:p>
            <w:pPr>
              <w:pStyle w:val="17"/>
              <w:jc w:val="center"/>
              <w:rPr>
                <w:rFonts w:ascii="Times New Roman" w:hAnsi="Times New Roman"/>
              </w:rPr>
            </w:pPr>
            <w:r>
              <w:rPr>
                <w:rFonts w:ascii="Times New Roman" w:hAnsi="Times New Roman"/>
              </w:rPr>
              <w:t>低于C20</w:t>
            </w:r>
          </w:p>
        </w:tc>
        <w:tc>
          <w:tcPr>
            <w:tcW w:w="1864" w:type="dxa"/>
            <w:vAlign w:val="center"/>
          </w:tcPr>
          <w:p>
            <w:pPr>
              <w:pStyle w:val="17"/>
              <w:jc w:val="center"/>
              <w:rPr>
                <w:rFonts w:ascii="Times New Roman" w:hAnsi="Times New Roman"/>
              </w:rPr>
            </w:pPr>
            <w:r>
              <w:rPr>
                <w:rFonts w:ascii="Times New Roman" w:hAnsi="Times New Roman"/>
              </w:rPr>
              <w:t>C20～C35</w:t>
            </w:r>
          </w:p>
        </w:tc>
        <w:tc>
          <w:tcPr>
            <w:tcW w:w="1645" w:type="dxa"/>
            <w:vAlign w:val="center"/>
          </w:tcPr>
          <w:p>
            <w:pPr>
              <w:pStyle w:val="17"/>
              <w:jc w:val="center"/>
              <w:rPr>
                <w:rFonts w:ascii="Times New Roman" w:hAnsi="Times New Roman"/>
              </w:rPr>
            </w:pPr>
            <w:r>
              <w:rPr>
                <w:rFonts w:ascii="Times New Roman" w:hAnsi="Times New Roman"/>
              </w:rPr>
              <w:t>高于C35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2796" w:type="dxa"/>
            <w:vAlign w:val="center"/>
          </w:tcPr>
          <w:p>
            <w:pPr>
              <w:pStyle w:val="17"/>
              <w:jc w:val="center"/>
              <w:rPr>
                <w:rFonts w:ascii="Times New Roman" w:hAnsi="Times New Roman"/>
              </w:rPr>
            </w:pPr>
            <w:r>
              <w:rPr>
                <w:rFonts w:ascii="Times New Roman" w:hAnsi="Times New Roman" w:eastAsia="黑体"/>
                <w:i/>
              </w:rPr>
              <w:t>σ</w:t>
            </w:r>
            <w:r>
              <w:rPr>
                <w:rFonts w:ascii="Times New Roman" w:hAnsi="Times New Roman" w:eastAsia="黑体"/>
              </w:rPr>
              <w:t>（MPa）</w:t>
            </w:r>
          </w:p>
        </w:tc>
        <w:tc>
          <w:tcPr>
            <w:tcW w:w="1864" w:type="dxa"/>
            <w:vAlign w:val="center"/>
          </w:tcPr>
          <w:p>
            <w:pPr>
              <w:pStyle w:val="17"/>
              <w:jc w:val="center"/>
              <w:rPr>
                <w:rFonts w:ascii="Times New Roman" w:hAnsi="Times New Roman"/>
              </w:rPr>
            </w:pPr>
            <w:r>
              <w:rPr>
                <w:rFonts w:ascii="Times New Roman" w:hAnsi="Times New Roman"/>
              </w:rPr>
              <w:t>4.0</w:t>
            </w:r>
          </w:p>
        </w:tc>
        <w:tc>
          <w:tcPr>
            <w:tcW w:w="1864" w:type="dxa"/>
            <w:vAlign w:val="center"/>
          </w:tcPr>
          <w:p>
            <w:pPr>
              <w:pStyle w:val="17"/>
              <w:jc w:val="center"/>
              <w:rPr>
                <w:rFonts w:ascii="Times New Roman" w:hAnsi="Times New Roman"/>
              </w:rPr>
            </w:pPr>
            <w:r>
              <w:rPr>
                <w:rFonts w:ascii="Times New Roman" w:hAnsi="Times New Roman"/>
              </w:rPr>
              <w:t>5.0</w:t>
            </w:r>
          </w:p>
        </w:tc>
        <w:tc>
          <w:tcPr>
            <w:tcW w:w="1645" w:type="dxa"/>
            <w:vAlign w:val="center"/>
          </w:tcPr>
          <w:p>
            <w:pPr>
              <w:pStyle w:val="17"/>
              <w:jc w:val="center"/>
              <w:rPr>
                <w:rFonts w:ascii="Times New Roman" w:hAnsi="Times New Roman"/>
              </w:rPr>
            </w:pPr>
            <w:r>
              <w:rPr>
                <w:rFonts w:ascii="Times New Roman" w:hAnsi="Times New Roman"/>
              </w:rPr>
              <w:t>6.0</w:t>
            </w:r>
          </w:p>
        </w:tc>
      </w:tr>
    </w:tbl>
    <w:p>
      <w:pPr>
        <w:spacing w:beforeLines="100" w:afterLines="100" w:line="300" w:lineRule="auto"/>
        <w:jc w:val="center"/>
        <w:outlineLvl w:val="1"/>
        <w:rPr>
          <w:b/>
          <w:bCs/>
          <w:sz w:val="24"/>
          <w:szCs w:val="24"/>
        </w:rPr>
      </w:pPr>
      <w:bookmarkStart w:id="310" w:name="_Toc486247772"/>
      <w:bookmarkStart w:id="311" w:name="_Toc11314"/>
      <w:bookmarkStart w:id="312" w:name="_Toc7899"/>
      <w:bookmarkStart w:id="313" w:name="_Toc472351342"/>
      <w:bookmarkStart w:id="314" w:name="_Toc513811961"/>
      <w:bookmarkStart w:id="315" w:name="_Toc15053062"/>
      <w:bookmarkStart w:id="316" w:name="_Toc509849516"/>
      <w:bookmarkStart w:id="317" w:name="_Toc514685648"/>
      <w:r>
        <w:rPr>
          <w:b/>
          <w:bCs/>
          <w:sz w:val="24"/>
          <w:szCs w:val="24"/>
        </w:rPr>
        <w:t>6.3耐久性能和长期性能要求</w:t>
      </w:r>
      <w:bookmarkEnd w:id="310"/>
      <w:bookmarkEnd w:id="311"/>
      <w:bookmarkEnd w:id="312"/>
      <w:bookmarkEnd w:id="313"/>
      <w:bookmarkEnd w:id="314"/>
      <w:bookmarkEnd w:id="315"/>
      <w:bookmarkEnd w:id="316"/>
      <w:bookmarkEnd w:id="317"/>
    </w:p>
    <w:p>
      <w:pPr>
        <w:spacing w:line="360" w:lineRule="auto"/>
        <w:rPr>
          <w:sz w:val="24"/>
          <w:szCs w:val="24"/>
        </w:rPr>
      </w:pPr>
      <w:r>
        <w:rPr>
          <w:b/>
          <w:sz w:val="24"/>
          <w:szCs w:val="24"/>
        </w:rPr>
        <w:t>6.3.1</w:t>
      </w:r>
      <w:r>
        <w:rPr>
          <w:sz w:val="24"/>
          <w:szCs w:val="24"/>
        </w:rPr>
        <w:t xml:space="preserve">  珊瑚骨料混凝土的耐久性能和长期性能应按照设计文件要求进行配合比设计；设计文件未提出珊瑚骨料混凝土耐久性能要求时，珊瑚骨料混凝土配合比设计可参考《混凝土结构耐久性设计规范》GB/T 50476对混凝土耐久性的规定。</w:t>
      </w:r>
    </w:p>
    <w:p>
      <w:pPr>
        <w:pStyle w:val="17"/>
        <w:spacing w:line="360" w:lineRule="auto"/>
        <w:rPr>
          <w:rFonts w:ascii="Times New Roman" w:hAnsi="Times New Roman"/>
          <w:sz w:val="24"/>
          <w:szCs w:val="24"/>
        </w:rPr>
      </w:pPr>
      <w:r>
        <w:rPr>
          <w:rFonts w:ascii="Times New Roman" w:hAnsi="Times New Roman"/>
          <w:b/>
          <w:sz w:val="24"/>
          <w:szCs w:val="24"/>
          <w:lang w:val="en-US" w:eastAsia="zh-CN"/>
        </w:rPr>
        <w:t>6.3.2</w:t>
      </w:r>
      <w:r>
        <w:rPr>
          <w:rFonts w:ascii="Times New Roman" w:hAnsi="Times New Roman"/>
          <w:sz w:val="24"/>
          <w:szCs w:val="24"/>
        </w:rPr>
        <w:t xml:space="preserve"> </w:t>
      </w:r>
      <w:r>
        <w:rPr>
          <w:rFonts w:ascii="Times New Roman" w:hAnsi="Times New Roman"/>
          <w:sz w:val="24"/>
          <w:szCs w:val="24"/>
          <w:lang w:eastAsia="zh-CN"/>
        </w:rPr>
        <w:t xml:space="preserve"> </w:t>
      </w:r>
      <w:r>
        <w:rPr>
          <w:rFonts w:ascii="Times New Roman" w:hAnsi="Times New Roman"/>
          <w:sz w:val="24"/>
          <w:szCs w:val="24"/>
        </w:rPr>
        <w:t>在配合比设计过程中，应经试验确定</w:t>
      </w:r>
      <w:r>
        <w:rPr>
          <w:rFonts w:ascii="Times New Roman" w:hAnsi="Times New Roman"/>
          <w:sz w:val="24"/>
          <w:szCs w:val="24"/>
          <w:lang w:eastAsia="zh-CN"/>
        </w:rPr>
        <w:t>珊瑚骨料</w:t>
      </w:r>
      <w:r>
        <w:rPr>
          <w:rFonts w:ascii="Times New Roman" w:hAnsi="Times New Roman"/>
          <w:sz w:val="24"/>
          <w:szCs w:val="24"/>
        </w:rPr>
        <w:t>混凝土配合比是否符合耐久性能和长期性能的规定。</w:t>
      </w:r>
    </w:p>
    <w:p>
      <w:pPr>
        <w:pStyle w:val="17"/>
        <w:spacing w:line="360" w:lineRule="auto"/>
        <w:rPr>
          <w:rFonts w:ascii="Times New Roman" w:hAnsi="Times New Roman"/>
          <w:sz w:val="24"/>
          <w:szCs w:val="24"/>
          <w:lang w:eastAsia="zh-CN"/>
        </w:rPr>
      </w:pPr>
      <w:r>
        <w:rPr>
          <w:rFonts w:ascii="Times New Roman" w:hAnsi="Times New Roman"/>
          <w:b/>
          <w:sz w:val="24"/>
          <w:szCs w:val="24"/>
          <w:lang w:eastAsia="zh-CN"/>
        </w:rPr>
        <w:t>6</w:t>
      </w:r>
      <w:r>
        <w:rPr>
          <w:rFonts w:ascii="Times New Roman" w:hAnsi="Times New Roman"/>
          <w:b/>
          <w:sz w:val="24"/>
          <w:szCs w:val="24"/>
          <w:lang w:val="en-US" w:eastAsia="zh-CN"/>
        </w:rPr>
        <w:t>.3.3</w:t>
      </w:r>
      <w:r>
        <w:rPr>
          <w:rFonts w:ascii="Times New Roman" w:hAnsi="Times New Roman"/>
          <w:sz w:val="24"/>
          <w:szCs w:val="24"/>
        </w:rPr>
        <w:t xml:space="preserve"> </w:t>
      </w:r>
      <w:r>
        <w:rPr>
          <w:rFonts w:ascii="Times New Roman" w:hAnsi="Times New Roman"/>
          <w:sz w:val="24"/>
          <w:szCs w:val="24"/>
          <w:lang w:eastAsia="zh-CN"/>
        </w:rPr>
        <w:t xml:space="preserve"> 具有抗裂要求的珊瑚骨料</w:t>
      </w:r>
      <w:r>
        <w:rPr>
          <w:rFonts w:ascii="Times New Roman" w:hAnsi="Times New Roman"/>
          <w:sz w:val="24"/>
          <w:szCs w:val="24"/>
        </w:rPr>
        <w:t>混凝土</w:t>
      </w:r>
      <w:r>
        <w:rPr>
          <w:rFonts w:ascii="Times New Roman" w:hAnsi="Times New Roman"/>
          <w:sz w:val="24"/>
          <w:szCs w:val="24"/>
          <w:lang w:eastAsia="zh-CN"/>
        </w:rPr>
        <w:t>配合比设计时，</w:t>
      </w:r>
      <w:r>
        <w:rPr>
          <w:rFonts w:ascii="Times New Roman" w:hAnsi="Times New Roman"/>
          <w:sz w:val="24"/>
          <w:szCs w:val="24"/>
        </w:rPr>
        <w:t>净水胶比不宜大于0.50，</w:t>
      </w:r>
      <w:r>
        <w:rPr>
          <w:rFonts w:ascii="Times New Roman" w:hAnsi="Times New Roman"/>
          <w:sz w:val="24"/>
          <w:szCs w:val="24"/>
          <w:lang w:eastAsia="zh-CN"/>
        </w:rPr>
        <w:t>并</w:t>
      </w:r>
      <w:r>
        <w:rPr>
          <w:rFonts w:ascii="Times New Roman" w:hAnsi="Times New Roman"/>
          <w:sz w:val="24"/>
          <w:szCs w:val="24"/>
        </w:rPr>
        <w:t>宜采用聚羧酸系高性能减水剂</w:t>
      </w:r>
      <w:r>
        <w:rPr>
          <w:rFonts w:ascii="Times New Roman" w:hAnsi="Times New Roman"/>
          <w:sz w:val="24"/>
          <w:szCs w:val="24"/>
          <w:lang w:eastAsia="zh-CN"/>
        </w:rPr>
        <w:t>。</w:t>
      </w:r>
    </w:p>
    <w:p>
      <w:pPr>
        <w:spacing w:line="360" w:lineRule="auto"/>
        <w:rPr>
          <w:b/>
          <w:sz w:val="24"/>
          <w:szCs w:val="24"/>
        </w:rPr>
      </w:pPr>
      <w:r>
        <w:rPr>
          <w:b/>
          <w:sz w:val="24"/>
          <w:szCs w:val="24"/>
        </w:rPr>
        <w:t>6.3.4</w:t>
      </w:r>
      <w:r>
        <w:rPr>
          <w:sz w:val="24"/>
          <w:szCs w:val="24"/>
        </w:rPr>
        <w:t xml:space="preserve">  具有抗渗要求的珊瑚骨料混凝土配合比设计应符合下列规定：</w:t>
      </w:r>
    </w:p>
    <w:p>
      <w:pPr>
        <w:spacing w:line="360" w:lineRule="auto"/>
        <w:ind w:firstLine="482" w:firstLineChars="200"/>
        <w:rPr>
          <w:sz w:val="24"/>
          <w:szCs w:val="24"/>
        </w:rPr>
      </w:pPr>
      <w:r>
        <w:rPr>
          <w:b/>
          <w:bCs/>
          <w:sz w:val="24"/>
          <w:szCs w:val="24"/>
        </w:rPr>
        <w:t>1</w:t>
      </w:r>
      <w:r>
        <w:rPr>
          <w:sz w:val="24"/>
          <w:szCs w:val="24"/>
        </w:rPr>
        <w:t xml:space="preserve">  最大净水胶比应符合表6.3.4的规定；</w:t>
      </w:r>
    </w:p>
    <w:p>
      <w:pPr>
        <w:topLinePunct/>
        <w:adjustRightInd w:val="0"/>
        <w:jc w:val="center"/>
        <w:rPr>
          <w:rFonts w:eastAsia="黑体"/>
          <w:bCs/>
        </w:rPr>
      </w:pPr>
      <w:r>
        <w:rPr>
          <w:rFonts w:eastAsia="黑体"/>
          <w:bCs/>
        </w:rPr>
        <w:t>表6.3.4  最大净水胶比</w:t>
      </w:r>
    </w:p>
    <w:tbl>
      <w:tblPr>
        <w:tblStyle w:val="29"/>
        <w:tblW w:w="7917" w:type="dxa"/>
        <w:tblInd w:w="3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8"/>
        <w:gridCol w:w="38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trPr>
        <w:tc>
          <w:tcPr>
            <w:tcW w:w="4078" w:type="dxa"/>
            <w:vAlign w:val="center"/>
          </w:tcPr>
          <w:p>
            <w:pPr>
              <w:spacing w:line="240" w:lineRule="exact"/>
              <w:jc w:val="center"/>
            </w:pPr>
            <w:r>
              <w:t>设计抗渗等级</w:t>
            </w:r>
          </w:p>
        </w:tc>
        <w:tc>
          <w:tcPr>
            <w:tcW w:w="3839" w:type="dxa"/>
            <w:vAlign w:val="center"/>
          </w:tcPr>
          <w:p>
            <w:pPr>
              <w:spacing w:line="240" w:lineRule="exact"/>
              <w:jc w:val="center"/>
            </w:pPr>
            <w:r>
              <w:t>最大净水胶比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trPr>
        <w:tc>
          <w:tcPr>
            <w:tcW w:w="4078" w:type="dxa"/>
            <w:vAlign w:val="center"/>
          </w:tcPr>
          <w:p>
            <w:pPr>
              <w:spacing w:line="240" w:lineRule="exact"/>
              <w:jc w:val="center"/>
            </w:pPr>
            <w:r>
              <w:t>P6</w:t>
            </w:r>
          </w:p>
        </w:tc>
        <w:tc>
          <w:tcPr>
            <w:tcW w:w="3839" w:type="dxa"/>
            <w:vAlign w:val="center"/>
          </w:tcPr>
          <w:p>
            <w:pPr>
              <w:spacing w:line="240" w:lineRule="exact"/>
              <w:jc w:val="center"/>
            </w:pPr>
            <w: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trPr>
        <w:tc>
          <w:tcPr>
            <w:tcW w:w="4078" w:type="dxa"/>
            <w:vAlign w:val="center"/>
          </w:tcPr>
          <w:p>
            <w:pPr>
              <w:spacing w:line="240" w:lineRule="exact"/>
              <w:jc w:val="center"/>
            </w:pPr>
            <w:r>
              <w:t>P8~P12</w:t>
            </w:r>
          </w:p>
        </w:tc>
        <w:tc>
          <w:tcPr>
            <w:tcW w:w="3839" w:type="dxa"/>
            <w:vAlign w:val="center"/>
          </w:tcPr>
          <w:p>
            <w:pPr>
              <w:spacing w:line="240" w:lineRule="exact"/>
              <w:jc w:val="center"/>
            </w:pPr>
            <w:r>
              <w:t>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trPr>
        <w:tc>
          <w:tcPr>
            <w:tcW w:w="4078" w:type="dxa"/>
            <w:vAlign w:val="center"/>
          </w:tcPr>
          <w:p>
            <w:pPr>
              <w:spacing w:line="240" w:lineRule="exact"/>
              <w:jc w:val="center"/>
            </w:pPr>
            <w:r>
              <w:t>&gt; P12</w:t>
            </w:r>
          </w:p>
        </w:tc>
        <w:tc>
          <w:tcPr>
            <w:tcW w:w="3839" w:type="dxa"/>
            <w:vAlign w:val="center"/>
          </w:tcPr>
          <w:p>
            <w:pPr>
              <w:spacing w:line="240" w:lineRule="exact"/>
              <w:jc w:val="center"/>
            </w:pPr>
            <w:r>
              <w:t>0.40</w:t>
            </w:r>
          </w:p>
        </w:tc>
      </w:tr>
    </w:tbl>
    <w:p>
      <w:pPr>
        <w:spacing w:line="360" w:lineRule="auto"/>
        <w:ind w:firstLine="482" w:firstLineChars="200"/>
        <w:rPr>
          <w:sz w:val="24"/>
          <w:szCs w:val="24"/>
        </w:rPr>
      </w:pPr>
      <w:r>
        <w:rPr>
          <w:b/>
          <w:bCs/>
          <w:sz w:val="24"/>
          <w:szCs w:val="24"/>
        </w:rPr>
        <w:t>2</w:t>
      </w:r>
      <w:r>
        <w:rPr>
          <w:sz w:val="24"/>
          <w:szCs w:val="24"/>
        </w:rPr>
        <w:t xml:space="preserve">  每立方米珊瑚骨料混凝土中的胶凝材料不宜小于350kg；</w:t>
      </w:r>
    </w:p>
    <w:p>
      <w:pPr>
        <w:spacing w:line="360" w:lineRule="auto"/>
        <w:ind w:firstLine="482" w:firstLineChars="200"/>
        <w:rPr>
          <w:sz w:val="24"/>
          <w:szCs w:val="24"/>
        </w:rPr>
      </w:pPr>
      <w:r>
        <w:rPr>
          <w:b/>
          <w:bCs/>
          <w:sz w:val="24"/>
          <w:szCs w:val="24"/>
        </w:rPr>
        <w:t>3</w:t>
      </w:r>
      <w:r>
        <w:rPr>
          <w:sz w:val="24"/>
          <w:szCs w:val="24"/>
        </w:rPr>
        <w:t xml:space="preserve">  配制具有抗渗要求的珊瑚骨料混凝土的抗渗水压值应比设计值提高0.2 MPa；抗渗试验结果应符合下式规定：</w:t>
      </w:r>
    </w:p>
    <w:p>
      <w:pPr>
        <w:spacing w:line="360" w:lineRule="auto"/>
        <w:ind w:firstLine="480" w:firstLineChars="200"/>
        <w:jc w:val="right"/>
        <w:rPr>
          <w:sz w:val="24"/>
          <w:szCs w:val="24"/>
        </w:rPr>
      </w:pPr>
      <w:r>
        <w:rPr>
          <w:position w:val="-12"/>
          <w:sz w:val="24"/>
          <w:szCs w:val="24"/>
        </w:rPr>
        <w:object>
          <v:shape id="_x0000_i1030" o:spt="75" type="#_x0000_t75" style="height:18.15pt;width:11.9pt;" o:ole="t" filled="f" o:preferrelative="t" stroked="f" coordsize="21600,21600">
            <v:path/>
            <v:fill on="f" focussize="0,0"/>
            <v:stroke on="f" joinstyle="miter"/>
            <v:imagedata r:id="rId20" o:title=""/>
            <o:lock v:ext="edit" aspectratio="t"/>
            <w10:wrap type="none"/>
            <w10:anchorlock/>
          </v:shape>
          <o:OLEObject Type="Embed" ProgID="Equation.DSMT4" ShapeID="_x0000_i1030" DrawAspect="Content" ObjectID="_1468075730" r:id="rId19">
            <o:LockedField>false</o:LockedField>
          </o:OLEObject>
        </w:object>
      </w:r>
      <w:r>
        <w:rPr>
          <w:sz w:val="24"/>
          <w:szCs w:val="24"/>
        </w:rPr>
        <w:t>≥</w:t>
      </w:r>
      <w:r>
        <w:rPr>
          <w:position w:val="-24"/>
          <w:sz w:val="24"/>
          <w:szCs w:val="24"/>
        </w:rPr>
        <w:object>
          <v:shape id="_x0000_i1031" o:spt="75" type="#_x0000_t75" style="height:31.3pt;width:41.95pt;" o:ole="t" filled="f" o:preferrelative="t" stroked="f" coordsize="21600,21600">
            <v:path/>
            <v:fill on="f" focussize="0,0"/>
            <v:stroke on="f" joinstyle="miter"/>
            <v:imagedata r:id="rId22" o:title=""/>
            <o:lock v:ext="edit" aspectratio="t"/>
            <w10:wrap type="none"/>
            <w10:anchorlock/>
          </v:shape>
          <o:OLEObject Type="Embed" ProgID="Equation.DSMT4" ShapeID="_x0000_i1031" DrawAspect="Content" ObjectID="_1468075731" r:id="rId21">
            <o:LockedField>false</o:LockedField>
          </o:OLEObject>
        </w:object>
      </w:r>
      <w:r>
        <w:rPr>
          <w:sz w:val="24"/>
          <w:szCs w:val="24"/>
        </w:rPr>
        <w:t xml:space="preserve">                      （5.3.4）</w:t>
      </w:r>
    </w:p>
    <w:p>
      <w:pPr>
        <w:spacing w:line="360" w:lineRule="auto"/>
        <w:rPr>
          <w:sz w:val="24"/>
          <w:szCs w:val="24"/>
        </w:rPr>
      </w:pPr>
      <w:r>
        <w:rPr>
          <w:sz w:val="24"/>
          <w:szCs w:val="24"/>
        </w:rPr>
        <w:t>式中：</w:t>
      </w:r>
      <w:r>
        <w:rPr>
          <w:i/>
          <w:sz w:val="24"/>
          <w:szCs w:val="24"/>
        </w:rPr>
        <w:t>P</w:t>
      </w:r>
      <w:r>
        <w:rPr>
          <w:sz w:val="24"/>
          <w:szCs w:val="24"/>
          <w:vertAlign w:val="subscript"/>
        </w:rPr>
        <w:t>t</w:t>
      </w:r>
      <w:r>
        <w:rPr>
          <w:sz w:val="24"/>
          <w:szCs w:val="24"/>
        </w:rPr>
        <w:t>——六个试件中不少于4个未出现渗水时的最大水压值（MPa）；</w:t>
      </w:r>
    </w:p>
    <w:p>
      <w:pPr>
        <w:spacing w:line="360" w:lineRule="auto"/>
        <w:ind w:firstLine="720" w:firstLineChars="300"/>
        <w:rPr>
          <w:sz w:val="24"/>
          <w:szCs w:val="24"/>
        </w:rPr>
      </w:pPr>
      <w:r>
        <w:rPr>
          <w:i/>
          <w:sz w:val="24"/>
          <w:szCs w:val="24"/>
        </w:rPr>
        <w:t>P</w:t>
      </w:r>
      <w:r>
        <w:rPr>
          <w:sz w:val="24"/>
          <w:szCs w:val="24"/>
        </w:rPr>
        <w:t>——设计要求的抗渗等级值。</w:t>
      </w:r>
    </w:p>
    <w:p>
      <w:pPr>
        <w:pStyle w:val="17"/>
        <w:spacing w:line="360" w:lineRule="auto"/>
        <w:rPr>
          <w:rFonts w:ascii="Times New Roman" w:hAnsi="Times New Roman"/>
          <w:sz w:val="24"/>
          <w:szCs w:val="24"/>
        </w:rPr>
      </w:pPr>
      <w:r>
        <w:rPr>
          <w:rFonts w:ascii="Times New Roman" w:hAnsi="Times New Roman"/>
          <w:b/>
          <w:sz w:val="24"/>
          <w:szCs w:val="24"/>
          <w:lang w:val="en-US" w:eastAsia="zh-CN"/>
        </w:rPr>
        <w:t>6.3.5</w:t>
      </w:r>
      <w:r>
        <w:rPr>
          <w:rFonts w:ascii="Times New Roman" w:hAnsi="Times New Roman"/>
          <w:sz w:val="24"/>
          <w:szCs w:val="24"/>
        </w:rPr>
        <w:t xml:space="preserve"> </w:t>
      </w:r>
      <w:r>
        <w:rPr>
          <w:rFonts w:ascii="Times New Roman" w:hAnsi="Times New Roman"/>
          <w:sz w:val="24"/>
          <w:szCs w:val="24"/>
          <w:lang w:eastAsia="zh-CN"/>
        </w:rPr>
        <w:t xml:space="preserve"> 具有抗氯离子渗透要求的珊瑚骨料</w:t>
      </w:r>
      <w:r>
        <w:rPr>
          <w:rFonts w:ascii="Times New Roman" w:hAnsi="Times New Roman"/>
          <w:sz w:val="24"/>
          <w:szCs w:val="24"/>
        </w:rPr>
        <w:t>混凝土配合比</w:t>
      </w:r>
      <w:r>
        <w:rPr>
          <w:rFonts w:ascii="Times New Roman" w:hAnsi="Times New Roman"/>
          <w:sz w:val="24"/>
          <w:szCs w:val="24"/>
          <w:lang w:eastAsia="zh-CN"/>
        </w:rPr>
        <w:t>设计</w:t>
      </w:r>
      <w:r>
        <w:rPr>
          <w:rFonts w:ascii="Times New Roman" w:hAnsi="Times New Roman"/>
          <w:sz w:val="24"/>
          <w:szCs w:val="24"/>
        </w:rPr>
        <w:t>宜符合下列规定：</w:t>
      </w:r>
    </w:p>
    <w:p>
      <w:pPr>
        <w:pStyle w:val="17"/>
        <w:spacing w:line="360" w:lineRule="auto"/>
        <w:ind w:firstLine="482" w:firstLineChars="200"/>
        <w:rPr>
          <w:rFonts w:ascii="Times New Roman" w:hAnsi="Times New Roman"/>
          <w:sz w:val="24"/>
          <w:szCs w:val="24"/>
        </w:rPr>
      </w:pPr>
      <w:r>
        <w:rPr>
          <w:rFonts w:ascii="Times New Roman" w:hAnsi="Times New Roman"/>
          <w:b/>
          <w:bCs/>
          <w:sz w:val="24"/>
          <w:szCs w:val="24"/>
        </w:rPr>
        <w:t>1</w:t>
      </w:r>
      <w:r>
        <w:rPr>
          <w:rFonts w:ascii="Times New Roman" w:hAnsi="Times New Roman"/>
          <w:sz w:val="24"/>
          <w:szCs w:val="24"/>
        </w:rPr>
        <w:t xml:space="preserve">  净水胶比不宜大于0.40；</w:t>
      </w:r>
    </w:p>
    <w:p>
      <w:pPr>
        <w:pStyle w:val="17"/>
        <w:spacing w:line="360" w:lineRule="auto"/>
        <w:ind w:firstLine="482" w:firstLineChars="200"/>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每立方米</w:t>
      </w:r>
      <w:r>
        <w:rPr>
          <w:rFonts w:ascii="Times New Roman" w:hAnsi="Times New Roman"/>
          <w:sz w:val="24"/>
          <w:szCs w:val="24"/>
          <w:lang w:eastAsia="zh-CN"/>
        </w:rPr>
        <w:t>珊瑚骨料</w:t>
      </w:r>
      <w:r>
        <w:rPr>
          <w:rFonts w:ascii="Times New Roman" w:hAnsi="Times New Roman"/>
          <w:sz w:val="24"/>
          <w:szCs w:val="24"/>
        </w:rPr>
        <w:t>混凝土中的胶凝材料不宜小于350kg；</w:t>
      </w:r>
    </w:p>
    <w:p>
      <w:pPr>
        <w:pStyle w:val="17"/>
        <w:spacing w:line="360" w:lineRule="auto"/>
        <w:ind w:firstLine="482" w:firstLineChars="200"/>
        <w:rPr>
          <w:rFonts w:ascii="Times New Roman" w:hAnsi="Times New Roman"/>
          <w:sz w:val="24"/>
          <w:szCs w:val="24"/>
          <w:lang w:eastAsia="zh-CN"/>
        </w:rPr>
      </w:pPr>
      <w:r>
        <w:rPr>
          <w:rFonts w:ascii="Times New Roman" w:hAnsi="Times New Roman"/>
          <w:b/>
          <w:bCs/>
          <w:sz w:val="24"/>
          <w:szCs w:val="24"/>
        </w:rPr>
        <w:t>3</w:t>
      </w:r>
      <w:r>
        <w:rPr>
          <w:rFonts w:ascii="Times New Roman" w:hAnsi="Times New Roman"/>
          <w:sz w:val="24"/>
          <w:szCs w:val="24"/>
        </w:rPr>
        <w:t xml:space="preserve">  矿物掺合料掺量不宜小于25%。</w:t>
      </w:r>
    </w:p>
    <w:p>
      <w:pPr>
        <w:spacing w:beforeLines="100" w:afterLines="100" w:line="300" w:lineRule="auto"/>
        <w:jc w:val="center"/>
        <w:outlineLvl w:val="1"/>
        <w:rPr>
          <w:b/>
          <w:bCs/>
          <w:sz w:val="24"/>
          <w:szCs w:val="24"/>
        </w:rPr>
      </w:pPr>
      <w:bookmarkStart w:id="318" w:name="_Toc513811962"/>
      <w:bookmarkStart w:id="319" w:name="_Toc509849517"/>
      <w:bookmarkStart w:id="320" w:name="_Toc20296"/>
      <w:bookmarkStart w:id="321" w:name="_Toc514685649"/>
      <w:bookmarkStart w:id="322" w:name="_Toc472351343"/>
      <w:bookmarkStart w:id="323" w:name="_Toc486247773"/>
      <w:bookmarkStart w:id="324" w:name="_Toc11804"/>
      <w:bookmarkStart w:id="325" w:name="_Toc15053063"/>
      <w:r>
        <w:rPr>
          <w:b/>
          <w:bCs/>
          <w:sz w:val="24"/>
          <w:szCs w:val="24"/>
        </w:rPr>
        <w:t>6.4  配合比设计参数选择</w:t>
      </w:r>
      <w:bookmarkEnd w:id="318"/>
      <w:bookmarkEnd w:id="319"/>
      <w:bookmarkEnd w:id="320"/>
      <w:bookmarkEnd w:id="321"/>
      <w:bookmarkEnd w:id="322"/>
      <w:bookmarkEnd w:id="323"/>
      <w:bookmarkEnd w:id="324"/>
      <w:bookmarkEnd w:id="325"/>
    </w:p>
    <w:p>
      <w:pPr>
        <w:pStyle w:val="17"/>
        <w:spacing w:line="360" w:lineRule="auto"/>
        <w:rPr>
          <w:rFonts w:ascii="Times New Roman" w:hAnsi="Times New Roman"/>
          <w:sz w:val="24"/>
          <w:szCs w:val="24"/>
          <w:lang w:val="en-US" w:eastAsia="zh-CN"/>
        </w:rPr>
      </w:pPr>
      <w:r>
        <w:rPr>
          <w:rFonts w:ascii="Times New Roman" w:hAnsi="Times New Roman"/>
          <w:b/>
          <w:sz w:val="24"/>
          <w:szCs w:val="24"/>
          <w:lang w:val="en-US" w:eastAsia="zh-CN"/>
        </w:rPr>
        <w:t>6.4.1</w:t>
      </w:r>
      <w:r>
        <w:rPr>
          <w:rFonts w:ascii="Times New Roman" w:hAnsi="Times New Roman"/>
          <w:sz w:val="24"/>
          <w:szCs w:val="24"/>
          <w:lang w:val="en-US" w:eastAsia="zh-CN"/>
        </w:rPr>
        <w:t xml:space="preserve">  C10以下强度等级和C50以上强度等级的珊瑚骨料混凝土配合比应经试验确定，其他强度等级的珊瑚骨料混凝土的胶凝材料用量可按表6.4.1选用；胶凝材料中的水泥宜为42.5级普通硅酸盐水泥。</w:t>
      </w:r>
    </w:p>
    <w:p>
      <w:pPr>
        <w:pStyle w:val="17"/>
        <w:ind w:firstLine="480"/>
        <w:jc w:val="center"/>
        <w:rPr>
          <w:rFonts w:ascii="Times New Roman" w:hAnsi="Times New Roman" w:eastAsia="黑体"/>
          <w:b/>
        </w:rPr>
      </w:pPr>
      <w:r>
        <w:rPr>
          <w:rFonts w:ascii="Times New Roman" w:hAnsi="Times New Roman" w:eastAsia="黑体"/>
          <w:lang w:val="en-US" w:eastAsia="zh-CN"/>
        </w:rPr>
        <w:t>表6.4.1  珊瑚骨料混凝土的胶凝材料用量</w:t>
      </w:r>
      <w:r>
        <w:rPr>
          <w:rFonts w:ascii="Times New Roman" w:hAnsi="Times New Roman" w:eastAsia="黑体"/>
        </w:rPr>
        <w:t>（kg/m</w:t>
      </w:r>
      <w:r>
        <w:rPr>
          <w:rFonts w:ascii="Times New Roman" w:hAnsi="Times New Roman" w:eastAsia="黑体"/>
          <w:vertAlign w:val="superscript"/>
        </w:rPr>
        <w:t>3</w:t>
      </w:r>
      <w:r>
        <w:rPr>
          <w:rFonts w:ascii="Times New Roman" w:hAnsi="Times New Roman" w:eastAsia="黑体"/>
        </w:rPr>
        <w:t>）</w:t>
      </w:r>
    </w:p>
    <w:tbl>
      <w:tblPr>
        <w:tblStyle w:val="29"/>
        <w:tblW w:w="77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46"/>
        <w:gridCol w:w="3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46" w:type="dxa"/>
          </w:tcPr>
          <w:p>
            <w:pPr>
              <w:pStyle w:val="17"/>
              <w:spacing w:line="360" w:lineRule="auto"/>
              <w:jc w:val="center"/>
              <w:rPr>
                <w:rFonts w:ascii="Times New Roman" w:hAnsi="Times New Roman"/>
                <w:lang w:val="en-US" w:eastAsia="zh-CN"/>
              </w:rPr>
            </w:pPr>
            <w:r>
              <w:rPr>
                <w:rFonts w:ascii="Times New Roman" w:hAnsi="Times New Roman"/>
                <w:lang w:val="en-US" w:eastAsia="zh-CN"/>
              </w:rPr>
              <w:t>强度等级</w:t>
            </w:r>
          </w:p>
        </w:tc>
        <w:tc>
          <w:tcPr>
            <w:tcW w:w="3854" w:type="dxa"/>
          </w:tcPr>
          <w:p>
            <w:pPr>
              <w:pStyle w:val="17"/>
              <w:spacing w:line="360" w:lineRule="auto"/>
              <w:jc w:val="center"/>
              <w:rPr>
                <w:rFonts w:ascii="Times New Roman" w:hAnsi="Times New Roman"/>
                <w:lang w:val="en-US" w:eastAsia="zh-CN"/>
              </w:rPr>
            </w:pPr>
            <w:r>
              <w:rPr>
                <w:rFonts w:ascii="Times New Roman" w:hAnsi="Times New Roman"/>
                <w:lang w:val="en-US" w:eastAsia="zh-CN"/>
              </w:rPr>
              <w:t>胶凝材料用量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46" w:type="dxa"/>
          </w:tcPr>
          <w:p>
            <w:pPr>
              <w:pStyle w:val="17"/>
              <w:spacing w:line="360" w:lineRule="auto"/>
              <w:jc w:val="center"/>
              <w:rPr>
                <w:rFonts w:ascii="Times New Roman" w:hAnsi="Times New Roman"/>
                <w:lang w:val="en-US" w:eastAsia="zh-CN"/>
              </w:rPr>
            </w:pPr>
            <w:r>
              <w:rPr>
                <w:rFonts w:ascii="Times New Roman" w:hAnsi="Times New Roman"/>
                <w:lang w:val="en-US" w:eastAsia="zh-CN"/>
              </w:rPr>
              <w:t>≥C10，＜C20</w:t>
            </w:r>
          </w:p>
        </w:tc>
        <w:tc>
          <w:tcPr>
            <w:tcW w:w="3854" w:type="dxa"/>
          </w:tcPr>
          <w:p>
            <w:pPr>
              <w:pStyle w:val="17"/>
              <w:spacing w:line="360" w:lineRule="auto"/>
              <w:jc w:val="center"/>
              <w:rPr>
                <w:rFonts w:ascii="Times New Roman" w:hAnsi="Times New Roman"/>
                <w:lang w:val="en-US" w:eastAsia="zh-CN"/>
              </w:rPr>
            </w:pPr>
            <w:r>
              <w:rPr>
                <w:rFonts w:ascii="Times New Roman" w:hAnsi="Times New Roman"/>
                <w:lang w:val="en-US" w:eastAsia="zh-CN"/>
              </w:rPr>
              <w:t>240~380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46" w:type="dxa"/>
          </w:tcPr>
          <w:p>
            <w:pPr>
              <w:pStyle w:val="17"/>
              <w:spacing w:line="360" w:lineRule="auto"/>
              <w:jc w:val="center"/>
              <w:rPr>
                <w:rFonts w:ascii="Times New Roman" w:hAnsi="Times New Roman"/>
                <w:lang w:val="en-US" w:eastAsia="zh-CN"/>
              </w:rPr>
            </w:pPr>
            <w:r>
              <w:rPr>
                <w:rFonts w:ascii="Times New Roman" w:hAnsi="Times New Roman"/>
                <w:lang w:val="en-US" w:eastAsia="zh-CN"/>
              </w:rPr>
              <w:t>≥C20，＜C30</w:t>
            </w:r>
          </w:p>
        </w:tc>
        <w:tc>
          <w:tcPr>
            <w:tcW w:w="3854" w:type="dxa"/>
          </w:tcPr>
          <w:p>
            <w:pPr>
              <w:pStyle w:val="17"/>
              <w:spacing w:line="360" w:lineRule="auto"/>
              <w:jc w:val="center"/>
              <w:rPr>
                <w:rFonts w:ascii="Times New Roman" w:hAnsi="Times New Roman"/>
                <w:lang w:val="en-US" w:eastAsia="zh-CN"/>
              </w:rPr>
            </w:pPr>
            <w:r>
              <w:rPr>
                <w:rFonts w:ascii="Times New Roman" w:hAnsi="Times New Roman"/>
                <w:lang w:val="en-US" w:eastAsia="zh-CN"/>
              </w:rPr>
              <w:t>330~440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46" w:type="dxa"/>
          </w:tcPr>
          <w:p>
            <w:pPr>
              <w:pStyle w:val="17"/>
              <w:spacing w:line="360" w:lineRule="auto"/>
              <w:jc w:val="center"/>
              <w:rPr>
                <w:rFonts w:ascii="Times New Roman" w:hAnsi="Times New Roman"/>
                <w:lang w:val="en-US" w:eastAsia="zh-CN"/>
              </w:rPr>
            </w:pPr>
            <w:r>
              <w:rPr>
                <w:rFonts w:ascii="Times New Roman" w:hAnsi="Times New Roman"/>
                <w:lang w:val="en-US" w:eastAsia="zh-CN"/>
              </w:rPr>
              <w:t>≥C30，＜C40</w:t>
            </w:r>
          </w:p>
        </w:tc>
        <w:tc>
          <w:tcPr>
            <w:tcW w:w="3854" w:type="dxa"/>
          </w:tcPr>
          <w:p>
            <w:pPr>
              <w:pStyle w:val="17"/>
              <w:spacing w:line="360" w:lineRule="auto"/>
              <w:jc w:val="center"/>
              <w:rPr>
                <w:rFonts w:ascii="Times New Roman" w:hAnsi="Times New Roman"/>
                <w:lang w:val="en-US" w:eastAsia="zh-CN"/>
              </w:rPr>
            </w:pPr>
            <w:r>
              <w:rPr>
                <w:rFonts w:ascii="Times New Roman" w:hAnsi="Times New Roman"/>
                <w:lang w:val="en-US" w:eastAsia="zh-CN"/>
              </w:rPr>
              <w:t>390~500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46" w:type="dxa"/>
          </w:tcPr>
          <w:p>
            <w:pPr>
              <w:pStyle w:val="17"/>
              <w:spacing w:line="360" w:lineRule="auto"/>
              <w:jc w:val="center"/>
              <w:rPr>
                <w:rFonts w:ascii="Times New Roman" w:hAnsi="Times New Roman"/>
                <w:lang w:val="en-US" w:eastAsia="zh-CN"/>
              </w:rPr>
            </w:pPr>
            <w:r>
              <w:rPr>
                <w:rFonts w:ascii="Times New Roman" w:hAnsi="Times New Roman"/>
                <w:lang w:val="en-US" w:eastAsia="zh-CN"/>
              </w:rPr>
              <w:t>≥C40，≤C50</w:t>
            </w:r>
          </w:p>
        </w:tc>
        <w:tc>
          <w:tcPr>
            <w:tcW w:w="3854" w:type="dxa"/>
          </w:tcPr>
          <w:p>
            <w:pPr>
              <w:pStyle w:val="17"/>
              <w:spacing w:line="360" w:lineRule="auto"/>
              <w:jc w:val="center"/>
              <w:rPr>
                <w:rFonts w:ascii="Times New Roman" w:hAnsi="Times New Roman"/>
                <w:lang w:val="en-US" w:eastAsia="zh-CN"/>
              </w:rPr>
            </w:pPr>
            <w:r>
              <w:rPr>
                <w:rFonts w:ascii="Times New Roman" w:hAnsi="Times New Roman"/>
                <w:lang w:val="en-US" w:eastAsia="zh-CN"/>
              </w:rPr>
              <w:t>440~580</w:t>
            </w:r>
          </w:p>
        </w:tc>
      </w:tr>
    </w:tbl>
    <w:p>
      <w:pPr>
        <w:pStyle w:val="17"/>
        <w:spacing w:line="360" w:lineRule="auto"/>
        <w:rPr>
          <w:rFonts w:ascii="Times New Roman" w:hAnsi="Times New Roman"/>
          <w:sz w:val="24"/>
          <w:szCs w:val="24"/>
          <w:lang w:val="en-US" w:eastAsia="zh-CN"/>
        </w:rPr>
      </w:pPr>
      <w:r>
        <w:rPr>
          <w:rFonts w:ascii="Times New Roman" w:hAnsi="Times New Roman"/>
          <w:b/>
          <w:sz w:val="24"/>
          <w:szCs w:val="24"/>
          <w:lang w:val="en-US" w:eastAsia="zh-CN"/>
        </w:rPr>
        <w:t>6.4.2</w:t>
      </w:r>
      <w:r>
        <w:rPr>
          <w:rFonts w:ascii="Times New Roman" w:hAnsi="Times New Roman"/>
          <w:sz w:val="24"/>
          <w:szCs w:val="24"/>
          <w:lang w:val="en-US" w:eastAsia="zh-CN"/>
        </w:rPr>
        <w:t xml:space="preserve">  珊瑚骨料混凝土最大胶凝材料用量不宜超过580kg/m</w:t>
      </w:r>
      <w:r>
        <w:rPr>
          <w:rFonts w:ascii="Times New Roman" w:hAnsi="Times New Roman"/>
          <w:sz w:val="24"/>
          <w:szCs w:val="24"/>
          <w:vertAlign w:val="superscript"/>
          <w:lang w:val="en-US" w:eastAsia="zh-CN"/>
        </w:rPr>
        <w:t>3</w:t>
      </w:r>
      <w:r>
        <w:rPr>
          <w:rFonts w:ascii="Times New Roman" w:hAnsi="Times New Roman"/>
          <w:sz w:val="24"/>
          <w:szCs w:val="24"/>
          <w:lang w:val="en-US" w:eastAsia="zh-CN"/>
        </w:rPr>
        <w:t>；对于泵送珊瑚骨料混凝土，胶凝材料用量不宜小于380kg/m</w:t>
      </w:r>
      <w:r>
        <w:rPr>
          <w:rFonts w:ascii="Times New Roman" w:hAnsi="Times New Roman"/>
          <w:sz w:val="24"/>
          <w:szCs w:val="24"/>
          <w:vertAlign w:val="superscript"/>
          <w:lang w:val="en-US" w:eastAsia="zh-CN"/>
        </w:rPr>
        <w:t>3</w:t>
      </w:r>
      <w:r>
        <w:rPr>
          <w:rFonts w:ascii="Times New Roman" w:hAnsi="Times New Roman"/>
          <w:sz w:val="24"/>
          <w:szCs w:val="24"/>
          <w:lang w:val="en-US" w:eastAsia="zh-CN"/>
        </w:rPr>
        <w:t>。</w:t>
      </w:r>
    </w:p>
    <w:p>
      <w:pPr>
        <w:pStyle w:val="17"/>
        <w:spacing w:line="360" w:lineRule="auto"/>
        <w:rPr>
          <w:rFonts w:ascii="Times New Roman" w:hAnsi="Times New Roman"/>
          <w:sz w:val="24"/>
          <w:szCs w:val="24"/>
          <w:lang w:val="en-US" w:eastAsia="zh-CN"/>
        </w:rPr>
      </w:pPr>
      <w:r>
        <w:rPr>
          <w:rFonts w:ascii="Times New Roman" w:hAnsi="Times New Roman"/>
          <w:b/>
          <w:sz w:val="24"/>
          <w:szCs w:val="24"/>
          <w:lang w:val="en-US" w:eastAsia="zh-CN"/>
        </w:rPr>
        <w:t>6.4.3</w:t>
      </w:r>
      <w:r>
        <w:rPr>
          <w:rFonts w:ascii="Times New Roman" w:hAnsi="Times New Roman"/>
          <w:sz w:val="24"/>
          <w:szCs w:val="24"/>
          <w:lang w:val="en-US" w:eastAsia="zh-CN"/>
        </w:rPr>
        <w:t xml:space="preserve">  矿物掺合料的品种和掺量应经混凝土试配确定，其在珊瑚骨料混凝土中的最大掺量并应符合现行行业标准《轻骨料混凝土应用技术标准》JGJ/T</w:t>
      </w:r>
      <w:r>
        <w:rPr>
          <w:rFonts w:hint="eastAsia" w:ascii="Times New Roman" w:hAnsi="Times New Roman"/>
          <w:sz w:val="24"/>
          <w:szCs w:val="24"/>
          <w:lang w:val="en-US" w:eastAsia="zh-CN"/>
        </w:rPr>
        <w:t xml:space="preserve"> 12</w:t>
      </w:r>
      <w:r>
        <w:rPr>
          <w:rFonts w:ascii="Times New Roman" w:hAnsi="Times New Roman"/>
          <w:sz w:val="24"/>
          <w:szCs w:val="24"/>
          <w:lang w:val="en-US" w:eastAsia="zh-CN"/>
        </w:rPr>
        <w:t>的规定。</w:t>
      </w:r>
    </w:p>
    <w:p>
      <w:pPr>
        <w:pStyle w:val="17"/>
        <w:spacing w:line="360" w:lineRule="auto"/>
        <w:rPr>
          <w:rFonts w:ascii="Times New Roman" w:hAnsi="Times New Roman"/>
          <w:b/>
          <w:sz w:val="24"/>
          <w:szCs w:val="24"/>
          <w:lang w:val="en-US" w:eastAsia="zh-CN"/>
        </w:rPr>
      </w:pPr>
      <w:r>
        <w:rPr>
          <w:rFonts w:ascii="Times New Roman" w:hAnsi="Times New Roman"/>
          <w:b/>
          <w:sz w:val="24"/>
          <w:szCs w:val="24"/>
          <w:lang w:val="en-US" w:eastAsia="zh-CN"/>
        </w:rPr>
        <w:t>6.4.4</w:t>
      </w:r>
      <w:r>
        <w:rPr>
          <w:rFonts w:ascii="Times New Roman" w:hAnsi="Times New Roman"/>
          <w:sz w:val="24"/>
          <w:szCs w:val="24"/>
          <w:lang w:val="en-US" w:eastAsia="zh-CN"/>
        </w:rPr>
        <w:t xml:space="preserve">  珊瑚骨料混凝土的净用水量可按表6.4.4选用，并应根据采用的外加剂，对其性能经试验调整后确定。</w:t>
      </w:r>
    </w:p>
    <w:p>
      <w:pPr>
        <w:pStyle w:val="17"/>
        <w:ind w:firstLine="480"/>
        <w:jc w:val="center"/>
        <w:rPr>
          <w:rFonts w:ascii="Times New Roman" w:hAnsi="Times New Roman" w:eastAsia="黑体"/>
          <w:lang w:val="en-US" w:eastAsia="zh-CN"/>
        </w:rPr>
      </w:pPr>
      <w:r>
        <w:rPr>
          <w:rFonts w:ascii="Times New Roman" w:hAnsi="Times New Roman" w:eastAsia="黑体"/>
          <w:lang w:val="en-US" w:eastAsia="zh-CN"/>
        </w:rPr>
        <w:t>表6.4.4  珊瑚骨料混凝土的净用水量</w:t>
      </w:r>
    </w:p>
    <w:tbl>
      <w:tblPr>
        <w:tblStyle w:val="29"/>
        <w:tblW w:w="8144" w:type="dxa"/>
        <w:tblInd w:w="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1"/>
        <w:gridCol w:w="1735"/>
        <w:gridCol w:w="1718"/>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8" w:hRule="atLeast"/>
        </w:trPr>
        <w:tc>
          <w:tcPr>
            <w:tcW w:w="3221" w:type="dxa"/>
            <w:vMerge w:val="restart"/>
            <w:tcBorders>
              <w:bottom w:val="single" w:color="auto" w:sz="4" w:space="0"/>
            </w:tcBorders>
            <w:vAlign w:val="center"/>
          </w:tcPr>
          <w:p>
            <w:pPr>
              <w:pStyle w:val="17"/>
              <w:ind w:left="-57" w:right="-57"/>
              <w:jc w:val="center"/>
              <w:rPr>
                <w:rFonts w:ascii="Times New Roman" w:hAnsi="Times New Roman"/>
              </w:rPr>
            </w:pPr>
            <w:r>
              <w:rPr>
                <w:rFonts w:ascii="Times New Roman" w:hAnsi="Times New Roman"/>
                <w:lang w:eastAsia="zh-CN"/>
              </w:rPr>
              <w:t>珊瑚骨料</w:t>
            </w:r>
            <w:r>
              <w:rPr>
                <w:rFonts w:ascii="Times New Roman" w:hAnsi="Times New Roman"/>
              </w:rPr>
              <w:t>混凝土成型方式</w:t>
            </w:r>
          </w:p>
        </w:tc>
        <w:tc>
          <w:tcPr>
            <w:tcW w:w="3453" w:type="dxa"/>
            <w:gridSpan w:val="2"/>
            <w:vAlign w:val="center"/>
          </w:tcPr>
          <w:p>
            <w:pPr>
              <w:pStyle w:val="17"/>
              <w:ind w:left="-57" w:right="-57"/>
              <w:jc w:val="center"/>
              <w:rPr>
                <w:rFonts w:ascii="Times New Roman" w:hAnsi="Times New Roman"/>
              </w:rPr>
            </w:pPr>
            <w:r>
              <w:rPr>
                <w:rFonts w:ascii="Times New Roman" w:hAnsi="Times New Roman"/>
              </w:rPr>
              <w:t>拌合物性能要求</w:t>
            </w:r>
          </w:p>
        </w:tc>
        <w:tc>
          <w:tcPr>
            <w:tcW w:w="1470" w:type="dxa"/>
            <w:vMerge w:val="restart"/>
            <w:vAlign w:val="center"/>
          </w:tcPr>
          <w:p>
            <w:pPr>
              <w:pStyle w:val="17"/>
              <w:ind w:left="-57" w:right="-57"/>
              <w:jc w:val="center"/>
              <w:rPr>
                <w:rFonts w:ascii="Times New Roman" w:hAnsi="Times New Roman"/>
              </w:rPr>
            </w:pPr>
            <w:r>
              <w:rPr>
                <w:rFonts w:ascii="Times New Roman" w:hAnsi="Times New Roman"/>
              </w:rPr>
              <w:t>净用水量</w:t>
            </w:r>
          </w:p>
          <w:p>
            <w:pPr>
              <w:pStyle w:val="17"/>
              <w:ind w:left="-57" w:right="-57"/>
              <w:jc w:val="center"/>
              <w:rPr>
                <w:rFonts w:ascii="Times New Roman" w:hAnsi="Times New Roman"/>
              </w:rPr>
            </w:pPr>
            <w:r>
              <w:rPr>
                <w:rFonts w:ascii="Times New Roman" w:hAnsi="Times New Roman"/>
              </w:rPr>
              <w:t>（kg/m</w:t>
            </w:r>
            <w:r>
              <w:rPr>
                <w:rFonts w:ascii="Times New Roman" w:hAnsi="Times New Roman"/>
                <w:vertAlign w:val="superscript"/>
              </w:rPr>
              <w:t>3</w:t>
            </w:r>
            <w:r>
              <w:rPr>
                <w:rFonts w:ascii="Times New Roman" w:hAnsi="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8" w:hRule="atLeast"/>
        </w:trPr>
        <w:tc>
          <w:tcPr>
            <w:tcW w:w="3221" w:type="dxa"/>
            <w:vMerge w:val="continue"/>
            <w:tcBorders>
              <w:bottom w:val="single" w:color="auto" w:sz="4" w:space="0"/>
            </w:tcBorders>
            <w:vAlign w:val="center"/>
          </w:tcPr>
          <w:p>
            <w:pPr>
              <w:pStyle w:val="17"/>
              <w:ind w:left="-57" w:right="-57"/>
              <w:jc w:val="center"/>
              <w:rPr>
                <w:rFonts w:ascii="Times New Roman" w:hAnsi="Times New Roman"/>
              </w:rPr>
            </w:pPr>
          </w:p>
        </w:tc>
        <w:tc>
          <w:tcPr>
            <w:tcW w:w="1735" w:type="dxa"/>
            <w:vAlign w:val="center"/>
          </w:tcPr>
          <w:p>
            <w:pPr>
              <w:pStyle w:val="17"/>
              <w:ind w:left="-57" w:right="-57"/>
              <w:jc w:val="center"/>
              <w:rPr>
                <w:rFonts w:ascii="Times New Roman" w:hAnsi="Times New Roman"/>
              </w:rPr>
            </w:pPr>
            <w:r>
              <w:rPr>
                <w:rFonts w:ascii="Times New Roman" w:hAnsi="Times New Roman"/>
              </w:rPr>
              <w:t>维勃稠度（s）</w:t>
            </w:r>
          </w:p>
        </w:tc>
        <w:tc>
          <w:tcPr>
            <w:tcW w:w="1718" w:type="dxa"/>
            <w:vAlign w:val="center"/>
          </w:tcPr>
          <w:p>
            <w:pPr>
              <w:pStyle w:val="17"/>
              <w:ind w:left="-57" w:right="-57"/>
              <w:jc w:val="center"/>
              <w:rPr>
                <w:rFonts w:ascii="Times New Roman" w:hAnsi="Times New Roman"/>
              </w:rPr>
            </w:pPr>
            <w:r>
              <w:rPr>
                <w:rFonts w:ascii="Times New Roman" w:hAnsi="Times New Roman"/>
              </w:rPr>
              <w:t>坍落度（mm）</w:t>
            </w:r>
          </w:p>
        </w:tc>
        <w:tc>
          <w:tcPr>
            <w:tcW w:w="1470" w:type="dxa"/>
            <w:vMerge w:val="continue"/>
            <w:vAlign w:val="center"/>
          </w:tcPr>
          <w:p>
            <w:pPr>
              <w:pStyle w:val="17"/>
              <w:ind w:left="-57" w:right="-57"/>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4" w:hRule="atLeast"/>
        </w:trPr>
        <w:tc>
          <w:tcPr>
            <w:tcW w:w="3221" w:type="dxa"/>
            <w:tcBorders>
              <w:top w:val="single" w:color="auto" w:sz="4" w:space="0"/>
            </w:tcBorders>
            <w:vAlign w:val="center"/>
          </w:tcPr>
          <w:p>
            <w:pPr>
              <w:pStyle w:val="17"/>
              <w:spacing w:line="280" w:lineRule="atLeast"/>
              <w:ind w:left="-57" w:right="-57"/>
              <w:jc w:val="center"/>
              <w:rPr>
                <w:rFonts w:ascii="Times New Roman" w:hAnsi="Times New Roman"/>
              </w:rPr>
            </w:pPr>
            <w:r>
              <w:rPr>
                <w:rFonts w:ascii="Times New Roman" w:hAnsi="Times New Roman"/>
              </w:rPr>
              <w:t>振动加压成型</w:t>
            </w:r>
          </w:p>
          <w:p>
            <w:pPr>
              <w:pStyle w:val="17"/>
              <w:spacing w:line="280" w:lineRule="atLeast"/>
              <w:ind w:left="-57" w:right="-57"/>
              <w:jc w:val="center"/>
              <w:rPr>
                <w:rFonts w:ascii="Times New Roman" w:hAnsi="Times New Roman"/>
              </w:rPr>
            </w:pPr>
            <w:r>
              <w:rPr>
                <w:rFonts w:ascii="Times New Roman" w:hAnsi="Times New Roman"/>
              </w:rPr>
              <w:t>振动台成型</w:t>
            </w:r>
          </w:p>
          <w:p>
            <w:pPr>
              <w:pStyle w:val="17"/>
              <w:spacing w:line="280" w:lineRule="atLeast"/>
              <w:ind w:left="-57" w:right="-57"/>
              <w:jc w:val="center"/>
              <w:rPr>
                <w:rFonts w:ascii="Times New Roman" w:hAnsi="Times New Roman"/>
              </w:rPr>
            </w:pPr>
            <w:r>
              <w:rPr>
                <w:rFonts w:ascii="Times New Roman" w:hAnsi="Times New Roman"/>
              </w:rPr>
              <w:t>振捣棒或平板振动器振实</w:t>
            </w:r>
          </w:p>
        </w:tc>
        <w:tc>
          <w:tcPr>
            <w:tcW w:w="1735" w:type="dxa"/>
            <w:vAlign w:val="center"/>
          </w:tcPr>
          <w:p>
            <w:pPr>
              <w:pStyle w:val="17"/>
              <w:spacing w:line="280" w:lineRule="atLeast"/>
              <w:ind w:left="-57" w:right="-57"/>
              <w:jc w:val="center"/>
              <w:rPr>
                <w:rFonts w:ascii="Times New Roman" w:hAnsi="Times New Roman"/>
              </w:rPr>
            </w:pPr>
            <w:r>
              <w:rPr>
                <w:rFonts w:ascii="Times New Roman" w:hAnsi="Times New Roman"/>
              </w:rPr>
              <w:t>10～20</w:t>
            </w:r>
          </w:p>
          <w:p>
            <w:pPr>
              <w:pStyle w:val="17"/>
              <w:spacing w:line="280" w:lineRule="atLeast"/>
              <w:ind w:left="-57" w:right="-57"/>
              <w:jc w:val="center"/>
              <w:rPr>
                <w:rFonts w:ascii="Times New Roman" w:hAnsi="Times New Roman"/>
              </w:rPr>
            </w:pPr>
            <w:r>
              <w:rPr>
                <w:rFonts w:ascii="Times New Roman" w:hAnsi="Times New Roman"/>
              </w:rPr>
              <w:t>5～10</w:t>
            </w:r>
          </w:p>
          <w:p>
            <w:pPr>
              <w:pStyle w:val="17"/>
              <w:spacing w:line="280" w:lineRule="atLeast"/>
              <w:ind w:left="-57" w:right="-57"/>
              <w:jc w:val="center"/>
              <w:rPr>
                <w:rFonts w:ascii="Times New Roman" w:hAnsi="Times New Roman"/>
              </w:rPr>
            </w:pPr>
            <w:r>
              <w:rPr>
                <w:rFonts w:ascii="Times New Roman" w:hAnsi="Times New Roman"/>
              </w:rPr>
              <w:t>-</w:t>
            </w:r>
          </w:p>
        </w:tc>
        <w:tc>
          <w:tcPr>
            <w:tcW w:w="1718" w:type="dxa"/>
            <w:vAlign w:val="center"/>
          </w:tcPr>
          <w:p>
            <w:pPr>
              <w:pStyle w:val="17"/>
              <w:spacing w:line="280" w:lineRule="atLeast"/>
              <w:ind w:left="-57" w:right="-57"/>
              <w:jc w:val="center"/>
              <w:rPr>
                <w:rFonts w:ascii="Times New Roman" w:hAnsi="Times New Roman"/>
              </w:rPr>
            </w:pPr>
            <w:r>
              <w:rPr>
                <w:rFonts w:ascii="Times New Roman" w:hAnsi="Times New Roman"/>
              </w:rPr>
              <w:t>-</w:t>
            </w:r>
          </w:p>
          <w:p>
            <w:pPr>
              <w:pStyle w:val="17"/>
              <w:spacing w:line="280" w:lineRule="atLeast"/>
              <w:ind w:left="-57" w:right="-57"/>
              <w:jc w:val="center"/>
              <w:rPr>
                <w:rFonts w:ascii="Times New Roman" w:hAnsi="Times New Roman"/>
              </w:rPr>
            </w:pPr>
            <w:r>
              <w:rPr>
                <w:rFonts w:ascii="Times New Roman" w:hAnsi="Times New Roman"/>
              </w:rPr>
              <w:t>0～10</w:t>
            </w:r>
          </w:p>
          <w:p>
            <w:pPr>
              <w:pStyle w:val="17"/>
              <w:spacing w:line="280" w:lineRule="atLeast"/>
              <w:ind w:left="-57" w:right="-57"/>
              <w:jc w:val="center"/>
              <w:rPr>
                <w:rFonts w:ascii="Times New Roman" w:hAnsi="Times New Roman"/>
              </w:rPr>
            </w:pPr>
            <w:r>
              <w:rPr>
                <w:rFonts w:ascii="Times New Roman" w:hAnsi="Times New Roman"/>
              </w:rPr>
              <w:t>30～80</w:t>
            </w:r>
          </w:p>
        </w:tc>
        <w:tc>
          <w:tcPr>
            <w:tcW w:w="1470" w:type="dxa"/>
            <w:vAlign w:val="center"/>
          </w:tcPr>
          <w:p>
            <w:pPr>
              <w:pStyle w:val="17"/>
              <w:spacing w:line="280" w:lineRule="atLeast"/>
              <w:ind w:left="-57" w:right="-57"/>
              <w:jc w:val="center"/>
              <w:rPr>
                <w:rFonts w:ascii="Times New Roman" w:hAnsi="Times New Roman"/>
              </w:rPr>
            </w:pPr>
            <w:r>
              <w:rPr>
                <w:rFonts w:ascii="Times New Roman" w:hAnsi="Times New Roman"/>
              </w:rPr>
              <w:t>45～140</w:t>
            </w:r>
          </w:p>
          <w:p>
            <w:pPr>
              <w:pStyle w:val="17"/>
              <w:spacing w:line="280" w:lineRule="atLeast"/>
              <w:ind w:left="-57" w:right="-57"/>
              <w:jc w:val="center"/>
              <w:rPr>
                <w:rFonts w:ascii="Times New Roman" w:hAnsi="Times New Roman"/>
              </w:rPr>
            </w:pPr>
            <w:r>
              <w:rPr>
                <w:rFonts w:ascii="Times New Roman" w:hAnsi="Times New Roman"/>
              </w:rPr>
              <w:t>140～160</w:t>
            </w:r>
          </w:p>
          <w:p>
            <w:pPr>
              <w:pStyle w:val="17"/>
              <w:spacing w:line="280" w:lineRule="atLeast"/>
              <w:ind w:left="-57" w:right="-57"/>
              <w:jc w:val="center"/>
              <w:rPr>
                <w:rFonts w:ascii="Times New Roman" w:hAnsi="Times New Roman"/>
              </w:rPr>
            </w:pPr>
            <w:r>
              <w:rPr>
                <w:rFonts w:ascii="Times New Roman" w:hAnsi="Times New Roman"/>
              </w:rPr>
              <w:t>160～180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4" w:hRule="atLeast"/>
        </w:trPr>
        <w:tc>
          <w:tcPr>
            <w:tcW w:w="3221" w:type="dxa"/>
            <w:vAlign w:val="center"/>
          </w:tcPr>
          <w:p>
            <w:pPr>
              <w:pStyle w:val="17"/>
              <w:ind w:left="-57" w:right="-57"/>
              <w:jc w:val="center"/>
              <w:rPr>
                <w:rFonts w:ascii="Times New Roman" w:hAnsi="Times New Roman"/>
              </w:rPr>
            </w:pPr>
            <w:r>
              <w:rPr>
                <w:rFonts w:ascii="Times New Roman" w:hAnsi="Times New Roman"/>
              </w:rPr>
              <w:t>机械振捣</w:t>
            </w:r>
          </w:p>
          <w:p>
            <w:pPr>
              <w:pStyle w:val="17"/>
              <w:ind w:left="-57" w:right="-57"/>
              <w:jc w:val="center"/>
              <w:rPr>
                <w:rFonts w:ascii="Times New Roman" w:hAnsi="Times New Roman"/>
              </w:rPr>
            </w:pPr>
            <w:r>
              <w:rPr>
                <w:rFonts w:ascii="Times New Roman" w:hAnsi="Times New Roman"/>
              </w:rPr>
              <w:t>钢筋密集机械振捣</w:t>
            </w:r>
          </w:p>
        </w:tc>
        <w:tc>
          <w:tcPr>
            <w:tcW w:w="1735" w:type="dxa"/>
            <w:vAlign w:val="center"/>
          </w:tcPr>
          <w:p>
            <w:pPr>
              <w:pStyle w:val="17"/>
              <w:ind w:left="-57" w:right="-57"/>
              <w:jc w:val="center"/>
              <w:rPr>
                <w:rFonts w:ascii="Times New Roman" w:hAnsi="Times New Roman"/>
              </w:rPr>
            </w:pPr>
            <w:r>
              <w:rPr>
                <w:rFonts w:ascii="Times New Roman" w:hAnsi="Times New Roman"/>
              </w:rPr>
              <w:t>-</w:t>
            </w:r>
          </w:p>
          <w:p>
            <w:pPr>
              <w:pStyle w:val="17"/>
              <w:ind w:left="-57" w:right="-57"/>
              <w:jc w:val="center"/>
              <w:rPr>
                <w:rFonts w:ascii="Times New Roman" w:hAnsi="Times New Roman"/>
              </w:rPr>
            </w:pPr>
            <w:r>
              <w:rPr>
                <w:rFonts w:ascii="Times New Roman" w:hAnsi="Times New Roman"/>
              </w:rPr>
              <w:t>-</w:t>
            </w:r>
          </w:p>
        </w:tc>
        <w:tc>
          <w:tcPr>
            <w:tcW w:w="1718" w:type="dxa"/>
            <w:vAlign w:val="center"/>
          </w:tcPr>
          <w:p>
            <w:pPr>
              <w:pStyle w:val="17"/>
              <w:ind w:left="-57" w:right="-57"/>
              <w:jc w:val="center"/>
              <w:rPr>
                <w:rFonts w:ascii="Times New Roman" w:hAnsi="Times New Roman"/>
              </w:rPr>
            </w:pPr>
            <w:r>
              <w:rPr>
                <w:rFonts w:ascii="Times New Roman" w:hAnsi="Times New Roman"/>
              </w:rPr>
              <w:t>150～200</w:t>
            </w:r>
          </w:p>
          <w:p>
            <w:pPr>
              <w:pStyle w:val="17"/>
              <w:ind w:left="-57" w:right="-57"/>
              <w:jc w:val="center"/>
              <w:rPr>
                <w:rFonts w:ascii="Times New Roman" w:hAnsi="Times New Roman"/>
              </w:rPr>
            </w:pPr>
            <w:r>
              <w:rPr>
                <w:rFonts w:ascii="Times New Roman" w:hAnsi="Times New Roman"/>
              </w:rPr>
              <w:t>≥200</w:t>
            </w:r>
          </w:p>
        </w:tc>
        <w:tc>
          <w:tcPr>
            <w:tcW w:w="1470" w:type="dxa"/>
            <w:vAlign w:val="center"/>
          </w:tcPr>
          <w:p>
            <w:pPr>
              <w:pStyle w:val="17"/>
              <w:ind w:left="-57" w:right="-57"/>
              <w:jc w:val="center"/>
              <w:rPr>
                <w:rFonts w:ascii="Times New Roman" w:hAnsi="Times New Roman"/>
              </w:rPr>
            </w:pPr>
            <w:r>
              <w:rPr>
                <w:rFonts w:ascii="Times New Roman" w:hAnsi="Times New Roman"/>
              </w:rPr>
              <w:t>140～170</w:t>
            </w:r>
          </w:p>
          <w:p>
            <w:pPr>
              <w:pStyle w:val="17"/>
              <w:ind w:left="-57" w:right="-57"/>
              <w:jc w:val="center"/>
              <w:rPr>
                <w:rFonts w:ascii="Times New Roman" w:hAnsi="Times New Roman"/>
              </w:rPr>
            </w:pPr>
            <w:r>
              <w:rPr>
                <w:rFonts w:ascii="Times New Roman" w:hAnsi="Times New Roman"/>
              </w:rPr>
              <w:t>145～180</w:t>
            </w:r>
          </w:p>
        </w:tc>
      </w:tr>
    </w:tbl>
    <w:p>
      <w:pPr>
        <w:pStyle w:val="17"/>
        <w:spacing w:line="360" w:lineRule="auto"/>
        <w:rPr>
          <w:rFonts w:ascii="Times New Roman" w:hAnsi="Times New Roman"/>
          <w:sz w:val="24"/>
          <w:szCs w:val="24"/>
          <w:lang w:val="en-US" w:eastAsia="zh-CN"/>
        </w:rPr>
      </w:pPr>
      <w:r>
        <w:rPr>
          <w:rFonts w:ascii="Times New Roman" w:hAnsi="Times New Roman"/>
          <w:b/>
          <w:sz w:val="24"/>
          <w:szCs w:val="24"/>
          <w:lang w:val="en-US" w:eastAsia="zh-CN"/>
        </w:rPr>
        <w:t>6.4.5</w:t>
      </w:r>
      <w:r>
        <w:rPr>
          <w:rFonts w:ascii="Times New Roman" w:hAnsi="Times New Roman"/>
          <w:sz w:val="24"/>
          <w:szCs w:val="24"/>
          <w:lang w:val="en-US" w:eastAsia="zh-CN"/>
        </w:rPr>
        <w:t xml:space="preserve">  珊瑚骨料混凝土的砂率应以体积砂率表示；珊瑚骨料混凝土的体积砂率可按表6.4.5选用。当混合使用普通砂和珊瑚砂作为细骨料时，宜取表中的中间值，并按普通砂和珊瑚砂的混合比例进行插值计算；对于泵送现浇的珊瑚骨料混凝土，砂率宜取表中的上限值。</w:t>
      </w:r>
    </w:p>
    <w:p>
      <w:pPr>
        <w:pStyle w:val="17"/>
        <w:ind w:firstLine="480"/>
        <w:jc w:val="center"/>
        <w:rPr>
          <w:rFonts w:ascii="Times New Roman" w:hAnsi="Times New Roman" w:eastAsia="黑体"/>
          <w:lang w:val="en-US" w:eastAsia="zh-CN"/>
        </w:rPr>
      </w:pPr>
      <w:r>
        <w:rPr>
          <w:rFonts w:ascii="Times New Roman" w:hAnsi="Times New Roman" w:eastAsia="黑体"/>
          <w:lang w:val="en-US" w:eastAsia="zh-CN"/>
        </w:rPr>
        <w:t>表6.4.5  珊瑚骨料混凝土的砂率</w:t>
      </w:r>
    </w:p>
    <w:tbl>
      <w:tblPr>
        <w:tblStyle w:val="29"/>
        <w:tblW w:w="825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6"/>
        <w:gridCol w:w="2898"/>
        <w:gridCol w:w="2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 w:hRule="atLeast"/>
        </w:trPr>
        <w:tc>
          <w:tcPr>
            <w:tcW w:w="2666" w:type="dxa"/>
            <w:vAlign w:val="center"/>
          </w:tcPr>
          <w:p>
            <w:pPr>
              <w:pStyle w:val="17"/>
              <w:jc w:val="center"/>
              <w:rPr>
                <w:rFonts w:ascii="Times New Roman" w:hAnsi="Times New Roman"/>
              </w:rPr>
            </w:pPr>
            <w:r>
              <w:rPr>
                <w:rFonts w:ascii="Times New Roman" w:hAnsi="Times New Roman"/>
              </w:rPr>
              <w:t>施工方式</w:t>
            </w:r>
          </w:p>
        </w:tc>
        <w:tc>
          <w:tcPr>
            <w:tcW w:w="2898" w:type="dxa"/>
            <w:vAlign w:val="center"/>
          </w:tcPr>
          <w:p>
            <w:pPr>
              <w:pStyle w:val="17"/>
              <w:jc w:val="center"/>
              <w:rPr>
                <w:rFonts w:ascii="Times New Roman" w:hAnsi="Times New Roman"/>
              </w:rPr>
            </w:pPr>
            <w:r>
              <w:rPr>
                <w:rFonts w:ascii="Times New Roman" w:hAnsi="Times New Roman"/>
              </w:rPr>
              <w:t>细骨料品种</w:t>
            </w:r>
          </w:p>
        </w:tc>
        <w:tc>
          <w:tcPr>
            <w:tcW w:w="2688" w:type="dxa"/>
            <w:vAlign w:val="center"/>
          </w:tcPr>
          <w:p>
            <w:pPr>
              <w:pStyle w:val="17"/>
              <w:jc w:val="center"/>
              <w:rPr>
                <w:rFonts w:ascii="Times New Roman" w:hAnsi="Times New Roman"/>
              </w:rPr>
            </w:pPr>
            <w:r>
              <w:rPr>
                <w:rFonts w:ascii="Times New Roman" w:hAnsi="Times New Roman"/>
              </w:rPr>
              <w:t>砂率（%）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7" w:hRule="atLeast"/>
        </w:trPr>
        <w:tc>
          <w:tcPr>
            <w:tcW w:w="2666" w:type="dxa"/>
            <w:vAlign w:val="center"/>
          </w:tcPr>
          <w:p>
            <w:pPr>
              <w:pStyle w:val="17"/>
              <w:jc w:val="center"/>
              <w:rPr>
                <w:rFonts w:ascii="Times New Roman" w:hAnsi="Times New Roman"/>
                <w:lang w:eastAsia="zh-CN"/>
              </w:rPr>
            </w:pPr>
            <w:r>
              <w:rPr>
                <w:rFonts w:ascii="Times New Roman" w:hAnsi="Times New Roman"/>
              </w:rPr>
              <w:t>预制</w:t>
            </w:r>
          </w:p>
        </w:tc>
        <w:tc>
          <w:tcPr>
            <w:tcW w:w="2898" w:type="dxa"/>
            <w:vAlign w:val="center"/>
          </w:tcPr>
          <w:p>
            <w:pPr>
              <w:pStyle w:val="17"/>
              <w:jc w:val="center"/>
              <w:rPr>
                <w:rFonts w:ascii="Times New Roman" w:hAnsi="Times New Roman"/>
              </w:rPr>
            </w:pPr>
            <w:r>
              <w:rPr>
                <w:rFonts w:ascii="Times New Roman" w:hAnsi="Times New Roman"/>
                <w:lang w:eastAsia="zh-CN"/>
              </w:rPr>
              <w:t>珊瑚砂</w:t>
            </w:r>
          </w:p>
          <w:p>
            <w:pPr>
              <w:pStyle w:val="17"/>
              <w:jc w:val="center"/>
              <w:rPr>
                <w:rFonts w:ascii="Times New Roman" w:hAnsi="Times New Roman"/>
              </w:rPr>
            </w:pPr>
            <w:r>
              <w:rPr>
                <w:rFonts w:ascii="Times New Roman" w:hAnsi="Times New Roman"/>
              </w:rPr>
              <w:t>普通砂</w:t>
            </w:r>
          </w:p>
        </w:tc>
        <w:tc>
          <w:tcPr>
            <w:tcW w:w="2688" w:type="dxa"/>
            <w:vAlign w:val="center"/>
          </w:tcPr>
          <w:p>
            <w:pPr>
              <w:pStyle w:val="17"/>
              <w:jc w:val="center"/>
              <w:rPr>
                <w:rFonts w:ascii="Times New Roman" w:hAnsi="Times New Roman"/>
              </w:rPr>
            </w:pPr>
            <w:r>
              <w:rPr>
                <w:rFonts w:ascii="Times New Roman" w:hAnsi="Times New Roman"/>
              </w:rPr>
              <w:t>35～50</w:t>
            </w:r>
          </w:p>
          <w:p>
            <w:pPr>
              <w:pStyle w:val="17"/>
              <w:jc w:val="center"/>
              <w:rPr>
                <w:rFonts w:ascii="Times New Roman" w:hAnsi="Times New Roman"/>
              </w:rPr>
            </w:pPr>
            <w:r>
              <w:rPr>
                <w:rFonts w:ascii="Times New Roman" w:hAnsi="Times New Roman"/>
              </w:rPr>
              <w:t>30～40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7" w:hRule="atLeast"/>
        </w:trPr>
        <w:tc>
          <w:tcPr>
            <w:tcW w:w="2666" w:type="dxa"/>
            <w:vAlign w:val="center"/>
          </w:tcPr>
          <w:p>
            <w:pPr>
              <w:pStyle w:val="17"/>
              <w:jc w:val="center"/>
              <w:rPr>
                <w:rFonts w:ascii="Times New Roman" w:hAnsi="Times New Roman"/>
                <w:lang w:eastAsia="zh-CN"/>
              </w:rPr>
            </w:pPr>
            <w:r>
              <w:rPr>
                <w:rFonts w:ascii="Times New Roman" w:hAnsi="Times New Roman"/>
              </w:rPr>
              <w:t>现浇</w:t>
            </w:r>
          </w:p>
        </w:tc>
        <w:tc>
          <w:tcPr>
            <w:tcW w:w="2898" w:type="dxa"/>
            <w:vAlign w:val="center"/>
          </w:tcPr>
          <w:p>
            <w:pPr>
              <w:pStyle w:val="17"/>
              <w:jc w:val="center"/>
              <w:rPr>
                <w:rFonts w:ascii="Times New Roman" w:hAnsi="Times New Roman"/>
              </w:rPr>
            </w:pPr>
            <w:r>
              <w:rPr>
                <w:rFonts w:ascii="Times New Roman" w:hAnsi="Times New Roman"/>
                <w:lang w:eastAsia="zh-CN"/>
              </w:rPr>
              <w:t>珊瑚砂</w:t>
            </w:r>
          </w:p>
          <w:p>
            <w:pPr>
              <w:pStyle w:val="17"/>
              <w:jc w:val="center"/>
              <w:rPr>
                <w:rFonts w:ascii="Times New Roman" w:hAnsi="Times New Roman"/>
              </w:rPr>
            </w:pPr>
            <w:r>
              <w:rPr>
                <w:rFonts w:ascii="Times New Roman" w:hAnsi="Times New Roman"/>
              </w:rPr>
              <w:t>普通砂</w:t>
            </w:r>
          </w:p>
        </w:tc>
        <w:tc>
          <w:tcPr>
            <w:tcW w:w="2688" w:type="dxa"/>
            <w:vAlign w:val="center"/>
          </w:tcPr>
          <w:p>
            <w:pPr>
              <w:pStyle w:val="17"/>
              <w:jc w:val="center"/>
              <w:rPr>
                <w:rFonts w:ascii="Times New Roman" w:hAnsi="Times New Roman"/>
              </w:rPr>
            </w:pPr>
            <w:r>
              <w:rPr>
                <w:rFonts w:ascii="Times New Roman" w:hAnsi="Times New Roman"/>
              </w:rPr>
              <w:t>40～55</w:t>
            </w:r>
          </w:p>
          <w:p>
            <w:pPr>
              <w:pStyle w:val="17"/>
              <w:jc w:val="center"/>
              <w:rPr>
                <w:rFonts w:ascii="Times New Roman" w:hAnsi="Times New Roman"/>
              </w:rPr>
            </w:pPr>
            <w:r>
              <w:rPr>
                <w:rFonts w:ascii="Times New Roman" w:hAnsi="Times New Roman"/>
              </w:rPr>
              <w:t>35～45</w:t>
            </w:r>
          </w:p>
        </w:tc>
      </w:tr>
    </w:tbl>
    <w:p>
      <w:pPr>
        <w:spacing w:beforeLines="100" w:afterLines="100" w:line="300" w:lineRule="auto"/>
        <w:jc w:val="center"/>
        <w:outlineLvl w:val="1"/>
        <w:rPr>
          <w:b/>
          <w:bCs/>
          <w:sz w:val="24"/>
          <w:szCs w:val="24"/>
        </w:rPr>
      </w:pPr>
      <w:bookmarkStart w:id="326" w:name="_Toc513811963"/>
      <w:bookmarkStart w:id="327" w:name="_Toc509849518"/>
      <w:bookmarkStart w:id="328" w:name="_Toc14139"/>
      <w:bookmarkStart w:id="329" w:name="_Toc15053064"/>
      <w:bookmarkStart w:id="330" w:name="_Toc486247774"/>
      <w:bookmarkStart w:id="331" w:name="_Toc472351344"/>
      <w:bookmarkStart w:id="332" w:name="_Toc13432"/>
      <w:bookmarkStart w:id="333" w:name="_Toc514685650"/>
      <w:r>
        <w:rPr>
          <w:b/>
          <w:bCs/>
          <w:sz w:val="24"/>
          <w:szCs w:val="24"/>
        </w:rPr>
        <w:t>6.5  配合比计算与调整</w:t>
      </w:r>
      <w:bookmarkEnd w:id="326"/>
      <w:bookmarkEnd w:id="327"/>
      <w:bookmarkEnd w:id="328"/>
      <w:bookmarkEnd w:id="329"/>
      <w:bookmarkEnd w:id="330"/>
      <w:bookmarkEnd w:id="331"/>
      <w:bookmarkEnd w:id="332"/>
      <w:bookmarkEnd w:id="333"/>
    </w:p>
    <w:p>
      <w:pPr>
        <w:pStyle w:val="17"/>
        <w:spacing w:line="360" w:lineRule="auto"/>
        <w:rPr>
          <w:rFonts w:ascii="Times New Roman" w:hAnsi="Times New Roman"/>
          <w:sz w:val="24"/>
          <w:szCs w:val="24"/>
        </w:rPr>
      </w:pPr>
      <w:r>
        <w:rPr>
          <w:rFonts w:ascii="Times New Roman" w:hAnsi="Times New Roman"/>
          <w:b/>
          <w:sz w:val="24"/>
          <w:szCs w:val="24"/>
          <w:lang w:val="en-US" w:eastAsia="zh-CN"/>
        </w:rPr>
        <w:t>6.5.1</w:t>
      </w:r>
      <w:r>
        <w:rPr>
          <w:rFonts w:ascii="Times New Roman" w:hAnsi="Times New Roman"/>
          <w:sz w:val="24"/>
          <w:szCs w:val="24"/>
          <w:lang w:val="en-US" w:eastAsia="zh-CN"/>
        </w:rPr>
        <w:t xml:space="preserve">  珊瑚骨料</w:t>
      </w:r>
      <w:r>
        <w:rPr>
          <w:rFonts w:ascii="Times New Roman" w:hAnsi="Times New Roman"/>
          <w:sz w:val="24"/>
          <w:szCs w:val="24"/>
        </w:rPr>
        <w:t>混凝土配合比计算</w:t>
      </w:r>
      <w:r>
        <w:rPr>
          <w:rFonts w:ascii="Times New Roman" w:hAnsi="Times New Roman"/>
          <w:sz w:val="24"/>
          <w:szCs w:val="24"/>
          <w:lang w:eastAsia="zh-CN"/>
        </w:rPr>
        <w:t>宜</w:t>
      </w:r>
      <w:r>
        <w:rPr>
          <w:rFonts w:ascii="Times New Roman" w:hAnsi="Times New Roman"/>
          <w:sz w:val="24"/>
          <w:szCs w:val="24"/>
        </w:rPr>
        <w:t>采用绝对体积法。配合比计算中粗细骨料用量均以干燥状态为基准。</w:t>
      </w:r>
    </w:p>
    <w:p>
      <w:pPr>
        <w:pStyle w:val="17"/>
        <w:spacing w:line="360" w:lineRule="auto"/>
        <w:rPr>
          <w:rFonts w:ascii="Times New Roman" w:hAnsi="Times New Roman"/>
          <w:sz w:val="24"/>
          <w:szCs w:val="24"/>
        </w:rPr>
      </w:pPr>
      <w:r>
        <w:rPr>
          <w:rFonts w:ascii="Times New Roman" w:hAnsi="Times New Roman"/>
          <w:b/>
          <w:sz w:val="24"/>
          <w:szCs w:val="24"/>
          <w:lang w:val="en-US" w:eastAsia="zh-CN"/>
        </w:rPr>
        <w:t>6.5.2</w:t>
      </w:r>
      <w:r>
        <w:rPr>
          <w:rFonts w:ascii="Times New Roman" w:hAnsi="Times New Roman"/>
          <w:sz w:val="24"/>
          <w:szCs w:val="24"/>
        </w:rPr>
        <w:t xml:space="preserve"> </w:t>
      </w:r>
      <w:r>
        <w:rPr>
          <w:rFonts w:ascii="Times New Roman" w:hAnsi="Times New Roman"/>
          <w:sz w:val="24"/>
          <w:szCs w:val="24"/>
          <w:lang w:eastAsia="zh-CN"/>
        </w:rPr>
        <w:t xml:space="preserve"> 配合比设计</w:t>
      </w:r>
      <w:r>
        <w:rPr>
          <w:rFonts w:ascii="Times New Roman" w:hAnsi="Times New Roman"/>
          <w:sz w:val="24"/>
          <w:szCs w:val="24"/>
        </w:rPr>
        <w:t>应按下列步骤进行：</w:t>
      </w:r>
    </w:p>
    <w:p>
      <w:pPr>
        <w:pStyle w:val="17"/>
        <w:spacing w:line="360" w:lineRule="auto"/>
        <w:ind w:firstLine="435"/>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w:t>
      </w:r>
      <w:r>
        <w:rPr>
          <w:rFonts w:ascii="Times New Roman" w:hAnsi="Times New Roman"/>
          <w:sz w:val="24"/>
          <w:szCs w:val="24"/>
          <w:lang w:eastAsia="zh-CN"/>
        </w:rPr>
        <w:t>珊瑚</w:t>
      </w:r>
      <w:r>
        <w:rPr>
          <w:rFonts w:ascii="Times New Roman" w:hAnsi="Times New Roman"/>
          <w:sz w:val="24"/>
          <w:szCs w:val="24"/>
        </w:rPr>
        <w:t>粗骨料的最大粒径，应根据设计要求的</w:t>
      </w:r>
      <w:r>
        <w:rPr>
          <w:rFonts w:ascii="Times New Roman" w:hAnsi="Times New Roman"/>
          <w:sz w:val="24"/>
          <w:szCs w:val="24"/>
          <w:lang w:eastAsia="zh-CN"/>
        </w:rPr>
        <w:t>珊瑚骨料</w:t>
      </w:r>
      <w:r>
        <w:rPr>
          <w:rFonts w:ascii="Times New Roman" w:hAnsi="Times New Roman"/>
          <w:sz w:val="24"/>
          <w:szCs w:val="24"/>
        </w:rPr>
        <w:t>混凝土的强度等级</w:t>
      </w:r>
      <w:r>
        <w:rPr>
          <w:rFonts w:ascii="Times New Roman" w:hAnsi="Times New Roman"/>
          <w:sz w:val="24"/>
          <w:szCs w:val="24"/>
          <w:lang w:eastAsia="zh-CN"/>
        </w:rPr>
        <w:t>及</w:t>
      </w:r>
      <w:r>
        <w:rPr>
          <w:rFonts w:ascii="Times New Roman" w:hAnsi="Times New Roman"/>
          <w:sz w:val="24"/>
          <w:szCs w:val="24"/>
        </w:rPr>
        <w:t>用途进行确定；</w:t>
      </w:r>
    </w:p>
    <w:p>
      <w:pPr>
        <w:pStyle w:val="17"/>
        <w:spacing w:line="360" w:lineRule="auto"/>
        <w:ind w:firstLine="435"/>
        <w:rPr>
          <w:rFonts w:ascii="Times New Roman" w:hAnsi="Times New Roman"/>
          <w:sz w:val="24"/>
          <w:szCs w:val="24"/>
        </w:rPr>
      </w:pPr>
      <w:r>
        <w:rPr>
          <w:rFonts w:ascii="Times New Roman" w:hAnsi="Times New Roman"/>
          <w:b/>
          <w:sz w:val="24"/>
          <w:szCs w:val="24"/>
        </w:rPr>
        <w:t>2</w:t>
      </w:r>
      <w:r>
        <w:rPr>
          <w:rFonts w:ascii="Times New Roman" w:hAnsi="Times New Roman"/>
          <w:sz w:val="24"/>
          <w:szCs w:val="24"/>
        </w:rPr>
        <w:t xml:space="preserve">  </w:t>
      </w:r>
      <w:r>
        <w:rPr>
          <w:rFonts w:ascii="Times New Roman" w:hAnsi="Times New Roman"/>
          <w:sz w:val="24"/>
          <w:szCs w:val="24"/>
          <w:lang w:eastAsia="zh-CN"/>
        </w:rPr>
        <w:t>珊瑚</w:t>
      </w:r>
      <w:r>
        <w:rPr>
          <w:rFonts w:ascii="Times New Roman" w:hAnsi="Times New Roman"/>
          <w:sz w:val="24"/>
          <w:szCs w:val="24"/>
        </w:rPr>
        <w:t>粗骨料应测定其堆积密度、</w:t>
      </w:r>
      <w:r>
        <w:rPr>
          <w:rFonts w:ascii="Times New Roman" w:hAnsi="Times New Roman"/>
          <w:sz w:val="24"/>
          <w:szCs w:val="24"/>
          <w:lang w:eastAsia="zh-CN"/>
        </w:rPr>
        <w:t>表观密度、</w:t>
      </w:r>
      <w:r>
        <w:rPr>
          <w:rFonts w:ascii="Times New Roman" w:hAnsi="Times New Roman"/>
          <w:sz w:val="24"/>
          <w:szCs w:val="24"/>
        </w:rPr>
        <w:t>筒压强度和1h吸水率，</w:t>
      </w:r>
      <w:r>
        <w:rPr>
          <w:rFonts w:ascii="Times New Roman" w:hAnsi="Times New Roman"/>
          <w:sz w:val="24"/>
          <w:szCs w:val="24"/>
          <w:lang w:eastAsia="zh-CN"/>
        </w:rPr>
        <w:t>珊瑚砂</w:t>
      </w:r>
      <w:r>
        <w:rPr>
          <w:rFonts w:ascii="Times New Roman" w:hAnsi="Times New Roman"/>
          <w:sz w:val="24"/>
          <w:szCs w:val="24"/>
        </w:rPr>
        <w:t>应测定其堆积密度</w:t>
      </w:r>
      <w:r>
        <w:rPr>
          <w:rFonts w:ascii="Times New Roman" w:hAnsi="Times New Roman"/>
          <w:sz w:val="24"/>
          <w:szCs w:val="24"/>
          <w:lang w:eastAsia="zh-CN"/>
        </w:rPr>
        <w:t>和表观密度</w:t>
      </w:r>
      <w:r>
        <w:rPr>
          <w:rFonts w:ascii="Times New Roman" w:hAnsi="Times New Roman"/>
          <w:sz w:val="24"/>
          <w:szCs w:val="24"/>
        </w:rPr>
        <w:t>；</w:t>
      </w:r>
    </w:p>
    <w:p>
      <w:pPr>
        <w:pStyle w:val="17"/>
        <w:spacing w:line="360" w:lineRule="auto"/>
        <w:ind w:firstLine="435"/>
        <w:rPr>
          <w:rFonts w:ascii="Times New Roman" w:hAnsi="Times New Roman"/>
          <w:sz w:val="24"/>
          <w:szCs w:val="24"/>
        </w:rPr>
      </w:pPr>
      <w:r>
        <w:rPr>
          <w:rFonts w:ascii="Times New Roman" w:hAnsi="Times New Roman"/>
          <w:b/>
          <w:sz w:val="24"/>
          <w:szCs w:val="24"/>
        </w:rPr>
        <w:t>3</w:t>
      </w:r>
      <w:r>
        <w:rPr>
          <w:rFonts w:ascii="Times New Roman" w:hAnsi="Times New Roman"/>
          <w:sz w:val="24"/>
          <w:szCs w:val="24"/>
        </w:rPr>
        <w:t xml:space="preserve">  应按本标准第</w:t>
      </w:r>
      <w:r>
        <w:rPr>
          <w:rFonts w:ascii="Times New Roman" w:hAnsi="Times New Roman"/>
          <w:sz w:val="24"/>
          <w:szCs w:val="24"/>
          <w:lang w:eastAsia="zh-CN"/>
        </w:rPr>
        <w:t>6</w:t>
      </w:r>
      <w:r>
        <w:rPr>
          <w:rFonts w:ascii="Times New Roman" w:hAnsi="Times New Roman"/>
          <w:sz w:val="24"/>
          <w:szCs w:val="24"/>
        </w:rPr>
        <w:t>.2.1条计算混凝土</w:t>
      </w:r>
      <w:r>
        <w:rPr>
          <w:rFonts w:ascii="Times New Roman" w:hAnsi="Times New Roman"/>
          <w:sz w:val="24"/>
          <w:szCs w:val="24"/>
          <w:lang w:eastAsia="zh-CN"/>
        </w:rPr>
        <w:t>配制</w:t>
      </w:r>
      <w:r>
        <w:rPr>
          <w:rFonts w:ascii="Times New Roman" w:hAnsi="Times New Roman"/>
          <w:sz w:val="24"/>
          <w:szCs w:val="24"/>
        </w:rPr>
        <w:t>强度；</w:t>
      </w:r>
    </w:p>
    <w:p>
      <w:pPr>
        <w:pStyle w:val="17"/>
        <w:spacing w:line="360" w:lineRule="auto"/>
        <w:ind w:firstLine="437"/>
        <w:rPr>
          <w:rFonts w:ascii="Times New Roman" w:hAnsi="Times New Roman"/>
          <w:sz w:val="24"/>
          <w:szCs w:val="24"/>
        </w:rPr>
      </w:pPr>
      <w:r>
        <w:rPr>
          <w:rFonts w:ascii="Times New Roman" w:hAnsi="Times New Roman"/>
          <w:b/>
          <w:sz w:val="24"/>
          <w:szCs w:val="24"/>
        </w:rPr>
        <w:t>4</w:t>
      </w:r>
      <w:r>
        <w:rPr>
          <w:rFonts w:ascii="Times New Roman" w:hAnsi="Times New Roman"/>
          <w:sz w:val="24"/>
          <w:szCs w:val="24"/>
        </w:rPr>
        <w:t xml:space="preserve">  应按本标准第</w:t>
      </w:r>
      <w:r>
        <w:rPr>
          <w:rFonts w:ascii="Times New Roman" w:hAnsi="Times New Roman"/>
          <w:sz w:val="24"/>
          <w:szCs w:val="24"/>
          <w:lang w:eastAsia="zh-CN"/>
        </w:rPr>
        <w:t>6</w:t>
      </w:r>
      <w:r>
        <w:rPr>
          <w:rFonts w:ascii="Times New Roman" w:hAnsi="Times New Roman"/>
          <w:sz w:val="24"/>
          <w:szCs w:val="24"/>
        </w:rPr>
        <w:t>.4.1条选择胶凝材料用量，并按下列公式计算矿物掺合料用量和水泥用量；</w:t>
      </w:r>
    </w:p>
    <w:p>
      <w:pPr>
        <w:spacing w:line="360" w:lineRule="auto"/>
        <w:ind w:firstLine="480" w:firstLineChars="200"/>
        <w:jc w:val="right"/>
        <w:rPr>
          <w:sz w:val="24"/>
          <w:szCs w:val="24"/>
        </w:rPr>
      </w:pPr>
      <w:r>
        <w:rPr>
          <w:position w:val="-14"/>
          <w:sz w:val="24"/>
          <w:szCs w:val="24"/>
        </w:rPr>
        <w:object>
          <v:shape id="_x0000_i1032" o:spt="75" type="#_x0000_t75" style="height:18.8pt;width:53.85pt;" o:ole="t" filled="f" o:preferrelative="t" stroked="f" coordsize="21600,21600">
            <v:path/>
            <v:fill on="f" focussize="0,0"/>
            <v:stroke on="f" joinstyle="miter"/>
            <v:imagedata r:id="rId24" o:title=""/>
            <o:lock v:ext="edit" aspectratio="t"/>
            <w10:wrap type="none"/>
            <w10:anchorlock/>
          </v:shape>
          <o:OLEObject Type="Embed" ProgID="Equation.DSMT4" ShapeID="_x0000_i1032" DrawAspect="Content" ObjectID="_1468075732" r:id="rId23">
            <o:LockedField>false</o:LockedField>
          </o:OLEObject>
        </w:object>
      </w:r>
      <w:r>
        <w:rPr>
          <w:sz w:val="24"/>
          <w:szCs w:val="24"/>
        </w:rPr>
        <w:t xml:space="preserve">                      （6.5.2-1）</w:t>
      </w:r>
    </w:p>
    <w:p>
      <w:pPr>
        <w:spacing w:line="360" w:lineRule="auto"/>
        <w:ind w:firstLine="480" w:firstLineChars="200"/>
        <w:jc w:val="right"/>
        <w:rPr>
          <w:sz w:val="24"/>
          <w:szCs w:val="24"/>
        </w:rPr>
      </w:pPr>
      <w:r>
        <w:rPr>
          <w:position w:val="-12"/>
          <w:sz w:val="24"/>
          <w:szCs w:val="24"/>
        </w:rPr>
        <w:object>
          <v:shape id="_x0000_i1033" o:spt="75" type="#_x0000_t75" style="height:18.15pt;width:63.85pt;" o:ole="t" filled="f" o:preferrelative="t" stroked="f" coordsize="21600,21600">
            <v:path/>
            <v:fill on="f" focussize="0,0"/>
            <v:stroke on="f" joinstyle="miter"/>
            <v:imagedata r:id="rId26" o:title=""/>
            <o:lock v:ext="edit" aspectratio="t"/>
            <w10:wrap type="none"/>
            <w10:anchorlock/>
          </v:shape>
          <o:OLEObject Type="Embed" ProgID="Equation.DSMT4" ShapeID="_x0000_i1033" DrawAspect="Content" ObjectID="_1468075733" r:id="rId25">
            <o:LockedField>false</o:LockedField>
          </o:OLEObject>
        </w:object>
      </w:r>
      <w:r>
        <w:rPr>
          <w:sz w:val="24"/>
          <w:szCs w:val="24"/>
        </w:rPr>
        <w:t xml:space="preserve">                     （6.5.2-2）</w:t>
      </w:r>
    </w:p>
    <w:tbl>
      <w:tblPr>
        <w:tblStyle w:val="30"/>
        <w:tblW w:w="8420" w:type="dxa"/>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93"/>
        <w:gridCol w:w="74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993" w:type="dxa"/>
          </w:tcPr>
          <w:p>
            <w:pPr>
              <w:pStyle w:val="17"/>
              <w:spacing w:line="360" w:lineRule="auto"/>
              <w:textAlignment w:val="center"/>
              <w:rPr>
                <w:rFonts w:ascii="Times New Roman" w:hAnsi="Times New Roman"/>
                <w:sz w:val="24"/>
                <w:szCs w:val="24"/>
              </w:rPr>
            </w:pPr>
            <w:r>
              <w:rPr>
                <w:rFonts w:ascii="Times New Roman" w:hAnsi="Times New Roman"/>
                <w:sz w:val="24"/>
                <w:szCs w:val="24"/>
              </w:rPr>
              <w:t>式</w:t>
            </w:r>
            <w:r>
              <w:rPr>
                <w:rFonts w:ascii="Times New Roman" w:hAnsi="Times New Roman"/>
                <w:sz w:val="24"/>
                <w:szCs w:val="24"/>
                <w:lang w:eastAsia="zh-CN"/>
              </w:rPr>
              <w:t>中</w:t>
            </w:r>
            <w:r>
              <w:rPr>
                <w:rFonts w:ascii="Times New Roman" w:hAnsi="Times New Roman"/>
                <w:sz w:val="24"/>
                <w:szCs w:val="24"/>
              </w:rPr>
              <w:t>：</w:t>
            </w:r>
          </w:p>
        </w:tc>
        <w:tc>
          <w:tcPr>
            <w:tcW w:w="7427" w:type="dxa"/>
            <w:vAlign w:val="center"/>
          </w:tcPr>
          <w:p>
            <w:pPr>
              <w:pStyle w:val="17"/>
              <w:spacing w:line="360" w:lineRule="auto"/>
              <w:ind w:left="-57" w:right="-57"/>
              <w:textAlignment w:val="center"/>
              <w:rPr>
                <w:rFonts w:ascii="Times New Roman" w:hAnsi="Times New Roman"/>
                <w:sz w:val="24"/>
                <w:szCs w:val="24"/>
              </w:rPr>
            </w:pPr>
            <w:r>
              <w:rPr>
                <w:rFonts w:ascii="Times New Roman" w:hAnsi="Times New Roman"/>
                <w:i/>
                <w:sz w:val="24"/>
                <w:szCs w:val="24"/>
              </w:rPr>
              <w:t>m</w:t>
            </w:r>
            <w:r>
              <w:rPr>
                <w:rFonts w:ascii="Times New Roman" w:hAnsi="Times New Roman"/>
                <w:sz w:val="24"/>
                <w:szCs w:val="24"/>
                <w:vertAlign w:val="subscript"/>
              </w:rPr>
              <w:t>f</w:t>
            </w:r>
            <w:r>
              <w:rPr>
                <w:rFonts w:ascii="Times New Roman" w:hAnsi="Times New Roman"/>
                <w:sz w:val="24"/>
                <w:szCs w:val="24"/>
              </w:rPr>
              <w:t>——每立方米</w:t>
            </w:r>
            <w:r>
              <w:rPr>
                <w:rFonts w:ascii="Times New Roman" w:hAnsi="Times New Roman"/>
                <w:sz w:val="24"/>
                <w:szCs w:val="24"/>
                <w:lang w:eastAsia="zh-CN"/>
              </w:rPr>
              <w:t>珊瑚骨料</w:t>
            </w:r>
            <w:r>
              <w:rPr>
                <w:rFonts w:ascii="Times New Roman" w:hAnsi="Times New Roman"/>
                <w:sz w:val="24"/>
                <w:szCs w:val="24"/>
              </w:rPr>
              <w:t>混凝土中矿物掺合料用量（kg）；</w:t>
            </w:r>
          </w:p>
          <w:p>
            <w:pPr>
              <w:pStyle w:val="17"/>
              <w:spacing w:line="360" w:lineRule="auto"/>
              <w:ind w:left="-57" w:right="-57"/>
              <w:textAlignment w:val="center"/>
              <w:rPr>
                <w:rFonts w:ascii="Times New Roman" w:hAnsi="Times New Roman"/>
                <w:sz w:val="24"/>
                <w:szCs w:val="24"/>
              </w:rPr>
            </w:pPr>
            <w:r>
              <w:rPr>
                <w:rFonts w:ascii="Times New Roman" w:hAnsi="Times New Roman"/>
                <w:i/>
                <w:sz w:val="24"/>
                <w:szCs w:val="24"/>
                <w:lang w:val="fr-FR"/>
              </w:rPr>
              <w:t>m</w:t>
            </w:r>
            <w:r>
              <w:rPr>
                <w:rFonts w:ascii="Times New Roman" w:hAnsi="Times New Roman"/>
                <w:sz w:val="24"/>
                <w:szCs w:val="24"/>
                <w:vertAlign w:val="subscript"/>
                <w:lang w:val="fr-FR"/>
              </w:rPr>
              <w:t>b</w:t>
            </w:r>
            <w:r>
              <w:rPr>
                <w:rFonts w:ascii="Times New Roman" w:hAnsi="Times New Roman"/>
                <w:sz w:val="24"/>
                <w:szCs w:val="24"/>
              </w:rPr>
              <w:t>——每立方米</w:t>
            </w:r>
            <w:r>
              <w:rPr>
                <w:rFonts w:ascii="Times New Roman" w:hAnsi="Times New Roman"/>
                <w:sz w:val="24"/>
                <w:szCs w:val="24"/>
                <w:lang w:eastAsia="zh-CN"/>
              </w:rPr>
              <w:t>珊瑚骨料</w:t>
            </w:r>
            <w:r>
              <w:rPr>
                <w:rFonts w:ascii="Times New Roman" w:hAnsi="Times New Roman"/>
                <w:sz w:val="24"/>
                <w:szCs w:val="24"/>
              </w:rPr>
              <w:t>混凝土中胶凝材料用量（kg）；</w:t>
            </w:r>
          </w:p>
          <w:p>
            <w:pPr>
              <w:pStyle w:val="17"/>
              <w:spacing w:line="360" w:lineRule="auto"/>
              <w:ind w:left="-57" w:right="-57"/>
              <w:textAlignment w:val="center"/>
              <w:rPr>
                <w:rFonts w:ascii="Times New Roman" w:hAnsi="Times New Roman"/>
                <w:sz w:val="24"/>
                <w:szCs w:val="24"/>
                <w:lang w:eastAsia="zh-CN"/>
              </w:rPr>
            </w:pPr>
            <w:r>
              <w:rPr>
                <w:rFonts w:ascii="Times New Roman" w:hAnsi="Times New Roman"/>
                <w:i/>
                <w:sz w:val="24"/>
                <w:szCs w:val="24"/>
              </w:rPr>
              <w:t>β</w:t>
            </w:r>
            <w:r>
              <w:rPr>
                <w:rFonts w:ascii="Times New Roman" w:hAnsi="Times New Roman"/>
                <w:sz w:val="24"/>
                <w:szCs w:val="24"/>
                <w:vertAlign w:val="subscript"/>
                <w:lang w:val="fr-FR"/>
              </w:rPr>
              <w:t>f</w:t>
            </w:r>
            <w:r>
              <w:rPr>
                <w:rFonts w:ascii="Times New Roman" w:hAnsi="Times New Roman"/>
                <w:sz w:val="24"/>
                <w:szCs w:val="24"/>
              </w:rPr>
              <w:t>——矿物掺合料掺量（%），可按本标准第</w:t>
            </w:r>
            <w:r>
              <w:rPr>
                <w:rFonts w:ascii="Times New Roman" w:hAnsi="Times New Roman"/>
                <w:sz w:val="24"/>
                <w:szCs w:val="24"/>
                <w:lang w:eastAsia="zh-CN"/>
              </w:rPr>
              <w:t>6</w:t>
            </w:r>
            <w:r>
              <w:rPr>
                <w:rFonts w:ascii="Times New Roman" w:hAnsi="Times New Roman"/>
                <w:sz w:val="24"/>
                <w:szCs w:val="24"/>
              </w:rPr>
              <w:t>.4.</w:t>
            </w:r>
            <w:r>
              <w:rPr>
                <w:rFonts w:ascii="Times New Roman" w:hAnsi="Times New Roman"/>
                <w:sz w:val="24"/>
                <w:szCs w:val="24"/>
                <w:lang w:eastAsia="zh-CN"/>
              </w:rPr>
              <w:t>3</w:t>
            </w:r>
            <w:r>
              <w:rPr>
                <w:rFonts w:ascii="Times New Roman" w:hAnsi="Times New Roman"/>
                <w:sz w:val="24"/>
                <w:szCs w:val="24"/>
              </w:rPr>
              <w:t>条的规定确定；</w:t>
            </w:r>
          </w:p>
          <w:p>
            <w:pPr>
              <w:pStyle w:val="17"/>
              <w:spacing w:line="360" w:lineRule="auto"/>
              <w:textAlignment w:val="center"/>
              <w:rPr>
                <w:rFonts w:ascii="Times New Roman" w:hAnsi="Times New Roman"/>
                <w:sz w:val="24"/>
                <w:szCs w:val="24"/>
                <w:lang w:eastAsia="zh-CN"/>
              </w:rPr>
            </w:pPr>
            <w:r>
              <w:rPr>
                <w:rFonts w:ascii="Times New Roman" w:hAnsi="Times New Roman"/>
                <w:i/>
                <w:sz w:val="24"/>
                <w:szCs w:val="24"/>
              </w:rPr>
              <w:t>m</w:t>
            </w:r>
            <w:r>
              <w:rPr>
                <w:rFonts w:ascii="Times New Roman" w:hAnsi="Times New Roman"/>
                <w:sz w:val="24"/>
                <w:szCs w:val="24"/>
                <w:vertAlign w:val="subscript"/>
              </w:rPr>
              <w:t>c</w:t>
            </w:r>
            <w:r>
              <w:rPr>
                <w:rFonts w:ascii="Times New Roman" w:hAnsi="Times New Roman"/>
                <w:sz w:val="24"/>
                <w:szCs w:val="24"/>
              </w:rPr>
              <w:t>——每立方米</w:t>
            </w:r>
            <w:r>
              <w:rPr>
                <w:rFonts w:ascii="Times New Roman" w:hAnsi="Times New Roman"/>
                <w:sz w:val="24"/>
                <w:szCs w:val="24"/>
                <w:lang w:eastAsia="zh-CN"/>
              </w:rPr>
              <w:t>珊瑚骨料</w:t>
            </w:r>
            <w:r>
              <w:rPr>
                <w:rFonts w:ascii="Times New Roman" w:hAnsi="Times New Roman"/>
                <w:sz w:val="24"/>
                <w:szCs w:val="24"/>
              </w:rPr>
              <w:t>混凝土中水泥用量（kg）。</w:t>
            </w:r>
          </w:p>
        </w:tc>
      </w:tr>
    </w:tbl>
    <w:p>
      <w:pPr>
        <w:pStyle w:val="17"/>
        <w:adjustRightInd w:val="0"/>
        <w:spacing w:line="360" w:lineRule="auto"/>
        <w:ind w:left="588" w:leftChars="280"/>
        <w:rPr>
          <w:rFonts w:ascii="Times New Roman" w:hAnsi="Times New Roman"/>
          <w:sz w:val="24"/>
          <w:szCs w:val="24"/>
          <w:lang w:eastAsia="zh-CN"/>
        </w:rPr>
      </w:pPr>
      <w:r>
        <w:rPr>
          <w:rFonts w:ascii="Times New Roman" w:hAnsi="Times New Roman"/>
          <w:b/>
          <w:sz w:val="24"/>
          <w:szCs w:val="24"/>
        </w:rPr>
        <w:t>5</w:t>
      </w:r>
      <w:r>
        <w:rPr>
          <w:rFonts w:ascii="Times New Roman" w:hAnsi="Times New Roman"/>
          <w:sz w:val="24"/>
          <w:szCs w:val="24"/>
        </w:rPr>
        <w:t xml:space="preserve">  应按本标准第</w:t>
      </w:r>
      <w:r>
        <w:rPr>
          <w:rFonts w:ascii="Times New Roman" w:hAnsi="Times New Roman"/>
          <w:sz w:val="24"/>
          <w:szCs w:val="24"/>
          <w:lang w:eastAsia="zh-CN"/>
        </w:rPr>
        <w:t>6</w:t>
      </w:r>
      <w:r>
        <w:rPr>
          <w:rFonts w:ascii="Times New Roman" w:hAnsi="Times New Roman"/>
          <w:sz w:val="24"/>
          <w:szCs w:val="24"/>
        </w:rPr>
        <w:t>.4.</w:t>
      </w:r>
      <w:r>
        <w:rPr>
          <w:rFonts w:ascii="Times New Roman" w:hAnsi="Times New Roman"/>
          <w:sz w:val="24"/>
          <w:szCs w:val="24"/>
          <w:lang w:eastAsia="zh-CN"/>
        </w:rPr>
        <w:t>4</w:t>
      </w:r>
      <w:r>
        <w:rPr>
          <w:rFonts w:ascii="Times New Roman" w:hAnsi="Times New Roman"/>
          <w:sz w:val="24"/>
          <w:szCs w:val="24"/>
        </w:rPr>
        <w:t>条选择净用水量；</w:t>
      </w:r>
      <w:r>
        <w:rPr>
          <w:rFonts w:ascii="Times New Roman" w:hAnsi="Times New Roman"/>
          <w:sz w:val="24"/>
          <w:szCs w:val="24"/>
        </w:rPr>
        <w:cr/>
      </w:r>
      <w:r>
        <w:rPr>
          <w:rFonts w:ascii="Times New Roman" w:hAnsi="Times New Roman"/>
          <w:b/>
          <w:bCs/>
          <w:sz w:val="24"/>
          <w:szCs w:val="24"/>
        </w:rPr>
        <w:t>6</w:t>
      </w:r>
      <w:r>
        <w:rPr>
          <w:rFonts w:ascii="Times New Roman" w:hAnsi="Times New Roman"/>
          <w:sz w:val="24"/>
          <w:szCs w:val="24"/>
        </w:rPr>
        <w:t xml:space="preserve">  应按本标准第</w:t>
      </w:r>
      <w:r>
        <w:rPr>
          <w:rFonts w:ascii="Times New Roman" w:hAnsi="Times New Roman"/>
          <w:sz w:val="24"/>
          <w:szCs w:val="24"/>
          <w:lang w:eastAsia="zh-CN"/>
        </w:rPr>
        <w:t>6</w:t>
      </w:r>
      <w:r>
        <w:rPr>
          <w:rFonts w:ascii="Times New Roman" w:hAnsi="Times New Roman"/>
          <w:sz w:val="24"/>
          <w:szCs w:val="24"/>
        </w:rPr>
        <w:t>.4.</w:t>
      </w:r>
      <w:r>
        <w:rPr>
          <w:rFonts w:ascii="Times New Roman" w:hAnsi="Times New Roman"/>
          <w:sz w:val="24"/>
          <w:szCs w:val="24"/>
          <w:lang w:eastAsia="zh-CN"/>
        </w:rPr>
        <w:t>5</w:t>
      </w:r>
      <w:r>
        <w:rPr>
          <w:rFonts w:ascii="Times New Roman" w:hAnsi="Times New Roman"/>
          <w:sz w:val="24"/>
          <w:szCs w:val="24"/>
        </w:rPr>
        <w:t>条选取体积砂率；</w:t>
      </w:r>
    </w:p>
    <w:p>
      <w:pPr>
        <w:pStyle w:val="17"/>
        <w:spacing w:line="360" w:lineRule="auto"/>
        <w:ind w:firstLine="600" w:firstLineChars="249"/>
        <w:rPr>
          <w:rFonts w:ascii="Times New Roman" w:hAnsi="Times New Roman"/>
          <w:sz w:val="24"/>
          <w:szCs w:val="24"/>
          <w:lang w:eastAsia="zh-CN"/>
        </w:rPr>
      </w:pPr>
      <w:r>
        <w:rPr>
          <w:rFonts w:ascii="Times New Roman" w:hAnsi="Times New Roman"/>
          <w:b/>
          <w:sz w:val="24"/>
          <w:szCs w:val="24"/>
          <w:lang w:eastAsia="zh-CN"/>
        </w:rPr>
        <w:t>7</w:t>
      </w:r>
      <w:r>
        <w:rPr>
          <w:rFonts w:ascii="Times New Roman" w:hAnsi="Times New Roman"/>
          <w:sz w:val="24"/>
          <w:szCs w:val="24"/>
          <w:lang w:eastAsia="zh-CN"/>
        </w:rPr>
        <w:t xml:space="preserve">  应按下列公式计算粗、细骨料的用量：</w:t>
      </w:r>
      <w:r>
        <w:rPr>
          <w:rFonts w:ascii="Times New Roman" w:hAnsi="Times New Roman"/>
          <w:b/>
        </w:rPr>
        <w:t xml:space="preserve"> </w:t>
      </w:r>
    </w:p>
    <w:p>
      <w:pPr>
        <w:pStyle w:val="17"/>
        <w:spacing w:line="360" w:lineRule="auto"/>
        <w:jc w:val="right"/>
        <w:rPr>
          <w:rFonts w:ascii="Times New Roman" w:hAnsi="Times New Roman"/>
          <w:sz w:val="24"/>
          <w:szCs w:val="24"/>
          <w:lang w:val="fr-FR"/>
        </w:rPr>
      </w:pPr>
      <w:r>
        <w:rPr>
          <w:rFonts w:ascii="Times New Roman" w:hAnsi="Times New Roman"/>
          <w:lang w:val="fr-FR"/>
        </w:rPr>
        <w:t xml:space="preserve">      </w:t>
      </w:r>
      <w:r>
        <w:rPr>
          <w:rFonts w:ascii="Times New Roman" w:hAnsi="Times New Roman"/>
          <w:sz w:val="24"/>
          <w:szCs w:val="24"/>
          <w:lang w:val="fr-FR"/>
        </w:rPr>
        <w:t xml:space="preserve">          </w:t>
      </w:r>
      <w:r>
        <w:rPr>
          <w:rFonts w:ascii="Times New Roman" w:hAnsi="Times New Roman"/>
          <w:position w:val="-34"/>
          <w:sz w:val="24"/>
          <w:szCs w:val="24"/>
        </w:rPr>
        <w:object>
          <v:shape id="_x0000_i1034" o:spt="75" type="#_x0000_t75" style="height:36.95pt;width:147.15pt;" o:ole="t" fillcolor="#6D6D6D" filled="f" o:preferrelative="t" stroked="f" coordsize="21600,21600">
            <v:path/>
            <v:fill on="f" focussize="0,0"/>
            <v:stroke on="f" joinstyle="miter"/>
            <v:imagedata r:id="rId28" o:title=""/>
            <o:lock v:ext="edit" aspectratio="t"/>
            <w10:wrap type="none"/>
            <w10:anchorlock/>
          </v:shape>
          <o:OLEObject Type="Embed" ProgID="Equation.3" ShapeID="_x0000_i1034" DrawAspect="Content" ObjectID="_1468075734" r:id="rId27">
            <o:LockedField>false</o:LockedField>
          </o:OLEObject>
        </w:object>
      </w:r>
      <w:r>
        <w:rPr>
          <w:rFonts w:ascii="Times New Roman" w:hAnsi="Times New Roman"/>
          <w:sz w:val="24"/>
          <w:szCs w:val="24"/>
          <w:lang w:val="fr-FR"/>
        </w:rPr>
        <w:t xml:space="preserve">               (</w:t>
      </w:r>
      <w:r>
        <w:rPr>
          <w:rFonts w:ascii="Times New Roman" w:hAnsi="Times New Roman"/>
          <w:sz w:val="24"/>
          <w:szCs w:val="24"/>
          <w:lang w:val="fr-FR" w:eastAsia="zh-CN"/>
        </w:rPr>
        <w:t>6</w:t>
      </w:r>
      <w:r>
        <w:rPr>
          <w:rFonts w:ascii="Times New Roman" w:hAnsi="Times New Roman"/>
          <w:sz w:val="24"/>
          <w:szCs w:val="24"/>
          <w:lang w:val="fr-FR"/>
        </w:rPr>
        <w:t>.5.</w:t>
      </w:r>
      <w:r>
        <w:rPr>
          <w:rFonts w:ascii="Times New Roman" w:hAnsi="Times New Roman"/>
          <w:sz w:val="24"/>
          <w:szCs w:val="24"/>
          <w:lang w:val="fr-FR" w:eastAsia="zh-CN"/>
        </w:rPr>
        <w:t>2</w:t>
      </w:r>
      <w:r>
        <w:rPr>
          <w:rFonts w:ascii="Times New Roman" w:hAnsi="Times New Roman"/>
          <w:sz w:val="24"/>
          <w:szCs w:val="24"/>
          <w:lang w:val="fr-FR"/>
        </w:rPr>
        <w:t>-</w:t>
      </w:r>
      <w:r>
        <w:rPr>
          <w:rFonts w:ascii="Times New Roman" w:hAnsi="Times New Roman"/>
          <w:sz w:val="24"/>
          <w:szCs w:val="24"/>
          <w:lang w:val="fr-FR" w:eastAsia="zh-CN"/>
        </w:rPr>
        <w:t>3</w:t>
      </w:r>
      <w:r>
        <w:rPr>
          <w:rFonts w:ascii="Times New Roman" w:hAnsi="Times New Roman"/>
          <w:sz w:val="24"/>
          <w:szCs w:val="24"/>
          <w:lang w:val="fr-FR"/>
        </w:rPr>
        <w:t>)</w:t>
      </w:r>
    </w:p>
    <w:p>
      <w:pPr>
        <w:pStyle w:val="17"/>
        <w:spacing w:line="360" w:lineRule="auto"/>
        <w:jc w:val="right"/>
        <w:rPr>
          <w:rFonts w:ascii="Times New Roman" w:hAnsi="Times New Roman"/>
          <w:sz w:val="24"/>
          <w:szCs w:val="24"/>
          <w:lang w:val="fr-FR"/>
        </w:rPr>
      </w:pPr>
      <w:r>
        <w:rPr>
          <w:rFonts w:ascii="Times New Roman" w:hAnsi="Times New Roman"/>
          <w:i/>
          <w:sz w:val="24"/>
          <w:szCs w:val="24"/>
          <w:lang w:val="fr-FR"/>
        </w:rPr>
        <w:t xml:space="preserve">                 m</w:t>
      </w:r>
      <w:r>
        <w:rPr>
          <w:rFonts w:ascii="Times New Roman" w:hAnsi="Times New Roman"/>
          <w:sz w:val="24"/>
          <w:szCs w:val="24"/>
          <w:vertAlign w:val="subscript"/>
          <w:lang w:val="fr-FR"/>
        </w:rPr>
        <w:t>s</w:t>
      </w:r>
      <w:r>
        <w:rPr>
          <w:rFonts w:ascii="Times New Roman" w:hAnsi="Times New Roman"/>
          <w:sz w:val="24"/>
          <w:szCs w:val="24"/>
          <w:lang w:val="fr-FR"/>
        </w:rPr>
        <w:t>=</w:t>
      </w:r>
      <w:r>
        <w:rPr>
          <w:rFonts w:ascii="Times New Roman" w:hAnsi="Times New Roman"/>
          <w:i/>
          <w:sz w:val="24"/>
          <w:szCs w:val="24"/>
          <w:lang w:val="fr-FR"/>
        </w:rPr>
        <w:t>V</w:t>
      </w:r>
      <w:r>
        <w:rPr>
          <w:rFonts w:ascii="Times New Roman" w:hAnsi="Times New Roman"/>
          <w:sz w:val="24"/>
          <w:szCs w:val="24"/>
          <w:vertAlign w:val="subscript"/>
          <w:lang w:val="fr-FR"/>
        </w:rPr>
        <w:t>s</w:t>
      </w:r>
      <w:r>
        <w:rPr>
          <w:rFonts w:ascii="Times New Roman" w:hAnsi="Times New Roman"/>
          <w:sz w:val="24"/>
          <w:szCs w:val="24"/>
          <w:lang w:val="fr-FR"/>
        </w:rPr>
        <w:t>×</w:t>
      </w:r>
      <w:r>
        <w:rPr>
          <w:rFonts w:ascii="Times New Roman" w:hAnsi="Times New Roman"/>
          <w:i/>
          <w:sz w:val="24"/>
          <w:szCs w:val="24"/>
        </w:rPr>
        <w:t>ρ</w:t>
      </w:r>
      <w:r>
        <w:rPr>
          <w:rFonts w:ascii="Times New Roman" w:hAnsi="Times New Roman"/>
          <w:sz w:val="24"/>
          <w:szCs w:val="24"/>
          <w:vertAlign w:val="subscript"/>
          <w:lang w:val="fr-FR"/>
        </w:rPr>
        <w:t>s</w:t>
      </w:r>
      <w:r>
        <w:rPr>
          <w:rFonts w:ascii="Times New Roman" w:hAnsi="Times New Roman"/>
          <w:sz w:val="24"/>
          <w:szCs w:val="24"/>
          <w:lang w:val="fr-FR"/>
        </w:rPr>
        <w:t xml:space="preserve">            </w:t>
      </w:r>
      <w:r>
        <w:rPr>
          <w:rFonts w:ascii="Times New Roman" w:hAnsi="Times New Roman"/>
          <w:sz w:val="24"/>
          <w:szCs w:val="24"/>
          <w:lang w:val="fr-FR" w:eastAsia="zh-CN"/>
        </w:rPr>
        <w:t xml:space="preserve">  </w:t>
      </w:r>
      <w:r>
        <w:rPr>
          <w:rFonts w:ascii="Times New Roman" w:hAnsi="Times New Roman"/>
          <w:sz w:val="24"/>
          <w:szCs w:val="24"/>
          <w:lang w:val="fr-FR"/>
        </w:rPr>
        <w:t xml:space="preserve">          (</w:t>
      </w:r>
      <w:r>
        <w:rPr>
          <w:rFonts w:ascii="Times New Roman" w:hAnsi="Times New Roman"/>
          <w:sz w:val="24"/>
          <w:szCs w:val="24"/>
          <w:lang w:val="fr-FR" w:eastAsia="zh-CN"/>
        </w:rPr>
        <w:t>6</w:t>
      </w:r>
      <w:r>
        <w:rPr>
          <w:rFonts w:ascii="Times New Roman" w:hAnsi="Times New Roman"/>
          <w:sz w:val="24"/>
          <w:szCs w:val="24"/>
          <w:lang w:val="fr-FR"/>
        </w:rPr>
        <w:t>.5.</w:t>
      </w:r>
      <w:r>
        <w:rPr>
          <w:rFonts w:ascii="Times New Roman" w:hAnsi="Times New Roman"/>
          <w:sz w:val="24"/>
          <w:szCs w:val="24"/>
          <w:lang w:val="fr-FR" w:eastAsia="zh-CN"/>
        </w:rPr>
        <w:t>2</w:t>
      </w:r>
      <w:r>
        <w:rPr>
          <w:rFonts w:ascii="Times New Roman" w:hAnsi="Times New Roman"/>
          <w:sz w:val="24"/>
          <w:szCs w:val="24"/>
          <w:lang w:val="fr-FR"/>
        </w:rPr>
        <w:t>-</w:t>
      </w:r>
      <w:r>
        <w:rPr>
          <w:rFonts w:ascii="Times New Roman" w:hAnsi="Times New Roman"/>
          <w:sz w:val="24"/>
          <w:szCs w:val="24"/>
          <w:lang w:val="fr-FR" w:eastAsia="zh-CN"/>
        </w:rPr>
        <w:t>3</w:t>
      </w:r>
      <w:r>
        <w:rPr>
          <w:rFonts w:ascii="Times New Roman" w:hAnsi="Times New Roman"/>
          <w:sz w:val="24"/>
          <w:szCs w:val="24"/>
          <w:lang w:val="fr-FR"/>
        </w:rPr>
        <w:t>)</w:t>
      </w:r>
    </w:p>
    <w:p>
      <w:pPr>
        <w:pStyle w:val="17"/>
        <w:spacing w:line="360" w:lineRule="auto"/>
        <w:jc w:val="right"/>
        <w:rPr>
          <w:rFonts w:ascii="Times New Roman" w:hAnsi="Times New Roman"/>
          <w:sz w:val="24"/>
          <w:szCs w:val="24"/>
          <w:lang w:val="fr-FR"/>
        </w:rPr>
      </w:pPr>
      <w:r>
        <w:rPr>
          <w:rFonts w:ascii="Times New Roman" w:hAnsi="Times New Roman"/>
          <w:sz w:val="24"/>
          <w:szCs w:val="24"/>
          <w:lang w:val="fr-FR"/>
        </w:rPr>
        <w:t xml:space="preserve">           </w:t>
      </w:r>
      <w:r>
        <w:rPr>
          <w:rFonts w:ascii="Times New Roman" w:hAnsi="Times New Roman"/>
          <w:position w:val="-34"/>
          <w:sz w:val="24"/>
          <w:szCs w:val="24"/>
        </w:rPr>
        <w:object>
          <v:shape id="_x0000_i1035" o:spt="75" type="#_x0000_t75" style="height:38.2pt;width:159.05pt;" o:ole="t" fillcolor="#6D6D6D" filled="f" o:preferrelative="t" stroked="f" coordsize="21600,21600">
            <v:path/>
            <v:fill on="f" focussize="0,0"/>
            <v:stroke on="f" joinstyle="miter"/>
            <v:imagedata r:id="rId30" o:title=""/>
            <o:lock v:ext="edit" aspectratio="t"/>
            <w10:wrap type="none"/>
            <w10:anchorlock/>
          </v:shape>
          <o:OLEObject Type="Embed" ProgID="Equation.3" ShapeID="_x0000_i1035" DrawAspect="Content" ObjectID="_1468075735" r:id="rId29">
            <o:LockedField>false</o:LockedField>
          </o:OLEObject>
        </w:object>
      </w:r>
      <w:r>
        <w:rPr>
          <w:rFonts w:ascii="Times New Roman" w:hAnsi="Times New Roman"/>
          <w:sz w:val="24"/>
          <w:szCs w:val="24"/>
          <w:lang w:val="fr-FR"/>
        </w:rPr>
        <w:t xml:space="preserve">             (</w:t>
      </w:r>
      <w:r>
        <w:rPr>
          <w:rFonts w:ascii="Times New Roman" w:hAnsi="Times New Roman"/>
          <w:sz w:val="24"/>
          <w:szCs w:val="24"/>
          <w:lang w:val="fr-FR" w:eastAsia="zh-CN"/>
        </w:rPr>
        <w:t>6</w:t>
      </w:r>
      <w:r>
        <w:rPr>
          <w:rFonts w:ascii="Times New Roman" w:hAnsi="Times New Roman"/>
          <w:sz w:val="24"/>
          <w:szCs w:val="24"/>
          <w:lang w:val="fr-FR"/>
        </w:rPr>
        <w:t>.5.</w:t>
      </w:r>
      <w:r>
        <w:rPr>
          <w:rFonts w:ascii="Times New Roman" w:hAnsi="Times New Roman"/>
          <w:sz w:val="24"/>
          <w:szCs w:val="24"/>
          <w:lang w:val="fr-FR" w:eastAsia="zh-CN"/>
        </w:rPr>
        <w:t>2</w:t>
      </w:r>
      <w:r>
        <w:rPr>
          <w:rFonts w:ascii="Times New Roman" w:hAnsi="Times New Roman"/>
          <w:sz w:val="24"/>
          <w:szCs w:val="24"/>
          <w:lang w:val="fr-FR"/>
        </w:rPr>
        <w:t>-</w:t>
      </w:r>
      <w:r>
        <w:rPr>
          <w:rFonts w:ascii="Times New Roman" w:hAnsi="Times New Roman"/>
          <w:sz w:val="24"/>
          <w:szCs w:val="24"/>
          <w:lang w:val="fr-FR" w:eastAsia="zh-CN"/>
        </w:rPr>
        <w:t>4</w:t>
      </w:r>
      <w:r>
        <w:rPr>
          <w:rFonts w:ascii="Times New Roman" w:hAnsi="Times New Roman"/>
          <w:sz w:val="24"/>
          <w:szCs w:val="24"/>
          <w:lang w:val="fr-FR"/>
        </w:rPr>
        <w:t>)</w:t>
      </w:r>
    </w:p>
    <w:p>
      <w:pPr>
        <w:pStyle w:val="17"/>
        <w:spacing w:line="360" w:lineRule="auto"/>
        <w:jc w:val="right"/>
        <w:rPr>
          <w:rFonts w:ascii="Times New Roman" w:hAnsi="Times New Roman"/>
          <w:sz w:val="24"/>
          <w:szCs w:val="24"/>
          <w:lang w:val="fr-FR"/>
        </w:rPr>
      </w:pPr>
      <w:r>
        <w:rPr>
          <w:rFonts w:ascii="Times New Roman" w:hAnsi="Times New Roman"/>
          <w:i/>
          <w:sz w:val="24"/>
          <w:szCs w:val="24"/>
          <w:lang w:val="fr-FR"/>
        </w:rPr>
        <w:t xml:space="preserve">                m</w:t>
      </w:r>
      <w:r>
        <w:rPr>
          <w:rFonts w:ascii="Times New Roman" w:hAnsi="Times New Roman"/>
          <w:sz w:val="24"/>
          <w:szCs w:val="24"/>
          <w:vertAlign w:val="subscript"/>
          <w:lang w:val="fr-FR"/>
        </w:rPr>
        <w:t>a</w:t>
      </w:r>
      <w:r>
        <w:rPr>
          <w:rFonts w:ascii="Times New Roman" w:hAnsi="Times New Roman"/>
          <w:sz w:val="24"/>
          <w:szCs w:val="24"/>
          <w:lang w:val="fr-FR"/>
        </w:rPr>
        <w:t>=</w:t>
      </w:r>
      <w:r>
        <w:rPr>
          <w:rFonts w:ascii="Times New Roman" w:hAnsi="Times New Roman"/>
          <w:i/>
          <w:sz w:val="24"/>
          <w:szCs w:val="24"/>
          <w:lang w:val="fr-FR"/>
        </w:rPr>
        <w:t>V</w:t>
      </w:r>
      <w:r>
        <w:rPr>
          <w:rFonts w:ascii="Times New Roman" w:hAnsi="Times New Roman"/>
          <w:sz w:val="24"/>
          <w:szCs w:val="24"/>
          <w:vertAlign w:val="subscript"/>
          <w:lang w:val="fr-FR"/>
        </w:rPr>
        <w:t>a</w:t>
      </w:r>
      <w:r>
        <w:rPr>
          <w:rFonts w:ascii="Times New Roman" w:hAnsi="Times New Roman"/>
          <w:sz w:val="24"/>
          <w:szCs w:val="24"/>
          <w:lang w:val="fr-FR"/>
        </w:rPr>
        <w:t>×</w:t>
      </w:r>
      <w:r>
        <w:rPr>
          <w:rFonts w:ascii="Times New Roman" w:hAnsi="Times New Roman"/>
          <w:i/>
          <w:sz w:val="24"/>
          <w:szCs w:val="24"/>
        </w:rPr>
        <w:t>ρ</w:t>
      </w:r>
      <w:r>
        <w:rPr>
          <w:rFonts w:ascii="Times New Roman" w:hAnsi="Times New Roman"/>
          <w:sz w:val="24"/>
          <w:szCs w:val="24"/>
          <w:vertAlign w:val="subscript"/>
          <w:lang w:val="fr-FR"/>
        </w:rPr>
        <w:t>ap</w:t>
      </w:r>
      <w:r>
        <w:rPr>
          <w:rFonts w:ascii="Times New Roman" w:hAnsi="Times New Roman"/>
          <w:sz w:val="24"/>
          <w:szCs w:val="24"/>
          <w:lang w:val="fr-FR"/>
        </w:rPr>
        <w:t xml:space="preserve">           </w:t>
      </w:r>
      <w:r>
        <w:rPr>
          <w:rFonts w:ascii="Times New Roman" w:hAnsi="Times New Roman"/>
          <w:sz w:val="24"/>
          <w:szCs w:val="24"/>
          <w:lang w:val="fr-FR" w:eastAsia="zh-CN"/>
        </w:rPr>
        <w:t xml:space="preserve"> </w:t>
      </w:r>
      <w:r>
        <w:rPr>
          <w:rFonts w:ascii="Times New Roman" w:hAnsi="Times New Roman"/>
          <w:sz w:val="24"/>
          <w:szCs w:val="24"/>
          <w:lang w:val="fr-FR"/>
        </w:rPr>
        <w:t xml:space="preserve">         (</w:t>
      </w:r>
      <w:r>
        <w:rPr>
          <w:rFonts w:ascii="Times New Roman" w:hAnsi="Times New Roman"/>
          <w:sz w:val="24"/>
          <w:szCs w:val="24"/>
          <w:lang w:val="fr-FR" w:eastAsia="zh-CN"/>
        </w:rPr>
        <w:t>6</w:t>
      </w:r>
      <w:r>
        <w:rPr>
          <w:rFonts w:ascii="Times New Roman" w:hAnsi="Times New Roman"/>
          <w:sz w:val="24"/>
          <w:szCs w:val="24"/>
          <w:lang w:val="fr-FR"/>
        </w:rPr>
        <w:t>.5.</w:t>
      </w:r>
      <w:r>
        <w:rPr>
          <w:rFonts w:ascii="Times New Roman" w:hAnsi="Times New Roman"/>
          <w:sz w:val="24"/>
          <w:szCs w:val="24"/>
          <w:lang w:val="fr-FR" w:eastAsia="zh-CN"/>
        </w:rPr>
        <w:t>2</w:t>
      </w:r>
      <w:r>
        <w:rPr>
          <w:rFonts w:ascii="Times New Roman" w:hAnsi="Times New Roman"/>
          <w:sz w:val="24"/>
          <w:szCs w:val="24"/>
          <w:lang w:val="fr-FR"/>
        </w:rPr>
        <w:t>-</w:t>
      </w:r>
      <w:r>
        <w:rPr>
          <w:rFonts w:ascii="Times New Roman" w:hAnsi="Times New Roman"/>
          <w:sz w:val="24"/>
          <w:szCs w:val="24"/>
          <w:lang w:val="fr-FR" w:eastAsia="zh-CN"/>
        </w:rPr>
        <w:t>5</w:t>
      </w:r>
      <w:r>
        <w:rPr>
          <w:rFonts w:ascii="Times New Roman" w:hAnsi="Times New Roman"/>
          <w:sz w:val="24"/>
          <w:szCs w:val="24"/>
          <w:lang w:val="fr-FR"/>
        </w:rPr>
        <w:t>)</w:t>
      </w:r>
    </w:p>
    <w:tbl>
      <w:tblPr>
        <w:tblStyle w:val="29"/>
        <w:tblW w:w="8400" w:type="dxa"/>
        <w:tblInd w:w="213"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1155"/>
        <w:gridCol w:w="725"/>
        <w:gridCol w:w="6520"/>
      </w:tblGrid>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rPr>
          <w:trHeight w:val="1125" w:hRule="atLeast"/>
        </w:trPr>
        <w:tc>
          <w:tcPr>
            <w:tcW w:w="1155" w:type="dxa"/>
          </w:tcPr>
          <w:p>
            <w:pPr>
              <w:pStyle w:val="17"/>
              <w:spacing w:line="360" w:lineRule="auto"/>
              <w:ind w:left="-57" w:right="-57"/>
              <w:jc w:val="right"/>
              <w:rPr>
                <w:rFonts w:ascii="Times New Roman" w:hAnsi="Times New Roman"/>
                <w:sz w:val="24"/>
                <w:szCs w:val="24"/>
                <w:lang w:val="fr-FR"/>
              </w:rPr>
            </w:pPr>
            <w:r>
              <w:rPr>
                <w:rFonts w:ascii="Times New Roman" w:hAnsi="Times New Roman"/>
                <w:sz w:val="24"/>
                <w:szCs w:val="24"/>
              </w:rPr>
              <w:t>式中</w:t>
            </w:r>
            <w:r>
              <w:rPr>
                <w:rFonts w:ascii="Times New Roman" w:hAnsi="Times New Roman"/>
                <w:sz w:val="24"/>
                <w:szCs w:val="24"/>
                <w:lang w:val="fr-FR"/>
              </w:rPr>
              <w:t xml:space="preserve">：  </w:t>
            </w:r>
            <w:r>
              <w:rPr>
                <w:rFonts w:ascii="Times New Roman" w:hAnsi="Times New Roman"/>
                <w:i/>
                <w:sz w:val="24"/>
                <w:szCs w:val="24"/>
                <w:lang w:val="fr-FR"/>
              </w:rPr>
              <w:t>V</w:t>
            </w:r>
            <w:r>
              <w:rPr>
                <w:rFonts w:ascii="Times New Roman" w:hAnsi="Times New Roman"/>
                <w:sz w:val="24"/>
                <w:szCs w:val="24"/>
                <w:vertAlign w:val="subscript"/>
                <w:lang w:val="fr-FR"/>
              </w:rPr>
              <w:t>s</w:t>
            </w:r>
          </w:p>
          <w:p>
            <w:pPr>
              <w:pStyle w:val="17"/>
              <w:spacing w:line="360" w:lineRule="auto"/>
              <w:ind w:left="-57" w:right="-57"/>
              <w:jc w:val="right"/>
              <w:rPr>
                <w:rFonts w:ascii="Times New Roman" w:hAnsi="Times New Roman"/>
                <w:sz w:val="24"/>
                <w:szCs w:val="24"/>
                <w:lang w:val="fr-FR"/>
              </w:rPr>
            </w:pPr>
            <w:r>
              <w:rPr>
                <w:rFonts w:ascii="Times New Roman" w:hAnsi="Times New Roman"/>
                <w:i/>
                <w:sz w:val="24"/>
                <w:szCs w:val="24"/>
                <w:lang w:val="fr-FR"/>
              </w:rPr>
              <w:t>m</w:t>
            </w:r>
            <w:r>
              <w:rPr>
                <w:rFonts w:ascii="Times New Roman" w:hAnsi="Times New Roman"/>
                <w:sz w:val="24"/>
                <w:szCs w:val="24"/>
                <w:vertAlign w:val="subscript"/>
                <w:lang w:val="fr-FR"/>
              </w:rPr>
              <w:t>s</w:t>
            </w:r>
          </w:p>
          <w:p>
            <w:pPr>
              <w:pStyle w:val="17"/>
              <w:spacing w:line="360" w:lineRule="auto"/>
              <w:ind w:left="-57" w:right="-57"/>
              <w:jc w:val="right"/>
              <w:rPr>
                <w:rFonts w:ascii="Times New Roman" w:hAnsi="Times New Roman"/>
                <w:sz w:val="24"/>
                <w:szCs w:val="24"/>
                <w:lang w:val="fr-FR"/>
              </w:rPr>
            </w:pPr>
            <w:r>
              <w:rPr>
                <w:rFonts w:ascii="Times New Roman" w:hAnsi="Times New Roman"/>
                <w:i/>
                <w:sz w:val="24"/>
                <w:szCs w:val="24"/>
                <w:lang w:val="fr-FR"/>
              </w:rPr>
              <w:t>m</w:t>
            </w:r>
            <w:r>
              <w:rPr>
                <w:rFonts w:ascii="Times New Roman" w:hAnsi="Times New Roman"/>
                <w:sz w:val="24"/>
                <w:szCs w:val="24"/>
                <w:vertAlign w:val="subscript"/>
                <w:lang w:val="fr-FR"/>
              </w:rPr>
              <w:t>c</w:t>
            </w:r>
          </w:p>
          <w:p>
            <w:pPr>
              <w:pStyle w:val="17"/>
              <w:spacing w:line="360" w:lineRule="auto"/>
              <w:ind w:left="-57" w:right="-57"/>
              <w:jc w:val="right"/>
              <w:rPr>
                <w:rFonts w:ascii="Times New Roman" w:hAnsi="Times New Roman"/>
                <w:sz w:val="24"/>
                <w:szCs w:val="24"/>
                <w:lang w:val="fr-FR"/>
              </w:rPr>
            </w:pPr>
            <w:r>
              <w:rPr>
                <w:rFonts w:ascii="Times New Roman" w:hAnsi="Times New Roman"/>
                <w:i/>
                <w:sz w:val="24"/>
                <w:szCs w:val="24"/>
                <w:lang w:val="fr-FR"/>
              </w:rPr>
              <w:t>m</w:t>
            </w:r>
            <w:r>
              <w:rPr>
                <w:rFonts w:ascii="Times New Roman" w:hAnsi="Times New Roman"/>
                <w:sz w:val="24"/>
                <w:szCs w:val="24"/>
                <w:vertAlign w:val="subscript"/>
                <w:lang w:val="fr-FR"/>
              </w:rPr>
              <w:t>wn</w:t>
            </w:r>
          </w:p>
          <w:p>
            <w:pPr>
              <w:pStyle w:val="17"/>
              <w:spacing w:line="360" w:lineRule="auto"/>
              <w:ind w:left="-57" w:right="-57"/>
              <w:jc w:val="right"/>
              <w:rPr>
                <w:rFonts w:ascii="Times New Roman" w:hAnsi="Times New Roman"/>
                <w:sz w:val="24"/>
                <w:szCs w:val="24"/>
                <w:lang w:val="fr-FR"/>
              </w:rPr>
            </w:pPr>
            <w:r>
              <w:rPr>
                <w:rFonts w:ascii="Times New Roman" w:hAnsi="Times New Roman"/>
                <w:i/>
                <w:sz w:val="24"/>
                <w:szCs w:val="24"/>
                <w:lang w:val="fr-FR"/>
              </w:rPr>
              <w:t>S</w:t>
            </w:r>
            <w:r>
              <w:rPr>
                <w:rFonts w:ascii="Times New Roman" w:hAnsi="Times New Roman"/>
                <w:sz w:val="24"/>
                <w:szCs w:val="24"/>
                <w:vertAlign w:val="subscript"/>
                <w:lang w:val="fr-FR"/>
              </w:rPr>
              <w:t>p</w:t>
            </w:r>
          </w:p>
          <w:p>
            <w:pPr>
              <w:pStyle w:val="17"/>
              <w:spacing w:line="360" w:lineRule="auto"/>
              <w:ind w:left="-57" w:right="-57"/>
              <w:jc w:val="right"/>
              <w:rPr>
                <w:rFonts w:ascii="Times New Roman" w:hAnsi="Times New Roman"/>
                <w:sz w:val="24"/>
                <w:szCs w:val="24"/>
                <w:lang w:val="fr-FR"/>
              </w:rPr>
            </w:pPr>
            <w:r>
              <w:rPr>
                <w:rFonts w:ascii="Times New Roman" w:hAnsi="Times New Roman"/>
                <w:i/>
                <w:sz w:val="24"/>
                <w:szCs w:val="24"/>
                <w:lang w:val="fr-FR"/>
              </w:rPr>
              <w:t>V</w:t>
            </w:r>
            <w:r>
              <w:rPr>
                <w:rFonts w:ascii="Times New Roman" w:hAnsi="Times New Roman"/>
                <w:sz w:val="24"/>
                <w:szCs w:val="24"/>
                <w:vertAlign w:val="subscript"/>
                <w:lang w:val="fr-FR"/>
              </w:rPr>
              <w:t>a</w:t>
            </w:r>
          </w:p>
          <w:p>
            <w:pPr>
              <w:pStyle w:val="17"/>
              <w:spacing w:line="360" w:lineRule="auto"/>
              <w:ind w:left="-57" w:right="-57"/>
              <w:jc w:val="right"/>
              <w:rPr>
                <w:rFonts w:ascii="Times New Roman" w:hAnsi="Times New Roman"/>
                <w:sz w:val="24"/>
                <w:szCs w:val="24"/>
                <w:lang w:val="fr-FR"/>
              </w:rPr>
            </w:pPr>
            <w:r>
              <w:rPr>
                <w:rFonts w:ascii="Times New Roman" w:hAnsi="Times New Roman"/>
                <w:i/>
                <w:sz w:val="24"/>
                <w:szCs w:val="24"/>
                <w:lang w:val="fr-FR"/>
              </w:rPr>
              <w:t>m</w:t>
            </w:r>
            <w:r>
              <w:rPr>
                <w:rFonts w:ascii="Times New Roman" w:hAnsi="Times New Roman"/>
                <w:sz w:val="24"/>
                <w:szCs w:val="24"/>
                <w:vertAlign w:val="subscript"/>
                <w:lang w:val="fr-FR"/>
              </w:rPr>
              <w:t>a</w:t>
            </w:r>
          </w:p>
          <w:p>
            <w:pPr>
              <w:pStyle w:val="17"/>
              <w:spacing w:line="360" w:lineRule="auto"/>
              <w:ind w:left="-57" w:right="-57"/>
              <w:jc w:val="right"/>
              <w:rPr>
                <w:rFonts w:ascii="Times New Roman" w:hAnsi="Times New Roman"/>
                <w:sz w:val="24"/>
                <w:szCs w:val="24"/>
                <w:lang w:val="fr-FR"/>
              </w:rPr>
            </w:pPr>
            <w:r>
              <w:rPr>
                <w:rFonts w:ascii="Times New Roman" w:hAnsi="Times New Roman"/>
                <w:i/>
                <w:sz w:val="24"/>
                <w:szCs w:val="24"/>
              </w:rPr>
              <w:t>ρ</w:t>
            </w:r>
            <w:r>
              <w:rPr>
                <w:rFonts w:ascii="Times New Roman" w:hAnsi="Times New Roman"/>
                <w:sz w:val="24"/>
                <w:szCs w:val="24"/>
                <w:vertAlign w:val="subscript"/>
                <w:lang w:val="fr-FR"/>
              </w:rPr>
              <w:t>c</w:t>
            </w:r>
          </w:p>
          <w:p>
            <w:pPr>
              <w:pStyle w:val="17"/>
              <w:spacing w:line="360" w:lineRule="auto"/>
              <w:ind w:left="-57" w:right="-57"/>
              <w:jc w:val="right"/>
              <w:rPr>
                <w:rFonts w:ascii="Times New Roman" w:hAnsi="Times New Roman"/>
                <w:sz w:val="24"/>
                <w:szCs w:val="24"/>
                <w:vertAlign w:val="subscript"/>
                <w:lang w:val="fr-FR"/>
              </w:rPr>
            </w:pPr>
            <w:r>
              <w:rPr>
                <w:rFonts w:ascii="Times New Roman" w:hAnsi="Times New Roman"/>
                <w:i/>
                <w:sz w:val="24"/>
                <w:szCs w:val="24"/>
              </w:rPr>
              <w:t>ρ</w:t>
            </w:r>
            <w:r>
              <w:rPr>
                <w:rFonts w:ascii="Times New Roman" w:hAnsi="Times New Roman"/>
                <w:sz w:val="24"/>
                <w:szCs w:val="24"/>
                <w:vertAlign w:val="subscript"/>
                <w:lang w:val="fr-FR"/>
              </w:rPr>
              <w:t>w</w:t>
            </w:r>
          </w:p>
          <w:p>
            <w:pPr>
              <w:pStyle w:val="17"/>
              <w:spacing w:line="360" w:lineRule="auto"/>
              <w:ind w:left="-57" w:right="-57"/>
              <w:jc w:val="right"/>
              <w:rPr>
                <w:rFonts w:ascii="Times New Roman" w:hAnsi="Times New Roman"/>
                <w:sz w:val="24"/>
                <w:szCs w:val="24"/>
                <w:vertAlign w:val="subscript"/>
                <w:lang w:val="fr-FR"/>
              </w:rPr>
            </w:pPr>
            <w:r>
              <w:rPr>
                <w:rFonts w:ascii="Times New Roman" w:hAnsi="Times New Roman"/>
                <w:i/>
                <w:sz w:val="24"/>
                <w:szCs w:val="24"/>
              </w:rPr>
              <w:t>ρ</w:t>
            </w:r>
            <w:r>
              <w:rPr>
                <w:rFonts w:ascii="Times New Roman" w:hAnsi="Times New Roman"/>
                <w:sz w:val="24"/>
                <w:szCs w:val="24"/>
                <w:vertAlign w:val="subscript"/>
                <w:lang w:val="fr-FR"/>
              </w:rPr>
              <w:t>s</w:t>
            </w:r>
          </w:p>
          <w:p>
            <w:pPr>
              <w:pStyle w:val="17"/>
              <w:spacing w:line="360" w:lineRule="auto"/>
              <w:ind w:left="-57" w:right="-57"/>
              <w:jc w:val="right"/>
              <w:rPr>
                <w:rFonts w:ascii="Times New Roman" w:hAnsi="Times New Roman"/>
                <w:sz w:val="24"/>
                <w:szCs w:val="24"/>
                <w:lang w:val="fr-FR"/>
              </w:rPr>
            </w:pPr>
            <w:r>
              <w:rPr>
                <w:rFonts w:ascii="Times New Roman" w:hAnsi="Times New Roman"/>
                <w:i/>
                <w:sz w:val="24"/>
                <w:szCs w:val="24"/>
              </w:rPr>
              <w:t>ρ</w:t>
            </w:r>
            <w:r>
              <w:rPr>
                <w:rFonts w:ascii="Times New Roman" w:hAnsi="Times New Roman"/>
                <w:sz w:val="24"/>
                <w:szCs w:val="24"/>
                <w:vertAlign w:val="subscript"/>
              </w:rPr>
              <w:t>ap</w:t>
            </w:r>
          </w:p>
        </w:tc>
        <w:tc>
          <w:tcPr>
            <w:tcW w:w="725" w:type="dxa"/>
          </w:tcPr>
          <w:p>
            <w:pPr>
              <w:widowControl/>
              <w:spacing w:line="360" w:lineRule="auto"/>
              <w:ind w:left="-57" w:right="-57"/>
              <w:jc w:val="left"/>
              <w:rPr>
                <w:sz w:val="24"/>
                <w:szCs w:val="24"/>
                <w:lang w:val="fr-FR"/>
              </w:rPr>
            </w:pPr>
          </w:p>
          <w:p>
            <w:pPr>
              <w:widowControl/>
              <w:spacing w:line="360" w:lineRule="auto"/>
              <w:ind w:left="-57" w:right="-57"/>
              <w:jc w:val="left"/>
              <w:rPr>
                <w:sz w:val="24"/>
                <w:szCs w:val="24"/>
                <w:lang w:val="fr-FR"/>
              </w:rPr>
            </w:pPr>
            <w:r>
              <w:rPr>
                <w:sz w:val="24"/>
                <w:szCs w:val="24"/>
                <w:lang w:val="fr-FR"/>
              </w:rPr>
              <w:t>——</w:t>
            </w:r>
          </w:p>
          <w:p>
            <w:pPr>
              <w:widowControl/>
              <w:spacing w:line="360" w:lineRule="auto"/>
              <w:ind w:left="-57" w:right="-57"/>
              <w:jc w:val="left"/>
              <w:rPr>
                <w:sz w:val="24"/>
                <w:szCs w:val="24"/>
                <w:lang w:val="fr-FR"/>
              </w:rPr>
            </w:pPr>
            <w:r>
              <w:rPr>
                <w:sz w:val="24"/>
                <w:szCs w:val="24"/>
                <w:lang w:val="fr-FR"/>
              </w:rPr>
              <w:t>——</w:t>
            </w:r>
          </w:p>
          <w:p>
            <w:pPr>
              <w:pStyle w:val="17"/>
              <w:spacing w:line="360" w:lineRule="auto"/>
              <w:ind w:left="-57" w:right="-57"/>
              <w:rPr>
                <w:rFonts w:ascii="Times New Roman" w:hAnsi="Times New Roman"/>
                <w:sz w:val="24"/>
                <w:szCs w:val="24"/>
                <w:lang w:val="fr-FR"/>
              </w:rPr>
            </w:pPr>
            <w:r>
              <w:rPr>
                <w:rFonts w:ascii="Times New Roman" w:hAnsi="Times New Roman"/>
                <w:sz w:val="24"/>
                <w:szCs w:val="24"/>
                <w:lang w:val="fr-FR"/>
              </w:rPr>
              <w:t>——</w:t>
            </w:r>
          </w:p>
          <w:p>
            <w:pPr>
              <w:pStyle w:val="17"/>
              <w:spacing w:line="360" w:lineRule="auto"/>
              <w:ind w:left="-57" w:right="-57"/>
              <w:rPr>
                <w:rFonts w:ascii="Times New Roman" w:hAnsi="Times New Roman"/>
                <w:sz w:val="24"/>
                <w:szCs w:val="24"/>
                <w:lang w:val="fr-FR"/>
              </w:rPr>
            </w:pPr>
            <w:r>
              <w:rPr>
                <w:rFonts w:ascii="Times New Roman" w:hAnsi="Times New Roman"/>
                <w:sz w:val="24"/>
                <w:szCs w:val="24"/>
                <w:lang w:val="fr-FR"/>
              </w:rPr>
              <w:t>——</w:t>
            </w:r>
          </w:p>
          <w:p>
            <w:pPr>
              <w:pStyle w:val="17"/>
              <w:spacing w:line="360" w:lineRule="auto"/>
              <w:ind w:left="-57" w:right="-57"/>
              <w:rPr>
                <w:rFonts w:ascii="Times New Roman" w:hAnsi="Times New Roman"/>
                <w:sz w:val="24"/>
                <w:szCs w:val="24"/>
                <w:lang w:val="fr-FR"/>
              </w:rPr>
            </w:pPr>
            <w:r>
              <w:rPr>
                <w:rFonts w:ascii="Times New Roman" w:hAnsi="Times New Roman"/>
                <w:sz w:val="24"/>
                <w:szCs w:val="24"/>
                <w:lang w:val="fr-FR"/>
              </w:rPr>
              <w:t>——</w:t>
            </w:r>
          </w:p>
          <w:p>
            <w:pPr>
              <w:pStyle w:val="17"/>
              <w:spacing w:line="360" w:lineRule="auto"/>
              <w:ind w:left="-57" w:right="-57"/>
              <w:rPr>
                <w:rFonts w:ascii="Times New Roman" w:hAnsi="Times New Roman"/>
                <w:sz w:val="24"/>
                <w:szCs w:val="24"/>
                <w:lang w:val="fr-FR"/>
              </w:rPr>
            </w:pPr>
            <w:r>
              <w:rPr>
                <w:rFonts w:ascii="Times New Roman" w:hAnsi="Times New Roman"/>
                <w:sz w:val="24"/>
                <w:szCs w:val="24"/>
                <w:lang w:val="fr-FR"/>
              </w:rPr>
              <w:t>——</w:t>
            </w:r>
          </w:p>
          <w:p>
            <w:pPr>
              <w:pStyle w:val="17"/>
              <w:spacing w:line="360" w:lineRule="auto"/>
              <w:ind w:left="-57" w:right="-57"/>
              <w:rPr>
                <w:rFonts w:ascii="Times New Roman" w:hAnsi="Times New Roman"/>
                <w:sz w:val="24"/>
                <w:szCs w:val="24"/>
                <w:lang w:val="fr-FR"/>
              </w:rPr>
            </w:pPr>
            <w:r>
              <w:rPr>
                <w:rFonts w:ascii="Times New Roman" w:hAnsi="Times New Roman"/>
                <w:sz w:val="24"/>
                <w:szCs w:val="24"/>
                <w:lang w:val="fr-FR"/>
              </w:rPr>
              <w:t>——</w:t>
            </w:r>
          </w:p>
          <w:p>
            <w:pPr>
              <w:pStyle w:val="17"/>
              <w:spacing w:line="360" w:lineRule="auto"/>
              <w:ind w:left="-57" w:right="-57"/>
              <w:rPr>
                <w:rFonts w:ascii="Times New Roman" w:hAnsi="Times New Roman"/>
                <w:sz w:val="24"/>
                <w:szCs w:val="24"/>
                <w:lang w:val="fr-FR"/>
              </w:rPr>
            </w:pPr>
            <w:r>
              <w:rPr>
                <w:rFonts w:ascii="Times New Roman" w:hAnsi="Times New Roman"/>
                <w:sz w:val="24"/>
                <w:szCs w:val="24"/>
                <w:lang w:val="fr-FR"/>
              </w:rPr>
              <w:t>——</w:t>
            </w:r>
          </w:p>
          <w:p>
            <w:pPr>
              <w:pStyle w:val="17"/>
              <w:spacing w:line="360" w:lineRule="auto"/>
              <w:ind w:left="-57" w:right="-57"/>
              <w:rPr>
                <w:rFonts w:ascii="Times New Roman" w:hAnsi="Times New Roman"/>
                <w:sz w:val="24"/>
                <w:szCs w:val="24"/>
                <w:lang w:val="fr-FR"/>
              </w:rPr>
            </w:pPr>
            <w:r>
              <w:rPr>
                <w:rFonts w:ascii="Times New Roman" w:hAnsi="Times New Roman"/>
                <w:sz w:val="24"/>
                <w:szCs w:val="24"/>
                <w:lang w:val="fr-FR"/>
              </w:rPr>
              <w:t>——</w:t>
            </w:r>
          </w:p>
          <w:p>
            <w:pPr>
              <w:pStyle w:val="17"/>
              <w:spacing w:line="360" w:lineRule="auto"/>
              <w:ind w:left="-57" w:right="-57"/>
              <w:rPr>
                <w:rFonts w:ascii="Times New Roman" w:hAnsi="Times New Roman"/>
                <w:sz w:val="24"/>
                <w:szCs w:val="24"/>
                <w:lang w:val="fr-FR"/>
              </w:rPr>
            </w:pPr>
            <w:r>
              <w:rPr>
                <w:rFonts w:ascii="Times New Roman" w:hAnsi="Times New Roman"/>
                <w:sz w:val="24"/>
                <w:szCs w:val="24"/>
                <w:lang w:val="fr-FR"/>
              </w:rPr>
              <w:t>——</w:t>
            </w:r>
          </w:p>
          <w:p>
            <w:pPr>
              <w:pStyle w:val="17"/>
              <w:spacing w:line="360" w:lineRule="auto"/>
              <w:ind w:left="-57" w:right="-57"/>
              <w:rPr>
                <w:rFonts w:ascii="Times New Roman" w:hAnsi="Times New Roman"/>
                <w:sz w:val="24"/>
                <w:szCs w:val="24"/>
                <w:lang w:val="fr-FR"/>
              </w:rPr>
            </w:pPr>
            <w:r>
              <w:rPr>
                <w:rFonts w:ascii="Times New Roman" w:hAnsi="Times New Roman"/>
                <w:sz w:val="24"/>
                <w:szCs w:val="24"/>
                <w:lang w:val="fr-FR"/>
              </w:rPr>
              <w:t>——</w:t>
            </w:r>
          </w:p>
        </w:tc>
        <w:tc>
          <w:tcPr>
            <w:tcW w:w="6520" w:type="dxa"/>
          </w:tcPr>
          <w:p>
            <w:pPr>
              <w:pStyle w:val="17"/>
              <w:spacing w:line="360" w:lineRule="auto"/>
              <w:rPr>
                <w:rFonts w:ascii="Times New Roman" w:hAnsi="Times New Roman"/>
                <w:sz w:val="24"/>
                <w:szCs w:val="24"/>
                <w:lang w:eastAsia="zh-CN"/>
              </w:rPr>
            </w:pPr>
          </w:p>
          <w:p>
            <w:pPr>
              <w:pStyle w:val="17"/>
              <w:spacing w:line="360" w:lineRule="auto"/>
              <w:rPr>
                <w:rFonts w:ascii="Times New Roman" w:hAnsi="Times New Roman"/>
                <w:sz w:val="24"/>
                <w:szCs w:val="24"/>
              </w:rPr>
            </w:pPr>
            <w:r>
              <w:rPr>
                <w:rFonts w:ascii="Times New Roman" w:hAnsi="Times New Roman"/>
                <w:sz w:val="24"/>
                <w:szCs w:val="24"/>
              </w:rPr>
              <w:t>每立方米</w:t>
            </w:r>
            <w:r>
              <w:rPr>
                <w:rFonts w:ascii="Times New Roman" w:hAnsi="Times New Roman"/>
                <w:sz w:val="24"/>
                <w:szCs w:val="24"/>
                <w:lang w:eastAsia="zh-CN"/>
              </w:rPr>
              <w:t>珊瑚骨料</w:t>
            </w:r>
            <w:r>
              <w:rPr>
                <w:rFonts w:ascii="Times New Roman" w:hAnsi="Times New Roman"/>
                <w:sz w:val="24"/>
                <w:szCs w:val="24"/>
              </w:rPr>
              <w:t>混凝土的细骨料体积(m</w:t>
            </w:r>
            <w:r>
              <w:rPr>
                <w:rFonts w:ascii="Times New Roman" w:hAnsi="Times New Roman"/>
                <w:sz w:val="24"/>
                <w:szCs w:val="24"/>
                <w:vertAlign w:val="superscript"/>
              </w:rPr>
              <w:t>3</w:t>
            </w:r>
            <w:r>
              <w:rPr>
                <w:rFonts w:ascii="Times New Roman" w:hAnsi="Times New Roman"/>
                <w:sz w:val="24"/>
                <w:szCs w:val="24"/>
              </w:rPr>
              <w:t>)；</w:t>
            </w:r>
          </w:p>
          <w:p>
            <w:pPr>
              <w:pStyle w:val="17"/>
              <w:spacing w:line="360" w:lineRule="auto"/>
              <w:rPr>
                <w:rFonts w:ascii="Times New Roman" w:hAnsi="Times New Roman"/>
                <w:sz w:val="24"/>
                <w:szCs w:val="24"/>
              </w:rPr>
            </w:pPr>
            <w:r>
              <w:rPr>
                <w:rFonts w:ascii="Times New Roman" w:hAnsi="Times New Roman"/>
                <w:sz w:val="24"/>
                <w:szCs w:val="24"/>
              </w:rPr>
              <w:t>每立方米</w:t>
            </w:r>
            <w:r>
              <w:rPr>
                <w:rFonts w:ascii="Times New Roman" w:hAnsi="Times New Roman"/>
                <w:sz w:val="24"/>
                <w:szCs w:val="24"/>
                <w:lang w:eastAsia="zh-CN"/>
              </w:rPr>
              <w:t>珊瑚骨料</w:t>
            </w:r>
            <w:r>
              <w:rPr>
                <w:rFonts w:ascii="Times New Roman" w:hAnsi="Times New Roman"/>
                <w:sz w:val="24"/>
                <w:szCs w:val="24"/>
              </w:rPr>
              <w:t>混凝土的细骨料用量(kg);</w:t>
            </w:r>
          </w:p>
          <w:p>
            <w:pPr>
              <w:pStyle w:val="17"/>
              <w:spacing w:line="360" w:lineRule="auto"/>
              <w:rPr>
                <w:rFonts w:ascii="Times New Roman" w:hAnsi="Times New Roman"/>
                <w:sz w:val="24"/>
                <w:szCs w:val="24"/>
              </w:rPr>
            </w:pPr>
            <w:r>
              <w:rPr>
                <w:rFonts w:ascii="Times New Roman" w:hAnsi="Times New Roman"/>
                <w:sz w:val="24"/>
                <w:szCs w:val="24"/>
              </w:rPr>
              <w:t>每立方米</w:t>
            </w:r>
            <w:r>
              <w:rPr>
                <w:rFonts w:ascii="Times New Roman" w:hAnsi="Times New Roman"/>
                <w:sz w:val="24"/>
                <w:szCs w:val="24"/>
                <w:lang w:eastAsia="zh-CN"/>
              </w:rPr>
              <w:t>珊瑚骨料</w:t>
            </w:r>
            <w:r>
              <w:rPr>
                <w:rFonts w:ascii="Times New Roman" w:hAnsi="Times New Roman"/>
                <w:sz w:val="24"/>
                <w:szCs w:val="24"/>
              </w:rPr>
              <w:t>混凝土的水泥用量(kg);</w:t>
            </w:r>
          </w:p>
          <w:p>
            <w:pPr>
              <w:pStyle w:val="17"/>
              <w:spacing w:line="360" w:lineRule="auto"/>
              <w:rPr>
                <w:rFonts w:ascii="Times New Roman" w:hAnsi="Times New Roman"/>
                <w:sz w:val="24"/>
                <w:szCs w:val="24"/>
              </w:rPr>
            </w:pPr>
            <w:r>
              <w:rPr>
                <w:rFonts w:ascii="Times New Roman" w:hAnsi="Times New Roman"/>
                <w:sz w:val="24"/>
                <w:szCs w:val="24"/>
              </w:rPr>
              <w:t>每立方米</w:t>
            </w:r>
            <w:r>
              <w:rPr>
                <w:rFonts w:ascii="Times New Roman" w:hAnsi="Times New Roman"/>
                <w:sz w:val="24"/>
                <w:szCs w:val="24"/>
                <w:lang w:eastAsia="zh-CN"/>
              </w:rPr>
              <w:t>珊瑚骨料</w:t>
            </w:r>
            <w:r>
              <w:rPr>
                <w:rFonts w:ascii="Times New Roman" w:hAnsi="Times New Roman"/>
                <w:sz w:val="24"/>
                <w:szCs w:val="24"/>
              </w:rPr>
              <w:t>混凝土的净用水量(kg);</w:t>
            </w:r>
          </w:p>
          <w:p>
            <w:pPr>
              <w:pStyle w:val="17"/>
              <w:spacing w:line="360" w:lineRule="auto"/>
              <w:rPr>
                <w:rFonts w:ascii="Times New Roman" w:hAnsi="Times New Roman"/>
                <w:sz w:val="24"/>
                <w:szCs w:val="24"/>
              </w:rPr>
            </w:pPr>
            <w:r>
              <w:rPr>
                <w:rFonts w:ascii="Times New Roman" w:hAnsi="Times New Roman"/>
                <w:sz w:val="24"/>
                <w:szCs w:val="24"/>
              </w:rPr>
              <w:t>体积砂率(％)；</w:t>
            </w:r>
          </w:p>
          <w:p>
            <w:pPr>
              <w:pStyle w:val="17"/>
              <w:spacing w:line="360" w:lineRule="auto"/>
              <w:rPr>
                <w:rFonts w:ascii="Times New Roman" w:hAnsi="Times New Roman"/>
                <w:sz w:val="24"/>
                <w:szCs w:val="24"/>
              </w:rPr>
            </w:pPr>
            <w:r>
              <w:rPr>
                <w:rFonts w:ascii="Times New Roman" w:hAnsi="Times New Roman"/>
                <w:sz w:val="24"/>
                <w:szCs w:val="24"/>
              </w:rPr>
              <w:t>每立方米混凝土的</w:t>
            </w:r>
            <w:r>
              <w:rPr>
                <w:rFonts w:ascii="Times New Roman" w:hAnsi="Times New Roman"/>
                <w:sz w:val="24"/>
                <w:szCs w:val="24"/>
                <w:lang w:eastAsia="zh-CN"/>
              </w:rPr>
              <w:t>珊瑚</w:t>
            </w:r>
            <w:r>
              <w:rPr>
                <w:rFonts w:ascii="Times New Roman" w:hAnsi="Times New Roman"/>
                <w:sz w:val="24"/>
                <w:szCs w:val="24"/>
              </w:rPr>
              <w:t>粗骨料体积(m</w:t>
            </w:r>
            <w:r>
              <w:rPr>
                <w:rFonts w:ascii="Times New Roman" w:hAnsi="Times New Roman"/>
                <w:sz w:val="24"/>
                <w:szCs w:val="24"/>
                <w:vertAlign w:val="superscript"/>
              </w:rPr>
              <w:t>3</w:t>
            </w:r>
            <w:r>
              <w:rPr>
                <w:rFonts w:ascii="Times New Roman" w:hAnsi="Times New Roman"/>
                <w:sz w:val="24"/>
                <w:szCs w:val="24"/>
              </w:rPr>
              <w:t>)；</w:t>
            </w:r>
          </w:p>
          <w:p>
            <w:pPr>
              <w:pStyle w:val="17"/>
              <w:spacing w:line="360" w:lineRule="auto"/>
              <w:rPr>
                <w:rFonts w:ascii="Times New Roman" w:hAnsi="Times New Roman"/>
                <w:sz w:val="24"/>
                <w:szCs w:val="24"/>
              </w:rPr>
            </w:pPr>
            <w:r>
              <w:rPr>
                <w:rFonts w:ascii="Times New Roman" w:hAnsi="Times New Roman"/>
                <w:sz w:val="24"/>
                <w:szCs w:val="24"/>
              </w:rPr>
              <w:t>每立方米混凝土的</w:t>
            </w:r>
            <w:r>
              <w:rPr>
                <w:rFonts w:ascii="Times New Roman" w:hAnsi="Times New Roman"/>
                <w:sz w:val="24"/>
                <w:szCs w:val="24"/>
                <w:lang w:eastAsia="zh-CN"/>
              </w:rPr>
              <w:t>珊瑚</w:t>
            </w:r>
            <w:r>
              <w:rPr>
                <w:rFonts w:ascii="Times New Roman" w:hAnsi="Times New Roman"/>
                <w:sz w:val="24"/>
                <w:szCs w:val="24"/>
              </w:rPr>
              <w:t>粗骨料用量(kg)；</w:t>
            </w:r>
          </w:p>
          <w:p>
            <w:pPr>
              <w:pStyle w:val="17"/>
              <w:spacing w:line="360" w:lineRule="auto"/>
              <w:rPr>
                <w:rFonts w:ascii="Times New Roman" w:hAnsi="Times New Roman"/>
                <w:sz w:val="24"/>
                <w:szCs w:val="24"/>
              </w:rPr>
            </w:pPr>
            <w:r>
              <w:rPr>
                <w:rFonts w:ascii="Times New Roman" w:hAnsi="Times New Roman"/>
                <w:sz w:val="24"/>
                <w:szCs w:val="24"/>
              </w:rPr>
              <w:t>水泥的表观密度(g/cm</w:t>
            </w:r>
            <w:r>
              <w:rPr>
                <w:rFonts w:ascii="Times New Roman" w:hAnsi="Times New Roman"/>
                <w:sz w:val="24"/>
                <w:szCs w:val="24"/>
                <w:vertAlign w:val="superscript"/>
              </w:rPr>
              <w:t>3</w:t>
            </w:r>
            <w:r>
              <w:rPr>
                <w:rFonts w:ascii="Times New Roman" w:hAnsi="Times New Roman"/>
                <w:sz w:val="24"/>
                <w:szCs w:val="24"/>
              </w:rPr>
              <w:t>)，</w:t>
            </w:r>
            <w:r>
              <w:rPr>
                <w:rFonts w:ascii="Times New Roman" w:hAnsi="Times New Roman"/>
                <w:i/>
                <w:sz w:val="24"/>
                <w:szCs w:val="24"/>
              </w:rPr>
              <w:t>ρ</w:t>
            </w:r>
            <w:r>
              <w:rPr>
                <w:rFonts w:ascii="Times New Roman" w:hAnsi="Times New Roman"/>
                <w:sz w:val="24"/>
                <w:szCs w:val="24"/>
                <w:vertAlign w:val="subscript"/>
              </w:rPr>
              <w:t>c</w:t>
            </w:r>
            <w:r>
              <w:rPr>
                <w:rFonts w:ascii="Times New Roman" w:hAnsi="Times New Roman"/>
                <w:sz w:val="24"/>
                <w:szCs w:val="24"/>
              </w:rPr>
              <w:t>可取2.9～3.1；</w:t>
            </w:r>
          </w:p>
          <w:p>
            <w:pPr>
              <w:pStyle w:val="17"/>
              <w:spacing w:line="360" w:lineRule="auto"/>
              <w:rPr>
                <w:rFonts w:ascii="Times New Roman" w:hAnsi="Times New Roman"/>
                <w:sz w:val="24"/>
                <w:szCs w:val="24"/>
              </w:rPr>
            </w:pPr>
            <w:r>
              <w:rPr>
                <w:rFonts w:ascii="Times New Roman" w:hAnsi="Times New Roman"/>
                <w:sz w:val="24"/>
                <w:szCs w:val="24"/>
              </w:rPr>
              <w:t>水的表观密度(g/cm</w:t>
            </w:r>
            <w:r>
              <w:rPr>
                <w:rFonts w:ascii="Times New Roman" w:hAnsi="Times New Roman"/>
                <w:sz w:val="24"/>
                <w:szCs w:val="24"/>
                <w:vertAlign w:val="superscript"/>
              </w:rPr>
              <w:t>3</w:t>
            </w:r>
            <w:r>
              <w:rPr>
                <w:rFonts w:ascii="Times New Roman" w:hAnsi="Times New Roman"/>
                <w:sz w:val="24"/>
                <w:szCs w:val="24"/>
              </w:rPr>
              <w:t>)，</w:t>
            </w:r>
            <w:r>
              <w:rPr>
                <w:rFonts w:ascii="Times New Roman" w:hAnsi="Times New Roman"/>
                <w:i/>
                <w:sz w:val="24"/>
                <w:szCs w:val="24"/>
              </w:rPr>
              <w:t>ρ</w:t>
            </w:r>
            <w:r>
              <w:rPr>
                <w:rFonts w:ascii="Times New Roman" w:hAnsi="Times New Roman"/>
                <w:sz w:val="24"/>
                <w:szCs w:val="24"/>
                <w:vertAlign w:val="subscript"/>
              </w:rPr>
              <w:t>w</w:t>
            </w:r>
            <w:r>
              <w:rPr>
                <w:rFonts w:ascii="Times New Roman" w:hAnsi="Times New Roman"/>
                <w:sz w:val="24"/>
                <w:szCs w:val="24"/>
              </w:rPr>
              <w:t>可取1.0；</w:t>
            </w:r>
          </w:p>
          <w:p>
            <w:pPr>
              <w:pStyle w:val="17"/>
              <w:spacing w:line="360" w:lineRule="auto"/>
              <w:rPr>
                <w:rFonts w:ascii="Times New Roman" w:hAnsi="Times New Roman"/>
                <w:sz w:val="24"/>
                <w:szCs w:val="24"/>
              </w:rPr>
            </w:pPr>
            <w:r>
              <w:rPr>
                <w:rFonts w:ascii="Times New Roman" w:hAnsi="Times New Roman"/>
                <w:sz w:val="24"/>
                <w:szCs w:val="24"/>
              </w:rPr>
              <w:t>细骨料的表观密度(g/cm</w:t>
            </w:r>
            <w:r>
              <w:rPr>
                <w:rFonts w:ascii="Times New Roman" w:hAnsi="Times New Roman"/>
                <w:sz w:val="24"/>
                <w:szCs w:val="24"/>
                <w:vertAlign w:val="superscript"/>
              </w:rPr>
              <w:t>3</w:t>
            </w:r>
            <w:r>
              <w:rPr>
                <w:rFonts w:ascii="Times New Roman" w:hAnsi="Times New Roman"/>
                <w:sz w:val="24"/>
                <w:szCs w:val="24"/>
              </w:rPr>
              <w:t>)，采用普通砂时，</w:t>
            </w:r>
            <w:r>
              <w:rPr>
                <w:rFonts w:ascii="Times New Roman" w:hAnsi="Times New Roman"/>
                <w:i/>
                <w:sz w:val="24"/>
                <w:szCs w:val="24"/>
              </w:rPr>
              <w:t>ρ</w:t>
            </w:r>
            <w:r>
              <w:rPr>
                <w:rFonts w:ascii="Times New Roman" w:hAnsi="Times New Roman"/>
                <w:sz w:val="24"/>
                <w:szCs w:val="24"/>
                <w:vertAlign w:val="subscript"/>
              </w:rPr>
              <w:t>s</w:t>
            </w:r>
            <w:r>
              <w:rPr>
                <w:rFonts w:ascii="Times New Roman" w:hAnsi="Times New Roman"/>
                <w:sz w:val="24"/>
                <w:szCs w:val="24"/>
              </w:rPr>
              <w:t xml:space="preserve">可取2.6； </w:t>
            </w:r>
          </w:p>
          <w:p>
            <w:pPr>
              <w:pStyle w:val="17"/>
              <w:spacing w:line="360" w:lineRule="auto"/>
              <w:rPr>
                <w:rFonts w:ascii="Times New Roman" w:hAnsi="Times New Roman"/>
                <w:sz w:val="24"/>
                <w:szCs w:val="24"/>
              </w:rPr>
            </w:pPr>
            <w:r>
              <w:rPr>
                <w:rFonts w:ascii="Times New Roman" w:hAnsi="Times New Roman"/>
                <w:sz w:val="24"/>
                <w:szCs w:val="24"/>
                <w:lang w:eastAsia="zh-CN"/>
              </w:rPr>
              <w:t>珊瑚</w:t>
            </w:r>
            <w:r>
              <w:rPr>
                <w:rFonts w:ascii="Times New Roman" w:hAnsi="Times New Roman"/>
                <w:sz w:val="24"/>
                <w:szCs w:val="24"/>
              </w:rPr>
              <w:t>粗骨料的颗粒表观密度( kg/m</w:t>
            </w:r>
            <w:r>
              <w:rPr>
                <w:rFonts w:ascii="Times New Roman" w:hAnsi="Times New Roman"/>
                <w:sz w:val="24"/>
                <w:szCs w:val="24"/>
                <w:vertAlign w:val="superscript"/>
              </w:rPr>
              <w:t>3</w:t>
            </w:r>
            <w:r>
              <w:rPr>
                <w:rFonts w:ascii="Times New Roman" w:hAnsi="Times New Roman"/>
                <w:sz w:val="24"/>
                <w:szCs w:val="24"/>
              </w:rPr>
              <w:t>)。</w:t>
            </w:r>
          </w:p>
        </w:tc>
      </w:tr>
    </w:tbl>
    <w:p>
      <w:pPr>
        <w:pStyle w:val="17"/>
        <w:spacing w:line="360" w:lineRule="auto"/>
        <w:ind w:firstLine="585" w:firstLineChars="243"/>
        <w:rPr>
          <w:rFonts w:ascii="Times New Roman" w:hAnsi="Times New Roman"/>
          <w:sz w:val="24"/>
          <w:szCs w:val="24"/>
          <w:lang w:eastAsia="zh-CN"/>
        </w:rPr>
      </w:pPr>
      <w:r>
        <w:rPr>
          <w:rFonts w:ascii="Times New Roman" w:hAnsi="Times New Roman"/>
          <w:b/>
          <w:bCs/>
          <w:sz w:val="24"/>
          <w:szCs w:val="24"/>
        </w:rPr>
        <w:t>8</w:t>
      </w:r>
      <w:r>
        <w:rPr>
          <w:rFonts w:ascii="Times New Roman" w:hAnsi="Times New Roman"/>
          <w:sz w:val="24"/>
          <w:szCs w:val="24"/>
        </w:rPr>
        <w:t xml:space="preserve">  应按公式</w:t>
      </w:r>
      <w:r>
        <w:rPr>
          <w:rFonts w:ascii="Times New Roman" w:hAnsi="Times New Roman"/>
          <w:sz w:val="24"/>
          <w:szCs w:val="24"/>
          <w:lang w:eastAsia="zh-CN"/>
        </w:rPr>
        <w:t>6</w:t>
      </w:r>
      <w:r>
        <w:rPr>
          <w:rFonts w:ascii="Times New Roman" w:hAnsi="Times New Roman"/>
          <w:sz w:val="24"/>
          <w:szCs w:val="24"/>
        </w:rPr>
        <w:t>.5.2-</w:t>
      </w:r>
      <w:r>
        <w:rPr>
          <w:rFonts w:ascii="Times New Roman" w:hAnsi="Times New Roman"/>
          <w:sz w:val="24"/>
          <w:szCs w:val="24"/>
          <w:lang w:eastAsia="zh-CN"/>
        </w:rPr>
        <w:t>6</w:t>
      </w:r>
      <w:r>
        <w:rPr>
          <w:rFonts w:ascii="Times New Roman" w:hAnsi="Times New Roman"/>
          <w:sz w:val="24"/>
          <w:szCs w:val="24"/>
        </w:rPr>
        <w:t>计算总用水量；在采用预湿的骨料时，净用水量即为总用水量</w:t>
      </w:r>
      <w:r>
        <w:rPr>
          <w:rFonts w:ascii="Times New Roman" w:hAnsi="Times New Roman"/>
          <w:sz w:val="24"/>
          <w:szCs w:val="24"/>
          <w:lang w:eastAsia="zh-CN"/>
        </w:rPr>
        <w:t>；</w:t>
      </w:r>
    </w:p>
    <w:p>
      <w:pPr>
        <w:pStyle w:val="17"/>
        <w:wordWrap w:val="0"/>
        <w:spacing w:line="360" w:lineRule="auto"/>
        <w:jc w:val="right"/>
        <w:rPr>
          <w:rFonts w:ascii="Times New Roman" w:hAnsi="Times New Roman"/>
          <w:sz w:val="24"/>
          <w:szCs w:val="24"/>
        </w:rPr>
      </w:pPr>
      <w:r>
        <w:rPr>
          <w:rFonts w:ascii="Times New Roman" w:hAnsi="Times New Roman"/>
          <w:i/>
          <w:sz w:val="24"/>
          <w:szCs w:val="24"/>
        </w:rPr>
        <w:t>m</w:t>
      </w:r>
      <w:r>
        <w:rPr>
          <w:rFonts w:ascii="Times New Roman" w:hAnsi="Times New Roman"/>
          <w:sz w:val="24"/>
          <w:szCs w:val="24"/>
          <w:vertAlign w:val="subscript"/>
        </w:rPr>
        <w:t>wt</w:t>
      </w:r>
      <w:r>
        <w:rPr>
          <w:rFonts w:ascii="Times New Roman" w:hAnsi="Times New Roman"/>
          <w:sz w:val="24"/>
          <w:szCs w:val="24"/>
        </w:rPr>
        <w:t>=</w:t>
      </w:r>
      <w:r>
        <w:rPr>
          <w:rFonts w:ascii="Times New Roman" w:hAnsi="Times New Roman"/>
          <w:i/>
          <w:sz w:val="24"/>
          <w:szCs w:val="24"/>
        </w:rPr>
        <w:t>m</w:t>
      </w:r>
      <w:r>
        <w:rPr>
          <w:rFonts w:ascii="Times New Roman" w:hAnsi="Times New Roman"/>
          <w:sz w:val="24"/>
          <w:szCs w:val="24"/>
          <w:vertAlign w:val="subscript"/>
        </w:rPr>
        <w:t>wn</w:t>
      </w:r>
      <w:r>
        <w:rPr>
          <w:rFonts w:ascii="Times New Roman" w:hAnsi="Times New Roman"/>
          <w:sz w:val="24"/>
          <w:szCs w:val="24"/>
        </w:rPr>
        <w:t>十m</w:t>
      </w:r>
      <w:r>
        <w:rPr>
          <w:rFonts w:ascii="Times New Roman" w:hAnsi="Times New Roman"/>
          <w:sz w:val="24"/>
          <w:szCs w:val="24"/>
          <w:vertAlign w:val="subscript"/>
        </w:rPr>
        <w:t>wa</w:t>
      </w:r>
      <w:r>
        <w:rPr>
          <w:rFonts w:ascii="Times New Roman" w:hAnsi="Times New Roman"/>
          <w:sz w:val="24"/>
          <w:szCs w:val="24"/>
        </w:rPr>
        <w:t xml:space="preserve">   </w:t>
      </w:r>
      <w:r>
        <w:rPr>
          <w:rFonts w:ascii="Times New Roman" w:hAnsi="Times New Roman"/>
          <w:sz w:val="24"/>
          <w:szCs w:val="24"/>
          <w:lang w:eastAsia="zh-CN"/>
        </w:rPr>
        <w:t xml:space="preserve">  </w:t>
      </w:r>
      <w:r>
        <w:rPr>
          <w:rFonts w:ascii="Times New Roman" w:hAnsi="Times New Roman"/>
          <w:sz w:val="24"/>
          <w:szCs w:val="24"/>
        </w:rPr>
        <w:t xml:space="preserve">          </w:t>
      </w:r>
      <w:r>
        <w:rPr>
          <w:rFonts w:ascii="Times New Roman" w:hAnsi="Times New Roman"/>
          <w:sz w:val="24"/>
          <w:szCs w:val="24"/>
          <w:lang w:eastAsia="zh-CN"/>
        </w:rPr>
        <w:t xml:space="preserve"> </w:t>
      </w:r>
      <w:r>
        <w:rPr>
          <w:rFonts w:ascii="Times New Roman" w:hAnsi="Times New Roman"/>
          <w:sz w:val="24"/>
          <w:szCs w:val="24"/>
        </w:rPr>
        <w:t xml:space="preserve">   (</w:t>
      </w:r>
      <w:r>
        <w:rPr>
          <w:rFonts w:ascii="Times New Roman" w:hAnsi="Times New Roman"/>
          <w:sz w:val="24"/>
          <w:szCs w:val="24"/>
          <w:lang w:eastAsia="zh-CN"/>
        </w:rPr>
        <w:t>6</w:t>
      </w:r>
      <w:r>
        <w:rPr>
          <w:rFonts w:ascii="Times New Roman" w:hAnsi="Times New Roman"/>
          <w:sz w:val="24"/>
          <w:szCs w:val="24"/>
        </w:rPr>
        <w:t>.5.2-</w:t>
      </w:r>
      <w:r>
        <w:rPr>
          <w:rFonts w:ascii="Times New Roman" w:hAnsi="Times New Roman"/>
          <w:sz w:val="24"/>
          <w:szCs w:val="24"/>
          <w:lang w:eastAsia="zh-CN"/>
        </w:rPr>
        <w:t>6</w:t>
      </w:r>
      <w:r>
        <w:rPr>
          <w:rFonts w:ascii="Times New Roman" w:hAnsi="Times New Roman"/>
          <w:sz w:val="24"/>
          <w:szCs w:val="24"/>
        </w:rPr>
        <w:t>)</w:t>
      </w:r>
    </w:p>
    <w:p>
      <w:pPr>
        <w:pStyle w:val="17"/>
        <w:spacing w:beforeLines="50" w:line="360" w:lineRule="auto"/>
        <w:rPr>
          <w:rFonts w:ascii="Times New Roman" w:hAnsi="Times New Roman"/>
          <w:sz w:val="24"/>
          <w:szCs w:val="24"/>
        </w:rPr>
      </w:pPr>
      <w:r>
        <w:rPr>
          <w:rFonts w:ascii="Times New Roman" w:hAnsi="Times New Roman"/>
          <w:sz w:val="24"/>
          <w:szCs w:val="24"/>
        </w:rPr>
        <w:t xml:space="preserve">式中： </w:t>
      </w:r>
      <w:r>
        <w:rPr>
          <w:rFonts w:ascii="Times New Roman" w:hAnsi="Times New Roman"/>
          <w:i/>
          <w:sz w:val="24"/>
          <w:szCs w:val="24"/>
        </w:rPr>
        <w:t>m</w:t>
      </w:r>
      <w:r>
        <w:rPr>
          <w:rFonts w:ascii="Times New Roman" w:hAnsi="Times New Roman"/>
          <w:sz w:val="24"/>
          <w:szCs w:val="24"/>
          <w:vertAlign w:val="subscript"/>
        </w:rPr>
        <w:t>wt</w:t>
      </w:r>
      <w:r>
        <w:rPr>
          <w:rFonts w:ascii="Times New Roman" w:hAnsi="Times New Roman"/>
          <w:sz w:val="24"/>
          <w:szCs w:val="24"/>
        </w:rPr>
        <w:t>——每立方米</w:t>
      </w:r>
      <w:r>
        <w:rPr>
          <w:rFonts w:ascii="Times New Roman" w:hAnsi="Times New Roman"/>
          <w:sz w:val="24"/>
          <w:szCs w:val="24"/>
          <w:lang w:eastAsia="zh-CN"/>
        </w:rPr>
        <w:t>珊瑚骨料</w:t>
      </w:r>
      <w:r>
        <w:rPr>
          <w:rFonts w:ascii="Times New Roman" w:hAnsi="Times New Roman"/>
          <w:sz w:val="24"/>
          <w:szCs w:val="24"/>
        </w:rPr>
        <w:t>混凝土的总用水量(kg)；</w:t>
      </w:r>
    </w:p>
    <w:p>
      <w:pPr>
        <w:pStyle w:val="17"/>
        <w:spacing w:line="360" w:lineRule="auto"/>
        <w:rPr>
          <w:rFonts w:ascii="Times New Roman" w:hAnsi="Times New Roman"/>
          <w:sz w:val="24"/>
          <w:szCs w:val="24"/>
        </w:rPr>
      </w:pPr>
      <w:r>
        <w:rPr>
          <w:rFonts w:ascii="Times New Roman" w:hAnsi="Times New Roman"/>
          <w:sz w:val="24"/>
          <w:szCs w:val="24"/>
        </w:rPr>
        <w:t xml:space="preserve">       </w:t>
      </w:r>
      <w:r>
        <w:rPr>
          <w:rFonts w:ascii="Times New Roman" w:hAnsi="Times New Roman"/>
          <w:i/>
          <w:sz w:val="24"/>
          <w:szCs w:val="24"/>
        </w:rPr>
        <w:t>m</w:t>
      </w:r>
      <w:r>
        <w:rPr>
          <w:rFonts w:ascii="Times New Roman" w:hAnsi="Times New Roman"/>
          <w:sz w:val="24"/>
          <w:szCs w:val="24"/>
          <w:vertAlign w:val="subscript"/>
        </w:rPr>
        <w:t>wn</w:t>
      </w:r>
      <w:r>
        <w:rPr>
          <w:rFonts w:ascii="Times New Roman" w:hAnsi="Times New Roman"/>
          <w:sz w:val="24"/>
          <w:szCs w:val="24"/>
        </w:rPr>
        <w:t>——每立方米</w:t>
      </w:r>
      <w:r>
        <w:rPr>
          <w:rFonts w:ascii="Times New Roman" w:hAnsi="Times New Roman"/>
          <w:sz w:val="24"/>
          <w:szCs w:val="24"/>
          <w:lang w:eastAsia="zh-CN"/>
        </w:rPr>
        <w:t>珊瑚骨料</w:t>
      </w:r>
      <w:r>
        <w:rPr>
          <w:rFonts w:ascii="Times New Roman" w:hAnsi="Times New Roman"/>
          <w:sz w:val="24"/>
          <w:szCs w:val="24"/>
        </w:rPr>
        <w:t>混凝土的净用水量(kg)；</w:t>
      </w:r>
    </w:p>
    <w:p>
      <w:pPr>
        <w:pStyle w:val="17"/>
        <w:spacing w:line="360" w:lineRule="auto"/>
        <w:rPr>
          <w:rFonts w:ascii="Times New Roman" w:hAnsi="Times New Roman"/>
          <w:sz w:val="24"/>
          <w:szCs w:val="24"/>
        </w:rPr>
      </w:pPr>
      <w:r>
        <w:rPr>
          <w:rFonts w:ascii="Times New Roman" w:hAnsi="Times New Roman"/>
          <w:sz w:val="24"/>
          <w:szCs w:val="24"/>
        </w:rPr>
        <w:t xml:space="preserve">       </w:t>
      </w:r>
      <w:r>
        <w:rPr>
          <w:rFonts w:ascii="Times New Roman" w:hAnsi="Times New Roman"/>
          <w:i/>
          <w:sz w:val="24"/>
          <w:szCs w:val="24"/>
        </w:rPr>
        <w:t>m</w:t>
      </w:r>
      <w:r>
        <w:rPr>
          <w:rFonts w:ascii="Times New Roman" w:hAnsi="Times New Roman"/>
          <w:sz w:val="24"/>
          <w:szCs w:val="24"/>
          <w:vertAlign w:val="subscript"/>
        </w:rPr>
        <w:t>wa</w:t>
      </w:r>
      <w:r>
        <w:rPr>
          <w:rFonts w:ascii="Times New Roman" w:hAnsi="Times New Roman"/>
          <w:sz w:val="24"/>
          <w:szCs w:val="24"/>
        </w:rPr>
        <w:t>——每立方米</w:t>
      </w:r>
      <w:r>
        <w:rPr>
          <w:rFonts w:ascii="Times New Roman" w:hAnsi="Times New Roman"/>
          <w:sz w:val="24"/>
          <w:szCs w:val="24"/>
          <w:lang w:eastAsia="zh-CN"/>
        </w:rPr>
        <w:t>珊瑚骨料</w:t>
      </w:r>
      <w:r>
        <w:rPr>
          <w:rFonts w:ascii="Times New Roman" w:hAnsi="Times New Roman"/>
          <w:sz w:val="24"/>
          <w:szCs w:val="24"/>
        </w:rPr>
        <w:t>混凝土的附加水量(kg)。</w:t>
      </w:r>
    </w:p>
    <w:p>
      <w:pPr>
        <w:pStyle w:val="17"/>
        <w:spacing w:line="360" w:lineRule="auto"/>
        <w:rPr>
          <w:rFonts w:ascii="Times New Roman" w:hAnsi="Times New Roman"/>
          <w:b/>
          <w:sz w:val="24"/>
          <w:szCs w:val="24"/>
          <w:lang w:val="en-US" w:eastAsia="zh-CN"/>
        </w:rPr>
      </w:pPr>
      <w:r>
        <w:rPr>
          <w:rFonts w:ascii="Times New Roman" w:hAnsi="Times New Roman"/>
          <w:b/>
          <w:sz w:val="24"/>
          <w:szCs w:val="24"/>
          <w:lang w:val="en-US" w:eastAsia="zh-CN"/>
        </w:rPr>
        <w:t>6.5.3</w:t>
      </w:r>
      <w:r>
        <w:rPr>
          <w:rFonts w:ascii="Times New Roman" w:hAnsi="Times New Roman"/>
          <w:sz w:val="24"/>
          <w:szCs w:val="24"/>
          <w:lang w:val="en-US" w:eastAsia="zh-CN"/>
        </w:rPr>
        <w:t xml:space="preserve">  计算得出的珊瑚骨料混凝土配合比应通过试配进行调整，配合比的调整应按下列步骤进行：</w:t>
      </w:r>
    </w:p>
    <w:p>
      <w:pPr>
        <w:pStyle w:val="17"/>
        <w:spacing w:line="360" w:lineRule="auto"/>
        <w:rPr>
          <w:rFonts w:ascii="Times New Roman" w:hAnsi="Times New Roman"/>
          <w:sz w:val="24"/>
          <w:szCs w:val="24"/>
          <w:lang w:eastAsia="zh-CN"/>
        </w:rPr>
      </w:pPr>
      <w:r>
        <w:rPr>
          <w:rFonts w:ascii="Times New Roman" w:hAnsi="Times New Roman"/>
        </w:rPr>
        <w:t xml:space="preserve">   </w:t>
      </w:r>
      <w:r>
        <w:rPr>
          <w:rFonts w:ascii="Times New Roman" w:hAnsi="Times New Roman"/>
          <w:sz w:val="24"/>
          <w:szCs w:val="24"/>
        </w:rPr>
        <w:t xml:space="preserve"> </w:t>
      </w:r>
      <w:r>
        <w:rPr>
          <w:rFonts w:ascii="Times New Roman" w:hAnsi="Times New Roman"/>
          <w:b/>
          <w:bCs/>
          <w:sz w:val="24"/>
          <w:szCs w:val="24"/>
        </w:rPr>
        <w:t>1</w:t>
      </w:r>
      <w:r>
        <w:rPr>
          <w:rFonts w:ascii="Times New Roman" w:hAnsi="Times New Roman"/>
          <w:sz w:val="24"/>
          <w:szCs w:val="24"/>
        </w:rPr>
        <w:t xml:space="preserve">  以计算的混凝土配合比为基础，应维持用水量不变，选取与计算配合比胶凝材料相差±10%的两个胶凝材料用量，砂率相应适当减小和增加，然后分别按三个配合比拌制混疑土；并测定拌合物的稠度，调整用水量，以达到规定的稠度为止</w:t>
      </w:r>
      <w:r>
        <w:rPr>
          <w:rFonts w:ascii="Times New Roman" w:hAnsi="Times New Roman"/>
          <w:sz w:val="24"/>
          <w:szCs w:val="24"/>
          <w:lang w:eastAsia="zh-CN"/>
        </w:rPr>
        <w:t>；</w:t>
      </w:r>
    </w:p>
    <w:p>
      <w:pPr>
        <w:pStyle w:val="17"/>
        <w:spacing w:line="360" w:lineRule="auto"/>
        <w:rPr>
          <w:rFonts w:ascii="Times New Roman" w:hAnsi="Times New Roman"/>
          <w:sz w:val="24"/>
          <w:szCs w:val="24"/>
          <w:lang w:eastAsia="zh-CN"/>
        </w:rPr>
      </w:pPr>
      <w:r>
        <w:rPr>
          <w:rFonts w:ascii="Times New Roman" w:hAnsi="Times New Roman"/>
          <w:sz w:val="24"/>
          <w:szCs w:val="24"/>
        </w:rPr>
        <w:t xml:space="preserve">    </w:t>
      </w:r>
      <w:r>
        <w:rPr>
          <w:rFonts w:ascii="Times New Roman" w:hAnsi="Times New Roman"/>
          <w:b/>
          <w:bCs/>
          <w:sz w:val="24"/>
          <w:szCs w:val="24"/>
        </w:rPr>
        <w:t>2</w:t>
      </w:r>
      <w:r>
        <w:rPr>
          <w:rFonts w:ascii="Times New Roman" w:hAnsi="Times New Roman"/>
          <w:sz w:val="24"/>
          <w:szCs w:val="24"/>
        </w:rPr>
        <w:t xml:space="preserve">  应按校正后的三个混凝土配合比进行试配，检验混凝土拌合物的稠度和表观密度，制作确定混凝土抗压强度标准值的试块，每种配合比应至少制作一组</w:t>
      </w:r>
      <w:r>
        <w:rPr>
          <w:rFonts w:ascii="Times New Roman" w:hAnsi="Times New Roman"/>
          <w:sz w:val="24"/>
          <w:szCs w:val="24"/>
          <w:lang w:eastAsia="zh-CN"/>
        </w:rPr>
        <w:t>；</w:t>
      </w:r>
    </w:p>
    <w:p>
      <w:pPr>
        <w:pStyle w:val="17"/>
        <w:spacing w:line="360" w:lineRule="auto"/>
        <w:ind w:firstLine="472" w:firstLineChars="196"/>
        <w:rPr>
          <w:rFonts w:ascii="Times New Roman" w:hAnsi="Times New Roman"/>
          <w:sz w:val="24"/>
          <w:szCs w:val="24"/>
          <w:lang w:eastAsia="zh-CN"/>
        </w:rPr>
      </w:pPr>
      <w:r>
        <w:rPr>
          <w:rFonts w:ascii="Times New Roman" w:hAnsi="Times New Roman"/>
          <w:b/>
          <w:bCs/>
          <w:sz w:val="24"/>
          <w:szCs w:val="24"/>
        </w:rPr>
        <w:t>3</w:t>
      </w:r>
      <w:r>
        <w:rPr>
          <w:rFonts w:ascii="Times New Roman" w:hAnsi="Times New Roman"/>
          <w:sz w:val="24"/>
          <w:szCs w:val="24"/>
        </w:rPr>
        <w:t xml:space="preserve">  标准养护28d后，应测定混凝土抗压强度；以既能达到设计要求的混凝土配制强度</w:t>
      </w:r>
      <w:r>
        <w:rPr>
          <w:rFonts w:ascii="Times New Roman" w:hAnsi="Times New Roman"/>
          <w:sz w:val="24"/>
          <w:szCs w:val="24"/>
          <w:lang w:eastAsia="zh-CN"/>
        </w:rPr>
        <w:t>，</w:t>
      </w:r>
      <w:r>
        <w:rPr>
          <w:rFonts w:ascii="Times New Roman" w:hAnsi="Times New Roman"/>
          <w:sz w:val="24"/>
          <w:szCs w:val="24"/>
        </w:rPr>
        <w:t>又具有最小胶凝材料用量的配合比作为选定配合比</w:t>
      </w:r>
      <w:r>
        <w:rPr>
          <w:rFonts w:ascii="Times New Roman" w:hAnsi="Times New Roman"/>
          <w:sz w:val="24"/>
          <w:szCs w:val="24"/>
          <w:lang w:eastAsia="zh-CN"/>
        </w:rPr>
        <w:t>；</w:t>
      </w:r>
    </w:p>
    <w:p>
      <w:pPr>
        <w:pStyle w:val="17"/>
        <w:spacing w:line="360" w:lineRule="auto"/>
        <w:ind w:firstLine="472" w:firstLineChars="196"/>
        <w:rPr>
          <w:rFonts w:ascii="Times New Roman" w:hAnsi="Times New Roman"/>
          <w:sz w:val="24"/>
          <w:szCs w:val="24"/>
        </w:rPr>
      </w:pPr>
      <w:r>
        <w:rPr>
          <w:rFonts w:ascii="Times New Roman" w:hAnsi="Times New Roman"/>
          <w:b/>
          <w:bCs/>
          <w:sz w:val="24"/>
          <w:szCs w:val="24"/>
        </w:rPr>
        <w:t>4</w:t>
      </w:r>
      <w:r>
        <w:rPr>
          <w:rFonts w:ascii="Times New Roman" w:hAnsi="Times New Roman"/>
          <w:sz w:val="24"/>
          <w:szCs w:val="24"/>
        </w:rPr>
        <w:t xml:space="preserve">  对选定配合比进行方量校正，并应符合下列规定：</w:t>
      </w:r>
    </w:p>
    <w:p>
      <w:pPr>
        <w:pStyle w:val="17"/>
        <w:spacing w:line="360" w:lineRule="auto"/>
        <w:ind w:firstLine="480" w:firstLineChars="200"/>
        <w:rPr>
          <w:rFonts w:ascii="Times New Roman" w:hAnsi="Times New Roman"/>
          <w:sz w:val="24"/>
          <w:szCs w:val="24"/>
        </w:rPr>
      </w:pPr>
      <w:r>
        <w:rPr>
          <w:rFonts w:ascii="Times New Roman" w:hAnsi="Times New Roman"/>
          <w:sz w:val="24"/>
          <w:szCs w:val="24"/>
        </w:rPr>
        <w:t>1）应按下式计算选定配合比的</w:t>
      </w:r>
      <w:r>
        <w:rPr>
          <w:rFonts w:ascii="Times New Roman" w:hAnsi="Times New Roman"/>
          <w:sz w:val="24"/>
          <w:szCs w:val="24"/>
          <w:lang w:eastAsia="zh-CN"/>
        </w:rPr>
        <w:t>珊瑚骨料</w:t>
      </w:r>
      <w:r>
        <w:rPr>
          <w:rFonts w:ascii="Times New Roman" w:hAnsi="Times New Roman"/>
          <w:sz w:val="24"/>
          <w:szCs w:val="24"/>
        </w:rPr>
        <w:t>混凝土拌合物的表观密度：</w:t>
      </w:r>
    </w:p>
    <w:p>
      <w:pPr>
        <w:pStyle w:val="17"/>
        <w:spacing w:beforeLines="50" w:afterLines="50" w:line="360" w:lineRule="auto"/>
        <w:jc w:val="right"/>
        <w:rPr>
          <w:rFonts w:ascii="Times New Roman" w:hAnsi="Times New Roman"/>
          <w:sz w:val="24"/>
          <w:szCs w:val="24"/>
        </w:rPr>
      </w:pPr>
      <w:r>
        <w:rPr>
          <w:rFonts w:ascii="Times New Roman" w:hAnsi="Times New Roman"/>
          <w:i/>
          <w:sz w:val="24"/>
          <w:szCs w:val="24"/>
        </w:rPr>
        <w:t xml:space="preserve">    ρ</w:t>
      </w:r>
      <w:r>
        <w:rPr>
          <w:rFonts w:ascii="Times New Roman" w:hAnsi="Times New Roman"/>
          <w:sz w:val="24"/>
          <w:szCs w:val="24"/>
          <w:vertAlign w:val="subscript"/>
        </w:rPr>
        <w:t>cc</w:t>
      </w:r>
      <w:r>
        <w:rPr>
          <w:rFonts w:ascii="Times New Roman" w:hAnsi="Times New Roman"/>
          <w:sz w:val="24"/>
          <w:szCs w:val="24"/>
        </w:rPr>
        <w:t>=</w:t>
      </w:r>
      <w:r>
        <w:rPr>
          <w:rFonts w:ascii="Times New Roman" w:hAnsi="Times New Roman"/>
          <w:i/>
          <w:sz w:val="24"/>
          <w:szCs w:val="24"/>
        </w:rPr>
        <w:t>m</w:t>
      </w:r>
      <w:r>
        <w:rPr>
          <w:rFonts w:ascii="Times New Roman" w:hAnsi="Times New Roman"/>
          <w:sz w:val="24"/>
          <w:szCs w:val="24"/>
          <w:vertAlign w:val="subscript"/>
        </w:rPr>
        <w:t>a</w:t>
      </w:r>
      <w:r>
        <w:rPr>
          <w:rFonts w:ascii="Times New Roman" w:hAnsi="Times New Roman"/>
          <w:sz w:val="24"/>
          <w:szCs w:val="24"/>
        </w:rPr>
        <w:t>十</w:t>
      </w:r>
      <w:r>
        <w:rPr>
          <w:rFonts w:ascii="Times New Roman" w:hAnsi="Times New Roman"/>
          <w:i/>
          <w:sz w:val="24"/>
          <w:szCs w:val="24"/>
        </w:rPr>
        <w:t>m</w:t>
      </w:r>
      <w:r>
        <w:rPr>
          <w:rFonts w:ascii="Times New Roman" w:hAnsi="Times New Roman"/>
          <w:sz w:val="24"/>
          <w:szCs w:val="24"/>
          <w:vertAlign w:val="subscript"/>
        </w:rPr>
        <w:t>s</w:t>
      </w:r>
      <w:r>
        <w:rPr>
          <w:rFonts w:ascii="Times New Roman" w:hAnsi="Times New Roman"/>
          <w:sz w:val="24"/>
          <w:szCs w:val="24"/>
        </w:rPr>
        <w:t>十</w:t>
      </w:r>
      <w:r>
        <w:rPr>
          <w:rFonts w:ascii="Times New Roman" w:hAnsi="Times New Roman"/>
          <w:i/>
          <w:sz w:val="24"/>
          <w:szCs w:val="24"/>
        </w:rPr>
        <w:t>m</w:t>
      </w:r>
      <w:r>
        <w:rPr>
          <w:rFonts w:ascii="Times New Roman" w:hAnsi="Times New Roman"/>
          <w:sz w:val="24"/>
          <w:szCs w:val="24"/>
          <w:vertAlign w:val="subscript"/>
        </w:rPr>
        <w:t>b</w:t>
      </w:r>
      <w:r>
        <w:rPr>
          <w:rFonts w:ascii="Times New Roman" w:hAnsi="Times New Roman"/>
          <w:sz w:val="24"/>
          <w:szCs w:val="24"/>
        </w:rPr>
        <w:t>十</w:t>
      </w:r>
      <w:r>
        <w:rPr>
          <w:rFonts w:ascii="Times New Roman" w:hAnsi="Times New Roman"/>
          <w:i/>
          <w:sz w:val="24"/>
          <w:szCs w:val="24"/>
        </w:rPr>
        <w:t>m</w:t>
      </w:r>
      <w:r>
        <w:rPr>
          <w:rFonts w:ascii="Times New Roman" w:hAnsi="Times New Roman"/>
          <w:sz w:val="24"/>
          <w:szCs w:val="24"/>
          <w:vertAlign w:val="subscript"/>
        </w:rPr>
        <w:t>wt</w:t>
      </w:r>
      <w:r>
        <w:rPr>
          <w:rFonts w:ascii="Times New Roman" w:hAnsi="Times New Roman"/>
          <w:sz w:val="24"/>
          <w:szCs w:val="24"/>
        </w:rPr>
        <w:t xml:space="preserve">      </w:t>
      </w:r>
      <w:r>
        <w:rPr>
          <w:rFonts w:ascii="Times New Roman" w:hAnsi="Times New Roman"/>
          <w:sz w:val="24"/>
          <w:szCs w:val="24"/>
          <w:lang w:eastAsia="zh-CN"/>
        </w:rPr>
        <w:t xml:space="preserve"> </w:t>
      </w:r>
      <w:r>
        <w:rPr>
          <w:rFonts w:ascii="Times New Roman" w:hAnsi="Times New Roman"/>
          <w:sz w:val="24"/>
          <w:szCs w:val="24"/>
        </w:rPr>
        <w:t xml:space="preserve">        ( </w:t>
      </w:r>
      <w:r>
        <w:rPr>
          <w:rFonts w:ascii="Times New Roman" w:hAnsi="Times New Roman"/>
          <w:sz w:val="24"/>
          <w:szCs w:val="24"/>
          <w:lang w:eastAsia="zh-CN"/>
        </w:rPr>
        <w:t>6.5.3</w:t>
      </w:r>
      <w:r>
        <w:rPr>
          <w:rFonts w:ascii="Times New Roman" w:hAnsi="Times New Roman"/>
          <w:sz w:val="24"/>
          <w:szCs w:val="24"/>
        </w:rPr>
        <w:t>-l)</w:t>
      </w:r>
    </w:p>
    <w:tbl>
      <w:tblPr>
        <w:tblStyle w:val="29"/>
        <w:tblW w:w="7975" w:type="dxa"/>
        <w:tblInd w:w="213"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1558"/>
        <w:gridCol w:w="607"/>
        <w:gridCol w:w="5810"/>
      </w:tblGrid>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rPr>
          <w:trHeight w:val="952" w:hRule="atLeast"/>
        </w:trPr>
        <w:tc>
          <w:tcPr>
            <w:tcW w:w="1558" w:type="dxa"/>
          </w:tcPr>
          <w:p>
            <w:pPr>
              <w:pStyle w:val="17"/>
              <w:spacing w:line="360" w:lineRule="auto"/>
              <w:ind w:left="-57" w:right="-57"/>
              <w:rPr>
                <w:rFonts w:ascii="Times New Roman" w:hAnsi="Times New Roman"/>
                <w:sz w:val="24"/>
                <w:szCs w:val="24"/>
                <w:vertAlign w:val="subscript"/>
                <w:lang w:eastAsia="zh-CN"/>
              </w:rPr>
            </w:pPr>
            <w:r>
              <w:rPr>
                <w:rFonts w:ascii="Times New Roman" w:hAnsi="Times New Roman"/>
                <w:sz w:val="24"/>
                <w:szCs w:val="24"/>
              </w:rPr>
              <w:t xml:space="preserve">式中：  </w:t>
            </w:r>
            <w:r>
              <w:rPr>
                <w:rFonts w:ascii="Times New Roman" w:hAnsi="Times New Roman"/>
                <w:i/>
                <w:sz w:val="24"/>
                <w:szCs w:val="24"/>
              </w:rPr>
              <w:t>ρ</w:t>
            </w:r>
            <w:r>
              <w:rPr>
                <w:rFonts w:ascii="Times New Roman" w:hAnsi="Times New Roman"/>
                <w:sz w:val="24"/>
                <w:szCs w:val="24"/>
                <w:vertAlign w:val="subscript"/>
              </w:rPr>
              <w:t>cc</w:t>
            </w:r>
          </w:p>
          <w:p>
            <w:pPr>
              <w:pStyle w:val="17"/>
              <w:spacing w:line="360" w:lineRule="auto"/>
              <w:ind w:left="-57" w:right="-57"/>
              <w:rPr>
                <w:rFonts w:ascii="Times New Roman" w:hAnsi="Times New Roman"/>
                <w:sz w:val="24"/>
                <w:szCs w:val="24"/>
                <w:lang w:eastAsia="zh-CN"/>
              </w:rPr>
            </w:pPr>
          </w:p>
          <w:p>
            <w:pPr>
              <w:pStyle w:val="17"/>
              <w:spacing w:line="360" w:lineRule="auto"/>
              <w:ind w:left="-57" w:right="-57"/>
              <w:jc w:val="right"/>
              <w:rPr>
                <w:rFonts w:ascii="Times New Roman" w:hAnsi="Times New Roman"/>
                <w:spacing w:val="-12"/>
                <w:sz w:val="24"/>
                <w:szCs w:val="24"/>
              </w:rPr>
            </w:pPr>
            <w:r>
              <w:rPr>
                <w:rFonts w:ascii="Times New Roman" w:hAnsi="Times New Roman"/>
                <w:i/>
                <w:spacing w:val="-12"/>
                <w:sz w:val="24"/>
                <w:szCs w:val="24"/>
              </w:rPr>
              <w:t>m</w:t>
            </w:r>
            <w:r>
              <w:rPr>
                <w:rFonts w:ascii="Times New Roman" w:hAnsi="Times New Roman"/>
                <w:spacing w:val="-12"/>
                <w:sz w:val="24"/>
                <w:szCs w:val="24"/>
                <w:vertAlign w:val="subscript"/>
              </w:rPr>
              <w:t>a、</w:t>
            </w:r>
            <w:r>
              <w:rPr>
                <w:rFonts w:ascii="Times New Roman" w:hAnsi="Times New Roman"/>
                <w:i/>
                <w:spacing w:val="-12"/>
                <w:sz w:val="24"/>
                <w:szCs w:val="24"/>
              </w:rPr>
              <w:t>m</w:t>
            </w:r>
            <w:r>
              <w:rPr>
                <w:rFonts w:ascii="Times New Roman" w:hAnsi="Times New Roman"/>
                <w:spacing w:val="-12"/>
                <w:sz w:val="24"/>
                <w:szCs w:val="24"/>
                <w:vertAlign w:val="subscript"/>
              </w:rPr>
              <w:t>s、</w:t>
            </w:r>
            <w:r>
              <w:rPr>
                <w:rFonts w:ascii="Times New Roman" w:hAnsi="Times New Roman"/>
                <w:i/>
                <w:spacing w:val="-12"/>
                <w:sz w:val="24"/>
                <w:szCs w:val="24"/>
              </w:rPr>
              <w:t>m</w:t>
            </w:r>
            <w:r>
              <w:rPr>
                <w:rFonts w:ascii="Times New Roman" w:hAnsi="Times New Roman"/>
                <w:spacing w:val="-12"/>
                <w:sz w:val="24"/>
                <w:szCs w:val="24"/>
                <w:vertAlign w:val="subscript"/>
              </w:rPr>
              <w:t>b、</w:t>
            </w:r>
            <w:r>
              <w:rPr>
                <w:rFonts w:ascii="Times New Roman" w:hAnsi="Times New Roman"/>
                <w:i/>
                <w:spacing w:val="-12"/>
                <w:sz w:val="24"/>
                <w:szCs w:val="24"/>
              </w:rPr>
              <w:t>m</w:t>
            </w:r>
            <w:r>
              <w:rPr>
                <w:rFonts w:ascii="Times New Roman" w:hAnsi="Times New Roman"/>
                <w:spacing w:val="-12"/>
                <w:sz w:val="24"/>
                <w:szCs w:val="24"/>
                <w:vertAlign w:val="subscript"/>
              </w:rPr>
              <w:t>wt、</w:t>
            </w:r>
          </w:p>
        </w:tc>
        <w:tc>
          <w:tcPr>
            <w:tcW w:w="607" w:type="dxa"/>
          </w:tcPr>
          <w:p>
            <w:pPr>
              <w:widowControl/>
              <w:spacing w:line="360" w:lineRule="auto"/>
              <w:ind w:left="-57" w:right="-57"/>
              <w:jc w:val="left"/>
              <w:rPr>
                <w:sz w:val="24"/>
                <w:szCs w:val="24"/>
              </w:rPr>
            </w:pPr>
            <w:r>
              <w:rPr>
                <w:sz w:val="24"/>
                <w:szCs w:val="24"/>
              </w:rPr>
              <w:t>——</w:t>
            </w:r>
          </w:p>
          <w:p>
            <w:pPr>
              <w:widowControl/>
              <w:spacing w:line="360" w:lineRule="auto"/>
              <w:ind w:left="-57" w:right="-57"/>
              <w:jc w:val="left"/>
              <w:rPr>
                <w:sz w:val="24"/>
                <w:szCs w:val="24"/>
              </w:rPr>
            </w:pPr>
          </w:p>
          <w:p>
            <w:pPr>
              <w:widowControl/>
              <w:spacing w:line="360" w:lineRule="auto"/>
              <w:ind w:left="-57" w:right="-57"/>
              <w:jc w:val="left"/>
              <w:rPr>
                <w:sz w:val="24"/>
                <w:szCs w:val="24"/>
              </w:rPr>
            </w:pPr>
            <w:r>
              <w:rPr>
                <w:sz w:val="24"/>
                <w:szCs w:val="24"/>
              </w:rPr>
              <w:t>——</w:t>
            </w:r>
          </w:p>
        </w:tc>
        <w:tc>
          <w:tcPr>
            <w:tcW w:w="5810" w:type="dxa"/>
          </w:tcPr>
          <w:p>
            <w:pPr>
              <w:pStyle w:val="17"/>
              <w:spacing w:line="360" w:lineRule="auto"/>
              <w:rPr>
                <w:rFonts w:ascii="Times New Roman" w:hAnsi="Times New Roman"/>
                <w:sz w:val="24"/>
                <w:szCs w:val="24"/>
              </w:rPr>
            </w:pPr>
            <w:r>
              <w:rPr>
                <w:rFonts w:ascii="Times New Roman" w:hAnsi="Times New Roman"/>
                <w:sz w:val="24"/>
                <w:szCs w:val="24"/>
              </w:rPr>
              <w:t>按选定配合比各组成材料计算的</w:t>
            </w:r>
            <w:r>
              <w:rPr>
                <w:rFonts w:ascii="Times New Roman" w:hAnsi="Times New Roman"/>
                <w:sz w:val="24"/>
                <w:szCs w:val="24"/>
                <w:lang w:eastAsia="zh-CN"/>
              </w:rPr>
              <w:t>拌合物</w:t>
            </w:r>
            <w:r>
              <w:rPr>
                <w:rFonts w:ascii="Times New Roman" w:hAnsi="Times New Roman"/>
                <w:sz w:val="24"/>
                <w:szCs w:val="24"/>
              </w:rPr>
              <w:t>表观密度(kg/m</w:t>
            </w:r>
            <w:r>
              <w:rPr>
                <w:rFonts w:ascii="Times New Roman" w:hAnsi="Times New Roman"/>
                <w:sz w:val="24"/>
                <w:szCs w:val="24"/>
                <w:vertAlign w:val="superscript"/>
              </w:rPr>
              <w:t>3</w:t>
            </w:r>
            <w:r>
              <w:rPr>
                <w:rFonts w:ascii="Times New Roman" w:hAnsi="Times New Roman"/>
                <w:sz w:val="24"/>
                <w:szCs w:val="24"/>
              </w:rPr>
              <w:t>)；</w:t>
            </w:r>
          </w:p>
          <w:p>
            <w:pPr>
              <w:pStyle w:val="17"/>
              <w:spacing w:line="360" w:lineRule="auto"/>
              <w:rPr>
                <w:rFonts w:ascii="Times New Roman" w:hAnsi="Times New Roman"/>
                <w:sz w:val="24"/>
                <w:szCs w:val="24"/>
              </w:rPr>
            </w:pPr>
            <w:r>
              <w:rPr>
                <w:rFonts w:ascii="Times New Roman" w:hAnsi="Times New Roman"/>
                <w:sz w:val="24"/>
                <w:szCs w:val="24"/>
              </w:rPr>
              <w:t>分别为选定配合比中的每立方米</w:t>
            </w:r>
            <w:r>
              <w:rPr>
                <w:rFonts w:ascii="Times New Roman" w:hAnsi="Times New Roman"/>
                <w:sz w:val="24"/>
                <w:szCs w:val="24"/>
                <w:lang w:eastAsia="zh-CN"/>
              </w:rPr>
              <w:t>珊瑚骨料</w:t>
            </w:r>
            <w:r>
              <w:rPr>
                <w:rFonts w:ascii="Times New Roman" w:hAnsi="Times New Roman"/>
                <w:sz w:val="24"/>
                <w:szCs w:val="24"/>
              </w:rPr>
              <w:t>混凝土的粗、细骨料用量、胶凝材料用量和总用水量(kg)。</w:t>
            </w:r>
          </w:p>
        </w:tc>
      </w:tr>
    </w:tbl>
    <w:p>
      <w:pPr>
        <w:pStyle w:val="17"/>
        <w:spacing w:line="360" w:lineRule="auto"/>
        <w:ind w:firstLine="600" w:firstLineChars="250"/>
        <w:rPr>
          <w:rFonts w:ascii="Times New Roman" w:hAnsi="Times New Roman"/>
          <w:sz w:val="24"/>
          <w:szCs w:val="24"/>
        </w:rPr>
      </w:pPr>
      <w:r>
        <w:rPr>
          <w:rFonts w:ascii="Times New Roman" w:hAnsi="Times New Roman"/>
          <w:sz w:val="24"/>
          <w:szCs w:val="24"/>
        </w:rPr>
        <w:t>2）实测按选定配合比配制</w:t>
      </w:r>
      <w:r>
        <w:rPr>
          <w:rFonts w:ascii="Times New Roman" w:hAnsi="Times New Roman"/>
          <w:sz w:val="24"/>
          <w:szCs w:val="24"/>
          <w:lang w:eastAsia="zh-CN"/>
        </w:rPr>
        <w:t>珊瑚骨料</w:t>
      </w:r>
      <w:r>
        <w:rPr>
          <w:rFonts w:ascii="Times New Roman" w:hAnsi="Times New Roman"/>
          <w:sz w:val="24"/>
          <w:szCs w:val="24"/>
        </w:rPr>
        <w:t>混凝土拌合物的表观密度，并应按下式计算方量校正系数：</w:t>
      </w:r>
    </w:p>
    <w:p>
      <w:pPr>
        <w:pStyle w:val="17"/>
        <w:spacing w:line="360" w:lineRule="auto"/>
        <w:jc w:val="right"/>
        <w:textAlignment w:val="bottom"/>
        <w:rPr>
          <w:rFonts w:ascii="Times New Roman" w:hAnsi="Times New Roman"/>
          <w:sz w:val="24"/>
          <w:szCs w:val="24"/>
        </w:rPr>
      </w:pPr>
      <w:r>
        <w:rPr>
          <w:rFonts w:ascii="Times New Roman" w:hAnsi="Times New Roman"/>
          <w:position w:val="-30"/>
          <w:sz w:val="24"/>
          <w:szCs w:val="24"/>
        </w:rPr>
        <w:object>
          <v:shape id="_x0000_i1036" o:spt="75" type="#_x0000_t75" style="height:29.45pt;width:35.05pt;" o:ole="t" fillcolor="#6D6D6D" filled="f" o:preferrelative="t" stroked="f" coordsize="21600,21600">
            <v:path/>
            <v:fill on="f" focussize="0,0"/>
            <v:stroke on="f" joinstyle="miter"/>
            <v:imagedata r:id="rId32" o:title=""/>
            <o:lock v:ext="edit" aspectratio="t"/>
            <w10:wrap type="none"/>
            <w10:anchorlock/>
          </v:shape>
          <o:OLEObject Type="Embed" ProgID="Equation.3" ShapeID="_x0000_i1036" DrawAspect="Content" ObjectID="_1468075736" r:id="rId31">
            <o:LockedField>false</o:LockedField>
          </o:OLEObject>
        </w:object>
      </w:r>
      <w:r>
        <w:rPr>
          <w:rFonts w:ascii="Times New Roman" w:hAnsi="Times New Roman"/>
          <w:sz w:val="24"/>
          <w:szCs w:val="24"/>
        </w:rPr>
        <w:t xml:space="preserve">                     (</w:t>
      </w:r>
      <w:r>
        <w:rPr>
          <w:rFonts w:ascii="Times New Roman" w:hAnsi="Times New Roman"/>
          <w:sz w:val="24"/>
          <w:szCs w:val="24"/>
          <w:lang w:eastAsia="zh-CN"/>
        </w:rPr>
        <w:t>6.5.3</w:t>
      </w:r>
      <w:r>
        <w:rPr>
          <w:rFonts w:ascii="Times New Roman" w:hAnsi="Times New Roman"/>
          <w:sz w:val="24"/>
          <w:szCs w:val="24"/>
        </w:rPr>
        <w:t>-2)</w:t>
      </w:r>
    </w:p>
    <w:tbl>
      <w:tblPr>
        <w:tblStyle w:val="29"/>
        <w:tblW w:w="7449" w:type="dxa"/>
        <w:tblInd w:w="213" w:type="dxa"/>
        <w:tblLayout w:type="fixed"/>
        <w:tblCellMar>
          <w:top w:w="0" w:type="dxa"/>
          <w:left w:w="108" w:type="dxa"/>
          <w:bottom w:w="0" w:type="dxa"/>
          <w:right w:w="108" w:type="dxa"/>
        </w:tblCellMar>
      </w:tblPr>
      <w:tblGrid>
        <w:gridCol w:w="1260"/>
        <w:gridCol w:w="762"/>
        <w:gridCol w:w="5427"/>
      </w:tblGrid>
      <w:tr>
        <w:tblPrEx>
          <w:tblLayout w:type="fixed"/>
          <w:tblCellMar>
            <w:top w:w="0" w:type="dxa"/>
            <w:left w:w="108" w:type="dxa"/>
            <w:bottom w:w="0" w:type="dxa"/>
            <w:right w:w="108" w:type="dxa"/>
          </w:tblCellMar>
        </w:tblPrEx>
        <w:trPr>
          <w:trHeight w:val="623" w:hRule="atLeast"/>
        </w:trPr>
        <w:tc>
          <w:tcPr>
            <w:tcW w:w="1260" w:type="dxa"/>
          </w:tcPr>
          <w:p>
            <w:pPr>
              <w:pStyle w:val="17"/>
              <w:spacing w:line="360" w:lineRule="auto"/>
              <w:ind w:left="-57" w:right="-57"/>
              <w:rPr>
                <w:rFonts w:ascii="Times New Roman" w:hAnsi="Times New Roman"/>
                <w:sz w:val="24"/>
                <w:szCs w:val="24"/>
              </w:rPr>
            </w:pPr>
            <w:r>
              <w:rPr>
                <w:rFonts w:ascii="Times New Roman" w:hAnsi="Times New Roman"/>
                <w:sz w:val="24"/>
                <w:szCs w:val="24"/>
              </w:rPr>
              <w:t xml:space="preserve">式中：  </w:t>
            </w:r>
            <w:r>
              <w:rPr>
                <w:rFonts w:ascii="Times New Roman" w:hAnsi="Times New Roman" w:eastAsia="MingLiU"/>
                <w:sz w:val="24"/>
                <w:szCs w:val="24"/>
              </w:rPr>
              <w:t>η</w:t>
            </w:r>
          </w:p>
          <w:p>
            <w:pPr>
              <w:pStyle w:val="17"/>
              <w:spacing w:line="360" w:lineRule="auto"/>
              <w:ind w:left="-57" w:right="-57"/>
              <w:jc w:val="right"/>
              <w:rPr>
                <w:rFonts w:ascii="Times New Roman" w:hAnsi="Times New Roman"/>
                <w:sz w:val="24"/>
                <w:szCs w:val="24"/>
              </w:rPr>
            </w:pPr>
            <w:r>
              <w:rPr>
                <w:rFonts w:ascii="Times New Roman" w:hAnsi="Times New Roman"/>
                <w:i/>
                <w:sz w:val="24"/>
                <w:szCs w:val="24"/>
              </w:rPr>
              <w:t>ρ</w:t>
            </w:r>
            <w:r>
              <w:rPr>
                <w:rFonts w:ascii="Times New Roman" w:hAnsi="Times New Roman"/>
                <w:sz w:val="24"/>
                <w:szCs w:val="24"/>
                <w:vertAlign w:val="subscript"/>
              </w:rPr>
              <w:t>c0</w:t>
            </w:r>
          </w:p>
        </w:tc>
        <w:tc>
          <w:tcPr>
            <w:tcW w:w="762" w:type="dxa"/>
          </w:tcPr>
          <w:p>
            <w:pPr>
              <w:widowControl/>
              <w:spacing w:line="360" w:lineRule="auto"/>
              <w:ind w:left="-57" w:right="-57"/>
              <w:jc w:val="left"/>
              <w:rPr>
                <w:sz w:val="24"/>
                <w:szCs w:val="24"/>
              </w:rPr>
            </w:pPr>
            <w:r>
              <w:rPr>
                <w:sz w:val="24"/>
                <w:szCs w:val="24"/>
              </w:rPr>
              <w:t>——</w:t>
            </w:r>
          </w:p>
          <w:p>
            <w:pPr>
              <w:widowControl/>
              <w:spacing w:line="360" w:lineRule="auto"/>
              <w:ind w:left="-57" w:right="-57"/>
              <w:jc w:val="left"/>
              <w:rPr>
                <w:sz w:val="24"/>
                <w:szCs w:val="24"/>
              </w:rPr>
            </w:pPr>
            <w:r>
              <w:rPr>
                <w:sz w:val="24"/>
                <w:szCs w:val="24"/>
              </w:rPr>
              <w:t>——</w:t>
            </w:r>
          </w:p>
        </w:tc>
        <w:tc>
          <w:tcPr>
            <w:tcW w:w="5427" w:type="dxa"/>
          </w:tcPr>
          <w:p>
            <w:pPr>
              <w:pStyle w:val="17"/>
              <w:spacing w:line="360" w:lineRule="auto"/>
              <w:rPr>
                <w:rFonts w:ascii="Times New Roman" w:hAnsi="Times New Roman"/>
                <w:sz w:val="24"/>
                <w:szCs w:val="24"/>
              </w:rPr>
            </w:pPr>
            <w:r>
              <w:rPr>
                <w:rFonts w:ascii="Times New Roman" w:hAnsi="Times New Roman"/>
                <w:sz w:val="24"/>
                <w:szCs w:val="24"/>
              </w:rPr>
              <w:t>方量校正系数；</w:t>
            </w:r>
          </w:p>
          <w:p>
            <w:pPr>
              <w:pStyle w:val="17"/>
              <w:spacing w:line="360" w:lineRule="auto"/>
              <w:rPr>
                <w:rFonts w:ascii="Times New Roman" w:hAnsi="Times New Roman"/>
                <w:sz w:val="24"/>
                <w:szCs w:val="24"/>
              </w:rPr>
            </w:pPr>
            <w:r>
              <w:rPr>
                <w:rFonts w:ascii="Times New Roman" w:hAnsi="Times New Roman"/>
                <w:sz w:val="24"/>
                <w:szCs w:val="24"/>
              </w:rPr>
              <w:t>按选定配合比配制混凝土实测</w:t>
            </w:r>
            <w:r>
              <w:rPr>
                <w:rFonts w:ascii="Times New Roman" w:hAnsi="Times New Roman"/>
                <w:sz w:val="24"/>
                <w:szCs w:val="24"/>
                <w:lang w:eastAsia="zh-CN"/>
              </w:rPr>
              <w:t>的</w:t>
            </w:r>
            <w:r>
              <w:rPr>
                <w:rFonts w:ascii="Times New Roman" w:hAnsi="Times New Roman"/>
                <w:sz w:val="24"/>
                <w:szCs w:val="24"/>
              </w:rPr>
              <w:t>拌合物的表观密度(kg/m</w:t>
            </w:r>
            <w:r>
              <w:rPr>
                <w:rFonts w:ascii="Times New Roman" w:hAnsi="Times New Roman"/>
                <w:sz w:val="24"/>
                <w:szCs w:val="24"/>
                <w:vertAlign w:val="superscript"/>
              </w:rPr>
              <w:t>3</w:t>
            </w:r>
            <w:r>
              <w:rPr>
                <w:rFonts w:ascii="Times New Roman" w:hAnsi="Times New Roman"/>
                <w:sz w:val="24"/>
                <w:szCs w:val="24"/>
              </w:rPr>
              <w:t>)。</w:t>
            </w:r>
          </w:p>
        </w:tc>
      </w:tr>
    </w:tbl>
    <w:p>
      <w:pPr>
        <w:pStyle w:val="17"/>
        <w:spacing w:beforeLines="50" w:line="360" w:lineRule="auto"/>
        <w:ind w:firstLine="720" w:firstLineChars="300"/>
        <w:rPr>
          <w:rFonts w:ascii="Times New Roman" w:hAnsi="Times New Roman"/>
          <w:sz w:val="24"/>
          <w:szCs w:val="24"/>
          <w:lang w:eastAsia="zh-CN"/>
        </w:rPr>
      </w:pPr>
      <w:r>
        <w:rPr>
          <w:rFonts w:ascii="Times New Roman" w:hAnsi="Times New Roman"/>
          <w:sz w:val="24"/>
          <w:szCs w:val="24"/>
        </w:rPr>
        <w:t>3）选定配合比中的各项材料用量均应乘以校正系数即为调整确定的配合比。</w:t>
      </w:r>
    </w:p>
    <w:p>
      <w:pPr>
        <w:pStyle w:val="17"/>
        <w:spacing w:line="360" w:lineRule="auto"/>
        <w:rPr>
          <w:rFonts w:ascii="Times New Roman" w:hAnsi="Times New Roman"/>
          <w:b/>
          <w:sz w:val="24"/>
          <w:szCs w:val="24"/>
          <w:lang w:val="en-US" w:eastAsia="zh-CN"/>
        </w:rPr>
      </w:pPr>
      <w:r>
        <w:rPr>
          <w:rFonts w:ascii="Times New Roman" w:hAnsi="Times New Roman"/>
          <w:b/>
          <w:sz w:val="24"/>
          <w:szCs w:val="24"/>
          <w:lang w:val="en-US" w:eastAsia="zh-CN"/>
        </w:rPr>
        <w:t>6.5.4</w:t>
      </w:r>
      <w:r>
        <w:rPr>
          <w:rFonts w:ascii="Times New Roman" w:hAnsi="Times New Roman"/>
          <w:sz w:val="24"/>
          <w:szCs w:val="24"/>
          <w:lang w:val="en-US" w:eastAsia="zh-CN"/>
        </w:rPr>
        <w:t xml:space="preserve">  对于调整确定的珊瑚骨料混凝土配合比，应测定拌合物中水溶性氯离子含量，试验结果应符合现行国家标准《混凝土质量控制标准》GB50164的规定。</w:t>
      </w:r>
    </w:p>
    <w:p>
      <w:pPr>
        <w:pStyle w:val="17"/>
        <w:spacing w:line="360" w:lineRule="auto"/>
        <w:rPr>
          <w:rFonts w:ascii="Times New Roman" w:hAnsi="Times New Roman"/>
          <w:sz w:val="24"/>
          <w:szCs w:val="24"/>
          <w:lang w:val="en-US" w:eastAsia="zh-CN"/>
        </w:rPr>
      </w:pPr>
      <w:r>
        <w:rPr>
          <w:rFonts w:ascii="Times New Roman" w:hAnsi="Times New Roman"/>
          <w:b/>
          <w:sz w:val="24"/>
          <w:szCs w:val="24"/>
          <w:lang w:val="en-US" w:eastAsia="zh-CN"/>
        </w:rPr>
        <w:t>6.5.5</w:t>
      </w:r>
      <w:r>
        <w:rPr>
          <w:rFonts w:ascii="Times New Roman" w:hAnsi="Times New Roman"/>
          <w:sz w:val="24"/>
          <w:szCs w:val="24"/>
          <w:lang w:val="en-US" w:eastAsia="zh-CN"/>
        </w:rPr>
        <w:t xml:space="preserve">  对耐久性能有设计要求的珊瑚骨料混凝土应进行相关耐久性能验证试验，试验结果应符合设计要求。</w:t>
      </w:r>
    </w:p>
    <w:p>
      <w:pPr>
        <w:pStyle w:val="17"/>
        <w:spacing w:line="360" w:lineRule="auto"/>
        <w:rPr>
          <w:rFonts w:ascii="Times New Roman" w:hAnsi="Times New Roman"/>
          <w:sz w:val="24"/>
          <w:szCs w:val="24"/>
          <w:lang w:val="en-US" w:eastAsia="zh-CN"/>
        </w:rPr>
      </w:pPr>
      <w:r>
        <w:rPr>
          <w:rFonts w:ascii="Times New Roman" w:hAnsi="Times New Roman"/>
          <w:b/>
          <w:sz w:val="24"/>
          <w:szCs w:val="24"/>
          <w:lang w:val="en-US" w:eastAsia="zh-CN"/>
        </w:rPr>
        <w:t>6.5.6</w:t>
      </w:r>
      <w:r>
        <w:rPr>
          <w:rFonts w:ascii="Times New Roman" w:hAnsi="Times New Roman"/>
          <w:sz w:val="24"/>
          <w:szCs w:val="24"/>
          <w:lang w:val="en-US" w:eastAsia="zh-CN"/>
        </w:rPr>
        <w:t xml:space="preserve">  珊瑚骨料混凝土设计配合比应在生产和施工前进行适应性调整，应以调整后的配合比作为施工配合比。</w:t>
      </w:r>
    </w:p>
    <w:p>
      <w:pPr>
        <w:pStyle w:val="17"/>
        <w:spacing w:line="360" w:lineRule="auto"/>
        <w:rPr>
          <w:rFonts w:ascii="Times New Roman" w:hAnsi="Times New Roman"/>
          <w:sz w:val="24"/>
          <w:szCs w:val="24"/>
          <w:lang w:val="en-US" w:eastAsia="zh-CN"/>
        </w:rPr>
      </w:pPr>
      <w:r>
        <w:rPr>
          <w:rFonts w:ascii="Times New Roman" w:hAnsi="Times New Roman"/>
          <w:b/>
          <w:sz w:val="24"/>
          <w:szCs w:val="24"/>
          <w:lang w:val="en-US" w:eastAsia="zh-CN"/>
        </w:rPr>
        <w:t>6.5.7</w:t>
      </w:r>
      <w:r>
        <w:rPr>
          <w:rFonts w:ascii="Times New Roman" w:hAnsi="Times New Roman"/>
          <w:sz w:val="24"/>
          <w:szCs w:val="24"/>
          <w:lang w:val="en-US" w:eastAsia="zh-CN"/>
        </w:rPr>
        <w:t xml:space="preserve">  珊瑚骨料混凝土生产过程中，应及时测定粗、细骨料的含水率，并应根据其变化情况及时调整称量。</w:t>
      </w:r>
    </w:p>
    <w:p>
      <w:pPr>
        <w:pStyle w:val="17"/>
        <w:spacing w:line="360" w:lineRule="auto"/>
        <w:rPr>
          <w:rFonts w:ascii="Times New Roman" w:hAnsi="Times New Roman"/>
          <w:b/>
          <w:sz w:val="24"/>
          <w:szCs w:val="24"/>
          <w:lang w:val="en-US" w:eastAsia="zh-CN"/>
        </w:rPr>
      </w:pPr>
    </w:p>
    <w:p>
      <w:pPr>
        <w:pStyle w:val="50"/>
        <w:spacing w:before="312" w:after="312"/>
        <w:rPr>
          <w:rFonts w:eastAsia="黑体"/>
          <w:b w:val="0"/>
          <w:sz w:val="24"/>
          <w:szCs w:val="24"/>
        </w:rPr>
      </w:pPr>
      <w:r>
        <w:rPr>
          <w:b w:val="0"/>
          <w:sz w:val="24"/>
          <w:szCs w:val="24"/>
        </w:rPr>
        <w:br w:type="page"/>
      </w:r>
      <w:bookmarkStart w:id="334" w:name="_Toc22910"/>
      <w:bookmarkStart w:id="335" w:name="_Toc509849538"/>
      <w:bookmarkStart w:id="336" w:name="_Toc513811964"/>
      <w:bookmarkStart w:id="337" w:name="_Toc203"/>
      <w:bookmarkStart w:id="338" w:name="_Toc15053065"/>
      <w:bookmarkStart w:id="339" w:name="_Toc514685651"/>
      <w:bookmarkStart w:id="340" w:name="_Toc472351364"/>
      <w:bookmarkStart w:id="341" w:name="_Toc486247794"/>
      <w:r>
        <w:t>7  生产与施工</w:t>
      </w:r>
      <w:bookmarkEnd w:id="334"/>
      <w:bookmarkEnd w:id="335"/>
      <w:bookmarkEnd w:id="336"/>
      <w:bookmarkEnd w:id="337"/>
      <w:bookmarkEnd w:id="338"/>
      <w:bookmarkEnd w:id="339"/>
      <w:bookmarkEnd w:id="340"/>
      <w:bookmarkEnd w:id="341"/>
    </w:p>
    <w:p>
      <w:pPr>
        <w:spacing w:beforeLines="100" w:afterLines="100" w:line="300" w:lineRule="auto"/>
        <w:jc w:val="center"/>
        <w:outlineLvl w:val="1"/>
        <w:rPr>
          <w:b/>
          <w:bCs/>
          <w:sz w:val="24"/>
          <w:szCs w:val="24"/>
        </w:rPr>
      </w:pPr>
      <w:bookmarkStart w:id="342" w:name="_Toc513811965"/>
      <w:bookmarkStart w:id="343" w:name="_Toc15697"/>
      <w:bookmarkStart w:id="344" w:name="_Toc15053066"/>
      <w:bookmarkStart w:id="345" w:name="_Toc472351365"/>
      <w:bookmarkStart w:id="346" w:name="_Toc486247795"/>
      <w:bookmarkStart w:id="347" w:name="_Toc7965"/>
      <w:bookmarkStart w:id="348" w:name="_Toc509849539"/>
      <w:bookmarkStart w:id="349" w:name="_Toc514685652"/>
      <w:r>
        <w:rPr>
          <w:b/>
          <w:bCs/>
          <w:sz w:val="24"/>
          <w:szCs w:val="24"/>
        </w:rPr>
        <w:t>7.1  一般规定</w:t>
      </w:r>
      <w:bookmarkEnd w:id="342"/>
      <w:bookmarkEnd w:id="343"/>
      <w:bookmarkEnd w:id="344"/>
      <w:bookmarkEnd w:id="345"/>
      <w:bookmarkEnd w:id="346"/>
      <w:bookmarkEnd w:id="347"/>
      <w:bookmarkEnd w:id="348"/>
      <w:bookmarkEnd w:id="349"/>
    </w:p>
    <w:p>
      <w:pPr>
        <w:pStyle w:val="17"/>
        <w:spacing w:line="360" w:lineRule="auto"/>
        <w:rPr>
          <w:rFonts w:ascii="Times New Roman" w:hAnsi="Times New Roman"/>
          <w:sz w:val="24"/>
          <w:szCs w:val="24"/>
        </w:rPr>
      </w:pPr>
      <w:r>
        <w:rPr>
          <w:rFonts w:ascii="Times New Roman" w:hAnsi="Times New Roman"/>
          <w:b/>
          <w:bCs/>
          <w:sz w:val="24"/>
          <w:szCs w:val="24"/>
          <w:lang w:eastAsia="zh-CN"/>
        </w:rPr>
        <w:t>7.1.1</w:t>
      </w:r>
      <w:r>
        <w:rPr>
          <w:rFonts w:ascii="Times New Roman" w:hAnsi="Times New Roman"/>
          <w:bCs/>
          <w:sz w:val="24"/>
          <w:szCs w:val="24"/>
          <w:lang w:eastAsia="zh-CN"/>
        </w:rPr>
        <w:t xml:space="preserve"> </w:t>
      </w:r>
      <w:r>
        <w:rPr>
          <w:rFonts w:ascii="Times New Roman" w:hAnsi="Times New Roman"/>
          <w:sz w:val="24"/>
          <w:szCs w:val="24"/>
          <w:lang w:eastAsia="zh-CN"/>
        </w:rPr>
        <w:t xml:space="preserve"> 生产珊瑚骨料混凝土的搅拌站（楼）应符合现行国家标准《混凝土搅拌站（楼）》GB/T 10171的规定</w:t>
      </w:r>
      <w:r>
        <w:rPr>
          <w:rFonts w:ascii="Times New Roman" w:hAnsi="Times New Roman"/>
          <w:sz w:val="24"/>
          <w:szCs w:val="24"/>
        </w:rPr>
        <w:t>。</w:t>
      </w:r>
    </w:p>
    <w:p>
      <w:pPr>
        <w:spacing w:line="360" w:lineRule="auto"/>
        <w:rPr>
          <w:sz w:val="24"/>
          <w:szCs w:val="24"/>
        </w:rPr>
      </w:pPr>
      <w:r>
        <w:rPr>
          <w:b/>
          <w:bCs/>
          <w:sz w:val="24"/>
          <w:szCs w:val="24"/>
        </w:rPr>
        <w:t>7.1.2</w:t>
      </w:r>
      <w:r>
        <w:rPr>
          <w:sz w:val="24"/>
          <w:szCs w:val="24"/>
        </w:rPr>
        <w:t xml:space="preserve">  骨料在使用前的预湿处理应符合下列规定：</w:t>
      </w:r>
    </w:p>
    <w:p>
      <w:pPr>
        <w:spacing w:line="360" w:lineRule="auto"/>
        <w:ind w:firstLine="482" w:firstLineChars="200"/>
        <w:rPr>
          <w:sz w:val="24"/>
          <w:szCs w:val="24"/>
        </w:rPr>
      </w:pPr>
      <w:r>
        <w:rPr>
          <w:b/>
          <w:sz w:val="24"/>
          <w:szCs w:val="24"/>
        </w:rPr>
        <w:t>1</w:t>
      </w:r>
      <w:r>
        <w:rPr>
          <w:sz w:val="24"/>
          <w:szCs w:val="24"/>
        </w:rPr>
        <w:t xml:space="preserve">  对泵送施工，应充分预湿；对非泵送施工，可根据工程情况确定预湿程度；</w:t>
      </w:r>
    </w:p>
    <w:p>
      <w:pPr>
        <w:spacing w:line="360" w:lineRule="auto"/>
        <w:ind w:firstLine="482" w:firstLineChars="200"/>
        <w:rPr>
          <w:sz w:val="24"/>
          <w:szCs w:val="24"/>
        </w:rPr>
      </w:pPr>
      <w:r>
        <w:rPr>
          <w:b/>
          <w:sz w:val="24"/>
          <w:szCs w:val="24"/>
        </w:rPr>
        <w:t>2</w:t>
      </w:r>
      <w:r>
        <w:rPr>
          <w:sz w:val="24"/>
          <w:szCs w:val="24"/>
        </w:rPr>
        <w:t xml:space="preserve">  当气温低于5℃时，不宜进行预湿；</w:t>
      </w:r>
    </w:p>
    <w:p>
      <w:pPr>
        <w:pStyle w:val="17"/>
        <w:spacing w:line="360" w:lineRule="auto"/>
        <w:ind w:firstLine="482" w:firstLineChars="200"/>
        <w:rPr>
          <w:rFonts w:ascii="Times New Roman" w:hAnsi="Times New Roman"/>
          <w:sz w:val="24"/>
          <w:szCs w:val="24"/>
        </w:rPr>
      </w:pPr>
      <w:r>
        <w:rPr>
          <w:rFonts w:ascii="Times New Roman" w:hAnsi="Times New Roman"/>
          <w:b/>
          <w:sz w:val="24"/>
          <w:szCs w:val="24"/>
          <w:lang w:eastAsia="zh-CN"/>
        </w:rPr>
        <w:t>3</w:t>
      </w:r>
      <w:r>
        <w:rPr>
          <w:rFonts w:ascii="Times New Roman" w:hAnsi="Times New Roman"/>
          <w:sz w:val="24"/>
          <w:szCs w:val="24"/>
        </w:rPr>
        <w:t xml:space="preserve">  拌制</w:t>
      </w:r>
      <w:r>
        <w:rPr>
          <w:rFonts w:ascii="Times New Roman" w:hAnsi="Times New Roman"/>
          <w:sz w:val="24"/>
          <w:szCs w:val="24"/>
          <w:lang w:eastAsia="zh-CN"/>
        </w:rPr>
        <w:t>珊瑚骨料</w:t>
      </w:r>
      <w:r>
        <w:rPr>
          <w:rFonts w:ascii="Times New Roman" w:hAnsi="Times New Roman"/>
          <w:sz w:val="24"/>
          <w:szCs w:val="24"/>
        </w:rPr>
        <w:t>混凝土前，预湿的</w:t>
      </w:r>
      <w:r>
        <w:rPr>
          <w:rFonts w:ascii="Times New Roman" w:hAnsi="Times New Roman"/>
          <w:sz w:val="24"/>
          <w:szCs w:val="24"/>
          <w:lang w:eastAsia="zh-CN"/>
        </w:rPr>
        <w:t>骨料</w:t>
      </w:r>
      <w:r>
        <w:rPr>
          <w:rFonts w:ascii="Times New Roman" w:hAnsi="Times New Roman"/>
          <w:sz w:val="24"/>
          <w:szCs w:val="24"/>
        </w:rPr>
        <w:t>宜充分沥水。</w:t>
      </w:r>
    </w:p>
    <w:p>
      <w:pPr>
        <w:pStyle w:val="17"/>
        <w:spacing w:line="360" w:lineRule="auto"/>
        <w:rPr>
          <w:rFonts w:ascii="Times New Roman" w:hAnsi="Times New Roman"/>
          <w:sz w:val="24"/>
          <w:szCs w:val="24"/>
          <w:lang w:eastAsia="zh-CN"/>
        </w:rPr>
      </w:pPr>
      <w:r>
        <w:rPr>
          <w:rFonts w:ascii="Times New Roman" w:hAnsi="Times New Roman"/>
          <w:b/>
          <w:bCs/>
          <w:sz w:val="24"/>
          <w:szCs w:val="24"/>
          <w:lang w:eastAsia="zh-CN"/>
        </w:rPr>
        <w:t>7.1.3</w:t>
      </w:r>
      <w:r>
        <w:rPr>
          <w:rFonts w:ascii="Times New Roman" w:hAnsi="Times New Roman"/>
          <w:sz w:val="24"/>
          <w:szCs w:val="24"/>
        </w:rPr>
        <w:t xml:space="preserve"> </w:t>
      </w:r>
      <w:r>
        <w:rPr>
          <w:rFonts w:ascii="Times New Roman" w:hAnsi="Times New Roman"/>
          <w:sz w:val="24"/>
          <w:szCs w:val="24"/>
          <w:lang w:eastAsia="zh-CN"/>
        </w:rPr>
        <w:t xml:space="preserve"> 珊瑚骨料</w:t>
      </w:r>
      <w:r>
        <w:rPr>
          <w:rFonts w:ascii="Times New Roman" w:hAnsi="Times New Roman"/>
          <w:sz w:val="24"/>
          <w:szCs w:val="24"/>
        </w:rPr>
        <w:t>混凝土不宜冬期施工。</w:t>
      </w:r>
    </w:p>
    <w:p>
      <w:pPr>
        <w:pStyle w:val="17"/>
        <w:spacing w:line="360" w:lineRule="auto"/>
        <w:rPr>
          <w:rFonts w:ascii="Times New Roman" w:hAnsi="Times New Roman"/>
          <w:sz w:val="24"/>
          <w:szCs w:val="24"/>
          <w:lang w:eastAsia="zh-CN"/>
        </w:rPr>
      </w:pPr>
      <w:r>
        <w:rPr>
          <w:rFonts w:ascii="Times New Roman" w:hAnsi="Times New Roman"/>
          <w:b/>
          <w:bCs/>
          <w:sz w:val="24"/>
          <w:szCs w:val="24"/>
          <w:lang w:eastAsia="zh-CN"/>
        </w:rPr>
        <w:t>7.1.4</w:t>
      </w:r>
      <w:r>
        <w:rPr>
          <w:rFonts w:ascii="Times New Roman" w:hAnsi="Times New Roman"/>
          <w:sz w:val="24"/>
          <w:szCs w:val="24"/>
        </w:rPr>
        <w:t xml:space="preserve"> </w:t>
      </w:r>
      <w:r>
        <w:rPr>
          <w:rFonts w:ascii="Times New Roman" w:hAnsi="Times New Roman"/>
          <w:sz w:val="24"/>
          <w:szCs w:val="24"/>
          <w:lang w:eastAsia="zh-CN"/>
        </w:rPr>
        <w:t xml:space="preserve"> 在珊瑚骨料混凝土拌合物的运输和浇筑过程中，不应向拌合物中加水</w:t>
      </w:r>
      <w:r>
        <w:rPr>
          <w:rFonts w:ascii="Times New Roman" w:hAnsi="Times New Roman"/>
          <w:sz w:val="24"/>
          <w:szCs w:val="24"/>
        </w:rPr>
        <w:t>。</w:t>
      </w:r>
    </w:p>
    <w:p>
      <w:pPr>
        <w:spacing w:beforeLines="100" w:afterLines="100" w:line="300" w:lineRule="auto"/>
        <w:jc w:val="center"/>
        <w:outlineLvl w:val="1"/>
        <w:rPr>
          <w:b/>
          <w:bCs/>
          <w:sz w:val="24"/>
          <w:szCs w:val="24"/>
        </w:rPr>
      </w:pPr>
      <w:bookmarkStart w:id="350" w:name="_Toc3102"/>
      <w:bookmarkStart w:id="351" w:name="_Toc472351366"/>
      <w:bookmarkStart w:id="352" w:name="_Toc514685653"/>
      <w:bookmarkStart w:id="353" w:name="_Toc509849540"/>
      <w:bookmarkStart w:id="354" w:name="_Toc486247796"/>
      <w:bookmarkStart w:id="355" w:name="_Toc15053067"/>
      <w:bookmarkStart w:id="356" w:name="_Toc1150"/>
      <w:bookmarkStart w:id="357" w:name="_Toc513811966"/>
      <w:r>
        <w:rPr>
          <w:b/>
          <w:bCs/>
          <w:sz w:val="24"/>
          <w:szCs w:val="24"/>
        </w:rPr>
        <w:t>7.2  原材料进场</w:t>
      </w:r>
      <w:bookmarkEnd w:id="350"/>
      <w:bookmarkEnd w:id="351"/>
      <w:bookmarkEnd w:id="352"/>
      <w:bookmarkEnd w:id="353"/>
      <w:bookmarkEnd w:id="354"/>
      <w:bookmarkEnd w:id="355"/>
      <w:bookmarkEnd w:id="356"/>
      <w:bookmarkEnd w:id="357"/>
    </w:p>
    <w:p>
      <w:pPr>
        <w:pStyle w:val="17"/>
        <w:spacing w:beforeLines="50" w:line="360" w:lineRule="auto"/>
        <w:rPr>
          <w:rFonts w:ascii="Times New Roman" w:hAnsi="Times New Roman"/>
          <w:sz w:val="24"/>
          <w:szCs w:val="24"/>
        </w:rPr>
      </w:pPr>
      <w:r>
        <w:rPr>
          <w:rFonts w:ascii="Times New Roman" w:hAnsi="Times New Roman"/>
          <w:b/>
          <w:bCs/>
          <w:sz w:val="24"/>
          <w:szCs w:val="24"/>
          <w:lang w:val="en-US" w:eastAsia="zh-CN"/>
        </w:rPr>
        <w:t>7</w:t>
      </w:r>
      <w:r>
        <w:rPr>
          <w:rFonts w:ascii="Times New Roman" w:hAnsi="Times New Roman"/>
          <w:b/>
          <w:bCs/>
          <w:sz w:val="24"/>
          <w:szCs w:val="24"/>
          <w:lang w:eastAsia="zh-CN"/>
        </w:rPr>
        <w:t>.2.1</w:t>
      </w:r>
      <w:r>
        <w:rPr>
          <w:rFonts w:ascii="Times New Roman" w:hAnsi="Times New Roman"/>
          <w:sz w:val="24"/>
          <w:szCs w:val="24"/>
        </w:rPr>
        <w:t xml:space="preserve"> </w:t>
      </w:r>
      <w:r>
        <w:rPr>
          <w:rFonts w:ascii="Times New Roman" w:hAnsi="Times New Roman"/>
          <w:sz w:val="24"/>
          <w:szCs w:val="24"/>
          <w:lang w:eastAsia="zh-CN"/>
        </w:rPr>
        <w:t xml:space="preserve"> </w:t>
      </w:r>
      <w:r>
        <w:rPr>
          <w:rFonts w:ascii="Times New Roman" w:hAnsi="Times New Roman"/>
          <w:sz w:val="24"/>
          <w:szCs w:val="24"/>
        </w:rPr>
        <w:t>水泥、矿物掺合料、外加剂等原材料进场应符合现行国家标准《混凝土质量控制标准》GB 50164和《混凝土结构工程施工规范》GB 50666的规定。</w:t>
      </w:r>
    </w:p>
    <w:p>
      <w:pPr>
        <w:pStyle w:val="17"/>
        <w:spacing w:line="360" w:lineRule="auto"/>
        <w:rPr>
          <w:rFonts w:ascii="Times New Roman" w:hAnsi="Times New Roman"/>
          <w:sz w:val="24"/>
          <w:szCs w:val="24"/>
        </w:rPr>
      </w:pPr>
      <w:r>
        <w:rPr>
          <w:rFonts w:ascii="Times New Roman" w:hAnsi="Times New Roman"/>
          <w:b/>
          <w:bCs/>
          <w:sz w:val="24"/>
          <w:szCs w:val="24"/>
          <w:lang w:eastAsia="zh-CN"/>
        </w:rPr>
        <w:t>7.2.2</w:t>
      </w:r>
      <w:r>
        <w:rPr>
          <w:rFonts w:ascii="Times New Roman" w:hAnsi="Times New Roman"/>
          <w:sz w:val="24"/>
          <w:szCs w:val="24"/>
        </w:rPr>
        <w:t xml:space="preserve"> </w:t>
      </w:r>
      <w:r>
        <w:rPr>
          <w:rFonts w:ascii="Times New Roman" w:hAnsi="Times New Roman"/>
          <w:sz w:val="24"/>
          <w:szCs w:val="24"/>
          <w:lang w:eastAsia="zh-CN"/>
        </w:rPr>
        <w:t xml:space="preserve"> 珊瑚粗</w:t>
      </w:r>
      <w:r>
        <w:rPr>
          <w:rFonts w:ascii="Times New Roman" w:hAnsi="Times New Roman"/>
          <w:sz w:val="24"/>
          <w:szCs w:val="24"/>
        </w:rPr>
        <w:t>骨料</w:t>
      </w:r>
      <w:r>
        <w:rPr>
          <w:rFonts w:ascii="Times New Roman" w:hAnsi="Times New Roman"/>
          <w:sz w:val="24"/>
          <w:szCs w:val="24"/>
          <w:lang w:eastAsia="zh-CN"/>
        </w:rPr>
        <w:t>和珊瑚砂</w:t>
      </w:r>
      <w:r>
        <w:rPr>
          <w:rFonts w:ascii="Times New Roman" w:hAnsi="Times New Roman"/>
          <w:sz w:val="24"/>
          <w:szCs w:val="24"/>
        </w:rPr>
        <w:t>进场</w:t>
      </w:r>
      <w:r>
        <w:rPr>
          <w:rFonts w:ascii="Times New Roman" w:hAnsi="Times New Roman"/>
          <w:sz w:val="24"/>
          <w:szCs w:val="24"/>
          <w:lang w:eastAsia="zh-CN"/>
        </w:rPr>
        <w:t>时，骨料供应方提供出厂检验报告和出厂合格证等质量文件。</w:t>
      </w:r>
    </w:p>
    <w:p>
      <w:pPr>
        <w:pStyle w:val="17"/>
        <w:spacing w:line="360" w:lineRule="auto"/>
        <w:rPr>
          <w:rFonts w:ascii="Times New Roman" w:hAnsi="Times New Roman"/>
          <w:sz w:val="24"/>
          <w:szCs w:val="24"/>
        </w:rPr>
      </w:pPr>
      <w:r>
        <w:rPr>
          <w:rFonts w:ascii="Times New Roman" w:hAnsi="Times New Roman"/>
          <w:b/>
          <w:bCs/>
          <w:sz w:val="24"/>
          <w:szCs w:val="24"/>
          <w:lang w:eastAsia="zh-CN"/>
        </w:rPr>
        <w:t>7.2.3</w:t>
      </w:r>
      <w:r>
        <w:rPr>
          <w:rFonts w:ascii="Times New Roman" w:hAnsi="Times New Roman"/>
          <w:sz w:val="24"/>
          <w:szCs w:val="24"/>
        </w:rPr>
        <w:t xml:space="preserve"> </w:t>
      </w:r>
      <w:r>
        <w:rPr>
          <w:rFonts w:ascii="Times New Roman" w:hAnsi="Times New Roman"/>
          <w:sz w:val="24"/>
          <w:szCs w:val="24"/>
          <w:lang w:eastAsia="zh-CN"/>
        </w:rPr>
        <w:t xml:space="preserve"> 骨料</w:t>
      </w:r>
      <w:r>
        <w:rPr>
          <w:rFonts w:ascii="Times New Roman" w:hAnsi="Times New Roman"/>
          <w:sz w:val="24"/>
          <w:szCs w:val="24"/>
        </w:rPr>
        <w:t>的运输和堆放应符合下列规定：</w:t>
      </w:r>
    </w:p>
    <w:p>
      <w:pPr>
        <w:spacing w:line="360" w:lineRule="auto"/>
        <w:ind w:firstLine="482" w:firstLineChars="200"/>
        <w:rPr>
          <w:b/>
          <w:sz w:val="24"/>
          <w:szCs w:val="24"/>
        </w:rPr>
      </w:pPr>
      <w:r>
        <w:rPr>
          <w:b/>
          <w:sz w:val="24"/>
          <w:szCs w:val="24"/>
        </w:rPr>
        <w:t>1</w:t>
      </w:r>
      <w:r>
        <w:rPr>
          <w:sz w:val="24"/>
          <w:szCs w:val="24"/>
        </w:rPr>
        <w:t xml:space="preserve">  珊瑚粗骨料和珊瑚砂应分别按不同品种分批运输和堆放，避免混杂；</w:t>
      </w:r>
    </w:p>
    <w:p>
      <w:pPr>
        <w:spacing w:line="360" w:lineRule="auto"/>
        <w:ind w:firstLine="482" w:firstLineChars="200"/>
        <w:rPr>
          <w:b/>
          <w:sz w:val="24"/>
          <w:szCs w:val="24"/>
        </w:rPr>
      </w:pPr>
      <w:r>
        <w:rPr>
          <w:b/>
          <w:sz w:val="24"/>
          <w:szCs w:val="24"/>
        </w:rPr>
        <w:t>2</w:t>
      </w:r>
      <w:r>
        <w:rPr>
          <w:sz w:val="24"/>
          <w:szCs w:val="24"/>
        </w:rPr>
        <w:t xml:space="preserve">  珊瑚粗骨料和珊瑚砂应保持颗粒混合均匀，减少离析；采用连续级配时，堆放高度不宜超过2m，并应防止其它杂质混入；</w:t>
      </w:r>
    </w:p>
    <w:p>
      <w:pPr>
        <w:spacing w:line="360" w:lineRule="auto"/>
        <w:ind w:firstLine="482" w:firstLineChars="200"/>
        <w:rPr>
          <w:b/>
          <w:sz w:val="24"/>
          <w:szCs w:val="24"/>
        </w:rPr>
      </w:pPr>
      <w:r>
        <w:rPr>
          <w:b/>
          <w:sz w:val="24"/>
          <w:szCs w:val="24"/>
        </w:rPr>
        <w:t>3</w:t>
      </w:r>
      <w:r>
        <w:rPr>
          <w:sz w:val="24"/>
          <w:szCs w:val="24"/>
        </w:rPr>
        <w:t xml:space="preserve">  珊瑚砂应采取防雨、防扬尘的措施。</w:t>
      </w:r>
    </w:p>
    <w:p>
      <w:pPr>
        <w:spacing w:beforeLines="100" w:afterLines="100" w:line="300" w:lineRule="auto"/>
        <w:jc w:val="center"/>
        <w:outlineLvl w:val="1"/>
        <w:rPr>
          <w:b/>
          <w:bCs/>
          <w:sz w:val="24"/>
          <w:szCs w:val="24"/>
        </w:rPr>
      </w:pPr>
      <w:bookmarkStart w:id="358" w:name="_Toc12520"/>
      <w:bookmarkStart w:id="359" w:name="_Toc472351367"/>
      <w:bookmarkStart w:id="360" w:name="_Toc486247797"/>
      <w:bookmarkStart w:id="361" w:name="_Toc513811967"/>
      <w:bookmarkStart w:id="362" w:name="_Toc240"/>
      <w:bookmarkStart w:id="363" w:name="_Toc514685654"/>
      <w:bookmarkStart w:id="364" w:name="_Toc509849541"/>
      <w:bookmarkStart w:id="365" w:name="_Toc15053068"/>
      <w:r>
        <w:rPr>
          <w:b/>
          <w:bCs/>
          <w:sz w:val="24"/>
          <w:szCs w:val="24"/>
        </w:rPr>
        <w:t>7.3 计量</w:t>
      </w:r>
      <w:bookmarkEnd w:id="358"/>
      <w:bookmarkEnd w:id="359"/>
      <w:bookmarkEnd w:id="360"/>
      <w:bookmarkEnd w:id="361"/>
      <w:bookmarkEnd w:id="362"/>
      <w:bookmarkEnd w:id="363"/>
      <w:bookmarkEnd w:id="364"/>
      <w:bookmarkEnd w:id="365"/>
    </w:p>
    <w:p>
      <w:pPr>
        <w:pStyle w:val="17"/>
        <w:spacing w:line="360" w:lineRule="auto"/>
        <w:rPr>
          <w:rFonts w:ascii="Times New Roman" w:hAnsi="Times New Roman"/>
          <w:sz w:val="24"/>
          <w:szCs w:val="24"/>
        </w:rPr>
      </w:pPr>
      <w:r>
        <w:rPr>
          <w:rFonts w:ascii="Times New Roman" w:hAnsi="Times New Roman"/>
          <w:b/>
          <w:bCs/>
          <w:sz w:val="24"/>
          <w:szCs w:val="24"/>
          <w:lang w:eastAsia="zh-CN"/>
        </w:rPr>
        <w:t>7.3.1</w:t>
      </w:r>
      <w:r>
        <w:rPr>
          <w:rFonts w:ascii="Times New Roman" w:hAnsi="Times New Roman" w:eastAsia="黑体"/>
          <w:sz w:val="24"/>
          <w:szCs w:val="24"/>
        </w:rPr>
        <w:t xml:space="preserve"> </w:t>
      </w:r>
      <w:r>
        <w:rPr>
          <w:rFonts w:ascii="Times New Roman" w:hAnsi="Times New Roman" w:eastAsia="黑体"/>
          <w:sz w:val="24"/>
          <w:szCs w:val="24"/>
          <w:lang w:eastAsia="zh-CN"/>
        </w:rPr>
        <w:t xml:space="preserve"> </w:t>
      </w:r>
      <w:r>
        <w:rPr>
          <w:rFonts w:ascii="Times New Roman" w:hAnsi="Times New Roman"/>
          <w:sz w:val="24"/>
          <w:szCs w:val="24"/>
        </w:rPr>
        <w:t>原材料计量应采用电子计量设备。混凝土生产每一工作班开始前，应对计量设备进行零点校准。</w:t>
      </w:r>
    </w:p>
    <w:p>
      <w:pPr>
        <w:spacing w:line="360" w:lineRule="auto"/>
        <w:rPr>
          <w:sz w:val="24"/>
          <w:szCs w:val="24"/>
        </w:rPr>
      </w:pPr>
      <w:r>
        <w:rPr>
          <w:b/>
          <w:bCs/>
          <w:sz w:val="24"/>
          <w:szCs w:val="24"/>
        </w:rPr>
        <w:t>7.3.2</w:t>
      </w:r>
      <w:r>
        <w:rPr>
          <w:sz w:val="24"/>
          <w:szCs w:val="24"/>
        </w:rPr>
        <w:t xml:space="preserve">  珊瑚骨料混凝土各组分材料应按质量计量；计量的允许偏差应符合表7.3.2的规定，计量偏差应每班检查1次。</w:t>
      </w:r>
    </w:p>
    <w:p>
      <w:pPr>
        <w:pStyle w:val="17"/>
        <w:ind w:firstLine="480"/>
        <w:jc w:val="center"/>
        <w:rPr>
          <w:rFonts w:ascii="Times New Roman" w:hAnsi="Times New Roman" w:eastAsia="黑体"/>
          <w:lang w:val="en-US" w:eastAsia="zh-CN"/>
        </w:rPr>
      </w:pPr>
      <w:r>
        <w:rPr>
          <w:rFonts w:ascii="Times New Roman" w:hAnsi="Times New Roman" w:eastAsia="黑体"/>
          <w:lang w:val="en-US" w:eastAsia="zh-CN"/>
        </w:rPr>
        <w:t>表7.3.2  各种原材料计量的允许偏差（%）</w:t>
      </w:r>
    </w:p>
    <w:tbl>
      <w:tblPr>
        <w:tblStyle w:val="29"/>
        <w:tblW w:w="750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38"/>
        <w:gridCol w:w="3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4038" w:type="dxa"/>
            <w:vAlign w:val="center"/>
          </w:tcPr>
          <w:p>
            <w:pPr>
              <w:jc w:val="center"/>
            </w:pPr>
            <w:r>
              <w:t>原材料种类</w:t>
            </w:r>
          </w:p>
        </w:tc>
        <w:tc>
          <w:tcPr>
            <w:tcW w:w="3463" w:type="dxa"/>
            <w:vAlign w:val="center"/>
          </w:tcPr>
          <w:p>
            <w:pPr>
              <w:jc w:val="center"/>
            </w:pPr>
            <w:r>
              <w:t>计量允许偏差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4038" w:type="dxa"/>
            <w:vAlign w:val="center"/>
          </w:tcPr>
          <w:p>
            <w:pPr>
              <w:jc w:val="center"/>
            </w:pPr>
            <w:r>
              <w:t>胶凝材料</w:t>
            </w:r>
          </w:p>
        </w:tc>
        <w:tc>
          <w:tcPr>
            <w:tcW w:w="3463" w:type="dxa"/>
            <w:vAlign w:val="center"/>
          </w:tcPr>
          <w:p>
            <w:pPr>
              <w:jc w:val="center"/>
            </w:pP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4038" w:type="dxa"/>
            <w:vAlign w:val="center"/>
          </w:tcPr>
          <w:p>
            <w:pPr>
              <w:jc w:val="center"/>
            </w:pPr>
            <w:r>
              <w:t>粗、细骨料</w:t>
            </w:r>
          </w:p>
        </w:tc>
        <w:tc>
          <w:tcPr>
            <w:tcW w:w="3463" w:type="dxa"/>
            <w:vAlign w:val="center"/>
          </w:tcPr>
          <w:p>
            <w:pPr>
              <w:jc w:val="center"/>
            </w:pPr>
            <w: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4038" w:type="dxa"/>
            <w:vAlign w:val="center"/>
          </w:tcPr>
          <w:p>
            <w:pPr>
              <w:jc w:val="center"/>
            </w:pPr>
            <w:r>
              <w:t>拌合用水</w:t>
            </w:r>
          </w:p>
        </w:tc>
        <w:tc>
          <w:tcPr>
            <w:tcW w:w="3463" w:type="dxa"/>
            <w:vAlign w:val="center"/>
          </w:tcPr>
          <w:p>
            <w:pPr>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4038" w:type="dxa"/>
            <w:vAlign w:val="center"/>
          </w:tcPr>
          <w:p>
            <w:pPr>
              <w:jc w:val="center"/>
            </w:pPr>
            <w:r>
              <w:t>外加剂</w:t>
            </w:r>
          </w:p>
        </w:tc>
        <w:tc>
          <w:tcPr>
            <w:tcW w:w="3463" w:type="dxa"/>
            <w:vAlign w:val="center"/>
          </w:tcPr>
          <w:p>
            <w:pPr>
              <w:jc w:val="center"/>
            </w:pPr>
            <w:r>
              <w:t>±1</w:t>
            </w:r>
          </w:p>
        </w:tc>
      </w:tr>
    </w:tbl>
    <w:p>
      <w:pPr>
        <w:pStyle w:val="17"/>
        <w:spacing w:line="360" w:lineRule="auto"/>
        <w:rPr>
          <w:rFonts w:ascii="Times New Roman" w:hAnsi="Times New Roman"/>
          <w:sz w:val="24"/>
          <w:szCs w:val="24"/>
        </w:rPr>
      </w:pPr>
      <w:r>
        <w:rPr>
          <w:rFonts w:ascii="Times New Roman" w:hAnsi="Times New Roman"/>
          <w:b/>
          <w:bCs/>
          <w:sz w:val="24"/>
          <w:szCs w:val="24"/>
          <w:lang w:eastAsia="zh-CN"/>
        </w:rPr>
        <w:t>7.3.3</w:t>
      </w:r>
      <w:r>
        <w:rPr>
          <w:rFonts w:ascii="Times New Roman" w:hAnsi="Times New Roman"/>
          <w:bCs/>
          <w:sz w:val="24"/>
          <w:szCs w:val="24"/>
        </w:rPr>
        <w:t xml:space="preserve"> </w:t>
      </w:r>
      <w:r>
        <w:rPr>
          <w:rFonts w:ascii="Times New Roman" w:hAnsi="Times New Roman"/>
          <w:bCs/>
          <w:sz w:val="24"/>
          <w:szCs w:val="24"/>
          <w:lang w:eastAsia="zh-CN"/>
        </w:rPr>
        <w:t xml:space="preserve"> </w:t>
      </w:r>
      <w:r>
        <w:rPr>
          <w:rFonts w:ascii="Times New Roman" w:hAnsi="Times New Roman"/>
          <w:sz w:val="24"/>
          <w:szCs w:val="24"/>
        </w:rPr>
        <w:t>当</w:t>
      </w:r>
      <w:r>
        <w:rPr>
          <w:rFonts w:ascii="Times New Roman" w:hAnsi="Times New Roman"/>
          <w:sz w:val="24"/>
          <w:szCs w:val="24"/>
          <w:lang w:eastAsia="zh-CN"/>
        </w:rPr>
        <w:t>骨料</w:t>
      </w:r>
      <w:r>
        <w:rPr>
          <w:rFonts w:ascii="Times New Roman" w:hAnsi="Times New Roman"/>
          <w:sz w:val="24"/>
          <w:szCs w:val="24"/>
        </w:rPr>
        <w:t>含水率和堆积密度发生变化时，应及时调整骨料和拌合用水的用量。</w:t>
      </w:r>
    </w:p>
    <w:p>
      <w:pPr>
        <w:spacing w:beforeLines="100" w:afterLines="100" w:line="300" w:lineRule="auto"/>
        <w:jc w:val="center"/>
        <w:outlineLvl w:val="1"/>
        <w:rPr>
          <w:b/>
          <w:bCs/>
          <w:sz w:val="24"/>
          <w:szCs w:val="24"/>
        </w:rPr>
      </w:pPr>
      <w:bookmarkStart w:id="366" w:name="_Toc486247798"/>
      <w:bookmarkStart w:id="367" w:name="_Toc513811968"/>
      <w:bookmarkStart w:id="368" w:name="_Toc20141"/>
      <w:bookmarkStart w:id="369" w:name="_Toc32075"/>
      <w:bookmarkStart w:id="370" w:name="_Toc472351368"/>
      <w:bookmarkStart w:id="371" w:name="_Toc514685655"/>
      <w:bookmarkStart w:id="372" w:name="_Toc509849542"/>
      <w:bookmarkStart w:id="373" w:name="_Toc15053069"/>
      <w:r>
        <w:rPr>
          <w:b/>
          <w:bCs/>
          <w:sz w:val="24"/>
          <w:szCs w:val="24"/>
        </w:rPr>
        <w:t>7.4 搅拌</w:t>
      </w:r>
      <w:bookmarkEnd w:id="366"/>
      <w:bookmarkEnd w:id="367"/>
      <w:bookmarkEnd w:id="368"/>
      <w:bookmarkEnd w:id="369"/>
      <w:bookmarkEnd w:id="370"/>
      <w:bookmarkEnd w:id="371"/>
      <w:bookmarkEnd w:id="372"/>
      <w:bookmarkEnd w:id="373"/>
    </w:p>
    <w:p>
      <w:pPr>
        <w:pStyle w:val="17"/>
        <w:spacing w:line="360" w:lineRule="auto"/>
        <w:rPr>
          <w:rFonts w:ascii="Times New Roman" w:hAnsi="Times New Roman"/>
          <w:bCs/>
          <w:sz w:val="24"/>
          <w:szCs w:val="24"/>
          <w:lang w:eastAsia="zh-CN"/>
        </w:rPr>
      </w:pPr>
      <w:r>
        <w:rPr>
          <w:rFonts w:ascii="Times New Roman" w:hAnsi="Times New Roman"/>
          <w:b/>
          <w:bCs/>
          <w:sz w:val="24"/>
          <w:szCs w:val="24"/>
          <w:lang w:eastAsia="zh-CN"/>
        </w:rPr>
        <w:t>7.4.1</w:t>
      </w:r>
      <w:r>
        <w:rPr>
          <w:rFonts w:ascii="Times New Roman" w:hAnsi="Times New Roman"/>
          <w:bCs/>
          <w:sz w:val="24"/>
          <w:szCs w:val="24"/>
          <w:lang w:eastAsia="zh-CN"/>
        </w:rPr>
        <w:t xml:space="preserve">  珊瑚骨料混凝土应采用强制式搅拌机搅拌，并应搅拌均匀。</w:t>
      </w:r>
    </w:p>
    <w:p>
      <w:pPr>
        <w:pStyle w:val="17"/>
        <w:spacing w:line="360" w:lineRule="auto"/>
        <w:rPr>
          <w:rFonts w:ascii="Times New Roman" w:hAnsi="Times New Roman"/>
          <w:bCs/>
          <w:sz w:val="24"/>
          <w:szCs w:val="24"/>
          <w:lang w:eastAsia="zh-CN"/>
        </w:rPr>
      </w:pPr>
      <w:r>
        <w:rPr>
          <w:rFonts w:ascii="Times New Roman" w:hAnsi="Times New Roman"/>
          <w:b/>
          <w:bCs/>
          <w:sz w:val="24"/>
          <w:szCs w:val="24"/>
          <w:lang w:eastAsia="zh-CN"/>
        </w:rPr>
        <w:t>7.4.2</w:t>
      </w:r>
      <w:r>
        <w:rPr>
          <w:rFonts w:ascii="Times New Roman" w:hAnsi="Times New Roman"/>
          <w:bCs/>
          <w:sz w:val="24"/>
          <w:szCs w:val="24"/>
          <w:lang w:eastAsia="zh-CN"/>
        </w:rPr>
        <w:t xml:space="preserve">  搅拌珊瑚骨料混凝土时的投料搅拌顺序宜符合下列规定：</w:t>
      </w:r>
    </w:p>
    <w:p>
      <w:pPr>
        <w:pStyle w:val="17"/>
        <w:spacing w:line="360" w:lineRule="auto"/>
        <w:ind w:firstLine="482" w:firstLineChars="200"/>
        <w:rPr>
          <w:rFonts w:ascii="Times New Roman" w:hAnsi="Times New Roman"/>
          <w:bCs/>
          <w:sz w:val="24"/>
          <w:szCs w:val="24"/>
        </w:rPr>
      </w:pPr>
      <w:r>
        <w:rPr>
          <w:rFonts w:ascii="Times New Roman" w:hAnsi="Times New Roman"/>
          <w:b/>
          <w:bCs/>
          <w:sz w:val="24"/>
          <w:szCs w:val="24"/>
        </w:rPr>
        <w:t>1</w:t>
      </w:r>
      <w:r>
        <w:rPr>
          <w:rFonts w:ascii="Times New Roman" w:hAnsi="Times New Roman"/>
          <w:bCs/>
          <w:sz w:val="24"/>
          <w:szCs w:val="24"/>
        </w:rPr>
        <w:t xml:space="preserve">  当采用预湿的骨料时，宜先加入骨料和胶凝材料预先搅拌，之后加入外加剂和净用水进行搅拌，直至搅拌均匀；</w:t>
      </w:r>
    </w:p>
    <w:p>
      <w:pPr>
        <w:pStyle w:val="17"/>
        <w:spacing w:line="360" w:lineRule="auto"/>
        <w:ind w:firstLine="482" w:firstLineChars="200"/>
        <w:rPr>
          <w:rFonts w:ascii="Times New Roman" w:hAnsi="Times New Roman"/>
          <w:bCs/>
          <w:sz w:val="24"/>
          <w:szCs w:val="24"/>
        </w:rPr>
      </w:pPr>
      <w:r>
        <w:rPr>
          <w:rFonts w:ascii="Times New Roman" w:hAnsi="Times New Roman"/>
          <w:b/>
          <w:bCs/>
          <w:sz w:val="24"/>
          <w:szCs w:val="24"/>
        </w:rPr>
        <w:t>2</w:t>
      </w:r>
      <w:r>
        <w:rPr>
          <w:rFonts w:ascii="Times New Roman" w:hAnsi="Times New Roman"/>
          <w:bCs/>
          <w:sz w:val="24"/>
          <w:szCs w:val="24"/>
        </w:rPr>
        <w:t xml:space="preserve">  当采用未预湿的骨料时，宜先加入骨料、矿物掺合料和1/2总用水预先搅拌，之后加入水泥、外加剂和剩余的水进行搅拌，直至搅拌均匀。</w:t>
      </w:r>
    </w:p>
    <w:p>
      <w:pPr>
        <w:pStyle w:val="17"/>
        <w:spacing w:line="360" w:lineRule="auto"/>
        <w:rPr>
          <w:rFonts w:ascii="Times New Roman" w:hAnsi="Times New Roman"/>
          <w:bCs/>
          <w:sz w:val="24"/>
          <w:szCs w:val="24"/>
          <w:lang w:eastAsia="zh-CN"/>
        </w:rPr>
      </w:pPr>
      <w:r>
        <w:rPr>
          <w:rFonts w:ascii="Times New Roman" w:hAnsi="Times New Roman"/>
          <w:b/>
          <w:bCs/>
          <w:sz w:val="24"/>
          <w:szCs w:val="24"/>
          <w:lang w:eastAsia="zh-CN"/>
        </w:rPr>
        <w:t>7.4.3</w:t>
      </w:r>
      <w:r>
        <w:rPr>
          <w:rFonts w:ascii="Times New Roman" w:hAnsi="Times New Roman"/>
          <w:bCs/>
          <w:sz w:val="24"/>
          <w:szCs w:val="24"/>
          <w:lang w:eastAsia="zh-CN"/>
        </w:rPr>
        <w:t xml:space="preserve">  珊瑚骨料混凝土的搅拌时间宜符合下列规定：</w:t>
      </w:r>
    </w:p>
    <w:p>
      <w:pPr>
        <w:pStyle w:val="17"/>
        <w:spacing w:line="360" w:lineRule="auto"/>
        <w:ind w:firstLine="482" w:firstLineChars="200"/>
        <w:rPr>
          <w:rFonts w:ascii="Times New Roman" w:hAnsi="Times New Roman"/>
          <w:sz w:val="24"/>
          <w:szCs w:val="24"/>
        </w:rPr>
      </w:pPr>
      <w:r>
        <w:rPr>
          <w:rFonts w:ascii="Times New Roman" w:hAnsi="Times New Roman"/>
          <w:b/>
          <w:bCs/>
          <w:sz w:val="24"/>
          <w:szCs w:val="24"/>
        </w:rPr>
        <w:t>1</w:t>
      </w:r>
      <w:r>
        <w:rPr>
          <w:rFonts w:ascii="Times New Roman" w:hAnsi="Times New Roman"/>
          <w:sz w:val="24"/>
          <w:szCs w:val="24"/>
        </w:rPr>
        <w:t xml:space="preserve">  当采用预湿的骨料时，投料全部结束后搅拌不宜少于60s；</w:t>
      </w:r>
    </w:p>
    <w:p>
      <w:pPr>
        <w:pStyle w:val="17"/>
        <w:spacing w:line="360" w:lineRule="auto"/>
        <w:ind w:firstLine="482" w:firstLineChars="200"/>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当采用未预湿的骨料时，投料全部结束后搅拌不宜少于120s；</w:t>
      </w:r>
    </w:p>
    <w:p>
      <w:pPr>
        <w:pStyle w:val="17"/>
        <w:spacing w:line="360" w:lineRule="auto"/>
        <w:ind w:firstLine="482" w:firstLineChars="200"/>
        <w:rPr>
          <w:rFonts w:ascii="Times New Roman" w:hAnsi="Times New Roman"/>
          <w:sz w:val="24"/>
          <w:szCs w:val="24"/>
        </w:rPr>
      </w:pPr>
      <w:r>
        <w:rPr>
          <w:rFonts w:ascii="Times New Roman" w:hAnsi="Times New Roman"/>
          <w:b/>
          <w:sz w:val="24"/>
          <w:szCs w:val="24"/>
        </w:rPr>
        <w:t>3</w:t>
      </w:r>
      <w:r>
        <w:rPr>
          <w:rFonts w:ascii="Times New Roman" w:hAnsi="Times New Roman"/>
          <w:sz w:val="24"/>
          <w:szCs w:val="24"/>
        </w:rPr>
        <w:t xml:space="preserve">  当能保证搅拌均匀时，可缩短搅拌时间。</w:t>
      </w:r>
    </w:p>
    <w:p>
      <w:pPr>
        <w:spacing w:beforeLines="100" w:afterLines="100" w:line="300" w:lineRule="auto"/>
        <w:jc w:val="center"/>
        <w:outlineLvl w:val="1"/>
        <w:rPr>
          <w:b/>
          <w:bCs/>
          <w:sz w:val="24"/>
          <w:szCs w:val="24"/>
        </w:rPr>
      </w:pPr>
      <w:bookmarkStart w:id="374" w:name="_Toc15053070"/>
      <w:bookmarkStart w:id="375" w:name="_Toc509849543"/>
      <w:bookmarkStart w:id="376" w:name="_Toc514685656"/>
      <w:bookmarkStart w:id="377" w:name="_Toc459"/>
      <w:bookmarkStart w:id="378" w:name="_Toc513811969"/>
      <w:bookmarkStart w:id="379" w:name="_Toc472351369"/>
      <w:bookmarkStart w:id="380" w:name="_Toc486247799"/>
      <w:bookmarkStart w:id="381" w:name="_Toc23788"/>
      <w:r>
        <w:rPr>
          <w:b/>
          <w:bCs/>
          <w:sz w:val="24"/>
          <w:szCs w:val="24"/>
        </w:rPr>
        <w:t>7.5 运输</w:t>
      </w:r>
      <w:bookmarkEnd w:id="374"/>
      <w:bookmarkEnd w:id="375"/>
      <w:bookmarkEnd w:id="376"/>
      <w:bookmarkEnd w:id="377"/>
      <w:bookmarkEnd w:id="378"/>
      <w:bookmarkEnd w:id="379"/>
      <w:bookmarkEnd w:id="380"/>
      <w:bookmarkEnd w:id="381"/>
    </w:p>
    <w:p>
      <w:pPr>
        <w:spacing w:line="360" w:lineRule="auto"/>
        <w:rPr>
          <w:sz w:val="24"/>
          <w:szCs w:val="24"/>
        </w:rPr>
      </w:pPr>
      <w:r>
        <w:rPr>
          <w:b/>
          <w:bCs/>
          <w:sz w:val="24"/>
          <w:szCs w:val="24"/>
        </w:rPr>
        <w:t>7.5.1</w:t>
      </w:r>
      <w:r>
        <w:rPr>
          <w:bCs/>
          <w:sz w:val="24"/>
          <w:szCs w:val="24"/>
        </w:rPr>
        <w:t xml:space="preserve">  </w:t>
      </w:r>
      <w:r>
        <w:rPr>
          <w:sz w:val="24"/>
          <w:szCs w:val="24"/>
        </w:rPr>
        <w:t>在运输过程中，应减少坍落度损失和防止珊瑚骨料混凝土拌合物分层离析。</w:t>
      </w:r>
    </w:p>
    <w:p>
      <w:pPr>
        <w:pStyle w:val="17"/>
        <w:spacing w:line="360" w:lineRule="auto"/>
        <w:rPr>
          <w:rFonts w:ascii="Times New Roman" w:hAnsi="Times New Roman"/>
          <w:sz w:val="24"/>
          <w:szCs w:val="24"/>
        </w:rPr>
      </w:pPr>
      <w:r>
        <w:rPr>
          <w:rFonts w:ascii="Times New Roman" w:hAnsi="Times New Roman"/>
          <w:b/>
          <w:bCs/>
          <w:sz w:val="24"/>
          <w:szCs w:val="24"/>
          <w:lang w:eastAsia="zh-CN"/>
        </w:rPr>
        <w:t>7</w:t>
      </w:r>
      <w:r>
        <w:rPr>
          <w:rFonts w:ascii="Times New Roman" w:hAnsi="Times New Roman"/>
          <w:b/>
          <w:bCs/>
          <w:sz w:val="24"/>
          <w:szCs w:val="24"/>
        </w:rPr>
        <w:t>.5.2</w:t>
      </w:r>
      <w:r>
        <w:rPr>
          <w:rFonts w:ascii="Times New Roman" w:hAnsi="Times New Roman"/>
          <w:bCs/>
          <w:sz w:val="24"/>
          <w:szCs w:val="24"/>
        </w:rPr>
        <w:t xml:space="preserve"> </w:t>
      </w:r>
      <w:r>
        <w:rPr>
          <w:rFonts w:ascii="Times New Roman" w:hAnsi="Times New Roman"/>
          <w:bCs/>
          <w:sz w:val="24"/>
          <w:szCs w:val="24"/>
          <w:lang w:eastAsia="zh-CN"/>
        </w:rPr>
        <w:t xml:space="preserve"> </w:t>
      </w:r>
      <w:r>
        <w:rPr>
          <w:rFonts w:ascii="Times New Roman" w:hAnsi="Times New Roman"/>
          <w:sz w:val="24"/>
          <w:szCs w:val="24"/>
        </w:rPr>
        <w:t>当采用搅拌罐车运输</w:t>
      </w:r>
      <w:r>
        <w:rPr>
          <w:rFonts w:ascii="Times New Roman" w:hAnsi="Times New Roman"/>
          <w:sz w:val="24"/>
          <w:szCs w:val="24"/>
          <w:lang w:eastAsia="zh-CN"/>
        </w:rPr>
        <w:t>珊瑚骨料</w:t>
      </w:r>
      <w:r>
        <w:rPr>
          <w:rFonts w:ascii="Times New Roman" w:hAnsi="Times New Roman"/>
          <w:sz w:val="24"/>
          <w:szCs w:val="24"/>
        </w:rPr>
        <w:t>混凝土拌合物时，卸料前宜采用快档旋转搅拌罐不少于20s。因运距过远、交通或现场等问题造成坍落度损失较大而卸料困难时，可采用在混凝土拌合物中掺入减水剂并快档旋转搅拌罐的措施，减水剂掺量应有经试验确定的预案。</w:t>
      </w:r>
    </w:p>
    <w:p>
      <w:pPr>
        <w:pStyle w:val="17"/>
        <w:spacing w:line="360" w:lineRule="auto"/>
        <w:rPr>
          <w:rFonts w:ascii="Times New Roman" w:hAnsi="Times New Roman"/>
          <w:sz w:val="24"/>
          <w:szCs w:val="24"/>
        </w:rPr>
      </w:pPr>
      <w:r>
        <w:rPr>
          <w:rFonts w:ascii="Times New Roman" w:hAnsi="Times New Roman"/>
          <w:b/>
          <w:bCs/>
          <w:sz w:val="24"/>
          <w:szCs w:val="24"/>
          <w:lang w:eastAsia="zh-CN"/>
        </w:rPr>
        <w:t>7</w:t>
      </w:r>
      <w:r>
        <w:rPr>
          <w:rFonts w:ascii="Times New Roman" w:hAnsi="Times New Roman"/>
          <w:b/>
          <w:bCs/>
          <w:sz w:val="24"/>
          <w:szCs w:val="24"/>
        </w:rPr>
        <w:t>.5.3</w:t>
      </w:r>
      <w:r>
        <w:rPr>
          <w:rFonts w:ascii="Times New Roman" w:hAnsi="Times New Roman"/>
          <w:bCs/>
          <w:sz w:val="24"/>
          <w:szCs w:val="24"/>
        </w:rPr>
        <w:t xml:space="preserve"> </w:t>
      </w:r>
      <w:r>
        <w:rPr>
          <w:rFonts w:ascii="Times New Roman" w:hAnsi="Times New Roman"/>
          <w:bCs/>
          <w:sz w:val="24"/>
          <w:szCs w:val="24"/>
          <w:lang w:eastAsia="zh-CN"/>
        </w:rPr>
        <w:t xml:space="preserve"> </w:t>
      </w:r>
      <w:r>
        <w:rPr>
          <w:rFonts w:ascii="Times New Roman" w:hAnsi="Times New Roman"/>
          <w:sz w:val="24"/>
          <w:szCs w:val="24"/>
        </w:rPr>
        <w:t>拌合物从搅拌机卸料起到浇入模内止的延续时间不宜超过90min。</w:t>
      </w:r>
    </w:p>
    <w:p>
      <w:pPr>
        <w:spacing w:line="360" w:lineRule="auto"/>
        <w:rPr>
          <w:sz w:val="24"/>
          <w:szCs w:val="24"/>
        </w:rPr>
      </w:pPr>
      <w:r>
        <w:rPr>
          <w:b/>
          <w:sz w:val="24"/>
          <w:szCs w:val="24"/>
        </w:rPr>
        <w:t>7.5.4</w:t>
      </w:r>
      <w:r>
        <w:rPr>
          <w:sz w:val="24"/>
          <w:szCs w:val="24"/>
        </w:rPr>
        <w:t xml:space="preserve">  泵送珊瑚骨料混凝土拌合物入泵时的坍落度值宜为150mm~220mm；坍落度的检验方法应符合现行国家标准《普通混凝土拌合物性能试验方法标准》GB/T 50080的有关规定。</w:t>
      </w:r>
    </w:p>
    <w:p>
      <w:pPr>
        <w:spacing w:line="360" w:lineRule="auto"/>
        <w:rPr>
          <w:rFonts w:eastAsia="黑体"/>
          <w:sz w:val="24"/>
          <w:szCs w:val="24"/>
        </w:rPr>
      </w:pPr>
      <w:r>
        <w:rPr>
          <w:b/>
          <w:sz w:val="24"/>
          <w:szCs w:val="24"/>
        </w:rPr>
        <w:t>7.5.5</w:t>
      </w:r>
      <w:r>
        <w:rPr>
          <w:sz w:val="24"/>
          <w:szCs w:val="24"/>
        </w:rPr>
        <w:t xml:space="preserve">  珊瑚骨料混凝土宜采用泵送方式，并在泵送施工前应进行试泵。</w:t>
      </w:r>
    </w:p>
    <w:p>
      <w:pPr>
        <w:spacing w:beforeLines="100" w:afterLines="100" w:line="300" w:lineRule="auto"/>
        <w:jc w:val="center"/>
        <w:outlineLvl w:val="1"/>
        <w:rPr>
          <w:b/>
          <w:bCs/>
          <w:sz w:val="24"/>
          <w:szCs w:val="24"/>
        </w:rPr>
      </w:pPr>
      <w:bookmarkStart w:id="382" w:name="_Toc28832"/>
      <w:bookmarkStart w:id="383" w:name="_Toc472351370"/>
      <w:bookmarkStart w:id="384" w:name="_Toc514685657"/>
      <w:bookmarkStart w:id="385" w:name="_Toc15053071"/>
      <w:bookmarkStart w:id="386" w:name="_Toc509849544"/>
      <w:bookmarkStart w:id="387" w:name="_Toc486247800"/>
      <w:bookmarkStart w:id="388" w:name="_Toc513811970"/>
      <w:bookmarkStart w:id="389" w:name="_Toc672"/>
      <w:r>
        <w:rPr>
          <w:b/>
          <w:bCs/>
          <w:sz w:val="24"/>
          <w:szCs w:val="24"/>
        </w:rPr>
        <w:t>7.6 浇筑</w:t>
      </w:r>
      <w:bookmarkEnd w:id="382"/>
      <w:bookmarkEnd w:id="383"/>
      <w:bookmarkEnd w:id="384"/>
      <w:bookmarkEnd w:id="385"/>
      <w:bookmarkEnd w:id="386"/>
      <w:bookmarkEnd w:id="387"/>
      <w:bookmarkEnd w:id="388"/>
      <w:bookmarkEnd w:id="389"/>
    </w:p>
    <w:p>
      <w:pPr>
        <w:pStyle w:val="17"/>
        <w:spacing w:line="360" w:lineRule="auto"/>
        <w:rPr>
          <w:rFonts w:ascii="Times New Roman" w:hAnsi="Times New Roman"/>
          <w:sz w:val="24"/>
          <w:szCs w:val="24"/>
        </w:rPr>
      </w:pPr>
      <w:r>
        <w:rPr>
          <w:rFonts w:ascii="Times New Roman" w:hAnsi="Times New Roman"/>
          <w:b/>
          <w:bCs/>
          <w:sz w:val="24"/>
          <w:szCs w:val="24"/>
          <w:lang w:eastAsia="zh-CN"/>
        </w:rPr>
        <w:t>7</w:t>
      </w:r>
      <w:r>
        <w:rPr>
          <w:rFonts w:ascii="Times New Roman" w:hAnsi="Times New Roman"/>
          <w:b/>
          <w:bCs/>
          <w:sz w:val="24"/>
          <w:szCs w:val="24"/>
        </w:rPr>
        <w:t>.6.1</w:t>
      </w:r>
      <w:r>
        <w:rPr>
          <w:rFonts w:ascii="Times New Roman" w:hAnsi="Times New Roman"/>
          <w:bCs/>
          <w:sz w:val="24"/>
          <w:szCs w:val="24"/>
        </w:rPr>
        <w:t xml:space="preserve"> </w:t>
      </w:r>
      <w:r>
        <w:rPr>
          <w:rFonts w:ascii="Times New Roman" w:hAnsi="Times New Roman"/>
          <w:bCs/>
          <w:sz w:val="24"/>
          <w:szCs w:val="24"/>
          <w:lang w:eastAsia="zh-CN"/>
        </w:rPr>
        <w:t xml:space="preserve"> 珊瑚骨料</w:t>
      </w:r>
      <w:r>
        <w:rPr>
          <w:rFonts w:ascii="Times New Roman" w:hAnsi="Times New Roman"/>
          <w:sz w:val="24"/>
          <w:szCs w:val="24"/>
        </w:rPr>
        <w:t>混凝土拌合物浇筑倾落的自由高度不应超过1.5m；当倾落高度大于1.5m时，应加设串筒、斜槽、溜管等装置。</w:t>
      </w:r>
    </w:p>
    <w:p>
      <w:pPr>
        <w:pStyle w:val="17"/>
        <w:spacing w:line="360" w:lineRule="auto"/>
        <w:rPr>
          <w:rFonts w:ascii="Times New Roman" w:hAnsi="Times New Roman"/>
          <w:sz w:val="24"/>
          <w:szCs w:val="24"/>
        </w:rPr>
      </w:pPr>
      <w:r>
        <w:rPr>
          <w:rFonts w:ascii="Times New Roman" w:hAnsi="Times New Roman"/>
          <w:b/>
          <w:bCs/>
          <w:sz w:val="24"/>
          <w:szCs w:val="24"/>
          <w:lang w:eastAsia="zh-CN"/>
        </w:rPr>
        <w:t>7</w:t>
      </w:r>
      <w:r>
        <w:rPr>
          <w:rFonts w:ascii="Times New Roman" w:hAnsi="Times New Roman"/>
          <w:b/>
          <w:bCs/>
          <w:sz w:val="24"/>
          <w:szCs w:val="24"/>
        </w:rPr>
        <w:t>.6.2</w:t>
      </w:r>
      <w:r>
        <w:rPr>
          <w:rFonts w:ascii="Times New Roman" w:hAnsi="Times New Roman"/>
          <w:bCs/>
          <w:sz w:val="24"/>
          <w:szCs w:val="24"/>
        </w:rPr>
        <w:t xml:space="preserve"> </w:t>
      </w:r>
      <w:r>
        <w:rPr>
          <w:rFonts w:ascii="Times New Roman" w:hAnsi="Times New Roman"/>
          <w:bCs/>
          <w:sz w:val="24"/>
          <w:szCs w:val="24"/>
          <w:lang w:eastAsia="zh-CN"/>
        </w:rPr>
        <w:t xml:space="preserve"> </w:t>
      </w:r>
      <w:r>
        <w:rPr>
          <w:rFonts w:ascii="Times New Roman" w:hAnsi="Times New Roman"/>
          <w:sz w:val="24"/>
          <w:szCs w:val="24"/>
          <w:lang w:eastAsia="zh-CN"/>
        </w:rPr>
        <w:t>珊瑚骨料</w:t>
      </w:r>
      <w:r>
        <w:rPr>
          <w:rFonts w:ascii="Times New Roman" w:hAnsi="Times New Roman"/>
          <w:sz w:val="24"/>
          <w:szCs w:val="24"/>
        </w:rPr>
        <w:t>混凝土的振捣应符合下列规定：</w:t>
      </w:r>
    </w:p>
    <w:p>
      <w:pPr>
        <w:pStyle w:val="17"/>
        <w:spacing w:line="360" w:lineRule="auto"/>
        <w:ind w:firstLine="482" w:firstLineChars="200"/>
        <w:rPr>
          <w:rFonts w:ascii="Times New Roman" w:hAnsi="Times New Roman"/>
          <w:sz w:val="24"/>
          <w:szCs w:val="24"/>
        </w:rPr>
      </w:pPr>
      <w:r>
        <w:rPr>
          <w:rFonts w:ascii="Times New Roman" w:hAnsi="Times New Roman"/>
          <w:b/>
          <w:bCs/>
          <w:sz w:val="24"/>
          <w:szCs w:val="24"/>
          <w:lang w:eastAsia="zh-CN"/>
        </w:rPr>
        <w:t>1</w:t>
      </w:r>
      <w:r>
        <w:rPr>
          <w:rFonts w:ascii="Times New Roman" w:hAnsi="Times New Roman"/>
          <w:sz w:val="24"/>
          <w:szCs w:val="24"/>
        </w:rPr>
        <w:t xml:space="preserve">  浇筑上表面积较大的构件，其厚度在200mm以下</w:t>
      </w:r>
      <w:r>
        <w:rPr>
          <w:rFonts w:ascii="Times New Roman" w:hAnsi="Times New Roman"/>
          <w:sz w:val="24"/>
          <w:szCs w:val="24"/>
          <w:lang w:eastAsia="zh-CN"/>
        </w:rPr>
        <w:t>时</w:t>
      </w:r>
      <w:r>
        <w:rPr>
          <w:rFonts w:ascii="Times New Roman" w:hAnsi="Times New Roman"/>
          <w:sz w:val="24"/>
          <w:szCs w:val="24"/>
        </w:rPr>
        <w:t>，可采用表面振动成型</w:t>
      </w:r>
      <w:r>
        <w:rPr>
          <w:rFonts w:ascii="Times New Roman" w:hAnsi="Times New Roman"/>
          <w:sz w:val="24"/>
          <w:szCs w:val="24"/>
          <w:lang w:eastAsia="zh-CN"/>
        </w:rPr>
        <w:t>；</w:t>
      </w:r>
      <w:r>
        <w:rPr>
          <w:rFonts w:ascii="Times New Roman" w:hAnsi="Times New Roman"/>
          <w:sz w:val="24"/>
          <w:szCs w:val="24"/>
        </w:rPr>
        <w:t>厚度大于200mm</w:t>
      </w:r>
      <w:r>
        <w:rPr>
          <w:rFonts w:ascii="Times New Roman" w:hAnsi="Times New Roman"/>
          <w:sz w:val="24"/>
          <w:szCs w:val="24"/>
          <w:lang w:eastAsia="zh-CN"/>
        </w:rPr>
        <w:t>时</w:t>
      </w:r>
      <w:r>
        <w:rPr>
          <w:rFonts w:ascii="Times New Roman" w:hAnsi="Times New Roman"/>
          <w:sz w:val="24"/>
          <w:szCs w:val="24"/>
        </w:rPr>
        <w:t>，宜先用插入式振捣器振捣密实后再采用表面振捣。</w:t>
      </w:r>
    </w:p>
    <w:p>
      <w:pPr>
        <w:pStyle w:val="17"/>
        <w:spacing w:line="360" w:lineRule="auto"/>
        <w:ind w:firstLine="482" w:firstLineChars="200"/>
        <w:rPr>
          <w:rFonts w:ascii="Times New Roman" w:hAnsi="Times New Roman"/>
          <w:sz w:val="24"/>
          <w:szCs w:val="24"/>
        </w:rPr>
      </w:pPr>
      <w:r>
        <w:rPr>
          <w:rFonts w:ascii="Times New Roman" w:hAnsi="Times New Roman"/>
          <w:b/>
          <w:bCs/>
          <w:sz w:val="24"/>
          <w:szCs w:val="24"/>
          <w:lang w:eastAsia="zh-CN"/>
        </w:rPr>
        <w:t>2</w:t>
      </w:r>
      <w:r>
        <w:rPr>
          <w:rFonts w:ascii="Times New Roman" w:hAnsi="Times New Roman"/>
          <w:sz w:val="24"/>
          <w:szCs w:val="24"/>
        </w:rPr>
        <w:t xml:space="preserve">  对采用干硬性混凝土的制品构件，应采用振动台表面加压成型。</w:t>
      </w:r>
    </w:p>
    <w:p>
      <w:pPr>
        <w:pStyle w:val="17"/>
        <w:spacing w:line="360" w:lineRule="auto"/>
        <w:ind w:firstLine="420"/>
        <w:rPr>
          <w:rFonts w:ascii="Times New Roman" w:hAnsi="Times New Roman"/>
          <w:sz w:val="24"/>
          <w:szCs w:val="24"/>
        </w:rPr>
      </w:pPr>
      <w:r>
        <w:rPr>
          <w:rFonts w:ascii="Times New Roman" w:hAnsi="Times New Roman"/>
          <w:b/>
          <w:bCs/>
          <w:sz w:val="24"/>
          <w:szCs w:val="24"/>
          <w:lang w:eastAsia="zh-CN"/>
        </w:rPr>
        <w:t>3</w:t>
      </w:r>
      <w:r>
        <w:rPr>
          <w:rFonts w:ascii="Times New Roman" w:hAnsi="Times New Roman"/>
          <w:sz w:val="24"/>
          <w:szCs w:val="24"/>
        </w:rPr>
        <w:t xml:space="preserve">  用插入式振捣器振捣时，插入间距不应大于棒的振动作用半径的一倍。连续多层浇筑时，插入式振捣器应插入下层拌合物约50mm。</w:t>
      </w:r>
    </w:p>
    <w:p>
      <w:pPr>
        <w:pStyle w:val="17"/>
        <w:spacing w:line="360" w:lineRule="auto"/>
        <w:ind w:firstLine="420"/>
        <w:rPr>
          <w:rFonts w:ascii="Times New Roman" w:hAnsi="Times New Roman"/>
          <w:sz w:val="24"/>
          <w:szCs w:val="24"/>
        </w:rPr>
      </w:pPr>
      <w:r>
        <w:rPr>
          <w:rFonts w:ascii="Times New Roman" w:hAnsi="Times New Roman"/>
          <w:b/>
          <w:bCs/>
          <w:sz w:val="24"/>
          <w:szCs w:val="24"/>
          <w:lang w:eastAsia="zh-CN"/>
        </w:rPr>
        <w:t>4</w:t>
      </w:r>
      <w:r>
        <w:rPr>
          <w:rFonts w:ascii="Times New Roman" w:hAnsi="Times New Roman"/>
          <w:sz w:val="24"/>
          <w:szCs w:val="24"/>
        </w:rPr>
        <w:t xml:space="preserve">  振捣时间不宜过长，可在10s～30s内选用，以拌合物表面泛浆为宜。</w:t>
      </w:r>
    </w:p>
    <w:p>
      <w:pPr>
        <w:pStyle w:val="17"/>
        <w:spacing w:line="360" w:lineRule="auto"/>
        <w:rPr>
          <w:rFonts w:ascii="Times New Roman" w:hAnsi="Times New Roman"/>
          <w:sz w:val="24"/>
          <w:szCs w:val="24"/>
        </w:rPr>
      </w:pPr>
      <w:r>
        <w:rPr>
          <w:rFonts w:ascii="Times New Roman" w:hAnsi="Times New Roman"/>
          <w:b/>
          <w:bCs/>
          <w:sz w:val="24"/>
          <w:szCs w:val="24"/>
          <w:lang w:eastAsia="zh-CN"/>
        </w:rPr>
        <w:t>7</w:t>
      </w:r>
      <w:r>
        <w:rPr>
          <w:rFonts w:ascii="Times New Roman" w:hAnsi="Times New Roman"/>
          <w:b/>
          <w:bCs/>
          <w:sz w:val="24"/>
          <w:szCs w:val="24"/>
        </w:rPr>
        <w:t>.6.3</w:t>
      </w:r>
      <w:r>
        <w:rPr>
          <w:rFonts w:ascii="Times New Roman" w:hAnsi="Times New Roman"/>
          <w:bCs/>
          <w:sz w:val="24"/>
          <w:szCs w:val="24"/>
        </w:rPr>
        <w:t xml:space="preserve"> </w:t>
      </w:r>
      <w:r>
        <w:rPr>
          <w:rFonts w:ascii="Times New Roman" w:hAnsi="Times New Roman"/>
          <w:bCs/>
          <w:sz w:val="24"/>
          <w:szCs w:val="24"/>
          <w:lang w:eastAsia="zh-CN"/>
        </w:rPr>
        <w:t xml:space="preserve"> </w:t>
      </w:r>
      <w:r>
        <w:rPr>
          <w:rFonts w:ascii="Times New Roman" w:hAnsi="Times New Roman"/>
          <w:sz w:val="24"/>
          <w:szCs w:val="24"/>
        </w:rPr>
        <w:t>对现浇竖向构件，应分层浇筑，且分层厚度不宜大于300mm。</w:t>
      </w:r>
    </w:p>
    <w:p>
      <w:pPr>
        <w:pStyle w:val="17"/>
        <w:spacing w:line="360" w:lineRule="auto"/>
        <w:rPr>
          <w:rFonts w:ascii="Times New Roman" w:hAnsi="Times New Roman"/>
          <w:sz w:val="24"/>
          <w:szCs w:val="24"/>
        </w:rPr>
      </w:pPr>
      <w:r>
        <w:rPr>
          <w:rFonts w:ascii="Times New Roman" w:hAnsi="Times New Roman"/>
          <w:b/>
          <w:bCs/>
          <w:sz w:val="24"/>
          <w:szCs w:val="24"/>
          <w:lang w:eastAsia="zh-CN"/>
        </w:rPr>
        <w:t>7</w:t>
      </w:r>
      <w:r>
        <w:rPr>
          <w:rFonts w:ascii="Times New Roman" w:hAnsi="Times New Roman"/>
          <w:b/>
          <w:bCs/>
          <w:sz w:val="24"/>
          <w:szCs w:val="24"/>
        </w:rPr>
        <w:t>.6.</w:t>
      </w:r>
      <w:r>
        <w:rPr>
          <w:rFonts w:ascii="Times New Roman" w:hAnsi="Times New Roman"/>
          <w:b/>
          <w:bCs/>
          <w:sz w:val="24"/>
          <w:szCs w:val="24"/>
          <w:lang w:eastAsia="zh-CN"/>
        </w:rPr>
        <w:t>4</w:t>
      </w:r>
      <w:r>
        <w:rPr>
          <w:rFonts w:ascii="Times New Roman" w:hAnsi="Times New Roman"/>
          <w:bCs/>
          <w:sz w:val="24"/>
          <w:szCs w:val="24"/>
        </w:rPr>
        <w:t xml:space="preserve"> </w:t>
      </w:r>
      <w:r>
        <w:rPr>
          <w:rFonts w:ascii="Times New Roman" w:hAnsi="Times New Roman"/>
          <w:bCs/>
          <w:sz w:val="24"/>
          <w:szCs w:val="24"/>
          <w:lang w:eastAsia="zh-CN"/>
        </w:rPr>
        <w:t xml:space="preserve"> </w:t>
      </w:r>
      <w:r>
        <w:rPr>
          <w:rFonts w:ascii="Times New Roman" w:hAnsi="Times New Roman"/>
          <w:sz w:val="24"/>
          <w:szCs w:val="24"/>
        </w:rPr>
        <w:t>混凝土构件成型后，在强度达到1.2MPa以前，不得在构件上踩踏、堆放物料。</w:t>
      </w:r>
    </w:p>
    <w:p>
      <w:pPr>
        <w:spacing w:beforeLines="100" w:afterLines="100" w:line="300" w:lineRule="auto"/>
        <w:jc w:val="center"/>
        <w:outlineLvl w:val="1"/>
        <w:rPr>
          <w:b/>
          <w:bCs/>
          <w:sz w:val="24"/>
          <w:szCs w:val="24"/>
        </w:rPr>
      </w:pPr>
      <w:bookmarkStart w:id="390" w:name="_Toc472351371"/>
      <w:bookmarkStart w:id="391" w:name="_Toc509849545"/>
      <w:bookmarkStart w:id="392" w:name="_Toc13315"/>
      <w:bookmarkStart w:id="393" w:name="_Toc513811971"/>
      <w:bookmarkStart w:id="394" w:name="_Toc15053072"/>
      <w:bookmarkStart w:id="395" w:name="_Toc486247801"/>
      <w:bookmarkStart w:id="396" w:name="_Toc19180"/>
      <w:bookmarkStart w:id="397" w:name="_Toc514685658"/>
      <w:r>
        <w:rPr>
          <w:b/>
          <w:bCs/>
          <w:sz w:val="24"/>
          <w:szCs w:val="24"/>
        </w:rPr>
        <w:t>7.7 养护</w:t>
      </w:r>
      <w:bookmarkEnd w:id="390"/>
      <w:bookmarkEnd w:id="391"/>
      <w:bookmarkEnd w:id="392"/>
      <w:bookmarkEnd w:id="393"/>
      <w:bookmarkEnd w:id="394"/>
      <w:bookmarkEnd w:id="395"/>
      <w:bookmarkEnd w:id="396"/>
      <w:bookmarkEnd w:id="397"/>
    </w:p>
    <w:p>
      <w:pPr>
        <w:pStyle w:val="17"/>
        <w:spacing w:line="360" w:lineRule="auto"/>
        <w:rPr>
          <w:rFonts w:ascii="Times New Roman" w:hAnsi="Times New Roman"/>
          <w:sz w:val="24"/>
          <w:szCs w:val="24"/>
        </w:rPr>
      </w:pPr>
      <w:r>
        <w:rPr>
          <w:rFonts w:ascii="Times New Roman" w:hAnsi="Times New Roman"/>
          <w:b/>
          <w:bCs/>
          <w:sz w:val="24"/>
          <w:szCs w:val="24"/>
          <w:lang w:eastAsia="zh-CN"/>
        </w:rPr>
        <w:t>7</w:t>
      </w:r>
      <w:r>
        <w:rPr>
          <w:rFonts w:ascii="Times New Roman" w:hAnsi="Times New Roman"/>
          <w:b/>
          <w:bCs/>
          <w:sz w:val="24"/>
          <w:szCs w:val="24"/>
        </w:rPr>
        <w:t>.7.1</w:t>
      </w:r>
      <w:r>
        <w:rPr>
          <w:rFonts w:ascii="Times New Roman" w:hAnsi="Times New Roman"/>
          <w:bCs/>
          <w:sz w:val="24"/>
          <w:szCs w:val="24"/>
          <w:lang w:eastAsia="zh-CN"/>
        </w:rPr>
        <w:t xml:space="preserve"> </w:t>
      </w:r>
      <w:r>
        <w:rPr>
          <w:rFonts w:ascii="Times New Roman" w:hAnsi="Times New Roman"/>
          <w:bCs/>
          <w:sz w:val="24"/>
          <w:szCs w:val="24"/>
        </w:rPr>
        <w:t xml:space="preserve"> </w:t>
      </w:r>
      <w:r>
        <w:rPr>
          <w:rFonts w:ascii="Times New Roman" w:hAnsi="Times New Roman"/>
          <w:bCs/>
          <w:sz w:val="24"/>
          <w:szCs w:val="24"/>
          <w:lang w:eastAsia="zh-CN"/>
        </w:rPr>
        <w:t>珊瑚骨料</w:t>
      </w:r>
      <w:r>
        <w:rPr>
          <w:rFonts w:ascii="Times New Roman" w:hAnsi="Times New Roman"/>
          <w:sz w:val="24"/>
          <w:szCs w:val="24"/>
        </w:rPr>
        <w:t>混凝土浇筑成型后应及时覆盖和保湿养护。</w:t>
      </w:r>
    </w:p>
    <w:p>
      <w:pPr>
        <w:pStyle w:val="17"/>
        <w:spacing w:line="360" w:lineRule="auto"/>
        <w:rPr>
          <w:rFonts w:ascii="Times New Roman" w:hAnsi="Times New Roman"/>
          <w:sz w:val="24"/>
          <w:szCs w:val="24"/>
        </w:rPr>
      </w:pPr>
      <w:r>
        <w:rPr>
          <w:rFonts w:ascii="Times New Roman" w:hAnsi="Times New Roman"/>
          <w:b/>
          <w:bCs/>
          <w:sz w:val="24"/>
          <w:szCs w:val="24"/>
          <w:lang w:eastAsia="zh-CN"/>
        </w:rPr>
        <w:t>7</w:t>
      </w:r>
      <w:r>
        <w:rPr>
          <w:rFonts w:ascii="Times New Roman" w:hAnsi="Times New Roman"/>
          <w:b/>
          <w:bCs/>
          <w:sz w:val="24"/>
          <w:szCs w:val="24"/>
        </w:rPr>
        <w:t>.7.2</w:t>
      </w:r>
      <w:r>
        <w:rPr>
          <w:rFonts w:ascii="Times New Roman" w:hAnsi="Times New Roman"/>
          <w:bCs/>
          <w:sz w:val="24"/>
          <w:szCs w:val="24"/>
          <w:lang w:eastAsia="zh-CN"/>
        </w:rPr>
        <w:t xml:space="preserve"> </w:t>
      </w:r>
      <w:r>
        <w:rPr>
          <w:rFonts w:ascii="Times New Roman" w:hAnsi="Times New Roman"/>
          <w:bCs/>
          <w:sz w:val="24"/>
          <w:szCs w:val="24"/>
        </w:rPr>
        <w:t xml:space="preserve"> </w:t>
      </w:r>
      <w:r>
        <w:rPr>
          <w:rFonts w:ascii="Times New Roman" w:hAnsi="Times New Roman"/>
          <w:bCs/>
          <w:sz w:val="24"/>
          <w:szCs w:val="24"/>
          <w:lang w:eastAsia="zh-CN"/>
        </w:rPr>
        <w:t>珊瑚骨料</w:t>
      </w:r>
      <w:r>
        <w:rPr>
          <w:rFonts w:ascii="Times New Roman" w:hAnsi="Times New Roman"/>
          <w:sz w:val="24"/>
          <w:szCs w:val="24"/>
        </w:rPr>
        <w:t>混凝土采用自然养护时，应符合下列规定：</w:t>
      </w:r>
    </w:p>
    <w:p>
      <w:pPr>
        <w:pStyle w:val="17"/>
        <w:spacing w:line="360" w:lineRule="auto"/>
        <w:ind w:firstLine="435"/>
        <w:rPr>
          <w:rFonts w:ascii="Times New Roman" w:hAnsi="Times New Roman"/>
          <w:sz w:val="24"/>
          <w:szCs w:val="24"/>
        </w:rPr>
      </w:pPr>
      <w:r>
        <w:rPr>
          <w:rFonts w:ascii="Times New Roman" w:hAnsi="Times New Roman"/>
          <w:b/>
          <w:bCs/>
          <w:sz w:val="24"/>
          <w:szCs w:val="24"/>
        </w:rPr>
        <w:t>1</w:t>
      </w:r>
      <w:r>
        <w:rPr>
          <w:rFonts w:ascii="Times New Roman" w:hAnsi="Times New Roman"/>
          <w:sz w:val="24"/>
          <w:szCs w:val="24"/>
        </w:rPr>
        <w:t xml:space="preserve">  采用普通硅酸盐水泥和硅酸盐水泥拌制的</w:t>
      </w:r>
      <w:r>
        <w:rPr>
          <w:rFonts w:ascii="Times New Roman" w:hAnsi="Times New Roman"/>
          <w:sz w:val="24"/>
          <w:szCs w:val="24"/>
          <w:lang w:eastAsia="zh-CN"/>
        </w:rPr>
        <w:t>珊瑚骨料</w:t>
      </w:r>
      <w:r>
        <w:rPr>
          <w:rFonts w:ascii="Times New Roman" w:hAnsi="Times New Roman"/>
          <w:sz w:val="24"/>
          <w:szCs w:val="24"/>
        </w:rPr>
        <w:t>混凝土，湿养护时间不应少于7d；用矿渣水泥、粉煤灰水泥、火山灰水泥拌制的</w:t>
      </w:r>
      <w:r>
        <w:rPr>
          <w:rFonts w:ascii="Times New Roman" w:hAnsi="Times New Roman"/>
          <w:sz w:val="24"/>
          <w:szCs w:val="24"/>
          <w:lang w:eastAsia="zh-CN"/>
        </w:rPr>
        <w:t>珊瑚骨料</w:t>
      </w:r>
      <w:r>
        <w:rPr>
          <w:rFonts w:ascii="Times New Roman" w:hAnsi="Times New Roman"/>
          <w:sz w:val="24"/>
          <w:szCs w:val="24"/>
        </w:rPr>
        <w:t>混凝土及在施工中掺缓凝型外加剂的混凝土，湿养护时间不应少于14d；</w:t>
      </w:r>
    </w:p>
    <w:p>
      <w:pPr>
        <w:pStyle w:val="17"/>
        <w:spacing w:line="360" w:lineRule="auto"/>
        <w:ind w:firstLine="435"/>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w:t>
      </w:r>
      <w:r>
        <w:rPr>
          <w:rFonts w:ascii="Times New Roman" w:hAnsi="Times New Roman"/>
          <w:sz w:val="24"/>
          <w:szCs w:val="24"/>
          <w:lang w:eastAsia="zh-CN"/>
        </w:rPr>
        <w:t>珊瑚骨料</w:t>
      </w:r>
      <w:r>
        <w:rPr>
          <w:rFonts w:ascii="Times New Roman" w:hAnsi="Times New Roman"/>
          <w:sz w:val="24"/>
          <w:szCs w:val="24"/>
        </w:rPr>
        <w:t>混凝土可采用塑料薄膜覆盖养护。</w:t>
      </w:r>
    </w:p>
    <w:p>
      <w:pPr>
        <w:pStyle w:val="17"/>
        <w:spacing w:line="360" w:lineRule="auto"/>
        <w:rPr>
          <w:rFonts w:ascii="Times New Roman" w:hAnsi="Times New Roman"/>
          <w:sz w:val="24"/>
          <w:szCs w:val="24"/>
        </w:rPr>
      </w:pPr>
      <w:r>
        <w:rPr>
          <w:rFonts w:ascii="Times New Roman" w:hAnsi="Times New Roman"/>
          <w:b/>
          <w:bCs/>
          <w:sz w:val="24"/>
          <w:szCs w:val="24"/>
          <w:lang w:eastAsia="zh-CN"/>
        </w:rPr>
        <w:t>7</w:t>
      </w:r>
      <w:r>
        <w:rPr>
          <w:rFonts w:ascii="Times New Roman" w:hAnsi="Times New Roman"/>
          <w:b/>
          <w:bCs/>
          <w:sz w:val="24"/>
          <w:szCs w:val="24"/>
        </w:rPr>
        <w:t>.7.3</w:t>
      </w:r>
      <w:r>
        <w:rPr>
          <w:rFonts w:ascii="Times New Roman" w:hAnsi="Times New Roman"/>
          <w:bCs/>
          <w:sz w:val="24"/>
          <w:szCs w:val="24"/>
          <w:lang w:eastAsia="zh-CN"/>
        </w:rPr>
        <w:t xml:space="preserve"> </w:t>
      </w:r>
      <w:r>
        <w:rPr>
          <w:rFonts w:ascii="Times New Roman" w:hAnsi="Times New Roman"/>
          <w:bCs/>
          <w:sz w:val="24"/>
          <w:szCs w:val="24"/>
        </w:rPr>
        <w:t xml:space="preserve"> </w:t>
      </w:r>
      <w:r>
        <w:rPr>
          <w:rFonts w:ascii="Times New Roman" w:hAnsi="Times New Roman"/>
          <w:sz w:val="24"/>
          <w:szCs w:val="24"/>
          <w:lang w:eastAsia="zh-CN"/>
        </w:rPr>
        <w:t>珊瑚骨料</w:t>
      </w:r>
      <w:r>
        <w:rPr>
          <w:rFonts w:ascii="Times New Roman" w:hAnsi="Times New Roman"/>
          <w:sz w:val="24"/>
          <w:szCs w:val="24"/>
        </w:rPr>
        <w:t>混凝土构件采用蒸汽养护时，应符合下列规定：</w:t>
      </w:r>
    </w:p>
    <w:p>
      <w:pPr>
        <w:pStyle w:val="17"/>
        <w:spacing w:line="360" w:lineRule="auto"/>
        <w:ind w:firstLine="482" w:firstLineChars="200"/>
        <w:rPr>
          <w:rFonts w:ascii="Times New Roman" w:hAnsi="Times New Roman"/>
          <w:sz w:val="24"/>
          <w:szCs w:val="24"/>
          <w:lang w:eastAsia="zh-CN"/>
        </w:rPr>
      </w:pPr>
      <w:r>
        <w:rPr>
          <w:rFonts w:ascii="Times New Roman" w:hAnsi="Times New Roman"/>
          <w:b/>
          <w:bCs/>
          <w:sz w:val="24"/>
          <w:szCs w:val="24"/>
        </w:rPr>
        <w:t>1</w:t>
      </w:r>
      <w:r>
        <w:rPr>
          <w:rFonts w:ascii="Times New Roman" w:hAnsi="Times New Roman"/>
          <w:sz w:val="24"/>
          <w:szCs w:val="24"/>
        </w:rPr>
        <w:t xml:space="preserve">  养护应分为静停、升温、恒温和降温四个阶段；混凝土成型后的静停时间不宜少于2h，升温速度不宜超过25℃</w:t>
      </w:r>
      <w:r>
        <w:rPr>
          <w:rFonts w:ascii="Times New Roman" w:hAnsi="Times New Roman"/>
          <w:sz w:val="24"/>
          <w:szCs w:val="24"/>
          <w:lang w:eastAsia="zh-CN"/>
        </w:rPr>
        <w:t>/h</w:t>
      </w:r>
      <w:r>
        <w:rPr>
          <w:rFonts w:ascii="Times New Roman" w:hAnsi="Times New Roman"/>
          <w:sz w:val="24"/>
          <w:szCs w:val="24"/>
        </w:rPr>
        <w:t>，降温速度不宜超过20℃</w:t>
      </w:r>
      <w:r>
        <w:rPr>
          <w:rFonts w:ascii="Times New Roman" w:hAnsi="Times New Roman"/>
          <w:sz w:val="24"/>
          <w:szCs w:val="24"/>
          <w:lang w:eastAsia="zh-CN"/>
        </w:rPr>
        <w:t>/h</w:t>
      </w:r>
      <w:r>
        <w:rPr>
          <w:rFonts w:ascii="Times New Roman" w:hAnsi="Times New Roman"/>
          <w:sz w:val="24"/>
          <w:szCs w:val="24"/>
        </w:rPr>
        <w:t>，最高和恒温温度不宜超过65℃</w:t>
      </w:r>
      <w:r>
        <w:rPr>
          <w:rFonts w:ascii="Times New Roman" w:hAnsi="Times New Roman"/>
          <w:sz w:val="24"/>
          <w:szCs w:val="24"/>
          <w:lang w:eastAsia="zh-CN"/>
        </w:rPr>
        <w:t>；</w:t>
      </w:r>
    </w:p>
    <w:p>
      <w:pPr>
        <w:pStyle w:val="17"/>
        <w:spacing w:line="360" w:lineRule="auto"/>
        <w:ind w:firstLine="482" w:firstLineChars="200"/>
        <w:rPr>
          <w:rFonts w:ascii="Times New Roman" w:hAnsi="Times New Roman"/>
          <w:sz w:val="24"/>
          <w:szCs w:val="24"/>
        </w:rPr>
        <w:sectPr>
          <w:pgSz w:w="11906" w:h="16838"/>
          <w:pgMar w:top="2211" w:right="2211" w:bottom="2211" w:left="2211" w:header="851" w:footer="1814" w:gutter="0"/>
          <w:cols w:space="720" w:num="1"/>
          <w:docGrid w:type="lines" w:linePitch="312" w:charSpace="0"/>
        </w:sectPr>
      </w:pPr>
      <w:r>
        <w:rPr>
          <w:rFonts w:ascii="Times New Roman" w:hAnsi="Times New Roman"/>
          <w:b/>
          <w:bCs/>
          <w:sz w:val="24"/>
          <w:szCs w:val="24"/>
        </w:rPr>
        <w:t>2</w:t>
      </w:r>
      <w:r>
        <w:rPr>
          <w:rFonts w:ascii="Times New Roman" w:hAnsi="Times New Roman"/>
          <w:sz w:val="24"/>
          <w:szCs w:val="24"/>
        </w:rPr>
        <w:t xml:space="preserve">  混凝土构件在出池或撤除养护措施前，应进行温度测量，当表面与外界温差不大于20℃时，构件方可出池或撤除养护措施。</w:t>
      </w:r>
      <w:r>
        <w:rPr>
          <w:rFonts w:ascii="Times New Roman" w:hAnsi="Times New Roman"/>
          <w:sz w:val="24"/>
          <w:szCs w:val="24"/>
        </w:rPr>
        <w:cr/>
      </w:r>
    </w:p>
    <w:p>
      <w:pPr>
        <w:pStyle w:val="50"/>
        <w:spacing w:before="312" w:after="312"/>
      </w:pPr>
      <w:bookmarkStart w:id="398" w:name="_Toc238356697"/>
      <w:bookmarkStart w:id="399" w:name="_Toc513811972"/>
      <w:bookmarkStart w:id="400" w:name="_Toc243285265"/>
      <w:bookmarkStart w:id="401" w:name="_Toc245290395"/>
      <w:bookmarkStart w:id="402" w:name="_Toc245291086"/>
      <w:bookmarkStart w:id="403" w:name="_Toc245290873"/>
      <w:bookmarkStart w:id="404" w:name="_Toc242936871"/>
      <w:bookmarkStart w:id="405" w:name="_Toc514685659"/>
      <w:bookmarkStart w:id="406" w:name="_Toc236925633"/>
      <w:bookmarkStart w:id="407" w:name="_Toc237336843"/>
      <w:bookmarkStart w:id="408" w:name="_Toc15053073"/>
      <w:r>
        <w:t>8  质量检验和验收</w:t>
      </w:r>
      <w:bookmarkEnd w:id="398"/>
      <w:bookmarkEnd w:id="399"/>
      <w:bookmarkEnd w:id="400"/>
      <w:bookmarkEnd w:id="401"/>
      <w:bookmarkEnd w:id="402"/>
      <w:bookmarkEnd w:id="403"/>
      <w:bookmarkEnd w:id="404"/>
      <w:bookmarkEnd w:id="405"/>
      <w:bookmarkEnd w:id="406"/>
      <w:bookmarkEnd w:id="407"/>
      <w:bookmarkEnd w:id="408"/>
    </w:p>
    <w:p>
      <w:pPr>
        <w:spacing w:beforeLines="100" w:afterLines="100" w:line="300" w:lineRule="auto"/>
        <w:jc w:val="center"/>
        <w:outlineLvl w:val="1"/>
        <w:rPr>
          <w:b/>
          <w:bCs/>
          <w:sz w:val="24"/>
          <w:szCs w:val="24"/>
        </w:rPr>
      </w:pPr>
      <w:bookmarkStart w:id="409" w:name="_Toc175973444"/>
      <w:bookmarkStart w:id="410" w:name="_Toc245291087"/>
      <w:bookmarkStart w:id="411" w:name="_Toc245290874"/>
      <w:bookmarkStart w:id="412" w:name="_Toc243285266"/>
      <w:bookmarkStart w:id="413" w:name="_Toc237336845"/>
      <w:bookmarkStart w:id="414" w:name="_Toc236925635"/>
      <w:bookmarkStart w:id="415" w:name="_Toc238356698"/>
      <w:bookmarkStart w:id="416" w:name="_Toc513811973"/>
      <w:bookmarkStart w:id="417" w:name="_Toc245290396"/>
      <w:bookmarkStart w:id="418" w:name="_Toc514685660"/>
      <w:bookmarkStart w:id="419" w:name="_Toc15053074"/>
      <w:bookmarkStart w:id="420" w:name="_Toc242936872"/>
      <w:r>
        <w:rPr>
          <w:b/>
          <w:bCs/>
          <w:sz w:val="24"/>
          <w:szCs w:val="24"/>
        </w:rPr>
        <w:t>8.</w:t>
      </w:r>
      <w:bookmarkEnd w:id="409"/>
      <w:r>
        <w:rPr>
          <w:b/>
          <w:bCs/>
          <w:sz w:val="24"/>
          <w:szCs w:val="24"/>
        </w:rPr>
        <w:t>1  原材料质量检验</w:t>
      </w:r>
      <w:bookmarkEnd w:id="410"/>
      <w:bookmarkEnd w:id="411"/>
      <w:bookmarkEnd w:id="412"/>
      <w:bookmarkEnd w:id="413"/>
      <w:bookmarkEnd w:id="414"/>
      <w:bookmarkEnd w:id="415"/>
      <w:bookmarkEnd w:id="416"/>
      <w:bookmarkEnd w:id="417"/>
      <w:bookmarkEnd w:id="418"/>
      <w:bookmarkEnd w:id="419"/>
      <w:bookmarkEnd w:id="420"/>
    </w:p>
    <w:p>
      <w:pPr>
        <w:pStyle w:val="64"/>
        <w:spacing w:line="360" w:lineRule="auto"/>
      </w:pPr>
      <w:bookmarkStart w:id="421" w:name="_Toc243285267"/>
      <w:bookmarkStart w:id="422" w:name="_Toc15053075"/>
      <w:bookmarkStart w:id="423" w:name="_Toc514685661"/>
      <w:r>
        <w:rPr>
          <w:b/>
        </w:rPr>
        <w:t xml:space="preserve">8.1.1 </w:t>
      </w:r>
      <w:r>
        <w:t xml:space="preserve"> 混凝土原材料进场时，</w:t>
      </w:r>
      <w:bookmarkStart w:id="424" w:name="OLE_LINK7"/>
      <w:bookmarkStart w:id="425" w:name="OLE_LINK8"/>
      <w:r>
        <w:rPr>
          <w:szCs w:val="21"/>
        </w:rPr>
        <w:t>应按规定批次验收</w:t>
      </w:r>
      <w:r>
        <w:t>型式检验报告、出厂检验报告或合格证等</w:t>
      </w:r>
      <w:r>
        <w:rPr>
          <w:szCs w:val="21"/>
        </w:rPr>
        <w:t>质量证明文件</w:t>
      </w:r>
      <w:bookmarkEnd w:id="424"/>
      <w:bookmarkEnd w:id="425"/>
      <w:r>
        <w:t>，外加剂产品还应具有使用说明书。</w:t>
      </w:r>
      <w:bookmarkEnd w:id="421"/>
      <w:bookmarkEnd w:id="422"/>
      <w:bookmarkEnd w:id="423"/>
    </w:p>
    <w:p>
      <w:pPr>
        <w:pStyle w:val="64"/>
        <w:spacing w:line="360" w:lineRule="auto"/>
      </w:pPr>
      <w:bookmarkStart w:id="426" w:name="_Toc514685662"/>
      <w:bookmarkStart w:id="427" w:name="_Toc15053076"/>
      <w:bookmarkStart w:id="428" w:name="_Toc243285268"/>
      <w:r>
        <w:rPr>
          <w:b/>
        </w:rPr>
        <w:t>8.1.2</w:t>
      </w:r>
      <w:r>
        <w:t xml:space="preserve">  原材料进场后，应进行进场检验；在混凝土生产过程中，还宜对混凝土原材料进行随机抽检。</w:t>
      </w:r>
      <w:bookmarkEnd w:id="426"/>
      <w:bookmarkEnd w:id="427"/>
      <w:bookmarkEnd w:id="428"/>
    </w:p>
    <w:p>
      <w:pPr>
        <w:pStyle w:val="64"/>
        <w:spacing w:line="360" w:lineRule="auto"/>
      </w:pPr>
      <w:bookmarkStart w:id="429" w:name="_Toc15053077"/>
      <w:bookmarkStart w:id="430" w:name="_Toc514685663"/>
      <w:bookmarkStart w:id="431" w:name="_Toc243285276"/>
      <w:r>
        <w:rPr>
          <w:b/>
        </w:rPr>
        <w:t>8.1.3</w:t>
      </w:r>
      <w:r>
        <w:t xml:space="preserve">  珊瑚粗骨料与珊瑚砂进场时，应提供出厂检验报告和最近一次的型式检验报告，并按国家现行标准《轻集料及其试验方法 第1部分：轻集料》GB/T 17431.1、《轻集料及其试验方法 第2部分：轻集料试验方法》GB/T 17431.2和《普通混凝土用砂、石质量及检验方法标准》JGJ52的规定进行复验。珊瑚粗骨料和珊瑚砂的检验项目应符合下列规定：</w:t>
      </w:r>
      <w:bookmarkEnd w:id="429"/>
      <w:bookmarkEnd w:id="430"/>
    </w:p>
    <w:p>
      <w:pPr>
        <w:pStyle w:val="17"/>
        <w:spacing w:line="360" w:lineRule="auto"/>
        <w:ind w:firstLine="482" w:firstLineChars="200"/>
        <w:rPr>
          <w:rFonts w:ascii="Times New Roman" w:hAnsi="Times New Roman"/>
          <w:sz w:val="24"/>
          <w:szCs w:val="24"/>
        </w:rPr>
      </w:pPr>
      <w:r>
        <w:rPr>
          <w:rFonts w:ascii="Times New Roman" w:hAnsi="Times New Roman"/>
          <w:b/>
          <w:bCs/>
          <w:sz w:val="24"/>
          <w:szCs w:val="24"/>
        </w:rPr>
        <w:t>1</w:t>
      </w:r>
      <w:r>
        <w:rPr>
          <w:rFonts w:ascii="Times New Roman" w:hAnsi="Times New Roman"/>
          <w:sz w:val="24"/>
          <w:szCs w:val="24"/>
        </w:rPr>
        <w:t xml:space="preserve">  对于</w:t>
      </w:r>
      <w:r>
        <w:rPr>
          <w:rFonts w:ascii="Times New Roman" w:hAnsi="Times New Roman"/>
          <w:sz w:val="24"/>
          <w:szCs w:val="24"/>
          <w:lang w:eastAsia="zh-CN"/>
        </w:rPr>
        <w:t>珊瑚</w:t>
      </w:r>
      <w:r>
        <w:rPr>
          <w:rFonts w:ascii="Times New Roman" w:hAnsi="Times New Roman"/>
          <w:sz w:val="24"/>
          <w:szCs w:val="24"/>
        </w:rPr>
        <w:t>粗骨料，检验项目应包括颗粒级配、</w:t>
      </w:r>
      <w:r>
        <w:rPr>
          <w:rFonts w:ascii="Times New Roman" w:hAnsi="Times New Roman"/>
          <w:sz w:val="24"/>
          <w:szCs w:val="24"/>
          <w:lang w:eastAsia="zh-CN"/>
        </w:rPr>
        <w:t>氯离子含量、表观密度、</w:t>
      </w:r>
      <w:r>
        <w:rPr>
          <w:rFonts w:ascii="Times New Roman" w:hAnsi="Times New Roman"/>
          <w:sz w:val="24"/>
          <w:szCs w:val="24"/>
        </w:rPr>
        <w:t>堆积密度、筒压强度和吸水率；</w:t>
      </w:r>
    </w:p>
    <w:p>
      <w:pPr>
        <w:pStyle w:val="17"/>
        <w:spacing w:line="360" w:lineRule="auto"/>
        <w:ind w:firstLine="482" w:firstLineChars="200"/>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对于</w:t>
      </w:r>
      <w:r>
        <w:rPr>
          <w:rFonts w:ascii="Times New Roman" w:hAnsi="Times New Roman"/>
          <w:sz w:val="24"/>
          <w:szCs w:val="24"/>
          <w:lang w:eastAsia="zh-CN"/>
        </w:rPr>
        <w:t>珊瑚砂</w:t>
      </w:r>
      <w:r>
        <w:rPr>
          <w:rFonts w:ascii="Times New Roman" w:hAnsi="Times New Roman"/>
          <w:sz w:val="24"/>
          <w:szCs w:val="24"/>
        </w:rPr>
        <w:t>，检验项目应包括颗粒级配、</w:t>
      </w:r>
      <w:r>
        <w:rPr>
          <w:rFonts w:ascii="Times New Roman" w:hAnsi="Times New Roman"/>
          <w:sz w:val="24"/>
          <w:szCs w:val="24"/>
          <w:lang w:eastAsia="zh-CN"/>
        </w:rPr>
        <w:t>氯离子含量、表观密度、</w:t>
      </w:r>
      <w:r>
        <w:rPr>
          <w:rFonts w:ascii="Times New Roman" w:hAnsi="Times New Roman"/>
          <w:sz w:val="24"/>
          <w:szCs w:val="24"/>
        </w:rPr>
        <w:t>堆积密度、</w:t>
      </w:r>
      <w:r>
        <w:rPr>
          <w:rFonts w:ascii="Times New Roman" w:hAnsi="Times New Roman"/>
          <w:sz w:val="24"/>
          <w:szCs w:val="24"/>
          <w:lang w:eastAsia="zh-CN"/>
        </w:rPr>
        <w:t>和</w:t>
      </w:r>
      <w:r>
        <w:rPr>
          <w:rFonts w:ascii="Times New Roman" w:hAnsi="Times New Roman"/>
          <w:sz w:val="24"/>
          <w:szCs w:val="24"/>
        </w:rPr>
        <w:t>吸水率。</w:t>
      </w:r>
    </w:p>
    <w:p>
      <w:pPr>
        <w:pStyle w:val="64"/>
        <w:spacing w:line="360" w:lineRule="auto"/>
      </w:pPr>
      <w:bookmarkStart w:id="432" w:name="_Toc15053078"/>
      <w:bookmarkStart w:id="433" w:name="_Toc514685664"/>
      <w:r>
        <w:rPr>
          <w:b/>
        </w:rPr>
        <w:t>8.1.4</w:t>
      </w:r>
      <w:r>
        <w:t xml:space="preserve">  骨料检验批量应符合下列规定：</w:t>
      </w:r>
      <w:bookmarkEnd w:id="432"/>
      <w:bookmarkEnd w:id="433"/>
    </w:p>
    <w:p>
      <w:pPr>
        <w:pStyle w:val="17"/>
        <w:spacing w:line="360" w:lineRule="auto"/>
        <w:ind w:firstLine="435"/>
        <w:rPr>
          <w:rFonts w:ascii="Times New Roman" w:hAnsi="Times New Roman"/>
          <w:sz w:val="24"/>
          <w:szCs w:val="24"/>
        </w:rPr>
      </w:pPr>
      <w:r>
        <w:rPr>
          <w:rFonts w:ascii="Times New Roman" w:hAnsi="Times New Roman"/>
          <w:b/>
          <w:bCs/>
          <w:sz w:val="24"/>
          <w:szCs w:val="24"/>
          <w:lang w:eastAsia="zh-CN"/>
        </w:rPr>
        <w:t>1</w:t>
      </w:r>
      <w:r>
        <w:rPr>
          <w:rFonts w:ascii="Times New Roman" w:hAnsi="Times New Roman"/>
          <w:sz w:val="24"/>
          <w:szCs w:val="24"/>
        </w:rPr>
        <w:t xml:space="preserve">  同一类别、同一规格骨料应每200m</w:t>
      </w:r>
      <w:r>
        <w:rPr>
          <w:rFonts w:ascii="Times New Roman" w:hAnsi="Times New Roman"/>
          <w:sz w:val="24"/>
          <w:szCs w:val="24"/>
          <w:vertAlign w:val="superscript"/>
        </w:rPr>
        <w:t>3</w:t>
      </w:r>
      <w:r>
        <w:rPr>
          <w:rFonts w:ascii="Times New Roman" w:hAnsi="Times New Roman"/>
          <w:sz w:val="24"/>
          <w:szCs w:val="24"/>
        </w:rPr>
        <w:t>为一批；</w:t>
      </w:r>
    </w:p>
    <w:p>
      <w:pPr>
        <w:pStyle w:val="17"/>
        <w:spacing w:line="360" w:lineRule="auto"/>
        <w:ind w:firstLine="435"/>
        <w:rPr>
          <w:rFonts w:ascii="Times New Roman" w:hAnsi="Times New Roman"/>
          <w:sz w:val="24"/>
          <w:szCs w:val="24"/>
        </w:rPr>
      </w:pPr>
      <w:r>
        <w:rPr>
          <w:rFonts w:ascii="Times New Roman" w:hAnsi="Times New Roman"/>
          <w:b/>
          <w:bCs/>
          <w:sz w:val="24"/>
          <w:szCs w:val="24"/>
          <w:lang w:eastAsia="zh-CN"/>
        </w:rPr>
        <w:t>2</w:t>
      </w:r>
      <w:r>
        <w:rPr>
          <w:rFonts w:ascii="Times New Roman" w:hAnsi="Times New Roman"/>
          <w:sz w:val="24"/>
          <w:szCs w:val="24"/>
        </w:rPr>
        <w:t xml:space="preserve">  不同批次或非连续供应的不足一个检验批量时，应作为一个检验批。</w:t>
      </w:r>
    </w:p>
    <w:p>
      <w:pPr>
        <w:pStyle w:val="64"/>
        <w:spacing w:line="360" w:lineRule="auto"/>
      </w:pPr>
      <w:bookmarkStart w:id="434" w:name="_Toc15053079"/>
      <w:bookmarkStart w:id="435" w:name="_Toc514685665"/>
      <w:r>
        <w:rPr>
          <w:b/>
        </w:rPr>
        <w:t>8.1.5</w:t>
      </w:r>
      <w:r>
        <w:t xml:space="preserve">  其它原材料的检验项目和检验批量应符合下列规定：</w:t>
      </w:r>
      <w:bookmarkEnd w:id="434"/>
      <w:bookmarkEnd w:id="435"/>
      <w:bookmarkStart w:id="436" w:name="_Toc243285274"/>
    </w:p>
    <w:p>
      <w:pPr>
        <w:spacing w:line="360" w:lineRule="auto"/>
        <w:ind w:firstLine="482" w:firstLineChars="200"/>
        <w:rPr>
          <w:sz w:val="24"/>
          <w:szCs w:val="24"/>
        </w:rPr>
      </w:pPr>
      <w:r>
        <w:rPr>
          <w:b/>
          <w:bCs/>
          <w:sz w:val="24"/>
          <w:szCs w:val="24"/>
        </w:rPr>
        <w:t>1</w:t>
      </w:r>
      <w:r>
        <w:rPr>
          <w:sz w:val="24"/>
          <w:szCs w:val="24"/>
        </w:rPr>
        <w:t xml:space="preserve">  水泥、矿物掺合料、外加剂、水等原材料的检验项目和检验批量应符合现行国家标准《混凝土质量控制标准》GB 50164的规定；</w:t>
      </w:r>
    </w:p>
    <w:bookmarkEnd w:id="436"/>
    <w:p>
      <w:pPr>
        <w:pStyle w:val="17"/>
        <w:spacing w:line="360" w:lineRule="auto"/>
        <w:ind w:firstLine="482" w:firstLineChars="200"/>
        <w:rPr>
          <w:rFonts w:ascii="Times New Roman" w:hAnsi="Times New Roman"/>
          <w:sz w:val="24"/>
          <w:szCs w:val="24"/>
        </w:rPr>
      </w:pPr>
      <w:r>
        <w:rPr>
          <w:rFonts w:ascii="Times New Roman" w:hAnsi="Times New Roman"/>
          <w:b/>
          <w:bCs/>
          <w:sz w:val="24"/>
          <w:szCs w:val="24"/>
          <w:lang w:eastAsia="zh-CN"/>
        </w:rPr>
        <w:t>2</w:t>
      </w:r>
      <w:r>
        <w:rPr>
          <w:rFonts w:ascii="Times New Roman" w:hAnsi="Times New Roman"/>
          <w:sz w:val="24"/>
          <w:szCs w:val="24"/>
        </w:rPr>
        <w:t xml:space="preserve">  不同批次或非连续供应的不足一个检验批量时，应作为一个检验批。</w:t>
      </w:r>
    </w:p>
    <w:p>
      <w:pPr>
        <w:pStyle w:val="64"/>
        <w:spacing w:line="360" w:lineRule="auto"/>
        <w:rPr>
          <w:b/>
        </w:rPr>
      </w:pPr>
      <w:bookmarkStart w:id="437" w:name="_Toc514685666"/>
      <w:bookmarkStart w:id="438" w:name="_Toc15053080"/>
      <w:r>
        <w:rPr>
          <w:b/>
        </w:rPr>
        <w:t>8.1.6</w:t>
      </w:r>
      <w:r>
        <w:t xml:space="preserve">  珊瑚骨料混凝土原材料的检验结果应符合本标准第4章的规定以及工程要求。</w:t>
      </w:r>
      <w:bookmarkEnd w:id="437"/>
      <w:bookmarkEnd w:id="438"/>
    </w:p>
    <w:bookmarkEnd w:id="431"/>
    <w:p>
      <w:pPr>
        <w:spacing w:beforeLines="100" w:afterLines="100" w:line="300" w:lineRule="auto"/>
        <w:jc w:val="center"/>
        <w:outlineLvl w:val="1"/>
        <w:rPr>
          <w:b/>
          <w:bCs/>
          <w:sz w:val="24"/>
          <w:szCs w:val="24"/>
        </w:rPr>
      </w:pPr>
      <w:bookmarkStart w:id="439" w:name="_Toc28692"/>
      <w:bookmarkStart w:id="440" w:name="_Toc514685667"/>
      <w:bookmarkStart w:id="441" w:name="_Toc15053081"/>
      <w:bookmarkStart w:id="442" w:name="_Toc513811974"/>
      <w:bookmarkStart w:id="443" w:name="_Toc486247804"/>
      <w:bookmarkStart w:id="444" w:name="_Toc509849548"/>
      <w:bookmarkStart w:id="445" w:name="_Toc472351374"/>
      <w:bookmarkStart w:id="446" w:name="_Toc2109"/>
      <w:bookmarkStart w:id="447" w:name="_Toc237336846"/>
      <w:bookmarkStart w:id="448" w:name="_Toc175973472"/>
      <w:bookmarkStart w:id="449" w:name="_Toc236925636"/>
      <w:bookmarkStart w:id="450" w:name="_Toc242936873"/>
      <w:bookmarkStart w:id="451" w:name="_Toc243285277"/>
      <w:bookmarkStart w:id="452" w:name="_Toc245290875"/>
      <w:bookmarkStart w:id="453" w:name="_Toc238356699"/>
      <w:bookmarkStart w:id="454" w:name="_Toc245290397"/>
      <w:bookmarkStart w:id="455" w:name="_Toc245291088"/>
      <w:r>
        <w:rPr>
          <w:b/>
          <w:bCs/>
          <w:sz w:val="24"/>
          <w:szCs w:val="24"/>
        </w:rPr>
        <w:t>8.2  珊瑚骨料混凝土性能检验</w:t>
      </w:r>
      <w:bookmarkEnd w:id="439"/>
      <w:bookmarkEnd w:id="440"/>
      <w:bookmarkEnd w:id="441"/>
      <w:bookmarkEnd w:id="442"/>
      <w:bookmarkEnd w:id="443"/>
      <w:bookmarkEnd w:id="444"/>
      <w:bookmarkEnd w:id="445"/>
      <w:bookmarkEnd w:id="446"/>
    </w:p>
    <w:p>
      <w:pPr>
        <w:spacing w:line="360" w:lineRule="auto"/>
        <w:rPr>
          <w:sz w:val="24"/>
          <w:szCs w:val="24"/>
        </w:rPr>
      </w:pPr>
      <w:r>
        <w:rPr>
          <w:b/>
          <w:bCs/>
          <w:sz w:val="24"/>
          <w:szCs w:val="24"/>
        </w:rPr>
        <w:t>8.2.1</w:t>
      </w:r>
      <w:r>
        <w:rPr>
          <w:bCs/>
          <w:sz w:val="24"/>
          <w:szCs w:val="24"/>
        </w:rPr>
        <w:t xml:space="preserve">  珊瑚骨料</w:t>
      </w:r>
      <w:r>
        <w:rPr>
          <w:sz w:val="24"/>
          <w:szCs w:val="24"/>
        </w:rPr>
        <w:t>混凝土拌合物性能检验应符合下列规定：</w:t>
      </w:r>
      <w:r>
        <w:rPr>
          <w:sz w:val="24"/>
          <w:szCs w:val="24"/>
        </w:rPr>
        <w:cr/>
      </w:r>
      <w:r>
        <w:rPr>
          <w:sz w:val="24"/>
          <w:szCs w:val="24"/>
        </w:rPr>
        <w:t xml:space="preserve">    </w:t>
      </w:r>
      <w:r>
        <w:rPr>
          <w:b/>
          <w:bCs/>
          <w:sz w:val="24"/>
          <w:szCs w:val="24"/>
        </w:rPr>
        <w:t>1</w:t>
      </w:r>
      <w:r>
        <w:rPr>
          <w:sz w:val="24"/>
          <w:szCs w:val="24"/>
        </w:rPr>
        <w:t xml:space="preserve">  在生产施工过程中，应在搅拌地点和浇筑地点分别对珊瑚骨料混凝土拌合物进行抽样检验；</w:t>
      </w:r>
    </w:p>
    <w:p>
      <w:pPr>
        <w:spacing w:line="360" w:lineRule="auto"/>
        <w:ind w:firstLine="482" w:firstLineChars="200"/>
        <w:rPr>
          <w:sz w:val="24"/>
          <w:szCs w:val="24"/>
        </w:rPr>
      </w:pPr>
      <w:r>
        <w:rPr>
          <w:b/>
          <w:bCs/>
          <w:sz w:val="24"/>
          <w:szCs w:val="24"/>
        </w:rPr>
        <w:t>2</w:t>
      </w:r>
      <w:r>
        <w:rPr>
          <w:sz w:val="24"/>
          <w:szCs w:val="24"/>
        </w:rPr>
        <w:t xml:space="preserve">  拌合物坍落度检验频率应符合现行国家标准《混凝土强度检验评定标准》GB/T 50107的规定；</w:t>
      </w:r>
    </w:p>
    <w:p>
      <w:pPr>
        <w:spacing w:line="360" w:lineRule="auto"/>
        <w:ind w:firstLine="482" w:firstLineChars="200"/>
        <w:rPr>
          <w:sz w:val="24"/>
          <w:szCs w:val="24"/>
        </w:rPr>
      </w:pPr>
      <w:r>
        <w:rPr>
          <w:b/>
          <w:bCs/>
          <w:sz w:val="24"/>
          <w:szCs w:val="24"/>
        </w:rPr>
        <w:t>3</w:t>
      </w:r>
      <w:r>
        <w:rPr>
          <w:sz w:val="24"/>
          <w:szCs w:val="24"/>
        </w:rPr>
        <w:t xml:space="preserve">  同一工程、同一配合比、采用同一批次水泥和外加剂的珊瑚骨料混凝土凝结时间应至少检验1次；</w:t>
      </w:r>
    </w:p>
    <w:p>
      <w:pPr>
        <w:spacing w:line="360" w:lineRule="auto"/>
        <w:ind w:firstLine="482" w:firstLineChars="200"/>
        <w:rPr>
          <w:sz w:val="24"/>
          <w:szCs w:val="24"/>
        </w:rPr>
      </w:pPr>
      <w:r>
        <w:rPr>
          <w:b/>
          <w:bCs/>
          <w:sz w:val="24"/>
          <w:szCs w:val="24"/>
        </w:rPr>
        <w:t>4</w:t>
      </w:r>
      <w:r>
        <w:rPr>
          <w:sz w:val="24"/>
          <w:szCs w:val="24"/>
        </w:rPr>
        <w:t xml:space="preserve">  同一工程、同一配合比的珊瑚骨料混凝土氯离子含量应至少检验1次。</w:t>
      </w:r>
    </w:p>
    <w:p>
      <w:pPr>
        <w:pStyle w:val="17"/>
        <w:spacing w:line="360" w:lineRule="auto"/>
        <w:rPr>
          <w:rFonts w:ascii="Times New Roman" w:hAnsi="Times New Roman"/>
          <w:sz w:val="24"/>
          <w:szCs w:val="24"/>
        </w:rPr>
      </w:pPr>
      <w:r>
        <w:rPr>
          <w:rFonts w:ascii="Times New Roman" w:hAnsi="Times New Roman"/>
          <w:b/>
          <w:bCs/>
          <w:sz w:val="24"/>
          <w:szCs w:val="24"/>
          <w:lang w:eastAsia="zh-CN"/>
        </w:rPr>
        <w:t>8</w:t>
      </w:r>
      <w:r>
        <w:rPr>
          <w:rFonts w:ascii="Times New Roman" w:hAnsi="Times New Roman"/>
          <w:b/>
          <w:bCs/>
          <w:sz w:val="24"/>
          <w:szCs w:val="24"/>
        </w:rPr>
        <w:t>.2.2</w:t>
      </w:r>
      <w:r>
        <w:rPr>
          <w:rFonts w:ascii="Times New Roman" w:hAnsi="Times New Roman"/>
          <w:bCs/>
          <w:sz w:val="24"/>
          <w:szCs w:val="24"/>
        </w:rPr>
        <w:t xml:space="preserve"> </w:t>
      </w:r>
      <w:r>
        <w:rPr>
          <w:rFonts w:ascii="Times New Roman" w:hAnsi="Times New Roman"/>
          <w:bCs/>
          <w:sz w:val="24"/>
          <w:szCs w:val="24"/>
          <w:lang w:eastAsia="zh-CN"/>
        </w:rPr>
        <w:t xml:space="preserve"> </w:t>
      </w:r>
      <w:r>
        <w:rPr>
          <w:rFonts w:ascii="Times New Roman" w:hAnsi="Times New Roman"/>
          <w:sz w:val="24"/>
          <w:szCs w:val="24"/>
        </w:rPr>
        <w:t>硬化混凝土性能检验应符合下列规定：</w:t>
      </w:r>
    </w:p>
    <w:p>
      <w:pPr>
        <w:pStyle w:val="17"/>
        <w:spacing w:line="360" w:lineRule="auto"/>
        <w:ind w:firstLine="482" w:firstLineChars="200"/>
        <w:rPr>
          <w:rFonts w:ascii="Times New Roman" w:hAnsi="Times New Roman"/>
          <w:sz w:val="24"/>
          <w:szCs w:val="24"/>
        </w:rPr>
      </w:pPr>
      <w:r>
        <w:rPr>
          <w:rFonts w:ascii="Times New Roman" w:hAnsi="Times New Roman"/>
          <w:b/>
          <w:bCs/>
          <w:sz w:val="24"/>
          <w:szCs w:val="24"/>
        </w:rPr>
        <w:t>1</w:t>
      </w:r>
      <w:r>
        <w:rPr>
          <w:rFonts w:ascii="Times New Roman" w:hAnsi="Times New Roman"/>
          <w:sz w:val="24"/>
          <w:szCs w:val="24"/>
        </w:rPr>
        <w:t xml:space="preserve">  强度检验评定应符合现行国家标准《混凝土强度检验评定标准》GB/T 50107的规定，其他力学性能检验应符合现行国家标准《普通混凝土力学性能试验方法标准》GB/T 50081的相关规定和设计要求；</w:t>
      </w:r>
    </w:p>
    <w:p>
      <w:pPr>
        <w:pStyle w:val="17"/>
        <w:spacing w:line="360" w:lineRule="auto"/>
        <w:ind w:firstLine="482" w:firstLineChars="200"/>
        <w:rPr>
          <w:rFonts w:ascii="Times New Roman" w:hAnsi="Times New Roman"/>
          <w:sz w:val="24"/>
          <w:szCs w:val="24"/>
        </w:rPr>
      </w:pPr>
      <w:r>
        <w:rPr>
          <w:rFonts w:ascii="Times New Roman" w:hAnsi="Times New Roman"/>
          <w:b/>
          <w:bCs/>
          <w:sz w:val="24"/>
          <w:szCs w:val="24"/>
          <w:lang w:eastAsia="zh-CN"/>
        </w:rPr>
        <w:t>2</w:t>
      </w:r>
      <w:r>
        <w:rPr>
          <w:rFonts w:ascii="Times New Roman" w:hAnsi="Times New Roman"/>
          <w:sz w:val="24"/>
          <w:szCs w:val="24"/>
        </w:rPr>
        <w:t xml:space="preserve">  耐久性能检验评定应符合现行行业标准《混凝土耐久性检验评定标准》JGJ/T 193的规定；</w:t>
      </w:r>
    </w:p>
    <w:p>
      <w:pPr>
        <w:pStyle w:val="17"/>
        <w:spacing w:line="360" w:lineRule="auto"/>
        <w:ind w:firstLine="482" w:firstLineChars="200"/>
        <w:rPr>
          <w:rFonts w:ascii="Times New Roman" w:hAnsi="Times New Roman"/>
          <w:sz w:val="24"/>
          <w:szCs w:val="24"/>
        </w:rPr>
      </w:pPr>
      <w:r>
        <w:rPr>
          <w:rFonts w:ascii="Times New Roman" w:hAnsi="Times New Roman"/>
          <w:b/>
          <w:bCs/>
          <w:sz w:val="24"/>
          <w:szCs w:val="24"/>
          <w:lang w:eastAsia="zh-CN"/>
        </w:rPr>
        <w:t>3</w:t>
      </w:r>
      <w:r>
        <w:rPr>
          <w:rFonts w:ascii="Times New Roman" w:hAnsi="Times New Roman"/>
          <w:sz w:val="24"/>
          <w:szCs w:val="24"/>
        </w:rPr>
        <w:t xml:space="preserve">  长期性能检验规则可按现行行业标准《混凝土耐久性检验评定标准》JGJ/T 193中耐久性检验的有关规定执行；</w:t>
      </w:r>
    </w:p>
    <w:p>
      <w:pPr>
        <w:pStyle w:val="17"/>
        <w:spacing w:line="360" w:lineRule="auto"/>
        <w:rPr>
          <w:rFonts w:ascii="Times New Roman" w:hAnsi="Times New Roman"/>
          <w:sz w:val="24"/>
          <w:szCs w:val="24"/>
        </w:rPr>
      </w:pPr>
      <w:r>
        <w:rPr>
          <w:rFonts w:ascii="Times New Roman" w:hAnsi="Times New Roman"/>
          <w:b/>
          <w:bCs/>
          <w:sz w:val="24"/>
          <w:szCs w:val="24"/>
          <w:lang w:eastAsia="zh-CN"/>
        </w:rPr>
        <w:t>8.2.3</w:t>
      </w:r>
      <w:r>
        <w:rPr>
          <w:rFonts w:ascii="Times New Roman" w:hAnsi="Times New Roman"/>
          <w:bCs/>
          <w:sz w:val="24"/>
          <w:szCs w:val="24"/>
        </w:rPr>
        <w:t xml:space="preserve"> </w:t>
      </w:r>
      <w:r>
        <w:rPr>
          <w:rFonts w:ascii="Times New Roman" w:hAnsi="Times New Roman"/>
          <w:bCs/>
          <w:sz w:val="24"/>
          <w:szCs w:val="24"/>
          <w:lang w:eastAsia="zh-CN"/>
        </w:rPr>
        <w:t xml:space="preserve"> 珊瑚骨料</w:t>
      </w:r>
      <w:r>
        <w:rPr>
          <w:rFonts w:ascii="Times New Roman" w:hAnsi="Times New Roman"/>
          <w:sz w:val="24"/>
          <w:szCs w:val="24"/>
        </w:rPr>
        <w:t>混凝土拌合物性能、力学性能、长期性能和耐久性能的测定，应分别符合现行国家标准《普通混凝土拌合物性能试验方法标准》GB/T 50080、《普通混凝土力学性能试验方法标准》GB/T 50081和《普通混凝土长期性能和耐久性能试验方法标准》GB/T 50082的规定。</w:t>
      </w:r>
    </w:p>
    <w:p>
      <w:pPr>
        <w:pStyle w:val="17"/>
        <w:spacing w:line="360" w:lineRule="auto"/>
        <w:rPr>
          <w:rFonts w:ascii="Times New Roman" w:hAnsi="Times New Roman"/>
          <w:bCs/>
          <w:sz w:val="24"/>
          <w:szCs w:val="24"/>
          <w:lang w:eastAsia="zh-CN"/>
        </w:rPr>
      </w:pPr>
      <w:r>
        <w:rPr>
          <w:rFonts w:ascii="Times New Roman" w:hAnsi="Times New Roman"/>
          <w:b/>
          <w:bCs/>
          <w:sz w:val="24"/>
          <w:szCs w:val="24"/>
          <w:lang w:eastAsia="zh-CN"/>
        </w:rPr>
        <w:t>8.2.4</w:t>
      </w:r>
      <w:r>
        <w:rPr>
          <w:rFonts w:ascii="Times New Roman" w:hAnsi="Times New Roman"/>
          <w:bCs/>
          <w:sz w:val="24"/>
          <w:szCs w:val="24"/>
          <w:lang w:eastAsia="zh-CN"/>
        </w:rPr>
        <w:t xml:space="preserve">  珊瑚骨料混凝土性能的检验结果应符合本标准第4章的规定以及设计与施工的要求。</w:t>
      </w:r>
    </w:p>
    <w:bookmarkEnd w:id="447"/>
    <w:bookmarkEnd w:id="448"/>
    <w:bookmarkEnd w:id="449"/>
    <w:bookmarkEnd w:id="450"/>
    <w:bookmarkEnd w:id="451"/>
    <w:bookmarkEnd w:id="452"/>
    <w:bookmarkEnd w:id="453"/>
    <w:bookmarkEnd w:id="454"/>
    <w:bookmarkEnd w:id="455"/>
    <w:p>
      <w:pPr>
        <w:spacing w:beforeLines="100" w:afterLines="100" w:line="300" w:lineRule="auto"/>
        <w:jc w:val="center"/>
        <w:outlineLvl w:val="1"/>
        <w:rPr>
          <w:b/>
          <w:bCs/>
          <w:sz w:val="24"/>
          <w:szCs w:val="24"/>
        </w:rPr>
      </w:pPr>
      <w:bookmarkStart w:id="456" w:name="_Toc236925638"/>
      <w:bookmarkStart w:id="457" w:name="_Toc245291090"/>
      <w:bookmarkStart w:id="458" w:name="_Toc513811975"/>
      <w:bookmarkStart w:id="459" w:name="_Toc242936875"/>
      <w:bookmarkStart w:id="460" w:name="_Toc175973474"/>
      <w:bookmarkStart w:id="461" w:name="_Toc237336848"/>
      <w:bookmarkStart w:id="462" w:name="_Toc15053082"/>
      <w:bookmarkStart w:id="463" w:name="_Toc243285290"/>
      <w:bookmarkStart w:id="464" w:name="_Toc238356701"/>
      <w:bookmarkStart w:id="465" w:name="_Toc245290399"/>
      <w:bookmarkStart w:id="466" w:name="_Toc514685668"/>
      <w:bookmarkStart w:id="467" w:name="_Toc245290877"/>
      <w:r>
        <w:rPr>
          <w:b/>
          <w:bCs/>
          <w:sz w:val="24"/>
          <w:szCs w:val="24"/>
        </w:rPr>
        <w:t>8.3  验收</w:t>
      </w:r>
      <w:bookmarkEnd w:id="456"/>
      <w:bookmarkEnd w:id="457"/>
      <w:bookmarkEnd w:id="458"/>
      <w:bookmarkEnd w:id="459"/>
      <w:bookmarkEnd w:id="460"/>
      <w:bookmarkEnd w:id="461"/>
      <w:bookmarkEnd w:id="462"/>
      <w:bookmarkEnd w:id="463"/>
      <w:bookmarkEnd w:id="464"/>
      <w:bookmarkEnd w:id="465"/>
      <w:bookmarkEnd w:id="466"/>
      <w:bookmarkEnd w:id="467"/>
    </w:p>
    <w:p>
      <w:pPr>
        <w:pStyle w:val="64"/>
        <w:spacing w:line="360" w:lineRule="auto"/>
      </w:pPr>
      <w:bookmarkStart w:id="468" w:name="_Toc514685669"/>
      <w:bookmarkStart w:id="469" w:name="_Toc243285291"/>
      <w:bookmarkStart w:id="470" w:name="_Toc15053083"/>
      <w:r>
        <w:rPr>
          <w:b/>
        </w:rPr>
        <w:t>8.3.1</w:t>
      </w:r>
      <w:r>
        <w:t xml:space="preserve">  珊瑚骨料混凝土结构混凝土分项工程、子分部工程的验收，除应符合本标准的规定外，尚应符合现行国家标准《混凝土结构工程施工质量验收规范》GB 50204的有关规定。</w:t>
      </w:r>
      <w:bookmarkEnd w:id="468"/>
      <w:bookmarkEnd w:id="469"/>
      <w:bookmarkEnd w:id="470"/>
    </w:p>
    <w:p>
      <w:pPr>
        <w:pStyle w:val="64"/>
        <w:spacing w:line="360" w:lineRule="auto"/>
      </w:pPr>
      <w:bookmarkStart w:id="471" w:name="_Toc243285292"/>
      <w:bookmarkStart w:id="472" w:name="_Toc514685670"/>
      <w:bookmarkStart w:id="473" w:name="_Toc15053084"/>
      <w:r>
        <w:rPr>
          <w:b/>
        </w:rPr>
        <w:t xml:space="preserve">8.3.2 </w:t>
      </w:r>
      <w:r>
        <w:t xml:space="preserve"> 珊瑚骨料混凝土工程验收时，还应符合本规范对珊瑚骨料混凝土长期性能和耐久性能的规定。</w:t>
      </w:r>
      <w:bookmarkEnd w:id="471"/>
      <w:bookmarkEnd w:id="472"/>
      <w:bookmarkEnd w:id="473"/>
    </w:p>
    <w:p>
      <w:pPr>
        <w:pStyle w:val="64"/>
        <w:sectPr>
          <w:pgSz w:w="11906" w:h="16838"/>
          <w:pgMar w:top="1418" w:right="1418" w:bottom="1134" w:left="1418" w:header="851" w:footer="992" w:gutter="0"/>
          <w:cols w:space="425" w:num="1"/>
          <w:docGrid w:type="lines" w:linePitch="312" w:charSpace="0"/>
        </w:sectPr>
      </w:pPr>
    </w:p>
    <w:p>
      <w:pPr>
        <w:pStyle w:val="2"/>
        <w:spacing w:before="120" w:after="120" w:line="360" w:lineRule="auto"/>
        <w:jc w:val="center"/>
        <w:rPr>
          <w:sz w:val="24"/>
          <w:szCs w:val="24"/>
        </w:rPr>
      </w:pPr>
      <w:bookmarkStart w:id="474" w:name="_Toc492050336"/>
      <w:bookmarkStart w:id="475" w:name="_Toc513811976"/>
      <w:bookmarkStart w:id="476" w:name="_Toc3526"/>
      <w:bookmarkStart w:id="477" w:name="_Toc499304715"/>
      <w:bookmarkStart w:id="478" w:name="_Toc514685672"/>
      <w:bookmarkStart w:id="479" w:name="_Toc3128"/>
      <w:bookmarkStart w:id="480" w:name="_Toc15053085"/>
      <w:r>
        <w:rPr>
          <w:sz w:val="24"/>
          <w:szCs w:val="24"/>
        </w:rPr>
        <w:t>本规程用词说明</w:t>
      </w:r>
      <w:bookmarkEnd w:id="474"/>
      <w:bookmarkEnd w:id="475"/>
      <w:bookmarkEnd w:id="476"/>
      <w:bookmarkEnd w:id="477"/>
      <w:bookmarkEnd w:id="478"/>
      <w:bookmarkEnd w:id="479"/>
      <w:bookmarkEnd w:id="480"/>
    </w:p>
    <w:p>
      <w:pPr>
        <w:spacing w:beforeLines="50"/>
      </w:pPr>
      <w:r>
        <w:t>1  为便于在执行本规程条文时区别对待，对要求严格程度不同的用词说明如下：</w:t>
      </w:r>
    </w:p>
    <w:p>
      <w:pPr>
        <w:spacing w:beforeLines="50"/>
      </w:pPr>
      <w:r>
        <w:t xml:space="preserve">  1）表示很严格，非这样做不可的：</w:t>
      </w:r>
    </w:p>
    <w:p>
      <w:pPr>
        <w:spacing w:beforeLines="50"/>
      </w:pPr>
      <w:r>
        <w:t xml:space="preserve">  正面词采用“必须”，反面词采用“严禁”；</w:t>
      </w:r>
    </w:p>
    <w:p>
      <w:pPr>
        <w:spacing w:beforeLines="50"/>
      </w:pPr>
      <w:r>
        <w:t xml:space="preserve">  2）表示严格，在正常情况下均应这样做的：</w:t>
      </w:r>
    </w:p>
    <w:p>
      <w:pPr>
        <w:spacing w:beforeLines="50"/>
      </w:pPr>
      <w:r>
        <w:t xml:space="preserve">  正面词采用“应”，反面词采用“不应”或“不得”；</w:t>
      </w:r>
    </w:p>
    <w:p>
      <w:pPr>
        <w:spacing w:beforeLines="50"/>
      </w:pPr>
      <w:r>
        <w:t xml:space="preserve">  3）表示允许稍有选择，在条件许可时，首先应这样做的：</w:t>
      </w:r>
    </w:p>
    <w:p>
      <w:pPr>
        <w:spacing w:beforeLines="50"/>
      </w:pPr>
      <w:r>
        <w:t xml:space="preserve">  正面词采用“宜”，反面词采用“不宜”；</w:t>
      </w:r>
    </w:p>
    <w:p>
      <w:pPr>
        <w:spacing w:beforeLines="50"/>
      </w:pPr>
      <w:r>
        <w:t xml:space="preserve">  4）表示有选择，在一定条件下可以这样做的，采用“可”。</w:t>
      </w:r>
    </w:p>
    <w:p>
      <w:pPr>
        <w:spacing w:beforeLines="50"/>
      </w:pPr>
      <w:r>
        <w:t>2  条文中指明应按其他有关标准执行的写法为：“应符合……的规定”或“应按……执行”。</w:t>
      </w:r>
    </w:p>
    <w:p>
      <w:pPr>
        <w:pStyle w:val="50"/>
        <w:spacing w:before="312" w:after="312"/>
        <w:sectPr>
          <w:footerReference r:id="rId5" w:type="default"/>
          <w:pgSz w:w="11906" w:h="16838"/>
          <w:pgMar w:top="1440" w:right="1797" w:bottom="1440" w:left="1797" w:header="851" w:footer="1814" w:gutter="0"/>
          <w:cols w:space="720" w:num="1"/>
          <w:docGrid w:type="linesAndChars" w:linePitch="312" w:charSpace="0"/>
        </w:sectPr>
      </w:pPr>
      <w:bookmarkStart w:id="481" w:name="_Toc234206821"/>
      <w:bookmarkStart w:id="482" w:name="_Toc235251712"/>
      <w:bookmarkStart w:id="483" w:name="_Toc243285304"/>
      <w:bookmarkStart w:id="484" w:name="_Toc236584239"/>
      <w:bookmarkStart w:id="485" w:name="_Toc245290401"/>
      <w:bookmarkStart w:id="486" w:name="_Toc236584169"/>
      <w:bookmarkStart w:id="487" w:name="_Toc232495688"/>
      <w:bookmarkStart w:id="488" w:name="_Toc232243156"/>
      <w:bookmarkStart w:id="489" w:name="_Toc242936878"/>
      <w:bookmarkStart w:id="490" w:name="_Toc238356703"/>
      <w:bookmarkStart w:id="491" w:name="_Toc245291092"/>
      <w:bookmarkStart w:id="492" w:name="_Toc245290879"/>
      <w:bookmarkStart w:id="493" w:name="_Toc237336850"/>
      <w:bookmarkStart w:id="494" w:name="_Toc232517441"/>
    </w:p>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p>
      <w:pPr>
        <w:pStyle w:val="50"/>
        <w:spacing w:before="312" w:after="312"/>
      </w:pPr>
      <w:bookmarkStart w:id="495" w:name="_Toc513811977"/>
      <w:bookmarkStart w:id="496" w:name="_Toc15053086"/>
      <w:bookmarkStart w:id="497" w:name="_Toc514685673"/>
      <w:r>
        <w:t>引用标准名录</w:t>
      </w:r>
      <w:bookmarkEnd w:id="495"/>
      <w:bookmarkEnd w:id="496"/>
      <w:bookmarkEnd w:id="497"/>
    </w:p>
    <w:p/>
    <w:p>
      <w:pPr>
        <w:numPr>
          <w:ilvl w:val="0"/>
          <w:numId w:val="5"/>
        </w:numPr>
        <w:snapToGrid w:val="0"/>
        <w:spacing w:line="360" w:lineRule="auto"/>
        <w:ind w:firstLine="378"/>
      </w:pPr>
      <w:r>
        <w:t>《混凝土强度检验评定标准》GBJ 107</w:t>
      </w:r>
    </w:p>
    <w:p>
      <w:pPr>
        <w:numPr>
          <w:ilvl w:val="0"/>
          <w:numId w:val="5"/>
        </w:numPr>
        <w:snapToGrid w:val="0"/>
        <w:spacing w:line="360" w:lineRule="auto"/>
        <w:ind w:firstLine="378"/>
      </w:pPr>
      <w:r>
        <w:t>《通用硅酸盐水泥》GB 175</w:t>
      </w:r>
    </w:p>
    <w:p>
      <w:pPr>
        <w:numPr>
          <w:ilvl w:val="0"/>
          <w:numId w:val="5"/>
        </w:numPr>
        <w:snapToGrid w:val="0"/>
        <w:spacing w:line="360" w:lineRule="auto"/>
        <w:ind w:firstLine="378"/>
      </w:pPr>
      <w:r>
        <w:t xml:space="preserve">《混凝土结构工程施工规范》GB </w:t>
      </w:r>
      <w:r>
        <w:rPr>
          <w:rFonts w:hint="eastAsia"/>
        </w:rPr>
        <w:t>666</w:t>
      </w:r>
    </w:p>
    <w:p>
      <w:pPr>
        <w:numPr>
          <w:ilvl w:val="0"/>
          <w:numId w:val="5"/>
        </w:numPr>
        <w:snapToGrid w:val="0"/>
        <w:spacing w:line="360" w:lineRule="auto"/>
        <w:ind w:firstLine="378"/>
      </w:pPr>
      <w:r>
        <w:t>《用于水泥和混凝土中的粉煤灰》GB/T 1596</w:t>
      </w:r>
    </w:p>
    <w:p>
      <w:pPr>
        <w:numPr>
          <w:ilvl w:val="0"/>
          <w:numId w:val="5"/>
        </w:numPr>
        <w:snapToGrid w:val="0"/>
        <w:spacing w:line="360" w:lineRule="auto"/>
        <w:ind w:firstLine="378"/>
      </w:pPr>
      <w:r>
        <w:t>《混凝土外加剂》GB 8076</w:t>
      </w:r>
    </w:p>
    <w:p>
      <w:pPr>
        <w:numPr>
          <w:ilvl w:val="0"/>
          <w:numId w:val="5"/>
        </w:numPr>
        <w:snapToGrid w:val="0"/>
        <w:spacing w:line="360" w:lineRule="auto"/>
        <w:ind w:firstLine="378"/>
      </w:pPr>
      <w:r>
        <w:t>《混凝土搅拌站（楼）》GB/T 10171</w:t>
      </w:r>
    </w:p>
    <w:p>
      <w:pPr>
        <w:numPr>
          <w:ilvl w:val="0"/>
          <w:numId w:val="5"/>
        </w:numPr>
        <w:snapToGrid w:val="0"/>
        <w:spacing w:line="360" w:lineRule="auto"/>
        <w:ind w:firstLine="378"/>
      </w:pPr>
      <w:r>
        <w:t>《预拌混凝土》GB/T 14902</w:t>
      </w:r>
    </w:p>
    <w:p>
      <w:pPr>
        <w:numPr>
          <w:ilvl w:val="0"/>
          <w:numId w:val="5"/>
        </w:numPr>
        <w:snapToGrid w:val="0"/>
        <w:spacing w:line="360" w:lineRule="auto"/>
        <w:ind w:firstLine="378"/>
      </w:pPr>
      <w:r>
        <w:t>《轻集料及其试验方法 第1部分：轻集料》GB/T 17431.1</w:t>
      </w:r>
    </w:p>
    <w:p>
      <w:pPr>
        <w:numPr>
          <w:ilvl w:val="0"/>
          <w:numId w:val="5"/>
        </w:numPr>
        <w:snapToGrid w:val="0"/>
        <w:spacing w:line="360" w:lineRule="auto"/>
        <w:ind w:firstLine="378"/>
      </w:pPr>
      <w:r>
        <w:t>《轻集料及其试验试验方法 第2部分：轻集料试验方法》GB/T17431.2</w:t>
      </w:r>
    </w:p>
    <w:p>
      <w:pPr>
        <w:numPr>
          <w:ilvl w:val="0"/>
          <w:numId w:val="5"/>
        </w:numPr>
        <w:snapToGrid w:val="0"/>
        <w:spacing w:line="360" w:lineRule="auto"/>
        <w:ind w:firstLine="378"/>
      </w:pPr>
      <w:r>
        <w:t>《用于水泥和混凝土中的粒化高炉矿渣粉》GB/T 18046</w:t>
      </w:r>
    </w:p>
    <w:p>
      <w:pPr>
        <w:numPr>
          <w:ilvl w:val="0"/>
          <w:numId w:val="5"/>
        </w:numPr>
        <w:snapToGrid w:val="0"/>
        <w:spacing w:line="360" w:lineRule="auto"/>
        <w:ind w:firstLine="378"/>
      </w:pPr>
      <w:r>
        <w:t>《砂浆和混凝土用硅灰》GB/T 27690</w:t>
      </w:r>
    </w:p>
    <w:p>
      <w:pPr>
        <w:numPr>
          <w:ilvl w:val="0"/>
          <w:numId w:val="5"/>
        </w:numPr>
        <w:snapToGrid w:val="0"/>
        <w:spacing w:line="360" w:lineRule="auto"/>
        <w:ind w:firstLine="378"/>
      </w:pPr>
      <w:r>
        <w:t>《石灰石粉混凝土》GB/T 30190</w:t>
      </w:r>
    </w:p>
    <w:p>
      <w:pPr>
        <w:numPr>
          <w:ilvl w:val="0"/>
          <w:numId w:val="5"/>
        </w:numPr>
        <w:snapToGrid w:val="0"/>
        <w:spacing w:line="360" w:lineRule="auto"/>
        <w:ind w:firstLine="378"/>
      </w:pPr>
      <w:r>
        <w:t>《混凝土结构设计规范》GB 50010</w:t>
      </w:r>
    </w:p>
    <w:p>
      <w:pPr>
        <w:numPr>
          <w:ilvl w:val="0"/>
          <w:numId w:val="5"/>
        </w:numPr>
        <w:snapToGrid w:val="0"/>
        <w:spacing w:line="360" w:lineRule="auto"/>
        <w:ind w:firstLine="378"/>
      </w:pPr>
      <w:r>
        <w:t>《普通混凝土拌合物性能试验方法标准》GB/T 50080</w:t>
      </w:r>
    </w:p>
    <w:p>
      <w:pPr>
        <w:numPr>
          <w:ilvl w:val="0"/>
          <w:numId w:val="5"/>
        </w:numPr>
        <w:snapToGrid w:val="0"/>
        <w:spacing w:line="360" w:lineRule="auto"/>
        <w:ind w:firstLine="378"/>
      </w:pPr>
      <w:r>
        <w:t>《普通混凝土力学性能试验方法标准》GB/T 50081</w:t>
      </w:r>
    </w:p>
    <w:p>
      <w:pPr>
        <w:numPr>
          <w:ilvl w:val="0"/>
          <w:numId w:val="5"/>
        </w:numPr>
        <w:snapToGrid w:val="0"/>
        <w:spacing w:line="360" w:lineRule="auto"/>
        <w:ind w:firstLine="378"/>
      </w:pPr>
      <w:r>
        <w:t>《普通混凝土长期性能和耐久性能试验方法标准》GB/T 50082</w:t>
      </w:r>
    </w:p>
    <w:p>
      <w:pPr>
        <w:numPr>
          <w:ilvl w:val="0"/>
          <w:numId w:val="5"/>
        </w:numPr>
        <w:snapToGrid w:val="0"/>
        <w:spacing w:line="360" w:lineRule="auto"/>
        <w:ind w:firstLine="378"/>
      </w:pPr>
      <w:r>
        <w:t>《混凝土强度检验评定标准》GB/T 50107</w:t>
      </w:r>
    </w:p>
    <w:p>
      <w:pPr>
        <w:numPr>
          <w:ilvl w:val="0"/>
          <w:numId w:val="5"/>
        </w:numPr>
        <w:snapToGrid w:val="0"/>
        <w:spacing w:line="360" w:lineRule="auto"/>
        <w:ind w:firstLine="378"/>
      </w:pPr>
      <w:r>
        <w:t>《混凝土外加剂应用技术规范》GB 50119</w:t>
      </w:r>
    </w:p>
    <w:p>
      <w:pPr>
        <w:numPr>
          <w:ilvl w:val="0"/>
          <w:numId w:val="5"/>
        </w:numPr>
        <w:snapToGrid w:val="0"/>
        <w:spacing w:line="360" w:lineRule="auto"/>
        <w:ind w:firstLine="378"/>
      </w:pPr>
      <w:r>
        <w:t>《混凝土质量控制标准》GB 50164</w:t>
      </w:r>
    </w:p>
    <w:p>
      <w:pPr>
        <w:numPr>
          <w:ilvl w:val="0"/>
          <w:numId w:val="5"/>
        </w:numPr>
        <w:snapToGrid w:val="0"/>
        <w:spacing w:line="360" w:lineRule="auto"/>
        <w:ind w:firstLine="378"/>
      </w:pPr>
      <w:r>
        <w:t>《混凝土结构工程施工质量验收规范》GB 50204</w:t>
      </w:r>
    </w:p>
    <w:p>
      <w:pPr>
        <w:numPr>
          <w:ilvl w:val="0"/>
          <w:numId w:val="5"/>
        </w:numPr>
        <w:snapToGrid w:val="0"/>
        <w:spacing w:line="360" w:lineRule="auto"/>
        <w:ind w:firstLine="378"/>
      </w:pPr>
      <w:r>
        <w:t>《混凝土结构耐久性设计规范》GB/T 50476</w:t>
      </w:r>
    </w:p>
    <w:p>
      <w:pPr>
        <w:numPr>
          <w:ilvl w:val="0"/>
          <w:numId w:val="5"/>
        </w:numPr>
        <w:snapToGrid w:val="0"/>
        <w:spacing w:line="360" w:lineRule="auto"/>
        <w:ind w:firstLine="378"/>
      </w:pPr>
      <w:r>
        <w:t>《混凝土结构工程施工规范》GB 50666</w:t>
      </w:r>
      <w:r>
        <w:rPr>
          <w:rFonts w:hint="eastAsia"/>
        </w:rPr>
        <w:t xml:space="preserve"> </w:t>
      </w:r>
    </w:p>
    <w:p>
      <w:pPr>
        <w:numPr>
          <w:ilvl w:val="0"/>
          <w:numId w:val="5"/>
        </w:numPr>
        <w:snapToGrid w:val="0"/>
        <w:spacing w:line="360" w:lineRule="auto"/>
        <w:ind w:firstLine="378"/>
      </w:pPr>
      <w:r>
        <w:t>《矿物掺合料应用技术规范》GB/T 51003</w:t>
      </w:r>
    </w:p>
    <w:p>
      <w:pPr>
        <w:numPr>
          <w:ilvl w:val="0"/>
          <w:numId w:val="5"/>
        </w:numPr>
        <w:snapToGrid w:val="0"/>
        <w:spacing w:line="360" w:lineRule="auto"/>
        <w:ind w:firstLine="378"/>
      </w:pPr>
      <w:r>
        <w:t xml:space="preserve">《轻骨料混凝土应用技术标准》JGJ/T </w:t>
      </w:r>
      <w:r>
        <w:rPr>
          <w:rFonts w:hint="eastAsia"/>
        </w:rPr>
        <w:t>12</w:t>
      </w:r>
    </w:p>
    <w:p>
      <w:pPr>
        <w:numPr>
          <w:ilvl w:val="0"/>
          <w:numId w:val="5"/>
        </w:numPr>
        <w:snapToGrid w:val="0"/>
        <w:spacing w:line="360" w:lineRule="auto"/>
        <w:ind w:firstLine="378"/>
      </w:pPr>
      <w:r>
        <w:t>《普通混凝土用砂、石质量及检验方法标准》JGJ 52</w:t>
      </w:r>
    </w:p>
    <w:p>
      <w:pPr>
        <w:numPr>
          <w:ilvl w:val="0"/>
          <w:numId w:val="5"/>
        </w:numPr>
        <w:snapToGrid w:val="0"/>
        <w:spacing w:line="360" w:lineRule="auto"/>
        <w:ind w:firstLine="378"/>
      </w:pPr>
      <w:r>
        <w:t>《普通混凝土配合比设计规程》JGJ 55</w:t>
      </w:r>
    </w:p>
    <w:p>
      <w:pPr>
        <w:numPr>
          <w:ilvl w:val="0"/>
          <w:numId w:val="5"/>
        </w:numPr>
        <w:snapToGrid w:val="0"/>
        <w:spacing w:line="360" w:lineRule="auto"/>
        <w:ind w:firstLine="378"/>
      </w:pPr>
      <w:r>
        <w:t>《混凝土用水标准》JGJ 63</w:t>
      </w:r>
    </w:p>
    <w:p>
      <w:pPr>
        <w:numPr>
          <w:ilvl w:val="0"/>
          <w:numId w:val="5"/>
        </w:numPr>
        <w:snapToGrid w:val="0"/>
        <w:spacing w:line="360" w:lineRule="auto"/>
        <w:ind w:firstLine="378"/>
      </w:pPr>
      <w:r>
        <w:t>《钢筋阻锈剂应用技术规程》JGJ /T</w:t>
      </w:r>
      <w:r>
        <w:rPr>
          <w:rFonts w:hint="eastAsia"/>
        </w:rPr>
        <w:t xml:space="preserve"> </w:t>
      </w:r>
      <w:r>
        <w:t>192</w:t>
      </w:r>
    </w:p>
    <w:p>
      <w:pPr>
        <w:numPr>
          <w:ilvl w:val="0"/>
          <w:numId w:val="5"/>
        </w:numPr>
        <w:snapToGrid w:val="0"/>
        <w:spacing w:line="360" w:lineRule="auto"/>
        <w:ind w:firstLine="378"/>
      </w:pPr>
      <w:r>
        <w:t>《混凝土耐久性检验评定标准》JGJ /T</w:t>
      </w:r>
      <w:r>
        <w:rPr>
          <w:rFonts w:hint="eastAsia"/>
        </w:rPr>
        <w:t xml:space="preserve"> </w:t>
      </w:r>
      <w:r>
        <w:t>193</w:t>
      </w:r>
    </w:p>
    <w:p>
      <w:pPr>
        <w:numPr>
          <w:ilvl w:val="0"/>
          <w:numId w:val="5"/>
        </w:numPr>
        <w:snapToGrid w:val="0"/>
        <w:spacing w:line="360" w:lineRule="auto"/>
        <w:ind w:firstLine="378"/>
      </w:pPr>
      <w:r>
        <w:rPr>
          <w:rFonts w:hint="eastAsia"/>
        </w:rPr>
        <w:t>《</w:t>
      </w:r>
      <w:r>
        <w:t>海砂混凝土应用技术规范》JGJ</w:t>
      </w:r>
      <w:r>
        <w:rPr>
          <w:rFonts w:hint="eastAsia"/>
        </w:rPr>
        <w:t xml:space="preserve"> </w:t>
      </w:r>
      <w:r>
        <w:t>206</w:t>
      </w:r>
    </w:p>
    <w:p>
      <w:pPr>
        <w:numPr>
          <w:ilvl w:val="0"/>
          <w:numId w:val="5"/>
        </w:numPr>
        <w:snapToGrid w:val="0"/>
        <w:spacing w:line="360" w:lineRule="auto"/>
        <w:ind w:firstLine="378"/>
      </w:pPr>
      <w:r>
        <w:t>《聚羧酸系高性能减水剂》JG/T 223</w:t>
      </w:r>
    </w:p>
    <w:p>
      <w:pPr>
        <w:numPr>
          <w:ilvl w:val="0"/>
          <w:numId w:val="5"/>
        </w:numPr>
        <w:snapToGrid w:val="0"/>
        <w:spacing w:line="360" w:lineRule="auto"/>
        <w:ind w:firstLine="378"/>
      </w:pPr>
      <w:r>
        <w:t>《石灰石粉在混凝土中应用技术规程》JGJ/T 318</w:t>
      </w:r>
    </w:p>
    <w:p>
      <w:pPr>
        <w:numPr>
          <w:ilvl w:val="0"/>
          <w:numId w:val="5"/>
        </w:numPr>
        <w:snapToGrid w:val="0"/>
        <w:spacing w:line="360" w:lineRule="auto"/>
        <w:ind w:firstLine="378"/>
      </w:pPr>
      <w:r>
        <w:t>《混凝土中氯离子含量检测技术规程》JGJ/T</w:t>
      </w:r>
      <w:r>
        <w:rPr>
          <w:rFonts w:hint="eastAsia"/>
        </w:rPr>
        <w:t xml:space="preserve"> </w:t>
      </w:r>
      <w:r>
        <w:t>322</w:t>
      </w:r>
    </w:p>
    <w:p>
      <w:pPr>
        <w:numPr>
          <w:ilvl w:val="0"/>
          <w:numId w:val="5"/>
        </w:numPr>
        <w:snapToGrid w:val="0"/>
        <w:spacing w:line="360" w:lineRule="auto"/>
        <w:ind w:firstLine="378"/>
      </w:pPr>
      <w:r>
        <w:t>《混凝土用复合掺合料》JG/T 486</w:t>
      </w:r>
    </w:p>
    <w:p>
      <w:r>
        <w:br w:type="page"/>
      </w:r>
    </w:p>
    <w:p/>
    <w:p>
      <w:pPr>
        <w:pStyle w:val="17"/>
        <w:spacing w:line="360" w:lineRule="auto"/>
        <w:rPr>
          <w:rFonts w:ascii="Times New Roman" w:hAnsi="Times New Roman"/>
          <w:b/>
          <w:sz w:val="24"/>
          <w:szCs w:val="24"/>
          <w:lang w:eastAsia="zh-CN"/>
        </w:rPr>
      </w:pPr>
    </w:p>
    <w:p>
      <w:pPr>
        <w:spacing w:line="360" w:lineRule="auto"/>
        <w:ind w:firstLine="357"/>
        <w:jc w:val="right"/>
      </w:pPr>
    </w:p>
    <w:p>
      <w:pPr>
        <w:spacing w:line="360" w:lineRule="auto"/>
        <w:ind w:firstLine="357"/>
        <w:jc w:val="right"/>
      </w:pPr>
    </w:p>
    <w:p>
      <w:pPr>
        <w:spacing w:line="360" w:lineRule="auto"/>
        <w:ind w:firstLine="357"/>
        <w:jc w:val="right"/>
      </w:pPr>
    </w:p>
    <w:p>
      <w:pPr>
        <w:pStyle w:val="17"/>
        <w:jc w:val="center"/>
        <w:rPr>
          <w:rFonts w:ascii="Times New Roman" w:hAnsi="Times New Roman" w:eastAsia="黑体"/>
          <w:sz w:val="28"/>
          <w:szCs w:val="28"/>
          <w:lang w:eastAsia="zh-CN"/>
        </w:rPr>
      </w:pPr>
    </w:p>
    <w:p>
      <w:pPr>
        <w:pStyle w:val="17"/>
        <w:jc w:val="center"/>
        <w:rPr>
          <w:rFonts w:ascii="Times New Roman" w:hAnsi="Times New Roman" w:eastAsia="黑体"/>
          <w:sz w:val="28"/>
          <w:szCs w:val="28"/>
          <w:lang w:eastAsia="zh-CN"/>
        </w:rPr>
      </w:pPr>
    </w:p>
    <w:p>
      <w:pPr>
        <w:pStyle w:val="17"/>
        <w:jc w:val="center"/>
        <w:rPr>
          <w:rFonts w:ascii="Times New Roman" w:hAnsi="Times New Roman" w:eastAsia="黑体"/>
          <w:sz w:val="28"/>
          <w:szCs w:val="28"/>
        </w:rPr>
      </w:pPr>
    </w:p>
    <w:p>
      <w:pPr>
        <w:pStyle w:val="17"/>
        <w:jc w:val="center"/>
        <w:rPr>
          <w:rFonts w:ascii="Times New Roman" w:hAnsi="Times New Roman" w:eastAsia="黑体"/>
          <w:sz w:val="28"/>
          <w:szCs w:val="28"/>
        </w:rPr>
      </w:pPr>
      <w:r>
        <w:rPr>
          <w:rFonts w:ascii="Times New Roman" w:hAnsi="Times New Roman" w:eastAsia="黑体"/>
          <w:sz w:val="28"/>
          <w:szCs w:val="28"/>
        </w:rPr>
        <w:t xml:space="preserve">中国工程建设协会标准                                                    </w:t>
      </w:r>
    </w:p>
    <w:p>
      <w:pPr>
        <w:pStyle w:val="17"/>
        <w:jc w:val="center"/>
        <w:rPr>
          <w:rFonts w:ascii="Times New Roman" w:hAnsi="Times New Roman" w:eastAsia="黑体"/>
          <w:sz w:val="28"/>
          <w:szCs w:val="28"/>
        </w:rPr>
      </w:pPr>
    </w:p>
    <w:p>
      <w:pPr>
        <w:pStyle w:val="17"/>
        <w:jc w:val="center"/>
        <w:rPr>
          <w:rFonts w:ascii="Times New Roman" w:hAnsi="Times New Roman" w:eastAsia="黑体"/>
          <w:sz w:val="32"/>
          <w:szCs w:val="32"/>
          <w:lang w:eastAsia="zh-CN"/>
        </w:rPr>
      </w:pPr>
      <w:r>
        <w:rPr>
          <w:rFonts w:hint="eastAsia" w:ascii="Times New Roman" w:hAnsi="Times New Roman" w:eastAsia="黑体"/>
          <w:sz w:val="32"/>
          <w:szCs w:val="32"/>
          <w:lang w:eastAsia="zh-CN"/>
        </w:rPr>
        <w:t>珊瑚礁砂混凝土应用技术规程</w:t>
      </w:r>
    </w:p>
    <w:p>
      <w:pPr>
        <w:jc w:val="center"/>
        <w:rPr>
          <w:rFonts w:eastAsia="仿宋_GB2312"/>
          <w:b/>
          <w:bCs/>
          <w:caps/>
          <w:sz w:val="24"/>
          <w:szCs w:val="24"/>
        </w:rPr>
      </w:pPr>
    </w:p>
    <w:p>
      <w:pPr>
        <w:jc w:val="center"/>
        <w:rPr>
          <w:rFonts w:eastAsia="仿宋_GB2312"/>
          <w:b/>
          <w:bCs/>
          <w:caps/>
          <w:sz w:val="30"/>
          <w:szCs w:val="30"/>
        </w:rPr>
      </w:pPr>
      <w:r>
        <w:rPr>
          <w:rFonts w:eastAsia="仿宋_GB2312"/>
          <w:b/>
          <w:bCs/>
          <w:caps/>
          <w:sz w:val="30"/>
          <w:szCs w:val="30"/>
        </w:rPr>
        <w:t>CECS×××:××××</w:t>
      </w:r>
    </w:p>
    <w:p>
      <w:pPr>
        <w:jc w:val="center"/>
        <w:rPr>
          <w:rFonts w:eastAsia="仿宋_GB2312"/>
          <w:b/>
          <w:bCs/>
          <w:caps/>
          <w:sz w:val="36"/>
          <w:szCs w:val="36"/>
        </w:rPr>
      </w:pPr>
    </w:p>
    <w:p>
      <w:pPr>
        <w:pStyle w:val="2"/>
        <w:spacing w:before="120" w:after="120" w:line="360" w:lineRule="auto"/>
        <w:jc w:val="center"/>
        <w:rPr>
          <w:sz w:val="24"/>
          <w:szCs w:val="24"/>
        </w:rPr>
      </w:pPr>
      <w:bookmarkStart w:id="498" w:name="_Toc462922396"/>
      <w:bookmarkStart w:id="499" w:name="_Toc492050338"/>
      <w:bookmarkStart w:id="500" w:name="_Toc499304717"/>
      <w:bookmarkStart w:id="501" w:name="_Toc22770"/>
      <w:bookmarkStart w:id="502" w:name="_Toc513811978"/>
      <w:bookmarkStart w:id="503" w:name="_Toc499303818"/>
      <w:bookmarkStart w:id="504" w:name="_Toc463963189"/>
      <w:bookmarkStart w:id="505" w:name="_Toc514685674"/>
      <w:bookmarkStart w:id="506" w:name="_Toc21920"/>
      <w:bookmarkStart w:id="507" w:name="_Toc462853610"/>
      <w:bookmarkStart w:id="508" w:name="_Toc15053087"/>
      <w:r>
        <w:rPr>
          <w:sz w:val="24"/>
          <w:szCs w:val="24"/>
        </w:rPr>
        <w:t>条文说明</w:t>
      </w:r>
      <w:bookmarkEnd w:id="498"/>
      <w:bookmarkEnd w:id="499"/>
      <w:bookmarkEnd w:id="500"/>
      <w:bookmarkEnd w:id="501"/>
      <w:bookmarkEnd w:id="502"/>
      <w:bookmarkEnd w:id="503"/>
      <w:bookmarkEnd w:id="504"/>
      <w:bookmarkEnd w:id="505"/>
      <w:bookmarkEnd w:id="506"/>
      <w:bookmarkEnd w:id="507"/>
      <w:bookmarkEnd w:id="508"/>
    </w:p>
    <w:p>
      <w:pPr>
        <w:jc w:val="center"/>
        <w:rPr>
          <w:rFonts w:eastAsia="仿宋_GB2312"/>
          <w:b/>
          <w:bCs/>
          <w:caps/>
          <w:sz w:val="36"/>
          <w:szCs w:val="36"/>
        </w:rPr>
      </w:pPr>
      <w:r>
        <w:br w:type="page"/>
      </w:r>
    </w:p>
    <w:p>
      <w:pPr>
        <w:jc w:val="center"/>
        <w:rPr>
          <w:rFonts w:eastAsia="黑体"/>
          <w:sz w:val="36"/>
          <w:szCs w:val="28"/>
        </w:rPr>
      </w:pPr>
      <w:r>
        <w:rPr>
          <w:rFonts w:eastAsia="黑体"/>
          <w:sz w:val="36"/>
          <w:szCs w:val="28"/>
        </w:rPr>
        <w:t>制 订 说 明</w:t>
      </w:r>
    </w:p>
    <w:p>
      <w:pPr>
        <w:rPr>
          <w:rFonts w:eastAsia="仿宋_GB2312"/>
          <w:b/>
          <w:bCs/>
          <w:caps/>
          <w:sz w:val="44"/>
          <w:szCs w:val="36"/>
        </w:rPr>
      </w:pPr>
    </w:p>
    <w:p>
      <w:pPr>
        <w:spacing w:beforeLines="50" w:line="360" w:lineRule="auto"/>
        <w:rPr>
          <w:sz w:val="24"/>
        </w:rPr>
      </w:pPr>
      <w:r>
        <w:rPr>
          <w:sz w:val="24"/>
        </w:rPr>
        <w:tab/>
      </w:r>
      <w:r>
        <w:rPr>
          <w:sz w:val="24"/>
        </w:rPr>
        <w:t>《</w:t>
      </w:r>
      <w:r>
        <w:rPr>
          <w:rFonts w:hint="eastAsia"/>
          <w:sz w:val="24"/>
          <w:lang w:eastAsia="zh-CN"/>
        </w:rPr>
        <w:t>珊瑚礁砂混凝土应用技术规程</w:t>
      </w:r>
      <w:r>
        <w:rPr>
          <w:sz w:val="24"/>
        </w:rPr>
        <w:t>》CECS×××: ××××，经</w:t>
      </w:r>
      <w:r>
        <w:rPr>
          <w:sz w:val="24"/>
          <w:szCs w:val="24"/>
        </w:rPr>
        <w:t>中国工程建设标准化协会</w:t>
      </w:r>
      <w:r>
        <w:rPr>
          <w:sz w:val="24"/>
        </w:rPr>
        <w:t>××年××月××日以第××号公告批注发布。</w:t>
      </w:r>
    </w:p>
    <w:p>
      <w:pPr>
        <w:spacing w:beforeLines="50" w:line="360" w:lineRule="auto"/>
        <w:ind w:firstLine="480" w:firstLineChars="200"/>
        <w:rPr>
          <w:sz w:val="24"/>
        </w:rPr>
      </w:pPr>
      <w:r>
        <w:rPr>
          <w:sz w:val="24"/>
        </w:rPr>
        <w:t>本规程编制过程中，编制组进行了广泛而深入的调查研究，总结了我国目前利用珊瑚骨料配制混凝及其应用技术的实践经验，同时参考了国内外先进技术标准，通过大量验证性试验取得了珊瑚骨料混凝土配制及应用技术关键参数。</w:t>
      </w:r>
    </w:p>
    <w:p>
      <w:pPr>
        <w:spacing w:beforeLines="50" w:line="360" w:lineRule="auto"/>
        <w:ind w:firstLine="480" w:firstLineChars="200"/>
        <w:rPr>
          <w:sz w:val="24"/>
        </w:rPr>
      </w:pPr>
      <w:r>
        <w:rPr>
          <w:sz w:val="24"/>
        </w:rPr>
        <w:t>为便于扩大设计、施工、科研、学校等单位有关人员在使用本规程时能正确理解和执行条文规定，《</w:t>
      </w:r>
      <w:r>
        <w:rPr>
          <w:rFonts w:hint="eastAsia"/>
          <w:sz w:val="24"/>
          <w:lang w:eastAsia="zh-CN"/>
        </w:rPr>
        <w:t>珊瑚礁砂混凝土应用技术规程</w:t>
      </w:r>
      <w:r>
        <w:rPr>
          <w:sz w:val="24"/>
        </w:rPr>
        <w:t>》编制组按章、节、条顺序编制了本规程中的条文说明，对条文规定的目的、依据以及执行中需要注意的有关事项进行了说明。但是，本条文说明不具备与规程正文同等的法律效力，仅供使用者作为理解和把握规程规定的参考。</w:t>
      </w:r>
    </w:p>
    <w:p>
      <w:pPr>
        <w:spacing w:beforeLines="50" w:line="360" w:lineRule="auto"/>
        <w:ind w:firstLine="480" w:firstLineChars="200"/>
        <w:jc w:val="center"/>
        <w:rPr>
          <w:b/>
          <w:sz w:val="28"/>
          <w:szCs w:val="28"/>
        </w:rPr>
      </w:pPr>
      <w:r>
        <w:rPr>
          <w:sz w:val="24"/>
        </w:rPr>
        <w:br w:type="page"/>
      </w:r>
      <w:bookmarkStart w:id="509" w:name="_Toc486247821"/>
      <w:bookmarkStart w:id="510" w:name="_Toc16343"/>
      <w:bookmarkStart w:id="511" w:name="_Toc486247929"/>
      <w:bookmarkStart w:id="512" w:name="_Toc397343985"/>
      <w:bookmarkStart w:id="513" w:name="_Toc472351496"/>
      <w:bookmarkStart w:id="514" w:name="_Toc388880968"/>
      <w:bookmarkStart w:id="515" w:name="_Toc481589624"/>
      <w:bookmarkStart w:id="516" w:name="_Toc481589728"/>
      <w:bookmarkStart w:id="517" w:name="_Toc481589832"/>
      <w:bookmarkStart w:id="518" w:name="_Toc21991"/>
      <w:bookmarkStart w:id="519" w:name="_Toc388881383"/>
      <w:bookmarkStart w:id="520" w:name="_Toc388860308"/>
      <w:bookmarkStart w:id="521" w:name="_Toc11226"/>
      <w:bookmarkStart w:id="522" w:name="_Toc388880767"/>
      <w:bookmarkStart w:id="523" w:name="_Toc481586529"/>
      <w:bookmarkStart w:id="524" w:name="_Toc472351392"/>
      <w:bookmarkStart w:id="525" w:name="_Toc388464369"/>
      <w:bookmarkStart w:id="526" w:name="_Toc397328469"/>
      <w:bookmarkStart w:id="527" w:name="_Toc397343914"/>
      <w:bookmarkStart w:id="528" w:name="_Toc398482229"/>
      <w:r>
        <w:rPr>
          <w:b/>
          <w:sz w:val="28"/>
          <w:szCs w:val="28"/>
        </w:rPr>
        <w:t>目 次</w:t>
      </w:r>
    </w:p>
    <w:sdt>
      <w:sdtPr>
        <w:rPr>
          <w:rFonts w:ascii="Times New Roman" w:hAnsi="Times New Roman"/>
          <w:b w:val="0"/>
          <w:bCs w:val="0"/>
          <w:color w:val="auto"/>
          <w:kern w:val="2"/>
          <w:sz w:val="21"/>
          <w:szCs w:val="21"/>
          <w:lang w:val="zh-CN" w:eastAsia="zh-CN"/>
        </w:rPr>
        <w:id w:val="932866745"/>
        <w:docPartObj>
          <w:docPartGallery w:val="Table of Contents"/>
          <w:docPartUnique/>
        </w:docPartObj>
      </w:sdtPr>
      <w:sdtEndPr>
        <w:rPr>
          <w:rFonts w:ascii="Times New Roman" w:hAnsi="Times New Roman"/>
          <w:b w:val="0"/>
          <w:bCs w:val="0"/>
          <w:color w:val="auto"/>
          <w:kern w:val="2"/>
          <w:sz w:val="21"/>
          <w:szCs w:val="21"/>
          <w:lang w:val="zh-CN" w:eastAsia="zh-CN"/>
        </w:rPr>
      </w:sdtEndPr>
      <w:sdtContent>
        <w:p>
          <w:pPr>
            <w:pStyle w:val="56"/>
            <w:rPr>
              <w:rFonts w:ascii="Times New Roman" w:hAnsi="Times New Roman"/>
              <w:b w:val="0"/>
              <w:bCs w:val="0"/>
              <w:color w:val="auto"/>
              <w:kern w:val="2"/>
              <w:lang w:val="en-US" w:eastAsia="zh-CN"/>
            </w:rPr>
          </w:pPr>
          <w:r>
            <w:rPr>
              <w:rFonts w:ascii="Times New Roman" w:hAnsi="Times New Roman"/>
              <w:b w:val="0"/>
              <w:bCs w:val="0"/>
              <w:color w:val="auto"/>
              <w:kern w:val="2"/>
              <w:lang w:val="en-US" w:eastAsia="zh-CN"/>
            </w:rPr>
            <w:fldChar w:fldCharType="begin"/>
          </w:r>
          <w:r>
            <w:rPr>
              <w:rFonts w:ascii="Times New Roman" w:hAnsi="Times New Roman"/>
              <w:b w:val="0"/>
              <w:bCs w:val="0"/>
              <w:color w:val="auto"/>
              <w:kern w:val="2"/>
              <w:lang w:val="en-US" w:eastAsia="zh-CN"/>
            </w:rPr>
            <w:instrText xml:space="preserve"> TOC \o "1-3" \h \z \u </w:instrText>
          </w:r>
          <w:r>
            <w:rPr>
              <w:rFonts w:ascii="Times New Roman" w:hAnsi="Times New Roman"/>
              <w:b w:val="0"/>
              <w:bCs w:val="0"/>
              <w:color w:val="auto"/>
              <w:kern w:val="2"/>
              <w:lang w:val="en-US" w:eastAsia="zh-CN"/>
            </w:rPr>
            <w:fldChar w:fldCharType="separate"/>
          </w:r>
        </w:p>
        <w:p>
          <w:pPr>
            <w:pStyle w:val="23"/>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"_Toc15053088" </w:instrText>
          </w:r>
          <w:r>
            <w:fldChar w:fldCharType="separate"/>
          </w:r>
          <w:r>
            <w:rPr>
              <w:rStyle w:val="34"/>
              <w:rFonts w:ascii="Times New Roman" w:hAnsi="Times New Roman"/>
            </w:rPr>
            <w:t>1  总 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_Toc15053088 \h </w:instrText>
          </w:r>
          <w:r>
            <w:rPr>
              <w:rFonts w:ascii="Times New Roman" w:hAnsi="Times New Roman" w:cs="Times New Roman"/>
            </w:rPr>
            <w:fldChar w:fldCharType="separate"/>
          </w:r>
          <w:r>
            <w:rPr>
              <w:rFonts w:ascii="Times New Roman" w:hAnsi="Times New Roman" w:cs="Times New Roman"/>
            </w:rPr>
            <w:t>32</w:t>
          </w:r>
          <w:r>
            <w:rPr>
              <w:rFonts w:ascii="Times New Roman" w:hAnsi="Times New Roman" w:cs="Times New Roman"/>
            </w:rPr>
            <w:fldChar w:fldCharType="end"/>
          </w:r>
          <w:r>
            <w:rPr>
              <w:rFonts w:ascii="Times New Roman" w:hAnsi="Times New Roman" w:cs="Times New Roman"/>
            </w:rPr>
            <w:fldChar w:fldCharType="end"/>
          </w:r>
        </w:p>
        <w:p>
          <w:pPr>
            <w:pStyle w:val="23"/>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"_Toc15053089" </w:instrText>
          </w:r>
          <w:r>
            <w:fldChar w:fldCharType="separate"/>
          </w:r>
          <w:r>
            <w:rPr>
              <w:rStyle w:val="34"/>
              <w:rFonts w:ascii="Times New Roman" w:hAnsi="Times New Roman"/>
            </w:rPr>
            <w:t>2  术语、符号</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_Toc15053089 \h </w:instrText>
          </w:r>
          <w:r>
            <w:rPr>
              <w:rFonts w:ascii="Times New Roman" w:hAnsi="Times New Roman" w:cs="Times New Roman"/>
            </w:rPr>
            <w:fldChar w:fldCharType="separate"/>
          </w:r>
          <w:r>
            <w:rPr>
              <w:rFonts w:ascii="Times New Roman" w:hAnsi="Times New Roman" w:cs="Times New Roman"/>
            </w:rPr>
            <w:t>33</w:t>
          </w:r>
          <w:r>
            <w:rPr>
              <w:rFonts w:ascii="Times New Roman" w:hAnsi="Times New Roman" w:cs="Times New Roman"/>
            </w:rPr>
            <w:fldChar w:fldCharType="end"/>
          </w:r>
          <w:r>
            <w:rPr>
              <w:rFonts w:ascii="Times New Roman" w:hAnsi="Times New Roman" w:cs="Times New Roman"/>
            </w:rPr>
            <w:fldChar w:fldCharType="end"/>
          </w:r>
        </w:p>
        <w:p>
          <w:pPr>
            <w:pStyle w:val="23"/>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"_Toc15053090" </w:instrText>
          </w:r>
          <w:r>
            <w:fldChar w:fldCharType="separate"/>
          </w:r>
          <w:r>
            <w:rPr>
              <w:rStyle w:val="34"/>
              <w:rFonts w:ascii="Times New Roman" w:hAnsi="Times New Roman"/>
            </w:rPr>
            <w:t>3  基本规定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_Toc15053090 \h </w:instrText>
          </w:r>
          <w:r>
            <w:rPr>
              <w:rFonts w:ascii="Times New Roman" w:hAnsi="Times New Roman" w:cs="Times New Roman"/>
            </w:rPr>
            <w:fldChar w:fldCharType="separate"/>
          </w:r>
          <w:r>
            <w:rPr>
              <w:rFonts w:ascii="Times New Roman" w:hAnsi="Times New Roman" w:cs="Times New Roman"/>
            </w:rPr>
            <w:t>34</w:t>
          </w:r>
          <w:r>
            <w:rPr>
              <w:rFonts w:ascii="Times New Roman" w:hAnsi="Times New Roman" w:cs="Times New Roman"/>
            </w:rPr>
            <w:fldChar w:fldCharType="end"/>
          </w:r>
          <w:r>
            <w:rPr>
              <w:rFonts w:ascii="Times New Roman" w:hAnsi="Times New Roman" w:cs="Times New Roman"/>
            </w:rPr>
            <w:fldChar w:fldCharType="end"/>
          </w:r>
        </w:p>
        <w:p>
          <w:pPr>
            <w:pStyle w:val="23"/>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"_Toc15053091" </w:instrText>
          </w:r>
          <w:r>
            <w:fldChar w:fldCharType="separate"/>
          </w:r>
          <w:r>
            <w:rPr>
              <w:rStyle w:val="34"/>
              <w:rFonts w:ascii="Times New Roman" w:hAnsi="Times New Roman"/>
            </w:rPr>
            <w:t>4  原材料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_Toc15053091 \h </w:instrText>
          </w:r>
          <w:r>
            <w:rPr>
              <w:rFonts w:ascii="Times New Roman" w:hAnsi="Times New Roman" w:cs="Times New Roman"/>
            </w:rPr>
            <w:fldChar w:fldCharType="separate"/>
          </w:r>
          <w:r>
            <w:rPr>
              <w:rFonts w:ascii="Times New Roman" w:hAnsi="Times New Roman" w:cs="Times New Roman"/>
            </w:rPr>
            <w:t>35</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"_Toc15053092" </w:instrText>
          </w:r>
          <w:r>
            <w:fldChar w:fldCharType="separate"/>
          </w:r>
          <w:r>
            <w:rPr>
              <w:rStyle w:val="34"/>
              <w:rFonts w:ascii="Times New Roman" w:hAnsi="Times New Roman"/>
              <w:bCs/>
            </w:rPr>
            <w:t>4.1  珊瑚粗骨料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_Toc15053092 \h </w:instrText>
          </w:r>
          <w:r>
            <w:rPr>
              <w:rFonts w:ascii="Times New Roman" w:hAnsi="Times New Roman" w:cs="Times New Roman"/>
            </w:rPr>
            <w:fldChar w:fldCharType="separate"/>
          </w:r>
          <w:r>
            <w:rPr>
              <w:rFonts w:ascii="Times New Roman" w:hAnsi="Times New Roman" w:cs="Times New Roman"/>
            </w:rPr>
            <w:t>35</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"_Toc15053093" </w:instrText>
          </w:r>
          <w:r>
            <w:fldChar w:fldCharType="separate"/>
          </w:r>
          <w:r>
            <w:rPr>
              <w:rStyle w:val="34"/>
              <w:rFonts w:ascii="Times New Roman" w:hAnsi="Times New Roman"/>
              <w:bCs/>
            </w:rPr>
            <w:t>4.2  珊瑚砂</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_Toc15053093 \h </w:instrText>
          </w:r>
          <w:r>
            <w:rPr>
              <w:rFonts w:ascii="Times New Roman" w:hAnsi="Times New Roman" w:cs="Times New Roman"/>
            </w:rPr>
            <w:fldChar w:fldCharType="separate"/>
          </w:r>
          <w:r>
            <w:rPr>
              <w:rFonts w:ascii="Times New Roman" w:hAnsi="Times New Roman" w:cs="Times New Roman"/>
            </w:rPr>
            <w:t>35</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"_Toc15053094" </w:instrText>
          </w:r>
          <w:r>
            <w:fldChar w:fldCharType="separate"/>
          </w:r>
          <w:r>
            <w:rPr>
              <w:rStyle w:val="34"/>
              <w:rFonts w:ascii="Times New Roman" w:hAnsi="Times New Roman"/>
              <w:bCs/>
            </w:rPr>
            <w:t>4.3  其他原材料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_Toc15053094 \h </w:instrText>
          </w:r>
          <w:r>
            <w:rPr>
              <w:rFonts w:ascii="Times New Roman" w:hAnsi="Times New Roman" w:cs="Times New Roman"/>
            </w:rPr>
            <w:fldChar w:fldCharType="separate"/>
          </w:r>
          <w:r>
            <w:rPr>
              <w:rFonts w:ascii="Times New Roman" w:hAnsi="Times New Roman" w:cs="Times New Roman"/>
            </w:rPr>
            <w:t>35</w:t>
          </w:r>
          <w:r>
            <w:rPr>
              <w:rFonts w:ascii="Times New Roman" w:hAnsi="Times New Roman" w:cs="Times New Roman"/>
            </w:rPr>
            <w:fldChar w:fldCharType="end"/>
          </w:r>
          <w:r>
            <w:rPr>
              <w:rFonts w:ascii="Times New Roman" w:hAnsi="Times New Roman" w:cs="Times New Roman"/>
            </w:rPr>
            <w:fldChar w:fldCharType="end"/>
          </w:r>
        </w:p>
        <w:p>
          <w:pPr>
            <w:pStyle w:val="23"/>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"_Toc15053095" </w:instrText>
          </w:r>
          <w:r>
            <w:fldChar w:fldCharType="separate"/>
          </w:r>
          <w:r>
            <w:rPr>
              <w:rStyle w:val="34"/>
              <w:rFonts w:ascii="Times New Roman" w:hAnsi="Times New Roman"/>
            </w:rPr>
            <w:t>5  珊瑚骨料混凝土性能</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_Toc15053095 \h </w:instrText>
          </w:r>
          <w:r>
            <w:rPr>
              <w:rFonts w:ascii="Times New Roman" w:hAnsi="Times New Roman" w:cs="Times New Roman"/>
            </w:rPr>
            <w:fldChar w:fldCharType="separate"/>
          </w:r>
          <w:r>
            <w:rPr>
              <w:rFonts w:ascii="Times New Roman" w:hAnsi="Times New Roman" w:cs="Times New Roman"/>
            </w:rPr>
            <w:t>36</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"_Toc15053096" </w:instrText>
          </w:r>
          <w:r>
            <w:fldChar w:fldCharType="separate"/>
          </w:r>
          <w:r>
            <w:rPr>
              <w:rStyle w:val="34"/>
              <w:rFonts w:ascii="Times New Roman" w:hAnsi="Times New Roman"/>
              <w:bCs/>
            </w:rPr>
            <w:t>5.1  拌合物性能</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_Toc15053096 \h </w:instrText>
          </w:r>
          <w:r>
            <w:rPr>
              <w:rFonts w:ascii="Times New Roman" w:hAnsi="Times New Roman" w:cs="Times New Roman"/>
            </w:rPr>
            <w:fldChar w:fldCharType="separate"/>
          </w:r>
          <w:r>
            <w:rPr>
              <w:rFonts w:ascii="Times New Roman" w:hAnsi="Times New Roman" w:cs="Times New Roman"/>
            </w:rPr>
            <w:t>36</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"_Toc15053097" </w:instrText>
          </w:r>
          <w:r>
            <w:fldChar w:fldCharType="separate"/>
          </w:r>
          <w:r>
            <w:rPr>
              <w:rStyle w:val="34"/>
              <w:rFonts w:ascii="Times New Roman" w:hAnsi="Times New Roman"/>
              <w:bCs/>
            </w:rPr>
            <w:t>5.2  力学性能</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_Toc15053097 \h </w:instrText>
          </w:r>
          <w:r>
            <w:rPr>
              <w:rFonts w:ascii="Times New Roman" w:hAnsi="Times New Roman" w:cs="Times New Roman"/>
            </w:rPr>
            <w:fldChar w:fldCharType="separate"/>
          </w:r>
          <w:r>
            <w:rPr>
              <w:rFonts w:ascii="Times New Roman" w:hAnsi="Times New Roman" w:cs="Times New Roman"/>
            </w:rPr>
            <w:t>36</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"_Toc15053098" </w:instrText>
          </w:r>
          <w:r>
            <w:fldChar w:fldCharType="separate"/>
          </w:r>
          <w:r>
            <w:rPr>
              <w:rStyle w:val="34"/>
              <w:rFonts w:ascii="Times New Roman" w:hAnsi="Times New Roman"/>
              <w:bCs/>
            </w:rPr>
            <w:t>5.3  长期性能与耐久性能</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_Toc15053098 \h </w:instrText>
          </w:r>
          <w:r>
            <w:rPr>
              <w:rFonts w:ascii="Times New Roman" w:hAnsi="Times New Roman" w:cs="Times New Roman"/>
            </w:rPr>
            <w:fldChar w:fldCharType="separate"/>
          </w:r>
          <w:r>
            <w:rPr>
              <w:rFonts w:ascii="Times New Roman" w:hAnsi="Times New Roman" w:cs="Times New Roman"/>
            </w:rPr>
            <w:t>36</w:t>
          </w:r>
          <w:r>
            <w:rPr>
              <w:rFonts w:ascii="Times New Roman" w:hAnsi="Times New Roman" w:cs="Times New Roman"/>
            </w:rPr>
            <w:fldChar w:fldCharType="end"/>
          </w:r>
          <w:r>
            <w:rPr>
              <w:rFonts w:ascii="Times New Roman" w:hAnsi="Times New Roman" w:cs="Times New Roman"/>
            </w:rPr>
            <w:fldChar w:fldCharType="end"/>
          </w:r>
        </w:p>
        <w:p>
          <w:pPr>
            <w:pStyle w:val="23"/>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"_Toc15053099" </w:instrText>
          </w:r>
          <w:r>
            <w:fldChar w:fldCharType="separate"/>
          </w:r>
          <w:r>
            <w:rPr>
              <w:rStyle w:val="34"/>
              <w:rFonts w:ascii="Times New Roman" w:hAnsi="Times New Roman"/>
            </w:rPr>
            <w:t>6  配合比设计</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_Toc15053099 \h </w:instrText>
          </w:r>
          <w:r>
            <w:rPr>
              <w:rFonts w:ascii="Times New Roman" w:hAnsi="Times New Roman" w:cs="Times New Roman"/>
            </w:rPr>
            <w:fldChar w:fldCharType="separate"/>
          </w:r>
          <w:r>
            <w:rPr>
              <w:rFonts w:ascii="Times New Roman" w:hAnsi="Times New Roman" w:cs="Times New Roman"/>
            </w:rPr>
            <w:t>37</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"_Toc15053100" </w:instrText>
          </w:r>
          <w:r>
            <w:fldChar w:fldCharType="separate"/>
          </w:r>
          <w:r>
            <w:rPr>
              <w:rStyle w:val="34"/>
              <w:rFonts w:ascii="Times New Roman" w:hAnsi="Times New Roman"/>
              <w:bCs/>
            </w:rPr>
            <w:t>6.1  一般要求</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_Toc15053100 \h </w:instrText>
          </w:r>
          <w:r>
            <w:rPr>
              <w:rFonts w:ascii="Times New Roman" w:hAnsi="Times New Roman" w:cs="Times New Roman"/>
            </w:rPr>
            <w:fldChar w:fldCharType="separate"/>
          </w:r>
          <w:r>
            <w:rPr>
              <w:rFonts w:ascii="Times New Roman" w:hAnsi="Times New Roman" w:cs="Times New Roman"/>
            </w:rPr>
            <w:t>37</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"_Toc15053101" </w:instrText>
          </w:r>
          <w:r>
            <w:fldChar w:fldCharType="separate"/>
          </w:r>
          <w:r>
            <w:rPr>
              <w:rStyle w:val="34"/>
              <w:rFonts w:ascii="Times New Roman" w:hAnsi="Times New Roman"/>
              <w:bCs/>
            </w:rPr>
            <w:t>6.2 配制强度的确定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_Toc15053101 \h </w:instrText>
          </w:r>
          <w:r>
            <w:rPr>
              <w:rFonts w:ascii="Times New Roman" w:hAnsi="Times New Roman" w:cs="Times New Roman"/>
            </w:rPr>
            <w:fldChar w:fldCharType="separate"/>
          </w:r>
          <w:r>
            <w:rPr>
              <w:rFonts w:ascii="Times New Roman" w:hAnsi="Times New Roman" w:cs="Times New Roman"/>
            </w:rPr>
            <w:t>37</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"_Toc15053102" </w:instrText>
          </w:r>
          <w:r>
            <w:fldChar w:fldCharType="separate"/>
          </w:r>
          <w:r>
            <w:rPr>
              <w:rStyle w:val="34"/>
              <w:rFonts w:ascii="Times New Roman" w:hAnsi="Times New Roman"/>
              <w:bCs/>
            </w:rPr>
            <w:t>6.3 耐久性能和长期性能要求</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_Toc15053102 \h </w:instrText>
          </w:r>
          <w:r>
            <w:rPr>
              <w:rFonts w:ascii="Times New Roman" w:hAnsi="Times New Roman" w:cs="Times New Roman"/>
            </w:rPr>
            <w:fldChar w:fldCharType="separate"/>
          </w:r>
          <w:r>
            <w:rPr>
              <w:rFonts w:ascii="Times New Roman" w:hAnsi="Times New Roman" w:cs="Times New Roman"/>
            </w:rPr>
            <w:t>37</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"_Toc15053103" </w:instrText>
          </w:r>
          <w:r>
            <w:fldChar w:fldCharType="separate"/>
          </w:r>
          <w:r>
            <w:rPr>
              <w:rStyle w:val="34"/>
              <w:rFonts w:ascii="Times New Roman" w:hAnsi="Times New Roman"/>
              <w:bCs/>
            </w:rPr>
            <w:t>6.4 配合比设计参数选择</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_Toc15053103 \h </w:instrText>
          </w:r>
          <w:r>
            <w:rPr>
              <w:rFonts w:ascii="Times New Roman" w:hAnsi="Times New Roman" w:cs="Times New Roman"/>
            </w:rPr>
            <w:fldChar w:fldCharType="separate"/>
          </w:r>
          <w:r>
            <w:rPr>
              <w:rFonts w:ascii="Times New Roman" w:hAnsi="Times New Roman" w:cs="Times New Roman"/>
            </w:rPr>
            <w:t>37</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"_Toc15053104" </w:instrText>
          </w:r>
          <w:r>
            <w:fldChar w:fldCharType="separate"/>
          </w:r>
          <w:r>
            <w:rPr>
              <w:rStyle w:val="34"/>
              <w:rFonts w:ascii="Times New Roman" w:hAnsi="Times New Roman"/>
              <w:bCs/>
            </w:rPr>
            <w:t>6.5  配合比计算与调整</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_Toc15053104 \h </w:instrText>
          </w:r>
          <w:r>
            <w:rPr>
              <w:rFonts w:ascii="Times New Roman" w:hAnsi="Times New Roman" w:cs="Times New Roman"/>
            </w:rPr>
            <w:fldChar w:fldCharType="separate"/>
          </w:r>
          <w:r>
            <w:rPr>
              <w:rFonts w:ascii="Times New Roman" w:hAnsi="Times New Roman" w:cs="Times New Roman"/>
            </w:rPr>
            <w:t>38</w:t>
          </w:r>
          <w:r>
            <w:rPr>
              <w:rFonts w:ascii="Times New Roman" w:hAnsi="Times New Roman" w:cs="Times New Roman"/>
            </w:rPr>
            <w:fldChar w:fldCharType="end"/>
          </w:r>
          <w:r>
            <w:rPr>
              <w:rFonts w:ascii="Times New Roman" w:hAnsi="Times New Roman" w:cs="Times New Roman"/>
            </w:rPr>
            <w:fldChar w:fldCharType="end"/>
          </w:r>
        </w:p>
        <w:p>
          <w:pPr>
            <w:pStyle w:val="23"/>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"_Toc15053105" </w:instrText>
          </w:r>
          <w:r>
            <w:fldChar w:fldCharType="separate"/>
          </w:r>
          <w:r>
            <w:rPr>
              <w:rStyle w:val="34"/>
              <w:rFonts w:ascii="Times New Roman" w:hAnsi="Times New Roman"/>
            </w:rPr>
            <w:t>7  生产与施工</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_Toc15053105 \h </w:instrText>
          </w:r>
          <w:r>
            <w:rPr>
              <w:rFonts w:ascii="Times New Roman" w:hAnsi="Times New Roman" w:cs="Times New Roman"/>
            </w:rPr>
            <w:fldChar w:fldCharType="separate"/>
          </w:r>
          <w:r>
            <w:rPr>
              <w:rFonts w:ascii="Times New Roman" w:hAnsi="Times New Roman" w:cs="Times New Roman"/>
            </w:rPr>
            <w:t>39</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"_Toc15053106" </w:instrText>
          </w:r>
          <w:r>
            <w:fldChar w:fldCharType="separate"/>
          </w:r>
          <w:r>
            <w:rPr>
              <w:rStyle w:val="34"/>
              <w:rFonts w:ascii="Times New Roman" w:hAnsi="Times New Roman"/>
              <w:bCs/>
            </w:rPr>
            <w:t>7.1  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_Toc15053106 \h </w:instrText>
          </w:r>
          <w:r>
            <w:rPr>
              <w:rFonts w:ascii="Times New Roman" w:hAnsi="Times New Roman" w:cs="Times New Roman"/>
            </w:rPr>
            <w:fldChar w:fldCharType="separate"/>
          </w:r>
          <w:r>
            <w:rPr>
              <w:rFonts w:ascii="Times New Roman" w:hAnsi="Times New Roman" w:cs="Times New Roman"/>
            </w:rPr>
            <w:t>39</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"_Toc15053107" </w:instrText>
          </w:r>
          <w:r>
            <w:fldChar w:fldCharType="separate"/>
          </w:r>
          <w:r>
            <w:rPr>
              <w:rStyle w:val="34"/>
              <w:rFonts w:ascii="Times New Roman" w:hAnsi="Times New Roman"/>
              <w:bCs/>
            </w:rPr>
            <w:t>7.2 原材料进场</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_Toc15053107 \h </w:instrText>
          </w:r>
          <w:r>
            <w:rPr>
              <w:rFonts w:ascii="Times New Roman" w:hAnsi="Times New Roman" w:cs="Times New Roman"/>
            </w:rPr>
            <w:fldChar w:fldCharType="separate"/>
          </w:r>
          <w:r>
            <w:rPr>
              <w:rFonts w:ascii="Times New Roman" w:hAnsi="Times New Roman" w:cs="Times New Roman"/>
            </w:rPr>
            <w:t>39</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"_Toc15053108" </w:instrText>
          </w:r>
          <w:r>
            <w:fldChar w:fldCharType="separate"/>
          </w:r>
          <w:r>
            <w:rPr>
              <w:rStyle w:val="34"/>
              <w:rFonts w:ascii="Times New Roman" w:hAnsi="Times New Roman"/>
              <w:bCs/>
            </w:rPr>
            <w:t>7.3 计量</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_Toc15053108 \h </w:instrText>
          </w:r>
          <w:r>
            <w:rPr>
              <w:rFonts w:ascii="Times New Roman" w:hAnsi="Times New Roman" w:cs="Times New Roman"/>
            </w:rPr>
            <w:fldChar w:fldCharType="separate"/>
          </w:r>
          <w:r>
            <w:rPr>
              <w:rFonts w:ascii="Times New Roman" w:hAnsi="Times New Roman" w:cs="Times New Roman"/>
            </w:rPr>
            <w:t>39</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"_Toc15053109" </w:instrText>
          </w:r>
          <w:r>
            <w:fldChar w:fldCharType="separate"/>
          </w:r>
          <w:r>
            <w:rPr>
              <w:rStyle w:val="34"/>
              <w:rFonts w:ascii="Times New Roman" w:hAnsi="Times New Roman"/>
              <w:bCs/>
            </w:rPr>
            <w:t>7.4 搅拌</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_Toc15053109 \h </w:instrText>
          </w:r>
          <w:r>
            <w:rPr>
              <w:rFonts w:ascii="Times New Roman" w:hAnsi="Times New Roman" w:cs="Times New Roman"/>
            </w:rPr>
            <w:fldChar w:fldCharType="separate"/>
          </w:r>
          <w:r>
            <w:rPr>
              <w:rFonts w:ascii="Times New Roman" w:hAnsi="Times New Roman" w:cs="Times New Roman"/>
            </w:rPr>
            <w:t>39</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"_Toc15053110" </w:instrText>
          </w:r>
          <w:r>
            <w:fldChar w:fldCharType="separate"/>
          </w:r>
          <w:r>
            <w:rPr>
              <w:rStyle w:val="34"/>
              <w:rFonts w:ascii="Times New Roman" w:hAnsi="Times New Roman"/>
              <w:bCs/>
            </w:rPr>
            <w:t>7.5 运输</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_Toc15053110 \h </w:instrText>
          </w:r>
          <w:r>
            <w:rPr>
              <w:rFonts w:ascii="Times New Roman" w:hAnsi="Times New Roman" w:cs="Times New Roman"/>
            </w:rPr>
            <w:fldChar w:fldCharType="separate"/>
          </w:r>
          <w:r>
            <w:rPr>
              <w:rFonts w:ascii="Times New Roman" w:hAnsi="Times New Roman" w:cs="Times New Roman"/>
            </w:rPr>
            <w:t>40</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"_Toc15053111" </w:instrText>
          </w:r>
          <w:r>
            <w:fldChar w:fldCharType="separate"/>
          </w:r>
          <w:r>
            <w:rPr>
              <w:rStyle w:val="34"/>
              <w:rFonts w:ascii="Times New Roman" w:hAnsi="Times New Roman"/>
              <w:bCs/>
            </w:rPr>
            <w:t>7.6 浇筑</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_Toc15053111 \h </w:instrText>
          </w:r>
          <w:r>
            <w:rPr>
              <w:rFonts w:ascii="Times New Roman" w:hAnsi="Times New Roman" w:cs="Times New Roman"/>
            </w:rPr>
            <w:fldChar w:fldCharType="separate"/>
          </w:r>
          <w:r>
            <w:rPr>
              <w:rFonts w:ascii="Times New Roman" w:hAnsi="Times New Roman" w:cs="Times New Roman"/>
            </w:rPr>
            <w:t>40</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"_Toc15053112" </w:instrText>
          </w:r>
          <w:r>
            <w:fldChar w:fldCharType="separate"/>
          </w:r>
          <w:r>
            <w:rPr>
              <w:rStyle w:val="34"/>
              <w:rFonts w:ascii="Times New Roman" w:hAnsi="Times New Roman"/>
              <w:bCs/>
            </w:rPr>
            <w:t>7.7 养护</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_Toc15053112 \h </w:instrText>
          </w:r>
          <w:r>
            <w:rPr>
              <w:rFonts w:ascii="Times New Roman" w:hAnsi="Times New Roman" w:cs="Times New Roman"/>
            </w:rPr>
            <w:fldChar w:fldCharType="separate"/>
          </w:r>
          <w:r>
            <w:rPr>
              <w:rFonts w:ascii="Times New Roman" w:hAnsi="Times New Roman" w:cs="Times New Roman"/>
            </w:rPr>
            <w:t>40</w:t>
          </w:r>
          <w:r>
            <w:rPr>
              <w:rFonts w:ascii="Times New Roman" w:hAnsi="Times New Roman" w:cs="Times New Roman"/>
            </w:rPr>
            <w:fldChar w:fldCharType="end"/>
          </w:r>
          <w:r>
            <w:rPr>
              <w:rFonts w:ascii="Times New Roman" w:hAnsi="Times New Roman" w:cs="Times New Roman"/>
            </w:rPr>
            <w:fldChar w:fldCharType="end"/>
          </w:r>
        </w:p>
        <w:p>
          <w:pPr>
            <w:pStyle w:val="23"/>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"_Toc15053113" </w:instrText>
          </w:r>
          <w:r>
            <w:fldChar w:fldCharType="separate"/>
          </w:r>
          <w:r>
            <w:rPr>
              <w:rStyle w:val="34"/>
              <w:rFonts w:ascii="Times New Roman" w:hAnsi="Times New Roman"/>
            </w:rPr>
            <w:t>8  质量检验和验收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_Toc15053113 \h </w:instrText>
          </w:r>
          <w:r>
            <w:rPr>
              <w:rFonts w:ascii="Times New Roman" w:hAnsi="Times New Roman" w:cs="Times New Roman"/>
            </w:rPr>
            <w:fldChar w:fldCharType="separate"/>
          </w:r>
          <w:r>
            <w:rPr>
              <w:rFonts w:ascii="Times New Roman" w:hAnsi="Times New Roman" w:cs="Times New Roman"/>
            </w:rPr>
            <w:t>41</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"_Toc15053114" </w:instrText>
          </w:r>
          <w:r>
            <w:fldChar w:fldCharType="separate"/>
          </w:r>
          <w:r>
            <w:rPr>
              <w:rStyle w:val="34"/>
              <w:rFonts w:ascii="Times New Roman" w:hAnsi="Times New Roman"/>
              <w:bCs/>
            </w:rPr>
            <w:t>8.1 原材料质量检验</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_Toc15053114 \h </w:instrText>
          </w:r>
          <w:r>
            <w:rPr>
              <w:rFonts w:ascii="Times New Roman" w:hAnsi="Times New Roman" w:cs="Times New Roman"/>
            </w:rPr>
            <w:fldChar w:fldCharType="separate"/>
          </w:r>
          <w:r>
            <w:rPr>
              <w:rFonts w:ascii="Times New Roman" w:hAnsi="Times New Roman" w:cs="Times New Roman"/>
            </w:rPr>
            <w:t>41</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"_Toc15053115" </w:instrText>
          </w:r>
          <w:r>
            <w:fldChar w:fldCharType="separate"/>
          </w:r>
          <w:r>
            <w:rPr>
              <w:rStyle w:val="34"/>
              <w:rFonts w:ascii="Times New Roman" w:hAnsi="Times New Roman"/>
              <w:bCs/>
            </w:rPr>
            <w:t>8.2 珊瑚骨料混凝土性能检验</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_Toc15053115 \h </w:instrText>
          </w:r>
          <w:r>
            <w:rPr>
              <w:rFonts w:ascii="Times New Roman" w:hAnsi="Times New Roman" w:cs="Times New Roman"/>
            </w:rPr>
            <w:fldChar w:fldCharType="separate"/>
          </w:r>
          <w:r>
            <w:rPr>
              <w:rFonts w:ascii="Times New Roman" w:hAnsi="Times New Roman" w:cs="Times New Roman"/>
            </w:rPr>
            <w:t>41</w:t>
          </w:r>
          <w:r>
            <w:rPr>
              <w:rFonts w:ascii="Times New Roman" w:hAnsi="Times New Roman" w:cs="Times New Roman"/>
            </w:rPr>
            <w:fldChar w:fldCharType="end"/>
          </w:r>
          <w:r>
            <w:rPr>
              <w:rFonts w:ascii="Times New Roman" w:hAnsi="Times New Roman" w:cs="Times New Roman"/>
            </w:rPr>
            <w:fldChar w:fldCharType="end"/>
          </w:r>
        </w:p>
        <w:p>
          <w:pPr>
            <w:pStyle w:val="26"/>
            <w:tabs>
              <w:tab w:val="right" w:leader="dot" w:pos="8296"/>
            </w:tabs>
            <w:jc w:val="center"/>
            <w:rPr>
              <w:rFonts w:ascii="Times New Roman" w:hAnsi="Times New Roman" w:cs="Times New Roman" w:eastAsiaTheme="minorEastAsia"/>
              <w:kern w:val="2"/>
              <w:sz w:val="21"/>
            </w:rPr>
          </w:pPr>
          <w:r>
            <w:fldChar w:fldCharType="begin"/>
          </w:r>
          <w:r>
            <w:instrText xml:space="preserve"> HYPERLINK \l "_Toc15053116" </w:instrText>
          </w:r>
          <w:r>
            <w:fldChar w:fldCharType="separate"/>
          </w:r>
          <w:r>
            <w:rPr>
              <w:rStyle w:val="34"/>
              <w:rFonts w:ascii="Times New Roman" w:hAnsi="Times New Roman"/>
              <w:bCs/>
            </w:rPr>
            <w:t>8.3 验收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_Toc15053116 \h </w:instrText>
          </w:r>
          <w:r>
            <w:rPr>
              <w:rFonts w:ascii="Times New Roman" w:hAnsi="Times New Roman" w:cs="Times New Roman"/>
            </w:rPr>
            <w:fldChar w:fldCharType="separate"/>
          </w:r>
          <w:r>
            <w:rPr>
              <w:rFonts w:ascii="Times New Roman" w:hAnsi="Times New Roman" w:cs="Times New Roman"/>
            </w:rPr>
            <w:t>41</w:t>
          </w:r>
          <w:r>
            <w:rPr>
              <w:rFonts w:ascii="Times New Roman" w:hAnsi="Times New Roman" w:cs="Times New Roman"/>
            </w:rPr>
            <w:fldChar w:fldCharType="end"/>
          </w:r>
          <w:r>
            <w:rPr>
              <w:rFonts w:ascii="Times New Roman" w:hAnsi="Times New Roman" w:cs="Times New Roman"/>
            </w:rPr>
            <w:fldChar w:fldCharType="end"/>
          </w:r>
        </w:p>
        <w:p>
          <w:pPr>
            <w:jc w:val="center"/>
          </w:pPr>
          <w:r>
            <w:rPr>
              <w:bCs/>
              <w:lang w:val="zh-CN"/>
            </w:rPr>
            <w:fldChar w:fldCharType="end"/>
          </w:r>
        </w:p>
      </w:sdtContent>
    </w:sdt>
    <w:p/>
    <w:p/>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p>
      <w:pPr>
        <w:rPr>
          <w:rFonts w:eastAsia="仿宋_GB2312"/>
          <w:b/>
          <w:bCs/>
          <w:caps/>
          <w:sz w:val="36"/>
          <w:szCs w:val="36"/>
        </w:rPr>
        <w:sectPr>
          <w:footerReference r:id="rId6" w:type="default"/>
          <w:pgSz w:w="11906" w:h="16838"/>
          <w:pgMar w:top="1440" w:right="1800" w:bottom="1440" w:left="1800" w:header="851" w:footer="992" w:gutter="0"/>
          <w:cols w:space="720" w:num="1"/>
          <w:docGrid w:type="lines" w:linePitch="312" w:charSpace="0"/>
        </w:sectPr>
      </w:pPr>
    </w:p>
    <w:p>
      <w:pPr>
        <w:pStyle w:val="50"/>
        <w:spacing w:before="312" w:after="312"/>
      </w:pPr>
      <w:bookmarkStart w:id="529" w:name="_Toc509849362"/>
      <w:bookmarkStart w:id="530" w:name="_Toc472351497"/>
      <w:bookmarkStart w:id="531" w:name="_Toc486247930"/>
      <w:bookmarkStart w:id="532" w:name="_Toc481586530"/>
      <w:bookmarkStart w:id="533" w:name="_Toc481589729"/>
      <w:bookmarkStart w:id="534" w:name="_Toc509849565"/>
      <w:bookmarkStart w:id="535" w:name="_Toc14810"/>
      <w:bookmarkStart w:id="536" w:name="_Toc481589833"/>
      <w:bookmarkStart w:id="537" w:name="_Toc6615"/>
      <w:bookmarkStart w:id="538" w:name="_Toc15053088"/>
      <w:bookmarkStart w:id="539" w:name="_Toc10248"/>
      <w:bookmarkStart w:id="540" w:name="_Toc481589625"/>
      <w:r>
        <w:t>1  总 则</w:t>
      </w:r>
      <w:bookmarkEnd w:id="529"/>
      <w:bookmarkEnd w:id="530"/>
      <w:bookmarkEnd w:id="531"/>
      <w:bookmarkEnd w:id="532"/>
      <w:bookmarkEnd w:id="533"/>
      <w:bookmarkEnd w:id="534"/>
      <w:bookmarkEnd w:id="535"/>
      <w:bookmarkEnd w:id="536"/>
      <w:bookmarkEnd w:id="537"/>
      <w:bookmarkEnd w:id="538"/>
      <w:bookmarkEnd w:id="539"/>
      <w:bookmarkEnd w:id="540"/>
    </w:p>
    <w:p>
      <w:pPr>
        <w:spacing w:line="400" w:lineRule="atLeast"/>
      </w:pPr>
      <w:r>
        <w:rPr>
          <w:b/>
        </w:rPr>
        <w:t>1.0.1</w:t>
      </w:r>
      <w:r>
        <w:t xml:space="preserve">  本条规定了编制本标准的目的是进一步规范促并进珊瑚骨料混凝土应用技术的发展，在确保建设工程质量时，有统一的珊瑚骨料混凝土技术规程作为依据，并做到技术先进、安全可靠、经济合理。</w:t>
      </w:r>
    </w:p>
    <w:p>
      <w:pPr>
        <w:spacing w:line="400" w:lineRule="atLeast"/>
      </w:pPr>
      <w:r>
        <w:rPr>
          <w:b/>
        </w:rPr>
        <w:t>1.0.2</w:t>
      </w:r>
      <w:r>
        <w:t xml:space="preserve">  本标准规定了珊瑚骨料混凝土的适用范围</w:t>
      </w:r>
      <w:r>
        <w:rPr>
          <w:rFonts w:hint="eastAsia"/>
        </w:rPr>
        <w:t>。从环保角度考虑，可用于混凝土生产用珊瑚骨料为确保珊瑚生态不受到破坏的基础上，可利用的珊瑚礁石碎屑等</w:t>
      </w:r>
      <w:r>
        <w:t>。珊瑚骨料的堆积密度及其它物理性能方面与轻骨料类似，而且利用珊瑚骨料配制的混凝土其性能和密度范围也介于轻骨料混凝土与普通混凝土之间，故本标准是在综合考虑现行行业标准《轻骨料混凝土应用技术标准》JGJ/T 12的基础上编制而成。本标准针对珊瑚骨料混凝土的配合比设计、施工、质量检验和验收等内容进行了技术规定。</w:t>
      </w:r>
    </w:p>
    <w:p>
      <w:pPr>
        <w:spacing w:line="400" w:lineRule="atLeast"/>
      </w:pPr>
      <w:r>
        <w:rPr>
          <w:b/>
        </w:rPr>
        <w:t>1.0.3</w:t>
      </w:r>
      <w:r>
        <w:t xml:space="preserve">  对于珊瑚骨料混凝土的有关技术内容，本标准规定的以本标准为准，未作规定的应按国家现行相关标准执行。</w:t>
      </w:r>
    </w:p>
    <w:p>
      <w:pPr>
        <w:spacing w:beforeLines="50"/>
      </w:pPr>
    </w:p>
    <w:p>
      <w:pPr>
        <w:spacing w:beforeLines="50"/>
      </w:pPr>
    </w:p>
    <w:p>
      <w:pPr>
        <w:pStyle w:val="50"/>
        <w:spacing w:before="312" w:after="312"/>
      </w:pPr>
      <w:r>
        <w:br w:type="page"/>
      </w:r>
      <w:bookmarkStart w:id="541" w:name="_Toc481589730"/>
      <w:bookmarkStart w:id="542" w:name="_Toc509849363"/>
      <w:bookmarkStart w:id="543" w:name="_Toc15053089"/>
      <w:bookmarkStart w:id="544" w:name="_Toc17952"/>
      <w:bookmarkStart w:id="545" w:name="_Toc509849566"/>
      <w:bookmarkStart w:id="546" w:name="_Toc481586531"/>
      <w:bookmarkStart w:id="547" w:name="_Toc481589834"/>
      <w:bookmarkStart w:id="548" w:name="_Toc19208"/>
      <w:bookmarkStart w:id="549" w:name="_Toc486247931"/>
      <w:bookmarkStart w:id="550" w:name="_Toc481589626"/>
      <w:bookmarkStart w:id="551" w:name="_Toc19001"/>
      <w:bookmarkStart w:id="552" w:name="_Toc472351498"/>
      <w:r>
        <w:t>2  术语、符号</w:t>
      </w:r>
      <w:bookmarkEnd w:id="541"/>
      <w:bookmarkEnd w:id="542"/>
      <w:bookmarkEnd w:id="543"/>
      <w:bookmarkEnd w:id="544"/>
      <w:bookmarkEnd w:id="545"/>
      <w:bookmarkEnd w:id="546"/>
      <w:bookmarkEnd w:id="547"/>
      <w:bookmarkEnd w:id="548"/>
      <w:bookmarkEnd w:id="549"/>
      <w:bookmarkEnd w:id="550"/>
      <w:bookmarkEnd w:id="551"/>
      <w:bookmarkEnd w:id="552"/>
    </w:p>
    <w:p>
      <w:pPr>
        <w:spacing w:line="400" w:lineRule="atLeast"/>
        <w:ind w:firstLine="465"/>
      </w:pPr>
      <w:r>
        <w:t>本标准是充分参考现行行业标准《轻骨料混凝土应用技术标准》JGJ/T 12的技术内容进行编制的，考虑标准之间的协调性和延续性，本标准的术语和符号也基本参考上述标准，同时还考虑尽量与国内相关标准相一致。</w:t>
      </w:r>
    </w:p>
    <w:p>
      <w:pPr>
        <w:spacing w:line="400" w:lineRule="atLeast"/>
      </w:pPr>
      <w:r>
        <w:rPr>
          <w:b/>
        </w:rPr>
        <w:t xml:space="preserve">2.1.1~2.1.3 </w:t>
      </w:r>
      <w:r>
        <w:t>本条规定了珊瑚骨料的定义。本标准所涉及的珊瑚并非生物珊瑚，而是由造礁珊瑚的</w:t>
      </w:r>
      <w:r>
        <w:fldChar w:fldCharType="begin"/>
      </w:r>
      <w:r>
        <w:instrText xml:space="preserve"> HYPERLINK "https://baike.baidu.com/item/%E9%81%97%E9%AA%B8" \t "_blank" </w:instrText>
      </w:r>
      <w:r>
        <w:fldChar w:fldCharType="separate"/>
      </w:r>
      <w:r>
        <w:t>遗骸</w:t>
      </w:r>
      <w:r>
        <w:fldChar w:fldCharType="end"/>
      </w:r>
      <w:r>
        <w:t>经过漫长的地质作用形成的岩体，其重要成分为碳酸钙，常被称为礁灰岩；经过水洗、破碎和筛分等处理后制作而成的骨料，定义为珊瑚骨料。按照粒径珊瑚骨料分为珊瑚粗骨料和珊瑚砂。</w:t>
      </w:r>
    </w:p>
    <w:p>
      <w:pPr>
        <w:spacing w:line="400" w:lineRule="atLeast"/>
      </w:pPr>
      <w:r>
        <w:rPr>
          <w:b/>
        </w:rPr>
        <w:t xml:space="preserve">2.1.4 </w:t>
      </w:r>
      <w:r>
        <w:t>本条规定了珊瑚骨料混凝土的定义。对于珊瑚骨料混凝土应充分考虑其实际应用的环境，因此规定利用珊瑚骨料配制的混凝土，且珊瑚骨料占全部骨料体积比不少于30%定义为珊瑚骨料混凝土。</w:t>
      </w:r>
    </w:p>
    <w:p>
      <w:pPr>
        <w:spacing w:line="400" w:lineRule="atLeast"/>
      </w:pPr>
      <w:r>
        <w:rPr>
          <w:b/>
        </w:rPr>
        <w:t xml:space="preserve">2.1.7 </w:t>
      </w:r>
      <w:r>
        <w:t>条中的“规定时间吸水率”是指轻骨料混凝土生产中采用未预湿轻骨料时根据其吸水性能为保证能够被充分预湿而选定的吸水时间的吸水率。</w:t>
      </w:r>
    </w:p>
    <w:p>
      <w:pPr>
        <w:pStyle w:val="50"/>
        <w:spacing w:before="312" w:after="312"/>
        <w:rPr>
          <w:sz w:val="30"/>
          <w:szCs w:val="22"/>
        </w:rPr>
      </w:pPr>
      <w:r>
        <w:br w:type="page"/>
      </w:r>
      <w:bookmarkStart w:id="553" w:name="_Toc388880972"/>
      <w:bookmarkStart w:id="554" w:name="_Toc388881387"/>
      <w:bookmarkStart w:id="555" w:name="_Toc388860312"/>
      <w:bookmarkStart w:id="556" w:name="_Toc388880771"/>
      <w:bookmarkStart w:id="557" w:name="_Toc388464242"/>
      <w:bookmarkStart w:id="558" w:name="_Toc509849364"/>
      <w:bookmarkStart w:id="559" w:name="_Toc6542"/>
      <w:bookmarkStart w:id="560" w:name="_Toc397343918"/>
      <w:bookmarkStart w:id="561" w:name="_Toc28852"/>
      <w:bookmarkStart w:id="562" w:name="_Toc397343989"/>
      <w:bookmarkStart w:id="563" w:name="_Toc486247932"/>
      <w:bookmarkStart w:id="564" w:name="_Toc15053090"/>
      <w:bookmarkStart w:id="565" w:name="_Toc481589835"/>
      <w:bookmarkStart w:id="566" w:name="_Toc398482233"/>
      <w:bookmarkStart w:id="567" w:name="_Toc509849567"/>
      <w:bookmarkStart w:id="568" w:name="_Toc481586532"/>
      <w:bookmarkStart w:id="569" w:name="_Toc481589731"/>
      <w:bookmarkStart w:id="570" w:name="_Toc15052"/>
      <w:bookmarkStart w:id="571" w:name="_Toc481589627"/>
      <w:bookmarkStart w:id="572" w:name="_Toc472351499"/>
      <w:r>
        <w:t>3  基本规定</w:t>
      </w:r>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p>
    <w:p>
      <w:pPr>
        <w:spacing w:line="400" w:lineRule="atLeast"/>
      </w:pPr>
      <w:r>
        <w:rPr>
          <w:b/>
        </w:rPr>
        <w:t>3.0.1</w:t>
      </w:r>
      <w:r>
        <w:t xml:space="preserve">  由于珊瑚骨料本身强度等物理性能指标整体上要比传统的人造轻骨料较差，结合对目前珊瑚骨料及其混凝土的性能及应用情况调研来看，利用珊瑚骨料配制的混凝土强度等级基本很难突破C50强度等级，故参考轻骨料混凝土的强度等级划分，将珊瑚骨料混凝土强度等级划分为 ：C5.0、C7.5、C10、C15、C20、C25、C30、C35、C40、C45、C50。</w:t>
      </w:r>
    </w:p>
    <w:p>
      <w:pPr>
        <w:spacing w:line="400" w:lineRule="atLeast"/>
      </w:pPr>
      <w:r>
        <w:t>采用的轻骨料混凝土强度等级未见明显突破，故对轻骨料混凝土强度等级的划分仍沿用原规程的规定。表1给出了不同强度等级及其对应的密度等级合理范围，供标准使用者参考。不同密度等级轻骨料混凝土的热物理系数可见于本标准正文表4.2.15。</w:t>
      </w:r>
    </w:p>
    <w:p>
      <w:pPr>
        <w:spacing w:line="400" w:lineRule="atLeast"/>
      </w:pPr>
      <w:r>
        <w:rPr>
          <w:b/>
        </w:rPr>
        <w:t xml:space="preserve">3.0.2 </w:t>
      </w:r>
      <w:r>
        <w:t>本条规定了珊瑚骨料混凝土制备宜采用预拌生产方式，对于珊瑚骨料混凝土可参考现行国家标准《预拌混凝土》GB/T 14902中对于预拌轻骨料混凝土有相应的规定。对于砌块等珊瑚骨料混凝土制品的生产方式则由生产单位自己选择。</w:t>
      </w:r>
    </w:p>
    <w:p>
      <w:pPr>
        <w:spacing w:line="400" w:lineRule="atLeast"/>
      </w:pPr>
      <w:r>
        <w:rPr>
          <w:b/>
        </w:rPr>
        <w:t xml:space="preserve">3.0.4  </w:t>
      </w:r>
      <w:r>
        <w:t>珊瑚骨料因含有较高的氯离子等物质，直接用于配制混凝土会严重影响结构的耐久性，造成严重的工程质量问题甚至酿成事故。珊瑚骨料的净化处理需要采用专用设备进行淡水淘洗，并去除泥、泥块、粗大的砾石和贝壳等杂质。采用简易的人工清洗，含盐量和杂质不易去除干净，且均匀性差，质量难以控制。</w:t>
      </w:r>
    </w:p>
    <w:p>
      <w:pPr>
        <w:spacing w:line="400" w:lineRule="atLeast"/>
      </w:pPr>
      <w:r>
        <w:rPr>
          <w:b/>
        </w:rPr>
        <w:t xml:space="preserve">3.0.5  </w:t>
      </w:r>
      <w:r>
        <w:t>国内外有关标准规范中，对预应力混凝土结构的氯离子总量限制最为严格。参考现行行业标准《海砂混凝土应用技术规范》JGJ 206的规定，本着确保结构安全的原则，本标准规定预应力结构不应使用珊瑚骨料混凝土。</w:t>
      </w:r>
    </w:p>
    <w:p>
      <w:pPr>
        <w:pStyle w:val="64"/>
        <w:spacing w:line="360" w:lineRule="auto"/>
      </w:pPr>
    </w:p>
    <w:p>
      <w:pPr>
        <w:spacing w:line="400" w:lineRule="atLeast"/>
      </w:pPr>
    </w:p>
    <w:p>
      <w:pPr>
        <w:spacing w:line="400" w:lineRule="atLeast"/>
      </w:pPr>
    </w:p>
    <w:p>
      <w:pPr>
        <w:spacing w:line="400" w:lineRule="atLeast"/>
      </w:pPr>
    </w:p>
    <w:p>
      <w:pPr>
        <w:spacing w:line="400" w:lineRule="atLeast"/>
        <w:rPr>
          <w:rFonts w:eastAsia="黑体"/>
          <w:b/>
        </w:rPr>
      </w:pPr>
    </w:p>
    <w:p>
      <w:pPr>
        <w:pStyle w:val="64"/>
        <w:spacing w:line="360" w:lineRule="auto"/>
        <w:ind w:firstLine="480" w:firstLineChars="200"/>
      </w:pPr>
    </w:p>
    <w:p>
      <w:pPr>
        <w:spacing w:beforeLines="50"/>
      </w:pPr>
    </w:p>
    <w:p>
      <w:pPr>
        <w:pStyle w:val="50"/>
        <w:spacing w:before="312" w:after="312"/>
      </w:pPr>
      <w:r>
        <w:br w:type="page"/>
      </w:r>
      <w:bookmarkStart w:id="573" w:name="_Toc481589836"/>
      <w:bookmarkStart w:id="574" w:name="_Toc481586533"/>
      <w:bookmarkStart w:id="575" w:name="_Toc481589732"/>
      <w:bookmarkStart w:id="576" w:name="_Toc481589628"/>
      <w:bookmarkStart w:id="577" w:name="_Toc486247933"/>
      <w:bookmarkStart w:id="578" w:name="_Toc472351500"/>
      <w:bookmarkStart w:id="579" w:name="_Toc16628"/>
      <w:bookmarkStart w:id="580" w:name="_Toc8782"/>
      <w:bookmarkStart w:id="581" w:name="_Toc509849365"/>
      <w:bookmarkStart w:id="582" w:name="_Toc509849568"/>
      <w:bookmarkStart w:id="583" w:name="_Toc12903"/>
      <w:bookmarkStart w:id="584" w:name="_Toc15053091"/>
      <w:r>
        <w:t>4  原材料</w:t>
      </w:r>
      <w:bookmarkEnd w:id="573"/>
      <w:bookmarkEnd w:id="574"/>
      <w:bookmarkEnd w:id="575"/>
      <w:bookmarkEnd w:id="576"/>
      <w:bookmarkEnd w:id="577"/>
      <w:bookmarkEnd w:id="578"/>
      <w:bookmarkEnd w:id="579"/>
      <w:bookmarkEnd w:id="580"/>
      <w:bookmarkEnd w:id="581"/>
      <w:bookmarkEnd w:id="582"/>
      <w:bookmarkEnd w:id="583"/>
      <w:bookmarkEnd w:id="584"/>
    </w:p>
    <w:p>
      <w:pPr>
        <w:spacing w:beforeLines="100" w:afterLines="100" w:line="300" w:lineRule="auto"/>
        <w:jc w:val="center"/>
        <w:outlineLvl w:val="1"/>
        <w:rPr>
          <w:b/>
          <w:bCs/>
          <w:sz w:val="24"/>
          <w:szCs w:val="24"/>
        </w:rPr>
      </w:pPr>
      <w:bookmarkStart w:id="585" w:name="_Toc15053092"/>
      <w:r>
        <w:rPr>
          <w:b/>
          <w:bCs/>
          <w:sz w:val="24"/>
          <w:szCs w:val="24"/>
        </w:rPr>
        <w:t>4.1  珊瑚粗骨料</w:t>
      </w:r>
      <w:bookmarkEnd w:id="585"/>
    </w:p>
    <w:p>
      <w:pPr>
        <w:spacing w:line="400" w:lineRule="atLeast"/>
        <w:rPr>
          <w:bCs/>
        </w:rPr>
      </w:pPr>
      <w:r>
        <w:rPr>
          <w:b/>
          <w:bCs/>
        </w:rPr>
        <w:t xml:space="preserve">4.1.1~4.1.2  </w:t>
      </w:r>
      <w:r>
        <w:rPr>
          <w:bCs/>
        </w:rPr>
        <w:t>珊瑚粗骨料的颗粒级配及其质量要求参照</w:t>
      </w:r>
      <w:r>
        <w:t>《轻集料及其试验试验方法 第2部分：轻集料试验方法》GB/T17431.2中对轻粗骨料的级配和性能要求的规定；其中筒压强度指标参考了天然轻骨料混凝土对筒压强度指标的规定；此外，考虑珊瑚骨料自身含有氯离子含量的特点，增加了对珊瑚骨料的氯离子含量的规定。关于珊瑚骨料质量的试验方法主要参考国家现行标准《轻集料及其试验试验方法 第2部分：轻集料试验方法》GB/T17431.2和《普通混凝土用砂、石质量及检验方法标准》JGJ52中对应的试验方法。</w:t>
      </w:r>
    </w:p>
    <w:p>
      <w:pPr>
        <w:spacing w:beforeLines="100" w:afterLines="100" w:line="300" w:lineRule="auto"/>
        <w:jc w:val="center"/>
        <w:outlineLvl w:val="1"/>
        <w:rPr>
          <w:b/>
          <w:bCs/>
          <w:sz w:val="24"/>
          <w:szCs w:val="24"/>
        </w:rPr>
      </w:pPr>
      <w:bookmarkStart w:id="586" w:name="_Toc15053093"/>
      <w:r>
        <w:rPr>
          <w:b/>
          <w:bCs/>
          <w:sz w:val="24"/>
          <w:szCs w:val="24"/>
        </w:rPr>
        <w:t>4.2  珊瑚砂</w:t>
      </w:r>
      <w:bookmarkEnd w:id="586"/>
    </w:p>
    <w:p>
      <w:pPr>
        <w:spacing w:line="400" w:lineRule="atLeast"/>
        <w:rPr>
          <w:b/>
          <w:bCs/>
        </w:rPr>
      </w:pPr>
      <w:r>
        <w:rPr>
          <w:b/>
          <w:bCs/>
        </w:rPr>
        <w:t xml:space="preserve">4.2.1~4.2.3 </w:t>
      </w:r>
      <w:r>
        <w:rPr>
          <w:bCs/>
        </w:rPr>
        <w:t>珊瑚砂的颗粒级配及质量要求参照</w:t>
      </w:r>
      <w:r>
        <w:t>《轻集料及其试验试验方法 第2部分：轻集料试验方法》GB/T17431.2中对轻细骨料的级配和性能要求的规定，其中还增加了氯离子含量限值的规定；结合珊瑚砂的特性及应用调研情况来看珊瑚砂宜使用中粗珊瑚砂；关于珊瑚砂质量的试验方法也主要参考国家现行标准《轻集料及其试验试验方法 第2部分：轻集料试验方法》GB/T17431.2和《普通混凝土用砂、石质量及检验方法标准》JGJ52中对应的试验方法。</w:t>
      </w:r>
    </w:p>
    <w:p>
      <w:pPr>
        <w:spacing w:beforeLines="100" w:afterLines="100" w:line="300" w:lineRule="auto"/>
        <w:jc w:val="center"/>
        <w:outlineLvl w:val="1"/>
        <w:rPr>
          <w:b/>
          <w:bCs/>
          <w:sz w:val="24"/>
          <w:szCs w:val="24"/>
        </w:rPr>
      </w:pPr>
      <w:bookmarkStart w:id="587" w:name="_Toc15053094"/>
      <w:r>
        <w:rPr>
          <w:b/>
          <w:bCs/>
          <w:sz w:val="24"/>
          <w:szCs w:val="24"/>
        </w:rPr>
        <w:t>4.3  其他原材料</w:t>
      </w:r>
      <w:bookmarkEnd w:id="587"/>
    </w:p>
    <w:p>
      <w:pPr>
        <w:spacing w:line="400" w:lineRule="atLeast"/>
      </w:pPr>
      <w:r>
        <w:rPr>
          <w:b/>
          <w:bCs/>
        </w:rPr>
        <w:t xml:space="preserve">4.3.1~4.3.6  </w:t>
      </w:r>
      <w:r>
        <w:t>珊瑚骨料混凝土的其他原材料主要是水泥、其他骨料海砂、水、各种化学外加剂和矿物掺合料。这些原材料的各项技术性能及要求都应符合行国家现行有关标准的规定。</w:t>
      </w:r>
    </w:p>
    <w:p>
      <w:pPr>
        <w:spacing w:beforeLines="50"/>
      </w:pPr>
    </w:p>
    <w:p>
      <w:pPr>
        <w:spacing w:beforeLines="50"/>
      </w:pPr>
    </w:p>
    <w:p>
      <w:pPr>
        <w:pStyle w:val="50"/>
        <w:spacing w:before="312" w:after="312"/>
      </w:pPr>
      <w:r>
        <w:br w:type="page"/>
      </w:r>
      <w:bookmarkStart w:id="588" w:name="_Toc15053095"/>
      <w:r>
        <w:t>5  珊瑚骨料混凝土性能</w:t>
      </w:r>
      <w:bookmarkEnd w:id="588"/>
    </w:p>
    <w:p>
      <w:pPr>
        <w:spacing w:beforeLines="100" w:afterLines="100" w:line="300" w:lineRule="auto"/>
        <w:jc w:val="center"/>
        <w:outlineLvl w:val="1"/>
        <w:rPr>
          <w:b/>
          <w:bCs/>
          <w:sz w:val="24"/>
          <w:szCs w:val="24"/>
        </w:rPr>
      </w:pPr>
      <w:bookmarkStart w:id="589" w:name="_Toc15053096"/>
      <w:r>
        <w:rPr>
          <w:b/>
          <w:bCs/>
          <w:sz w:val="24"/>
          <w:szCs w:val="24"/>
        </w:rPr>
        <w:t>5.1  拌合物性能</w:t>
      </w:r>
      <w:bookmarkEnd w:id="589"/>
    </w:p>
    <w:p>
      <w:pPr>
        <w:pStyle w:val="75"/>
        <w:rPr>
          <w:rFonts w:cs="Times New Roman"/>
          <w:sz w:val="21"/>
          <w:szCs w:val="21"/>
        </w:rPr>
      </w:pPr>
      <w:r>
        <w:rPr>
          <w:rFonts w:cs="Times New Roman"/>
          <w:b/>
          <w:bCs/>
          <w:sz w:val="21"/>
          <w:szCs w:val="21"/>
        </w:rPr>
        <w:t>5.1.1~5.1.5</w:t>
      </w:r>
      <w:r>
        <w:rPr>
          <w:rFonts w:cs="Times New Roman"/>
          <w:sz w:val="21"/>
          <w:szCs w:val="21"/>
        </w:rPr>
        <w:t xml:space="preserve">  对珊瑚骨料混凝土的拌合物性能和水溶性氯离子含量进行了规定，对应的技术参数与国家现行标准《预拌混凝土》GB/T 14902和《轻骨料混凝土应用技术标准》JGJ/T </w:t>
      </w:r>
      <w:r>
        <w:rPr>
          <w:rFonts w:hint="eastAsia" w:cs="Times New Roman"/>
          <w:sz w:val="21"/>
          <w:szCs w:val="21"/>
        </w:rPr>
        <w:t>12</w:t>
      </w:r>
      <w:r>
        <w:rPr>
          <w:rFonts w:cs="Times New Roman"/>
          <w:sz w:val="21"/>
          <w:szCs w:val="21"/>
        </w:rPr>
        <w:t>协调一致。</w:t>
      </w:r>
    </w:p>
    <w:p>
      <w:pPr>
        <w:spacing w:beforeLines="100" w:afterLines="100" w:line="300" w:lineRule="auto"/>
        <w:jc w:val="center"/>
        <w:outlineLvl w:val="1"/>
        <w:rPr>
          <w:b/>
          <w:bCs/>
          <w:sz w:val="24"/>
          <w:szCs w:val="24"/>
        </w:rPr>
      </w:pPr>
      <w:bookmarkStart w:id="590" w:name="_Toc15053097"/>
      <w:r>
        <w:rPr>
          <w:b/>
          <w:bCs/>
          <w:sz w:val="24"/>
          <w:szCs w:val="24"/>
        </w:rPr>
        <w:t>5.2  力学性能</w:t>
      </w:r>
      <w:bookmarkEnd w:id="590"/>
    </w:p>
    <w:p>
      <w:pPr>
        <w:pStyle w:val="75"/>
        <w:rPr>
          <w:rFonts w:cs="Times New Roman"/>
          <w:sz w:val="21"/>
          <w:szCs w:val="21"/>
        </w:rPr>
      </w:pPr>
      <w:r>
        <w:rPr>
          <w:rFonts w:cs="Times New Roman"/>
          <w:b/>
          <w:bCs/>
          <w:sz w:val="21"/>
          <w:szCs w:val="21"/>
        </w:rPr>
        <w:t>5.2.~5.2.4</w:t>
      </w:r>
      <w:r>
        <w:rPr>
          <w:rFonts w:cs="Times New Roman"/>
          <w:sz w:val="21"/>
          <w:szCs w:val="21"/>
        </w:rPr>
        <w:t xml:space="preserve">  珊瑚骨料其基本物理力学性能指标更接近轻骨料，故珊瑚骨料混凝土的力学性能主要参照现行行业标准《轻骨料混凝土应用技术标准》JGJ/T </w:t>
      </w:r>
      <w:r>
        <w:rPr>
          <w:rFonts w:hint="eastAsia" w:cs="Times New Roman"/>
          <w:sz w:val="21"/>
          <w:szCs w:val="21"/>
        </w:rPr>
        <w:t>12</w:t>
      </w:r>
      <w:r>
        <w:rPr>
          <w:rFonts w:cs="Times New Roman"/>
          <w:sz w:val="21"/>
          <w:szCs w:val="21"/>
        </w:rPr>
        <w:t>中的相关规定。</w:t>
      </w:r>
    </w:p>
    <w:p>
      <w:pPr>
        <w:spacing w:beforeLines="100" w:afterLines="100" w:line="300" w:lineRule="auto"/>
        <w:jc w:val="center"/>
        <w:outlineLvl w:val="1"/>
        <w:rPr>
          <w:b/>
          <w:bCs/>
          <w:sz w:val="24"/>
          <w:szCs w:val="24"/>
        </w:rPr>
      </w:pPr>
      <w:bookmarkStart w:id="591" w:name="_Toc15053098"/>
      <w:r>
        <w:rPr>
          <w:b/>
          <w:bCs/>
          <w:sz w:val="24"/>
          <w:szCs w:val="24"/>
        </w:rPr>
        <w:t>5.3  长期性能与耐久性能</w:t>
      </w:r>
      <w:bookmarkEnd w:id="591"/>
    </w:p>
    <w:p>
      <w:pPr>
        <w:pStyle w:val="75"/>
        <w:rPr>
          <w:rFonts w:cs="Times New Roman"/>
          <w:sz w:val="21"/>
          <w:szCs w:val="21"/>
        </w:rPr>
      </w:pPr>
      <w:r>
        <w:rPr>
          <w:rFonts w:cs="Times New Roman"/>
          <w:b/>
          <w:bCs/>
          <w:sz w:val="21"/>
          <w:szCs w:val="21"/>
        </w:rPr>
        <w:t>5.3.1~5.3.4</w:t>
      </w:r>
      <w:r>
        <w:rPr>
          <w:rFonts w:cs="Times New Roman"/>
          <w:sz w:val="21"/>
          <w:szCs w:val="21"/>
        </w:rPr>
        <w:t xml:space="preserve">  珊瑚骨料混凝土与普通混凝土同样，应具有良好的耐久性能和长期性能，本标准结合国家现行标准《混凝土结构设计规范》GB 50010和《轻骨料混凝土应用技术标准》JGJ/T 12规定的环境条件对部分耐久性指标进行了修订和完善。</w:t>
      </w:r>
    </w:p>
    <w:p>
      <w:pPr>
        <w:spacing w:beforeLines="50"/>
      </w:pPr>
    </w:p>
    <w:p>
      <w:pPr>
        <w:spacing w:beforeLines="50"/>
      </w:pPr>
    </w:p>
    <w:p>
      <w:pPr>
        <w:spacing w:beforeLines="50"/>
      </w:pPr>
    </w:p>
    <w:p>
      <w:pPr>
        <w:pStyle w:val="50"/>
        <w:spacing w:before="312" w:after="312"/>
      </w:pPr>
      <w:r>
        <w:br w:type="page"/>
      </w:r>
      <w:bookmarkStart w:id="592" w:name="_Toc481586536"/>
      <w:bookmarkStart w:id="593" w:name="_Toc15053099"/>
      <w:bookmarkStart w:id="594" w:name="_Toc481589839"/>
      <w:bookmarkStart w:id="595" w:name="_Toc509849368"/>
      <w:bookmarkStart w:id="596" w:name="_Toc486247936"/>
      <w:bookmarkStart w:id="597" w:name="_Toc21722"/>
      <w:bookmarkStart w:id="598" w:name="_Toc30128"/>
      <w:bookmarkStart w:id="599" w:name="_Toc509849571"/>
      <w:bookmarkStart w:id="600" w:name="_Toc481589735"/>
      <w:bookmarkStart w:id="601" w:name="_Toc5869"/>
      <w:bookmarkStart w:id="602" w:name="_Toc481589631"/>
      <w:bookmarkStart w:id="603" w:name="_Toc472351503"/>
      <w:r>
        <w:t>6  配合比设计</w:t>
      </w:r>
      <w:bookmarkEnd w:id="592"/>
      <w:bookmarkEnd w:id="593"/>
      <w:bookmarkEnd w:id="594"/>
      <w:bookmarkEnd w:id="595"/>
      <w:bookmarkEnd w:id="596"/>
      <w:bookmarkEnd w:id="597"/>
      <w:bookmarkEnd w:id="598"/>
      <w:bookmarkEnd w:id="599"/>
      <w:bookmarkEnd w:id="600"/>
      <w:bookmarkEnd w:id="601"/>
      <w:bookmarkEnd w:id="602"/>
      <w:bookmarkEnd w:id="603"/>
    </w:p>
    <w:p>
      <w:pPr>
        <w:spacing w:beforeLines="100" w:afterLines="100"/>
        <w:jc w:val="center"/>
        <w:outlineLvl w:val="1"/>
        <w:rPr>
          <w:b/>
          <w:bCs/>
          <w:sz w:val="24"/>
          <w:szCs w:val="24"/>
        </w:rPr>
      </w:pPr>
      <w:bookmarkStart w:id="604" w:name="_Toc5831"/>
      <w:bookmarkStart w:id="605" w:name="_Toc472351504"/>
      <w:bookmarkStart w:id="606" w:name="_Toc481589840"/>
      <w:bookmarkStart w:id="607" w:name="_Toc3803"/>
      <w:bookmarkStart w:id="608" w:name="_Toc486247937"/>
      <w:bookmarkStart w:id="609" w:name="_Toc481586537"/>
      <w:bookmarkStart w:id="610" w:name="_Toc481589632"/>
      <w:bookmarkStart w:id="611" w:name="_Toc509849369"/>
      <w:bookmarkStart w:id="612" w:name="_Toc11242"/>
      <w:bookmarkStart w:id="613" w:name="_Toc509849572"/>
      <w:bookmarkStart w:id="614" w:name="_Toc481589736"/>
      <w:bookmarkStart w:id="615" w:name="_Toc15053100"/>
      <w:r>
        <w:rPr>
          <w:b/>
          <w:bCs/>
          <w:sz w:val="24"/>
          <w:szCs w:val="24"/>
        </w:rPr>
        <w:t>6.1  一般要求</w:t>
      </w:r>
      <w:bookmarkEnd w:id="604"/>
      <w:bookmarkEnd w:id="605"/>
      <w:bookmarkEnd w:id="606"/>
      <w:bookmarkEnd w:id="607"/>
      <w:bookmarkEnd w:id="608"/>
      <w:bookmarkEnd w:id="609"/>
      <w:bookmarkEnd w:id="610"/>
      <w:bookmarkEnd w:id="611"/>
      <w:bookmarkEnd w:id="612"/>
      <w:bookmarkEnd w:id="613"/>
      <w:bookmarkEnd w:id="614"/>
      <w:bookmarkEnd w:id="615"/>
    </w:p>
    <w:p>
      <w:pPr>
        <w:pStyle w:val="75"/>
        <w:rPr>
          <w:rFonts w:cs="Times New Roman"/>
          <w:sz w:val="21"/>
          <w:szCs w:val="21"/>
        </w:rPr>
      </w:pPr>
      <w:r>
        <w:rPr>
          <w:rFonts w:cs="Times New Roman"/>
          <w:b/>
          <w:bCs/>
          <w:sz w:val="21"/>
          <w:szCs w:val="21"/>
        </w:rPr>
        <w:t>6.1.1</w:t>
      </w:r>
      <w:r>
        <w:rPr>
          <w:rFonts w:cs="Times New Roman"/>
          <w:sz w:val="21"/>
          <w:szCs w:val="21"/>
        </w:rPr>
        <w:t xml:space="preserve">  本条文规定了珊瑚骨料混凝土配合比设计的主要目的与任务。与传统轻骨料不同，珊瑚骨料属天然骨料，其密度存在一定的不可控性，而且部分珊瑚骨料超出了轻骨料的范畴，故在性能方面要求满足设计要求外，故对其表观密度没做进一步的要求。</w:t>
      </w:r>
    </w:p>
    <w:p>
      <w:pPr>
        <w:pStyle w:val="75"/>
        <w:rPr>
          <w:rFonts w:cs="Times New Roman"/>
          <w:sz w:val="21"/>
          <w:szCs w:val="21"/>
        </w:rPr>
      </w:pPr>
      <w:r>
        <w:rPr>
          <w:rFonts w:cs="Times New Roman"/>
          <w:b/>
          <w:sz w:val="21"/>
          <w:szCs w:val="21"/>
        </w:rPr>
        <w:t>6.1.2</w:t>
      </w:r>
      <w:r>
        <w:rPr>
          <w:rFonts w:cs="Times New Roman"/>
          <w:sz w:val="21"/>
          <w:szCs w:val="21"/>
        </w:rPr>
        <w:t xml:space="preserve">  本条规定了珊瑚骨料混凝土在配合比设计和原材料选用原则。</w:t>
      </w:r>
    </w:p>
    <w:p>
      <w:pPr>
        <w:pStyle w:val="75"/>
        <w:rPr>
          <w:rFonts w:cs="Times New Roman"/>
          <w:sz w:val="21"/>
          <w:szCs w:val="21"/>
        </w:rPr>
      </w:pPr>
      <w:r>
        <w:rPr>
          <w:rFonts w:cs="Times New Roman"/>
          <w:b/>
          <w:sz w:val="21"/>
          <w:szCs w:val="21"/>
        </w:rPr>
        <w:t>6.1.3</w:t>
      </w:r>
      <w:r>
        <w:rPr>
          <w:rFonts w:cs="Times New Roman"/>
          <w:sz w:val="21"/>
          <w:szCs w:val="21"/>
        </w:rPr>
        <w:t xml:space="preserve">  鉴于珊瑚骨料混凝土技术的发展，为改善某些性能指标或受实际客观条件限制，在珊瑚骨料混凝土中存在同时采用两种不同品种的骨料的情况，使用多种骨料配制珊瑚骨料混凝土也是需要考虑的情况，由于多种骨料配制珊瑚骨料混凝土情况相对复杂，影响因素较多，故掺用的比例应通过试验确定。</w:t>
      </w:r>
    </w:p>
    <w:p>
      <w:pPr>
        <w:pStyle w:val="75"/>
        <w:rPr>
          <w:rFonts w:cs="Times New Roman"/>
          <w:sz w:val="21"/>
          <w:szCs w:val="21"/>
        </w:rPr>
      </w:pPr>
      <w:r>
        <w:rPr>
          <w:rFonts w:cs="Times New Roman"/>
          <w:b/>
          <w:sz w:val="21"/>
          <w:szCs w:val="21"/>
        </w:rPr>
        <w:t>6.1.4</w:t>
      </w:r>
      <w:r>
        <w:rPr>
          <w:rFonts w:cs="Times New Roman"/>
          <w:sz w:val="21"/>
          <w:szCs w:val="21"/>
        </w:rPr>
        <w:t xml:space="preserve">  化学外加剂和掺和料品种很多，性能各异。其品种与掺量会对水泥适应性的产生影响，因此，为了保证珊瑚骨料混凝土的施工质量，特制定本条文。</w:t>
      </w:r>
    </w:p>
    <w:p>
      <w:pPr>
        <w:spacing w:beforeLines="100" w:afterLines="100" w:line="300" w:lineRule="auto"/>
        <w:jc w:val="center"/>
        <w:outlineLvl w:val="1"/>
        <w:rPr>
          <w:b/>
          <w:bCs/>
          <w:sz w:val="24"/>
          <w:szCs w:val="24"/>
        </w:rPr>
      </w:pPr>
      <w:bookmarkStart w:id="616" w:name="_Toc17842"/>
      <w:bookmarkStart w:id="617" w:name="_Toc15053101"/>
      <w:bookmarkStart w:id="618" w:name="_Toc486247938"/>
      <w:bookmarkStart w:id="619" w:name="_Toc481586538"/>
      <w:bookmarkStart w:id="620" w:name="_Toc509849573"/>
      <w:bookmarkStart w:id="621" w:name="_Toc481589841"/>
      <w:bookmarkStart w:id="622" w:name="_Toc509849370"/>
      <w:bookmarkStart w:id="623" w:name="_Toc481589737"/>
      <w:bookmarkStart w:id="624" w:name="_Toc22230"/>
      <w:bookmarkStart w:id="625" w:name="_Toc28539"/>
      <w:bookmarkStart w:id="626" w:name="_Toc481589633"/>
      <w:bookmarkStart w:id="627" w:name="_Toc472351505"/>
      <w:r>
        <w:rPr>
          <w:b/>
          <w:bCs/>
          <w:sz w:val="24"/>
          <w:szCs w:val="24"/>
        </w:rPr>
        <w:t>6.2 配制强度的确定</w:t>
      </w:r>
      <w:bookmarkEnd w:id="616"/>
      <w:bookmarkEnd w:id="617"/>
      <w:bookmarkEnd w:id="618"/>
      <w:bookmarkEnd w:id="619"/>
      <w:bookmarkEnd w:id="620"/>
      <w:bookmarkEnd w:id="621"/>
      <w:bookmarkEnd w:id="622"/>
      <w:bookmarkEnd w:id="623"/>
      <w:bookmarkEnd w:id="624"/>
      <w:bookmarkEnd w:id="625"/>
      <w:bookmarkEnd w:id="626"/>
      <w:bookmarkEnd w:id="627"/>
    </w:p>
    <w:p>
      <w:pPr>
        <w:pStyle w:val="75"/>
        <w:rPr>
          <w:rFonts w:cs="Times New Roman"/>
          <w:sz w:val="21"/>
          <w:szCs w:val="21"/>
        </w:rPr>
      </w:pPr>
      <w:r>
        <w:rPr>
          <w:rFonts w:cs="Times New Roman"/>
          <w:b/>
          <w:bCs/>
          <w:sz w:val="21"/>
          <w:szCs w:val="21"/>
        </w:rPr>
        <w:t>6.2.1</w:t>
      </w:r>
      <w:r>
        <w:rPr>
          <w:rFonts w:cs="Times New Roman"/>
          <w:sz w:val="21"/>
          <w:szCs w:val="21"/>
        </w:rPr>
        <w:t xml:space="preserve">  本条文规定了配制强度的确定方法，强调珊瑚骨料混凝土的配合比应通过计算和试配确定。和普通混凝土一样，配制强度应具有95%的保证率。</w:t>
      </w:r>
    </w:p>
    <w:p>
      <w:pPr>
        <w:pStyle w:val="75"/>
        <w:rPr>
          <w:rFonts w:cs="Times New Roman"/>
          <w:sz w:val="21"/>
          <w:szCs w:val="21"/>
        </w:rPr>
      </w:pPr>
      <w:r>
        <w:rPr>
          <w:rFonts w:cs="Times New Roman"/>
          <w:b/>
          <w:bCs/>
          <w:sz w:val="21"/>
          <w:szCs w:val="21"/>
        </w:rPr>
        <w:t>6.2.2</w:t>
      </w:r>
      <w:r>
        <w:rPr>
          <w:rFonts w:cs="Times New Roman"/>
          <w:sz w:val="21"/>
          <w:szCs w:val="21"/>
        </w:rPr>
        <w:t xml:space="preserve">  本条规定了珊瑚骨料混凝土强度标准差应根据同品种、同强度等级混凝土的统计资料计算确定，而且规定了强度试件组数不应少于30组。同时也规定了对于无统计资料时，强度标准差的取值方法，并且强度标准差的取值与现行行业标准《轻骨料混凝土技术标准》JGJ/T 12相一致。</w:t>
      </w:r>
    </w:p>
    <w:p>
      <w:pPr>
        <w:spacing w:beforeLines="100" w:afterLines="100"/>
        <w:jc w:val="center"/>
        <w:outlineLvl w:val="1"/>
        <w:rPr>
          <w:b/>
          <w:bCs/>
          <w:sz w:val="24"/>
          <w:szCs w:val="24"/>
        </w:rPr>
      </w:pPr>
      <w:bookmarkStart w:id="628" w:name="_Toc481586539"/>
      <w:bookmarkStart w:id="629" w:name="_Toc481589738"/>
      <w:bookmarkStart w:id="630" w:name="_Toc15053102"/>
      <w:bookmarkStart w:id="631" w:name="_Toc472351506"/>
      <w:bookmarkStart w:id="632" w:name="_Toc481589634"/>
      <w:bookmarkStart w:id="633" w:name="_Toc509849574"/>
      <w:bookmarkStart w:id="634" w:name="_Toc1067"/>
      <w:bookmarkStart w:id="635" w:name="_Toc27236"/>
      <w:bookmarkStart w:id="636" w:name="_Toc481589842"/>
      <w:bookmarkStart w:id="637" w:name="_Toc30459"/>
      <w:bookmarkStart w:id="638" w:name="_Toc509849371"/>
      <w:bookmarkStart w:id="639" w:name="_Toc486247939"/>
      <w:r>
        <w:rPr>
          <w:b/>
          <w:bCs/>
          <w:sz w:val="24"/>
          <w:szCs w:val="24"/>
        </w:rPr>
        <w:t>6.3 耐久性能和长期性能要求</w:t>
      </w:r>
      <w:bookmarkEnd w:id="628"/>
      <w:bookmarkEnd w:id="629"/>
      <w:bookmarkEnd w:id="630"/>
      <w:bookmarkEnd w:id="631"/>
      <w:bookmarkEnd w:id="632"/>
      <w:bookmarkEnd w:id="633"/>
      <w:bookmarkEnd w:id="634"/>
      <w:bookmarkEnd w:id="635"/>
      <w:bookmarkEnd w:id="636"/>
      <w:bookmarkEnd w:id="637"/>
      <w:bookmarkEnd w:id="638"/>
      <w:bookmarkEnd w:id="639"/>
    </w:p>
    <w:p>
      <w:pPr>
        <w:pStyle w:val="75"/>
        <w:rPr>
          <w:rFonts w:cs="Times New Roman"/>
          <w:bCs/>
          <w:sz w:val="21"/>
          <w:szCs w:val="21"/>
        </w:rPr>
      </w:pPr>
      <w:r>
        <w:rPr>
          <w:rFonts w:cs="Times New Roman"/>
          <w:b/>
          <w:bCs/>
          <w:sz w:val="21"/>
          <w:szCs w:val="21"/>
        </w:rPr>
        <w:t xml:space="preserve">6.3.2  </w:t>
      </w:r>
      <w:r>
        <w:rPr>
          <w:rFonts w:cs="Times New Roman"/>
          <w:bCs/>
          <w:sz w:val="21"/>
          <w:szCs w:val="21"/>
        </w:rPr>
        <w:t>在珊瑚骨料混凝土配合比设计时，珊瑚骨料混凝土的配合比是否满足耐久性能和长期性能要求应通过试验验证。</w:t>
      </w:r>
    </w:p>
    <w:p>
      <w:pPr>
        <w:pStyle w:val="75"/>
        <w:rPr>
          <w:rFonts w:cs="Times New Roman"/>
          <w:b/>
          <w:bCs/>
          <w:sz w:val="21"/>
          <w:szCs w:val="21"/>
        </w:rPr>
      </w:pPr>
      <w:r>
        <w:rPr>
          <w:rFonts w:cs="Times New Roman"/>
          <w:b/>
          <w:bCs/>
          <w:sz w:val="21"/>
          <w:szCs w:val="21"/>
        </w:rPr>
        <w:t xml:space="preserve">6.3.3~6.3.5  </w:t>
      </w:r>
      <w:r>
        <w:rPr>
          <w:rFonts w:cs="Times New Roman"/>
          <w:bCs/>
          <w:sz w:val="21"/>
          <w:szCs w:val="21"/>
        </w:rPr>
        <w:t>分别针对抗裂、抗水渗、抗氯离子渗透性能对珊瑚骨料混凝土的净水胶比范围、胶凝材料用量和矿物掺合料掺量等参数进行了规定，以确保珊瑚骨料混凝土对应耐久性能满足设计要求。</w:t>
      </w:r>
    </w:p>
    <w:p>
      <w:pPr>
        <w:spacing w:beforeLines="100" w:afterLines="100"/>
        <w:jc w:val="center"/>
        <w:outlineLvl w:val="1"/>
        <w:rPr>
          <w:b/>
          <w:bCs/>
          <w:sz w:val="24"/>
          <w:szCs w:val="24"/>
        </w:rPr>
      </w:pPr>
      <w:bookmarkStart w:id="640" w:name="_Toc472351507"/>
      <w:bookmarkStart w:id="641" w:name="_Toc481589739"/>
      <w:bookmarkStart w:id="642" w:name="_Toc509849372"/>
      <w:bookmarkStart w:id="643" w:name="_Toc15053103"/>
      <w:bookmarkStart w:id="644" w:name="_Toc3236"/>
      <w:bookmarkStart w:id="645" w:name="_Toc486247940"/>
      <w:bookmarkStart w:id="646" w:name="_Toc481586540"/>
      <w:bookmarkStart w:id="647" w:name="_Toc30351"/>
      <w:bookmarkStart w:id="648" w:name="_Toc509849575"/>
      <w:bookmarkStart w:id="649" w:name="_Toc32718"/>
      <w:bookmarkStart w:id="650" w:name="_Toc481589843"/>
      <w:bookmarkStart w:id="651" w:name="_Toc481589635"/>
      <w:r>
        <w:rPr>
          <w:b/>
          <w:bCs/>
          <w:sz w:val="24"/>
          <w:szCs w:val="24"/>
        </w:rPr>
        <w:t>6.4 配合比设计参数选择</w:t>
      </w:r>
      <w:bookmarkEnd w:id="640"/>
      <w:bookmarkEnd w:id="641"/>
      <w:bookmarkEnd w:id="642"/>
      <w:bookmarkEnd w:id="643"/>
      <w:bookmarkEnd w:id="644"/>
      <w:bookmarkEnd w:id="645"/>
      <w:bookmarkEnd w:id="646"/>
      <w:bookmarkEnd w:id="647"/>
      <w:bookmarkEnd w:id="648"/>
      <w:bookmarkEnd w:id="649"/>
      <w:bookmarkEnd w:id="650"/>
      <w:bookmarkEnd w:id="651"/>
    </w:p>
    <w:p>
      <w:pPr>
        <w:pStyle w:val="75"/>
        <w:rPr>
          <w:rFonts w:cs="Times New Roman"/>
          <w:sz w:val="21"/>
          <w:szCs w:val="21"/>
        </w:rPr>
      </w:pPr>
      <w:r>
        <w:rPr>
          <w:rFonts w:cs="Times New Roman"/>
          <w:b/>
          <w:bCs/>
          <w:sz w:val="21"/>
          <w:szCs w:val="21"/>
        </w:rPr>
        <w:t>6.4.1~6.4.2</w:t>
      </w:r>
      <w:r>
        <w:rPr>
          <w:rFonts w:cs="Times New Roman"/>
          <w:sz w:val="21"/>
          <w:szCs w:val="21"/>
        </w:rPr>
        <w:t xml:space="preserve">  规定了对于不同配制强度珊瑚骨料混凝土的胶凝材料用量参照表6.4.1进行取值。本条在参考了现行行业标准《轻骨料混凝土应用技术标准》JGJ/T 12中对应的胶凝材料用量规定的基础上，经试验验证确定胶凝材料的用量范围。在实际配合比试验过程中，由于天然珊瑚骨料性能差异较大胶凝材料用量可根据设计要求做适当调整。 </w:t>
      </w:r>
    </w:p>
    <w:p>
      <w:pPr>
        <w:pStyle w:val="75"/>
        <w:rPr>
          <w:rFonts w:cs="Times New Roman"/>
          <w:sz w:val="21"/>
          <w:szCs w:val="21"/>
        </w:rPr>
      </w:pPr>
      <w:r>
        <w:rPr>
          <w:rFonts w:cs="Times New Roman"/>
          <w:b/>
          <w:bCs/>
          <w:sz w:val="21"/>
          <w:szCs w:val="21"/>
        </w:rPr>
        <w:t xml:space="preserve">6.4.3  </w:t>
      </w:r>
      <w:r>
        <w:rPr>
          <w:rFonts w:cs="Times New Roman"/>
          <w:sz w:val="21"/>
          <w:szCs w:val="21"/>
        </w:rPr>
        <w:t>目前在混凝土中使用矿物掺合料是普遍现象，在珊瑚骨料混凝土配制和生产中也是普遍现象，因此在珊瑚骨料混凝土配制过程中应考虑矿物掺合料的掺量，不同种类的矿物掺合料、不同水泥种类的不同净水胶比的轻骨料混凝土中发挥的作用和影响也不同。本条规定具体掺合料掺量应经过试验验证确定，而最大掺量则应符合现行行业标准《轻骨料混凝土应用技术标准》JGJ/T 12的规定。</w:t>
      </w:r>
    </w:p>
    <w:p>
      <w:pPr>
        <w:pStyle w:val="75"/>
        <w:rPr>
          <w:rFonts w:cs="Times New Roman"/>
          <w:sz w:val="21"/>
          <w:szCs w:val="21"/>
        </w:rPr>
      </w:pPr>
      <w:r>
        <w:rPr>
          <w:rFonts w:cs="Times New Roman"/>
          <w:b/>
          <w:bCs/>
          <w:sz w:val="21"/>
          <w:szCs w:val="21"/>
        </w:rPr>
        <w:t>6.4.4</w:t>
      </w:r>
      <w:r>
        <w:rPr>
          <w:rFonts w:cs="Times New Roman"/>
          <w:sz w:val="21"/>
          <w:szCs w:val="21"/>
        </w:rPr>
        <w:t xml:space="preserve">  根据十多年来生产和工程实践经验，表5.4.3中增加振动加压成型，是为适应某些干硬性混凝土生产的需要，如砌块等；坍落度加大，是根据减水剂的普遍使用、混凝土搅拌运输车出料和施工操作要求等多方面技术发展情况调整的。</w:t>
      </w:r>
    </w:p>
    <w:p>
      <w:pPr>
        <w:pStyle w:val="75"/>
        <w:rPr>
          <w:rFonts w:cs="Times New Roman"/>
          <w:sz w:val="21"/>
          <w:szCs w:val="21"/>
        </w:rPr>
      </w:pPr>
      <w:r>
        <w:rPr>
          <w:rFonts w:cs="Times New Roman"/>
          <w:b/>
          <w:bCs/>
          <w:sz w:val="21"/>
          <w:szCs w:val="21"/>
        </w:rPr>
        <w:t>6.4.5</w:t>
      </w:r>
      <w:r>
        <w:rPr>
          <w:rFonts w:cs="Times New Roman"/>
          <w:sz w:val="21"/>
          <w:szCs w:val="21"/>
        </w:rPr>
        <w:t xml:space="preserve">  轻骨料混凝土的砂率应以体积砂率表示，即细骨料体积与粗细骨料总体积之比。体积可采用松散体积或绝对体积表示。其对应的砂率为松散体积砂率或绝对体积砂率。随其配合比设计方法不同，采用砂率表示方法也不同：采用松散体积法设计配合比则用松散体积砂率表示。考虑到珊瑚骨料的特性，本标准均采用绝对体积进行计算和配合设计。本条文规定了珊瑚骨料混凝土砂率特殊的表示方法，及不同用途珊瑚骨料混凝土的砂率值的变化范围。具体的体积砂率参考了现行行业标准《轻骨料混凝土应用技术标准》JGJ/T 12的规定，经试验验证可适用于珊瑚骨料混凝土。</w:t>
      </w:r>
    </w:p>
    <w:p>
      <w:pPr>
        <w:spacing w:beforeLines="100" w:afterLines="100"/>
        <w:jc w:val="center"/>
        <w:outlineLvl w:val="1"/>
        <w:rPr>
          <w:b/>
          <w:bCs/>
          <w:sz w:val="24"/>
          <w:szCs w:val="24"/>
        </w:rPr>
      </w:pPr>
      <w:bookmarkStart w:id="652" w:name="_Toc25129"/>
      <w:bookmarkStart w:id="653" w:name="_Toc481589636"/>
      <w:bookmarkStart w:id="654" w:name="_Toc481589740"/>
      <w:bookmarkStart w:id="655" w:name="_Toc3655"/>
      <w:bookmarkStart w:id="656" w:name="_Toc481589844"/>
      <w:bookmarkStart w:id="657" w:name="_Toc486247941"/>
      <w:bookmarkStart w:id="658" w:name="_Toc509849576"/>
      <w:bookmarkStart w:id="659" w:name="_Toc15053104"/>
      <w:bookmarkStart w:id="660" w:name="_Toc472351508"/>
      <w:bookmarkStart w:id="661" w:name="_Toc509849373"/>
      <w:bookmarkStart w:id="662" w:name="_Toc11664"/>
      <w:bookmarkStart w:id="663" w:name="_Toc481586541"/>
      <w:r>
        <w:rPr>
          <w:b/>
          <w:bCs/>
          <w:sz w:val="24"/>
          <w:szCs w:val="24"/>
        </w:rPr>
        <w:t>6.5  配合比计算与调整</w:t>
      </w:r>
      <w:bookmarkEnd w:id="652"/>
      <w:bookmarkEnd w:id="653"/>
      <w:bookmarkEnd w:id="654"/>
      <w:bookmarkEnd w:id="655"/>
      <w:bookmarkEnd w:id="656"/>
      <w:bookmarkEnd w:id="657"/>
      <w:bookmarkEnd w:id="658"/>
      <w:bookmarkEnd w:id="659"/>
      <w:bookmarkEnd w:id="660"/>
      <w:bookmarkEnd w:id="661"/>
      <w:bookmarkEnd w:id="662"/>
      <w:bookmarkEnd w:id="663"/>
    </w:p>
    <w:p>
      <w:pPr>
        <w:pStyle w:val="75"/>
        <w:rPr>
          <w:rFonts w:cs="Times New Roman"/>
          <w:sz w:val="21"/>
          <w:szCs w:val="21"/>
        </w:rPr>
      </w:pPr>
      <w:r>
        <w:rPr>
          <w:rFonts w:cs="Times New Roman"/>
          <w:b/>
          <w:bCs/>
          <w:sz w:val="21"/>
          <w:szCs w:val="21"/>
        </w:rPr>
        <w:t>6.5.1</w:t>
      </w:r>
      <w:r>
        <w:rPr>
          <w:rFonts w:cs="Times New Roman"/>
          <w:sz w:val="21"/>
          <w:szCs w:val="21"/>
        </w:rPr>
        <w:t xml:space="preserve">  本条规定了宜采用绝对体积法进行珊瑚骨料混凝土的配合设计，而且配合比计算中粗细骨料用量均以干燥状态为基准，上述规定综合考虑了我国现行行业标准《轻骨料混凝土应用技术标准》JGJ/T </w:t>
      </w:r>
      <w:r>
        <w:rPr>
          <w:rFonts w:hint="eastAsia" w:cs="Times New Roman"/>
          <w:sz w:val="21"/>
          <w:szCs w:val="21"/>
        </w:rPr>
        <w:t>12</w:t>
      </w:r>
      <w:r>
        <w:rPr>
          <w:rFonts w:cs="Times New Roman"/>
          <w:sz w:val="21"/>
          <w:szCs w:val="21"/>
        </w:rPr>
        <w:t>和《普通混凝土配合比设计规程》JGJ 55中配合比设计要求的规定。</w:t>
      </w:r>
    </w:p>
    <w:p>
      <w:pPr>
        <w:pStyle w:val="75"/>
        <w:rPr>
          <w:rFonts w:cs="Times New Roman"/>
          <w:sz w:val="21"/>
          <w:szCs w:val="21"/>
        </w:rPr>
      </w:pPr>
      <w:r>
        <w:rPr>
          <w:rFonts w:cs="Times New Roman"/>
          <w:b/>
          <w:bCs/>
          <w:sz w:val="21"/>
          <w:szCs w:val="21"/>
        </w:rPr>
        <w:t>6.5.2</w:t>
      </w:r>
      <w:r>
        <w:rPr>
          <w:rFonts w:cs="Times New Roman"/>
          <w:sz w:val="21"/>
          <w:szCs w:val="21"/>
        </w:rPr>
        <w:t xml:space="preserve">  绝对体积法是按每立方米混凝土的绝对体积为各组成材料的绝对体积之和进行计算。绝对体积法概念明确，便于计算。但由于原材料的某些设计参数，如粗、细骨料的颗粒表观密度和水泥的密度等，设计需经试验确定，有时不能满足在施工中经常检测，及时调整配合比的要求。若不采用实测值，而是按一般的资料任取一个经验值进行计算，则可能带来配合比设计结果的较大误差，影响工程质量。但对于质量稳定的常规原材料，绝对体积法仍是适用的。考虑珊瑚骨料介于轻骨料和普通骨料之间，故本标准推荐使用绝对体积法进行珊瑚骨料混凝土的配合比设计。</w:t>
      </w:r>
    </w:p>
    <w:p>
      <w:pPr>
        <w:pStyle w:val="75"/>
        <w:rPr>
          <w:rFonts w:cs="Times New Roman"/>
          <w:sz w:val="21"/>
          <w:szCs w:val="21"/>
        </w:rPr>
      </w:pPr>
      <w:r>
        <w:rPr>
          <w:rFonts w:cs="Times New Roman"/>
          <w:b/>
          <w:bCs/>
          <w:sz w:val="21"/>
          <w:szCs w:val="21"/>
        </w:rPr>
        <w:t>6.5.3</w:t>
      </w:r>
      <w:r>
        <w:rPr>
          <w:rFonts w:cs="Times New Roman"/>
          <w:sz w:val="21"/>
          <w:szCs w:val="21"/>
        </w:rPr>
        <w:t xml:space="preserve">  本条规定了最终的轻骨料混凝土配合比需经调整确定。具体调整步骤应结合试配混凝土的计算湿表观密度、拌合物密度、干表观密度参数进行。</w:t>
      </w:r>
    </w:p>
    <w:p>
      <w:pPr>
        <w:pStyle w:val="75"/>
        <w:tabs>
          <w:tab w:val="left" w:pos="6945"/>
        </w:tabs>
        <w:rPr>
          <w:rFonts w:cs="Times New Roman"/>
          <w:b/>
          <w:bCs/>
          <w:sz w:val="21"/>
          <w:szCs w:val="21"/>
        </w:rPr>
      </w:pPr>
      <w:r>
        <w:rPr>
          <w:rFonts w:cs="Times New Roman"/>
          <w:b/>
          <w:bCs/>
          <w:sz w:val="21"/>
          <w:szCs w:val="21"/>
        </w:rPr>
        <w:t xml:space="preserve">6.5.4~6.5.7  </w:t>
      </w:r>
      <w:r>
        <w:rPr>
          <w:rFonts w:cs="Times New Roman"/>
          <w:bCs/>
          <w:sz w:val="21"/>
          <w:szCs w:val="21"/>
        </w:rPr>
        <w:t>对于调整确定的轻骨料混凝土配合比，规定了水溶性氯离子含量和相关耐久性指标应分别符合现行国家标准《混凝土质量控制标准》GB 50164规定和设计要求，并通过试验验证</w:t>
      </w:r>
      <w:r>
        <w:rPr>
          <w:rFonts w:cs="Times New Roman"/>
          <w:b/>
          <w:bCs/>
          <w:sz w:val="21"/>
          <w:szCs w:val="21"/>
        </w:rPr>
        <w:t>。</w:t>
      </w:r>
    </w:p>
    <w:p>
      <w:pPr>
        <w:pStyle w:val="50"/>
        <w:spacing w:before="312" w:after="312"/>
        <w:rPr>
          <w:sz w:val="30"/>
          <w:szCs w:val="22"/>
        </w:rPr>
      </w:pPr>
      <w:r>
        <w:rPr>
          <w:b w:val="0"/>
          <w:bCs w:val="0"/>
          <w:sz w:val="21"/>
          <w:szCs w:val="21"/>
        </w:rPr>
        <w:br w:type="page"/>
      </w:r>
      <w:bookmarkStart w:id="664" w:name="_Toc481589655"/>
      <w:bookmarkStart w:id="665" w:name="_Toc481586560"/>
      <w:bookmarkStart w:id="666" w:name="_Toc481589759"/>
      <w:bookmarkStart w:id="667" w:name="_Toc472351527"/>
      <w:bookmarkStart w:id="668" w:name="_Toc509849392"/>
      <w:bookmarkStart w:id="669" w:name="_Toc12808"/>
      <w:bookmarkStart w:id="670" w:name="_Toc509849595"/>
      <w:bookmarkStart w:id="671" w:name="_Toc481589863"/>
      <w:bookmarkStart w:id="672" w:name="_Toc15053105"/>
      <w:bookmarkStart w:id="673" w:name="_Toc24935"/>
      <w:bookmarkStart w:id="674" w:name="_Toc486247964"/>
      <w:bookmarkStart w:id="675" w:name="_Toc31826"/>
      <w:r>
        <w:t>7  生产与施工</w:t>
      </w:r>
      <w:bookmarkEnd w:id="664"/>
      <w:bookmarkEnd w:id="665"/>
      <w:bookmarkEnd w:id="666"/>
      <w:bookmarkEnd w:id="667"/>
      <w:bookmarkEnd w:id="668"/>
      <w:bookmarkEnd w:id="669"/>
      <w:bookmarkEnd w:id="670"/>
      <w:bookmarkEnd w:id="671"/>
      <w:bookmarkEnd w:id="672"/>
      <w:bookmarkEnd w:id="673"/>
      <w:bookmarkEnd w:id="674"/>
      <w:bookmarkEnd w:id="675"/>
    </w:p>
    <w:p>
      <w:pPr>
        <w:spacing w:beforeLines="100" w:afterLines="100"/>
        <w:jc w:val="center"/>
        <w:outlineLvl w:val="1"/>
        <w:rPr>
          <w:b/>
          <w:bCs/>
          <w:sz w:val="24"/>
          <w:szCs w:val="24"/>
        </w:rPr>
      </w:pPr>
      <w:bookmarkStart w:id="676" w:name="_Toc15267"/>
      <w:bookmarkStart w:id="677" w:name="_Toc15053106"/>
      <w:bookmarkStart w:id="678" w:name="_Toc486247965"/>
      <w:bookmarkStart w:id="679" w:name="_Toc481589864"/>
      <w:bookmarkStart w:id="680" w:name="_Toc20574"/>
      <w:bookmarkStart w:id="681" w:name="_Toc481589656"/>
      <w:bookmarkStart w:id="682" w:name="_Toc481589760"/>
      <w:bookmarkStart w:id="683" w:name="_Toc472351528"/>
      <w:bookmarkStart w:id="684" w:name="_Toc6954"/>
      <w:bookmarkStart w:id="685" w:name="_Toc509849596"/>
      <w:bookmarkStart w:id="686" w:name="_Toc509849393"/>
      <w:bookmarkStart w:id="687" w:name="_Toc481586561"/>
      <w:r>
        <w:rPr>
          <w:b/>
          <w:bCs/>
          <w:sz w:val="24"/>
          <w:szCs w:val="24"/>
        </w:rPr>
        <w:t>7.1  一般规定</w:t>
      </w:r>
      <w:bookmarkEnd w:id="676"/>
      <w:bookmarkEnd w:id="677"/>
      <w:bookmarkEnd w:id="678"/>
      <w:bookmarkEnd w:id="679"/>
      <w:bookmarkEnd w:id="680"/>
      <w:bookmarkEnd w:id="681"/>
      <w:bookmarkEnd w:id="682"/>
      <w:bookmarkEnd w:id="683"/>
      <w:bookmarkEnd w:id="684"/>
      <w:bookmarkEnd w:id="685"/>
      <w:bookmarkEnd w:id="686"/>
      <w:bookmarkEnd w:id="687"/>
    </w:p>
    <w:p>
      <w:pPr>
        <w:pStyle w:val="75"/>
        <w:rPr>
          <w:rFonts w:cs="Times New Roman"/>
          <w:sz w:val="21"/>
          <w:szCs w:val="21"/>
        </w:rPr>
      </w:pPr>
      <w:r>
        <w:rPr>
          <w:rFonts w:cs="Times New Roman"/>
          <w:b/>
          <w:bCs/>
          <w:sz w:val="21"/>
          <w:szCs w:val="21"/>
        </w:rPr>
        <w:t>7.1.2~7.1.3</w:t>
      </w:r>
      <w:r>
        <w:rPr>
          <w:rFonts w:cs="Times New Roman"/>
          <w:sz w:val="21"/>
          <w:szCs w:val="21"/>
        </w:rPr>
        <w:t xml:space="preserve">  对珊瑚骨料在使用前的预湿处理进行了具体规定。强调按照施工工艺、低吸水率骨料和低温情况下的处理措施。</w:t>
      </w:r>
    </w:p>
    <w:p>
      <w:pPr>
        <w:spacing w:beforeLines="100" w:afterLines="100"/>
        <w:jc w:val="center"/>
        <w:outlineLvl w:val="1"/>
        <w:rPr>
          <w:b/>
          <w:bCs/>
          <w:sz w:val="24"/>
          <w:szCs w:val="24"/>
        </w:rPr>
      </w:pPr>
      <w:bookmarkStart w:id="688" w:name="_Toc481589657"/>
      <w:bookmarkStart w:id="689" w:name="_Toc479"/>
      <w:bookmarkStart w:id="690" w:name="_Toc509849394"/>
      <w:bookmarkStart w:id="691" w:name="_Toc481589865"/>
      <w:bookmarkStart w:id="692" w:name="_Toc11665"/>
      <w:bookmarkStart w:id="693" w:name="_Toc481586562"/>
      <w:bookmarkStart w:id="694" w:name="_Toc24250"/>
      <w:bookmarkStart w:id="695" w:name="_Toc486247966"/>
      <w:bookmarkStart w:id="696" w:name="_Toc15053107"/>
      <w:bookmarkStart w:id="697" w:name="_Toc472351529"/>
      <w:bookmarkStart w:id="698" w:name="_Toc481589761"/>
      <w:bookmarkStart w:id="699" w:name="_Toc509849597"/>
      <w:r>
        <w:rPr>
          <w:b/>
          <w:bCs/>
          <w:sz w:val="24"/>
          <w:szCs w:val="24"/>
        </w:rPr>
        <w:t>7.2 原材料进场</w:t>
      </w:r>
      <w:bookmarkEnd w:id="688"/>
      <w:bookmarkEnd w:id="689"/>
      <w:bookmarkEnd w:id="690"/>
      <w:bookmarkEnd w:id="691"/>
      <w:bookmarkEnd w:id="692"/>
      <w:bookmarkEnd w:id="693"/>
      <w:bookmarkEnd w:id="694"/>
      <w:bookmarkEnd w:id="695"/>
      <w:bookmarkEnd w:id="696"/>
      <w:bookmarkEnd w:id="697"/>
      <w:bookmarkEnd w:id="698"/>
      <w:bookmarkEnd w:id="699"/>
    </w:p>
    <w:p>
      <w:pPr>
        <w:pStyle w:val="75"/>
        <w:rPr>
          <w:rFonts w:cs="Times New Roman"/>
          <w:sz w:val="21"/>
          <w:szCs w:val="21"/>
        </w:rPr>
      </w:pPr>
      <w:r>
        <w:rPr>
          <w:rFonts w:cs="Times New Roman"/>
          <w:b/>
          <w:bCs/>
          <w:sz w:val="21"/>
          <w:szCs w:val="21"/>
        </w:rPr>
        <w:t>7.2.1</w:t>
      </w:r>
      <w:r>
        <w:rPr>
          <w:rFonts w:cs="Times New Roman"/>
          <w:sz w:val="21"/>
          <w:szCs w:val="21"/>
        </w:rPr>
        <w:t xml:space="preserve">  强调原材料进场，应符合现行国家标准《混凝土质量控制标准》GB 50164和《混凝土结构工程施工规范》GB 50666对相应原材料的规定。</w:t>
      </w:r>
    </w:p>
    <w:p>
      <w:pPr>
        <w:pStyle w:val="75"/>
        <w:rPr>
          <w:rFonts w:cs="Times New Roman"/>
          <w:sz w:val="21"/>
          <w:szCs w:val="21"/>
        </w:rPr>
      </w:pPr>
      <w:r>
        <w:rPr>
          <w:rFonts w:cs="Times New Roman"/>
          <w:b/>
          <w:bCs/>
          <w:sz w:val="21"/>
          <w:szCs w:val="21"/>
        </w:rPr>
        <w:t>7.2.3</w:t>
      </w:r>
      <w:r>
        <w:rPr>
          <w:rFonts w:cs="Times New Roman"/>
          <w:sz w:val="21"/>
          <w:szCs w:val="21"/>
        </w:rPr>
        <w:t xml:space="preserve">  强调原材料进场后，应按相应的要求进行复检验收。并对珊瑚骨料进入施工现场后的堆放、运输作了具体规定。强调应按不同品种，分批运输和堆放，在堆放时避免离析，并宜采取防雨、防风、防水揩施。</w:t>
      </w:r>
    </w:p>
    <w:p>
      <w:pPr>
        <w:spacing w:beforeLines="100" w:afterLines="100"/>
        <w:jc w:val="center"/>
        <w:outlineLvl w:val="1"/>
        <w:rPr>
          <w:b/>
          <w:bCs/>
          <w:sz w:val="24"/>
          <w:szCs w:val="24"/>
        </w:rPr>
      </w:pPr>
      <w:bookmarkStart w:id="700" w:name="_Toc481589658"/>
      <w:bookmarkStart w:id="701" w:name="_Toc486247967"/>
      <w:bookmarkStart w:id="702" w:name="_Toc509849598"/>
      <w:bookmarkStart w:id="703" w:name="_Toc481586563"/>
      <w:bookmarkStart w:id="704" w:name="_Toc481589866"/>
      <w:bookmarkStart w:id="705" w:name="_Toc509849395"/>
      <w:bookmarkStart w:id="706" w:name="_Toc29240"/>
      <w:bookmarkStart w:id="707" w:name="_Toc15053108"/>
      <w:bookmarkStart w:id="708" w:name="_Toc472351530"/>
      <w:bookmarkStart w:id="709" w:name="_Toc16563"/>
      <w:bookmarkStart w:id="710" w:name="_Toc481589762"/>
      <w:bookmarkStart w:id="711" w:name="_Toc13732"/>
      <w:r>
        <w:rPr>
          <w:b/>
          <w:bCs/>
          <w:sz w:val="24"/>
          <w:szCs w:val="24"/>
        </w:rPr>
        <w:t>7.3 计量</w:t>
      </w:r>
      <w:bookmarkEnd w:id="700"/>
      <w:bookmarkEnd w:id="701"/>
      <w:bookmarkEnd w:id="702"/>
      <w:bookmarkEnd w:id="703"/>
      <w:bookmarkEnd w:id="704"/>
      <w:bookmarkEnd w:id="705"/>
      <w:bookmarkEnd w:id="706"/>
      <w:bookmarkEnd w:id="707"/>
      <w:bookmarkEnd w:id="708"/>
      <w:bookmarkEnd w:id="709"/>
      <w:bookmarkEnd w:id="710"/>
      <w:bookmarkEnd w:id="711"/>
    </w:p>
    <w:p>
      <w:pPr>
        <w:pStyle w:val="17"/>
        <w:spacing w:line="400" w:lineRule="exact"/>
        <w:rPr>
          <w:rFonts w:ascii="Times New Roman" w:hAnsi="Times New Roman"/>
        </w:rPr>
      </w:pPr>
      <w:r>
        <w:rPr>
          <w:rFonts w:ascii="Times New Roman" w:hAnsi="Times New Roman"/>
          <w:b/>
          <w:bCs/>
          <w:lang w:val="en-US" w:eastAsia="zh-CN"/>
        </w:rPr>
        <w:t>7.3.1~7.3.2</w:t>
      </w:r>
      <w:r>
        <w:rPr>
          <w:rFonts w:ascii="Times New Roman" w:hAnsi="Times New Roman" w:eastAsia="黑体"/>
        </w:rPr>
        <w:t xml:space="preserve">  </w:t>
      </w:r>
      <w:r>
        <w:rPr>
          <w:rFonts w:ascii="Times New Roman" w:hAnsi="Times New Roman"/>
        </w:rPr>
        <w:t>本条规定了原材料计量应采用电子计量设备。计量设备的精度应符合现行国家标准《建筑施工机械及设备 混凝土搅拌站(楼)》GB/T 10171的规定。混凝土生产每一工作班开始前，应对计量设备进行零点校准。并且规定了</w:t>
      </w:r>
      <w:r>
        <w:rPr>
          <w:rFonts w:ascii="Times New Roman" w:hAnsi="Times New Roman"/>
          <w:lang w:eastAsia="zh-CN"/>
        </w:rPr>
        <w:t>珊瑚</w:t>
      </w:r>
      <w:r>
        <w:rPr>
          <w:rFonts w:ascii="Times New Roman" w:hAnsi="Times New Roman"/>
        </w:rPr>
        <w:t>骨料混凝土各组分原材料应以质量计，误差的控制与普通混凝土相同。</w:t>
      </w:r>
    </w:p>
    <w:p>
      <w:pPr>
        <w:pStyle w:val="75"/>
        <w:rPr>
          <w:rFonts w:cs="Times New Roman"/>
          <w:sz w:val="21"/>
          <w:szCs w:val="21"/>
        </w:rPr>
      </w:pPr>
      <w:r>
        <w:rPr>
          <w:rFonts w:cs="Times New Roman"/>
          <w:b/>
          <w:bCs/>
          <w:sz w:val="21"/>
          <w:szCs w:val="21"/>
        </w:rPr>
        <w:t>7.3.3</w:t>
      </w:r>
      <w:r>
        <w:rPr>
          <w:rFonts w:eastAsia="黑体" w:cs="Times New Roman"/>
          <w:sz w:val="21"/>
          <w:szCs w:val="21"/>
        </w:rPr>
        <w:t xml:space="preserve">  </w:t>
      </w:r>
      <w:r>
        <w:rPr>
          <w:rFonts w:cs="Times New Roman"/>
          <w:sz w:val="21"/>
          <w:szCs w:val="21"/>
        </w:rPr>
        <w:t>一般来说，珊瑚骨料的堆积密度变化较大，在生产过程中若不经常对其进行测定，将在很大程度上影响拌合物方量的准确性。珊瑚骨料的含水率会影响配合比中用水量的准确性，并对拌合物的稠度和混凝土的强度产生不良影响。为保证混凝土施工用珊瑚骨料混凝土拌合物方量与配合比计算方量相吻合，以及拌合物的和易性符合施工要求，应对珊瑚骨料的含水率及其堆积密度进行测定。</w:t>
      </w:r>
    </w:p>
    <w:p>
      <w:pPr>
        <w:spacing w:beforeLines="100" w:afterLines="100"/>
        <w:jc w:val="center"/>
        <w:outlineLvl w:val="1"/>
        <w:rPr>
          <w:b/>
          <w:bCs/>
          <w:sz w:val="24"/>
          <w:szCs w:val="24"/>
        </w:rPr>
      </w:pPr>
      <w:bookmarkStart w:id="712" w:name="_Toc31580"/>
      <w:bookmarkStart w:id="713" w:name="_Toc481589867"/>
      <w:bookmarkStart w:id="714" w:name="_Toc481589659"/>
      <w:bookmarkStart w:id="715" w:name="_Toc472351531"/>
      <w:bookmarkStart w:id="716" w:name="_Toc486247968"/>
      <w:bookmarkStart w:id="717" w:name="_Toc21109"/>
      <w:bookmarkStart w:id="718" w:name="_Toc509849396"/>
      <w:bookmarkStart w:id="719" w:name="_Toc15053109"/>
      <w:bookmarkStart w:id="720" w:name="_Toc481589763"/>
      <w:bookmarkStart w:id="721" w:name="_Toc481586564"/>
      <w:bookmarkStart w:id="722" w:name="_Toc22588"/>
      <w:bookmarkStart w:id="723" w:name="_Toc509849599"/>
      <w:r>
        <w:rPr>
          <w:b/>
          <w:bCs/>
          <w:sz w:val="24"/>
          <w:szCs w:val="24"/>
        </w:rPr>
        <w:t>7.4 搅拌</w:t>
      </w:r>
      <w:bookmarkEnd w:id="712"/>
      <w:bookmarkEnd w:id="713"/>
      <w:bookmarkEnd w:id="714"/>
      <w:bookmarkEnd w:id="715"/>
      <w:bookmarkEnd w:id="716"/>
      <w:bookmarkEnd w:id="717"/>
      <w:bookmarkEnd w:id="718"/>
      <w:bookmarkEnd w:id="719"/>
      <w:bookmarkEnd w:id="720"/>
      <w:bookmarkEnd w:id="721"/>
      <w:bookmarkEnd w:id="722"/>
      <w:bookmarkEnd w:id="723"/>
    </w:p>
    <w:p>
      <w:pPr>
        <w:pStyle w:val="75"/>
        <w:rPr>
          <w:rFonts w:cs="Times New Roman"/>
          <w:sz w:val="21"/>
          <w:szCs w:val="21"/>
        </w:rPr>
      </w:pPr>
      <w:r>
        <w:rPr>
          <w:rFonts w:cs="Times New Roman"/>
          <w:b/>
          <w:bCs/>
          <w:sz w:val="21"/>
          <w:szCs w:val="21"/>
        </w:rPr>
        <w:t>7.4.1</w:t>
      </w:r>
      <w:r>
        <w:rPr>
          <w:rFonts w:cs="Times New Roman"/>
          <w:sz w:val="21"/>
          <w:szCs w:val="21"/>
        </w:rPr>
        <w:t xml:space="preserve">  珊瑚骨料混凝土因骨料轻，自落式搅拌机一般不易搅匀，严重影响混凝土性能，相关规定早已明文规定禁止使用。因此，本条规定应采用强制式搅拌机。</w:t>
      </w:r>
    </w:p>
    <w:p>
      <w:pPr>
        <w:pStyle w:val="75"/>
        <w:rPr>
          <w:rFonts w:cs="Times New Roman"/>
          <w:sz w:val="21"/>
          <w:szCs w:val="21"/>
        </w:rPr>
      </w:pPr>
      <w:r>
        <w:rPr>
          <w:rFonts w:cs="Times New Roman"/>
          <w:b/>
          <w:bCs/>
          <w:sz w:val="21"/>
          <w:szCs w:val="21"/>
        </w:rPr>
        <w:t>7.4.2</w:t>
      </w:r>
      <w:r>
        <w:rPr>
          <w:rFonts w:cs="Times New Roman"/>
          <w:sz w:val="21"/>
          <w:szCs w:val="21"/>
        </w:rPr>
        <w:t xml:space="preserve">  本条文按预湿处理和非预湿处理两种拌合物搅拌工艺分别提出预湿、计量、下料、搅拌、出料的生产工艺规定，程序明确，便于操作。根据轻骨料混凝土20年来生产实践表明，该工艺流程是可行的，也是适用于珊瑚骨料混凝土搅拌的。</w:t>
      </w:r>
    </w:p>
    <w:p>
      <w:pPr>
        <w:pStyle w:val="75"/>
        <w:rPr>
          <w:rFonts w:cs="Times New Roman"/>
          <w:b/>
          <w:bCs/>
          <w:sz w:val="21"/>
          <w:szCs w:val="21"/>
        </w:rPr>
      </w:pPr>
      <w:r>
        <w:rPr>
          <w:rFonts w:cs="Times New Roman"/>
          <w:b/>
          <w:bCs/>
          <w:sz w:val="21"/>
          <w:szCs w:val="21"/>
        </w:rPr>
        <w:t xml:space="preserve">7.4.3  </w:t>
      </w:r>
      <w:r>
        <w:rPr>
          <w:rFonts w:cs="Times New Roman"/>
          <w:bCs/>
          <w:sz w:val="21"/>
          <w:szCs w:val="21"/>
        </w:rPr>
        <w:t>本条文参考了轻骨料混凝土的搅拌要求，规定了不同工艺时，珊瑚骨料混凝土具体的搅拌时间：当采用预湿的珊瑚骨料时，投料全部结束后搅拌不宜少于60s；当采用未预湿的珊瑚骨料时，投料全部结束后搅拌不宜少于120s。</w:t>
      </w:r>
    </w:p>
    <w:p>
      <w:pPr>
        <w:spacing w:beforeLines="100" w:afterLines="100"/>
        <w:jc w:val="center"/>
        <w:outlineLvl w:val="1"/>
        <w:rPr>
          <w:b/>
          <w:bCs/>
          <w:sz w:val="24"/>
          <w:szCs w:val="24"/>
        </w:rPr>
      </w:pPr>
      <w:bookmarkStart w:id="724" w:name="_Toc481589868"/>
      <w:bookmarkStart w:id="725" w:name="_Toc481589660"/>
      <w:bookmarkStart w:id="726" w:name="_Toc481589764"/>
      <w:bookmarkStart w:id="727" w:name="_Toc509849397"/>
      <w:bookmarkStart w:id="728" w:name="_Toc486247969"/>
      <w:bookmarkStart w:id="729" w:name="_Toc481586565"/>
      <w:bookmarkStart w:id="730" w:name="_Toc468"/>
      <w:bookmarkStart w:id="731" w:name="_Toc6546"/>
      <w:bookmarkStart w:id="732" w:name="_Toc15281"/>
      <w:bookmarkStart w:id="733" w:name="_Toc15053110"/>
      <w:bookmarkStart w:id="734" w:name="_Toc509849600"/>
      <w:bookmarkStart w:id="735" w:name="_Toc472351532"/>
      <w:r>
        <w:rPr>
          <w:b/>
          <w:bCs/>
          <w:sz w:val="24"/>
          <w:szCs w:val="24"/>
        </w:rPr>
        <w:t>7.5 运输</w:t>
      </w:r>
      <w:bookmarkEnd w:id="724"/>
      <w:bookmarkEnd w:id="725"/>
      <w:bookmarkEnd w:id="726"/>
      <w:bookmarkEnd w:id="727"/>
      <w:bookmarkEnd w:id="728"/>
      <w:bookmarkEnd w:id="729"/>
      <w:bookmarkEnd w:id="730"/>
      <w:bookmarkEnd w:id="731"/>
      <w:bookmarkEnd w:id="732"/>
      <w:bookmarkEnd w:id="733"/>
      <w:bookmarkEnd w:id="734"/>
      <w:bookmarkEnd w:id="735"/>
    </w:p>
    <w:p>
      <w:pPr>
        <w:pStyle w:val="75"/>
        <w:rPr>
          <w:rFonts w:cs="Times New Roman"/>
          <w:sz w:val="21"/>
          <w:szCs w:val="21"/>
        </w:rPr>
      </w:pPr>
      <w:r>
        <w:rPr>
          <w:rFonts w:cs="Times New Roman"/>
          <w:b/>
          <w:bCs/>
          <w:sz w:val="21"/>
          <w:szCs w:val="21"/>
        </w:rPr>
        <w:t>7.5.1</w:t>
      </w:r>
      <w:r>
        <w:rPr>
          <w:rFonts w:cs="Times New Roman"/>
          <w:sz w:val="21"/>
          <w:szCs w:val="21"/>
        </w:rPr>
        <w:t xml:space="preserve">  本条文明确规定，珊瑚骨料混凝土拌合物运输时，应采取相应的措施减少坍落度损失和防止混凝土拌合物分层离析。</w:t>
      </w:r>
    </w:p>
    <w:p>
      <w:pPr>
        <w:pStyle w:val="75"/>
        <w:rPr>
          <w:rFonts w:cs="Times New Roman"/>
          <w:sz w:val="21"/>
          <w:szCs w:val="21"/>
        </w:rPr>
      </w:pPr>
      <w:r>
        <w:rPr>
          <w:rFonts w:cs="Times New Roman"/>
          <w:b/>
          <w:bCs/>
          <w:sz w:val="21"/>
          <w:szCs w:val="21"/>
        </w:rPr>
        <w:t>7.5.2</w:t>
      </w:r>
      <w:r>
        <w:rPr>
          <w:rFonts w:cs="Times New Roman"/>
          <w:sz w:val="21"/>
          <w:szCs w:val="21"/>
        </w:rPr>
        <w:t xml:space="preserve">  本条文明确规定，采用搅拌罐车运输珊瑚骨料混凝土拌合物时，为保证混凝土拌合物的均匀性，卸料前快转不少于20s。如运输时间较长，导致坍落度损失过大或卸料困难时，应有技术预案。应采取相应的措施减少坍落度损失和防止混凝土拌合物分层离析。</w:t>
      </w:r>
    </w:p>
    <w:p>
      <w:pPr>
        <w:pStyle w:val="75"/>
        <w:rPr>
          <w:rFonts w:cs="Times New Roman"/>
          <w:sz w:val="21"/>
          <w:szCs w:val="21"/>
        </w:rPr>
      </w:pPr>
      <w:r>
        <w:rPr>
          <w:rFonts w:cs="Times New Roman"/>
          <w:b/>
          <w:bCs/>
          <w:sz w:val="21"/>
          <w:szCs w:val="21"/>
        </w:rPr>
        <w:t>7.5.3</w:t>
      </w:r>
      <w:r>
        <w:rPr>
          <w:rFonts w:cs="Times New Roman"/>
          <w:sz w:val="21"/>
          <w:szCs w:val="21"/>
        </w:rPr>
        <w:t xml:space="preserve">  为了减少珊瑚骨料混凝土拌合物的坍落损失，应选择最佳运输路线，中途不停顿。本条文规定，其从搅拌机卸料至浇入模内止的时间，不宜超过90min。</w:t>
      </w:r>
    </w:p>
    <w:p>
      <w:pPr>
        <w:pStyle w:val="75"/>
        <w:rPr>
          <w:rFonts w:cs="Times New Roman"/>
          <w:sz w:val="21"/>
          <w:szCs w:val="21"/>
        </w:rPr>
      </w:pPr>
      <w:r>
        <w:rPr>
          <w:rFonts w:cs="Times New Roman"/>
          <w:b/>
          <w:bCs/>
          <w:sz w:val="21"/>
          <w:szCs w:val="21"/>
        </w:rPr>
        <w:t>7.5.4</w:t>
      </w:r>
      <w:r>
        <w:rPr>
          <w:rFonts w:cs="Times New Roman"/>
          <w:sz w:val="21"/>
          <w:szCs w:val="21"/>
        </w:rPr>
        <w:t xml:space="preserve">  工程实际经验证明，珊瑚骨料混凝土拌合物坍落度值控制在150mm~220mm的范围内时，轻骨料混凝土适宜泵送。</w:t>
      </w:r>
    </w:p>
    <w:p>
      <w:pPr>
        <w:pStyle w:val="75"/>
        <w:rPr>
          <w:rFonts w:cs="Times New Roman"/>
          <w:bCs/>
          <w:sz w:val="21"/>
          <w:szCs w:val="21"/>
        </w:rPr>
      </w:pPr>
      <w:r>
        <w:rPr>
          <w:rFonts w:cs="Times New Roman"/>
          <w:b/>
          <w:bCs/>
          <w:sz w:val="21"/>
          <w:szCs w:val="21"/>
        </w:rPr>
        <w:t xml:space="preserve">7.5.5  </w:t>
      </w:r>
      <w:r>
        <w:rPr>
          <w:rFonts w:cs="Times New Roman"/>
          <w:sz w:val="21"/>
          <w:szCs w:val="21"/>
        </w:rPr>
        <w:t>本条规定</w:t>
      </w:r>
      <w:r>
        <w:rPr>
          <w:rFonts w:cs="Times New Roman"/>
          <w:bCs/>
          <w:sz w:val="21"/>
          <w:szCs w:val="21"/>
        </w:rPr>
        <w:t>泵送珊瑚骨料混凝土在泵送施工前应进行试泵，在泵送施工时应采取措施降低泵送阻力。</w:t>
      </w:r>
    </w:p>
    <w:p>
      <w:pPr>
        <w:spacing w:beforeLines="100" w:afterLines="100"/>
        <w:jc w:val="center"/>
        <w:outlineLvl w:val="1"/>
        <w:rPr>
          <w:b/>
          <w:bCs/>
          <w:sz w:val="24"/>
          <w:szCs w:val="24"/>
        </w:rPr>
      </w:pPr>
      <w:bookmarkStart w:id="736" w:name="_Toc481589765"/>
      <w:bookmarkStart w:id="737" w:name="_Toc11223"/>
      <w:bookmarkStart w:id="738" w:name="_Toc481586566"/>
      <w:bookmarkStart w:id="739" w:name="_Toc6051"/>
      <w:bookmarkStart w:id="740" w:name="_Toc5445"/>
      <w:bookmarkStart w:id="741" w:name="_Toc472351533"/>
      <w:bookmarkStart w:id="742" w:name="_Toc509849398"/>
      <w:bookmarkStart w:id="743" w:name="_Toc481589661"/>
      <w:bookmarkStart w:id="744" w:name="_Toc486247970"/>
      <w:bookmarkStart w:id="745" w:name="_Toc15053111"/>
      <w:bookmarkStart w:id="746" w:name="_Toc481589869"/>
      <w:bookmarkStart w:id="747" w:name="_Toc509849601"/>
      <w:r>
        <w:rPr>
          <w:b/>
          <w:bCs/>
          <w:sz w:val="24"/>
          <w:szCs w:val="24"/>
        </w:rPr>
        <w:t>7.6 浇筑</w:t>
      </w:r>
      <w:bookmarkEnd w:id="736"/>
      <w:bookmarkEnd w:id="737"/>
      <w:bookmarkEnd w:id="738"/>
      <w:bookmarkEnd w:id="739"/>
      <w:bookmarkEnd w:id="740"/>
      <w:bookmarkEnd w:id="741"/>
      <w:bookmarkEnd w:id="742"/>
      <w:bookmarkEnd w:id="743"/>
      <w:bookmarkEnd w:id="744"/>
      <w:bookmarkEnd w:id="745"/>
      <w:bookmarkEnd w:id="746"/>
      <w:bookmarkEnd w:id="747"/>
    </w:p>
    <w:p>
      <w:pPr>
        <w:pStyle w:val="75"/>
        <w:rPr>
          <w:rFonts w:cs="Times New Roman"/>
          <w:sz w:val="21"/>
          <w:szCs w:val="21"/>
        </w:rPr>
      </w:pPr>
      <w:r>
        <w:rPr>
          <w:rFonts w:cs="Times New Roman"/>
          <w:b/>
          <w:bCs/>
          <w:sz w:val="21"/>
          <w:szCs w:val="21"/>
        </w:rPr>
        <w:t>7.6.1</w:t>
      </w:r>
      <w:r>
        <w:rPr>
          <w:rFonts w:cs="Times New Roman"/>
          <w:sz w:val="21"/>
          <w:szCs w:val="21"/>
        </w:rPr>
        <w:t xml:space="preserve">  为了避免离析，减小了拌合物浇筑时倾落的自由高度。规定倾落的自由高度不应超过1.5m，如超过1.5m需要采取必要的措施。</w:t>
      </w:r>
    </w:p>
    <w:p>
      <w:pPr>
        <w:pStyle w:val="75"/>
        <w:rPr>
          <w:rFonts w:cs="Times New Roman"/>
          <w:sz w:val="21"/>
          <w:szCs w:val="21"/>
        </w:rPr>
      </w:pPr>
      <w:r>
        <w:rPr>
          <w:rFonts w:cs="Times New Roman"/>
          <w:b/>
          <w:bCs/>
          <w:sz w:val="21"/>
          <w:szCs w:val="21"/>
        </w:rPr>
        <w:t>7.6.2</w:t>
      </w:r>
      <w:r>
        <w:rPr>
          <w:rFonts w:cs="Times New Roman"/>
          <w:sz w:val="21"/>
          <w:szCs w:val="21"/>
        </w:rPr>
        <w:t xml:space="preserve">  珊瑚骨料混凝土拌合物的内摩擦力比普通混凝土的大。为保证拌合物的密实性，本条规定应采用机械振捣成型。只有对流动性大、不振捣和硬化后的混凝土强度能满足要求的塑性拌合物，可采用插捣成型。</w:t>
      </w:r>
    </w:p>
    <w:p>
      <w:pPr>
        <w:pStyle w:val="75"/>
        <w:rPr>
          <w:rFonts w:cs="Times New Roman"/>
          <w:sz w:val="21"/>
          <w:szCs w:val="21"/>
        </w:rPr>
      </w:pPr>
      <w:r>
        <w:rPr>
          <w:rFonts w:cs="Times New Roman"/>
          <w:b/>
          <w:bCs/>
          <w:sz w:val="21"/>
          <w:szCs w:val="21"/>
        </w:rPr>
        <w:t>7.6.3</w:t>
      </w:r>
      <w:r>
        <w:rPr>
          <w:rFonts w:cs="Times New Roman"/>
          <w:sz w:val="21"/>
          <w:szCs w:val="21"/>
        </w:rPr>
        <w:t xml:space="preserve">  本条规定了竖向结构成构件的浇筑应采用用分层振捣成型，拌合物每层厚度宜控制在300mm。</w:t>
      </w:r>
    </w:p>
    <w:p>
      <w:pPr>
        <w:spacing w:beforeLines="100" w:afterLines="100"/>
        <w:jc w:val="center"/>
        <w:outlineLvl w:val="1"/>
        <w:rPr>
          <w:b/>
          <w:bCs/>
          <w:sz w:val="24"/>
          <w:szCs w:val="24"/>
        </w:rPr>
      </w:pPr>
      <w:bookmarkStart w:id="748" w:name="_Toc28135"/>
      <w:bookmarkStart w:id="749" w:name="_Toc481589766"/>
      <w:bookmarkStart w:id="750" w:name="_Toc15053112"/>
      <w:bookmarkStart w:id="751" w:name="_Toc29148"/>
      <w:bookmarkStart w:id="752" w:name="_Toc481589870"/>
      <w:bookmarkStart w:id="753" w:name="_Toc472351534"/>
      <w:bookmarkStart w:id="754" w:name="_Toc486247971"/>
      <w:bookmarkStart w:id="755" w:name="_Toc481586567"/>
      <w:bookmarkStart w:id="756" w:name="_Toc509849399"/>
      <w:bookmarkStart w:id="757" w:name="_Toc509849602"/>
      <w:bookmarkStart w:id="758" w:name="_Toc481589662"/>
      <w:bookmarkStart w:id="759" w:name="_Toc455"/>
      <w:r>
        <w:rPr>
          <w:b/>
          <w:bCs/>
          <w:sz w:val="24"/>
          <w:szCs w:val="24"/>
        </w:rPr>
        <w:t>7.7 养护</w:t>
      </w:r>
      <w:bookmarkEnd w:id="748"/>
      <w:bookmarkEnd w:id="749"/>
      <w:bookmarkEnd w:id="750"/>
      <w:bookmarkEnd w:id="751"/>
      <w:bookmarkEnd w:id="752"/>
      <w:bookmarkEnd w:id="753"/>
      <w:bookmarkEnd w:id="754"/>
      <w:bookmarkEnd w:id="755"/>
      <w:bookmarkEnd w:id="756"/>
      <w:bookmarkEnd w:id="757"/>
      <w:bookmarkEnd w:id="758"/>
      <w:bookmarkEnd w:id="759"/>
    </w:p>
    <w:p>
      <w:pPr>
        <w:pStyle w:val="75"/>
        <w:rPr>
          <w:rFonts w:cs="Times New Roman"/>
          <w:sz w:val="21"/>
          <w:szCs w:val="21"/>
        </w:rPr>
      </w:pPr>
      <w:r>
        <w:rPr>
          <w:rFonts w:cs="Times New Roman"/>
          <w:b/>
          <w:bCs/>
          <w:sz w:val="21"/>
          <w:szCs w:val="21"/>
        </w:rPr>
        <w:t>7.7.1</w:t>
      </w:r>
      <w:r>
        <w:rPr>
          <w:rFonts w:cs="Times New Roman"/>
          <w:sz w:val="21"/>
          <w:szCs w:val="21"/>
        </w:rPr>
        <w:t xml:space="preserve">  珊瑚骨料混凝土成型后，应比普通混凝土更为注意防止表面失水，否则可能因为内外湿差引起收缩应力，导致混凝土表面裂缝。</w:t>
      </w:r>
    </w:p>
    <w:p>
      <w:pPr>
        <w:pStyle w:val="75"/>
        <w:rPr>
          <w:rFonts w:cs="Times New Roman"/>
          <w:sz w:val="21"/>
          <w:szCs w:val="21"/>
        </w:rPr>
      </w:pPr>
      <w:r>
        <w:rPr>
          <w:rFonts w:cs="Times New Roman"/>
          <w:b/>
          <w:bCs/>
          <w:sz w:val="21"/>
          <w:szCs w:val="21"/>
        </w:rPr>
        <w:t>7.7.2</w:t>
      </w:r>
      <w:r>
        <w:rPr>
          <w:rFonts w:cs="Times New Roman"/>
          <w:sz w:val="21"/>
          <w:szCs w:val="21"/>
        </w:rPr>
        <w:t xml:space="preserve">  本条文规定了珊瑚骨料混凝土自然养护应注意的事项。虽然因水泥品种不同而略有差异，但还都应注意早期养护，坚持14天湿养护是十分必要的。特别是在夏季，并非14天后就不会出现质量问题了，对厚大的结构或构件更不能掉以轻心。</w:t>
      </w:r>
    </w:p>
    <w:p>
      <w:pPr>
        <w:pStyle w:val="75"/>
        <w:rPr>
          <w:rFonts w:cs="Times New Roman"/>
          <w:sz w:val="21"/>
          <w:szCs w:val="21"/>
        </w:rPr>
      </w:pPr>
      <w:r>
        <w:rPr>
          <w:rFonts w:cs="Times New Roman"/>
          <w:b/>
          <w:bCs/>
          <w:sz w:val="21"/>
          <w:szCs w:val="21"/>
        </w:rPr>
        <w:t>7.7.3</w:t>
      </w:r>
      <w:r>
        <w:rPr>
          <w:rFonts w:cs="Times New Roman"/>
          <w:sz w:val="21"/>
          <w:szCs w:val="21"/>
        </w:rPr>
        <w:t xml:space="preserve">  取消热拌混凝土的养护要求。蒸汽养护时，成型后应有一定的静停时间，强调升温、降温部不宜太快，以保证通汽升温时不发生温度裂缝。</w:t>
      </w:r>
    </w:p>
    <w:p>
      <w:pPr>
        <w:pStyle w:val="50"/>
        <w:spacing w:before="312" w:after="312"/>
        <w:rPr>
          <w:sz w:val="30"/>
          <w:szCs w:val="22"/>
        </w:rPr>
      </w:pPr>
      <w:r>
        <w:br w:type="page"/>
      </w:r>
      <w:bookmarkStart w:id="760" w:name="_Toc481589767"/>
      <w:bookmarkStart w:id="761" w:name="_Toc481589663"/>
      <w:bookmarkStart w:id="762" w:name="_Toc22964"/>
      <w:bookmarkStart w:id="763" w:name="_Toc509849400"/>
      <w:bookmarkStart w:id="764" w:name="_Toc509849603"/>
      <w:bookmarkStart w:id="765" w:name="_Toc15053113"/>
      <w:bookmarkStart w:id="766" w:name="_Toc13555"/>
      <w:bookmarkStart w:id="767" w:name="_Toc27392"/>
      <w:bookmarkStart w:id="768" w:name="_Toc481586568"/>
      <w:bookmarkStart w:id="769" w:name="_Toc472351535"/>
      <w:bookmarkStart w:id="770" w:name="_Toc486247972"/>
      <w:bookmarkStart w:id="771" w:name="_Toc481589871"/>
      <w:r>
        <w:t>8  质量检验和验收</w:t>
      </w:r>
      <w:bookmarkEnd w:id="760"/>
      <w:bookmarkEnd w:id="761"/>
      <w:bookmarkEnd w:id="762"/>
      <w:bookmarkEnd w:id="763"/>
      <w:bookmarkEnd w:id="764"/>
      <w:bookmarkEnd w:id="765"/>
      <w:bookmarkEnd w:id="766"/>
      <w:bookmarkEnd w:id="767"/>
      <w:bookmarkEnd w:id="768"/>
      <w:bookmarkEnd w:id="769"/>
      <w:bookmarkEnd w:id="770"/>
      <w:bookmarkEnd w:id="771"/>
    </w:p>
    <w:p>
      <w:pPr>
        <w:spacing w:beforeLines="100" w:afterLines="100"/>
        <w:jc w:val="center"/>
        <w:outlineLvl w:val="1"/>
        <w:rPr>
          <w:b/>
          <w:bCs/>
          <w:sz w:val="24"/>
          <w:szCs w:val="24"/>
        </w:rPr>
      </w:pPr>
      <w:bookmarkStart w:id="772" w:name="_Toc472351536"/>
      <w:bookmarkStart w:id="773" w:name="_Toc481589872"/>
      <w:bookmarkStart w:id="774" w:name="_Toc486247973"/>
      <w:bookmarkStart w:id="775" w:name="_Toc481586569"/>
      <w:bookmarkStart w:id="776" w:name="_Toc15053114"/>
      <w:bookmarkStart w:id="777" w:name="_Toc481589664"/>
      <w:bookmarkStart w:id="778" w:name="_Toc481589768"/>
      <w:bookmarkStart w:id="779" w:name="_Toc18761"/>
      <w:bookmarkStart w:id="780" w:name="_Toc509849604"/>
      <w:bookmarkStart w:id="781" w:name="_Toc509849401"/>
      <w:bookmarkStart w:id="782" w:name="_Toc5030"/>
      <w:bookmarkStart w:id="783" w:name="_Toc26988"/>
      <w:r>
        <w:rPr>
          <w:b/>
          <w:bCs/>
          <w:sz w:val="24"/>
          <w:szCs w:val="24"/>
        </w:rPr>
        <w:t>8.1 原材料质量检验</w:t>
      </w:r>
      <w:bookmarkEnd w:id="772"/>
      <w:bookmarkEnd w:id="773"/>
      <w:bookmarkEnd w:id="774"/>
      <w:bookmarkEnd w:id="775"/>
      <w:bookmarkEnd w:id="776"/>
      <w:bookmarkEnd w:id="777"/>
      <w:bookmarkEnd w:id="778"/>
      <w:bookmarkEnd w:id="779"/>
      <w:bookmarkEnd w:id="780"/>
      <w:bookmarkEnd w:id="781"/>
      <w:bookmarkEnd w:id="782"/>
      <w:bookmarkEnd w:id="783"/>
    </w:p>
    <w:p>
      <w:pPr>
        <w:pStyle w:val="75"/>
        <w:rPr>
          <w:rFonts w:cs="Times New Roman"/>
          <w:b/>
          <w:bCs/>
          <w:sz w:val="21"/>
          <w:szCs w:val="21"/>
        </w:rPr>
      </w:pPr>
      <w:r>
        <w:rPr>
          <w:rFonts w:cs="Times New Roman"/>
          <w:b/>
          <w:bCs/>
          <w:sz w:val="21"/>
          <w:szCs w:val="21"/>
        </w:rPr>
        <w:t xml:space="preserve">8.1.1~8.1.2  </w:t>
      </w:r>
      <w:r>
        <w:rPr>
          <w:rFonts w:cs="Times New Roman"/>
          <w:bCs/>
          <w:sz w:val="21"/>
          <w:szCs w:val="21"/>
        </w:rPr>
        <w:t>本条规定了珊瑚骨料混凝土原材料进场时的规定，珊瑚骨料混凝土原材料进场检验应包括型式检验报告、出厂检验报告或合格证等质量证明文件的查验和收存。其中外加剂还应有产品说明书；并且规定在混凝土生产过程中，宜对进场的原材料进行随机抽检，以确保生产过程中珊瑚骨料混凝土的质量。</w:t>
      </w:r>
    </w:p>
    <w:p>
      <w:pPr>
        <w:pStyle w:val="75"/>
        <w:rPr>
          <w:rFonts w:cs="Times New Roman"/>
          <w:bCs/>
          <w:sz w:val="21"/>
          <w:szCs w:val="21"/>
        </w:rPr>
      </w:pPr>
      <w:r>
        <w:rPr>
          <w:rFonts w:cs="Times New Roman"/>
          <w:b/>
          <w:bCs/>
          <w:sz w:val="21"/>
          <w:szCs w:val="21"/>
        </w:rPr>
        <w:t xml:space="preserve">8.1.3  </w:t>
      </w:r>
      <w:r>
        <w:rPr>
          <w:rFonts w:cs="Times New Roman"/>
          <w:bCs/>
          <w:sz w:val="21"/>
          <w:szCs w:val="21"/>
        </w:rPr>
        <w:t>本条针对不同的珊瑚骨料类别分别规定了珊瑚粗骨料和珊瑚砂的检验项目。</w:t>
      </w:r>
    </w:p>
    <w:p>
      <w:pPr>
        <w:pStyle w:val="75"/>
        <w:rPr>
          <w:rFonts w:cs="Times New Roman"/>
          <w:b/>
          <w:bCs/>
          <w:sz w:val="21"/>
          <w:szCs w:val="21"/>
        </w:rPr>
      </w:pPr>
      <w:r>
        <w:rPr>
          <w:rFonts w:cs="Times New Roman"/>
          <w:b/>
          <w:bCs/>
          <w:sz w:val="21"/>
          <w:szCs w:val="21"/>
        </w:rPr>
        <w:t xml:space="preserve">8.1.4  </w:t>
      </w:r>
      <w:r>
        <w:rPr>
          <w:rFonts w:cs="Times New Roman"/>
          <w:bCs/>
          <w:sz w:val="21"/>
          <w:szCs w:val="21"/>
        </w:rPr>
        <w:t>本条规定了具体的珊瑚骨料检验批量要求。</w:t>
      </w:r>
    </w:p>
    <w:p>
      <w:pPr>
        <w:pStyle w:val="75"/>
        <w:rPr>
          <w:rFonts w:cs="Times New Roman"/>
          <w:bCs/>
          <w:sz w:val="21"/>
          <w:szCs w:val="21"/>
        </w:rPr>
      </w:pPr>
      <w:r>
        <w:rPr>
          <w:rFonts w:cs="Times New Roman"/>
          <w:b/>
          <w:bCs/>
          <w:sz w:val="21"/>
          <w:szCs w:val="21"/>
        </w:rPr>
        <w:t xml:space="preserve">8.1.5  </w:t>
      </w:r>
      <w:r>
        <w:rPr>
          <w:rFonts w:cs="Times New Roman"/>
          <w:bCs/>
          <w:sz w:val="21"/>
          <w:szCs w:val="21"/>
        </w:rPr>
        <w:t>本条规定了除珊瑚骨料外的水泥、矿物掺合料、外加剂等其他原材料的检验项目和检验批量的规定。</w:t>
      </w:r>
    </w:p>
    <w:p>
      <w:pPr>
        <w:pStyle w:val="75"/>
        <w:rPr>
          <w:rFonts w:cs="Times New Roman"/>
          <w:bCs/>
          <w:sz w:val="21"/>
          <w:szCs w:val="21"/>
        </w:rPr>
      </w:pPr>
      <w:r>
        <w:rPr>
          <w:rFonts w:cs="Times New Roman"/>
          <w:b/>
          <w:bCs/>
          <w:sz w:val="21"/>
          <w:szCs w:val="21"/>
        </w:rPr>
        <w:t xml:space="preserve">8.1.6  </w:t>
      </w:r>
      <w:r>
        <w:rPr>
          <w:rFonts w:cs="Times New Roman"/>
          <w:bCs/>
          <w:sz w:val="21"/>
          <w:szCs w:val="21"/>
        </w:rPr>
        <w:t>本条规定了珊瑚骨料混凝土原材料的检验结果应符合本标准的规定以及工程要求。</w:t>
      </w:r>
    </w:p>
    <w:p>
      <w:pPr>
        <w:spacing w:beforeLines="100" w:afterLines="100"/>
        <w:jc w:val="center"/>
        <w:outlineLvl w:val="1"/>
        <w:rPr>
          <w:b/>
          <w:bCs/>
          <w:sz w:val="24"/>
          <w:szCs w:val="24"/>
        </w:rPr>
      </w:pPr>
      <w:bookmarkStart w:id="784" w:name="_Toc481589665"/>
      <w:bookmarkStart w:id="785" w:name="_Toc481589873"/>
      <w:bookmarkStart w:id="786" w:name="_Toc15475"/>
      <w:bookmarkStart w:id="787" w:name="_Toc472351537"/>
      <w:bookmarkStart w:id="788" w:name="_Toc481589769"/>
      <w:bookmarkStart w:id="789" w:name="_Toc509849402"/>
      <w:bookmarkStart w:id="790" w:name="_Toc9241"/>
      <w:bookmarkStart w:id="791" w:name="_Toc509849605"/>
      <w:bookmarkStart w:id="792" w:name="_Toc31462"/>
      <w:bookmarkStart w:id="793" w:name="_Toc15053115"/>
      <w:bookmarkStart w:id="794" w:name="_Toc481586570"/>
      <w:bookmarkStart w:id="795" w:name="_Toc486247974"/>
      <w:r>
        <w:rPr>
          <w:b/>
          <w:bCs/>
          <w:sz w:val="24"/>
          <w:szCs w:val="24"/>
        </w:rPr>
        <w:t>8.2 珊瑚骨料混凝土性能检验</w:t>
      </w:r>
      <w:bookmarkEnd w:id="784"/>
      <w:bookmarkEnd w:id="785"/>
      <w:bookmarkEnd w:id="786"/>
      <w:bookmarkEnd w:id="787"/>
      <w:bookmarkEnd w:id="788"/>
      <w:bookmarkEnd w:id="789"/>
      <w:bookmarkEnd w:id="790"/>
      <w:bookmarkEnd w:id="791"/>
      <w:bookmarkEnd w:id="792"/>
      <w:bookmarkEnd w:id="793"/>
      <w:bookmarkEnd w:id="794"/>
      <w:bookmarkEnd w:id="795"/>
    </w:p>
    <w:p>
      <w:pPr>
        <w:pStyle w:val="75"/>
        <w:rPr>
          <w:rFonts w:cs="Times New Roman"/>
          <w:sz w:val="21"/>
          <w:szCs w:val="21"/>
        </w:rPr>
      </w:pPr>
      <w:r>
        <w:rPr>
          <w:rFonts w:cs="Times New Roman"/>
          <w:b/>
          <w:bCs/>
          <w:sz w:val="21"/>
          <w:szCs w:val="21"/>
        </w:rPr>
        <w:t>8.2.1</w:t>
      </w:r>
      <w:r>
        <w:rPr>
          <w:rFonts w:cs="Times New Roman"/>
          <w:sz w:val="21"/>
          <w:szCs w:val="21"/>
        </w:rPr>
        <w:t xml:space="preserve">  本条文规定了珊瑚骨料混凝土拌合物具体的检验的项目和频次。</w:t>
      </w:r>
    </w:p>
    <w:p>
      <w:pPr>
        <w:pStyle w:val="75"/>
        <w:rPr>
          <w:rFonts w:cs="Times New Roman"/>
          <w:sz w:val="21"/>
          <w:szCs w:val="21"/>
        </w:rPr>
      </w:pPr>
      <w:r>
        <w:rPr>
          <w:rFonts w:cs="Times New Roman"/>
          <w:b/>
          <w:bCs/>
          <w:sz w:val="21"/>
          <w:szCs w:val="21"/>
        </w:rPr>
        <w:t>8.2.2</w:t>
      </w:r>
      <w:r>
        <w:rPr>
          <w:rFonts w:cs="Times New Roman"/>
          <w:sz w:val="21"/>
          <w:szCs w:val="21"/>
        </w:rPr>
        <w:t xml:space="preserve">  本条文规定了硬化珊瑚骨科混凝土强度的检验次数和评定方法。和普通混凝土强度一样，应按现行国家标准《混凝土强度检验评定标准》GB/T 50107的规定进行。耐久性能和长期性能的检验评定应符合现行行业标准《混凝土耐久性检验评定标准》JGJ/T 193的规定。</w:t>
      </w:r>
    </w:p>
    <w:p>
      <w:pPr>
        <w:pStyle w:val="75"/>
        <w:rPr>
          <w:rFonts w:cs="Times New Roman"/>
          <w:bCs/>
          <w:sz w:val="21"/>
          <w:szCs w:val="21"/>
        </w:rPr>
      </w:pPr>
      <w:r>
        <w:rPr>
          <w:rFonts w:cs="Times New Roman"/>
          <w:b/>
          <w:bCs/>
          <w:sz w:val="21"/>
          <w:szCs w:val="21"/>
        </w:rPr>
        <w:t>8.2.3</w:t>
      </w:r>
      <w:r>
        <w:rPr>
          <w:rFonts w:cs="Times New Roman"/>
          <w:sz w:val="21"/>
          <w:szCs w:val="21"/>
        </w:rPr>
        <w:t xml:space="preserve">  本条文规定了珊瑚骨料混凝土拌合物、力学性能、长期性能和耐久性能的试验方法</w:t>
      </w:r>
      <w:r>
        <w:rPr>
          <w:rFonts w:cs="Times New Roman"/>
          <w:bCs/>
          <w:sz w:val="21"/>
          <w:szCs w:val="21"/>
        </w:rPr>
        <w:t>应分别符合现行国家标准《普通混凝土拌合物性能试验方法标准》GB/T 50080、《普通混凝土力学性能试验方法标准》GB/T 50081和《普通混凝土长期性能和耐久性能试验方法标准》GB/T 50082的规定</w:t>
      </w:r>
    </w:p>
    <w:p>
      <w:pPr>
        <w:pStyle w:val="75"/>
        <w:rPr>
          <w:rFonts w:cs="Times New Roman"/>
          <w:bCs/>
          <w:sz w:val="21"/>
          <w:szCs w:val="21"/>
        </w:rPr>
      </w:pPr>
      <w:r>
        <w:rPr>
          <w:rFonts w:cs="Times New Roman"/>
          <w:b/>
          <w:bCs/>
          <w:sz w:val="21"/>
          <w:szCs w:val="21"/>
        </w:rPr>
        <w:t xml:space="preserve">8.2.4  </w:t>
      </w:r>
      <w:r>
        <w:rPr>
          <w:rFonts w:cs="Times New Roman"/>
          <w:bCs/>
          <w:sz w:val="21"/>
          <w:szCs w:val="21"/>
        </w:rPr>
        <w:t>本条文规定珊瑚骨料混凝土性能的检验结果应符合本标准相应规定以及设计与施工的要求。</w:t>
      </w:r>
    </w:p>
    <w:p>
      <w:pPr>
        <w:spacing w:beforeLines="100" w:afterLines="100"/>
        <w:jc w:val="center"/>
        <w:outlineLvl w:val="1"/>
        <w:rPr>
          <w:b/>
          <w:bCs/>
          <w:sz w:val="24"/>
          <w:szCs w:val="24"/>
        </w:rPr>
      </w:pPr>
      <w:bookmarkStart w:id="796" w:name="_Toc17379"/>
      <w:bookmarkStart w:id="797" w:name="_Toc509849403"/>
      <w:bookmarkStart w:id="798" w:name="_Toc19721"/>
      <w:bookmarkStart w:id="799" w:name="_Toc481589666"/>
      <w:bookmarkStart w:id="800" w:name="_Toc481589874"/>
      <w:bookmarkStart w:id="801" w:name="_Toc481589770"/>
      <w:bookmarkStart w:id="802" w:name="_Toc481586571"/>
      <w:bookmarkStart w:id="803" w:name="_Toc486247975"/>
      <w:bookmarkStart w:id="804" w:name="_Toc15053116"/>
      <w:bookmarkStart w:id="805" w:name="_Toc509849606"/>
      <w:bookmarkStart w:id="806" w:name="_Toc10943"/>
      <w:bookmarkStart w:id="807" w:name="_Toc472351538"/>
      <w:r>
        <w:rPr>
          <w:b/>
          <w:bCs/>
          <w:sz w:val="24"/>
          <w:szCs w:val="24"/>
        </w:rPr>
        <w:t>8.3 验收</w:t>
      </w:r>
      <w:bookmarkEnd w:id="796"/>
      <w:bookmarkEnd w:id="797"/>
      <w:bookmarkEnd w:id="798"/>
      <w:bookmarkEnd w:id="799"/>
      <w:bookmarkEnd w:id="800"/>
      <w:bookmarkEnd w:id="801"/>
      <w:bookmarkEnd w:id="802"/>
      <w:bookmarkEnd w:id="803"/>
      <w:bookmarkEnd w:id="804"/>
      <w:bookmarkEnd w:id="805"/>
      <w:bookmarkEnd w:id="806"/>
      <w:bookmarkEnd w:id="807"/>
    </w:p>
    <w:p>
      <w:pPr>
        <w:pStyle w:val="75"/>
        <w:rPr>
          <w:rFonts w:cs="Times New Roman"/>
          <w:sz w:val="21"/>
          <w:szCs w:val="21"/>
        </w:rPr>
      </w:pPr>
      <w:r>
        <w:rPr>
          <w:rFonts w:cs="Times New Roman"/>
          <w:b/>
          <w:bCs/>
          <w:sz w:val="21"/>
          <w:szCs w:val="21"/>
        </w:rPr>
        <w:t xml:space="preserve">8.3.1 </w:t>
      </w:r>
      <w:r>
        <w:rPr>
          <w:rFonts w:cs="Times New Roman"/>
          <w:sz w:val="21"/>
          <w:szCs w:val="21"/>
        </w:rPr>
        <w:t xml:space="preserve"> 本条文明确规定，珊瑚骨料混凝土结构子分部工程可划分为模板、钢筋、预应力、混凝土、现浇混凝土等分项工程进行验收，其验收除符合本标准的规定，尚应按照现行国家标准《混凝土结构工程施工质量验收规范》GB 50204的有关规定进行验收。</w:t>
      </w:r>
    </w:p>
    <w:p>
      <w:pPr>
        <w:spacing w:line="400" w:lineRule="atLeast"/>
        <w:rPr>
          <w:b/>
          <w:bCs/>
        </w:rPr>
      </w:pPr>
    </w:p>
    <w:p>
      <w:pPr>
        <w:spacing w:beforeLines="50"/>
      </w:pPr>
    </w:p>
    <w:p>
      <w:pPr>
        <w:spacing w:beforeLines="50"/>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0002A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MingLiU">
    <w:altName w:val="PMingLiU-ExtB"/>
    <w:panose1 w:val="02020509000000000000"/>
    <w:charset w:val="88"/>
    <w:family w:val="modern"/>
    <w:pitch w:val="default"/>
    <w:sig w:usb0="00000000" w:usb1="00000000" w:usb2="00000016" w:usb3="00000000" w:csb0="00100001" w:csb1="00000000"/>
  </w:font>
  <w:font w:name="仿宋_GB2312">
    <w:altName w:val="仿宋"/>
    <w:panose1 w:val="00000000000000000000"/>
    <w:charset w:val="86"/>
    <w:family w:val="modern"/>
    <w:pitch w:val="default"/>
    <w:sig w:usb0="00000000" w:usb1="00000000" w:usb2="00000010" w:usb3="00000000" w:csb0="00040000" w:csb1="00000000"/>
  </w:font>
  <w:font w:name="PMingLiU-ExtB">
    <w:panose1 w:val="02020500000000000000"/>
    <w:charset w:val="88"/>
    <w:family w:val="auto"/>
    <w:pitch w:val="default"/>
    <w:sig w:usb0="8000002F" w:usb1="02000008" w:usb2="00000000" w:usb3="00000000" w:csb0="001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r>
      <w:fldChar w:fldCharType="begin"/>
    </w:r>
    <w:r>
      <w:instrText xml:space="preserve"> PAGE   \* MERGEFORMAT </w:instrText>
    </w:r>
    <w:r>
      <w:fldChar w:fldCharType="separate"/>
    </w:r>
    <w:r>
      <w:rPr>
        <w:lang w:val="zh-CN" w:eastAsia="zh-CN"/>
      </w:rPr>
      <w:t>4</w:t>
    </w:r>
    <w:r>
      <w:fldChar w:fldCharType="end"/>
    </w:r>
  </w:p>
  <w:p>
    <w:pPr>
      <w:pStyle w:val="2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r>
      <w:fldChar w:fldCharType="begin"/>
    </w:r>
    <w:r>
      <w:instrText xml:space="preserve"> PAGE   \* MERGEFORMAT </w:instrText>
    </w:r>
    <w:r>
      <w:fldChar w:fldCharType="separate"/>
    </w:r>
    <w:r>
      <w:rPr>
        <w:lang w:val="zh-CN" w:eastAsia="zh-CN"/>
      </w:rPr>
      <w:t>24</w:t>
    </w:r>
    <w:r>
      <w:fldChar w:fldCharType="end"/>
    </w:r>
  </w:p>
  <w:p>
    <w:pPr>
      <w:pStyle w:val="2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r>
      <w:fldChar w:fldCharType="begin"/>
    </w:r>
    <w:r>
      <w:instrText xml:space="preserve"> PAGE   \* MERGEFORMAT </w:instrText>
    </w:r>
    <w:r>
      <w:fldChar w:fldCharType="separate"/>
    </w:r>
    <w:r>
      <w:rPr>
        <w:lang w:val="zh-CN" w:eastAsia="zh-CN"/>
      </w:rPr>
      <w:t>25</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r>
      <w:fldChar w:fldCharType="begin"/>
    </w:r>
    <w:r>
      <w:instrText xml:space="preserve"> PAGE   \* MERGEFORMAT </w:instrText>
    </w:r>
    <w:r>
      <w:fldChar w:fldCharType="separate"/>
    </w:r>
    <w:r>
      <w:rPr>
        <w:lang w:val="zh-CN" w:eastAsia="zh-CN"/>
      </w:rPr>
      <w:t>41</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C91163"/>
    <w:multiLevelType w:val="multilevel"/>
    <w:tmpl w:val="1FC91163"/>
    <w:lvl w:ilvl="0" w:tentative="0">
      <w:start w:val="1"/>
      <w:numFmt w:val="decimal"/>
      <w:pStyle w:val="71"/>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67"/>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70"/>
      <w:suff w:val="nothing"/>
      <w:lvlText w:val="%1.%2.%3　"/>
      <w:lvlJc w:val="left"/>
      <w:pPr>
        <w:ind w:left="0" w:firstLine="0"/>
      </w:pPr>
      <w:rPr>
        <w:rFonts w:hint="eastAsia" w:ascii="黑体" w:hAnsi="Times New Roman" w:eastAsia="黑体"/>
        <w:b w:val="0"/>
        <w:i w:val="0"/>
        <w:sz w:val="21"/>
      </w:rPr>
    </w:lvl>
    <w:lvl w:ilvl="3" w:tentative="0">
      <w:start w:val="1"/>
      <w:numFmt w:val="decimal"/>
      <w:pStyle w:val="69"/>
      <w:suff w:val="nothing"/>
      <w:lvlText w:val="%1.%2.%3.%4　"/>
      <w:lvlJc w:val="left"/>
      <w:pPr>
        <w:ind w:left="0" w:firstLine="0"/>
      </w:pPr>
      <w:rPr>
        <w:rFonts w:hint="eastAsia" w:ascii="黑体" w:hAnsi="Times New Roman" w:eastAsia="黑体"/>
        <w:b w:val="0"/>
        <w:i w:val="0"/>
        <w:sz w:val="21"/>
      </w:rPr>
    </w:lvl>
    <w:lvl w:ilvl="4" w:tentative="0">
      <w:start w:val="1"/>
      <w:numFmt w:val="decimal"/>
      <w:pStyle w:val="68"/>
      <w:suff w:val="nothing"/>
      <w:lvlText w:val="%1.%2.%3.%4.%5　"/>
      <w:lvlJc w:val="left"/>
      <w:pPr>
        <w:ind w:left="0" w:firstLine="0"/>
      </w:pPr>
      <w:rPr>
        <w:rFonts w:hint="eastAsia" w:ascii="黑体" w:hAnsi="Times New Roman" w:eastAsia="黑体"/>
        <w:b w:val="0"/>
        <w:i w:val="0"/>
        <w:sz w:val="21"/>
      </w:rPr>
    </w:lvl>
    <w:lvl w:ilvl="5" w:tentative="0">
      <w:start w:val="1"/>
      <w:numFmt w:val="decimal"/>
      <w:pStyle w:val="72"/>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2EC32B90"/>
    <w:multiLevelType w:val="multilevel"/>
    <w:tmpl w:val="2EC32B90"/>
    <w:lvl w:ilvl="0" w:tentative="0">
      <w:start w:val="1"/>
      <w:numFmt w:val="decimal"/>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557C2AF5"/>
    <w:multiLevelType w:val="multilevel"/>
    <w:tmpl w:val="557C2AF5"/>
    <w:lvl w:ilvl="0" w:tentative="0">
      <w:start w:val="1"/>
      <w:numFmt w:val="decimal"/>
      <w:pStyle w:val="88"/>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
    <w:nsid w:val="5A232B39"/>
    <w:multiLevelType w:val="multilevel"/>
    <w:tmpl w:val="5A232B39"/>
    <w:lvl w:ilvl="0" w:tentative="0">
      <w:start w:val="1"/>
      <w:numFmt w:val="decimal"/>
      <w:pStyle w:val="49"/>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46260FA"/>
    <w:multiLevelType w:val="multilevel"/>
    <w:tmpl w:val="646260FA"/>
    <w:lvl w:ilvl="0" w:tentative="0">
      <w:start w:val="1"/>
      <w:numFmt w:val="decimal"/>
      <w:pStyle w:val="51"/>
      <w:suff w:val="nothing"/>
      <w:lvlText w:val="表%1　"/>
      <w:lvlJc w:val="left"/>
      <w:pPr>
        <w:ind w:left="4935"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1521"/>
    <w:rsid w:val="000015DB"/>
    <w:rsid w:val="00001C74"/>
    <w:rsid w:val="00002172"/>
    <w:rsid w:val="000022EE"/>
    <w:rsid w:val="000051DC"/>
    <w:rsid w:val="00007CBC"/>
    <w:rsid w:val="0001573E"/>
    <w:rsid w:val="000165F6"/>
    <w:rsid w:val="000177FE"/>
    <w:rsid w:val="00020B11"/>
    <w:rsid w:val="0002139B"/>
    <w:rsid w:val="00023185"/>
    <w:rsid w:val="000236D1"/>
    <w:rsid w:val="00023D7B"/>
    <w:rsid w:val="00023E5B"/>
    <w:rsid w:val="00024E7E"/>
    <w:rsid w:val="00025C87"/>
    <w:rsid w:val="00025EDE"/>
    <w:rsid w:val="00027644"/>
    <w:rsid w:val="0002781E"/>
    <w:rsid w:val="00030748"/>
    <w:rsid w:val="00030889"/>
    <w:rsid w:val="00031F89"/>
    <w:rsid w:val="00033303"/>
    <w:rsid w:val="000359EF"/>
    <w:rsid w:val="000368E8"/>
    <w:rsid w:val="00037AAB"/>
    <w:rsid w:val="00037FA5"/>
    <w:rsid w:val="00041066"/>
    <w:rsid w:val="0004373F"/>
    <w:rsid w:val="00043BEE"/>
    <w:rsid w:val="0004491A"/>
    <w:rsid w:val="00044D87"/>
    <w:rsid w:val="00044D8B"/>
    <w:rsid w:val="000466A5"/>
    <w:rsid w:val="00047D97"/>
    <w:rsid w:val="00050861"/>
    <w:rsid w:val="000522CB"/>
    <w:rsid w:val="0005257D"/>
    <w:rsid w:val="00052BD7"/>
    <w:rsid w:val="00053B0A"/>
    <w:rsid w:val="000543C6"/>
    <w:rsid w:val="000608C3"/>
    <w:rsid w:val="000610BD"/>
    <w:rsid w:val="000626B6"/>
    <w:rsid w:val="0006364E"/>
    <w:rsid w:val="00064179"/>
    <w:rsid w:val="00064482"/>
    <w:rsid w:val="000646CE"/>
    <w:rsid w:val="000663B5"/>
    <w:rsid w:val="00067CA9"/>
    <w:rsid w:val="00070FA6"/>
    <w:rsid w:val="0007179E"/>
    <w:rsid w:val="00072F6F"/>
    <w:rsid w:val="0007349F"/>
    <w:rsid w:val="0007435D"/>
    <w:rsid w:val="00075261"/>
    <w:rsid w:val="00076DDE"/>
    <w:rsid w:val="00081054"/>
    <w:rsid w:val="0008166A"/>
    <w:rsid w:val="000818D5"/>
    <w:rsid w:val="000840E2"/>
    <w:rsid w:val="00084E05"/>
    <w:rsid w:val="00090FCA"/>
    <w:rsid w:val="00091E44"/>
    <w:rsid w:val="00095B3A"/>
    <w:rsid w:val="000A0592"/>
    <w:rsid w:val="000A3D6F"/>
    <w:rsid w:val="000A4C95"/>
    <w:rsid w:val="000A5AFA"/>
    <w:rsid w:val="000A5EF7"/>
    <w:rsid w:val="000A63D1"/>
    <w:rsid w:val="000A6887"/>
    <w:rsid w:val="000A7C03"/>
    <w:rsid w:val="000B231C"/>
    <w:rsid w:val="000B5D16"/>
    <w:rsid w:val="000B5E73"/>
    <w:rsid w:val="000C5DF6"/>
    <w:rsid w:val="000D0243"/>
    <w:rsid w:val="000D02A8"/>
    <w:rsid w:val="000D1039"/>
    <w:rsid w:val="000D1229"/>
    <w:rsid w:val="000D1EC6"/>
    <w:rsid w:val="000D5E51"/>
    <w:rsid w:val="000D689E"/>
    <w:rsid w:val="000D74C3"/>
    <w:rsid w:val="000E25D9"/>
    <w:rsid w:val="000E7DBE"/>
    <w:rsid w:val="000F1160"/>
    <w:rsid w:val="000F14F0"/>
    <w:rsid w:val="000F2ED9"/>
    <w:rsid w:val="000F2F47"/>
    <w:rsid w:val="000F32AA"/>
    <w:rsid w:val="000F3B35"/>
    <w:rsid w:val="000F49A1"/>
    <w:rsid w:val="001024FE"/>
    <w:rsid w:val="00103A56"/>
    <w:rsid w:val="00103E4F"/>
    <w:rsid w:val="00110FD1"/>
    <w:rsid w:val="00111544"/>
    <w:rsid w:val="00111F82"/>
    <w:rsid w:val="00112FF8"/>
    <w:rsid w:val="00113847"/>
    <w:rsid w:val="001149C2"/>
    <w:rsid w:val="0011567F"/>
    <w:rsid w:val="00116B8A"/>
    <w:rsid w:val="00117845"/>
    <w:rsid w:val="0012018E"/>
    <w:rsid w:val="00121042"/>
    <w:rsid w:val="00121358"/>
    <w:rsid w:val="00122B18"/>
    <w:rsid w:val="00126E48"/>
    <w:rsid w:val="00127883"/>
    <w:rsid w:val="001312AD"/>
    <w:rsid w:val="00134DE6"/>
    <w:rsid w:val="001359F2"/>
    <w:rsid w:val="0013781F"/>
    <w:rsid w:val="0013785F"/>
    <w:rsid w:val="00137EEA"/>
    <w:rsid w:val="001406DF"/>
    <w:rsid w:val="001444A0"/>
    <w:rsid w:val="00145DED"/>
    <w:rsid w:val="00151220"/>
    <w:rsid w:val="001526B5"/>
    <w:rsid w:val="00152C5B"/>
    <w:rsid w:val="00154837"/>
    <w:rsid w:val="00154CD5"/>
    <w:rsid w:val="001568E0"/>
    <w:rsid w:val="001571D7"/>
    <w:rsid w:val="001577A2"/>
    <w:rsid w:val="00157A08"/>
    <w:rsid w:val="00160277"/>
    <w:rsid w:val="00160A0F"/>
    <w:rsid w:val="00160EEE"/>
    <w:rsid w:val="00163F25"/>
    <w:rsid w:val="00165D2E"/>
    <w:rsid w:val="001678F6"/>
    <w:rsid w:val="001709E0"/>
    <w:rsid w:val="00171BB1"/>
    <w:rsid w:val="00171BD1"/>
    <w:rsid w:val="00172A27"/>
    <w:rsid w:val="001735AA"/>
    <w:rsid w:val="001740D1"/>
    <w:rsid w:val="001759FC"/>
    <w:rsid w:val="00175A7A"/>
    <w:rsid w:val="00182246"/>
    <w:rsid w:val="001824C3"/>
    <w:rsid w:val="00182755"/>
    <w:rsid w:val="001831F1"/>
    <w:rsid w:val="00184D64"/>
    <w:rsid w:val="00186BA0"/>
    <w:rsid w:val="00190742"/>
    <w:rsid w:val="001933B5"/>
    <w:rsid w:val="001938CD"/>
    <w:rsid w:val="00194CA1"/>
    <w:rsid w:val="001969B1"/>
    <w:rsid w:val="001A1D02"/>
    <w:rsid w:val="001A538E"/>
    <w:rsid w:val="001A5CE6"/>
    <w:rsid w:val="001A608A"/>
    <w:rsid w:val="001A7598"/>
    <w:rsid w:val="001A7DD6"/>
    <w:rsid w:val="001B017A"/>
    <w:rsid w:val="001B1CF2"/>
    <w:rsid w:val="001B2054"/>
    <w:rsid w:val="001B5121"/>
    <w:rsid w:val="001B5590"/>
    <w:rsid w:val="001C0860"/>
    <w:rsid w:val="001C6C68"/>
    <w:rsid w:val="001D119D"/>
    <w:rsid w:val="001D18CB"/>
    <w:rsid w:val="001D28E6"/>
    <w:rsid w:val="001D51B1"/>
    <w:rsid w:val="001D5D5F"/>
    <w:rsid w:val="001D6205"/>
    <w:rsid w:val="001D7FA9"/>
    <w:rsid w:val="001E2255"/>
    <w:rsid w:val="001E22F6"/>
    <w:rsid w:val="001E3A25"/>
    <w:rsid w:val="001E4963"/>
    <w:rsid w:val="001F11AD"/>
    <w:rsid w:val="001F2950"/>
    <w:rsid w:val="001F3C41"/>
    <w:rsid w:val="001F5D95"/>
    <w:rsid w:val="001F7E85"/>
    <w:rsid w:val="002000C9"/>
    <w:rsid w:val="00200F93"/>
    <w:rsid w:val="00201444"/>
    <w:rsid w:val="00202414"/>
    <w:rsid w:val="002027E4"/>
    <w:rsid w:val="0020399E"/>
    <w:rsid w:val="002047CF"/>
    <w:rsid w:val="00204E16"/>
    <w:rsid w:val="00204E1E"/>
    <w:rsid w:val="00206704"/>
    <w:rsid w:val="00210269"/>
    <w:rsid w:val="00210F19"/>
    <w:rsid w:val="002112B7"/>
    <w:rsid w:val="002131E7"/>
    <w:rsid w:val="00213BE3"/>
    <w:rsid w:val="00215BD3"/>
    <w:rsid w:val="0021601F"/>
    <w:rsid w:val="00216313"/>
    <w:rsid w:val="00216F74"/>
    <w:rsid w:val="00217B13"/>
    <w:rsid w:val="00220D4C"/>
    <w:rsid w:val="00220E81"/>
    <w:rsid w:val="00220EC4"/>
    <w:rsid w:val="0022284B"/>
    <w:rsid w:val="002228BC"/>
    <w:rsid w:val="00222966"/>
    <w:rsid w:val="002235FE"/>
    <w:rsid w:val="00223E56"/>
    <w:rsid w:val="002241D1"/>
    <w:rsid w:val="00224A1C"/>
    <w:rsid w:val="00224ECA"/>
    <w:rsid w:val="002255E4"/>
    <w:rsid w:val="00230938"/>
    <w:rsid w:val="00231D92"/>
    <w:rsid w:val="002331A2"/>
    <w:rsid w:val="00233522"/>
    <w:rsid w:val="00236237"/>
    <w:rsid w:val="002372A6"/>
    <w:rsid w:val="00237439"/>
    <w:rsid w:val="00237669"/>
    <w:rsid w:val="00240852"/>
    <w:rsid w:val="00240B55"/>
    <w:rsid w:val="00242019"/>
    <w:rsid w:val="00242196"/>
    <w:rsid w:val="00243ADB"/>
    <w:rsid w:val="0024475B"/>
    <w:rsid w:val="00246C9E"/>
    <w:rsid w:val="002505C4"/>
    <w:rsid w:val="002521A8"/>
    <w:rsid w:val="00252718"/>
    <w:rsid w:val="00253D10"/>
    <w:rsid w:val="00253EB2"/>
    <w:rsid w:val="00254682"/>
    <w:rsid w:val="002550C0"/>
    <w:rsid w:val="0025670C"/>
    <w:rsid w:val="002578A0"/>
    <w:rsid w:val="002578AC"/>
    <w:rsid w:val="00262681"/>
    <w:rsid w:val="0026298C"/>
    <w:rsid w:val="00263737"/>
    <w:rsid w:val="00263744"/>
    <w:rsid w:val="002650C5"/>
    <w:rsid w:val="00270AA8"/>
    <w:rsid w:val="002727FB"/>
    <w:rsid w:val="002735E1"/>
    <w:rsid w:val="002741FF"/>
    <w:rsid w:val="00277963"/>
    <w:rsid w:val="00280135"/>
    <w:rsid w:val="00282FD8"/>
    <w:rsid w:val="002830D1"/>
    <w:rsid w:val="00283DF1"/>
    <w:rsid w:val="00284863"/>
    <w:rsid w:val="002859EE"/>
    <w:rsid w:val="0029524D"/>
    <w:rsid w:val="0029546B"/>
    <w:rsid w:val="00296C65"/>
    <w:rsid w:val="002A0166"/>
    <w:rsid w:val="002A0C18"/>
    <w:rsid w:val="002A2E65"/>
    <w:rsid w:val="002A401A"/>
    <w:rsid w:val="002A43F9"/>
    <w:rsid w:val="002B1B42"/>
    <w:rsid w:val="002B31BA"/>
    <w:rsid w:val="002B387A"/>
    <w:rsid w:val="002B3C01"/>
    <w:rsid w:val="002B3EB0"/>
    <w:rsid w:val="002B4142"/>
    <w:rsid w:val="002B4BA7"/>
    <w:rsid w:val="002B57FB"/>
    <w:rsid w:val="002C0858"/>
    <w:rsid w:val="002C0FAE"/>
    <w:rsid w:val="002C2576"/>
    <w:rsid w:val="002C3EC5"/>
    <w:rsid w:val="002C4297"/>
    <w:rsid w:val="002C5501"/>
    <w:rsid w:val="002C74A9"/>
    <w:rsid w:val="002D2052"/>
    <w:rsid w:val="002D2747"/>
    <w:rsid w:val="002D3910"/>
    <w:rsid w:val="002D3E7C"/>
    <w:rsid w:val="002D59AB"/>
    <w:rsid w:val="002D64BE"/>
    <w:rsid w:val="002E0A6C"/>
    <w:rsid w:val="002E374F"/>
    <w:rsid w:val="002E3BC5"/>
    <w:rsid w:val="002E4930"/>
    <w:rsid w:val="002E5D4A"/>
    <w:rsid w:val="002E5F40"/>
    <w:rsid w:val="002E745A"/>
    <w:rsid w:val="002F50C4"/>
    <w:rsid w:val="002F53DF"/>
    <w:rsid w:val="002F57D3"/>
    <w:rsid w:val="0030489B"/>
    <w:rsid w:val="00305F79"/>
    <w:rsid w:val="0031050B"/>
    <w:rsid w:val="00310548"/>
    <w:rsid w:val="00311ED1"/>
    <w:rsid w:val="00312248"/>
    <w:rsid w:val="00312701"/>
    <w:rsid w:val="00312857"/>
    <w:rsid w:val="00312B6E"/>
    <w:rsid w:val="003133BF"/>
    <w:rsid w:val="00313AF4"/>
    <w:rsid w:val="003146E8"/>
    <w:rsid w:val="00317B47"/>
    <w:rsid w:val="00320119"/>
    <w:rsid w:val="003229F9"/>
    <w:rsid w:val="00322BCA"/>
    <w:rsid w:val="00323B95"/>
    <w:rsid w:val="0032502B"/>
    <w:rsid w:val="003252E2"/>
    <w:rsid w:val="00325ED9"/>
    <w:rsid w:val="003333E9"/>
    <w:rsid w:val="00333A25"/>
    <w:rsid w:val="00333A69"/>
    <w:rsid w:val="00336125"/>
    <w:rsid w:val="00336436"/>
    <w:rsid w:val="00342284"/>
    <w:rsid w:val="003448E8"/>
    <w:rsid w:val="00344BD7"/>
    <w:rsid w:val="00345D8A"/>
    <w:rsid w:val="003461AC"/>
    <w:rsid w:val="003467C2"/>
    <w:rsid w:val="00346ADD"/>
    <w:rsid w:val="00351AEA"/>
    <w:rsid w:val="00352711"/>
    <w:rsid w:val="003529D9"/>
    <w:rsid w:val="00353F95"/>
    <w:rsid w:val="00354138"/>
    <w:rsid w:val="003547A0"/>
    <w:rsid w:val="00355E6F"/>
    <w:rsid w:val="003562B1"/>
    <w:rsid w:val="00356343"/>
    <w:rsid w:val="003564CB"/>
    <w:rsid w:val="00360754"/>
    <w:rsid w:val="00361294"/>
    <w:rsid w:val="00361B13"/>
    <w:rsid w:val="003627A5"/>
    <w:rsid w:val="00367ADE"/>
    <w:rsid w:val="00370C7F"/>
    <w:rsid w:val="003721EF"/>
    <w:rsid w:val="00372E4C"/>
    <w:rsid w:val="003736E4"/>
    <w:rsid w:val="003762EF"/>
    <w:rsid w:val="00382A26"/>
    <w:rsid w:val="00383E4B"/>
    <w:rsid w:val="003848FD"/>
    <w:rsid w:val="0038597C"/>
    <w:rsid w:val="00386254"/>
    <w:rsid w:val="00386AAC"/>
    <w:rsid w:val="003917A7"/>
    <w:rsid w:val="00392CE1"/>
    <w:rsid w:val="0039535F"/>
    <w:rsid w:val="00395710"/>
    <w:rsid w:val="003A11B5"/>
    <w:rsid w:val="003A4066"/>
    <w:rsid w:val="003A4AAD"/>
    <w:rsid w:val="003A6D10"/>
    <w:rsid w:val="003A6FDA"/>
    <w:rsid w:val="003A7BD9"/>
    <w:rsid w:val="003B14C7"/>
    <w:rsid w:val="003B5C31"/>
    <w:rsid w:val="003B5C7F"/>
    <w:rsid w:val="003B7C89"/>
    <w:rsid w:val="003C100F"/>
    <w:rsid w:val="003C1B83"/>
    <w:rsid w:val="003C2735"/>
    <w:rsid w:val="003C28F6"/>
    <w:rsid w:val="003C2BDE"/>
    <w:rsid w:val="003C5900"/>
    <w:rsid w:val="003C6A83"/>
    <w:rsid w:val="003D00A0"/>
    <w:rsid w:val="003D0F25"/>
    <w:rsid w:val="003D13E5"/>
    <w:rsid w:val="003D1B79"/>
    <w:rsid w:val="003D213C"/>
    <w:rsid w:val="003D453E"/>
    <w:rsid w:val="003D68A1"/>
    <w:rsid w:val="003D71D2"/>
    <w:rsid w:val="003D7C75"/>
    <w:rsid w:val="003E07CD"/>
    <w:rsid w:val="003E20C4"/>
    <w:rsid w:val="003E3633"/>
    <w:rsid w:val="003E656A"/>
    <w:rsid w:val="003F0F46"/>
    <w:rsid w:val="003F1829"/>
    <w:rsid w:val="003F3745"/>
    <w:rsid w:val="003F4557"/>
    <w:rsid w:val="003F502B"/>
    <w:rsid w:val="003F53F7"/>
    <w:rsid w:val="003F618B"/>
    <w:rsid w:val="003F771B"/>
    <w:rsid w:val="003F7A7E"/>
    <w:rsid w:val="00400DC0"/>
    <w:rsid w:val="00401BC0"/>
    <w:rsid w:val="00404254"/>
    <w:rsid w:val="004048D3"/>
    <w:rsid w:val="004050B3"/>
    <w:rsid w:val="004056AB"/>
    <w:rsid w:val="00405C04"/>
    <w:rsid w:val="0041273A"/>
    <w:rsid w:val="00412ECE"/>
    <w:rsid w:val="0041324C"/>
    <w:rsid w:val="00414561"/>
    <w:rsid w:val="004177C6"/>
    <w:rsid w:val="004207AE"/>
    <w:rsid w:val="00421631"/>
    <w:rsid w:val="0042419A"/>
    <w:rsid w:val="004243FA"/>
    <w:rsid w:val="004243FB"/>
    <w:rsid w:val="00424A4D"/>
    <w:rsid w:val="00426AD8"/>
    <w:rsid w:val="00427875"/>
    <w:rsid w:val="0043246C"/>
    <w:rsid w:val="0043418C"/>
    <w:rsid w:val="004342D9"/>
    <w:rsid w:val="004363CA"/>
    <w:rsid w:val="00436E9A"/>
    <w:rsid w:val="004407C9"/>
    <w:rsid w:val="00441E52"/>
    <w:rsid w:val="004421DE"/>
    <w:rsid w:val="00443DB2"/>
    <w:rsid w:val="00445E32"/>
    <w:rsid w:val="0044657B"/>
    <w:rsid w:val="00446D92"/>
    <w:rsid w:val="004471C7"/>
    <w:rsid w:val="00447DBD"/>
    <w:rsid w:val="004520C7"/>
    <w:rsid w:val="004560CF"/>
    <w:rsid w:val="004572F5"/>
    <w:rsid w:val="00460079"/>
    <w:rsid w:val="00460561"/>
    <w:rsid w:val="00461DA8"/>
    <w:rsid w:val="00462193"/>
    <w:rsid w:val="0046260F"/>
    <w:rsid w:val="0046465F"/>
    <w:rsid w:val="00466B04"/>
    <w:rsid w:val="00467642"/>
    <w:rsid w:val="00470A47"/>
    <w:rsid w:val="00471C2A"/>
    <w:rsid w:val="00471DFF"/>
    <w:rsid w:val="00472E59"/>
    <w:rsid w:val="00473387"/>
    <w:rsid w:val="004736C0"/>
    <w:rsid w:val="00473EF9"/>
    <w:rsid w:val="00473FEA"/>
    <w:rsid w:val="0047405B"/>
    <w:rsid w:val="00474ADC"/>
    <w:rsid w:val="00475520"/>
    <w:rsid w:val="00475956"/>
    <w:rsid w:val="00477CB4"/>
    <w:rsid w:val="0048033F"/>
    <w:rsid w:val="00480F12"/>
    <w:rsid w:val="00481CB9"/>
    <w:rsid w:val="00482AEA"/>
    <w:rsid w:val="00482C6B"/>
    <w:rsid w:val="00482EF5"/>
    <w:rsid w:val="0048331D"/>
    <w:rsid w:val="0048607C"/>
    <w:rsid w:val="00486AD2"/>
    <w:rsid w:val="0049127D"/>
    <w:rsid w:val="00491E01"/>
    <w:rsid w:val="00493421"/>
    <w:rsid w:val="004934D4"/>
    <w:rsid w:val="00494826"/>
    <w:rsid w:val="0049496E"/>
    <w:rsid w:val="00494992"/>
    <w:rsid w:val="0049553A"/>
    <w:rsid w:val="00496B0D"/>
    <w:rsid w:val="004974A3"/>
    <w:rsid w:val="004A222B"/>
    <w:rsid w:val="004A34C2"/>
    <w:rsid w:val="004A4244"/>
    <w:rsid w:val="004A4C02"/>
    <w:rsid w:val="004A619B"/>
    <w:rsid w:val="004A7021"/>
    <w:rsid w:val="004B0A84"/>
    <w:rsid w:val="004B0DF3"/>
    <w:rsid w:val="004B1D43"/>
    <w:rsid w:val="004B2AF5"/>
    <w:rsid w:val="004B38B1"/>
    <w:rsid w:val="004B449A"/>
    <w:rsid w:val="004B4749"/>
    <w:rsid w:val="004B47AB"/>
    <w:rsid w:val="004B4A3D"/>
    <w:rsid w:val="004B783F"/>
    <w:rsid w:val="004C0187"/>
    <w:rsid w:val="004C40DB"/>
    <w:rsid w:val="004C4E27"/>
    <w:rsid w:val="004C7567"/>
    <w:rsid w:val="004D0614"/>
    <w:rsid w:val="004D2B26"/>
    <w:rsid w:val="004D2FB6"/>
    <w:rsid w:val="004D3AA7"/>
    <w:rsid w:val="004D4707"/>
    <w:rsid w:val="004D477F"/>
    <w:rsid w:val="004D4F0B"/>
    <w:rsid w:val="004D5259"/>
    <w:rsid w:val="004E33BC"/>
    <w:rsid w:val="004E3754"/>
    <w:rsid w:val="004E3915"/>
    <w:rsid w:val="004E7D34"/>
    <w:rsid w:val="004F0D8F"/>
    <w:rsid w:val="004F0F17"/>
    <w:rsid w:val="004F1233"/>
    <w:rsid w:val="004F26B8"/>
    <w:rsid w:val="004F2A31"/>
    <w:rsid w:val="004F3595"/>
    <w:rsid w:val="004F380D"/>
    <w:rsid w:val="004F4FC8"/>
    <w:rsid w:val="004F51A0"/>
    <w:rsid w:val="004F556C"/>
    <w:rsid w:val="004F576E"/>
    <w:rsid w:val="004F73B0"/>
    <w:rsid w:val="0050084A"/>
    <w:rsid w:val="00501D84"/>
    <w:rsid w:val="005027CF"/>
    <w:rsid w:val="00504A40"/>
    <w:rsid w:val="00505FFC"/>
    <w:rsid w:val="00507F31"/>
    <w:rsid w:val="00510C3C"/>
    <w:rsid w:val="00511179"/>
    <w:rsid w:val="00511A88"/>
    <w:rsid w:val="00512AEE"/>
    <w:rsid w:val="005131AF"/>
    <w:rsid w:val="00517C1E"/>
    <w:rsid w:val="00520218"/>
    <w:rsid w:val="00522437"/>
    <w:rsid w:val="005259BD"/>
    <w:rsid w:val="005261BC"/>
    <w:rsid w:val="00526C95"/>
    <w:rsid w:val="00530089"/>
    <w:rsid w:val="00530236"/>
    <w:rsid w:val="005337FF"/>
    <w:rsid w:val="005354B6"/>
    <w:rsid w:val="00535677"/>
    <w:rsid w:val="0053574E"/>
    <w:rsid w:val="00535BC2"/>
    <w:rsid w:val="00535D27"/>
    <w:rsid w:val="005376DD"/>
    <w:rsid w:val="005411EE"/>
    <w:rsid w:val="00542B54"/>
    <w:rsid w:val="00543227"/>
    <w:rsid w:val="00543E51"/>
    <w:rsid w:val="005443DD"/>
    <w:rsid w:val="005455D9"/>
    <w:rsid w:val="005462E3"/>
    <w:rsid w:val="00547CA4"/>
    <w:rsid w:val="00550711"/>
    <w:rsid w:val="00552250"/>
    <w:rsid w:val="00552CE5"/>
    <w:rsid w:val="0055423A"/>
    <w:rsid w:val="0055463B"/>
    <w:rsid w:val="0055479A"/>
    <w:rsid w:val="00554F2B"/>
    <w:rsid w:val="00555BB7"/>
    <w:rsid w:val="005627C4"/>
    <w:rsid w:val="00564BF0"/>
    <w:rsid w:val="0056581A"/>
    <w:rsid w:val="00565EDF"/>
    <w:rsid w:val="00565F9F"/>
    <w:rsid w:val="00570508"/>
    <w:rsid w:val="005707B1"/>
    <w:rsid w:val="005736B9"/>
    <w:rsid w:val="00573FA6"/>
    <w:rsid w:val="0057479E"/>
    <w:rsid w:val="00574A98"/>
    <w:rsid w:val="005757BD"/>
    <w:rsid w:val="00575A30"/>
    <w:rsid w:val="00575E10"/>
    <w:rsid w:val="00577472"/>
    <w:rsid w:val="00577E93"/>
    <w:rsid w:val="00581467"/>
    <w:rsid w:val="005823B8"/>
    <w:rsid w:val="00583492"/>
    <w:rsid w:val="005844E3"/>
    <w:rsid w:val="00585148"/>
    <w:rsid w:val="005851B7"/>
    <w:rsid w:val="005908CE"/>
    <w:rsid w:val="00591532"/>
    <w:rsid w:val="00593557"/>
    <w:rsid w:val="0059396B"/>
    <w:rsid w:val="005A0700"/>
    <w:rsid w:val="005A3CB5"/>
    <w:rsid w:val="005A404C"/>
    <w:rsid w:val="005A4118"/>
    <w:rsid w:val="005A420D"/>
    <w:rsid w:val="005A5E9B"/>
    <w:rsid w:val="005A6A10"/>
    <w:rsid w:val="005B080E"/>
    <w:rsid w:val="005B410D"/>
    <w:rsid w:val="005B5039"/>
    <w:rsid w:val="005B51B4"/>
    <w:rsid w:val="005B6791"/>
    <w:rsid w:val="005B6A4B"/>
    <w:rsid w:val="005C0030"/>
    <w:rsid w:val="005C04EC"/>
    <w:rsid w:val="005C076D"/>
    <w:rsid w:val="005C0DEB"/>
    <w:rsid w:val="005C204B"/>
    <w:rsid w:val="005C4211"/>
    <w:rsid w:val="005C4E36"/>
    <w:rsid w:val="005C4E87"/>
    <w:rsid w:val="005C570D"/>
    <w:rsid w:val="005C7CE8"/>
    <w:rsid w:val="005D0640"/>
    <w:rsid w:val="005D1CF2"/>
    <w:rsid w:val="005D32BE"/>
    <w:rsid w:val="005D34A4"/>
    <w:rsid w:val="005D61E1"/>
    <w:rsid w:val="005E0821"/>
    <w:rsid w:val="005E19F7"/>
    <w:rsid w:val="005E25D2"/>
    <w:rsid w:val="005E3B94"/>
    <w:rsid w:val="005E5639"/>
    <w:rsid w:val="005E5B40"/>
    <w:rsid w:val="005E6ECA"/>
    <w:rsid w:val="005E6FA7"/>
    <w:rsid w:val="005F017A"/>
    <w:rsid w:val="005F1DA5"/>
    <w:rsid w:val="005F2764"/>
    <w:rsid w:val="005F3631"/>
    <w:rsid w:val="005F3953"/>
    <w:rsid w:val="005F4E93"/>
    <w:rsid w:val="005F5989"/>
    <w:rsid w:val="005F6A3D"/>
    <w:rsid w:val="005F791B"/>
    <w:rsid w:val="00600D2E"/>
    <w:rsid w:val="00602427"/>
    <w:rsid w:val="00603AB6"/>
    <w:rsid w:val="00604845"/>
    <w:rsid w:val="00606C84"/>
    <w:rsid w:val="0061097A"/>
    <w:rsid w:val="00611AA5"/>
    <w:rsid w:val="00611D39"/>
    <w:rsid w:val="00615D74"/>
    <w:rsid w:val="00615E62"/>
    <w:rsid w:val="006168BF"/>
    <w:rsid w:val="00617163"/>
    <w:rsid w:val="00622D5B"/>
    <w:rsid w:val="00623921"/>
    <w:rsid w:val="00623C5A"/>
    <w:rsid w:val="006242A2"/>
    <w:rsid w:val="00624E2A"/>
    <w:rsid w:val="00625D43"/>
    <w:rsid w:val="0062636A"/>
    <w:rsid w:val="00626FE1"/>
    <w:rsid w:val="00627303"/>
    <w:rsid w:val="00630EF6"/>
    <w:rsid w:val="00631E7C"/>
    <w:rsid w:val="00634D13"/>
    <w:rsid w:val="00637C68"/>
    <w:rsid w:val="00640523"/>
    <w:rsid w:val="00641873"/>
    <w:rsid w:val="00643BAC"/>
    <w:rsid w:val="00643E0B"/>
    <w:rsid w:val="00644886"/>
    <w:rsid w:val="00644C25"/>
    <w:rsid w:val="006454E0"/>
    <w:rsid w:val="0064713F"/>
    <w:rsid w:val="00650CDA"/>
    <w:rsid w:val="00650EC0"/>
    <w:rsid w:val="006537A8"/>
    <w:rsid w:val="00654814"/>
    <w:rsid w:val="006557CF"/>
    <w:rsid w:val="00655CA5"/>
    <w:rsid w:val="006565AC"/>
    <w:rsid w:val="00661C4B"/>
    <w:rsid w:val="0066382B"/>
    <w:rsid w:val="00664E07"/>
    <w:rsid w:val="00665432"/>
    <w:rsid w:val="00667FB9"/>
    <w:rsid w:val="006707BD"/>
    <w:rsid w:val="00670F4F"/>
    <w:rsid w:val="006720DC"/>
    <w:rsid w:val="0067222F"/>
    <w:rsid w:val="006722D9"/>
    <w:rsid w:val="00676CCC"/>
    <w:rsid w:val="00676EDC"/>
    <w:rsid w:val="006777FE"/>
    <w:rsid w:val="00681C43"/>
    <w:rsid w:val="0068241E"/>
    <w:rsid w:val="00682570"/>
    <w:rsid w:val="006840EB"/>
    <w:rsid w:val="006843AA"/>
    <w:rsid w:val="00684AF5"/>
    <w:rsid w:val="00685406"/>
    <w:rsid w:val="00685DD5"/>
    <w:rsid w:val="00685FE6"/>
    <w:rsid w:val="00693C48"/>
    <w:rsid w:val="00693D73"/>
    <w:rsid w:val="00693DDF"/>
    <w:rsid w:val="0069443D"/>
    <w:rsid w:val="00694B8C"/>
    <w:rsid w:val="0069619D"/>
    <w:rsid w:val="00696FDD"/>
    <w:rsid w:val="0069753E"/>
    <w:rsid w:val="00697B29"/>
    <w:rsid w:val="00697EA9"/>
    <w:rsid w:val="006A360E"/>
    <w:rsid w:val="006A4053"/>
    <w:rsid w:val="006A4917"/>
    <w:rsid w:val="006A539A"/>
    <w:rsid w:val="006A5A0C"/>
    <w:rsid w:val="006A5B2D"/>
    <w:rsid w:val="006A67E4"/>
    <w:rsid w:val="006A6B30"/>
    <w:rsid w:val="006A7053"/>
    <w:rsid w:val="006B2870"/>
    <w:rsid w:val="006B290F"/>
    <w:rsid w:val="006B476C"/>
    <w:rsid w:val="006B4AF2"/>
    <w:rsid w:val="006B4BFF"/>
    <w:rsid w:val="006B4CF7"/>
    <w:rsid w:val="006B61D8"/>
    <w:rsid w:val="006B68FD"/>
    <w:rsid w:val="006B7653"/>
    <w:rsid w:val="006B793E"/>
    <w:rsid w:val="006B79C7"/>
    <w:rsid w:val="006C075B"/>
    <w:rsid w:val="006C1C72"/>
    <w:rsid w:val="006C539D"/>
    <w:rsid w:val="006C5501"/>
    <w:rsid w:val="006D20DD"/>
    <w:rsid w:val="006D348E"/>
    <w:rsid w:val="006D4A29"/>
    <w:rsid w:val="006D5C2B"/>
    <w:rsid w:val="006D76FF"/>
    <w:rsid w:val="006E2F0E"/>
    <w:rsid w:val="006E5251"/>
    <w:rsid w:val="006E64E9"/>
    <w:rsid w:val="006F10EB"/>
    <w:rsid w:val="006F28B5"/>
    <w:rsid w:val="006F462A"/>
    <w:rsid w:val="006F76B4"/>
    <w:rsid w:val="007008F3"/>
    <w:rsid w:val="007010F0"/>
    <w:rsid w:val="007025F1"/>
    <w:rsid w:val="00703AD6"/>
    <w:rsid w:val="00704CBD"/>
    <w:rsid w:val="00704FF6"/>
    <w:rsid w:val="00705AF2"/>
    <w:rsid w:val="00705E2E"/>
    <w:rsid w:val="00710A71"/>
    <w:rsid w:val="0071121E"/>
    <w:rsid w:val="00711812"/>
    <w:rsid w:val="00711A14"/>
    <w:rsid w:val="00712DBD"/>
    <w:rsid w:val="007136C1"/>
    <w:rsid w:val="0071380F"/>
    <w:rsid w:val="00715CB5"/>
    <w:rsid w:val="0071609F"/>
    <w:rsid w:val="00716B76"/>
    <w:rsid w:val="00716BDA"/>
    <w:rsid w:val="00716F59"/>
    <w:rsid w:val="00721E28"/>
    <w:rsid w:val="00726049"/>
    <w:rsid w:val="007263D3"/>
    <w:rsid w:val="0072646E"/>
    <w:rsid w:val="00726514"/>
    <w:rsid w:val="00726C25"/>
    <w:rsid w:val="007274CB"/>
    <w:rsid w:val="00730F31"/>
    <w:rsid w:val="007330CC"/>
    <w:rsid w:val="00734123"/>
    <w:rsid w:val="00740F77"/>
    <w:rsid w:val="00741198"/>
    <w:rsid w:val="00742949"/>
    <w:rsid w:val="00745FE2"/>
    <w:rsid w:val="0074688A"/>
    <w:rsid w:val="00746DC4"/>
    <w:rsid w:val="00746DF1"/>
    <w:rsid w:val="00747B9F"/>
    <w:rsid w:val="00747CEC"/>
    <w:rsid w:val="00747F19"/>
    <w:rsid w:val="007508D2"/>
    <w:rsid w:val="00752089"/>
    <w:rsid w:val="007520AD"/>
    <w:rsid w:val="00753382"/>
    <w:rsid w:val="00755502"/>
    <w:rsid w:val="00755582"/>
    <w:rsid w:val="00756008"/>
    <w:rsid w:val="007561F0"/>
    <w:rsid w:val="00756504"/>
    <w:rsid w:val="0076072C"/>
    <w:rsid w:val="00762CFA"/>
    <w:rsid w:val="00762FC7"/>
    <w:rsid w:val="00763299"/>
    <w:rsid w:val="00763E68"/>
    <w:rsid w:val="007678FE"/>
    <w:rsid w:val="00770782"/>
    <w:rsid w:val="007722C0"/>
    <w:rsid w:val="00772EE1"/>
    <w:rsid w:val="00774DE7"/>
    <w:rsid w:val="007754B2"/>
    <w:rsid w:val="00777FB2"/>
    <w:rsid w:val="00780A82"/>
    <w:rsid w:val="0078123C"/>
    <w:rsid w:val="00784D19"/>
    <w:rsid w:val="00785D9D"/>
    <w:rsid w:val="00786F6A"/>
    <w:rsid w:val="007875C3"/>
    <w:rsid w:val="00787A57"/>
    <w:rsid w:val="00790488"/>
    <w:rsid w:val="00790676"/>
    <w:rsid w:val="00790E79"/>
    <w:rsid w:val="007917DA"/>
    <w:rsid w:val="0079477F"/>
    <w:rsid w:val="0079488B"/>
    <w:rsid w:val="00794FC7"/>
    <w:rsid w:val="00795E61"/>
    <w:rsid w:val="00796452"/>
    <w:rsid w:val="00796A3B"/>
    <w:rsid w:val="007A13DA"/>
    <w:rsid w:val="007A16AF"/>
    <w:rsid w:val="007A16CE"/>
    <w:rsid w:val="007A34FB"/>
    <w:rsid w:val="007A4EA6"/>
    <w:rsid w:val="007A6646"/>
    <w:rsid w:val="007A712E"/>
    <w:rsid w:val="007A7F07"/>
    <w:rsid w:val="007B0149"/>
    <w:rsid w:val="007B2358"/>
    <w:rsid w:val="007B48F6"/>
    <w:rsid w:val="007B6707"/>
    <w:rsid w:val="007B7A56"/>
    <w:rsid w:val="007B7F43"/>
    <w:rsid w:val="007C004E"/>
    <w:rsid w:val="007C155A"/>
    <w:rsid w:val="007C17DC"/>
    <w:rsid w:val="007C27C1"/>
    <w:rsid w:val="007C282B"/>
    <w:rsid w:val="007C282E"/>
    <w:rsid w:val="007C30C7"/>
    <w:rsid w:val="007C3901"/>
    <w:rsid w:val="007C3F8C"/>
    <w:rsid w:val="007C56EE"/>
    <w:rsid w:val="007C6DAA"/>
    <w:rsid w:val="007C6FCD"/>
    <w:rsid w:val="007D05B5"/>
    <w:rsid w:val="007D2DF6"/>
    <w:rsid w:val="007D341A"/>
    <w:rsid w:val="007D53C2"/>
    <w:rsid w:val="007D732E"/>
    <w:rsid w:val="007D7D28"/>
    <w:rsid w:val="007E3DBD"/>
    <w:rsid w:val="007E4E0B"/>
    <w:rsid w:val="007E596E"/>
    <w:rsid w:val="007E75A8"/>
    <w:rsid w:val="007F3163"/>
    <w:rsid w:val="007F3FED"/>
    <w:rsid w:val="007F4289"/>
    <w:rsid w:val="007F4365"/>
    <w:rsid w:val="007F58D4"/>
    <w:rsid w:val="007F733F"/>
    <w:rsid w:val="0080198D"/>
    <w:rsid w:val="00802635"/>
    <w:rsid w:val="0080451F"/>
    <w:rsid w:val="008078A4"/>
    <w:rsid w:val="008102FB"/>
    <w:rsid w:val="00810610"/>
    <w:rsid w:val="00811A81"/>
    <w:rsid w:val="00812551"/>
    <w:rsid w:val="00813218"/>
    <w:rsid w:val="00814634"/>
    <w:rsid w:val="00814ED4"/>
    <w:rsid w:val="00815237"/>
    <w:rsid w:val="00816018"/>
    <w:rsid w:val="00817B90"/>
    <w:rsid w:val="008200C5"/>
    <w:rsid w:val="0082150F"/>
    <w:rsid w:val="00821950"/>
    <w:rsid w:val="00823C6B"/>
    <w:rsid w:val="00824067"/>
    <w:rsid w:val="00832615"/>
    <w:rsid w:val="008339D9"/>
    <w:rsid w:val="00834115"/>
    <w:rsid w:val="00835D42"/>
    <w:rsid w:val="00836A12"/>
    <w:rsid w:val="008378BF"/>
    <w:rsid w:val="00840056"/>
    <w:rsid w:val="00842217"/>
    <w:rsid w:val="00843D7D"/>
    <w:rsid w:val="008455B4"/>
    <w:rsid w:val="00845AC8"/>
    <w:rsid w:val="0085032F"/>
    <w:rsid w:val="00850912"/>
    <w:rsid w:val="0085363D"/>
    <w:rsid w:val="008540E6"/>
    <w:rsid w:val="0085512D"/>
    <w:rsid w:val="00856B05"/>
    <w:rsid w:val="00856CD0"/>
    <w:rsid w:val="0086120C"/>
    <w:rsid w:val="00862E26"/>
    <w:rsid w:val="008646D0"/>
    <w:rsid w:val="008657A1"/>
    <w:rsid w:val="00865C54"/>
    <w:rsid w:val="00866178"/>
    <w:rsid w:val="008704A7"/>
    <w:rsid w:val="00871B39"/>
    <w:rsid w:val="00873738"/>
    <w:rsid w:val="008751AE"/>
    <w:rsid w:val="0087560D"/>
    <w:rsid w:val="008758CB"/>
    <w:rsid w:val="00875E0A"/>
    <w:rsid w:val="0087640D"/>
    <w:rsid w:val="00876487"/>
    <w:rsid w:val="008769AC"/>
    <w:rsid w:val="00877881"/>
    <w:rsid w:val="00880047"/>
    <w:rsid w:val="00880E99"/>
    <w:rsid w:val="00881321"/>
    <w:rsid w:val="00883207"/>
    <w:rsid w:val="00883908"/>
    <w:rsid w:val="008845DA"/>
    <w:rsid w:val="0088530D"/>
    <w:rsid w:val="008879FE"/>
    <w:rsid w:val="0089020F"/>
    <w:rsid w:val="00891351"/>
    <w:rsid w:val="0089484E"/>
    <w:rsid w:val="008952F8"/>
    <w:rsid w:val="00895887"/>
    <w:rsid w:val="008A0F9D"/>
    <w:rsid w:val="008A7111"/>
    <w:rsid w:val="008A78E2"/>
    <w:rsid w:val="008A7913"/>
    <w:rsid w:val="008B02BE"/>
    <w:rsid w:val="008B0533"/>
    <w:rsid w:val="008B061F"/>
    <w:rsid w:val="008B216C"/>
    <w:rsid w:val="008B3D6C"/>
    <w:rsid w:val="008B4419"/>
    <w:rsid w:val="008B52D2"/>
    <w:rsid w:val="008B5BD3"/>
    <w:rsid w:val="008C13B1"/>
    <w:rsid w:val="008C1D53"/>
    <w:rsid w:val="008C3BC2"/>
    <w:rsid w:val="008C4CA6"/>
    <w:rsid w:val="008C71DB"/>
    <w:rsid w:val="008D0F98"/>
    <w:rsid w:val="008D22C1"/>
    <w:rsid w:val="008D2BC7"/>
    <w:rsid w:val="008D31FC"/>
    <w:rsid w:val="008D53FF"/>
    <w:rsid w:val="008D542E"/>
    <w:rsid w:val="008D5497"/>
    <w:rsid w:val="008D6F01"/>
    <w:rsid w:val="008D75FF"/>
    <w:rsid w:val="008D77FD"/>
    <w:rsid w:val="008E130C"/>
    <w:rsid w:val="008E2BC1"/>
    <w:rsid w:val="008E327B"/>
    <w:rsid w:val="008E3955"/>
    <w:rsid w:val="008E3DFA"/>
    <w:rsid w:val="008E6FDA"/>
    <w:rsid w:val="008F29D3"/>
    <w:rsid w:val="008F4DDF"/>
    <w:rsid w:val="008F590A"/>
    <w:rsid w:val="0090007E"/>
    <w:rsid w:val="009004C1"/>
    <w:rsid w:val="00900877"/>
    <w:rsid w:val="00900996"/>
    <w:rsid w:val="00900AA3"/>
    <w:rsid w:val="00902BC4"/>
    <w:rsid w:val="00902BEE"/>
    <w:rsid w:val="009046FE"/>
    <w:rsid w:val="00904C58"/>
    <w:rsid w:val="0090583D"/>
    <w:rsid w:val="009071E4"/>
    <w:rsid w:val="009108EE"/>
    <w:rsid w:val="009114FA"/>
    <w:rsid w:val="009123DD"/>
    <w:rsid w:val="009129AA"/>
    <w:rsid w:val="00912DB7"/>
    <w:rsid w:val="0091358B"/>
    <w:rsid w:val="009144E1"/>
    <w:rsid w:val="00917DD7"/>
    <w:rsid w:val="00920BB0"/>
    <w:rsid w:val="00922DF3"/>
    <w:rsid w:val="009246D5"/>
    <w:rsid w:val="009250BA"/>
    <w:rsid w:val="009277D7"/>
    <w:rsid w:val="00930737"/>
    <w:rsid w:val="00934844"/>
    <w:rsid w:val="00935B67"/>
    <w:rsid w:val="009368FF"/>
    <w:rsid w:val="0094196A"/>
    <w:rsid w:val="0094202B"/>
    <w:rsid w:val="00944836"/>
    <w:rsid w:val="00946273"/>
    <w:rsid w:val="00947F13"/>
    <w:rsid w:val="00951BB0"/>
    <w:rsid w:val="00953EDF"/>
    <w:rsid w:val="00956861"/>
    <w:rsid w:val="00957135"/>
    <w:rsid w:val="009573C7"/>
    <w:rsid w:val="009602B2"/>
    <w:rsid w:val="00961936"/>
    <w:rsid w:val="00966011"/>
    <w:rsid w:val="00967A82"/>
    <w:rsid w:val="009742F1"/>
    <w:rsid w:val="00974859"/>
    <w:rsid w:val="00976E49"/>
    <w:rsid w:val="0098006D"/>
    <w:rsid w:val="00980218"/>
    <w:rsid w:val="00981176"/>
    <w:rsid w:val="00981E6A"/>
    <w:rsid w:val="00984F3C"/>
    <w:rsid w:val="0098605D"/>
    <w:rsid w:val="00987370"/>
    <w:rsid w:val="00991AD6"/>
    <w:rsid w:val="00991B01"/>
    <w:rsid w:val="00994547"/>
    <w:rsid w:val="00995B82"/>
    <w:rsid w:val="00995C90"/>
    <w:rsid w:val="009A0058"/>
    <w:rsid w:val="009A3E66"/>
    <w:rsid w:val="009A4049"/>
    <w:rsid w:val="009A4B40"/>
    <w:rsid w:val="009A55BB"/>
    <w:rsid w:val="009A5727"/>
    <w:rsid w:val="009A75AA"/>
    <w:rsid w:val="009B11C8"/>
    <w:rsid w:val="009B1C80"/>
    <w:rsid w:val="009B2520"/>
    <w:rsid w:val="009B252F"/>
    <w:rsid w:val="009B4716"/>
    <w:rsid w:val="009B540A"/>
    <w:rsid w:val="009C031B"/>
    <w:rsid w:val="009C2098"/>
    <w:rsid w:val="009C257D"/>
    <w:rsid w:val="009C5CBB"/>
    <w:rsid w:val="009C798F"/>
    <w:rsid w:val="009C7FFC"/>
    <w:rsid w:val="009D03CC"/>
    <w:rsid w:val="009D0896"/>
    <w:rsid w:val="009D0E17"/>
    <w:rsid w:val="009D1B8B"/>
    <w:rsid w:val="009D223D"/>
    <w:rsid w:val="009D2B69"/>
    <w:rsid w:val="009D42CE"/>
    <w:rsid w:val="009D49B2"/>
    <w:rsid w:val="009D51B7"/>
    <w:rsid w:val="009D65B3"/>
    <w:rsid w:val="009E0D6C"/>
    <w:rsid w:val="009E207D"/>
    <w:rsid w:val="009E2532"/>
    <w:rsid w:val="009E3623"/>
    <w:rsid w:val="009E39B7"/>
    <w:rsid w:val="009E3D26"/>
    <w:rsid w:val="009E4C31"/>
    <w:rsid w:val="009E664C"/>
    <w:rsid w:val="009E6B95"/>
    <w:rsid w:val="009E70BB"/>
    <w:rsid w:val="009F045D"/>
    <w:rsid w:val="009F28D5"/>
    <w:rsid w:val="009F2E25"/>
    <w:rsid w:val="009F4529"/>
    <w:rsid w:val="009F5729"/>
    <w:rsid w:val="009F69A5"/>
    <w:rsid w:val="00A00CAE"/>
    <w:rsid w:val="00A01DFF"/>
    <w:rsid w:val="00A03C83"/>
    <w:rsid w:val="00A048F5"/>
    <w:rsid w:val="00A05586"/>
    <w:rsid w:val="00A07EF1"/>
    <w:rsid w:val="00A11FD2"/>
    <w:rsid w:val="00A12114"/>
    <w:rsid w:val="00A1213E"/>
    <w:rsid w:val="00A1300E"/>
    <w:rsid w:val="00A1420B"/>
    <w:rsid w:val="00A15575"/>
    <w:rsid w:val="00A156C7"/>
    <w:rsid w:val="00A15996"/>
    <w:rsid w:val="00A20095"/>
    <w:rsid w:val="00A213D7"/>
    <w:rsid w:val="00A22C46"/>
    <w:rsid w:val="00A25473"/>
    <w:rsid w:val="00A276A3"/>
    <w:rsid w:val="00A27940"/>
    <w:rsid w:val="00A33FE4"/>
    <w:rsid w:val="00A34044"/>
    <w:rsid w:val="00A35816"/>
    <w:rsid w:val="00A364C0"/>
    <w:rsid w:val="00A40F84"/>
    <w:rsid w:val="00A4189F"/>
    <w:rsid w:val="00A43317"/>
    <w:rsid w:val="00A47467"/>
    <w:rsid w:val="00A50380"/>
    <w:rsid w:val="00A53F90"/>
    <w:rsid w:val="00A54059"/>
    <w:rsid w:val="00A5645A"/>
    <w:rsid w:val="00A565C2"/>
    <w:rsid w:val="00A569DE"/>
    <w:rsid w:val="00A6079D"/>
    <w:rsid w:val="00A632A5"/>
    <w:rsid w:val="00A63ABD"/>
    <w:rsid w:val="00A65B6F"/>
    <w:rsid w:val="00A66D2F"/>
    <w:rsid w:val="00A67605"/>
    <w:rsid w:val="00A70C31"/>
    <w:rsid w:val="00A71856"/>
    <w:rsid w:val="00A724B3"/>
    <w:rsid w:val="00A724F2"/>
    <w:rsid w:val="00A72AD6"/>
    <w:rsid w:val="00A7359E"/>
    <w:rsid w:val="00A735E8"/>
    <w:rsid w:val="00A74235"/>
    <w:rsid w:val="00A7579F"/>
    <w:rsid w:val="00A76C70"/>
    <w:rsid w:val="00A7758F"/>
    <w:rsid w:val="00A809BB"/>
    <w:rsid w:val="00A81B29"/>
    <w:rsid w:val="00A81D7F"/>
    <w:rsid w:val="00A825C5"/>
    <w:rsid w:val="00A866B1"/>
    <w:rsid w:val="00A87167"/>
    <w:rsid w:val="00A877AC"/>
    <w:rsid w:val="00A912CB"/>
    <w:rsid w:val="00A92069"/>
    <w:rsid w:val="00A92873"/>
    <w:rsid w:val="00A94E27"/>
    <w:rsid w:val="00A95C22"/>
    <w:rsid w:val="00A965A6"/>
    <w:rsid w:val="00A967CF"/>
    <w:rsid w:val="00AA24E6"/>
    <w:rsid w:val="00AA49FB"/>
    <w:rsid w:val="00AA5E89"/>
    <w:rsid w:val="00AA6A59"/>
    <w:rsid w:val="00AA6B17"/>
    <w:rsid w:val="00AB190F"/>
    <w:rsid w:val="00AB245C"/>
    <w:rsid w:val="00AB2482"/>
    <w:rsid w:val="00AB2701"/>
    <w:rsid w:val="00AB3214"/>
    <w:rsid w:val="00AB399A"/>
    <w:rsid w:val="00AB487D"/>
    <w:rsid w:val="00AB4C1C"/>
    <w:rsid w:val="00AB4F21"/>
    <w:rsid w:val="00AB67CA"/>
    <w:rsid w:val="00AB6A6A"/>
    <w:rsid w:val="00AC1A6A"/>
    <w:rsid w:val="00AC1C51"/>
    <w:rsid w:val="00AC3BB0"/>
    <w:rsid w:val="00AC470A"/>
    <w:rsid w:val="00AC5C40"/>
    <w:rsid w:val="00AD311D"/>
    <w:rsid w:val="00AD6D19"/>
    <w:rsid w:val="00AD6F08"/>
    <w:rsid w:val="00AD77EC"/>
    <w:rsid w:val="00AE2047"/>
    <w:rsid w:val="00AE2F13"/>
    <w:rsid w:val="00AE49BF"/>
    <w:rsid w:val="00AE4B89"/>
    <w:rsid w:val="00AE556B"/>
    <w:rsid w:val="00AE605B"/>
    <w:rsid w:val="00AE6F5F"/>
    <w:rsid w:val="00AE73C2"/>
    <w:rsid w:val="00AE7B9D"/>
    <w:rsid w:val="00AF050F"/>
    <w:rsid w:val="00AF11DB"/>
    <w:rsid w:val="00AF3418"/>
    <w:rsid w:val="00AF52B0"/>
    <w:rsid w:val="00AF5FED"/>
    <w:rsid w:val="00AF68F9"/>
    <w:rsid w:val="00B00967"/>
    <w:rsid w:val="00B023FD"/>
    <w:rsid w:val="00B05C02"/>
    <w:rsid w:val="00B06D68"/>
    <w:rsid w:val="00B07636"/>
    <w:rsid w:val="00B07E94"/>
    <w:rsid w:val="00B11EDD"/>
    <w:rsid w:val="00B12586"/>
    <w:rsid w:val="00B1427A"/>
    <w:rsid w:val="00B14BA8"/>
    <w:rsid w:val="00B15098"/>
    <w:rsid w:val="00B16739"/>
    <w:rsid w:val="00B211F3"/>
    <w:rsid w:val="00B21858"/>
    <w:rsid w:val="00B218EE"/>
    <w:rsid w:val="00B22D03"/>
    <w:rsid w:val="00B23AF9"/>
    <w:rsid w:val="00B26C62"/>
    <w:rsid w:val="00B310BC"/>
    <w:rsid w:val="00B34EB3"/>
    <w:rsid w:val="00B3552F"/>
    <w:rsid w:val="00B35654"/>
    <w:rsid w:val="00B3632A"/>
    <w:rsid w:val="00B379AD"/>
    <w:rsid w:val="00B37B68"/>
    <w:rsid w:val="00B41F00"/>
    <w:rsid w:val="00B4438D"/>
    <w:rsid w:val="00B4457E"/>
    <w:rsid w:val="00B446C6"/>
    <w:rsid w:val="00B44BF9"/>
    <w:rsid w:val="00B46CC3"/>
    <w:rsid w:val="00B46F6F"/>
    <w:rsid w:val="00B53826"/>
    <w:rsid w:val="00B556FB"/>
    <w:rsid w:val="00B56273"/>
    <w:rsid w:val="00B5641A"/>
    <w:rsid w:val="00B56DA6"/>
    <w:rsid w:val="00B57663"/>
    <w:rsid w:val="00B576F7"/>
    <w:rsid w:val="00B607F7"/>
    <w:rsid w:val="00B612A2"/>
    <w:rsid w:val="00B61F29"/>
    <w:rsid w:val="00B64403"/>
    <w:rsid w:val="00B659C4"/>
    <w:rsid w:val="00B702D0"/>
    <w:rsid w:val="00B71D82"/>
    <w:rsid w:val="00B7396B"/>
    <w:rsid w:val="00B73A25"/>
    <w:rsid w:val="00B77821"/>
    <w:rsid w:val="00B7799D"/>
    <w:rsid w:val="00B8002A"/>
    <w:rsid w:val="00B81702"/>
    <w:rsid w:val="00B83403"/>
    <w:rsid w:val="00B853AF"/>
    <w:rsid w:val="00B85F41"/>
    <w:rsid w:val="00B914F2"/>
    <w:rsid w:val="00B941F7"/>
    <w:rsid w:val="00B94B3B"/>
    <w:rsid w:val="00B95917"/>
    <w:rsid w:val="00B95F54"/>
    <w:rsid w:val="00B95F8F"/>
    <w:rsid w:val="00B97A0D"/>
    <w:rsid w:val="00BA12AE"/>
    <w:rsid w:val="00BA1F50"/>
    <w:rsid w:val="00BA426D"/>
    <w:rsid w:val="00BA63EF"/>
    <w:rsid w:val="00BA758A"/>
    <w:rsid w:val="00BA77D5"/>
    <w:rsid w:val="00BB04F1"/>
    <w:rsid w:val="00BB3121"/>
    <w:rsid w:val="00BB3777"/>
    <w:rsid w:val="00BB3B0C"/>
    <w:rsid w:val="00BB4132"/>
    <w:rsid w:val="00BB497F"/>
    <w:rsid w:val="00BC4045"/>
    <w:rsid w:val="00BC47EF"/>
    <w:rsid w:val="00BC59A1"/>
    <w:rsid w:val="00BC5E84"/>
    <w:rsid w:val="00BC7C7E"/>
    <w:rsid w:val="00BC7D0D"/>
    <w:rsid w:val="00BD199E"/>
    <w:rsid w:val="00BD234D"/>
    <w:rsid w:val="00BD2600"/>
    <w:rsid w:val="00BD301E"/>
    <w:rsid w:val="00BD5300"/>
    <w:rsid w:val="00BD6517"/>
    <w:rsid w:val="00BD717A"/>
    <w:rsid w:val="00BE107C"/>
    <w:rsid w:val="00BE1246"/>
    <w:rsid w:val="00BE3226"/>
    <w:rsid w:val="00BE4217"/>
    <w:rsid w:val="00BE4502"/>
    <w:rsid w:val="00BE486A"/>
    <w:rsid w:val="00BE4A3B"/>
    <w:rsid w:val="00BE4EDE"/>
    <w:rsid w:val="00BE66BF"/>
    <w:rsid w:val="00BF27E9"/>
    <w:rsid w:val="00BF3107"/>
    <w:rsid w:val="00BF498B"/>
    <w:rsid w:val="00BF5136"/>
    <w:rsid w:val="00BF5242"/>
    <w:rsid w:val="00BF6663"/>
    <w:rsid w:val="00BF6BEE"/>
    <w:rsid w:val="00BF7C8D"/>
    <w:rsid w:val="00C004CB"/>
    <w:rsid w:val="00C02DA2"/>
    <w:rsid w:val="00C03826"/>
    <w:rsid w:val="00C03E9F"/>
    <w:rsid w:val="00C07329"/>
    <w:rsid w:val="00C07746"/>
    <w:rsid w:val="00C0797A"/>
    <w:rsid w:val="00C107C3"/>
    <w:rsid w:val="00C10CF9"/>
    <w:rsid w:val="00C12229"/>
    <w:rsid w:val="00C122B4"/>
    <w:rsid w:val="00C12330"/>
    <w:rsid w:val="00C15F8C"/>
    <w:rsid w:val="00C209E8"/>
    <w:rsid w:val="00C23280"/>
    <w:rsid w:val="00C2381B"/>
    <w:rsid w:val="00C254DE"/>
    <w:rsid w:val="00C26AA5"/>
    <w:rsid w:val="00C303DA"/>
    <w:rsid w:val="00C312A3"/>
    <w:rsid w:val="00C31D74"/>
    <w:rsid w:val="00C339AD"/>
    <w:rsid w:val="00C36EB6"/>
    <w:rsid w:val="00C406C2"/>
    <w:rsid w:val="00C41245"/>
    <w:rsid w:val="00C41F72"/>
    <w:rsid w:val="00C4214B"/>
    <w:rsid w:val="00C45355"/>
    <w:rsid w:val="00C4751B"/>
    <w:rsid w:val="00C4767E"/>
    <w:rsid w:val="00C516B7"/>
    <w:rsid w:val="00C536C2"/>
    <w:rsid w:val="00C5488A"/>
    <w:rsid w:val="00C5513F"/>
    <w:rsid w:val="00C55D50"/>
    <w:rsid w:val="00C56336"/>
    <w:rsid w:val="00C568CC"/>
    <w:rsid w:val="00C57022"/>
    <w:rsid w:val="00C61FF9"/>
    <w:rsid w:val="00C62F5B"/>
    <w:rsid w:val="00C65534"/>
    <w:rsid w:val="00C65EE6"/>
    <w:rsid w:val="00C67DF3"/>
    <w:rsid w:val="00C72B9F"/>
    <w:rsid w:val="00C73CC8"/>
    <w:rsid w:val="00C73EDC"/>
    <w:rsid w:val="00C754AD"/>
    <w:rsid w:val="00C761FA"/>
    <w:rsid w:val="00C809CE"/>
    <w:rsid w:val="00C8214D"/>
    <w:rsid w:val="00C829EE"/>
    <w:rsid w:val="00C82DBA"/>
    <w:rsid w:val="00C85175"/>
    <w:rsid w:val="00C85694"/>
    <w:rsid w:val="00C868AC"/>
    <w:rsid w:val="00C872C8"/>
    <w:rsid w:val="00C876C3"/>
    <w:rsid w:val="00C87858"/>
    <w:rsid w:val="00C90422"/>
    <w:rsid w:val="00C926A7"/>
    <w:rsid w:val="00C93DBF"/>
    <w:rsid w:val="00C9470D"/>
    <w:rsid w:val="00C96CA2"/>
    <w:rsid w:val="00CA065A"/>
    <w:rsid w:val="00CA1A95"/>
    <w:rsid w:val="00CA29AB"/>
    <w:rsid w:val="00CA3121"/>
    <w:rsid w:val="00CA414E"/>
    <w:rsid w:val="00CA5DC8"/>
    <w:rsid w:val="00CB082F"/>
    <w:rsid w:val="00CB0D8C"/>
    <w:rsid w:val="00CB1377"/>
    <w:rsid w:val="00CB2601"/>
    <w:rsid w:val="00CB716B"/>
    <w:rsid w:val="00CB76F4"/>
    <w:rsid w:val="00CC0CDB"/>
    <w:rsid w:val="00CC2BE2"/>
    <w:rsid w:val="00CC4E0D"/>
    <w:rsid w:val="00CC6739"/>
    <w:rsid w:val="00CD166F"/>
    <w:rsid w:val="00CD19FC"/>
    <w:rsid w:val="00CD3ED9"/>
    <w:rsid w:val="00CD4D5C"/>
    <w:rsid w:val="00CD6BFE"/>
    <w:rsid w:val="00CD6D64"/>
    <w:rsid w:val="00CD7427"/>
    <w:rsid w:val="00CD760A"/>
    <w:rsid w:val="00CE149E"/>
    <w:rsid w:val="00CE1818"/>
    <w:rsid w:val="00CE3AD8"/>
    <w:rsid w:val="00CE3F38"/>
    <w:rsid w:val="00CE42FF"/>
    <w:rsid w:val="00CE64D2"/>
    <w:rsid w:val="00CE6D68"/>
    <w:rsid w:val="00CE73E5"/>
    <w:rsid w:val="00CF0352"/>
    <w:rsid w:val="00CF26E9"/>
    <w:rsid w:val="00CF517B"/>
    <w:rsid w:val="00D00D33"/>
    <w:rsid w:val="00D011C3"/>
    <w:rsid w:val="00D03452"/>
    <w:rsid w:val="00D036D5"/>
    <w:rsid w:val="00D043FD"/>
    <w:rsid w:val="00D05789"/>
    <w:rsid w:val="00D06CD6"/>
    <w:rsid w:val="00D1283C"/>
    <w:rsid w:val="00D1371E"/>
    <w:rsid w:val="00D20A5E"/>
    <w:rsid w:val="00D21008"/>
    <w:rsid w:val="00D21C40"/>
    <w:rsid w:val="00D22402"/>
    <w:rsid w:val="00D231B2"/>
    <w:rsid w:val="00D23DA2"/>
    <w:rsid w:val="00D25A4B"/>
    <w:rsid w:val="00D263CB"/>
    <w:rsid w:val="00D278DE"/>
    <w:rsid w:val="00D34CA4"/>
    <w:rsid w:val="00D34CC3"/>
    <w:rsid w:val="00D36236"/>
    <w:rsid w:val="00D374D2"/>
    <w:rsid w:val="00D37F5F"/>
    <w:rsid w:val="00D401AB"/>
    <w:rsid w:val="00D4099D"/>
    <w:rsid w:val="00D40BC6"/>
    <w:rsid w:val="00D41501"/>
    <w:rsid w:val="00D41BC9"/>
    <w:rsid w:val="00D4360D"/>
    <w:rsid w:val="00D4421D"/>
    <w:rsid w:val="00D457E1"/>
    <w:rsid w:val="00D473AF"/>
    <w:rsid w:val="00D51627"/>
    <w:rsid w:val="00D51827"/>
    <w:rsid w:val="00D522C5"/>
    <w:rsid w:val="00D528CF"/>
    <w:rsid w:val="00D539CE"/>
    <w:rsid w:val="00D54726"/>
    <w:rsid w:val="00D55CA0"/>
    <w:rsid w:val="00D55CEF"/>
    <w:rsid w:val="00D56AC9"/>
    <w:rsid w:val="00D56B22"/>
    <w:rsid w:val="00D573A9"/>
    <w:rsid w:val="00D5763C"/>
    <w:rsid w:val="00D57676"/>
    <w:rsid w:val="00D646D8"/>
    <w:rsid w:val="00D67E7C"/>
    <w:rsid w:val="00D7064A"/>
    <w:rsid w:val="00D72588"/>
    <w:rsid w:val="00D73316"/>
    <w:rsid w:val="00D7552F"/>
    <w:rsid w:val="00D7655F"/>
    <w:rsid w:val="00D77705"/>
    <w:rsid w:val="00D80DA2"/>
    <w:rsid w:val="00D81057"/>
    <w:rsid w:val="00D8388E"/>
    <w:rsid w:val="00D85ABB"/>
    <w:rsid w:val="00D916EB"/>
    <w:rsid w:val="00D920C7"/>
    <w:rsid w:val="00D93624"/>
    <w:rsid w:val="00D93F7C"/>
    <w:rsid w:val="00D94A23"/>
    <w:rsid w:val="00D94D26"/>
    <w:rsid w:val="00D9527E"/>
    <w:rsid w:val="00D95293"/>
    <w:rsid w:val="00D956D1"/>
    <w:rsid w:val="00D95C2A"/>
    <w:rsid w:val="00D962DF"/>
    <w:rsid w:val="00DA062F"/>
    <w:rsid w:val="00DA09CF"/>
    <w:rsid w:val="00DA4E08"/>
    <w:rsid w:val="00DA601F"/>
    <w:rsid w:val="00DA6EC8"/>
    <w:rsid w:val="00DA7914"/>
    <w:rsid w:val="00DB081C"/>
    <w:rsid w:val="00DB0931"/>
    <w:rsid w:val="00DB1928"/>
    <w:rsid w:val="00DB1ABA"/>
    <w:rsid w:val="00DB1BB9"/>
    <w:rsid w:val="00DB1D9E"/>
    <w:rsid w:val="00DB24BE"/>
    <w:rsid w:val="00DB26C0"/>
    <w:rsid w:val="00DB4929"/>
    <w:rsid w:val="00DB62E6"/>
    <w:rsid w:val="00DB6646"/>
    <w:rsid w:val="00DB7ACD"/>
    <w:rsid w:val="00DC0EFC"/>
    <w:rsid w:val="00DC5443"/>
    <w:rsid w:val="00DC5AE3"/>
    <w:rsid w:val="00DC6E63"/>
    <w:rsid w:val="00DD09BC"/>
    <w:rsid w:val="00DD2B8F"/>
    <w:rsid w:val="00DD31A7"/>
    <w:rsid w:val="00DD41E0"/>
    <w:rsid w:val="00DD47C6"/>
    <w:rsid w:val="00DD5AD1"/>
    <w:rsid w:val="00DD69DB"/>
    <w:rsid w:val="00DD72A6"/>
    <w:rsid w:val="00DD7D98"/>
    <w:rsid w:val="00DE12AA"/>
    <w:rsid w:val="00DE2E7F"/>
    <w:rsid w:val="00DE4429"/>
    <w:rsid w:val="00DE67CB"/>
    <w:rsid w:val="00DE6948"/>
    <w:rsid w:val="00DF1982"/>
    <w:rsid w:val="00DF43C8"/>
    <w:rsid w:val="00DF4C85"/>
    <w:rsid w:val="00DF5285"/>
    <w:rsid w:val="00DF578E"/>
    <w:rsid w:val="00E00597"/>
    <w:rsid w:val="00E01663"/>
    <w:rsid w:val="00E032FB"/>
    <w:rsid w:val="00E0372D"/>
    <w:rsid w:val="00E04A51"/>
    <w:rsid w:val="00E069FE"/>
    <w:rsid w:val="00E071A9"/>
    <w:rsid w:val="00E1031A"/>
    <w:rsid w:val="00E109E9"/>
    <w:rsid w:val="00E11426"/>
    <w:rsid w:val="00E11D56"/>
    <w:rsid w:val="00E148C9"/>
    <w:rsid w:val="00E14C81"/>
    <w:rsid w:val="00E15C4A"/>
    <w:rsid w:val="00E15C5B"/>
    <w:rsid w:val="00E15CEE"/>
    <w:rsid w:val="00E16911"/>
    <w:rsid w:val="00E202F6"/>
    <w:rsid w:val="00E20AE2"/>
    <w:rsid w:val="00E245D5"/>
    <w:rsid w:val="00E24838"/>
    <w:rsid w:val="00E24E10"/>
    <w:rsid w:val="00E26D0D"/>
    <w:rsid w:val="00E2767B"/>
    <w:rsid w:val="00E32746"/>
    <w:rsid w:val="00E32F1F"/>
    <w:rsid w:val="00E333CD"/>
    <w:rsid w:val="00E339A3"/>
    <w:rsid w:val="00E3632C"/>
    <w:rsid w:val="00E41286"/>
    <w:rsid w:val="00E4253D"/>
    <w:rsid w:val="00E42A1F"/>
    <w:rsid w:val="00E42C51"/>
    <w:rsid w:val="00E42EE5"/>
    <w:rsid w:val="00E43808"/>
    <w:rsid w:val="00E438E1"/>
    <w:rsid w:val="00E43F98"/>
    <w:rsid w:val="00E44112"/>
    <w:rsid w:val="00E44FFE"/>
    <w:rsid w:val="00E45122"/>
    <w:rsid w:val="00E46113"/>
    <w:rsid w:val="00E46D31"/>
    <w:rsid w:val="00E474D8"/>
    <w:rsid w:val="00E5018E"/>
    <w:rsid w:val="00E51421"/>
    <w:rsid w:val="00E51B9D"/>
    <w:rsid w:val="00E51D3A"/>
    <w:rsid w:val="00E521AC"/>
    <w:rsid w:val="00E5320F"/>
    <w:rsid w:val="00E562CE"/>
    <w:rsid w:val="00E566C9"/>
    <w:rsid w:val="00E61C18"/>
    <w:rsid w:val="00E61EF6"/>
    <w:rsid w:val="00E63A53"/>
    <w:rsid w:val="00E64393"/>
    <w:rsid w:val="00E663E7"/>
    <w:rsid w:val="00E67F6E"/>
    <w:rsid w:val="00E7009B"/>
    <w:rsid w:val="00E711D4"/>
    <w:rsid w:val="00E71898"/>
    <w:rsid w:val="00E719BD"/>
    <w:rsid w:val="00E725E5"/>
    <w:rsid w:val="00E74DD0"/>
    <w:rsid w:val="00E758A7"/>
    <w:rsid w:val="00E766CF"/>
    <w:rsid w:val="00E76E1E"/>
    <w:rsid w:val="00E7744F"/>
    <w:rsid w:val="00E77842"/>
    <w:rsid w:val="00E8071B"/>
    <w:rsid w:val="00E81BDF"/>
    <w:rsid w:val="00E82600"/>
    <w:rsid w:val="00E82C92"/>
    <w:rsid w:val="00E82E2B"/>
    <w:rsid w:val="00E831B9"/>
    <w:rsid w:val="00E8346B"/>
    <w:rsid w:val="00E8490D"/>
    <w:rsid w:val="00E85550"/>
    <w:rsid w:val="00E87E1B"/>
    <w:rsid w:val="00E909EA"/>
    <w:rsid w:val="00E923EB"/>
    <w:rsid w:val="00E93908"/>
    <w:rsid w:val="00E946CB"/>
    <w:rsid w:val="00E94E37"/>
    <w:rsid w:val="00E95021"/>
    <w:rsid w:val="00EA2DCC"/>
    <w:rsid w:val="00EA4503"/>
    <w:rsid w:val="00EA45B2"/>
    <w:rsid w:val="00EA489A"/>
    <w:rsid w:val="00EA54CE"/>
    <w:rsid w:val="00EA69A5"/>
    <w:rsid w:val="00EB0E9B"/>
    <w:rsid w:val="00EB1511"/>
    <w:rsid w:val="00EB1FEA"/>
    <w:rsid w:val="00EB2201"/>
    <w:rsid w:val="00EB4162"/>
    <w:rsid w:val="00EC0EE6"/>
    <w:rsid w:val="00EC6D58"/>
    <w:rsid w:val="00ED140E"/>
    <w:rsid w:val="00ED2BAB"/>
    <w:rsid w:val="00ED2E8C"/>
    <w:rsid w:val="00ED56C2"/>
    <w:rsid w:val="00ED6D04"/>
    <w:rsid w:val="00ED6EC0"/>
    <w:rsid w:val="00ED7497"/>
    <w:rsid w:val="00ED7BA9"/>
    <w:rsid w:val="00EE01AA"/>
    <w:rsid w:val="00EE0B35"/>
    <w:rsid w:val="00EE1454"/>
    <w:rsid w:val="00EE1C7B"/>
    <w:rsid w:val="00EE4CF5"/>
    <w:rsid w:val="00EE5551"/>
    <w:rsid w:val="00EE5ABC"/>
    <w:rsid w:val="00EE6808"/>
    <w:rsid w:val="00EE72BE"/>
    <w:rsid w:val="00EE784D"/>
    <w:rsid w:val="00EF72E2"/>
    <w:rsid w:val="00EF7D3D"/>
    <w:rsid w:val="00F00090"/>
    <w:rsid w:val="00F04B0D"/>
    <w:rsid w:val="00F0767F"/>
    <w:rsid w:val="00F07B67"/>
    <w:rsid w:val="00F10965"/>
    <w:rsid w:val="00F1096B"/>
    <w:rsid w:val="00F14AF5"/>
    <w:rsid w:val="00F1532B"/>
    <w:rsid w:val="00F167B7"/>
    <w:rsid w:val="00F20D43"/>
    <w:rsid w:val="00F21FCC"/>
    <w:rsid w:val="00F24A94"/>
    <w:rsid w:val="00F24B3E"/>
    <w:rsid w:val="00F26881"/>
    <w:rsid w:val="00F31265"/>
    <w:rsid w:val="00F3324D"/>
    <w:rsid w:val="00F34326"/>
    <w:rsid w:val="00F3505B"/>
    <w:rsid w:val="00F35996"/>
    <w:rsid w:val="00F35AF5"/>
    <w:rsid w:val="00F37D39"/>
    <w:rsid w:val="00F37D7B"/>
    <w:rsid w:val="00F403A8"/>
    <w:rsid w:val="00F40CD5"/>
    <w:rsid w:val="00F43115"/>
    <w:rsid w:val="00F44E20"/>
    <w:rsid w:val="00F4501C"/>
    <w:rsid w:val="00F46565"/>
    <w:rsid w:val="00F46ADF"/>
    <w:rsid w:val="00F46B6B"/>
    <w:rsid w:val="00F525A0"/>
    <w:rsid w:val="00F548F7"/>
    <w:rsid w:val="00F54924"/>
    <w:rsid w:val="00F55BE0"/>
    <w:rsid w:val="00F56383"/>
    <w:rsid w:val="00F601A2"/>
    <w:rsid w:val="00F60AAF"/>
    <w:rsid w:val="00F630B5"/>
    <w:rsid w:val="00F64164"/>
    <w:rsid w:val="00F64CD4"/>
    <w:rsid w:val="00F65118"/>
    <w:rsid w:val="00F654AF"/>
    <w:rsid w:val="00F65A02"/>
    <w:rsid w:val="00F65D55"/>
    <w:rsid w:val="00F6780C"/>
    <w:rsid w:val="00F70207"/>
    <w:rsid w:val="00F70EB3"/>
    <w:rsid w:val="00F714CE"/>
    <w:rsid w:val="00F732A0"/>
    <w:rsid w:val="00F73CD2"/>
    <w:rsid w:val="00F73F5C"/>
    <w:rsid w:val="00F75AC9"/>
    <w:rsid w:val="00F760C8"/>
    <w:rsid w:val="00F77493"/>
    <w:rsid w:val="00F80739"/>
    <w:rsid w:val="00F815CD"/>
    <w:rsid w:val="00F8357C"/>
    <w:rsid w:val="00F838CD"/>
    <w:rsid w:val="00F849A2"/>
    <w:rsid w:val="00F84C8D"/>
    <w:rsid w:val="00F85121"/>
    <w:rsid w:val="00F87A06"/>
    <w:rsid w:val="00F87AC8"/>
    <w:rsid w:val="00F902DE"/>
    <w:rsid w:val="00F904DF"/>
    <w:rsid w:val="00F91814"/>
    <w:rsid w:val="00F92767"/>
    <w:rsid w:val="00F94F70"/>
    <w:rsid w:val="00F967BA"/>
    <w:rsid w:val="00F97B64"/>
    <w:rsid w:val="00FA016B"/>
    <w:rsid w:val="00FA0D1A"/>
    <w:rsid w:val="00FA1FAD"/>
    <w:rsid w:val="00FA255D"/>
    <w:rsid w:val="00FA2D65"/>
    <w:rsid w:val="00FA4623"/>
    <w:rsid w:val="00FB5AB3"/>
    <w:rsid w:val="00FB612E"/>
    <w:rsid w:val="00FC046D"/>
    <w:rsid w:val="00FC1789"/>
    <w:rsid w:val="00FC2507"/>
    <w:rsid w:val="00FC4187"/>
    <w:rsid w:val="00FC443B"/>
    <w:rsid w:val="00FC4E02"/>
    <w:rsid w:val="00FC607B"/>
    <w:rsid w:val="00FC6580"/>
    <w:rsid w:val="00FD02CF"/>
    <w:rsid w:val="00FD0DAA"/>
    <w:rsid w:val="00FD11B0"/>
    <w:rsid w:val="00FD26EE"/>
    <w:rsid w:val="00FD7248"/>
    <w:rsid w:val="00FD7499"/>
    <w:rsid w:val="00FD7939"/>
    <w:rsid w:val="00FD7A57"/>
    <w:rsid w:val="00FE063C"/>
    <w:rsid w:val="00FE071A"/>
    <w:rsid w:val="00FE19B4"/>
    <w:rsid w:val="00FE331B"/>
    <w:rsid w:val="00FE362D"/>
    <w:rsid w:val="00FE5172"/>
    <w:rsid w:val="00FE6543"/>
    <w:rsid w:val="00FE6828"/>
    <w:rsid w:val="00FE77A6"/>
    <w:rsid w:val="00FF1AA8"/>
    <w:rsid w:val="00FF2A8C"/>
    <w:rsid w:val="00FF3ABF"/>
    <w:rsid w:val="00FF5F76"/>
    <w:rsid w:val="00FF6BDF"/>
    <w:rsid w:val="00FF7421"/>
    <w:rsid w:val="00FF7C15"/>
    <w:rsid w:val="00FF7F62"/>
    <w:rsid w:val="040D5CD7"/>
    <w:rsid w:val="04250EE4"/>
    <w:rsid w:val="054B2E22"/>
    <w:rsid w:val="06F176EE"/>
    <w:rsid w:val="07AD6F10"/>
    <w:rsid w:val="0AE9213D"/>
    <w:rsid w:val="0BE42F9A"/>
    <w:rsid w:val="0C081210"/>
    <w:rsid w:val="0C977C7B"/>
    <w:rsid w:val="0CAD6B44"/>
    <w:rsid w:val="0E143D01"/>
    <w:rsid w:val="0E913745"/>
    <w:rsid w:val="0FF805B4"/>
    <w:rsid w:val="10303FAF"/>
    <w:rsid w:val="10CA2010"/>
    <w:rsid w:val="13DA2D54"/>
    <w:rsid w:val="166E0637"/>
    <w:rsid w:val="16F906CA"/>
    <w:rsid w:val="172B2F4B"/>
    <w:rsid w:val="1771404B"/>
    <w:rsid w:val="179661E7"/>
    <w:rsid w:val="19EE2813"/>
    <w:rsid w:val="1B360162"/>
    <w:rsid w:val="1B5418CA"/>
    <w:rsid w:val="1E37370F"/>
    <w:rsid w:val="1EC74CE2"/>
    <w:rsid w:val="20CA4C74"/>
    <w:rsid w:val="24083E34"/>
    <w:rsid w:val="245120F8"/>
    <w:rsid w:val="24F85E47"/>
    <w:rsid w:val="267E2C3E"/>
    <w:rsid w:val="275B551F"/>
    <w:rsid w:val="28223F47"/>
    <w:rsid w:val="29DD2CB5"/>
    <w:rsid w:val="29E55368"/>
    <w:rsid w:val="2A0A1A27"/>
    <w:rsid w:val="2CA43FDE"/>
    <w:rsid w:val="2DE03652"/>
    <w:rsid w:val="2E110555"/>
    <w:rsid w:val="2E4F5A2C"/>
    <w:rsid w:val="2EBE02E7"/>
    <w:rsid w:val="2EF762D2"/>
    <w:rsid w:val="2EFA13E0"/>
    <w:rsid w:val="300C43DA"/>
    <w:rsid w:val="31DF329E"/>
    <w:rsid w:val="32346773"/>
    <w:rsid w:val="32853B02"/>
    <w:rsid w:val="33FC2096"/>
    <w:rsid w:val="34445BC9"/>
    <w:rsid w:val="34DA316E"/>
    <w:rsid w:val="382928A8"/>
    <w:rsid w:val="396B157C"/>
    <w:rsid w:val="3ADB04DA"/>
    <w:rsid w:val="3C965F84"/>
    <w:rsid w:val="3DCF68AE"/>
    <w:rsid w:val="3E576E67"/>
    <w:rsid w:val="3FA34B22"/>
    <w:rsid w:val="40125860"/>
    <w:rsid w:val="40FE68FE"/>
    <w:rsid w:val="42C6561D"/>
    <w:rsid w:val="443B0247"/>
    <w:rsid w:val="443C5A4F"/>
    <w:rsid w:val="446D7AB5"/>
    <w:rsid w:val="44727434"/>
    <w:rsid w:val="47557E86"/>
    <w:rsid w:val="47AE4093"/>
    <w:rsid w:val="47B75D9F"/>
    <w:rsid w:val="4A822826"/>
    <w:rsid w:val="51A169F2"/>
    <w:rsid w:val="520A1933"/>
    <w:rsid w:val="527D3B52"/>
    <w:rsid w:val="53457470"/>
    <w:rsid w:val="54172462"/>
    <w:rsid w:val="561F5899"/>
    <w:rsid w:val="56DB6311"/>
    <w:rsid w:val="58C47260"/>
    <w:rsid w:val="58C65A65"/>
    <w:rsid w:val="58D23D23"/>
    <w:rsid w:val="595F6E94"/>
    <w:rsid w:val="5AD21C59"/>
    <w:rsid w:val="5CA123F2"/>
    <w:rsid w:val="5CB94328"/>
    <w:rsid w:val="5CD769B3"/>
    <w:rsid w:val="5CE32C2D"/>
    <w:rsid w:val="5D226B55"/>
    <w:rsid w:val="5E027877"/>
    <w:rsid w:val="5F1149A3"/>
    <w:rsid w:val="5F706E24"/>
    <w:rsid w:val="60711087"/>
    <w:rsid w:val="61C242C4"/>
    <w:rsid w:val="62443F57"/>
    <w:rsid w:val="62A9537C"/>
    <w:rsid w:val="64320A89"/>
    <w:rsid w:val="66033537"/>
    <w:rsid w:val="666619EF"/>
    <w:rsid w:val="684F4C6C"/>
    <w:rsid w:val="6FDE7BA5"/>
    <w:rsid w:val="70720558"/>
    <w:rsid w:val="70A11A3F"/>
    <w:rsid w:val="74880266"/>
    <w:rsid w:val="74D050D2"/>
    <w:rsid w:val="75A5214F"/>
    <w:rsid w:val="76D1332B"/>
    <w:rsid w:val="76DB6C24"/>
    <w:rsid w:val="773F7B5E"/>
    <w:rsid w:val="79BA2AD1"/>
    <w:rsid w:val="7A08579B"/>
    <w:rsid w:val="7B9769C3"/>
    <w:rsid w:val="7D4062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ocked="1"/>
    <w:lsdException w:qFormat="1" w:unhideWhenUsed="0" w:uiPriority="0" w:semiHidden="0" w:name="heading 3"/>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ocked="1"/>
    <w:lsdException w:unhideWhenUsed="0" w:uiPriority="39" w:semiHidden="0" w:name="toc 5" w:locked="1"/>
    <w:lsdException w:unhideWhenUsed="0" w:uiPriority="39" w:semiHidden="0" w:name="toc 6" w:locked="1"/>
    <w:lsdException w:qFormat="1" w:unhideWhenUsed="0" w:uiPriority="39" w:semiHidden="0" w:name="toc 7" w:locked="1"/>
    <w:lsdException w:qFormat="1" w:unhideWhenUsed="0" w:uiPriority="39" w:semiHidden="0" w:name="toc 8" w:locked="1"/>
    <w:lsdException w:qFormat="1" w:unhideWhenUsed="0" w:uiPriority="39" w:semiHidden="0" w:name="toc 9" w:locked="1"/>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ocked="1"/>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sdException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36"/>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7"/>
    <w:qFormat/>
    <w:locked/>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8"/>
    <w:qFormat/>
    <w:uiPriority w:val="0"/>
    <w:pPr>
      <w:keepNext/>
      <w:keepLines/>
      <w:spacing w:before="260" w:after="260" w:line="416" w:lineRule="auto"/>
      <w:outlineLvl w:val="2"/>
    </w:pPr>
    <w:rPr>
      <w:b/>
      <w:bCs/>
      <w:sz w:val="32"/>
      <w:szCs w:val="32"/>
    </w:rPr>
  </w:style>
  <w:style w:type="paragraph" w:styleId="5">
    <w:name w:val="heading 4"/>
    <w:basedOn w:val="1"/>
    <w:next w:val="1"/>
    <w:link w:val="76"/>
    <w:qFormat/>
    <w:locked/>
    <w:uiPriority w:val="0"/>
    <w:pPr>
      <w:keepNext/>
      <w:keepLines/>
      <w:tabs>
        <w:tab w:val="left" w:pos="864"/>
      </w:tabs>
      <w:adjustRightInd w:val="0"/>
      <w:spacing w:before="280" w:after="290" w:line="376" w:lineRule="auto"/>
      <w:ind w:left="864" w:hanging="864"/>
      <w:jc w:val="left"/>
      <w:textAlignment w:val="baseline"/>
      <w:outlineLvl w:val="3"/>
    </w:pPr>
    <w:rPr>
      <w:rFonts w:ascii="Arial" w:hAnsi="Arial" w:eastAsia="黑体"/>
      <w:b/>
      <w:bCs/>
      <w:sz w:val="28"/>
      <w:szCs w:val="28"/>
    </w:rPr>
  </w:style>
  <w:style w:type="paragraph" w:styleId="6">
    <w:name w:val="heading 5"/>
    <w:basedOn w:val="1"/>
    <w:next w:val="1"/>
    <w:link w:val="77"/>
    <w:qFormat/>
    <w:locked/>
    <w:uiPriority w:val="0"/>
    <w:pPr>
      <w:keepNext/>
      <w:keepLines/>
      <w:tabs>
        <w:tab w:val="left" w:pos="1008"/>
      </w:tabs>
      <w:adjustRightInd w:val="0"/>
      <w:spacing w:before="280" w:after="290" w:line="376" w:lineRule="auto"/>
      <w:ind w:left="1008" w:hanging="1008"/>
      <w:jc w:val="left"/>
      <w:textAlignment w:val="baseline"/>
      <w:outlineLvl w:val="4"/>
    </w:pPr>
    <w:rPr>
      <w:b/>
      <w:bCs/>
      <w:sz w:val="28"/>
      <w:szCs w:val="28"/>
    </w:rPr>
  </w:style>
  <w:style w:type="paragraph" w:styleId="7">
    <w:name w:val="heading 6"/>
    <w:basedOn w:val="1"/>
    <w:next w:val="1"/>
    <w:link w:val="78"/>
    <w:qFormat/>
    <w:locked/>
    <w:uiPriority w:val="0"/>
    <w:pPr>
      <w:keepNext/>
      <w:keepLines/>
      <w:tabs>
        <w:tab w:val="left" w:pos="1152"/>
      </w:tabs>
      <w:adjustRightInd w:val="0"/>
      <w:spacing w:before="240" w:after="64" w:line="320" w:lineRule="auto"/>
      <w:ind w:left="1152" w:hanging="1152"/>
      <w:jc w:val="left"/>
      <w:textAlignment w:val="baseline"/>
      <w:outlineLvl w:val="5"/>
    </w:pPr>
    <w:rPr>
      <w:rFonts w:ascii="Arial" w:hAnsi="Arial" w:eastAsia="黑体"/>
      <w:b/>
      <w:bCs/>
      <w:sz w:val="24"/>
      <w:szCs w:val="24"/>
    </w:rPr>
  </w:style>
  <w:style w:type="paragraph" w:styleId="8">
    <w:name w:val="heading 7"/>
    <w:basedOn w:val="1"/>
    <w:next w:val="1"/>
    <w:link w:val="79"/>
    <w:qFormat/>
    <w:locked/>
    <w:uiPriority w:val="0"/>
    <w:pPr>
      <w:keepNext/>
      <w:keepLines/>
      <w:tabs>
        <w:tab w:val="left" w:pos="1296"/>
      </w:tabs>
      <w:adjustRightInd w:val="0"/>
      <w:spacing w:before="240" w:after="64" w:line="320" w:lineRule="auto"/>
      <w:ind w:left="1296" w:hanging="1296"/>
      <w:jc w:val="left"/>
      <w:textAlignment w:val="baseline"/>
      <w:outlineLvl w:val="6"/>
    </w:pPr>
    <w:rPr>
      <w:b/>
      <w:bCs/>
      <w:sz w:val="24"/>
      <w:szCs w:val="24"/>
    </w:rPr>
  </w:style>
  <w:style w:type="paragraph" w:styleId="9">
    <w:name w:val="heading 8"/>
    <w:basedOn w:val="1"/>
    <w:next w:val="1"/>
    <w:link w:val="80"/>
    <w:qFormat/>
    <w:locked/>
    <w:uiPriority w:val="0"/>
    <w:pPr>
      <w:keepNext/>
      <w:keepLines/>
      <w:tabs>
        <w:tab w:val="left" w:pos="1440"/>
      </w:tabs>
      <w:adjustRightInd w:val="0"/>
      <w:spacing w:before="240" w:after="64" w:line="320" w:lineRule="auto"/>
      <w:ind w:left="1440" w:hanging="1440"/>
      <w:jc w:val="left"/>
      <w:textAlignment w:val="baseline"/>
      <w:outlineLvl w:val="7"/>
    </w:pPr>
    <w:rPr>
      <w:rFonts w:ascii="Arial" w:hAnsi="Arial" w:eastAsia="黑体"/>
      <w:sz w:val="24"/>
      <w:szCs w:val="24"/>
    </w:rPr>
  </w:style>
  <w:style w:type="paragraph" w:styleId="10">
    <w:name w:val="heading 9"/>
    <w:basedOn w:val="1"/>
    <w:next w:val="1"/>
    <w:link w:val="81"/>
    <w:qFormat/>
    <w:locked/>
    <w:uiPriority w:val="0"/>
    <w:pPr>
      <w:keepNext/>
      <w:keepLines/>
      <w:tabs>
        <w:tab w:val="left" w:pos="1584"/>
      </w:tabs>
      <w:adjustRightInd w:val="0"/>
      <w:spacing w:before="240" w:after="64" w:line="320" w:lineRule="auto"/>
      <w:ind w:left="1584" w:hanging="1584"/>
      <w:jc w:val="left"/>
      <w:textAlignment w:val="baseline"/>
      <w:outlineLvl w:val="8"/>
    </w:pPr>
    <w:rPr>
      <w:rFonts w:ascii="Arial" w:hAnsi="Arial" w:eastAsia="黑体"/>
    </w:rPr>
  </w:style>
  <w:style w:type="character" w:default="1" w:styleId="31">
    <w:name w:val="Default Paragraph Font"/>
    <w:semiHidden/>
    <w:unhideWhenUsed/>
    <w:uiPriority w:val="1"/>
  </w:style>
  <w:style w:type="table" w:default="1" w:styleId="29">
    <w:name w:val="Normal Table"/>
    <w:semiHidden/>
    <w:unhideWhenUsed/>
    <w:qFormat/>
    <w:uiPriority w:val="99"/>
    <w:tblPr>
      <w:tblLayout w:type="fixed"/>
      <w:tblCellMar>
        <w:top w:w="0" w:type="dxa"/>
        <w:left w:w="108" w:type="dxa"/>
        <w:bottom w:w="0" w:type="dxa"/>
        <w:right w:w="108" w:type="dxa"/>
      </w:tblCellMar>
    </w:tblPr>
  </w:style>
  <w:style w:type="paragraph" w:styleId="11">
    <w:name w:val="toc 7"/>
    <w:basedOn w:val="1"/>
    <w:next w:val="1"/>
    <w:qFormat/>
    <w:locked/>
    <w:uiPriority w:val="39"/>
    <w:pPr>
      <w:ind w:left="2520" w:leftChars="1200"/>
    </w:pPr>
    <w:rPr>
      <w:szCs w:val="20"/>
    </w:rPr>
  </w:style>
  <w:style w:type="paragraph" w:styleId="12">
    <w:name w:val="Document Map"/>
    <w:basedOn w:val="1"/>
    <w:link w:val="42"/>
    <w:uiPriority w:val="0"/>
    <w:rPr>
      <w:rFonts w:ascii="宋体"/>
      <w:sz w:val="18"/>
      <w:szCs w:val="18"/>
    </w:rPr>
  </w:style>
  <w:style w:type="paragraph" w:styleId="13">
    <w:name w:val="annotation text"/>
    <w:basedOn w:val="1"/>
    <w:link w:val="40"/>
    <w:semiHidden/>
    <w:qFormat/>
    <w:uiPriority w:val="0"/>
    <w:pPr>
      <w:jc w:val="left"/>
    </w:pPr>
    <w:rPr>
      <w:kern w:val="0"/>
    </w:rPr>
  </w:style>
  <w:style w:type="paragraph" w:styleId="14">
    <w:name w:val="Body Text Indent"/>
    <w:basedOn w:val="1"/>
    <w:link w:val="87"/>
    <w:qFormat/>
    <w:uiPriority w:val="0"/>
    <w:pPr>
      <w:ind w:firstLine="425"/>
    </w:pPr>
    <w:rPr>
      <w:rFonts w:ascii="宋体"/>
      <w:sz w:val="28"/>
      <w:szCs w:val="20"/>
    </w:rPr>
  </w:style>
  <w:style w:type="paragraph" w:styleId="15">
    <w:name w:val="toc 5"/>
    <w:basedOn w:val="1"/>
    <w:next w:val="1"/>
    <w:locked/>
    <w:uiPriority w:val="39"/>
    <w:pPr>
      <w:ind w:left="1680" w:leftChars="800"/>
    </w:pPr>
    <w:rPr>
      <w:szCs w:val="20"/>
    </w:rPr>
  </w:style>
  <w:style w:type="paragraph" w:styleId="16">
    <w:name w:val="toc 3"/>
    <w:basedOn w:val="1"/>
    <w:next w:val="1"/>
    <w:qFormat/>
    <w:uiPriority w:val="39"/>
    <w:pPr>
      <w:widowControl/>
      <w:spacing w:after="100" w:line="276" w:lineRule="auto"/>
      <w:ind w:left="440"/>
      <w:jc w:val="left"/>
    </w:pPr>
    <w:rPr>
      <w:rFonts w:ascii="Calibri" w:hAnsi="Calibri" w:cs="Calibri"/>
      <w:kern w:val="0"/>
      <w:sz w:val="22"/>
      <w:szCs w:val="22"/>
    </w:rPr>
  </w:style>
  <w:style w:type="paragraph" w:styleId="17">
    <w:name w:val="Plain Text"/>
    <w:basedOn w:val="1"/>
    <w:link w:val="46"/>
    <w:uiPriority w:val="0"/>
    <w:rPr>
      <w:rFonts w:ascii="宋体" w:hAnsi="Courier New"/>
    </w:rPr>
  </w:style>
  <w:style w:type="paragraph" w:styleId="18">
    <w:name w:val="toc 8"/>
    <w:basedOn w:val="1"/>
    <w:next w:val="1"/>
    <w:qFormat/>
    <w:locked/>
    <w:uiPriority w:val="39"/>
    <w:pPr>
      <w:ind w:left="2940" w:leftChars="1400"/>
    </w:pPr>
    <w:rPr>
      <w:szCs w:val="20"/>
    </w:rPr>
  </w:style>
  <w:style w:type="paragraph" w:styleId="19">
    <w:name w:val="Date"/>
    <w:basedOn w:val="1"/>
    <w:next w:val="1"/>
    <w:link w:val="41"/>
    <w:uiPriority w:val="99"/>
    <w:pPr>
      <w:ind w:left="100" w:leftChars="2500"/>
    </w:pPr>
    <w:rPr>
      <w:kern w:val="0"/>
    </w:rPr>
  </w:style>
  <w:style w:type="paragraph" w:styleId="20">
    <w:name w:val="Balloon Text"/>
    <w:basedOn w:val="1"/>
    <w:link w:val="44"/>
    <w:qFormat/>
    <w:uiPriority w:val="99"/>
    <w:rPr>
      <w:sz w:val="18"/>
      <w:szCs w:val="18"/>
    </w:rPr>
  </w:style>
  <w:style w:type="paragraph" w:styleId="21">
    <w:name w:val="footer"/>
    <w:basedOn w:val="1"/>
    <w:link w:val="47"/>
    <w:qFormat/>
    <w:uiPriority w:val="99"/>
    <w:pPr>
      <w:tabs>
        <w:tab w:val="center" w:pos="4153"/>
        <w:tab w:val="right" w:pos="8306"/>
      </w:tabs>
      <w:snapToGrid w:val="0"/>
      <w:jc w:val="left"/>
    </w:pPr>
    <w:rPr>
      <w:kern w:val="0"/>
      <w:sz w:val="18"/>
      <w:szCs w:val="18"/>
    </w:rPr>
  </w:style>
  <w:style w:type="paragraph" w:styleId="22">
    <w:name w:val="header"/>
    <w:basedOn w:val="1"/>
    <w:link w:val="45"/>
    <w:qFormat/>
    <w:uiPriority w:val="0"/>
    <w:pPr>
      <w:pBdr>
        <w:bottom w:val="single" w:color="auto" w:sz="6" w:space="1"/>
      </w:pBdr>
      <w:tabs>
        <w:tab w:val="center" w:pos="4153"/>
        <w:tab w:val="right" w:pos="8306"/>
      </w:tabs>
      <w:snapToGrid w:val="0"/>
      <w:jc w:val="center"/>
    </w:pPr>
    <w:rPr>
      <w:kern w:val="0"/>
      <w:sz w:val="18"/>
      <w:szCs w:val="18"/>
    </w:rPr>
  </w:style>
  <w:style w:type="paragraph" w:styleId="23">
    <w:name w:val="toc 1"/>
    <w:basedOn w:val="1"/>
    <w:next w:val="1"/>
    <w:qFormat/>
    <w:uiPriority w:val="39"/>
    <w:pPr>
      <w:widowControl/>
      <w:spacing w:after="100" w:line="276" w:lineRule="auto"/>
      <w:jc w:val="left"/>
    </w:pPr>
    <w:rPr>
      <w:rFonts w:ascii="Calibri" w:hAnsi="Calibri" w:cs="Calibri"/>
      <w:kern w:val="0"/>
      <w:sz w:val="22"/>
      <w:szCs w:val="22"/>
    </w:rPr>
  </w:style>
  <w:style w:type="paragraph" w:styleId="24">
    <w:name w:val="toc 4"/>
    <w:basedOn w:val="1"/>
    <w:next w:val="1"/>
    <w:locked/>
    <w:uiPriority w:val="39"/>
    <w:pPr>
      <w:ind w:left="1260" w:leftChars="600"/>
    </w:pPr>
    <w:rPr>
      <w:szCs w:val="20"/>
    </w:rPr>
  </w:style>
  <w:style w:type="paragraph" w:styleId="25">
    <w:name w:val="toc 6"/>
    <w:basedOn w:val="1"/>
    <w:next w:val="1"/>
    <w:locked/>
    <w:uiPriority w:val="39"/>
    <w:pPr>
      <w:ind w:left="2100" w:leftChars="1000"/>
    </w:pPr>
    <w:rPr>
      <w:szCs w:val="20"/>
    </w:rPr>
  </w:style>
  <w:style w:type="paragraph" w:styleId="26">
    <w:name w:val="toc 2"/>
    <w:basedOn w:val="1"/>
    <w:next w:val="1"/>
    <w:qFormat/>
    <w:uiPriority w:val="39"/>
    <w:pPr>
      <w:widowControl/>
      <w:spacing w:after="100" w:line="276" w:lineRule="auto"/>
      <w:ind w:left="220"/>
      <w:jc w:val="left"/>
    </w:pPr>
    <w:rPr>
      <w:rFonts w:ascii="Calibri" w:hAnsi="Calibri" w:cs="Calibri"/>
      <w:kern w:val="0"/>
      <w:sz w:val="22"/>
      <w:szCs w:val="22"/>
    </w:rPr>
  </w:style>
  <w:style w:type="paragraph" w:styleId="27">
    <w:name w:val="toc 9"/>
    <w:basedOn w:val="1"/>
    <w:next w:val="1"/>
    <w:qFormat/>
    <w:locked/>
    <w:uiPriority w:val="39"/>
    <w:pPr>
      <w:ind w:left="3360" w:leftChars="1600"/>
    </w:pPr>
    <w:rPr>
      <w:szCs w:val="20"/>
    </w:rPr>
  </w:style>
  <w:style w:type="paragraph" w:styleId="28">
    <w:name w:val="annotation subject"/>
    <w:basedOn w:val="13"/>
    <w:next w:val="13"/>
    <w:link w:val="39"/>
    <w:semiHidden/>
    <w:qFormat/>
    <w:uiPriority w:val="0"/>
    <w:rPr>
      <w:b/>
      <w:bCs/>
    </w:rPr>
  </w:style>
  <w:style w:type="table" w:styleId="30">
    <w:name w:val="Table Grid"/>
    <w:basedOn w:val="29"/>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32">
    <w:name w:val="page number"/>
    <w:basedOn w:val="31"/>
    <w:qFormat/>
    <w:uiPriority w:val="0"/>
  </w:style>
  <w:style w:type="character" w:styleId="33">
    <w:name w:val="Emphasis"/>
    <w:qFormat/>
    <w:locked/>
    <w:uiPriority w:val="20"/>
    <w:rPr>
      <w:i/>
      <w:iCs/>
    </w:rPr>
  </w:style>
  <w:style w:type="character" w:styleId="34">
    <w:name w:val="Hyperlink"/>
    <w:qFormat/>
    <w:uiPriority w:val="99"/>
    <w:rPr>
      <w:rFonts w:cs="Times New Roman"/>
      <w:color w:val="auto"/>
      <w:u w:val="single"/>
    </w:rPr>
  </w:style>
  <w:style w:type="character" w:styleId="35">
    <w:name w:val="annotation reference"/>
    <w:semiHidden/>
    <w:qFormat/>
    <w:uiPriority w:val="0"/>
    <w:rPr>
      <w:rFonts w:cs="Times New Roman"/>
      <w:sz w:val="21"/>
      <w:szCs w:val="21"/>
    </w:rPr>
  </w:style>
  <w:style w:type="character" w:customStyle="1" w:styleId="36">
    <w:name w:val="标题 1 Char"/>
    <w:link w:val="2"/>
    <w:qFormat/>
    <w:locked/>
    <w:uiPriority w:val="0"/>
    <w:rPr>
      <w:rFonts w:cs="Times New Roman"/>
      <w:b/>
      <w:bCs/>
      <w:kern w:val="44"/>
      <w:sz w:val="44"/>
      <w:szCs w:val="44"/>
    </w:rPr>
  </w:style>
  <w:style w:type="character" w:customStyle="1" w:styleId="37">
    <w:name w:val="标题 2 Char"/>
    <w:link w:val="3"/>
    <w:qFormat/>
    <w:uiPriority w:val="0"/>
    <w:rPr>
      <w:rFonts w:ascii="Arial" w:hAnsi="Arial" w:eastAsia="黑体"/>
      <w:b/>
      <w:bCs/>
      <w:kern w:val="2"/>
      <w:sz w:val="32"/>
      <w:szCs w:val="32"/>
    </w:rPr>
  </w:style>
  <w:style w:type="character" w:customStyle="1" w:styleId="38">
    <w:name w:val="标题 3 Char"/>
    <w:link w:val="4"/>
    <w:semiHidden/>
    <w:qFormat/>
    <w:locked/>
    <w:uiPriority w:val="0"/>
    <w:rPr>
      <w:rFonts w:cs="Times New Roman"/>
      <w:b/>
      <w:bCs/>
      <w:kern w:val="2"/>
      <w:sz w:val="32"/>
      <w:szCs w:val="32"/>
    </w:rPr>
  </w:style>
  <w:style w:type="character" w:customStyle="1" w:styleId="39">
    <w:name w:val="批注主题 Char"/>
    <w:link w:val="28"/>
    <w:semiHidden/>
    <w:qFormat/>
    <w:locked/>
    <w:uiPriority w:val="0"/>
    <w:rPr>
      <w:rFonts w:cs="Times New Roman"/>
      <w:b/>
      <w:bCs/>
      <w:sz w:val="21"/>
      <w:szCs w:val="21"/>
    </w:rPr>
  </w:style>
  <w:style w:type="character" w:customStyle="1" w:styleId="40">
    <w:name w:val="批注文字 Char"/>
    <w:link w:val="13"/>
    <w:semiHidden/>
    <w:locked/>
    <w:uiPriority w:val="0"/>
    <w:rPr>
      <w:rFonts w:cs="Times New Roman"/>
      <w:sz w:val="21"/>
      <w:szCs w:val="21"/>
    </w:rPr>
  </w:style>
  <w:style w:type="character" w:customStyle="1" w:styleId="41">
    <w:name w:val="日期 Char"/>
    <w:link w:val="19"/>
    <w:locked/>
    <w:uiPriority w:val="99"/>
    <w:rPr>
      <w:rFonts w:cs="Times New Roman"/>
      <w:sz w:val="21"/>
      <w:szCs w:val="21"/>
    </w:rPr>
  </w:style>
  <w:style w:type="character" w:customStyle="1" w:styleId="42">
    <w:name w:val="文档结构图 Char"/>
    <w:link w:val="12"/>
    <w:qFormat/>
    <w:uiPriority w:val="0"/>
    <w:rPr>
      <w:rFonts w:ascii="宋体"/>
      <w:kern w:val="2"/>
      <w:sz w:val="18"/>
      <w:szCs w:val="18"/>
    </w:rPr>
  </w:style>
  <w:style w:type="character" w:customStyle="1" w:styleId="43">
    <w:name w:val="apple-converted-space"/>
    <w:basedOn w:val="31"/>
    <w:qFormat/>
    <w:uiPriority w:val="0"/>
  </w:style>
  <w:style w:type="character" w:customStyle="1" w:styleId="44">
    <w:name w:val="批注框文本 Char"/>
    <w:link w:val="20"/>
    <w:qFormat/>
    <w:uiPriority w:val="99"/>
    <w:rPr>
      <w:kern w:val="2"/>
      <w:sz w:val="18"/>
      <w:szCs w:val="18"/>
    </w:rPr>
  </w:style>
  <w:style w:type="character" w:customStyle="1" w:styleId="45">
    <w:name w:val="页眉 Char"/>
    <w:link w:val="22"/>
    <w:locked/>
    <w:uiPriority w:val="0"/>
    <w:rPr>
      <w:rFonts w:cs="Times New Roman"/>
      <w:sz w:val="18"/>
      <w:szCs w:val="18"/>
    </w:rPr>
  </w:style>
  <w:style w:type="character" w:customStyle="1" w:styleId="46">
    <w:name w:val="纯文本 Char"/>
    <w:link w:val="17"/>
    <w:qFormat/>
    <w:locked/>
    <w:uiPriority w:val="0"/>
    <w:rPr>
      <w:rFonts w:ascii="宋体" w:hAnsi="Courier New" w:cs="宋体"/>
      <w:kern w:val="2"/>
      <w:sz w:val="21"/>
      <w:szCs w:val="21"/>
    </w:rPr>
  </w:style>
  <w:style w:type="character" w:customStyle="1" w:styleId="47">
    <w:name w:val="页脚 Char"/>
    <w:link w:val="21"/>
    <w:qFormat/>
    <w:locked/>
    <w:uiPriority w:val="99"/>
    <w:rPr>
      <w:rFonts w:cs="Times New Roman"/>
      <w:sz w:val="18"/>
      <w:szCs w:val="18"/>
    </w:rPr>
  </w:style>
  <w:style w:type="character" w:customStyle="1" w:styleId="48">
    <w:name w:val="博士论文正文 Char"/>
    <w:link w:val="49"/>
    <w:qFormat/>
    <w:uiPriority w:val="0"/>
    <w:rPr>
      <w:rFonts w:ascii="宋体" w:hAnsi="宋体"/>
      <w:sz w:val="24"/>
      <w:szCs w:val="24"/>
    </w:rPr>
  </w:style>
  <w:style w:type="paragraph" w:customStyle="1" w:styleId="49">
    <w:name w:val="博士论文正文"/>
    <w:basedOn w:val="1"/>
    <w:link w:val="48"/>
    <w:qFormat/>
    <w:uiPriority w:val="0"/>
    <w:pPr>
      <w:numPr>
        <w:ilvl w:val="0"/>
        <w:numId w:val="1"/>
      </w:numPr>
      <w:spacing w:line="300" w:lineRule="auto"/>
    </w:pPr>
    <w:rPr>
      <w:rFonts w:ascii="宋体" w:hAnsi="宋体"/>
      <w:kern w:val="0"/>
      <w:sz w:val="24"/>
      <w:szCs w:val="24"/>
    </w:rPr>
  </w:style>
  <w:style w:type="paragraph" w:customStyle="1" w:styleId="50">
    <w:name w:val="章"/>
    <w:basedOn w:val="1"/>
    <w:link w:val="66"/>
    <w:uiPriority w:val="0"/>
    <w:pPr>
      <w:spacing w:beforeLines="100" w:afterLines="100" w:line="300" w:lineRule="auto"/>
      <w:jc w:val="center"/>
      <w:outlineLvl w:val="0"/>
    </w:pPr>
    <w:rPr>
      <w:b/>
      <w:bCs/>
      <w:sz w:val="28"/>
      <w:szCs w:val="28"/>
    </w:rPr>
  </w:style>
  <w:style w:type="paragraph" w:customStyle="1" w:styleId="51">
    <w:name w:val="正文表标题"/>
    <w:next w:val="1"/>
    <w:qFormat/>
    <w:uiPriority w:val="0"/>
    <w:pPr>
      <w:numPr>
        <w:ilvl w:val="0"/>
        <w:numId w:val="2"/>
      </w:numPr>
      <w:spacing w:beforeLines="50" w:afterLines="50"/>
      <w:jc w:val="center"/>
    </w:pPr>
    <w:rPr>
      <w:rFonts w:ascii="黑体" w:hAnsi="Times New Roman" w:eastAsia="黑体" w:cs="Times New Roman"/>
      <w:sz w:val="21"/>
      <w:lang w:val="en-US" w:eastAsia="zh-CN" w:bidi="ar-SA"/>
    </w:rPr>
  </w:style>
  <w:style w:type="paragraph" w:customStyle="1" w:styleId="52">
    <w:name w:val="wz"/>
    <w:basedOn w:val="1"/>
    <w:qFormat/>
    <w:uiPriority w:val="0"/>
    <w:pPr>
      <w:widowControl/>
      <w:ind w:firstLine="480"/>
      <w:jc w:val="left"/>
    </w:pPr>
    <w:rPr>
      <w:rFonts w:ascii="宋体" w:hAnsi="宋体" w:cs="宋体"/>
      <w:kern w:val="0"/>
      <w:sz w:val="24"/>
      <w:szCs w:val="24"/>
    </w:rPr>
  </w:style>
  <w:style w:type="paragraph" w:customStyle="1" w:styleId="53">
    <w:name w:val="段"/>
    <w:link w:val="54"/>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character" w:customStyle="1" w:styleId="54">
    <w:name w:val="段 Char"/>
    <w:link w:val="53"/>
    <w:qFormat/>
    <w:uiPriority w:val="0"/>
    <w:rPr>
      <w:rFonts w:ascii="宋体"/>
      <w:kern w:val="2"/>
      <w:sz w:val="21"/>
      <w:szCs w:val="22"/>
      <w:lang w:bidi="ar-SA"/>
    </w:rPr>
  </w:style>
  <w:style w:type="paragraph" w:customStyle="1" w:styleId="55">
    <w:name w:val="表格样式"/>
    <w:basedOn w:val="1"/>
    <w:qFormat/>
    <w:uiPriority w:val="0"/>
    <w:pPr>
      <w:jc w:val="center"/>
    </w:pPr>
    <w:rPr>
      <w:szCs w:val="24"/>
    </w:rPr>
  </w:style>
  <w:style w:type="paragraph" w:customStyle="1" w:styleId="56">
    <w:name w:val="TOC Heading"/>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5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8">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59">
    <w:name w:val="TOC 标题1"/>
    <w:basedOn w:val="2"/>
    <w:next w:val="1"/>
    <w:uiPriority w:val="0"/>
    <w:pPr>
      <w:widowControl/>
      <w:spacing w:before="480" w:after="0" w:line="276" w:lineRule="auto"/>
      <w:jc w:val="left"/>
      <w:outlineLvl w:val="9"/>
    </w:pPr>
    <w:rPr>
      <w:rFonts w:ascii="Calibri Light" w:hAnsi="Calibri Light" w:cs="Calibri Light"/>
      <w:color w:val="2E74B5"/>
      <w:kern w:val="0"/>
      <w:sz w:val="28"/>
      <w:szCs w:val="28"/>
    </w:rPr>
  </w:style>
  <w:style w:type="paragraph" w:customStyle="1" w:styleId="60">
    <w:name w:val="列出段落1"/>
    <w:basedOn w:val="1"/>
    <w:qFormat/>
    <w:uiPriority w:val="0"/>
    <w:pPr>
      <w:ind w:firstLine="420" w:firstLineChars="200"/>
    </w:pPr>
  </w:style>
  <w:style w:type="paragraph" w:styleId="61">
    <w:name w:val="List Paragraph"/>
    <w:basedOn w:val="1"/>
    <w:qFormat/>
    <w:uiPriority w:val="34"/>
    <w:pPr>
      <w:widowControl/>
      <w:ind w:firstLine="420" w:firstLineChars="200"/>
      <w:jc w:val="left"/>
    </w:pPr>
    <w:rPr>
      <w:rFonts w:ascii="宋体" w:hAnsi="宋体" w:cs="宋体"/>
      <w:kern w:val="0"/>
      <w:sz w:val="24"/>
      <w:szCs w:val="24"/>
    </w:rPr>
  </w:style>
  <w:style w:type="paragraph" w:customStyle="1" w:styleId="62">
    <w:name w:val="图表表头"/>
    <w:basedOn w:val="1"/>
    <w:uiPriority w:val="0"/>
    <w:pPr>
      <w:jc w:val="center"/>
    </w:pPr>
    <w:rPr>
      <w:szCs w:val="24"/>
    </w:rPr>
  </w:style>
  <w:style w:type="paragraph" w:customStyle="1" w:styleId="63">
    <w:name w:val="Revision"/>
    <w:hidden/>
    <w:unhideWhenUsed/>
    <w:qFormat/>
    <w:uiPriority w:val="99"/>
    <w:rPr>
      <w:rFonts w:ascii="Times New Roman" w:hAnsi="Times New Roman" w:eastAsia="宋体" w:cs="Times New Roman"/>
      <w:kern w:val="2"/>
      <w:sz w:val="21"/>
      <w:szCs w:val="21"/>
      <w:lang w:val="en-US" w:eastAsia="zh-CN" w:bidi="ar-SA"/>
    </w:rPr>
  </w:style>
  <w:style w:type="paragraph" w:customStyle="1" w:styleId="64">
    <w:name w:val="条文"/>
    <w:basedOn w:val="1"/>
    <w:qFormat/>
    <w:uiPriority w:val="0"/>
    <w:pPr>
      <w:spacing w:line="300" w:lineRule="auto"/>
      <w:outlineLvl w:val="2"/>
    </w:pPr>
    <w:rPr>
      <w:sz w:val="24"/>
      <w:szCs w:val="24"/>
    </w:rPr>
  </w:style>
  <w:style w:type="paragraph" w:customStyle="1" w:styleId="65">
    <w:name w:val="标准用正文"/>
    <w:basedOn w:val="1"/>
    <w:uiPriority w:val="0"/>
    <w:pPr>
      <w:wordWrap w:val="0"/>
      <w:topLinePunct/>
      <w:autoSpaceDE w:val="0"/>
      <w:autoSpaceDN w:val="0"/>
      <w:snapToGrid w:val="0"/>
      <w:spacing w:line="360" w:lineRule="exact"/>
    </w:pPr>
    <w:rPr>
      <w:snapToGrid w:val="0"/>
    </w:rPr>
  </w:style>
  <w:style w:type="character" w:customStyle="1" w:styleId="66">
    <w:name w:val="章 Char"/>
    <w:link w:val="50"/>
    <w:uiPriority w:val="0"/>
    <w:rPr>
      <w:b/>
      <w:bCs/>
      <w:kern w:val="2"/>
      <w:sz w:val="28"/>
      <w:szCs w:val="28"/>
    </w:rPr>
  </w:style>
  <w:style w:type="paragraph" w:customStyle="1" w:styleId="67">
    <w:name w:val="一级条标题"/>
    <w:next w:val="1"/>
    <w:qFormat/>
    <w:uiPriority w:val="0"/>
    <w:pPr>
      <w:numPr>
        <w:ilvl w:val="1"/>
        <w:numId w:val="3"/>
      </w:numPr>
      <w:spacing w:beforeLines="50" w:afterLines="50"/>
      <w:outlineLvl w:val="2"/>
    </w:pPr>
    <w:rPr>
      <w:rFonts w:ascii="黑体" w:hAnsi="Times New Roman" w:eastAsia="黑体" w:cs="Times New Roman"/>
      <w:sz w:val="21"/>
      <w:szCs w:val="21"/>
      <w:lang w:val="en-US" w:eastAsia="zh-CN" w:bidi="ar-SA"/>
    </w:rPr>
  </w:style>
  <w:style w:type="paragraph" w:customStyle="1" w:styleId="68">
    <w:name w:val="四级条标题"/>
    <w:basedOn w:val="69"/>
    <w:next w:val="1"/>
    <w:uiPriority w:val="0"/>
    <w:pPr>
      <w:numPr>
        <w:ilvl w:val="4"/>
      </w:numPr>
      <w:outlineLvl w:val="5"/>
    </w:pPr>
  </w:style>
  <w:style w:type="paragraph" w:customStyle="1" w:styleId="69">
    <w:name w:val="三级条标题"/>
    <w:basedOn w:val="70"/>
    <w:next w:val="1"/>
    <w:uiPriority w:val="0"/>
    <w:pPr>
      <w:numPr>
        <w:ilvl w:val="3"/>
      </w:numPr>
      <w:outlineLvl w:val="4"/>
    </w:pPr>
  </w:style>
  <w:style w:type="paragraph" w:customStyle="1" w:styleId="70">
    <w:name w:val="二级条标题"/>
    <w:basedOn w:val="67"/>
    <w:next w:val="1"/>
    <w:qFormat/>
    <w:uiPriority w:val="0"/>
    <w:pPr>
      <w:numPr>
        <w:ilvl w:val="2"/>
      </w:numPr>
      <w:spacing w:before="50" w:after="50"/>
      <w:outlineLvl w:val="3"/>
    </w:pPr>
  </w:style>
  <w:style w:type="paragraph" w:customStyle="1" w:styleId="71">
    <w:name w:val="章标题"/>
    <w:next w:val="1"/>
    <w:qFormat/>
    <w:uiPriority w:val="0"/>
    <w:pPr>
      <w:numPr>
        <w:ilvl w:val="0"/>
        <w:numId w:val="3"/>
      </w:numPr>
      <w:spacing w:beforeLines="100" w:afterLines="100"/>
      <w:jc w:val="both"/>
      <w:outlineLvl w:val="1"/>
    </w:pPr>
    <w:rPr>
      <w:rFonts w:ascii="黑体" w:hAnsi="Times New Roman" w:eastAsia="黑体" w:cs="Times New Roman"/>
      <w:sz w:val="21"/>
      <w:lang w:val="en-US" w:eastAsia="zh-CN" w:bidi="ar-SA"/>
    </w:rPr>
  </w:style>
  <w:style w:type="paragraph" w:customStyle="1" w:styleId="72">
    <w:name w:val="五级条标题"/>
    <w:basedOn w:val="68"/>
    <w:next w:val="1"/>
    <w:uiPriority w:val="0"/>
    <w:pPr>
      <w:numPr>
        <w:ilvl w:val="5"/>
      </w:numPr>
      <w:outlineLvl w:val="6"/>
    </w:pPr>
  </w:style>
  <w:style w:type="paragraph" w:customStyle="1" w:styleId="73">
    <w:name w:val="Char"/>
    <w:basedOn w:val="1"/>
    <w:qFormat/>
    <w:uiPriority w:val="0"/>
    <w:pPr>
      <w:widowControl/>
      <w:spacing w:after="160" w:line="240" w:lineRule="exact"/>
      <w:jc w:val="left"/>
    </w:pPr>
    <w:rPr>
      <w:rFonts w:ascii="Arial" w:hAnsi="Arial" w:eastAsia="Times New Roman" w:cs="Verdana"/>
      <w:b/>
      <w:kern w:val="0"/>
      <w:sz w:val="24"/>
      <w:szCs w:val="24"/>
      <w:lang w:eastAsia="en-US"/>
    </w:rPr>
  </w:style>
  <w:style w:type="paragraph" w:customStyle="1" w:styleId="74">
    <w:name w:val="正文图标题"/>
    <w:next w:val="1"/>
    <w:uiPriority w:val="0"/>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75">
    <w:name w:val="条"/>
    <w:basedOn w:val="1"/>
    <w:qFormat/>
    <w:uiPriority w:val="0"/>
    <w:pPr>
      <w:spacing w:line="400" w:lineRule="atLeast"/>
    </w:pPr>
    <w:rPr>
      <w:rFonts w:cs="Arial"/>
      <w:sz w:val="24"/>
      <w:szCs w:val="22"/>
    </w:rPr>
  </w:style>
  <w:style w:type="character" w:customStyle="1" w:styleId="76">
    <w:name w:val="标题 4 Char"/>
    <w:link w:val="5"/>
    <w:uiPriority w:val="0"/>
    <w:rPr>
      <w:rFonts w:ascii="Arial" w:hAnsi="Arial" w:eastAsia="黑体"/>
      <w:b/>
      <w:bCs/>
      <w:kern w:val="2"/>
      <w:sz w:val="28"/>
      <w:szCs w:val="28"/>
    </w:rPr>
  </w:style>
  <w:style w:type="character" w:customStyle="1" w:styleId="77">
    <w:name w:val="标题 5 Char"/>
    <w:link w:val="6"/>
    <w:uiPriority w:val="0"/>
    <w:rPr>
      <w:b/>
      <w:bCs/>
      <w:kern w:val="2"/>
      <w:sz w:val="28"/>
      <w:szCs w:val="28"/>
    </w:rPr>
  </w:style>
  <w:style w:type="character" w:customStyle="1" w:styleId="78">
    <w:name w:val="标题 6 Char"/>
    <w:link w:val="7"/>
    <w:uiPriority w:val="0"/>
    <w:rPr>
      <w:rFonts w:ascii="Arial" w:hAnsi="Arial" w:eastAsia="黑体"/>
      <w:b/>
      <w:bCs/>
      <w:kern w:val="2"/>
      <w:sz w:val="24"/>
      <w:szCs w:val="24"/>
    </w:rPr>
  </w:style>
  <w:style w:type="character" w:customStyle="1" w:styleId="79">
    <w:name w:val="标题 7 Char"/>
    <w:link w:val="8"/>
    <w:qFormat/>
    <w:uiPriority w:val="0"/>
    <w:rPr>
      <w:b/>
      <w:bCs/>
      <w:kern w:val="2"/>
      <w:sz w:val="24"/>
      <w:szCs w:val="24"/>
    </w:rPr>
  </w:style>
  <w:style w:type="character" w:customStyle="1" w:styleId="80">
    <w:name w:val="标题 8 Char"/>
    <w:link w:val="9"/>
    <w:uiPriority w:val="0"/>
    <w:rPr>
      <w:rFonts w:ascii="Arial" w:hAnsi="Arial" w:eastAsia="黑体"/>
      <w:kern w:val="2"/>
      <w:sz w:val="24"/>
      <w:szCs w:val="24"/>
    </w:rPr>
  </w:style>
  <w:style w:type="character" w:customStyle="1" w:styleId="81">
    <w:name w:val="标题 9 Char"/>
    <w:link w:val="10"/>
    <w:uiPriority w:val="0"/>
    <w:rPr>
      <w:rFonts w:ascii="Arial" w:hAnsi="Arial" w:eastAsia="黑体"/>
      <w:kern w:val="2"/>
      <w:sz w:val="21"/>
      <w:szCs w:val="21"/>
    </w:rPr>
  </w:style>
  <w:style w:type="character" w:customStyle="1" w:styleId="82">
    <w:name w:val="纯文本 Char1"/>
    <w:semiHidden/>
    <w:qFormat/>
    <w:uiPriority w:val="99"/>
    <w:rPr>
      <w:rFonts w:ascii="宋体" w:hAnsi="Courier New" w:eastAsia="宋体" w:cs="Courier New"/>
      <w:kern w:val="2"/>
      <w:sz w:val="21"/>
      <w:szCs w:val="21"/>
    </w:rPr>
  </w:style>
  <w:style w:type="character" w:customStyle="1" w:styleId="83">
    <w:name w:val="样式公式2 Char"/>
    <w:link w:val="84"/>
    <w:qFormat/>
    <w:locked/>
    <w:uiPriority w:val="0"/>
    <w:rPr>
      <w:kern w:val="2"/>
      <w:sz w:val="24"/>
      <w:szCs w:val="24"/>
    </w:rPr>
  </w:style>
  <w:style w:type="paragraph" w:customStyle="1" w:styleId="84">
    <w:name w:val="样式公式2"/>
    <w:basedOn w:val="1"/>
    <w:link w:val="83"/>
    <w:uiPriority w:val="0"/>
    <w:pPr>
      <w:tabs>
        <w:tab w:val="center" w:pos="4200"/>
        <w:tab w:val="right" w:pos="8295"/>
      </w:tabs>
      <w:spacing w:line="400" w:lineRule="atLeast"/>
      <w:ind w:right="-17"/>
    </w:pPr>
    <w:rPr>
      <w:sz w:val="24"/>
      <w:szCs w:val="24"/>
    </w:rPr>
  </w:style>
  <w:style w:type="character" w:customStyle="1" w:styleId="85">
    <w:name w:val="Char Char2"/>
    <w:qFormat/>
    <w:uiPriority w:val="0"/>
    <w:rPr>
      <w:rFonts w:ascii="宋体" w:hAnsi="Courier New" w:eastAsia="宋体"/>
      <w:kern w:val="2"/>
      <w:sz w:val="21"/>
      <w:lang w:val="en-US" w:eastAsia="zh-CN" w:bidi="ar-SA"/>
    </w:rPr>
  </w:style>
  <w:style w:type="character" w:customStyle="1" w:styleId="86">
    <w:name w:val="font11"/>
    <w:qFormat/>
    <w:uiPriority w:val="0"/>
    <w:rPr>
      <w:rFonts w:hint="eastAsia" w:ascii="宋体" w:hAnsi="宋体" w:eastAsia="宋体" w:cs="宋体"/>
      <w:color w:val="000000"/>
      <w:sz w:val="24"/>
      <w:szCs w:val="24"/>
      <w:u w:val="none"/>
    </w:rPr>
  </w:style>
  <w:style w:type="character" w:customStyle="1" w:styleId="87">
    <w:name w:val="正文文本缩进 Char"/>
    <w:link w:val="14"/>
    <w:qFormat/>
    <w:uiPriority w:val="0"/>
    <w:rPr>
      <w:rFonts w:ascii="宋体"/>
      <w:kern w:val="2"/>
      <w:sz w:val="28"/>
    </w:rPr>
  </w:style>
  <w:style w:type="paragraph" w:customStyle="1" w:styleId="88">
    <w:name w:val="其他发布日期"/>
    <w:basedOn w:val="1"/>
    <w:uiPriority w:val="0"/>
    <w:pPr>
      <w:framePr w:w="3997" w:h="471" w:hRule="exact" w:vSpace="181" w:wrap="around" w:vAnchor="page" w:hAnchor="page" w:x="1419" w:y="14097" w:anchorLock="1"/>
      <w:widowControl/>
      <w:numPr>
        <w:ilvl w:val="0"/>
        <w:numId w:val="4"/>
      </w:numPr>
      <w:jc w:val="left"/>
    </w:pPr>
    <w:rPr>
      <w:rFonts w:eastAsia="黑体"/>
      <w:kern w:val="0"/>
      <w:sz w:val="28"/>
      <w:szCs w:val="20"/>
    </w:rPr>
  </w:style>
  <w:style w:type="paragraph" w:customStyle="1" w:styleId="89">
    <w:name w:val="表"/>
    <w:basedOn w:val="1"/>
    <w:uiPriority w:val="0"/>
    <w:pPr>
      <w:jc w:val="center"/>
    </w:pPr>
    <w:rPr>
      <w:sz w:val="18"/>
      <w:szCs w:val="24"/>
    </w:rPr>
  </w:style>
  <w:style w:type="paragraph" w:customStyle="1" w:styleId="90">
    <w:name w:val="Char Char8"/>
    <w:basedOn w:val="1"/>
    <w:uiPriority w:val="0"/>
    <w:pPr>
      <w:widowControl/>
      <w:spacing w:after="160" w:line="240" w:lineRule="exact"/>
      <w:jc w:val="left"/>
    </w:pPr>
    <w:rPr>
      <w:rFonts w:ascii="Arial" w:hAnsi="Arial" w:eastAsia="Times New Roman" w:cs="Verdana"/>
      <w:b/>
      <w:kern w:val="0"/>
      <w:sz w:val="24"/>
      <w:szCs w:val="24"/>
      <w:lang w:eastAsia="en-US"/>
    </w:rPr>
  </w:style>
  <w:style w:type="paragraph" w:customStyle="1" w:styleId="91">
    <w:name w:val="表内容"/>
    <w:basedOn w:val="1"/>
    <w:uiPriority w:val="0"/>
    <w:pPr>
      <w:spacing w:line="240" w:lineRule="exact"/>
      <w:jc w:val="center"/>
    </w:pPr>
    <w:rPr>
      <w:rFonts w:cs="Arial"/>
      <w:sz w:val="18"/>
      <w:szCs w:val="22"/>
    </w:rPr>
  </w:style>
  <w:style w:type="paragraph" w:customStyle="1" w:styleId="92">
    <w:name w:val="表头"/>
    <w:basedOn w:val="1"/>
    <w:qFormat/>
    <w:uiPriority w:val="0"/>
    <w:pPr>
      <w:spacing w:beforeLines="50" w:afterLines="50" w:line="300" w:lineRule="auto"/>
      <w:jc w:val="center"/>
    </w:pPr>
    <w:rPr>
      <w:b/>
      <w:szCs w:val="20"/>
    </w:rPr>
  </w:style>
  <w:style w:type="paragraph" w:customStyle="1" w:styleId="93">
    <w:name w:val="Char Char Char Char Char Char Char"/>
    <w:basedOn w:val="1"/>
    <w:qFormat/>
    <w:uiPriority w:val="0"/>
    <w:pPr>
      <w:widowControl/>
      <w:topLinePunct/>
      <w:adjustRightInd w:val="0"/>
      <w:spacing w:after="160" w:line="240" w:lineRule="exact"/>
      <w:jc w:val="left"/>
    </w:pPr>
    <w:rPr>
      <w:rFonts w:ascii="Arial" w:hAnsi="Arial" w:eastAsia="Times New Roman" w:cs="Verdana"/>
      <w:b/>
      <w:kern w:val="0"/>
      <w:sz w:val="24"/>
      <w:szCs w:val="24"/>
      <w:lang w:eastAsia="en-US"/>
    </w:rPr>
  </w:style>
  <w:style w:type="paragraph" w:customStyle="1" w:styleId="94">
    <w:name w:val="节"/>
    <w:basedOn w:val="1"/>
    <w:qFormat/>
    <w:uiPriority w:val="0"/>
    <w:pPr>
      <w:spacing w:beforeLines="100" w:afterLines="100"/>
      <w:jc w:val="center"/>
      <w:outlineLvl w:val="1"/>
    </w:pPr>
    <w:rPr>
      <w:rFonts w:cs="Arial"/>
      <w:b/>
      <w:sz w:val="24"/>
      <w:szCs w:val="22"/>
    </w:rPr>
  </w:style>
  <w:style w:type="paragraph" w:customStyle="1" w:styleId="95">
    <w:name w:val="MTDisplayEquation"/>
    <w:basedOn w:val="1"/>
    <w:next w:val="1"/>
    <w:link w:val="96"/>
    <w:uiPriority w:val="0"/>
    <w:pPr>
      <w:tabs>
        <w:tab w:val="center" w:pos="3740"/>
        <w:tab w:val="right" w:pos="7480"/>
      </w:tabs>
      <w:snapToGrid w:val="0"/>
      <w:spacing w:line="400" w:lineRule="atLeast"/>
      <w:jc w:val="right"/>
    </w:pPr>
  </w:style>
  <w:style w:type="character" w:customStyle="1" w:styleId="96">
    <w:name w:val="MTDisplayEquation 字符"/>
    <w:link w:val="95"/>
    <w:uiPriority w:val="0"/>
    <w:rPr>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6" Type="http://schemas.openxmlformats.org/officeDocument/2006/relationships/fontTable" Target="fontTable.xml"/><Relationship Id="rId35" Type="http://schemas.openxmlformats.org/officeDocument/2006/relationships/customXml" Target="../customXml/item2.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image" Target="media/image13.wmf"/><Relationship Id="rId31" Type="http://schemas.openxmlformats.org/officeDocument/2006/relationships/oleObject" Target="embeddings/oleObject12.bin"/><Relationship Id="rId30" Type="http://schemas.openxmlformats.org/officeDocument/2006/relationships/image" Target="media/image12.wmf"/><Relationship Id="rId3" Type="http://schemas.openxmlformats.org/officeDocument/2006/relationships/footer" Target="footer1.xml"/><Relationship Id="rId29" Type="http://schemas.openxmlformats.org/officeDocument/2006/relationships/oleObject" Target="embeddings/oleObject11.bin"/><Relationship Id="rId28" Type="http://schemas.openxmlformats.org/officeDocument/2006/relationships/image" Target="media/image11.wmf"/><Relationship Id="rId27" Type="http://schemas.openxmlformats.org/officeDocument/2006/relationships/oleObject" Target="embeddings/oleObject10.bin"/><Relationship Id="rId26" Type="http://schemas.openxmlformats.org/officeDocument/2006/relationships/image" Target="media/image10.wmf"/><Relationship Id="rId25" Type="http://schemas.openxmlformats.org/officeDocument/2006/relationships/oleObject" Target="embeddings/oleObject9.bin"/><Relationship Id="rId24" Type="http://schemas.openxmlformats.org/officeDocument/2006/relationships/image" Target="media/image9.wmf"/><Relationship Id="rId23" Type="http://schemas.openxmlformats.org/officeDocument/2006/relationships/oleObject" Target="embeddings/oleObject8.bin"/><Relationship Id="rId22" Type="http://schemas.openxmlformats.org/officeDocument/2006/relationships/image" Target="media/image8.wmf"/><Relationship Id="rId21" Type="http://schemas.openxmlformats.org/officeDocument/2006/relationships/oleObject" Target="embeddings/oleObject7.bin"/><Relationship Id="rId20" Type="http://schemas.openxmlformats.org/officeDocument/2006/relationships/image" Target="media/image7.wmf"/><Relationship Id="rId2" Type="http://schemas.openxmlformats.org/officeDocument/2006/relationships/settings" Target="settings.xml"/><Relationship Id="rId19" Type="http://schemas.openxmlformats.org/officeDocument/2006/relationships/oleObject" Target="embeddings/oleObject6.bin"/><Relationship Id="rId18" Type="http://schemas.openxmlformats.org/officeDocument/2006/relationships/image" Target="media/image6.wmf"/><Relationship Id="rId17" Type="http://schemas.openxmlformats.org/officeDocument/2006/relationships/oleObject" Target="embeddings/oleObject5.bin"/><Relationship Id="rId16" Type="http://schemas.openxmlformats.org/officeDocument/2006/relationships/image" Target="media/image5.wmf"/><Relationship Id="rId15" Type="http://schemas.openxmlformats.org/officeDocument/2006/relationships/oleObject" Target="embeddings/oleObject4.bin"/><Relationship Id="rId14" Type="http://schemas.openxmlformats.org/officeDocument/2006/relationships/image" Target="media/image4.wmf"/><Relationship Id="rId13" Type="http://schemas.openxmlformats.org/officeDocument/2006/relationships/oleObject" Target="embeddings/oleObject3.bin"/><Relationship Id="rId12" Type="http://schemas.openxmlformats.org/officeDocument/2006/relationships/image" Target="media/image3.wmf"/><Relationship Id="rId11" Type="http://schemas.openxmlformats.org/officeDocument/2006/relationships/oleObject" Target="embeddings/oleObject2.bin"/><Relationship Id="rId10" Type="http://schemas.openxmlformats.org/officeDocument/2006/relationships/image" Target="media/image2.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9B134E-93A9-4E5A-ABA6-3D82BFBFB362}">
  <ds:schemaRefs/>
</ds:datastoreItem>
</file>

<file path=docProps/app.xml><?xml version="1.0" encoding="utf-8"?>
<Properties xmlns="http://schemas.openxmlformats.org/officeDocument/2006/extended-properties" xmlns:vt="http://schemas.openxmlformats.org/officeDocument/2006/docPropsVTypes">
  <Template>Normal</Template>
  <Pages>47</Pages>
  <Words>4556</Words>
  <Characters>25974</Characters>
  <Lines>216</Lines>
  <Paragraphs>60</Paragraphs>
  <TotalTime>29</TotalTime>
  <ScaleCrop>false</ScaleCrop>
  <LinksUpToDate>false</LinksUpToDate>
  <CharactersWithSpaces>30470</CharactersWithSpaces>
  <Application>WPS Office_11.1.0.8907_F1E327BC-269C-435d-A152-05C5408002CA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2019-07-26T08:48:00Z</dcterms:created>
  <dc:creator>X</dc:creator>
  <cp:lastModifiedBy>zj180309</cp:lastModifiedBy>
  <cp:lastPrinted>2019-07-26T08:44:00Z</cp:lastPrinted>
  <dcterms:modified xsi:type="dcterms:W3CDTF">2019-08-13T08:37:52Z</dcterms:modified>
  <dc:title>再生水泥基</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2052-11.1.0.8907</vt:lpwstr>
  </property>
</Properties>
</file>