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rPr>
          <w:rFonts w:hAnsi="黑体"/>
        </w:rPr>
      </w:pPr>
      <w:r>
        <w:rPr>
          <w:rFonts w:hint="eastAsia" w:hAnsi="黑体"/>
        </w:rPr>
        <w:t>T</w:t>
      </w:r>
      <w:r>
        <w:rPr>
          <w:rFonts w:hAnsi="黑体"/>
        </w:rPr>
        <w:t>/</w:t>
      </w:r>
      <w:r>
        <w:rPr>
          <w:rFonts w:hint="eastAsia" w:hAnsi="黑体"/>
        </w:rPr>
        <w:t>CECS 1000X</w:t>
      </w:r>
      <w:r>
        <w:rPr>
          <w:rFonts w:hAnsi="黑体"/>
        </w:rPr>
        <w:t>—</w:t>
      </w:r>
      <w:bookmarkStart w:id="0"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    </w:t>
      </w:r>
      <w:r>
        <w:rPr>
          <w:rFonts w:hAnsi="黑体"/>
        </w:rPr>
        <w:fldChar w:fldCharType="end"/>
      </w:r>
      <w:bookmarkEnd w:id="0"/>
    </w:p>
    <w:tbl>
      <w:tblPr>
        <w:tblStyle w:val="1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pPr>
              <w:pStyle w:val="20"/>
            </w:pPr>
            <w:bookmarkStart w:id="1" w:name="DT"/>
            <w:r>
              <w:pict>
                <v:rect id="DT" o:spid="_x0000_s1037" o:spt="1" style="position:absolute;left:0pt;margin-left:372.8pt;margin-top:2.7pt;height:18pt;width:90pt;z-index:-251656192;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">
                  <v:path/>
                  <v:fill focussize="0,0"/>
                  <v:stroke on="f"/>
                  <v:imagedata o:title=""/>
                  <o:lock v:ext="edit"/>
                </v:rect>
              </w:pict>
            </w:r>
            <w:bookmarkEnd w:id="1"/>
          </w:p>
        </w:tc>
      </w:tr>
    </w:tbl>
    <w:p>
      <w:pPr>
        <w:pStyle w:val="21"/>
        <w:rPr>
          <w:rFonts w:hAnsi="黑体"/>
        </w:rPr>
      </w:pPr>
    </w:p>
    <w:p>
      <w:pPr>
        <w:pStyle w:val="21"/>
        <w:rPr>
          <w:rFonts w:hAnsi="黑体"/>
        </w:rPr>
      </w:pPr>
    </w:p>
    <w:p>
      <w:pPr>
        <w:pStyle w:val="30"/>
      </w:pPr>
      <w:bookmarkStart w:id="2" w:name="StdEnglishName"/>
      <w:r>
        <w:rPr>
          <w:rFonts w:hint="eastAsia"/>
        </w:rPr>
        <w:t>绿色建材评价 弹性地板</w:t>
      </w:r>
    </w:p>
    <w:bookmarkEnd w:id="2"/>
    <w:p>
      <w:pPr>
        <w:pStyle w:val="6"/>
        <w:framePr w:w="9639" w:h="6917" w:hRule="exact" w:wrap="around" w:vAnchor="page" w:hAnchor="page" w:xAlign="center" w:y="6408" w:anchorLock="1"/>
        <w:jc w:val="center"/>
        <w:rPr>
          <w:rFonts w:ascii="Times New Roman" w:hAnsi="Times New Roman" w:eastAsia="黑体" w:cs="Times New Roman"/>
          <w:kern w:val="0"/>
          <w:sz w:val="28"/>
          <w:szCs w:val="28"/>
        </w:rPr>
      </w:pPr>
      <w:r>
        <w:rPr>
          <w:rFonts w:hint="eastAsia" w:ascii="Times New Roman" w:hAnsi="Times New Roman" w:eastAsia="黑体" w:cs="Times New Roman"/>
          <w:kern w:val="0"/>
          <w:sz w:val="28"/>
          <w:szCs w:val="28"/>
        </w:rPr>
        <w:t>Assessment standard for green building materials</w:t>
      </w:r>
      <w:r>
        <w:rPr>
          <w:rFonts w:ascii="Times New Roman" w:hAnsi="Times New Roman" w:eastAsia="黑体" w:cs="Times New Roman"/>
          <w:kern w:val="0"/>
          <w:sz w:val="28"/>
          <w:szCs w:val="28"/>
        </w:rPr>
        <w:t xml:space="preserve"> - </w:t>
      </w:r>
      <w:r>
        <w:rPr>
          <w:rFonts w:hint="eastAsia" w:ascii="Times New Roman" w:hAnsi="Times New Roman" w:eastAsia="黑体" w:cs="Times New Roman"/>
          <w:kern w:val="0"/>
          <w:sz w:val="28"/>
          <w:szCs w:val="28"/>
        </w:rPr>
        <w:t>r</w:t>
      </w:r>
      <w:r>
        <w:rPr>
          <w:rFonts w:ascii="Times New Roman" w:hAnsi="Times New Roman" w:eastAsia="黑体" w:cs="Times New Roman"/>
          <w:kern w:val="0"/>
          <w:sz w:val="28"/>
          <w:szCs w:val="28"/>
        </w:rPr>
        <w:t>esil</w:t>
      </w:r>
      <w:r>
        <w:rPr>
          <w:rFonts w:hint="eastAsia" w:ascii="Times New Roman" w:hAnsi="Times New Roman" w:eastAsia="黑体" w:cs="Times New Roman"/>
          <w:kern w:val="0"/>
          <w:sz w:val="28"/>
          <w:szCs w:val="28"/>
        </w:rPr>
        <w:t>i</w:t>
      </w:r>
      <w:r>
        <w:rPr>
          <w:rFonts w:ascii="Times New Roman" w:hAnsi="Times New Roman" w:eastAsia="黑体" w:cs="Times New Roman"/>
          <w:kern w:val="0"/>
          <w:sz w:val="28"/>
          <w:szCs w:val="28"/>
        </w:rPr>
        <w:t>ent floor</w:t>
      </w:r>
    </w:p>
    <w:p>
      <w:pPr>
        <w:pStyle w:val="25"/>
        <w:rPr>
          <w:rFonts w:ascii="Times New Roman" w:eastAsia="黑体"/>
        </w:rPr>
      </w:pPr>
    </w:p>
    <w:tbl>
      <w:tblPr>
        <w:tblStyle w:val="1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7"/>
            </w:pPr>
            <w:r>
              <w:pict>
                <v:rect id="RQ" o:spid="_x0000_s1036" o:spt="1" style="position:absolute;left:0pt;margin-left:173.3pt;margin-top:45.15pt;height:20pt;width:150pt;z-index:-251654144;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">
                  <v:path/>
                  <v:fill focussize="0,0"/>
                  <v:stroke on="f"/>
                  <v:imagedata o:title=""/>
                  <o:lock v:ext="edit"/>
                  <w10:anchorlock/>
                </v:rect>
              </w:pict>
            </w:r>
            <w:r>
              <w:pict>
                <v:rect id="LB" o:spid="_x0000_s1035" o:spt="1" style="position:absolute;left:0pt;margin-left:193.3pt;margin-top:20.15pt;height:24pt;width:100pt;z-index:-251655168;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">
                  <v:path/>
                  <v:fill focussize="0,0"/>
                  <v:stroke on="f"/>
                  <v:imagedata o:title=""/>
                  <o:lock v:ext="edit"/>
                </v:rect>
              </w:pic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7"/>
            </w:pPr>
            <w:r>
              <w:pict>
                <v:rect id="_x0000_s1034" o:spid="_x0000_s1034" o:spt="1" style="position:absolute;left:0pt;margin-left:173.3pt;margin-top:45.15pt;height:20pt;width:150pt;z-index:-251648000;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">
                  <v:path/>
                  <v:fill focussize="0,0"/>
                  <v:stroke on="f"/>
                  <v:imagedata o:title=""/>
                  <o:lock v:ext="edit"/>
                  <w10:anchorlock/>
                </v:rect>
              </w:pict>
            </w:r>
            <w:r>
              <w:pict>
                <v:rect id="_x0000_s1033" o:spid="_x0000_s1033" o:spt="1" style="position:absolute;left:0pt;margin-left:193.3pt;margin-top:20.15pt;height:24pt;width:100pt;z-index:-251646976;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">
                  <v:path/>
                  <v:fill focussize="0,0"/>
                  <v:stroke on="f"/>
                  <v:imagedata o:title=""/>
                  <o:lock v:ext="edit"/>
                </v:rect>
              </w:pic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tcPr>
          <w:p>
            <w:pPr>
              <w:pStyle w:val="26"/>
            </w:pPr>
          </w:p>
        </w:tc>
      </w:tr>
    </w:tbl>
    <w:p>
      <w:pPr>
        <w:pStyle w:val="28"/>
      </w:pPr>
      <w:bookmarkStart w:id="3"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3"/>
      <w:r>
        <w:rPr>
          <w:rFonts w:ascii="黑体"/>
        </w:rPr>
        <w:t>-</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bookmarkStart w:id="4"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4"/>
      <w:r>
        <w:rPr>
          <w:rFonts w:hint="eastAsia"/>
        </w:rPr>
        <w:t>发布</w:t>
      </w:r>
      <w:r>
        <w:pict>
          <v:line id="直线 10" o:spid="_x0000_s1032" o:spt="20" style="position:absolute;left:0pt;margin-left:-0.05pt;margin-top:728.5pt;height:0pt;width:481.9pt;mso-position-vertical-relative:page;z-index:25166438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">
            <v:path arrowok="t"/>
            <v:fill focussize="0,0"/>
            <v:stroke/>
            <v:imagedata o:title=""/>
            <o:lock v:ext="edit"/>
            <w10:anchorlock/>
          </v:line>
        </w:pict>
      </w:r>
    </w:p>
    <w:p>
      <w:pPr>
        <w:pStyle w:val="32"/>
      </w:pPr>
      <w:bookmarkStart w:id="5"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5"/>
      <w:r>
        <w:rPr>
          <w:rFonts w:ascii="黑体"/>
        </w:rPr>
        <w:t>-</w:t>
      </w:r>
      <w:bookmarkStart w:id="6"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ascii="黑体"/>
        </w:rPr>
        <w:t>-</w:t>
      </w:r>
      <w:bookmarkStart w:id="7"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7"/>
      <w:r>
        <w:rPr>
          <w:rFonts w:hint="eastAsia"/>
        </w:rPr>
        <w:t>实施</w:t>
      </w:r>
    </w:p>
    <w:p>
      <w:pPr>
        <w:pStyle w:val="29"/>
      </w:pPr>
      <w:r>
        <w:rPr>
          <w:rFonts w:hint="eastAsia"/>
        </w:rPr>
        <w:t>中国工程建设标准化协会</w:t>
      </w:r>
      <w:r>
        <w:rPr>
          <w:rFonts w:hint="eastAsia" w:ascii="MS Mincho" w:hAnsi="MS Mincho" w:eastAsia="MS Mincho" w:cs="MS Mincho"/>
        </w:rPr>
        <w:t>   </w:t>
      </w:r>
      <w:r>
        <w:rPr>
          <w:rStyle w:val="22"/>
          <w:rFonts w:hint="eastAsia"/>
        </w:rPr>
        <w:t>发布</w:t>
      </w:r>
    </w:p>
    <w:p>
      <w:pPr>
        <w:pStyle w:val="24"/>
        <w:ind w:firstLine="0" w:firstLineChars="0"/>
        <w:sectPr>
          <w:pgSz w:w="11906" w:h="16838"/>
          <w:pgMar w:top="567" w:right="850" w:bottom="1134" w:left="1418" w:header="0" w:footer="0" w:gutter="0"/>
          <w:pgNumType w:start="1"/>
          <w:cols w:space="720" w:num="1"/>
          <w:docGrid w:type="lines" w:linePitch="312" w:charSpace="0"/>
        </w:sectPr>
      </w:pPr>
      <w:bookmarkStart w:id="123" w:name="_GoBack"/>
      <w:bookmarkEnd w:id="123"/>
      <w:r>
        <w:pict>
          <v:line id="直接连接符 10" o:spid="_x0000_s1031" o:spt="20" style="position:absolute;left:0pt;margin-left:-0.55pt;margin-top:728.45pt;height:0pt;width:481.9pt;mso-position-vertical-relative:page;z-index:25167052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">
            <v:path arrowok="t"/>
            <v:fill focussize="0,0"/>
            <v:stroke/>
            <v:imagedata o:title=""/>
            <o:lock v:ext="edit"/>
            <w10:anchorlock/>
          </v:line>
        </w:pict>
      </w:r>
      <w:r>
        <w:pict>
          <v:shape id="文本框 37" o:spid="_x0000_s1030" o:spt="202" type="#_x0000_t202" style="position:absolute;left:0pt;margin-left:-0.45pt;margin-top:76.05pt;height:54.75pt;width:481.85pt;z-index:251666432;mso-width-relative:margin;mso-height-relative:margin;mso-height-percent:200;"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">
            <v:path/>
            <v:fill focussize="0,0"/>
            <v:stroke color="#FFFFFF" joinstyle="miter"/>
            <v:imagedata o:title=""/>
            <o:lock v:ext="edit"/>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v:shape>
        </w:pict>
      </w:r>
      <w:r>
        <w:pict>
          <v:line id="直线 11" o:spid="_x0000_s1029" o:spt="20" style="position:absolute;left:0pt;margin-left:-0.05pt;margin-top:184.25pt;height:0pt;width:481.9pt;z-index:25166540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">
            <v:path arrowok="t"/>
            <v:fill focussize="0,0"/>
            <v:stroke/>
            <v:imagedata o:title=""/>
            <o:lock v:ext="edit"/>
          </v:line>
        </w:pict>
      </w:r>
    </w:p>
    <w:p>
      <w:pPr>
        <w:pStyle w:val="33"/>
      </w:pPr>
      <w:bookmarkStart w:id="8" w:name="_Toc360632419"/>
      <w:bookmarkStart w:id="9" w:name="_Toc462063249"/>
      <w:bookmarkStart w:id="10" w:name="_Toc396134026"/>
      <w:bookmarkStart w:id="11" w:name="_Toc360436831"/>
      <w:r>
        <w:rPr>
          <w:rFonts w:hint="eastAsia"/>
          <w:color w:val="000000"/>
        </w:rPr>
        <w:t>前</w:t>
      </w:r>
      <w:bookmarkStart w:id="12" w:name="BKQY"/>
      <w:r>
        <w:rPr>
          <w:rFonts w:hint="eastAsia"/>
          <w:color w:val="000000"/>
        </w:rPr>
        <w:t>  言</w:t>
      </w:r>
      <w:bookmarkEnd w:id="8"/>
      <w:bookmarkEnd w:id="9"/>
      <w:bookmarkEnd w:id="10"/>
      <w:bookmarkEnd w:id="11"/>
      <w:bookmarkEnd w:id="12"/>
    </w:p>
    <w:p>
      <w:pPr>
        <w:pStyle w:val="24"/>
      </w:pPr>
      <w:r>
        <w:rPr>
          <w:rFonts w:hint="eastAsia"/>
        </w:rPr>
        <w:t>本标准按照GB/T 1.1-2009给出的规则起草。</w:t>
      </w:r>
    </w:p>
    <w:p>
      <w:pPr>
        <w:pStyle w:val="24"/>
      </w:pPr>
      <w:r>
        <w:rPr>
          <w:rFonts w:hint="eastAsia"/>
        </w:rPr>
        <w:t>本标准是按中国工程建设标准化协会《关于印发&lt;中国工程建设标准化协会2017年第三批产品标准试点项目计划&gt;的通知》（建标协字〔2017〕034号）的要求制定。</w:t>
      </w:r>
    </w:p>
    <w:p>
      <w:pPr>
        <w:pStyle w:val="24"/>
      </w:pPr>
      <w:r>
        <w:rPr>
          <w:rFonts w:hint="eastAsia"/>
        </w:rPr>
        <w:t>请注意本标准的某些内容可能直接或间接涉及专利,本标准的发布机构不承担识别这些专利的责任。</w:t>
      </w:r>
    </w:p>
    <w:p>
      <w:pPr>
        <w:pStyle w:val="24"/>
      </w:pPr>
      <w:r>
        <w:rPr>
          <w:rFonts w:hint="eastAsia"/>
        </w:rPr>
        <w:t>本标准由中国工程建设标准化协会提出。</w:t>
      </w:r>
    </w:p>
    <w:p>
      <w:pPr>
        <w:pStyle w:val="24"/>
      </w:pPr>
      <w:r>
        <w:rPr>
          <w:rFonts w:hint="eastAsia"/>
        </w:rPr>
        <w:t>本标准由中国工程建设标准化协会绿色建筑与生态城区专业委员会归口。</w:t>
      </w:r>
    </w:p>
    <w:p>
      <w:pPr>
        <w:pStyle w:val="24"/>
      </w:pPr>
      <w:r>
        <w:rPr>
          <w:rFonts w:hint="eastAsia"/>
        </w:rPr>
        <w:t>本标准负责起草单位：</w:t>
      </w:r>
    </w:p>
    <w:p>
      <w:pPr>
        <w:pStyle w:val="24"/>
      </w:pPr>
      <w:r>
        <w:rPr>
          <w:rFonts w:hint="eastAsia"/>
        </w:rPr>
        <w:t>本标准参加起草单位：</w:t>
      </w:r>
    </w:p>
    <w:p>
      <w:pPr>
        <w:pStyle w:val="24"/>
      </w:pPr>
      <w:r>
        <w:rPr>
          <w:rFonts w:hint="eastAsia"/>
        </w:rPr>
        <w:t>本标准主要起草人：</w:t>
      </w:r>
    </w:p>
    <w:p>
      <w:pPr>
        <w:pStyle w:val="24"/>
      </w:pPr>
      <w:r>
        <w:rPr>
          <w:rFonts w:hint="eastAsia"/>
        </w:rPr>
        <w:t>本标准主要审查人：</w:t>
      </w:r>
    </w:p>
    <w:p>
      <w:pPr>
        <w:pStyle w:val="24"/>
        <w:rPr>
          <w:rFonts w:hint="eastAsia"/>
          <w:lang w:eastAsia="zh-CN"/>
        </w:rPr>
      </w:pPr>
    </w:p>
    <w:p>
      <w:pPr>
        <w:pStyle w:val="24"/>
        <w:ind w:left="0" w:leftChars="0" w:firstLine="0" w:firstLineChars="0"/>
        <w:rPr>
          <w:rFonts w:hint="eastAsia"/>
          <w:lang w:eastAsia="zh-C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p>
    <w:p>
      <w:pPr>
        <w:pStyle w:val="33"/>
        <w:rPr>
          <w:rFonts w:cs="黑体"/>
          <w:sz w:val="36"/>
          <w:szCs w:val="36"/>
        </w:rPr>
      </w:pPr>
      <w:r>
        <w:rPr>
          <w:rFonts w:hint="eastAsia" w:cs="黑体"/>
          <w:sz w:val="36"/>
          <w:szCs w:val="36"/>
        </w:rPr>
        <w:t>绿色建材评价 弹性地板</w:t>
      </w:r>
    </w:p>
    <w:p>
      <w:pPr>
        <w:pStyle w:val="35"/>
        <w:numPr>
          <w:ilvl w:val="0"/>
          <w:numId w:val="2"/>
        </w:numPr>
        <w:spacing w:before="312" w:after="312"/>
        <w:rPr>
          <w:bCs/>
          <w:color w:val="000000"/>
          <w:szCs w:val="21"/>
        </w:rPr>
      </w:pPr>
      <w:bookmarkStart w:id="13" w:name="_Toc396134027"/>
      <w:bookmarkStart w:id="14" w:name="_Toc350863984"/>
      <w:bookmarkStart w:id="15" w:name="_Toc360632420"/>
      <w:bookmarkStart w:id="16" w:name="_Toc406486337"/>
      <w:bookmarkStart w:id="17" w:name="_Toc360436746"/>
      <w:bookmarkStart w:id="18" w:name="_Toc360436832"/>
      <w:bookmarkStart w:id="19" w:name="_Toc462063250"/>
      <w:r>
        <w:rPr>
          <w:rFonts w:hint="eastAsia"/>
          <w:bCs/>
          <w:color w:val="000000"/>
          <w:szCs w:val="21"/>
        </w:rPr>
        <w:t>范围</w:t>
      </w:r>
      <w:bookmarkEnd w:id="13"/>
      <w:bookmarkEnd w:id="14"/>
      <w:bookmarkEnd w:id="15"/>
      <w:bookmarkEnd w:id="16"/>
      <w:bookmarkEnd w:id="17"/>
      <w:bookmarkEnd w:id="18"/>
      <w:bookmarkEnd w:id="19"/>
    </w:p>
    <w:p>
      <w:pPr>
        <w:pStyle w:val="24"/>
        <w:rPr>
          <w:rFonts w:ascii="Times New Roman"/>
        </w:rPr>
      </w:pPr>
      <w:r>
        <w:rPr>
          <w:rFonts w:ascii="Times New Roman"/>
        </w:rPr>
        <w:t>本标准规定了</w:t>
      </w:r>
      <w:r>
        <w:rPr>
          <w:rFonts w:hint="eastAsia" w:ascii="Times New Roman"/>
        </w:rPr>
        <w:t>弹性地板</w:t>
      </w:r>
      <w:r>
        <w:rPr>
          <w:rFonts w:ascii="Times New Roman"/>
        </w:rPr>
        <w:t>绿色建材评价的</w:t>
      </w:r>
      <w:r>
        <w:rPr>
          <w:rFonts w:hint="eastAsia" w:ascii="Times New Roman"/>
        </w:rPr>
        <w:t>术语和定义、</w:t>
      </w:r>
      <w:r>
        <w:rPr>
          <w:rFonts w:ascii="Times New Roman"/>
        </w:rPr>
        <w:t>评价要求和评价方法。</w:t>
      </w:r>
    </w:p>
    <w:p>
      <w:pPr>
        <w:ind w:firstLine="420" w:firstLineChars="200"/>
      </w:pPr>
      <w:r>
        <w:t>本标准适用于</w:t>
      </w:r>
      <w:r>
        <w:rPr>
          <w:rFonts w:hint="eastAsia"/>
        </w:rPr>
        <w:t>室内用聚氯乙烯类弹性地板、橡胶类弹性地板、软木类弹性地板的</w:t>
      </w:r>
      <w:r>
        <w:t>绿色建材评价。</w:t>
      </w:r>
    </w:p>
    <w:p>
      <w:pPr>
        <w:pStyle w:val="35"/>
        <w:numPr>
          <w:ilvl w:val="0"/>
          <w:numId w:val="2"/>
        </w:numPr>
        <w:spacing w:before="312" w:after="312"/>
        <w:rPr>
          <w:bCs/>
          <w:color w:val="000000"/>
          <w:szCs w:val="21"/>
        </w:rPr>
      </w:pPr>
      <w:bookmarkStart w:id="20" w:name="_Toc533518555"/>
      <w:r>
        <w:rPr>
          <w:rFonts w:hint="eastAsia"/>
          <w:bCs/>
          <w:color w:val="000000"/>
          <w:szCs w:val="21"/>
        </w:rPr>
        <w:t>规范性引用文件</w:t>
      </w:r>
      <w:bookmarkEnd w:id="20"/>
    </w:p>
    <w:p>
      <w:pPr>
        <w:pStyle w:val="24"/>
      </w:pPr>
      <w:r>
        <w:rPr>
          <w:rFonts w:hint="eastAsia"/>
        </w:rPr>
        <w:t>下列文件对于本文件的应用是必不可少的。凡是注日期的引用文件，仅注日期的版本适用于本文件。凡是不注日期的引用文件，其最新版本（包括所有的修改单）适用于本文件。</w:t>
      </w:r>
    </w:p>
    <w:p>
      <w:pPr>
        <w:pStyle w:val="40"/>
        <w:ind w:firstLine="420"/>
        <w:rPr>
          <w:rFonts w:eastAsiaTheme="minorEastAsia"/>
          <w:szCs w:val="21"/>
        </w:rPr>
      </w:pPr>
      <w:r>
        <w:rPr>
          <w:rFonts w:hint="eastAsia" w:eastAsiaTheme="minorEastAsia"/>
          <w:szCs w:val="21"/>
        </w:rPr>
        <w:t xml:space="preserve">GB/T 4085 </w:t>
      </w:r>
      <w:r>
        <w:rPr>
          <w:rFonts w:hint="eastAsia" w:hAnsiTheme="minorEastAsia" w:eastAsiaTheme="minorEastAsia"/>
          <w:szCs w:val="21"/>
        </w:rPr>
        <w:t>半硬质聚</w:t>
      </w:r>
      <w:r>
        <w:rPr>
          <w:rFonts w:hint="eastAsia" w:eastAsiaTheme="minorEastAsia"/>
          <w:szCs w:val="21"/>
        </w:rPr>
        <w:t>氯乙烯块状地板</w:t>
      </w:r>
    </w:p>
    <w:p>
      <w:pPr>
        <w:pStyle w:val="40"/>
        <w:ind w:firstLine="420"/>
        <w:rPr>
          <w:rFonts w:eastAsiaTheme="minorEastAsia"/>
          <w:szCs w:val="21"/>
        </w:rPr>
      </w:pPr>
      <w:r>
        <w:rPr>
          <w:rFonts w:hint="eastAsia" w:eastAsiaTheme="minorEastAsia"/>
          <w:szCs w:val="21"/>
        </w:rPr>
        <w:t>GB 8624 建筑材料及制品燃烧性能分级</w:t>
      </w:r>
    </w:p>
    <w:p>
      <w:pPr>
        <w:pStyle w:val="40"/>
        <w:ind w:firstLine="420"/>
        <w:rPr>
          <w:rFonts w:eastAsiaTheme="minorEastAsia"/>
          <w:szCs w:val="21"/>
        </w:rPr>
      </w:pPr>
      <w:r>
        <w:rPr>
          <w:rFonts w:hint="eastAsia" w:eastAsiaTheme="minorEastAsia"/>
          <w:szCs w:val="21"/>
        </w:rPr>
        <w:t>G</w:t>
      </w:r>
      <w:r>
        <w:rPr>
          <w:rFonts w:eastAsiaTheme="minorEastAsia"/>
          <w:szCs w:val="21"/>
        </w:rPr>
        <w:t xml:space="preserve">B/T 9867 </w:t>
      </w:r>
      <w:r>
        <w:rPr>
          <w:rFonts w:hint="eastAsia" w:eastAsiaTheme="minorEastAsia"/>
          <w:szCs w:val="21"/>
        </w:rPr>
        <w:t>硫化橡胶或热塑性橡胶耐磨性能的测定（旋转滚筒式磨耗机法）</w:t>
      </w:r>
    </w:p>
    <w:p>
      <w:pPr>
        <w:pStyle w:val="40"/>
        <w:ind w:firstLine="420"/>
        <w:rPr>
          <w:rFonts w:eastAsiaTheme="minorEastAsia"/>
          <w:szCs w:val="21"/>
        </w:rPr>
      </w:pPr>
      <w:r>
        <w:rPr>
          <w:rFonts w:eastAsiaTheme="minorEastAsia"/>
          <w:szCs w:val="21"/>
        </w:rPr>
        <w:t>GB</w:t>
      </w:r>
      <w:r>
        <w:rPr>
          <w:rFonts w:hint="eastAsia" w:eastAsiaTheme="minorEastAsia"/>
          <w:szCs w:val="21"/>
        </w:rPr>
        <w:t>/</w:t>
      </w:r>
      <w:r>
        <w:rPr>
          <w:rFonts w:eastAsiaTheme="minorEastAsia"/>
          <w:szCs w:val="21"/>
        </w:rPr>
        <w:t xml:space="preserve">T 11982.1 </w:t>
      </w:r>
      <w:r>
        <w:rPr>
          <w:rFonts w:hAnsiTheme="minorEastAsia" w:eastAsiaTheme="minorEastAsia"/>
          <w:szCs w:val="21"/>
        </w:rPr>
        <w:t>非同质聚氯乙烯卷材地板</w:t>
      </w:r>
    </w:p>
    <w:p>
      <w:pPr>
        <w:pStyle w:val="40"/>
        <w:ind w:firstLine="420"/>
        <w:rPr>
          <w:rFonts w:hAnsiTheme="minorEastAsia" w:eastAsiaTheme="minorEastAsia"/>
          <w:szCs w:val="21"/>
        </w:rPr>
      </w:pPr>
      <w:r>
        <w:rPr>
          <w:rFonts w:eastAsiaTheme="minorEastAsia"/>
          <w:szCs w:val="21"/>
        </w:rPr>
        <w:t>GB</w:t>
      </w:r>
      <w:r>
        <w:rPr>
          <w:rFonts w:hint="eastAsia" w:eastAsiaTheme="minorEastAsia"/>
          <w:szCs w:val="21"/>
        </w:rPr>
        <w:t>/</w:t>
      </w:r>
      <w:r>
        <w:rPr>
          <w:rFonts w:eastAsiaTheme="minorEastAsia"/>
          <w:szCs w:val="21"/>
        </w:rPr>
        <w:t xml:space="preserve">T 11982.2 </w:t>
      </w:r>
      <w:r>
        <w:rPr>
          <w:rFonts w:hAnsiTheme="minorEastAsia" w:eastAsiaTheme="minorEastAsia"/>
          <w:szCs w:val="21"/>
        </w:rPr>
        <w:t>同质聚氯乙烯卷材地板</w:t>
      </w:r>
    </w:p>
    <w:p>
      <w:pPr>
        <w:pStyle w:val="40"/>
        <w:ind w:firstLine="420"/>
        <w:rPr>
          <w:rFonts w:eastAsiaTheme="minorEastAsia"/>
          <w:szCs w:val="21"/>
        </w:rPr>
      </w:pPr>
      <w:r>
        <w:rPr>
          <w:rFonts w:eastAsiaTheme="minorEastAsia"/>
          <w:szCs w:val="21"/>
        </w:rPr>
        <w:t>GB 18580</w:t>
      </w:r>
      <w:r>
        <w:rPr>
          <w:rFonts w:hint="eastAsia" w:eastAsiaTheme="minorEastAsia"/>
          <w:szCs w:val="21"/>
        </w:rPr>
        <w:t>室内装饰装修材料人造板及其制品中甲醛释放限量</w:t>
      </w:r>
    </w:p>
    <w:p>
      <w:pPr>
        <w:pStyle w:val="40"/>
        <w:ind w:firstLine="420"/>
        <w:rPr>
          <w:rFonts w:eastAsiaTheme="minorEastAsia"/>
          <w:szCs w:val="21"/>
        </w:rPr>
      </w:pPr>
      <w:r>
        <w:rPr>
          <w:rFonts w:hint="eastAsia" w:eastAsiaTheme="minorEastAsia"/>
          <w:szCs w:val="21"/>
        </w:rPr>
        <w:t>GB 18583室内装饰装修材料胶粘剂中有害物质限量</w:t>
      </w:r>
    </w:p>
    <w:p>
      <w:pPr>
        <w:pStyle w:val="40"/>
        <w:ind w:firstLine="420"/>
        <w:rPr>
          <w:rFonts w:eastAsiaTheme="minorEastAsia"/>
          <w:szCs w:val="21"/>
        </w:rPr>
      </w:pPr>
      <w:r>
        <w:rPr>
          <w:rFonts w:hint="eastAsia" w:eastAsiaTheme="minorEastAsia"/>
          <w:szCs w:val="21"/>
        </w:rPr>
        <w:t>GB</w:t>
      </w:r>
      <w:r>
        <w:rPr>
          <w:rFonts w:eastAsiaTheme="minorEastAsia"/>
          <w:szCs w:val="21"/>
        </w:rPr>
        <w:t xml:space="preserve"> 18585 </w:t>
      </w:r>
      <w:r>
        <w:rPr>
          <w:rFonts w:hint="eastAsia" w:eastAsiaTheme="minorEastAsia"/>
          <w:szCs w:val="21"/>
        </w:rPr>
        <w:t>室内装饰装修材料壁纸中有害物质限量</w:t>
      </w:r>
    </w:p>
    <w:p>
      <w:pPr>
        <w:pStyle w:val="40"/>
        <w:ind w:firstLine="420"/>
        <w:rPr>
          <w:rFonts w:hAnsiTheme="minorEastAsia" w:eastAsiaTheme="minorEastAsia"/>
          <w:szCs w:val="21"/>
        </w:rPr>
      </w:pPr>
      <w:r>
        <w:rPr>
          <w:rFonts w:hint="eastAsia" w:eastAsiaTheme="minorEastAsia"/>
          <w:szCs w:val="21"/>
        </w:rPr>
        <w:t>G</w:t>
      </w:r>
      <w:r>
        <w:rPr>
          <w:rFonts w:eastAsiaTheme="minorEastAsia"/>
          <w:szCs w:val="21"/>
        </w:rPr>
        <w:t xml:space="preserve">B 18586 </w:t>
      </w:r>
      <w:r>
        <w:rPr>
          <w:rFonts w:hint="eastAsia" w:eastAsiaTheme="minorEastAsia"/>
          <w:szCs w:val="21"/>
        </w:rPr>
        <w:t>室内装饰</w:t>
      </w:r>
      <w:r>
        <w:rPr>
          <w:rFonts w:hint="eastAsia" w:hAnsiTheme="minorEastAsia" w:eastAsiaTheme="minorEastAsia"/>
          <w:szCs w:val="21"/>
        </w:rPr>
        <w:t>装修材料聚氯乙烯卷材地板中有害物质限量</w:t>
      </w:r>
    </w:p>
    <w:p>
      <w:pPr>
        <w:pStyle w:val="40"/>
        <w:ind w:firstLine="420"/>
        <w:rPr>
          <w:rFonts w:hAnsiTheme="minorEastAsia" w:eastAsiaTheme="minorEastAsia"/>
          <w:szCs w:val="21"/>
        </w:rPr>
      </w:pPr>
      <w:r>
        <w:rPr>
          <w:rFonts w:hint="eastAsia" w:hAnsiTheme="minorEastAsia" w:eastAsiaTheme="minorEastAsia"/>
          <w:szCs w:val="21"/>
        </w:rPr>
        <w:t>GB 18587 室内装饰装修材料地毯、地毯衬垫及地毯胶粘剂有害物质释放限量</w:t>
      </w:r>
    </w:p>
    <w:p>
      <w:pPr>
        <w:pStyle w:val="24"/>
      </w:pPr>
      <w:r>
        <w:rPr>
          <w:rFonts w:ascii="Times New Roman" w:hAnsi="Times New Roman" w:cs="Times New Roman"/>
          <w:szCs w:val="21"/>
        </w:rPr>
        <w:t>GB 18597</w:t>
      </w:r>
      <w:r>
        <w:rPr>
          <w:rFonts w:hint="eastAsia" w:ascii="Times New Roman" w:hAnsi="Times New Roman" w:cs="Times New Roman"/>
          <w:szCs w:val="21"/>
        </w:rPr>
        <w:t xml:space="preserve"> </w:t>
      </w:r>
      <w:r>
        <w:t>危险废物贮存污染控制标准</w:t>
      </w:r>
    </w:p>
    <w:p>
      <w:pPr>
        <w:pStyle w:val="24"/>
      </w:pPr>
      <w:r>
        <w:rPr>
          <w:rFonts w:ascii="Times New Roman" w:hAnsi="Times New Roman" w:cs="Times New Roman"/>
          <w:szCs w:val="21"/>
        </w:rPr>
        <w:t>GB 18599</w:t>
      </w:r>
      <w:r>
        <w:rPr>
          <w:rFonts w:hint="eastAsia" w:ascii="Times New Roman" w:hAnsi="Times New Roman" w:cs="Times New Roman"/>
          <w:szCs w:val="21"/>
        </w:rPr>
        <w:t xml:space="preserve"> </w:t>
      </w:r>
      <w:r>
        <w:t>一般工业固体废物贮存、处置场污染控制标准</w:t>
      </w:r>
    </w:p>
    <w:p>
      <w:pPr>
        <w:pStyle w:val="40"/>
        <w:ind w:firstLine="420"/>
      </w:pPr>
      <w:r>
        <w:t>GB/T 19001 质量管理体系要求</w:t>
      </w:r>
    </w:p>
    <w:p>
      <w:pPr>
        <w:pStyle w:val="24"/>
        <w:rPr>
          <w:rFonts w:ascii="Times New Roman" w:hAnsi="Times New Roman" w:cs="Times New Roman"/>
          <w:szCs w:val="21"/>
        </w:rPr>
      </w:pPr>
      <w:r>
        <w:rPr>
          <w:rFonts w:hint="eastAsia" w:ascii="Times New Roman" w:hAnsi="Times New Roman" w:cs="Times New Roman"/>
          <w:szCs w:val="21"/>
        </w:rPr>
        <w:t>GB/T</w:t>
      </w:r>
      <w:r>
        <w:rPr>
          <w:rFonts w:ascii="Times New Roman" w:hAnsi="Times New Roman" w:cs="Times New Roman"/>
          <w:szCs w:val="21"/>
        </w:rPr>
        <w:t xml:space="preserve"> 22048 </w:t>
      </w:r>
      <w:r>
        <w:rPr>
          <w:rFonts w:hint="eastAsia" w:ascii="Times New Roman" w:hAnsi="Times New Roman" w:cs="Times New Roman"/>
          <w:szCs w:val="21"/>
        </w:rPr>
        <w:t>玩具及儿童用品中特定邻苯二甲酸酯增塑剂的测定</w:t>
      </w:r>
    </w:p>
    <w:p>
      <w:pPr>
        <w:pStyle w:val="24"/>
      </w:pPr>
      <w:r>
        <w:rPr>
          <w:rFonts w:ascii="Times New Roman" w:hAnsi="Times New Roman" w:cs="Times New Roman"/>
          <w:szCs w:val="21"/>
        </w:rPr>
        <w:t>GB/T 24001</w:t>
      </w:r>
      <w:r>
        <w:t xml:space="preserve"> 环境管理体系 要求及使用指南</w:t>
      </w:r>
    </w:p>
    <w:p>
      <w:pPr>
        <w:pStyle w:val="24"/>
      </w:pPr>
      <w:r>
        <w:rPr>
          <w:rFonts w:hint="eastAsia" w:ascii="Times New Roman" w:hAnsi="Times New Roman" w:cs="Times New Roman"/>
          <w:szCs w:val="21"/>
        </w:rPr>
        <w:t>GB/T 24025</w:t>
      </w:r>
      <w:r>
        <w:rPr>
          <w:rFonts w:hint="eastAsia"/>
        </w:rPr>
        <w:t xml:space="preserve"> 环境标志和声明 Ⅲ型环境声明 原则和程序</w:t>
      </w:r>
    </w:p>
    <w:p>
      <w:pPr>
        <w:pStyle w:val="24"/>
        <w:rPr>
          <w:rFonts w:ascii="Times New Roman" w:hAnsi="Times New Roman" w:cs="Times New Roman"/>
          <w:szCs w:val="21"/>
        </w:rPr>
      </w:pPr>
      <w:r>
        <w:rPr>
          <w:rFonts w:hint="eastAsia" w:ascii="Times New Roman" w:hAnsi="Times New Roman" w:cs="Times New Roman"/>
          <w:szCs w:val="21"/>
        </w:rPr>
        <w:t>GB</w:t>
      </w:r>
      <w:r>
        <w:rPr>
          <w:rFonts w:ascii="Times New Roman" w:hAnsi="Times New Roman" w:cs="Times New Roman"/>
          <w:szCs w:val="21"/>
        </w:rPr>
        <w:t xml:space="preserve"> 24410 </w:t>
      </w:r>
      <w:r>
        <w:rPr>
          <w:rFonts w:hint="eastAsia" w:ascii="Times New Roman" w:hAnsi="Times New Roman" w:cs="Times New Roman"/>
          <w:szCs w:val="21"/>
        </w:rPr>
        <w:t>室内装饰装修材料水性木器涂料中有害物质限量</w:t>
      </w:r>
    </w:p>
    <w:p>
      <w:pPr>
        <w:pStyle w:val="24"/>
        <w:rPr>
          <w:rFonts w:ascii="Times New Roman" w:hAnsi="Times New Roman" w:cs="Times New Roman"/>
          <w:szCs w:val="21"/>
        </w:rPr>
      </w:pPr>
      <w:r>
        <w:rPr>
          <w:rFonts w:ascii="Times New Roman" w:hAnsi="Times New Roman" w:cs="Times New Roman"/>
          <w:szCs w:val="21"/>
        </w:rPr>
        <w:t>GB/T29899</w:t>
      </w:r>
      <w:r>
        <w:rPr>
          <w:rFonts w:hint="eastAsia" w:ascii="Times New Roman" w:hAnsi="Times New Roman" w:cs="Times New Roman"/>
          <w:szCs w:val="21"/>
        </w:rPr>
        <w:t>人造板及其制品中挥发性有机化合物释放量试验方法小型释放舱法</w:t>
      </w:r>
    </w:p>
    <w:p>
      <w:pPr>
        <w:pStyle w:val="24"/>
        <w:rPr>
          <w:rFonts w:ascii="Times New Roman" w:hAnsi="Times New Roman" w:cs="Times New Roman"/>
          <w:szCs w:val="21"/>
        </w:rPr>
      </w:pPr>
      <w:r>
        <w:rPr>
          <w:rFonts w:ascii="Times New Roman" w:hAnsi="Times New Roman" w:cs="Times New Roman"/>
          <w:szCs w:val="21"/>
        </w:rPr>
        <w:t xml:space="preserve">GB/T 33042 </w:t>
      </w:r>
      <w:r>
        <w:rPr>
          <w:rFonts w:hint="eastAsia" w:ascii="Times New Roman" w:hAnsi="Times New Roman" w:cs="Times New Roman"/>
          <w:szCs w:val="21"/>
        </w:rPr>
        <w:t>木质地板饰面层中铅、镉、铬、汞重金属元素含量测定</w:t>
      </w:r>
    </w:p>
    <w:p>
      <w:pPr>
        <w:pStyle w:val="24"/>
        <w:rPr>
          <w:rFonts w:ascii="Times New Roman" w:hAnsi="Times New Roman" w:cs="Times New Roman"/>
          <w:szCs w:val="21"/>
        </w:rPr>
      </w:pPr>
      <w:r>
        <w:rPr>
          <w:rFonts w:hint="eastAsia" w:ascii="Times New Roman" w:hAnsi="Times New Roman" w:cs="Times New Roman"/>
          <w:szCs w:val="21"/>
        </w:rPr>
        <w:t>GB/T 34440 硬质聚氯乙烯地板</w:t>
      </w:r>
    </w:p>
    <w:p>
      <w:pPr>
        <w:pStyle w:val="40"/>
        <w:ind w:firstLine="420"/>
        <w:rPr>
          <w:rFonts w:hAnsiTheme="minorEastAsia" w:eastAsiaTheme="minorEastAsia"/>
          <w:szCs w:val="21"/>
        </w:rPr>
      </w:pPr>
      <w:r>
        <w:rPr>
          <w:rFonts w:hint="eastAsia" w:hAnsiTheme="minorEastAsia" w:eastAsiaTheme="minorEastAsia"/>
          <w:szCs w:val="21"/>
        </w:rPr>
        <w:t>GB 36</w:t>
      </w:r>
      <w:r>
        <w:rPr>
          <w:rFonts w:hAnsiTheme="minorEastAsia" w:eastAsiaTheme="minorEastAsia"/>
          <w:szCs w:val="21"/>
        </w:rPr>
        <w:t>2</w:t>
      </w:r>
      <w:r>
        <w:rPr>
          <w:rFonts w:hint="eastAsia" w:hAnsiTheme="minorEastAsia" w:eastAsiaTheme="minorEastAsia"/>
          <w:szCs w:val="21"/>
        </w:rPr>
        <w:t>46 中小学合成材料面层运动场地</w:t>
      </w:r>
    </w:p>
    <w:p>
      <w:pPr>
        <w:pStyle w:val="24"/>
        <w:rPr>
          <w:rFonts w:ascii="Times New Roman" w:hAnsi="Times New Roman" w:cs="Times New Roman"/>
          <w:szCs w:val="21"/>
        </w:rPr>
      </w:pPr>
      <w:bookmarkStart w:id="21" w:name="_Hlk24792836"/>
      <w:r>
        <w:rPr>
          <w:rFonts w:hint="eastAsia" w:ascii="Times New Roman" w:hAnsi="Times New Roman" w:cs="Times New Roman"/>
          <w:szCs w:val="21"/>
        </w:rPr>
        <w:t>CB/T</w:t>
      </w:r>
      <w:r>
        <w:rPr>
          <w:rFonts w:ascii="Times New Roman" w:hAnsi="Times New Roman" w:cs="Times New Roman"/>
          <w:szCs w:val="21"/>
        </w:rPr>
        <w:t xml:space="preserve"> 3951 </w:t>
      </w:r>
      <w:r>
        <w:rPr>
          <w:rFonts w:hint="eastAsia" w:ascii="Times New Roman" w:hAnsi="Times New Roman" w:cs="Times New Roman"/>
          <w:szCs w:val="21"/>
        </w:rPr>
        <w:t>船用阻燃橡胶地板</w:t>
      </w:r>
    </w:p>
    <w:bookmarkEnd w:id="21"/>
    <w:p>
      <w:pPr>
        <w:pStyle w:val="24"/>
        <w:rPr>
          <w:rFonts w:ascii="Times New Roman" w:hAnsi="Times New Roman" w:cs="Times New Roman"/>
          <w:szCs w:val="21"/>
        </w:rPr>
      </w:pPr>
      <w:r>
        <w:rPr>
          <w:rFonts w:ascii="Times New Roman" w:hAnsi="Times New Roman" w:cs="Times New Roman"/>
          <w:szCs w:val="21"/>
        </w:rPr>
        <w:t xml:space="preserve">HG/T 3747.1 </w:t>
      </w:r>
      <w:r>
        <w:rPr>
          <w:rFonts w:ascii="Times New Roman" w:cs="Times New Roman" w:hAnsiTheme="minorEastAsia"/>
          <w:szCs w:val="21"/>
        </w:rPr>
        <w:t>橡塑铺地材料第</w:t>
      </w:r>
      <w:r>
        <w:rPr>
          <w:rFonts w:ascii="Times New Roman" w:hAnsi="Times New Roman" w:cs="Times New Roman"/>
          <w:szCs w:val="21"/>
        </w:rPr>
        <w:t>1</w:t>
      </w:r>
      <w:r>
        <w:rPr>
          <w:rFonts w:ascii="Times New Roman" w:cs="Times New Roman" w:hAnsiTheme="minorEastAsia"/>
          <w:szCs w:val="21"/>
        </w:rPr>
        <w:t>部分：橡胶地板</w:t>
      </w:r>
    </w:p>
    <w:p>
      <w:pPr>
        <w:pStyle w:val="24"/>
        <w:rPr>
          <w:rFonts w:ascii="Times New Roman" w:hAnsi="Times New Roman" w:cs="Times New Roman"/>
          <w:szCs w:val="21"/>
        </w:rPr>
      </w:pPr>
      <w:r>
        <w:rPr>
          <w:rFonts w:ascii="Times New Roman" w:hAnsi="Times New Roman" w:cs="Times New Roman"/>
          <w:szCs w:val="21"/>
        </w:rPr>
        <w:t xml:space="preserve">HG/T 3747.2 </w:t>
      </w:r>
      <w:r>
        <w:rPr>
          <w:rFonts w:ascii="Times New Roman" w:cs="Times New Roman" w:hAnsiTheme="minorEastAsia"/>
          <w:szCs w:val="21"/>
        </w:rPr>
        <w:t>橡塑铺地材料第</w:t>
      </w:r>
      <w:r>
        <w:rPr>
          <w:rFonts w:ascii="Times New Roman" w:hAnsi="Times New Roman" w:cs="Times New Roman"/>
          <w:szCs w:val="21"/>
        </w:rPr>
        <w:t>2</w:t>
      </w:r>
      <w:r>
        <w:rPr>
          <w:rFonts w:ascii="Times New Roman" w:cs="Times New Roman" w:hAnsiTheme="minorEastAsia"/>
          <w:szCs w:val="21"/>
        </w:rPr>
        <w:t>部分：橡胶地砖</w:t>
      </w:r>
    </w:p>
    <w:p>
      <w:pPr>
        <w:pStyle w:val="24"/>
        <w:rPr>
          <w:rFonts w:ascii="Times New Roman" w:hAnsi="Times New Roman" w:cs="Times New Roman"/>
          <w:szCs w:val="21"/>
        </w:rPr>
      </w:pPr>
      <w:r>
        <w:rPr>
          <w:rFonts w:ascii="Times New Roman" w:hAnsi="Times New Roman" w:cs="Times New Roman"/>
          <w:szCs w:val="21"/>
        </w:rPr>
        <w:t xml:space="preserve">HG/T 3747.3 </w:t>
      </w:r>
      <w:r>
        <w:rPr>
          <w:rFonts w:ascii="Times New Roman" w:cs="Times New Roman" w:hAnsiTheme="minorEastAsia"/>
          <w:szCs w:val="21"/>
        </w:rPr>
        <w:t>橡塑铺地材料第</w:t>
      </w:r>
      <w:r>
        <w:rPr>
          <w:rFonts w:ascii="Times New Roman" w:hAnsi="Times New Roman" w:cs="Times New Roman"/>
          <w:szCs w:val="21"/>
        </w:rPr>
        <w:t>3</w:t>
      </w:r>
      <w:r>
        <w:rPr>
          <w:rFonts w:ascii="Times New Roman" w:cs="Times New Roman" w:hAnsiTheme="minorEastAsia"/>
          <w:szCs w:val="21"/>
        </w:rPr>
        <w:t>部分：阻燃聚氯乙烯地板</w:t>
      </w:r>
    </w:p>
    <w:p>
      <w:pPr>
        <w:pStyle w:val="40"/>
        <w:ind w:firstLine="420"/>
        <w:rPr>
          <w:rFonts w:hAnsiTheme="minorEastAsia" w:eastAsiaTheme="minorEastAsia"/>
          <w:szCs w:val="21"/>
        </w:rPr>
      </w:pPr>
      <w:r>
        <w:rPr>
          <w:rFonts w:hint="eastAsia" w:hAnsiTheme="minorEastAsia" w:eastAsiaTheme="minorEastAsia"/>
          <w:szCs w:val="21"/>
        </w:rPr>
        <w:t>JC/T 2337 纤维增强聚氯乙烯弹性运动地板</w:t>
      </w:r>
    </w:p>
    <w:p>
      <w:pPr>
        <w:pStyle w:val="40"/>
        <w:ind w:firstLine="420"/>
        <w:rPr>
          <w:rFonts w:hAnsiTheme="minorEastAsia" w:eastAsiaTheme="minorEastAsia"/>
          <w:szCs w:val="21"/>
        </w:rPr>
      </w:pPr>
      <w:r>
        <w:rPr>
          <w:rFonts w:hint="eastAsia" w:hAnsiTheme="minorEastAsia" w:eastAsiaTheme="minorEastAsia"/>
          <w:szCs w:val="21"/>
        </w:rPr>
        <w:t>JT/T</w:t>
      </w:r>
      <w:r>
        <w:rPr>
          <w:rFonts w:hAnsiTheme="minorEastAsia" w:eastAsiaTheme="minorEastAsia"/>
          <w:szCs w:val="21"/>
        </w:rPr>
        <w:t xml:space="preserve"> 1027 </w:t>
      </w:r>
      <w:r>
        <w:rPr>
          <w:rFonts w:hint="eastAsia" w:hAnsiTheme="minorEastAsia" w:eastAsiaTheme="minorEastAsia"/>
          <w:szCs w:val="21"/>
        </w:rPr>
        <w:t>客车用阻燃橡胶地板</w:t>
      </w:r>
    </w:p>
    <w:p>
      <w:pPr>
        <w:pStyle w:val="40"/>
        <w:ind w:firstLine="420"/>
        <w:rPr>
          <w:rFonts w:hint="eastAsia" w:hAnsiTheme="minorEastAsia" w:eastAsiaTheme="minorEastAsia"/>
          <w:szCs w:val="21"/>
        </w:rPr>
      </w:pPr>
      <w:r>
        <w:rPr>
          <w:rFonts w:hint="eastAsia" w:hAnsiTheme="minorEastAsia" w:eastAsiaTheme="minorEastAsia"/>
          <w:szCs w:val="21"/>
        </w:rPr>
        <w:t>LY/T</w:t>
      </w:r>
      <w:r>
        <w:rPr>
          <w:rFonts w:hAnsiTheme="minorEastAsia" w:eastAsiaTheme="minorEastAsia"/>
          <w:szCs w:val="21"/>
        </w:rPr>
        <w:t xml:space="preserve"> 1657 </w:t>
      </w:r>
      <w:r>
        <w:rPr>
          <w:rFonts w:hint="eastAsia" w:hAnsiTheme="minorEastAsia" w:eastAsiaTheme="minorEastAsia"/>
          <w:szCs w:val="21"/>
        </w:rPr>
        <w:t>软木类地板</w:t>
      </w:r>
    </w:p>
    <w:p>
      <w:pPr>
        <w:pStyle w:val="40"/>
        <w:ind w:firstLine="420"/>
        <w:rPr>
          <w:rFonts w:hAnsiTheme="minorEastAsia" w:eastAsiaTheme="minorEastAsia"/>
          <w:szCs w:val="21"/>
        </w:rPr>
      </w:pPr>
      <w:r>
        <w:rPr>
          <w:rFonts w:ascii="宋体" w:hAnsiTheme="minorHAnsi" w:cstheme="minorBidi"/>
          <w:szCs w:val="22"/>
        </w:rPr>
        <w:t>SJ/T11236</w:t>
      </w:r>
      <w:r>
        <w:rPr>
          <w:rFonts w:hint="eastAsia" w:ascii="宋体" w:hAnsiTheme="minorHAnsi" w:cstheme="minorBidi"/>
          <w:szCs w:val="22"/>
        </w:rPr>
        <w:t xml:space="preserve"> 防静电贴面板通用规范</w:t>
      </w:r>
    </w:p>
    <w:p>
      <w:pPr>
        <w:pStyle w:val="35"/>
        <w:numPr>
          <w:ilvl w:val="0"/>
          <w:numId w:val="2"/>
        </w:numPr>
        <w:spacing w:before="312" w:after="312"/>
        <w:ind w:left="0" w:firstLine="0"/>
        <w:rPr>
          <w:bCs/>
          <w:color w:val="000000"/>
          <w:szCs w:val="21"/>
        </w:rPr>
      </w:pPr>
      <w:bookmarkStart w:id="22" w:name="_Toc533518556"/>
      <w:r>
        <w:rPr>
          <w:rFonts w:hint="eastAsia"/>
          <w:bCs/>
          <w:color w:val="000000"/>
          <w:szCs w:val="21"/>
        </w:rPr>
        <w:t>术语和定义</w:t>
      </w:r>
      <w:bookmarkEnd w:id="22"/>
    </w:p>
    <w:p>
      <w:pPr>
        <w:pStyle w:val="24"/>
        <w:rPr>
          <w:rFonts w:ascii="Times New Roman"/>
        </w:rPr>
      </w:pPr>
      <w:r>
        <w:rPr>
          <w:rFonts w:hint="eastAsia" w:ascii="Times New Roman"/>
        </w:rPr>
        <w:t>下列术语和定义适用于本文件。</w:t>
      </w:r>
    </w:p>
    <w:p>
      <w:pPr>
        <w:pStyle w:val="35"/>
        <w:numPr>
          <w:ilvl w:val="0"/>
          <w:numId w:val="0"/>
        </w:numPr>
        <w:tabs>
          <w:tab w:val="left" w:pos="0"/>
        </w:tabs>
        <w:spacing w:before="312" w:after="312"/>
        <w:outlineLvl w:val="2"/>
        <w:rPr>
          <w:color w:val="000000"/>
        </w:rPr>
      </w:pPr>
      <w:bookmarkStart w:id="23" w:name="_Toc509984955"/>
      <w:bookmarkEnd w:id="23"/>
      <w:bookmarkStart w:id="24" w:name="_Toc521666153"/>
      <w:bookmarkEnd w:id="24"/>
      <w:bookmarkStart w:id="25" w:name="_Toc509139384"/>
      <w:bookmarkEnd w:id="25"/>
      <w:bookmarkStart w:id="26" w:name="_Toc511069682"/>
      <w:bookmarkEnd w:id="26"/>
      <w:bookmarkStart w:id="27" w:name="_Toc519084144"/>
      <w:bookmarkEnd w:id="27"/>
      <w:bookmarkStart w:id="28" w:name="_Toc524004774"/>
      <w:bookmarkEnd w:id="28"/>
      <w:bookmarkStart w:id="29" w:name="_Toc406486340"/>
      <w:bookmarkStart w:id="30" w:name="_Toc384816546"/>
      <w:bookmarkStart w:id="31" w:name="_Toc360436749"/>
      <w:bookmarkStart w:id="32" w:name="_Toc406143963"/>
      <w:bookmarkStart w:id="33" w:name="_Toc396118199"/>
      <w:bookmarkStart w:id="34" w:name="_Toc397348586"/>
      <w:bookmarkStart w:id="35" w:name="_Toc533510791"/>
      <w:bookmarkStart w:id="36" w:name="_Toc533510664"/>
      <w:bookmarkStart w:id="37" w:name="_Toc462063253"/>
      <w:bookmarkStart w:id="38" w:name="_Toc360632423"/>
      <w:bookmarkStart w:id="39" w:name="_Toc408495873"/>
      <w:bookmarkStart w:id="40" w:name="_Toc360436835"/>
      <w:bookmarkStart w:id="41" w:name="_Toc397433558"/>
      <w:bookmarkStart w:id="42" w:name="_Toc350863987"/>
      <w:bookmarkStart w:id="43" w:name="_Toc533518557"/>
      <w:bookmarkStart w:id="44" w:name="_Toc396134030"/>
      <w:bookmarkStart w:id="45" w:name="_Toc360632654"/>
      <w:r>
        <w:rPr>
          <w:rFonts w:hint="eastAsia"/>
          <w:color w:val="000000"/>
        </w:rPr>
        <w:t>3.1</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widowControl/>
        <w:tabs>
          <w:tab w:val="center" w:pos="4201"/>
          <w:tab w:val="right" w:leader="dot" w:pos="9298"/>
        </w:tabs>
        <w:autoSpaceDE w:val="0"/>
        <w:autoSpaceDN w:val="0"/>
        <w:ind w:firstLine="420" w:firstLineChars="200"/>
        <w:rPr>
          <w:sz w:val="24"/>
        </w:rPr>
      </w:pPr>
      <w:r>
        <w:rPr>
          <w:rFonts w:eastAsia="黑体"/>
        </w:rPr>
        <w:t>绿色建材</w:t>
      </w:r>
      <w:r>
        <w:rPr>
          <w:rFonts w:hint="eastAsia" w:eastAsia="黑体"/>
        </w:rPr>
        <w:t xml:space="preserve"> </w:t>
      </w:r>
      <w:r>
        <w:rPr>
          <w:rFonts w:eastAsia="黑体"/>
        </w:rPr>
        <w:t>green building material</w:t>
      </w:r>
    </w:p>
    <w:p>
      <w:pPr>
        <w:widowControl/>
        <w:tabs>
          <w:tab w:val="center" w:pos="4201"/>
          <w:tab w:val="right" w:leader="dot" w:pos="9298"/>
        </w:tabs>
        <w:autoSpaceDE w:val="0"/>
        <w:autoSpaceDN w:val="0"/>
        <w:ind w:firstLine="420" w:firstLineChars="200"/>
        <w:rPr>
          <w:kern w:val="0"/>
          <w:szCs w:val="20"/>
        </w:rPr>
      </w:pPr>
      <w:r>
        <w:rPr>
          <w:kern w:val="0"/>
          <w:szCs w:val="20"/>
        </w:rPr>
        <w:t>是指在全生命周期内可减少对天然资源消耗和减轻对生态环境影响，具有“节能、减排、安全、便利和可循环”特征的建材产品。</w:t>
      </w:r>
    </w:p>
    <w:p>
      <w:pPr>
        <w:pStyle w:val="35"/>
        <w:numPr>
          <w:ilvl w:val="0"/>
          <w:numId w:val="0"/>
        </w:numPr>
        <w:tabs>
          <w:tab w:val="left" w:pos="0"/>
        </w:tabs>
        <w:spacing w:before="312" w:after="312"/>
        <w:outlineLvl w:val="2"/>
      </w:pPr>
      <w:bookmarkStart w:id="46" w:name="_Toc533608462"/>
      <w:bookmarkStart w:id="47" w:name="_Toc533510665"/>
      <w:bookmarkStart w:id="48" w:name="_Toc533510792"/>
      <w:r>
        <w:rPr>
          <w:rFonts w:hint="eastAsia"/>
        </w:rPr>
        <w:t>3.2</w:t>
      </w:r>
      <w:bookmarkEnd w:id="46"/>
      <w:bookmarkEnd w:id="47"/>
      <w:bookmarkEnd w:id="48"/>
    </w:p>
    <w:p>
      <w:pPr>
        <w:widowControl/>
        <w:tabs>
          <w:tab w:val="center" w:pos="4201"/>
          <w:tab w:val="right" w:leader="dot" w:pos="9298"/>
        </w:tabs>
        <w:autoSpaceDE w:val="0"/>
        <w:autoSpaceDN w:val="0"/>
        <w:ind w:firstLine="420" w:firstLineChars="200"/>
        <w:rPr>
          <w:rFonts w:eastAsia="黑体"/>
        </w:rPr>
      </w:pPr>
      <w:r>
        <w:rPr>
          <w:rFonts w:hint="eastAsia" w:eastAsia="黑体"/>
        </w:rPr>
        <w:t xml:space="preserve">绿色建材评价 </w:t>
      </w:r>
      <w:r>
        <w:rPr>
          <w:rFonts w:eastAsia="黑体"/>
        </w:rPr>
        <w:t>green building material</w:t>
      </w:r>
      <w:r>
        <w:rPr>
          <w:rFonts w:hint="eastAsia" w:eastAsia="黑体"/>
        </w:rPr>
        <w:t>a</w:t>
      </w:r>
      <w:r>
        <w:rPr>
          <w:rFonts w:eastAsia="黑体"/>
        </w:rPr>
        <w:t>ssessment</w:t>
      </w:r>
    </w:p>
    <w:p>
      <w:pPr>
        <w:widowControl/>
        <w:tabs>
          <w:tab w:val="center" w:pos="4201"/>
          <w:tab w:val="right" w:leader="dot" w:pos="9298"/>
        </w:tabs>
        <w:autoSpaceDE w:val="0"/>
        <w:autoSpaceDN w:val="0"/>
        <w:ind w:firstLine="420" w:firstLineChars="200"/>
        <w:rPr>
          <w:kern w:val="0"/>
          <w:szCs w:val="20"/>
        </w:rPr>
      </w:pPr>
      <w:bookmarkStart w:id="49" w:name="_Hlk531448504"/>
      <w:r>
        <w:rPr>
          <w:rFonts w:hint="eastAsia"/>
          <w:kern w:val="0"/>
          <w:szCs w:val="20"/>
        </w:rPr>
        <w:t>依据绿色建材评价技术标准，按照程序和要求对申请开展评价的建材产品进行评价，并确认其等级的活动。</w:t>
      </w:r>
    </w:p>
    <w:bookmarkEnd w:id="49"/>
    <w:p>
      <w:pPr>
        <w:pStyle w:val="35"/>
        <w:numPr>
          <w:ilvl w:val="0"/>
          <w:numId w:val="0"/>
        </w:numPr>
        <w:tabs>
          <w:tab w:val="left" w:pos="0"/>
        </w:tabs>
        <w:spacing w:before="312" w:after="312"/>
        <w:outlineLvl w:val="2"/>
      </w:pPr>
      <w:bookmarkStart w:id="50" w:name="_Toc533510666"/>
      <w:bookmarkStart w:id="51" w:name="_Toc533608463"/>
      <w:bookmarkStart w:id="52" w:name="_Toc533510793"/>
      <w:r>
        <w:rPr>
          <w:rFonts w:hint="eastAsia"/>
        </w:rPr>
        <w:t>3.3</w:t>
      </w:r>
      <w:bookmarkEnd w:id="50"/>
      <w:bookmarkEnd w:id="51"/>
      <w:bookmarkEnd w:id="52"/>
    </w:p>
    <w:p>
      <w:pPr>
        <w:widowControl/>
        <w:tabs>
          <w:tab w:val="center" w:pos="4201"/>
          <w:tab w:val="right" w:leader="dot" w:pos="9298"/>
        </w:tabs>
        <w:autoSpaceDE w:val="0"/>
        <w:autoSpaceDN w:val="0"/>
        <w:ind w:firstLine="420" w:firstLineChars="200"/>
        <w:rPr>
          <w:rFonts w:eastAsia="黑体"/>
        </w:rPr>
      </w:pPr>
      <w:r>
        <w:rPr>
          <w:rFonts w:hint="eastAsia" w:eastAsia="黑体"/>
        </w:rPr>
        <w:t>评价等级 a</w:t>
      </w:r>
      <w:r>
        <w:rPr>
          <w:rFonts w:eastAsia="黑体"/>
        </w:rPr>
        <w:t>ssessment</w:t>
      </w:r>
      <w:r>
        <w:rPr>
          <w:rFonts w:hint="eastAsia" w:eastAsia="黑体"/>
        </w:rPr>
        <w:t xml:space="preserve"> level</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p>
      <w:pPr>
        <w:pStyle w:val="35"/>
        <w:numPr>
          <w:ilvl w:val="0"/>
          <w:numId w:val="0"/>
        </w:numPr>
        <w:tabs>
          <w:tab w:val="left" w:pos="0"/>
        </w:tabs>
        <w:spacing w:before="312" w:after="312"/>
        <w:outlineLvl w:val="2"/>
        <w:rPr>
          <w:color w:val="000000"/>
        </w:rPr>
      </w:pPr>
      <w:bookmarkStart w:id="53" w:name="_Toc360436836"/>
      <w:bookmarkStart w:id="54" w:name="_Toc408495874"/>
      <w:bookmarkStart w:id="55" w:name="_Toc360436750"/>
      <w:bookmarkStart w:id="56" w:name="_Toc462063255"/>
      <w:bookmarkStart w:id="57" w:name="_Toc350863988"/>
      <w:bookmarkStart w:id="58" w:name="_Toc396134031"/>
      <w:bookmarkStart w:id="59" w:name="_Toc384816547"/>
      <w:bookmarkStart w:id="60" w:name="_Toc396118200"/>
      <w:bookmarkStart w:id="61" w:name="_Toc406143964"/>
      <w:bookmarkStart w:id="62" w:name="_Toc397348587"/>
      <w:bookmarkStart w:id="63" w:name="_Toc397433559"/>
      <w:bookmarkStart w:id="64" w:name="_Toc360632424"/>
      <w:bookmarkStart w:id="65" w:name="_Toc360632655"/>
      <w:bookmarkStart w:id="66" w:name="_Toc406486341"/>
      <w:bookmarkStart w:id="67" w:name="_Toc16661"/>
      <w:r>
        <w:rPr>
          <w:rFonts w:hint="eastAsia"/>
          <w:color w:val="000000"/>
        </w:rPr>
        <w:t>3.</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Start w:id="68" w:name="_Toc382580630"/>
      <w:bookmarkStart w:id="69" w:name="_Toc396134034"/>
      <w:bookmarkStart w:id="70" w:name="OLE_LINK5"/>
      <w:bookmarkStart w:id="71" w:name="_Toc363024794"/>
      <w:bookmarkStart w:id="72" w:name="_Toc384816550"/>
      <w:bookmarkStart w:id="73" w:name="_Toc350863991"/>
      <w:bookmarkStart w:id="74" w:name="_Toc396118203"/>
      <w:bookmarkStart w:id="75" w:name="_Toc397348590"/>
      <w:bookmarkStart w:id="76" w:name="_Toc406143967"/>
      <w:bookmarkStart w:id="77" w:name="OLE_LINK6"/>
      <w:bookmarkStart w:id="78" w:name="_Toc397433562"/>
      <w:r>
        <w:rPr>
          <w:color w:val="000000"/>
        </w:rPr>
        <w:t>4</w:t>
      </w:r>
    </w:p>
    <w:bookmarkEnd w:id="67"/>
    <w:p>
      <w:pPr>
        <w:widowControl/>
        <w:tabs>
          <w:tab w:val="center" w:pos="4201"/>
          <w:tab w:val="right" w:leader="dot" w:pos="9298"/>
        </w:tabs>
        <w:autoSpaceDE w:val="0"/>
        <w:autoSpaceDN w:val="0"/>
        <w:ind w:firstLine="420" w:firstLineChars="200"/>
        <w:rPr>
          <w:rFonts w:eastAsia="黑体"/>
        </w:rPr>
      </w:pPr>
      <w:r>
        <w:rPr>
          <w:rFonts w:eastAsia="黑体"/>
        </w:rPr>
        <w:t>环境产品声明environmental product declaration</w:t>
      </w:r>
    </w:p>
    <w:p>
      <w:pPr>
        <w:pStyle w:val="24"/>
        <w:rPr>
          <w:rFonts w:ascii="Times New Roman"/>
        </w:rPr>
      </w:pPr>
      <w:r>
        <w:rPr>
          <w:rFonts w:ascii="Times New Roman"/>
        </w:rPr>
        <w:t>提供基于预设参数的量化环境数据的环境声明，必要时包括附加环境信息。</w:t>
      </w:r>
    </w:p>
    <w:p>
      <w:pPr>
        <w:pStyle w:val="35"/>
        <w:numPr>
          <w:ilvl w:val="0"/>
          <w:numId w:val="0"/>
        </w:numPr>
        <w:tabs>
          <w:tab w:val="left" w:pos="0"/>
        </w:tabs>
        <w:spacing w:before="312" w:after="312"/>
        <w:outlineLvl w:val="2"/>
        <w:rPr>
          <w:color w:val="000000"/>
        </w:rPr>
      </w:pPr>
      <w:bookmarkStart w:id="79" w:name="_Toc462063256"/>
      <w:bookmarkStart w:id="80" w:name="_Toc408495875"/>
      <w:bookmarkStart w:id="81" w:name="_Toc30452"/>
      <w:r>
        <w:rPr>
          <w:rFonts w:hint="eastAsia"/>
          <w:color w:val="000000"/>
        </w:rPr>
        <w:t>3.</w:t>
      </w:r>
      <w:bookmarkEnd w:id="79"/>
      <w:bookmarkEnd w:id="80"/>
      <w:r>
        <w:rPr>
          <w:color w:val="000000"/>
        </w:rPr>
        <w:t>5</w:t>
      </w:r>
    </w:p>
    <w:bookmarkEnd w:id="81"/>
    <w:p>
      <w:pPr>
        <w:widowControl/>
        <w:tabs>
          <w:tab w:val="center" w:pos="4201"/>
          <w:tab w:val="right" w:leader="dot" w:pos="9298"/>
        </w:tabs>
        <w:autoSpaceDE w:val="0"/>
        <w:autoSpaceDN w:val="0"/>
        <w:ind w:firstLine="420" w:firstLineChars="200"/>
        <w:rPr>
          <w:rFonts w:eastAsia="黑体"/>
        </w:rPr>
      </w:pPr>
      <w:r>
        <w:rPr>
          <w:rFonts w:eastAsia="黑体"/>
        </w:rPr>
        <w:t>碳足迹</w:t>
      </w:r>
      <w:r>
        <w:rPr>
          <w:rFonts w:hint="eastAsia" w:eastAsia="黑体"/>
        </w:rPr>
        <w:t xml:space="preserve">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rPr>
          <w:rFonts w:eastAsia="黑体"/>
        </w:rPr>
        <w:t>carbon footprint</w:t>
      </w:r>
      <w:r>
        <w:rPr>
          <w:rFonts w:eastAsia="黑体"/>
        </w:rPr>
        <w:fldChar w:fldCharType="end"/>
      </w:r>
    </w:p>
    <w:p>
      <w:pPr>
        <w:spacing w:line="300" w:lineRule="auto"/>
        <w:ind w:firstLine="420" w:firstLineChars="200"/>
        <w:rPr>
          <w:kern w:val="0"/>
          <w:szCs w:val="20"/>
        </w:rPr>
      </w:pPr>
      <w:r>
        <w:rPr>
          <w:kern w:val="0"/>
          <w:szCs w:val="20"/>
        </w:rPr>
        <w:t>用以量化过程、过程系统或产品系统温室气体排放的参数，以表现它们对气候变化的贡献。</w:t>
      </w:r>
    </w:p>
    <w:p>
      <w:pPr>
        <w:pStyle w:val="35"/>
        <w:numPr>
          <w:ilvl w:val="0"/>
          <w:numId w:val="0"/>
        </w:numPr>
        <w:tabs>
          <w:tab w:val="left" w:pos="0"/>
        </w:tabs>
        <w:spacing w:before="312" w:after="312"/>
        <w:outlineLvl w:val="2"/>
        <w:rPr>
          <w:color w:val="000000"/>
        </w:rPr>
      </w:pPr>
      <w:r>
        <w:rPr>
          <w:rFonts w:hint="eastAsia"/>
          <w:color w:val="000000"/>
        </w:rPr>
        <w:t>3</w:t>
      </w:r>
      <w:r>
        <w:rPr>
          <w:color w:val="000000"/>
        </w:rPr>
        <w:t>.6</w:t>
      </w:r>
    </w:p>
    <w:p>
      <w:pPr>
        <w:spacing w:line="300" w:lineRule="auto"/>
        <w:ind w:firstLine="420" w:firstLineChars="200"/>
        <w:rPr>
          <w:rFonts w:hint="eastAsia" w:eastAsia="黑体"/>
        </w:rPr>
      </w:pPr>
      <w:r>
        <w:rPr>
          <w:rFonts w:hint="eastAsia" w:eastAsia="黑体"/>
        </w:rPr>
        <w:t>弹性地板</w:t>
      </w:r>
      <w:r>
        <w:rPr>
          <w:rFonts w:eastAsia="黑体"/>
        </w:rPr>
        <w:t>resilient floor</w:t>
      </w:r>
    </w:p>
    <w:p>
      <w:pPr>
        <w:spacing w:line="300" w:lineRule="auto"/>
        <w:ind w:firstLine="420" w:firstLineChars="200"/>
        <w:rPr>
          <w:kern w:val="0"/>
          <w:szCs w:val="20"/>
        </w:rPr>
      </w:pPr>
      <w:r>
        <w:rPr>
          <w:rFonts w:hint="eastAsia"/>
          <w:kern w:val="0"/>
          <w:szCs w:val="20"/>
        </w:rPr>
        <w:t>地板在外力作用下发生形变，当外力解除后，形变可一定程度恢复的地板。</w:t>
      </w:r>
    </w:p>
    <w:bookmarkEnd w:id="68"/>
    <w:bookmarkEnd w:id="69"/>
    <w:bookmarkEnd w:id="70"/>
    <w:bookmarkEnd w:id="71"/>
    <w:bookmarkEnd w:id="72"/>
    <w:bookmarkEnd w:id="73"/>
    <w:bookmarkEnd w:id="74"/>
    <w:bookmarkEnd w:id="75"/>
    <w:bookmarkEnd w:id="76"/>
    <w:bookmarkEnd w:id="77"/>
    <w:bookmarkEnd w:id="78"/>
    <w:p>
      <w:pPr>
        <w:pStyle w:val="35"/>
        <w:numPr>
          <w:ilvl w:val="0"/>
          <w:numId w:val="2"/>
        </w:numPr>
        <w:spacing w:before="312" w:after="312"/>
        <w:ind w:left="0" w:firstLine="0"/>
        <w:rPr>
          <w:bCs/>
          <w:color w:val="000000"/>
          <w:szCs w:val="21"/>
        </w:rPr>
      </w:pPr>
      <w:bookmarkStart w:id="82" w:name="_Toc406486353"/>
      <w:bookmarkStart w:id="83" w:name="_Toc462063257"/>
      <w:r>
        <w:rPr>
          <w:rFonts w:hint="eastAsia"/>
          <w:bCs/>
          <w:color w:val="000000"/>
          <w:szCs w:val="21"/>
        </w:rPr>
        <w:t>评价要求</w:t>
      </w:r>
      <w:bookmarkEnd w:id="82"/>
      <w:bookmarkEnd w:id="83"/>
    </w:p>
    <w:p>
      <w:pPr>
        <w:widowControl/>
        <w:spacing w:beforeLines="50" w:afterLines="50"/>
        <w:jc w:val="left"/>
        <w:outlineLvl w:val="2"/>
        <w:rPr>
          <w:rFonts w:eastAsia="黑体"/>
          <w:color w:val="000000"/>
          <w:kern w:val="0"/>
        </w:rPr>
      </w:pPr>
      <w:bookmarkStart w:id="84" w:name="_Toc456611366"/>
      <w:bookmarkStart w:id="85" w:name="_Toc406486354"/>
      <w:bookmarkStart w:id="86" w:name="_Toc459107153"/>
      <w:bookmarkStart w:id="87" w:name="_Toc22141"/>
      <w:r>
        <w:rPr>
          <w:rFonts w:eastAsia="黑体"/>
          <w:color w:val="000000"/>
          <w:kern w:val="0"/>
        </w:rPr>
        <w:t xml:space="preserve">4.1 </w:t>
      </w:r>
      <w:r>
        <w:rPr>
          <w:rFonts w:hint="eastAsia" w:eastAsia="黑体"/>
          <w:color w:val="000000"/>
          <w:kern w:val="0"/>
        </w:rPr>
        <w:t>一般</w:t>
      </w:r>
      <w:r>
        <w:rPr>
          <w:rFonts w:eastAsia="黑体"/>
          <w:color w:val="000000"/>
          <w:kern w:val="0"/>
        </w:rPr>
        <w:t>要求</w:t>
      </w:r>
      <w:bookmarkEnd w:id="84"/>
      <w:bookmarkEnd w:id="85"/>
      <w:bookmarkEnd w:id="86"/>
      <w:bookmarkEnd w:id="87"/>
    </w:p>
    <w:p>
      <w:pPr>
        <w:pStyle w:val="24"/>
        <w:ind w:firstLine="0" w:firstLineChars="0"/>
        <w:rPr>
          <w:rFonts w:ascii="Times New Roman" w:hAnsi="Times New Roman" w:cs="Times New Roman"/>
          <w:szCs w:val="21"/>
        </w:rPr>
      </w:pPr>
      <w:bookmarkStart w:id="88" w:name="_Toc459106415"/>
      <w:bookmarkStart w:id="89" w:name="_Toc462063258"/>
      <w:bookmarkStart w:id="90" w:name="_Toc436234466"/>
      <w:r>
        <w:rPr>
          <w:rFonts w:hint="eastAsia" w:ascii="Times New Roman" w:eastAsia="宋体"/>
        </w:rPr>
        <w:t>4.1.</w:t>
      </w:r>
      <w:r>
        <w:rPr>
          <w:rFonts w:ascii="Times New Roman" w:eastAsia="宋体"/>
        </w:rPr>
        <w:t xml:space="preserve">1  </w:t>
      </w:r>
      <w:bookmarkStart w:id="91" w:name="_Hlk24833331"/>
      <w:r>
        <w:rPr>
          <w:rFonts w:hint="eastAsia" w:eastAsia="宋体"/>
        </w:rPr>
        <w:t>弹性地板基本性能应符合G</w:t>
      </w:r>
      <w:r>
        <w:rPr>
          <w:rFonts w:eastAsia="宋体"/>
        </w:rPr>
        <w:t>B/T 4085</w:t>
      </w:r>
      <w:r>
        <w:rPr>
          <w:rFonts w:hint="eastAsia" w:eastAsia="宋体"/>
        </w:rPr>
        <w:t xml:space="preserve">、GB/T </w:t>
      </w:r>
      <w:r>
        <w:rPr>
          <w:rFonts w:eastAsia="宋体"/>
        </w:rPr>
        <w:t>11982.1</w:t>
      </w:r>
      <w:r>
        <w:rPr>
          <w:rFonts w:hint="eastAsia" w:eastAsia="宋体"/>
        </w:rPr>
        <w:t xml:space="preserve">、GB/T </w:t>
      </w:r>
      <w:r>
        <w:rPr>
          <w:rFonts w:eastAsia="宋体"/>
        </w:rPr>
        <w:t>11982</w:t>
      </w:r>
      <w:r>
        <w:rPr>
          <w:rFonts w:hint="eastAsia" w:eastAsia="宋体"/>
        </w:rPr>
        <w:t>.2、GB/T</w:t>
      </w:r>
      <w:r>
        <w:rPr>
          <w:rFonts w:eastAsia="宋体"/>
        </w:rPr>
        <w:t xml:space="preserve"> 34440</w:t>
      </w:r>
      <w:r>
        <w:rPr>
          <w:rFonts w:hint="eastAsia" w:eastAsia="宋体"/>
        </w:rPr>
        <w:t>、</w:t>
      </w:r>
      <w:r>
        <w:rPr>
          <w:rFonts w:hint="eastAsia" w:ascii="Times New Roman" w:hAnsi="Times New Roman" w:cs="Times New Roman"/>
          <w:szCs w:val="21"/>
        </w:rPr>
        <w:t>CB/T</w:t>
      </w:r>
      <w:r>
        <w:rPr>
          <w:rFonts w:ascii="Times New Roman" w:hAnsi="Times New Roman" w:cs="Times New Roman"/>
          <w:szCs w:val="21"/>
        </w:rPr>
        <w:t xml:space="preserve"> 3951 </w:t>
      </w:r>
      <w:r>
        <w:rPr>
          <w:rFonts w:hint="eastAsia" w:eastAsia="宋体"/>
        </w:rPr>
        <w:t>、HG</w:t>
      </w:r>
      <w:r>
        <w:rPr>
          <w:rFonts w:eastAsia="宋体"/>
        </w:rPr>
        <w:t>/T 3747.1</w:t>
      </w:r>
      <w:r>
        <w:rPr>
          <w:rFonts w:hint="eastAsia" w:eastAsia="宋体"/>
        </w:rPr>
        <w:t>、HG</w:t>
      </w:r>
      <w:r>
        <w:rPr>
          <w:rFonts w:eastAsia="宋体"/>
        </w:rPr>
        <w:t>/T 3747.2</w:t>
      </w:r>
      <w:r>
        <w:rPr>
          <w:rFonts w:hint="eastAsia" w:eastAsia="宋体"/>
        </w:rPr>
        <w:t>、HG</w:t>
      </w:r>
      <w:r>
        <w:rPr>
          <w:rFonts w:eastAsia="宋体"/>
        </w:rPr>
        <w:t>/T 3747.3</w:t>
      </w:r>
      <w:r>
        <w:rPr>
          <w:rFonts w:hint="eastAsia" w:eastAsia="宋体"/>
        </w:rPr>
        <w:t>、JC/T</w:t>
      </w:r>
      <w:r>
        <w:rPr>
          <w:rFonts w:eastAsia="宋体"/>
        </w:rPr>
        <w:t xml:space="preserve"> 2337</w:t>
      </w:r>
      <w:r>
        <w:rPr>
          <w:rFonts w:hint="eastAsia" w:eastAsia="宋体"/>
        </w:rPr>
        <w:t>、</w:t>
      </w:r>
      <w:r>
        <w:rPr>
          <w:rFonts w:hint="eastAsia" w:hAnsiTheme="minorEastAsia"/>
          <w:szCs w:val="21"/>
        </w:rPr>
        <w:t>JT/T</w:t>
      </w:r>
      <w:r>
        <w:rPr>
          <w:rFonts w:hAnsiTheme="minorEastAsia"/>
          <w:szCs w:val="21"/>
        </w:rPr>
        <w:t xml:space="preserve"> 1027</w:t>
      </w:r>
      <w:r>
        <w:rPr>
          <w:rFonts w:hint="eastAsia" w:hAnsiTheme="minorEastAsia"/>
        </w:rPr>
        <w:t>、</w:t>
      </w:r>
      <w:r>
        <w:rPr>
          <w:rFonts w:hint="eastAsia" w:eastAsia="宋体"/>
        </w:rPr>
        <w:t>LY/T</w:t>
      </w:r>
      <w:r>
        <w:rPr>
          <w:rFonts w:eastAsia="宋体"/>
        </w:rPr>
        <w:t xml:space="preserve"> 1657</w:t>
      </w:r>
      <w:r>
        <w:rPr>
          <w:rFonts w:hint="eastAsia" w:eastAsia="宋体"/>
        </w:rPr>
        <w:t>、</w:t>
      </w:r>
      <w:r>
        <w:rPr>
          <w:rFonts w:eastAsia="宋体"/>
        </w:rPr>
        <w:t>SJ/T11236</w:t>
      </w:r>
      <w:r>
        <w:rPr>
          <w:rFonts w:hint="eastAsia" w:eastAsia="宋体"/>
        </w:rPr>
        <w:t>等相应的现行国家、行业标准要求。</w:t>
      </w:r>
      <w:bookmarkEnd w:id="91"/>
    </w:p>
    <w:p>
      <w:pPr>
        <w:pStyle w:val="36"/>
        <w:numPr>
          <w:ilvl w:val="0"/>
          <w:numId w:val="0"/>
        </w:numPr>
        <w:adjustRightInd w:val="0"/>
        <w:snapToGrid w:val="0"/>
        <w:spacing w:before="156" w:after="156"/>
        <w:rPr>
          <w:rFonts w:ascii="Times New Roman" w:eastAsia="宋体"/>
        </w:rPr>
      </w:pPr>
      <w:r>
        <w:rPr>
          <w:rFonts w:hint="eastAsia" w:ascii="Times New Roman" w:eastAsia="宋体"/>
        </w:rPr>
        <w:t>4.1.2</w:t>
      </w:r>
      <w:bookmarkStart w:id="92" w:name="_Hlk24833398"/>
      <w:r>
        <w:rPr>
          <w:rFonts w:ascii="宋体" w:eastAsia="宋体"/>
        </w:rPr>
        <w:t>生产企业污染物排放应符合相关环境保护法律法规</w:t>
      </w:r>
      <w:r>
        <w:rPr>
          <w:rFonts w:hint="eastAsia" w:ascii="宋体" w:eastAsia="宋体"/>
        </w:rPr>
        <w:t>、适用的国家或地方污染物排放标准的要求，</w:t>
      </w:r>
      <w:r>
        <w:rPr>
          <w:rFonts w:hint="eastAsia" w:ascii="Times New Roman" w:eastAsia="宋体"/>
        </w:rPr>
        <w:t>且近三年无重大环境污染事件和重大安全事故。</w:t>
      </w:r>
      <w:bookmarkEnd w:id="88"/>
      <w:bookmarkEnd w:id="89"/>
    </w:p>
    <w:bookmarkEnd w:id="92"/>
    <w:p>
      <w:pPr>
        <w:pStyle w:val="36"/>
        <w:numPr>
          <w:ilvl w:val="0"/>
          <w:numId w:val="0"/>
        </w:numPr>
        <w:adjustRightInd w:val="0"/>
        <w:snapToGrid w:val="0"/>
        <w:spacing w:before="156" w:after="156"/>
        <w:rPr>
          <w:rFonts w:ascii="Times New Roman" w:eastAsia="宋体"/>
        </w:rPr>
      </w:pPr>
      <w:r>
        <w:rPr>
          <w:rFonts w:hint="eastAsia" w:ascii="Times New Roman" w:eastAsia="宋体"/>
        </w:rPr>
        <w:t xml:space="preserve">4.1.3  </w:t>
      </w:r>
      <w:bookmarkStart w:id="93" w:name="_Hlk24833481"/>
      <w:r>
        <w:rPr>
          <w:rFonts w:ascii="Times New Roman" w:eastAsia="宋体"/>
        </w:rPr>
        <w:t>生产企业</w:t>
      </w:r>
      <w:r>
        <w:rPr>
          <w:rFonts w:hint="eastAsia" w:ascii="Times New Roman" w:eastAsia="宋体"/>
        </w:rPr>
        <w:t>一般固体废弃物的收集、贮存、处置应符合</w:t>
      </w:r>
      <w:r>
        <w:rPr>
          <w:rFonts w:ascii="Times New Roman" w:eastAsia="宋体"/>
        </w:rPr>
        <w:t>GB 18599</w:t>
      </w:r>
      <w:r>
        <w:rPr>
          <w:rFonts w:hint="eastAsia" w:ascii="Times New Roman" w:eastAsia="宋体"/>
        </w:rPr>
        <w:t>的相关规定。危险废物的贮存应符合</w:t>
      </w:r>
      <w:r>
        <w:rPr>
          <w:rFonts w:ascii="Times New Roman" w:eastAsia="宋体"/>
        </w:rPr>
        <w:t>GB 18597</w:t>
      </w:r>
      <w:r>
        <w:rPr>
          <w:rFonts w:hint="eastAsia" w:ascii="Times New Roman" w:eastAsia="宋体"/>
        </w:rPr>
        <w:t>的相关规定，后续应交付持有危险废物经营许可证的单位处置。</w:t>
      </w:r>
    </w:p>
    <w:bookmarkEnd w:id="93"/>
    <w:p>
      <w:pPr>
        <w:pStyle w:val="36"/>
        <w:numPr>
          <w:ilvl w:val="0"/>
          <w:numId w:val="0"/>
        </w:numPr>
        <w:adjustRightInd w:val="0"/>
        <w:snapToGrid w:val="0"/>
        <w:spacing w:before="156" w:after="156"/>
        <w:rPr>
          <w:rFonts w:ascii="Times New Roman" w:eastAsia="宋体"/>
        </w:rPr>
      </w:pPr>
      <w:r>
        <w:rPr>
          <w:rFonts w:hint="eastAsia" w:ascii="Times New Roman" w:eastAsia="宋体"/>
        </w:rPr>
        <w:t>4.1.4</w:t>
      </w:r>
      <w:bookmarkStart w:id="94" w:name="_Hlk24833521"/>
      <w:r>
        <w:rPr>
          <w:rFonts w:hint="eastAsia" w:ascii="Times New Roman" w:eastAsia="宋体"/>
        </w:rPr>
        <w:t>生产企业应按照GB/T19001和GB/T24001要求分别建立并运行质量管理体系和环境管理体系。</w:t>
      </w:r>
    </w:p>
    <w:p>
      <w:pPr>
        <w:pStyle w:val="36"/>
        <w:numPr>
          <w:ilvl w:val="0"/>
          <w:numId w:val="0"/>
        </w:numPr>
        <w:adjustRightInd w:val="0"/>
        <w:snapToGrid w:val="0"/>
        <w:spacing w:before="156" w:after="156"/>
        <w:rPr>
          <w:rFonts w:ascii="Times New Roman" w:eastAsia="宋体"/>
        </w:rPr>
      </w:pPr>
      <w:r>
        <w:rPr>
          <w:rFonts w:ascii="Times New Roman" w:eastAsia="宋体"/>
        </w:rPr>
        <w:t>4.1.</w:t>
      </w:r>
      <w:r>
        <w:rPr>
          <w:rFonts w:hint="eastAsia" w:ascii="Times New Roman" w:eastAsia="宋体"/>
        </w:rPr>
        <w:t>5  生产企业应采用国家鼓励的先进技术工艺，不应使用国家或有关部门发布的淘汰或禁止的技术、工艺、装备及相关物质。</w:t>
      </w:r>
    </w:p>
    <w:bookmarkEnd w:id="90"/>
    <w:bookmarkEnd w:id="94"/>
    <w:p>
      <w:pPr>
        <w:widowControl/>
        <w:spacing w:beforeLines="50" w:afterLines="50"/>
        <w:jc w:val="left"/>
        <w:outlineLvl w:val="2"/>
        <w:rPr>
          <w:rFonts w:eastAsia="黑体"/>
          <w:color w:val="000000"/>
          <w:kern w:val="0"/>
        </w:rPr>
      </w:pPr>
      <w:r>
        <w:rPr>
          <w:rFonts w:hint="eastAsia" w:eastAsia="黑体"/>
          <w:color w:val="000000"/>
          <w:kern w:val="0"/>
        </w:rPr>
        <w:t>4.2 评价指标要求</w:t>
      </w:r>
    </w:p>
    <w:p>
      <w:pPr>
        <w:pStyle w:val="24"/>
        <w:rPr>
          <w:rFonts w:ascii="Times New Roman"/>
        </w:rPr>
      </w:pPr>
      <w:r>
        <w:rPr>
          <w:rFonts w:hint="eastAsia" w:ascii="Times New Roman"/>
        </w:rPr>
        <w:t>弹性地板评价指标</w:t>
      </w:r>
      <w:r>
        <w:rPr>
          <w:rFonts w:ascii="Times New Roman"/>
        </w:rPr>
        <w:t>包括资源属性指标、能源属性指标、环境属性指标和</w:t>
      </w:r>
      <w:r>
        <w:rPr>
          <w:rFonts w:hint="eastAsia" w:ascii="Times New Roman"/>
        </w:rPr>
        <w:t>品质</w:t>
      </w:r>
      <w:r>
        <w:rPr>
          <w:rFonts w:ascii="Times New Roman"/>
        </w:rPr>
        <w:t>属性指标。</w:t>
      </w:r>
      <w:bookmarkStart w:id="95" w:name="_Toc406486359"/>
      <w:bookmarkStart w:id="96" w:name="_Toc350864007"/>
      <w:bookmarkStart w:id="97" w:name="_Toc31213"/>
      <w:bookmarkStart w:id="98" w:name="_Toc396134054"/>
      <w:bookmarkStart w:id="99" w:name="_Toc360436855"/>
      <w:bookmarkStart w:id="100" w:name="_Toc384816569"/>
      <w:bookmarkStart w:id="101" w:name="_Toc397348606"/>
      <w:bookmarkStart w:id="102" w:name="_Toc360436768"/>
      <w:bookmarkStart w:id="103" w:name="_Toc397433577"/>
      <w:bookmarkStart w:id="104" w:name="_Toc360632446"/>
      <w:bookmarkStart w:id="105" w:name="_Toc462063261"/>
      <w:r>
        <w:rPr>
          <w:rFonts w:ascii="Times New Roman"/>
        </w:rPr>
        <w:t>其中聚氯乙烯类弹性</w:t>
      </w:r>
      <w:r>
        <w:rPr>
          <w:rFonts w:hint="eastAsia" w:ascii="Times New Roman"/>
        </w:rPr>
        <w:t>地板的评价指标</w:t>
      </w:r>
      <w:r>
        <w:rPr>
          <w:rFonts w:ascii="Times New Roman"/>
        </w:rPr>
        <w:t>要求见表</w:t>
      </w:r>
      <w:r>
        <w:rPr>
          <w:rFonts w:hint="eastAsia" w:ascii="Times New Roman"/>
        </w:rPr>
        <w:t>1</w:t>
      </w:r>
      <w:r>
        <w:rPr>
          <w:rFonts w:ascii="Times New Roman"/>
        </w:rPr>
        <w:t>，橡胶类弹性地板的</w:t>
      </w:r>
      <w:r>
        <w:rPr>
          <w:rFonts w:hint="eastAsia" w:ascii="Times New Roman"/>
        </w:rPr>
        <w:t>评价指标</w:t>
      </w:r>
      <w:r>
        <w:rPr>
          <w:rFonts w:ascii="Times New Roman"/>
        </w:rPr>
        <w:t>要求见表</w:t>
      </w:r>
      <w:r>
        <w:rPr>
          <w:rFonts w:hint="eastAsia" w:ascii="Times New Roman"/>
        </w:rPr>
        <w:t>2</w:t>
      </w:r>
      <w:r>
        <w:rPr>
          <w:rFonts w:ascii="Times New Roman"/>
        </w:rPr>
        <w:t>，</w:t>
      </w:r>
      <w:r>
        <w:rPr>
          <w:rFonts w:hint="eastAsia" w:ascii="Times New Roman"/>
        </w:rPr>
        <w:t>软木类弹性地板的评价指标要求见表3。</w:t>
      </w:r>
    </w:p>
    <w:p>
      <w:pPr>
        <w:pStyle w:val="35"/>
        <w:numPr>
          <w:ilvl w:val="0"/>
          <w:numId w:val="0"/>
        </w:numPr>
        <w:spacing w:beforeLines="50" w:afterLines="0"/>
        <w:jc w:val="center"/>
        <w:outlineLvl w:val="9"/>
        <w:rPr>
          <w:rFonts w:ascii="Times New Roman"/>
          <w:szCs w:val="21"/>
        </w:rPr>
      </w:pPr>
      <w:r>
        <w:rPr>
          <w:rFonts w:hint="eastAsia" w:ascii="Times New Roman"/>
          <w:szCs w:val="21"/>
        </w:rPr>
        <w:t>表1</w:t>
      </w:r>
      <w:r>
        <w:rPr>
          <w:rFonts w:ascii="Times New Roman"/>
          <w:szCs w:val="21"/>
        </w:rPr>
        <w:t xml:space="preserve"> </w:t>
      </w:r>
      <w:r>
        <w:rPr>
          <w:rFonts w:hint="eastAsia" w:ascii="Times New Roman"/>
          <w:szCs w:val="21"/>
        </w:rPr>
        <w:t>聚氯乙烯类弹性地板评价指标要求</w:t>
      </w:r>
    </w:p>
    <w:tbl>
      <w:tblPr>
        <w:tblStyle w:val="12"/>
        <w:tblW w:w="490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3"/>
        <w:gridCol w:w="464"/>
        <w:gridCol w:w="677"/>
        <w:gridCol w:w="1582"/>
        <w:gridCol w:w="979"/>
        <w:gridCol w:w="1208"/>
        <w:gridCol w:w="8"/>
        <w:gridCol w:w="8"/>
        <w:gridCol w:w="1191"/>
        <w:gridCol w:w="1210"/>
        <w:gridCol w:w="134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385" w:type="pct"/>
            <w:vMerge w:val="restart"/>
            <w:vAlign w:val="center"/>
          </w:tcPr>
          <w:p>
            <w:pPr>
              <w:widowControl/>
              <w:jc w:val="center"/>
              <w:rPr>
                <w:color w:val="000000"/>
                <w:kern w:val="0"/>
                <w:sz w:val="18"/>
                <w:szCs w:val="18"/>
              </w:rPr>
            </w:pPr>
            <w:r>
              <w:rPr>
                <w:rFonts w:hint="eastAsia" w:hAnsi="宋体"/>
                <w:color w:val="000000"/>
                <w:kern w:val="0"/>
                <w:sz w:val="18"/>
                <w:szCs w:val="18"/>
              </w:rPr>
              <w:t>一级指标</w:t>
            </w:r>
          </w:p>
        </w:tc>
        <w:tc>
          <w:tcPr>
            <w:tcW w:w="1449" w:type="pct"/>
            <w:gridSpan w:val="3"/>
            <w:vMerge w:val="restart"/>
            <w:vAlign w:val="center"/>
          </w:tcPr>
          <w:p>
            <w:pPr>
              <w:widowControl/>
              <w:jc w:val="center"/>
              <w:rPr>
                <w:color w:val="000000"/>
                <w:kern w:val="0"/>
                <w:sz w:val="18"/>
                <w:szCs w:val="18"/>
              </w:rPr>
            </w:pPr>
            <w:r>
              <w:rPr>
                <w:rFonts w:hint="eastAsia" w:hAnsi="宋体"/>
                <w:color w:val="000000"/>
                <w:kern w:val="0"/>
                <w:sz w:val="18"/>
                <w:szCs w:val="18"/>
              </w:rPr>
              <w:t>二级指标</w:t>
            </w:r>
          </w:p>
        </w:tc>
        <w:tc>
          <w:tcPr>
            <w:tcW w:w="521" w:type="pct"/>
            <w:vMerge w:val="restart"/>
            <w:vAlign w:val="center"/>
          </w:tcPr>
          <w:p>
            <w:pPr>
              <w:widowControl/>
              <w:jc w:val="center"/>
              <w:rPr>
                <w:color w:val="000000"/>
                <w:kern w:val="0"/>
                <w:sz w:val="18"/>
                <w:szCs w:val="18"/>
              </w:rPr>
            </w:pPr>
            <w:r>
              <w:rPr>
                <w:rFonts w:hint="eastAsia" w:hAnsi="宋体"/>
                <w:color w:val="000000"/>
                <w:kern w:val="0"/>
                <w:sz w:val="18"/>
                <w:szCs w:val="18"/>
              </w:rPr>
              <w:t>单位</w:t>
            </w:r>
          </w:p>
        </w:tc>
        <w:tc>
          <w:tcPr>
            <w:tcW w:w="1929" w:type="pct"/>
            <w:gridSpan w:val="5"/>
            <w:vAlign w:val="center"/>
          </w:tcPr>
          <w:p>
            <w:pPr>
              <w:widowControl/>
              <w:jc w:val="center"/>
              <w:rPr>
                <w:rFonts w:hAnsi="宋体"/>
                <w:color w:val="000000"/>
                <w:kern w:val="0"/>
                <w:sz w:val="18"/>
                <w:szCs w:val="18"/>
              </w:rPr>
            </w:pPr>
            <w:r>
              <w:rPr>
                <w:rFonts w:hint="eastAsia" w:hAnsi="宋体"/>
                <w:color w:val="000000"/>
                <w:kern w:val="0"/>
                <w:sz w:val="18"/>
                <w:szCs w:val="18"/>
              </w:rPr>
              <w:t>基准值</w:t>
            </w:r>
          </w:p>
        </w:tc>
        <w:tc>
          <w:tcPr>
            <w:tcW w:w="716" w:type="pct"/>
            <w:vMerge w:val="restart"/>
            <w:vAlign w:val="center"/>
          </w:tcPr>
          <w:p>
            <w:pPr>
              <w:widowControl/>
              <w:jc w:val="center"/>
              <w:rPr>
                <w:color w:val="000000"/>
                <w:kern w:val="0"/>
                <w:sz w:val="18"/>
                <w:szCs w:val="18"/>
              </w:rPr>
            </w:pPr>
            <w:r>
              <w:rPr>
                <w:rFonts w:hint="eastAsia" w:hAnsi="宋体"/>
                <w:color w:val="000000"/>
                <w:kern w:val="0"/>
                <w:sz w:val="18"/>
                <w:szCs w:val="18"/>
              </w:rPr>
              <w:t>评价依据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385" w:type="pct"/>
            <w:vMerge w:val="continue"/>
            <w:vAlign w:val="center"/>
          </w:tcPr>
          <w:p>
            <w:pPr>
              <w:widowControl/>
              <w:jc w:val="left"/>
              <w:rPr>
                <w:color w:val="000000"/>
                <w:kern w:val="0"/>
                <w:sz w:val="18"/>
                <w:szCs w:val="18"/>
              </w:rPr>
            </w:pPr>
          </w:p>
        </w:tc>
        <w:tc>
          <w:tcPr>
            <w:tcW w:w="1449" w:type="pct"/>
            <w:gridSpan w:val="3"/>
            <w:vMerge w:val="continue"/>
            <w:vAlign w:val="center"/>
          </w:tcPr>
          <w:p>
            <w:pPr>
              <w:widowControl/>
              <w:jc w:val="left"/>
              <w:rPr>
                <w:color w:val="000000"/>
                <w:kern w:val="0"/>
                <w:sz w:val="18"/>
                <w:szCs w:val="18"/>
              </w:rPr>
            </w:pPr>
          </w:p>
        </w:tc>
        <w:tc>
          <w:tcPr>
            <w:tcW w:w="521" w:type="pct"/>
            <w:vMerge w:val="continue"/>
            <w:vAlign w:val="center"/>
          </w:tcPr>
          <w:p>
            <w:pPr>
              <w:widowControl/>
              <w:jc w:val="left"/>
              <w:rPr>
                <w:color w:val="000000"/>
                <w:kern w:val="0"/>
                <w:sz w:val="18"/>
                <w:szCs w:val="18"/>
              </w:rPr>
            </w:pPr>
          </w:p>
        </w:tc>
        <w:tc>
          <w:tcPr>
            <w:tcW w:w="643" w:type="pct"/>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642" w:type="pct"/>
            <w:gridSpan w:val="3"/>
          </w:tcPr>
          <w:p>
            <w:pPr>
              <w:widowControl/>
              <w:jc w:val="center"/>
              <w:rPr>
                <w:rFonts w:hAnsi="宋体"/>
                <w:color w:val="000000"/>
                <w:kern w:val="0"/>
                <w:sz w:val="18"/>
                <w:szCs w:val="18"/>
              </w:rPr>
            </w:pPr>
            <w:r>
              <w:rPr>
                <w:rFonts w:hint="eastAsia" w:hAnsi="宋体"/>
                <w:color w:val="000000"/>
                <w:kern w:val="0"/>
                <w:sz w:val="18"/>
                <w:szCs w:val="18"/>
              </w:rPr>
              <w:t>二星级</w:t>
            </w:r>
          </w:p>
        </w:tc>
        <w:tc>
          <w:tcPr>
            <w:tcW w:w="644" w:type="pct"/>
          </w:tcPr>
          <w:p>
            <w:pPr>
              <w:widowControl/>
              <w:jc w:val="center"/>
              <w:rPr>
                <w:rFonts w:hAnsi="宋体"/>
                <w:color w:val="000000"/>
                <w:kern w:val="0"/>
                <w:sz w:val="18"/>
                <w:szCs w:val="18"/>
              </w:rPr>
            </w:pPr>
            <w:r>
              <w:rPr>
                <w:rFonts w:hint="eastAsia" w:hAnsi="宋体"/>
                <w:color w:val="000000"/>
                <w:kern w:val="0"/>
                <w:sz w:val="18"/>
                <w:szCs w:val="18"/>
              </w:rPr>
              <w:t>三星级</w:t>
            </w:r>
          </w:p>
        </w:tc>
        <w:tc>
          <w:tcPr>
            <w:tcW w:w="716" w:type="pct"/>
            <w:vMerge w:val="continue"/>
            <w:vAlign w:val="center"/>
          </w:tcPr>
          <w:p>
            <w:pPr>
              <w:widowControl/>
              <w:jc w:val="left"/>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85" w:type="pct"/>
            <w:vMerge w:val="restart"/>
            <w:vAlign w:val="center"/>
          </w:tcPr>
          <w:p>
            <w:pPr>
              <w:widowControl/>
              <w:jc w:val="center"/>
              <w:rPr>
                <w:rFonts w:hAnsi="宋体"/>
                <w:color w:val="000000"/>
                <w:kern w:val="0"/>
                <w:sz w:val="18"/>
                <w:szCs w:val="18"/>
              </w:rPr>
            </w:pPr>
            <w:r>
              <w:rPr>
                <w:rFonts w:hint="eastAsia" w:hAnsi="宋体"/>
                <w:color w:val="000000"/>
                <w:kern w:val="0"/>
                <w:sz w:val="18"/>
                <w:szCs w:val="18"/>
              </w:rPr>
              <w:t>资源属性</w:t>
            </w:r>
          </w:p>
        </w:tc>
        <w:tc>
          <w:tcPr>
            <w:tcW w:w="247" w:type="pct"/>
            <w:vMerge w:val="restart"/>
            <w:vAlign w:val="center"/>
          </w:tcPr>
          <w:p>
            <w:pPr>
              <w:widowControl/>
              <w:rPr>
                <w:rFonts w:ascii="宋体" w:cs="宋体"/>
                <w:color w:val="000000"/>
                <w:kern w:val="0"/>
                <w:sz w:val="18"/>
                <w:szCs w:val="18"/>
              </w:rPr>
            </w:pPr>
            <w:r>
              <w:rPr>
                <w:rFonts w:hint="eastAsia" w:ascii="宋体" w:cs="宋体"/>
                <w:color w:val="000000"/>
                <w:kern w:val="0"/>
                <w:sz w:val="18"/>
                <w:szCs w:val="18"/>
              </w:rPr>
              <w:t>原材料要求</w:t>
            </w:r>
          </w:p>
        </w:tc>
        <w:tc>
          <w:tcPr>
            <w:tcW w:w="1202" w:type="pct"/>
            <w:gridSpan w:val="2"/>
            <w:vAlign w:val="center"/>
          </w:tcPr>
          <w:p>
            <w:pPr>
              <w:widowControl/>
              <w:rPr>
                <w:rFonts w:ascii="宋体" w:cs="宋体"/>
                <w:color w:val="000000"/>
                <w:kern w:val="0"/>
                <w:sz w:val="18"/>
                <w:szCs w:val="18"/>
              </w:rPr>
            </w:pPr>
            <w:r>
              <w:rPr>
                <w:rFonts w:ascii="宋体" w:cs="宋体"/>
                <w:color w:val="000000"/>
                <w:kern w:val="0"/>
                <w:sz w:val="18"/>
                <w:szCs w:val="18"/>
              </w:rPr>
              <w:t>发泡剂</w:t>
            </w:r>
          </w:p>
        </w:tc>
        <w:tc>
          <w:tcPr>
            <w:tcW w:w="521" w:type="pct"/>
            <w:vAlign w:val="center"/>
          </w:tcPr>
          <w:p>
            <w:pPr>
              <w:widowControl/>
              <w:jc w:val="center"/>
              <w:rPr>
                <w:rFonts w:hAnsi="宋体"/>
                <w:color w:val="000000"/>
                <w:kern w:val="0"/>
                <w:sz w:val="18"/>
                <w:szCs w:val="18"/>
                <w:vertAlign w:val="superscript"/>
              </w:rPr>
            </w:pPr>
            <w:r>
              <w:rPr>
                <w:rFonts w:hint="eastAsia"/>
                <w:color w:val="000000"/>
                <w:kern w:val="0"/>
                <w:sz w:val="18"/>
                <w:szCs w:val="18"/>
              </w:rPr>
              <w:t>—</w:t>
            </w:r>
          </w:p>
        </w:tc>
        <w:tc>
          <w:tcPr>
            <w:tcW w:w="1929" w:type="pct"/>
            <w:gridSpan w:val="5"/>
            <w:vAlign w:val="center"/>
          </w:tcPr>
          <w:p>
            <w:pPr>
              <w:widowControl/>
              <w:jc w:val="center"/>
              <w:rPr>
                <w:color w:val="000000"/>
                <w:kern w:val="0"/>
                <w:sz w:val="18"/>
                <w:szCs w:val="18"/>
              </w:rPr>
            </w:pPr>
            <w:r>
              <w:rPr>
                <w:rFonts w:hint="eastAsia"/>
                <w:color w:val="000000"/>
                <w:kern w:val="0"/>
                <w:sz w:val="18"/>
                <w:szCs w:val="18"/>
              </w:rPr>
              <w:t>不得使用氟氯烃发泡剂</w:t>
            </w:r>
          </w:p>
        </w:tc>
        <w:tc>
          <w:tcPr>
            <w:tcW w:w="716" w:type="pct"/>
            <w:vMerge w:val="restart"/>
            <w:vAlign w:val="center"/>
          </w:tcPr>
          <w:p>
            <w:pPr>
              <w:widowControl/>
              <w:jc w:val="center"/>
              <w:rPr>
                <w:rFonts w:hAnsi="宋体"/>
                <w:color w:val="000000"/>
                <w:kern w:val="0"/>
                <w:sz w:val="18"/>
                <w:szCs w:val="18"/>
              </w:rPr>
            </w:pPr>
            <w:r>
              <w:rPr>
                <w:rFonts w:hAnsi="宋体"/>
                <w:color w:val="000000"/>
                <w:kern w:val="0"/>
                <w:sz w:val="18"/>
                <w:szCs w:val="18"/>
              </w:rPr>
              <w:t>提交证明资料结合现场检查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85" w:type="pct"/>
            <w:vMerge w:val="continue"/>
            <w:vAlign w:val="center"/>
          </w:tcPr>
          <w:p>
            <w:pPr>
              <w:widowControl/>
              <w:jc w:val="center"/>
              <w:rPr>
                <w:rFonts w:hAnsi="宋体"/>
                <w:color w:val="000000"/>
                <w:kern w:val="0"/>
                <w:sz w:val="18"/>
                <w:szCs w:val="18"/>
              </w:rPr>
            </w:pPr>
          </w:p>
        </w:tc>
        <w:tc>
          <w:tcPr>
            <w:tcW w:w="247" w:type="pct"/>
            <w:vMerge w:val="continue"/>
            <w:vAlign w:val="center"/>
          </w:tcPr>
          <w:p>
            <w:pPr>
              <w:widowControl/>
              <w:rPr>
                <w:rFonts w:ascii="宋体" w:cs="宋体"/>
                <w:color w:val="000000"/>
                <w:kern w:val="0"/>
                <w:sz w:val="18"/>
                <w:szCs w:val="18"/>
              </w:rPr>
            </w:pPr>
          </w:p>
        </w:tc>
        <w:tc>
          <w:tcPr>
            <w:tcW w:w="1202" w:type="pct"/>
            <w:gridSpan w:val="2"/>
            <w:vAlign w:val="center"/>
          </w:tcPr>
          <w:p>
            <w:pPr>
              <w:widowControl/>
              <w:rPr>
                <w:rFonts w:ascii="宋体" w:cs="宋体"/>
                <w:color w:val="000000"/>
                <w:kern w:val="0"/>
                <w:sz w:val="18"/>
                <w:szCs w:val="18"/>
              </w:rPr>
            </w:pPr>
            <w:r>
              <w:rPr>
                <w:rFonts w:ascii="宋体" w:cs="宋体"/>
                <w:color w:val="000000"/>
                <w:kern w:val="0"/>
                <w:sz w:val="18"/>
                <w:szCs w:val="18"/>
              </w:rPr>
              <w:t>稳定剂</w:t>
            </w:r>
          </w:p>
        </w:tc>
        <w:tc>
          <w:tcPr>
            <w:tcW w:w="521" w:type="pct"/>
            <w:vAlign w:val="center"/>
          </w:tcPr>
          <w:p>
            <w:pPr>
              <w:widowControl/>
              <w:jc w:val="center"/>
              <w:rPr>
                <w:color w:val="000000"/>
                <w:kern w:val="0"/>
                <w:sz w:val="18"/>
                <w:szCs w:val="18"/>
              </w:rPr>
            </w:pPr>
            <w:r>
              <w:rPr>
                <w:rFonts w:hint="eastAsia"/>
                <w:color w:val="000000"/>
                <w:kern w:val="0"/>
                <w:sz w:val="18"/>
                <w:szCs w:val="18"/>
              </w:rPr>
              <w:t>—</w:t>
            </w:r>
          </w:p>
        </w:tc>
        <w:tc>
          <w:tcPr>
            <w:tcW w:w="1929" w:type="pct"/>
            <w:gridSpan w:val="5"/>
            <w:vAlign w:val="center"/>
          </w:tcPr>
          <w:p>
            <w:pPr>
              <w:widowControl/>
              <w:jc w:val="center"/>
              <w:rPr>
                <w:color w:val="000000"/>
                <w:kern w:val="0"/>
                <w:sz w:val="18"/>
                <w:szCs w:val="18"/>
              </w:rPr>
            </w:pPr>
            <w:r>
              <w:rPr>
                <w:rFonts w:hint="eastAsia"/>
                <w:color w:val="000000"/>
                <w:kern w:val="0"/>
                <w:sz w:val="18"/>
                <w:szCs w:val="18"/>
              </w:rPr>
              <w:t>不得使用</w:t>
            </w:r>
            <w:r>
              <w:rPr>
                <w:rFonts w:hint="eastAsia" w:ascii="宋体" w:cs="宋体"/>
                <w:color w:val="000000"/>
                <w:kern w:val="0"/>
                <w:sz w:val="18"/>
                <w:szCs w:val="18"/>
              </w:rPr>
              <w:t>铅、镉盐稳定剂</w:t>
            </w:r>
          </w:p>
        </w:tc>
        <w:tc>
          <w:tcPr>
            <w:tcW w:w="716" w:type="pct"/>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85" w:type="pct"/>
            <w:vMerge w:val="continue"/>
            <w:vAlign w:val="center"/>
          </w:tcPr>
          <w:p>
            <w:pPr>
              <w:widowControl/>
              <w:jc w:val="center"/>
              <w:rPr>
                <w:rFonts w:hAnsi="宋体"/>
                <w:color w:val="000000"/>
                <w:kern w:val="0"/>
                <w:sz w:val="18"/>
                <w:szCs w:val="18"/>
              </w:rPr>
            </w:pPr>
          </w:p>
        </w:tc>
        <w:tc>
          <w:tcPr>
            <w:tcW w:w="247" w:type="pct"/>
            <w:vMerge w:val="continue"/>
            <w:vAlign w:val="center"/>
          </w:tcPr>
          <w:p>
            <w:pPr>
              <w:widowControl/>
              <w:rPr>
                <w:sz w:val="18"/>
                <w:szCs w:val="18"/>
              </w:rPr>
            </w:pPr>
          </w:p>
        </w:tc>
        <w:tc>
          <w:tcPr>
            <w:tcW w:w="1202" w:type="pct"/>
            <w:gridSpan w:val="2"/>
            <w:vAlign w:val="center"/>
          </w:tcPr>
          <w:p>
            <w:pPr>
              <w:widowControl/>
              <w:rPr>
                <w:sz w:val="18"/>
                <w:szCs w:val="18"/>
              </w:rPr>
            </w:pPr>
            <w:r>
              <w:rPr>
                <w:rFonts w:hint="eastAsia"/>
                <w:sz w:val="18"/>
                <w:szCs w:val="18"/>
              </w:rPr>
              <w:t>阻燃剂</w:t>
            </w:r>
          </w:p>
        </w:tc>
        <w:tc>
          <w:tcPr>
            <w:tcW w:w="521" w:type="pct"/>
            <w:vAlign w:val="center"/>
          </w:tcPr>
          <w:p>
            <w:pPr>
              <w:widowControl/>
              <w:jc w:val="center"/>
              <w:rPr>
                <w:color w:val="000000"/>
                <w:kern w:val="0"/>
                <w:sz w:val="18"/>
                <w:szCs w:val="18"/>
              </w:rPr>
            </w:pPr>
            <w:r>
              <w:rPr>
                <w:rFonts w:hint="eastAsia"/>
                <w:color w:val="000000"/>
                <w:kern w:val="0"/>
                <w:sz w:val="18"/>
                <w:szCs w:val="18"/>
              </w:rPr>
              <w:t>—</w:t>
            </w:r>
          </w:p>
        </w:tc>
        <w:tc>
          <w:tcPr>
            <w:tcW w:w="1929" w:type="pct"/>
            <w:gridSpan w:val="5"/>
            <w:vAlign w:val="center"/>
          </w:tcPr>
          <w:p>
            <w:pPr>
              <w:widowControl/>
              <w:jc w:val="center"/>
              <w:rPr>
                <w:color w:val="000000"/>
                <w:kern w:val="0"/>
                <w:sz w:val="18"/>
                <w:szCs w:val="18"/>
              </w:rPr>
            </w:pPr>
            <w:r>
              <w:rPr>
                <w:rFonts w:hint="eastAsia"/>
                <w:color w:val="000000"/>
                <w:kern w:val="0"/>
                <w:sz w:val="18"/>
                <w:szCs w:val="18"/>
              </w:rPr>
              <w:t>不得使用含有多溴联苯、三-（2,3-二溴丙基）-磷酸酯、二溴二苯醚、八溴联苯醚、六溴环十二烷的阻燃剂</w:t>
            </w:r>
          </w:p>
        </w:tc>
        <w:tc>
          <w:tcPr>
            <w:tcW w:w="716" w:type="pct"/>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85" w:type="pct"/>
            <w:vMerge w:val="continue"/>
            <w:vAlign w:val="center"/>
          </w:tcPr>
          <w:p>
            <w:pPr>
              <w:widowControl/>
              <w:jc w:val="center"/>
              <w:rPr>
                <w:rFonts w:hAnsi="宋体"/>
                <w:color w:val="000000"/>
                <w:kern w:val="0"/>
                <w:sz w:val="18"/>
                <w:szCs w:val="18"/>
              </w:rPr>
            </w:pPr>
          </w:p>
        </w:tc>
        <w:tc>
          <w:tcPr>
            <w:tcW w:w="1449" w:type="pct"/>
            <w:gridSpan w:val="3"/>
            <w:vAlign w:val="center"/>
          </w:tcPr>
          <w:p>
            <w:pPr>
              <w:widowControl/>
              <w:rPr>
                <w:sz w:val="18"/>
                <w:szCs w:val="18"/>
              </w:rPr>
            </w:pPr>
            <w:r>
              <w:rPr>
                <w:rFonts w:hint="eastAsia" w:hAnsi="宋体"/>
                <w:color w:val="000000"/>
                <w:kern w:val="0"/>
                <w:sz w:val="18"/>
                <w:szCs w:val="18"/>
              </w:rPr>
              <w:t>单位产品新鲜水消耗量</w:t>
            </w:r>
          </w:p>
        </w:tc>
        <w:tc>
          <w:tcPr>
            <w:tcW w:w="521" w:type="pct"/>
            <w:vAlign w:val="center"/>
          </w:tcPr>
          <w:p>
            <w:pPr>
              <w:widowControl/>
              <w:jc w:val="center"/>
              <w:rPr>
                <w:color w:val="000000"/>
                <w:kern w:val="0"/>
                <w:sz w:val="18"/>
                <w:szCs w:val="18"/>
              </w:rPr>
            </w:pPr>
            <w:r>
              <w:rPr>
                <w:color w:val="000000"/>
                <w:kern w:val="0"/>
                <w:sz w:val="18"/>
                <w:szCs w:val="18"/>
              </w:rPr>
              <w:t>t/m</w:t>
            </w:r>
            <w:r>
              <w:rPr>
                <w:color w:val="000000"/>
                <w:kern w:val="0"/>
                <w:sz w:val="18"/>
                <w:szCs w:val="18"/>
                <w:vertAlign w:val="superscript"/>
              </w:rPr>
              <w:t>2</w:t>
            </w:r>
          </w:p>
        </w:tc>
        <w:tc>
          <w:tcPr>
            <w:tcW w:w="651" w:type="pct"/>
            <w:gridSpan w:val="3"/>
            <w:vAlign w:val="center"/>
          </w:tcPr>
          <w:p>
            <w:pPr>
              <w:widowControl/>
              <w:jc w:val="center"/>
              <w:rPr>
                <w:color w:val="000000"/>
                <w:kern w:val="0"/>
                <w:sz w:val="18"/>
                <w:szCs w:val="18"/>
              </w:rPr>
            </w:pPr>
            <w:r>
              <w:rPr>
                <w:rFonts w:hint="eastAsia"/>
                <w:kern w:val="0"/>
                <w:sz w:val="18"/>
                <w:szCs w:val="18"/>
              </w:rPr>
              <w:t>≤</w:t>
            </w:r>
            <w:r>
              <w:rPr>
                <w:kern w:val="0"/>
                <w:sz w:val="18"/>
                <w:szCs w:val="18"/>
              </w:rPr>
              <w:t>10</w:t>
            </w:r>
          </w:p>
        </w:tc>
        <w:tc>
          <w:tcPr>
            <w:tcW w:w="634" w:type="pct"/>
            <w:vAlign w:val="center"/>
          </w:tcPr>
          <w:p>
            <w:pPr>
              <w:widowControl/>
              <w:jc w:val="center"/>
              <w:rPr>
                <w:color w:val="000000"/>
                <w:kern w:val="0"/>
                <w:sz w:val="18"/>
                <w:szCs w:val="18"/>
              </w:rPr>
            </w:pPr>
            <w:r>
              <w:rPr>
                <w:rFonts w:hint="eastAsia"/>
                <w:kern w:val="0"/>
                <w:sz w:val="18"/>
                <w:szCs w:val="18"/>
              </w:rPr>
              <w:t>≤</w:t>
            </w:r>
            <w:r>
              <w:rPr>
                <w:kern w:val="0"/>
                <w:sz w:val="18"/>
                <w:szCs w:val="18"/>
              </w:rPr>
              <w:t>8</w:t>
            </w:r>
          </w:p>
        </w:tc>
        <w:tc>
          <w:tcPr>
            <w:tcW w:w="644" w:type="pct"/>
            <w:vAlign w:val="center"/>
          </w:tcPr>
          <w:p>
            <w:pPr>
              <w:widowControl/>
              <w:jc w:val="center"/>
              <w:rPr>
                <w:color w:val="000000"/>
                <w:kern w:val="0"/>
                <w:sz w:val="18"/>
                <w:szCs w:val="18"/>
              </w:rPr>
            </w:pPr>
            <w:r>
              <w:rPr>
                <w:rFonts w:hint="eastAsia"/>
                <w:kern w:val="0"/>
                <w:sz w:val="18"/>
                <w:szCs w:val="18"/>
              </w:rPr>
              <w:t>≤</w:t>
            </w:r>
            <w:r>
              <w:rPr>
                <w:kern w:val="0"/>
                <w:sz w:val="18"/>
                <w:szCs w:val="18"/>
              </w:rPr>
              <w:t>6</w:t>
            </w:r>
          </w:p>
        </w:tc>
        <w:tc>
          <w:tcPr>
            <w:tcW w:w="716" w:type="pct"/>
            <w:vAlign w:val="center"/>
          </w:tcPr>
          <w:p>
            <w:pPr>
              <w:widowControl/>
              <w:jc w:val="center"/>
              <w:rPr>
                <w:sz w:val="18"/>
                <w:szCs w:val="18"/>
              </w:rPr>
            </w:pPr>
            <w:r>
              <w:rPr>
                <w:sz w:val="18"/>
                <w:szCs w:val="18"/>
              </w:rPr>
              <w:t>附录A.1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85" w:type="pct"/>
            <w:vAlign w:val="center"/>
          </w:tcPr>
          <w:p>
            <w:pPr>
              <w:widowControl/>
              <w:jc w:val="center"/>
              <w:rPr>
                <w:rFonts w:hAnsi="宋体"/>
                <w:color w:val="000000"/>
                <w:kern w:val="0"/>
                <w:sz w:val="18"/>
                <w:szCs w:val="18"/>
              </w:rPr>
            </w:pPr>
            <w:r>
              <w:rPr>
                <w:rFonts w:hint="eastAsia" w:hAnsi="宋体"/>
                <w:color w:val="000000"/>
                <w:kern w:val="0"/>
                <w:sz w:val="18"/>
                <w:szCs w:val="18"/>
              </w:rPr>
              <w:t>能源属性</w:t>
            </w:r>
          </w:p>
        </w:tc>
        <w:tc>
          <w:tcPr>
            <w:tcW w:w="1449" w:type="pct"/>
            <w:gridSpan w:val="3"/>
            <w:vAlign w:val="center"/>
          </w:tcPr>
          <w:p>
            <w:pPr>
              <w:widowControl/>
              <w:rPr>
                <w:rFonts w:hAnsi="宋体"/>
                <w:color w:val="000000"/>
                <w:kern w:val="0"/>
                <w:sz w:val="18"/>
                <w:szCs w:val="18"/>
              </w:rPr>
            </w:pPr>
            <w:r>
              <w:rPr>
                <w:rFonts w:hint="eastAsia" w:hAnsi="宋体"/>
                <w:color w:val="000000"/>
                <w:kern w:val="0"/>
                <w:sz w:val="18"/>
                <w:szCs w:val="18"/>
              </w:rPr>
              <w:t>单位产品综合能耗</w:t>
            </w:r>
          </w:p>
        </w:tc>
        <w:tc>
          <w:tcPr>
            <w:tcW w:w="521" w:type="pct"/>
            <w:vAlign w:val="center"/>
          </w:tcPr>
          <w:p>
            <w:pPr>
              <w:widowControl/>
              <w:jc w:val="center"/>
              <w:rPr>
                <w:color w:val="000000"/>
                <w:kern w:val="0"/>
                <w:sz w:val="18"/>
                <w:szCs w:val="18"/>
              </w:rPr>
            </w:pPr>
            <w:r>
              <w:rPr>
                <w:rFonts w:hint="eastAsia"/>
                <w:color w:val="000000"/>
                <w:kern w:val="0"/>
                <w:sz w:val="18"/>
                <w:szCs w:val="18"/>
              </w:rPr>
              <w:t>tce/t</w:t>
            </w:r>
          </w:p>
        </w:tc>
        <w:tc>
          <w:tcPr>
            <w:tcW w:w="651" w:type="pct"/>
            <w:gridSpan w:val="3"/>
            <w:vAlign w:val="center"/>
          </w:tcPr>
          <w:p>
            <w:pPr>
              <w:widowControl/>
              <w:jc w:val="center"/>
              <w:rPr>
                <w:color w:val="000000"/>
                <w:kern w:val="0"/>
                <w:sz w:val="18"/>
                <w:szCs w:val="18"/>
              </w:rPr>
            </w:pPr>
            <w:r>
              <w:rPr>
                <w:rFonts w:hint="eastAsia"/>
                <w:kern w:val="0"/>
                <w:sz w:val="18"/>
                <w:szCs w:val="18"/>
              </w:rPr>
              <w:t>≤1.5</w:t>
            </w:r>
          </w:p>
        </w:tc>
        <w:tc>
          <w:tcPr>
            <w:tcW w:w="634" w:type="pct"/>
            <w:vAlign w:val="center"/>
          </w:tcPr>
          <w:p>
            <w:pPr>
              <w:widowControl/>
              <w:jc w:val="center"/>
              <w:rPr>
                <w:color w:val="000000"/>
                <w:kern w:val="0"/>
                <w:sz w:val="18"/>
                <w:szCs w:val="18"/>
              </w:rPr>
            </w:pPr>
            <w:r>
              <w:rPr>
                <w:rFonts w:hint="eastAsia"/>
                <w:kern w:val="0"/>
                <w:sz w:val="18"/>
                <w:szCs w:val="18"/>
              </w:rPr>
              <w:t>≤1.2</w:t>
            </w:r>
          </w:p>
        </w:tc>
        <w:tc>
          <w:tcPr>
            <w:tcW w:w="644" w:type="pct"/>
            <w:vAlign w:val="center"/>
          </w:tcPr>
          <w:p>
            <w:pPr>
              <w:widowControl/>
              <w:jc w:val="center"/>
              <w:rPr>
                <w:color w:val="000000"/>
                <w:kern w:val="0"/>
                <w:sz w:val="18"/>
                <w:szCs w:val="18"/>
              </w:rPr>
            </w:pPr>
            <w:r>
              <w:rPr>
                <w:rFonts w:hint="eastAsia"/>
                <w:kern w:val="0"/>
                <w:sz w:val="18"/>
                <w:szCs w:val="18"/>
              </w:rPr>
              <w:t>≤1.0</w:t>
            </w:r>
          </w:p>
        </w:tc>
        <w:tc>
          <w:tcPr>
            <w:tcW w:w="716" w:type="pct"/>
            <w:vAlign w:val="center"/>
          </w:tcPr>
          <w:p>
            <w:pPr>
              <w:widowControl/>
              <w:jc w:val="center"/>
              <w:rPr>
                <w:sz w:val="18"/>
                <w:szCs w:val="18"/>
              </w:rPr>
            </w:pPr>
            <w:r>
              <w:rPr>
                <w:sz w:val="18"/>
                <w:szCs w:val="18"/>
              </w:rPr>
              <w:t>附录A.2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85" w:type="pct"/>
            <w:vMerge w:val="restart"/>
            <w:vAlign w:val="center"/>
          </w:tcPr>
          <w:p>
            <w:pPr>
              <w:jc w:val="left"/>
              <w:rPr>
                <w:rFonts w:hAnsi="宋体"/>
                <w:color w:val="000000"/>
                <w:kern w:val="0"/>
                <w:sz w:val="18"/>
                <w:szCs w:val="18"/>
              </w:rPr>
            </w:pPr>
            <w:r>
              <w:rPr>
                <w:rFonts w:hint="eastAsia" w:hAnsi="宋体"/>
                <w:color w:val="000000"/>
                <w:kern w:val="0"/>
                <w:sz w:val="18"/>
                <w:szCs w:val="18"/>
              </w:rPr>
              <w:t>环境属性</w:t>
            </w:r>
          </w:p>
        </w:tc>
        <w:tc>
          <w:tcPr>
            <w:tcW w:w="1449" w:type="pct"/>
            <w:gridSpan w:val="3"/>
            <w:vAlign w:val="center"/>
          </w:tcPr>
          <w:p>
            <w:pPr>
              <w:widowControl/>
              <w:rPr>
                <w:rFonts w:hAnsi="宋体"/>
                <w:color w:val="000000"/>
                <w:kern w:val="0"/>
                <w:sz w:val="18"/>
                <w:szCs w:val="18"/>
              </w:rPr>
            </w:pPr>
            <w:r>
              <w:rPr>
                <w:rFonts w:hint="eastAsia" w:hAnsi="宋体"/>
                <w:color w:val="000000"/>
                <w:kern w:val="0"/>
                <w:sz w:val="18"/>
                <w:szCs w:val="18"/>
              </w:rPr>
              <w:t>产品生命周期环境影响</w:t>
            </w:r>
          </w:p>
        </w:tc>
        <w:tc>
          <w:tcPr>
            <w:tcW w:w="521" w:type="pct"/>
            <w:vAlign w:val="center"/>
          </w:tcPr>
          <w:p>
            <w:pPr>
              <w:widowControl/>
              <w:jc w:val="center"/>
              <w:rPr>
                <w:color w:val="000000"/>
                <w:kern w:val="0"/>
                <w:sz w:val="18"/>
                <w:szCs w:val="18"/>
              </w:rPr>
            </w:pPr>
            <w:r>
              <w:rPr>
                <w:rFonts w:hint="eastAsia"/>
                <w:color w:val="000000"/>
                <w:kern w:val="0"/>
                <w:sz w:val="18"/>
                <w:szCs w:val="18"/>
              </w:rPr>
              <w:t>—</w:t>
            </w:r>
          </w:p>
        </w:tc>
        <w:tc>
          <w:tcPr>
            <w:tcW w:w="1929" w:type="pct"/>
            <w:gridSpan w:val="5"/>
            <w:vAlign w:val="center"/>
          </w:tcPr>
          <w:p>
            <w:pPr>
              <w:widowControl/>
              <w:jc w:val="center"/>
              <w:rPr>
                <w:kern w:val="0"/>
                <w:sz w:val="18"/>
                <w:szCs w:val="18"/>
              </w:rPr>
            </w:pPr>
            <w:r>
              <w:rPr>
                <w:rFonts w:hint="eastAsia"/>
                <w:kern w:val="0"/>
                <w:sz w:val="18"/>
                <w:szCs w:val="18"/>
              </w:rPr>
              <w:t>进行环境产品声明（EPD）和碳足迹分析</w:t>
            </w:r>
          </w:p>
        </w:tc>
        <w:tc>
          <w:tcPr>
            <w:tcW w:w="716" w:type="pct"/>
            <w:vAlign w:val="center"/>
          </w:tcPr>
          <w:p>
            <w:pPr>
              <w:widowControl/>
              <w:jc w:val="center"/>
              <w:rPr>
                <w:sz w:val="18"/>
                <w:szCs w:val="18"/>
              </w:rPr>
            </w:pPr>
            <w:r>
              <w:rPr>
                <w:rFonts w:hint="eastAsia"/>
                <w:sz w:val="18"/>
                <w:szCs w:val="18"/>
              </w:rPr>
              <w:t>GB/T 24025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3"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restart"/>
            <w:vAlign w:val="center"/>
          </w:tcPr>
          <w:p>
            <w:pPr>
              <w:widowControl/>
              <w:rPr>
                <w:sz w:val="18"/>
                <w:szCs w:val="18"/>
              </w:rPr>
            </w:pPr>
            <w:r>
              <w:rPr>
                <w:rFonts w:hint="eastAsia"/>
                <w:sz w:val="18"/>
                <w:szCs w:val="18"/>
              </w:rPr>
              <w:t>有害物质限量</w:t>
            </w:r>
          </w:p>
        </w:tc>
        <w:tc>
          <w:tcPr>
            <w:tcW w:w="1202" w:type="pct"/>
            <w:gridSpan w:val="2"/>
            <w:vAlign w:val="center"/>
          </w:tcPr>
          <w:p>
            <w:pPr>
              <w:widowControl/>
              <w:rPr>
                <w:sz w:val="18"/>
                <w:szCs w:val="18"/>
              </w:rPr>
            </w:pPr>
            <w:r>
              <w:rPr>
                <w:rFonts w:hint="eastAsia"/>
                <w:sz w:val="18"/>
                <w:szCs w:val="18"/>
              </w:rPr>
              <w:t>甲醛释放量（3</w:t>
            </w:r>
            <w:r>
              <w:rPr>
                <w:sz w:val="18"/>
                <w:szCs w:val="18"/>
              </w:rPr>
              <w:t>d</w:t>
            </w:r>
            <w:r>
              <w:rPr>
                <w:rFonts w:hint="eastAsia"/>
                <w:sz w:val="18"/>
                <w:szCs w:val="18"/>
              </w:rPr>
              <w:t>）</w:t>
            </w:r>
          </w:p>
        </w:tc>
        <w:tc>
          <w:tcPr>
            <w:tcW w:w="521" w:type="pct"/>
            <w:vAlign w:val="center"/>
          </w:tcPr>
          <w:p>
            <w:pPr>
              <w:widowControl/>
              <w:jc w:val="center"/>
              <w:rPr>
                <w:kern w:val="0"/>
                <w:sz w:val="18"/>
                <w:szCs w:val="18"/>
              </w:rPr>
            </w:pPr>
            <w:r>
              <w:rPr>
                <w:rFonts w:hint="eastAsia"/>
                <w:sz w:val="18"/>
                <w:szCs w:val="18"/>
              </w:rPr>
              <w:t>m</w:t>
            </w:r>
            <w:r>
              <w:rPr>
                <w:sz w:val="18"/>
                <w:szCs w:val="18"/>
              </w:rPr>
              <w:t>g</w:t>
            </w:r>
            <w:r>
              <w:rPr>
                <w:rFonts w:hint="eastAsia"/>
                <w:sz w:val="18"/>
                <w:szCs w:val="18"/>
              </w:rPr>
              <w:t>/</w:t>
            </w:r>
            <w:r>
              <w:rPr>
                <w:sz w:val="18"/>
                <w:szCs w:val="18"/>
              </w:rPr>
              <w:t>(m</w:t>
            </w:r>
            <w:r>
              <w:rPr>
                <w:sz w:val="18"/>
                <w:szCs w:val="18"/>
                <w:vertAlign w:val="superscript"/>
              </w:rPr>
              <w:t>2</w:t>
            </w:r>
            <w:r>
              <w:rPr>
                <w:sz w:val="18"/>
                <w:szCs w:val="18"/>
              </w:rPr>
              <w:sym w:font="Wingdings" w:char="F09E"/>
            </w:r>
            <w:r>
              <w:rPr>
                <w:sz w:val="18"/>
                <w:szCs w:val="18"/>
              </w:rPr>
              <w:t>h)</w:t>
            </w:r>
          </w:p>
        </w:tc>
        <w:tc>
          <w:tcPr>
            <w:tcW w:w="647" w:type="pct"/>
            <w:gridSpan w:val="2"/>
            <w:vAlign w:val="center"/>
          </w:tcPr>
          <w:p>
            <w:pPr>
              <w:jc w:val="center"/>
              <w:rPr>
                <w:color w:val="000000"/>
                <w:kern w:val="0"/>
                <w:sz w:val="18"/>
                <w:szCs w:val="18"/>
              </w:rPr>
            </w:pPr>
            <w:r>
              <w:rPr>
                <w:rFonts w:hint="eastAsia"/>
                <w:kern w:val="0"/>
                <w:sz w:val="18"/>
                <w:szCs w:val="18"/>
              </w:rPr>
              <w:t>≤0</w:t>
            </w:r>
            <w:r>
              <w:rPr>
                <w:kern w:val="0"/>
                <w:sz w:val="18"/>
                <w:szCs w:val="18"/>
              </w:rPr>
              <w:t>.0</w:t>
            </w:r>
            <w:r>
              <w:rPr>
                <w:rFonts w:hint="eastAsia"/>
                <w:kern w:val="0"/>
                <w:sz w:val="18"/>
                <w:szCs w:val="18"/>
              </w:rPr>
              <w:t>3</w:t>
            </w:r>
          </w:p>
        </w:tc>
        <w:tc>
          <w:tcPr>
            <w:tcW w:w="638" w:type="pct"/>
            <w:gridSpan w:val="2"/>
            <w:vAlign w:val="center"/>
          </w:tcPr>
          <w:p>
            <w:pPr>
              <w:jc w:val="center"/>
              <w:rPr>
                <w:color w:val="000000"/>
                <w:kern w:val="0"/>
                <w:sz w:val="18"/>
                <w:szCs w:val="18"/>
              </w:rPr>
            </w:pPr>
            <w:r>
              <w:rPr>
                <w:rFonts w:hint="eastAsia"/>
                <w:kern w:val="0"/>
                <w:sz w:val="18"/>
                <w:szCs w:val="18"/>
              </w:rPr>
              <w:t>≤0.02</w:t>
            </w:r>
          </w:p>
        </w:tc>
        <w:tc>
          <w:tcPr>
            <w:tcW w:w="644" w:type="pct"/>
            <w:vAlign w:val="center"/>
          </w:tcPr>
          <w:p>
            <w:pPr>
              <w:jc w:val="center"/>
              <w:rPr>
                <w:color w:val="000000"/>
                <w:kern w:val="0"/>
                <w:sz w:val="18"/>
                <w:szCs w:val="18"/>
              </w:rPr>
            </w:pPr>
            <w:r>
              <w:rPr>
                <w:rFonts w:hint="eastAsia"/>
                <w:kern w:val="0"/>
                <w:sz w:val="18"/>
                <w:szCs w:val="18"/>
              </w:rPr>
              <w:t>≤0.0</w:t>
            </w:r>
            <w:r>
              <w:rPr>
                <w:kern w:val="0"/>
                <w:sz w:val="18"/>
                <w:szCs w:val="18"/>
              </w:rPr>
              <w:t>1</w:t>
            </w:r>
          </w:p>
        </w:tc>
        <w:tc>
          <w:tcPr>
            <w:tcW w:w="716" w:type="pct"/>
            <w:vAlign w:val="center"/>
          </w:tcPr>
          <w:p>
            <w:pPr>
              <w:jc w:val="center"/>
              <w:rPr>
                <w:sz w:val="18"/>
                <w:szCs w:val="18"/>
              </w:rPr>
            </w:pPr>
            <w:r>
              <w:rPr>
                <w:rFonts w:hint="eastAsia"/>
                <w:color w:val="000000"/>
                <w:kern w:val="0"/>
                <w:sz w:val="18"/>
                <w:szCs w:val="18"/>
              </w:rPr>
              <w:t>GB 18580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3"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widowControl/>
              <w:rPr>
                <w:sz w:val="18"/>
                <w:szCs w:val="18"/>
              </w:rPr>
            </w:pPr>
          </w:p>
        </w:tc>
        <w:tc>
          <w:tcPr>
            <w:tcW w:w="1202" w:type="pct"/>
            <w:gridSpan w:val="2"/>
            <w:vAlign w:val="center"/>
          </w:tcPr>
          <w:p>
            <w:pPr>
              <w:widowControl/>
              <w:rPr>
                <w:sz w:val="18"/>
                <w:szCs w:val="18"/>
              </w:rPr>
            </w:pPr>
            <w:r>
              <w:rPr>
                <w:rFonts w:hint="eastAsia"/>
                <w:sz w:val="18"/>
                <w:szCs w:val="18"/>
              </w:rPr>
              <w:t>TVOC释放量（3</w:t>
            </w:r>
            <w:r>
              <w:rPr>
                <w:sz w:val="18"/>
                <w:szCs w:val="18"/>
              </w:rPr>
              <w:t>d</w:t>
            </w:r>
            <w:r>
              <w:rPr>
                <w:rFonts w:hint="eastAsia"/>
                <w:sz w:val="18"/>
                <w:szCs w:val="18"/>
              </w:rPr>
              <w:t>）</w:t>
            </w:r>
          </w:p>
        </w:tc>
        <w:tc>
          <w:tcPr>
            <w:tcW w:w="521" w:type="pct"/>
            <w:vAlign w:val="center"/>
          </w:tcPr>
          <w:p>
            <w:pPr>
              <w:widowControl/>
              <w:jc w:val="center"/>
              <w:rPr>
                <w:sz w:val="18"/>
                <w:szCs w:val="18"/>
              </w:rPr>
            </w:pPr>
            <w:r>
              <w:rPr>
                <w:rFonts w:hint="eastAsia"/>
                <w:sz w:val="18"/>
                <w:szCs w:val="18"/>
              </w:rPr>
              <w:t>m</w:t>
            </w:r>
            <w:r>
              <w:rPr>
                <w:sz w:val="18"/>
                <w:szCs w:val="18"/>
              </w:rPr>
              <w:t>g</w:t>
            </w:r>
            <w:r>
              <w:rPr>
                <w:rFonts w:hint="eastAsia"/>
                <w:sz w:val="18"/>
                <w:szCs w:val="18"/>
              </w:rPr>
              <w:t>/</w:t>
            </w:r>
            <w:r>
              <w:rPr>
                <w:sz w:val="18"/>
                <w:szCs w:val="18"/>
              </w:rPr>
              <w:t>(m</w:t>
            </w:r>
            <w:r>
              <w:rPr>
                <w:sz w:val="18"/>
                <w:szCs w:val="18"/>
                <w:vertAlign w:val="superscript"/>
              </w:rPr>
              <w:t>2</w:t>
            </w:r>
            <w:r>
              <w:rPr>
                <w:sz w:val="18"/>
                <w:szCs w:val="18"/>
              </w:rPr>
              <w:sym w:font="Wingdings" w:char="F09E"/>
            </w:r>
            <w:r>
              <w:rPr>
                <w:sz w:val="18"/>
                <w:szCs w:val="18"/>
              </w:rPr>
              <w:t>h)</w:t>
            </w:r>
          </w:p>
        </w:tc>
        <w:tc>
          <w:tcPr>
            <w:tcW w:w="647" w:type="pct"/>
            <w:gridSpan w:val="2"/>
            <w:vAlign w:val="center"/>
          </w:tcPr>
          <w:p>
            <w:pPr>
              <w:jc w:val="center"/>
              <w:rPr>
                <w:kern w:val="0"/>
                <w:sz w:val="18"/>
                <w:szCs w:val="18"/>
              </w:rPr>
            </w:pPr>
            <w:r>
              <w:rPr>
                <w:rFonts w:hint="eastAsia"/>
                <w:kern w:val="0"/>
                <w:sz w:val="18"/>
                <w:szCs w:val="18"/>
              </w:rPr>
              <w:t>≤0.80</w:t>
            </w:r>
          </w:p>
        </w:tc>
        <w:tc>
          <w:tcPr>
            <w:tcW w:w="638" w:type="pct"/>
            <w:gridSpan w:val="2"/>
            <w:vAlign w:val="center"/>
          </w:tcPr>
          <w:p>
            <w:pPr>
              <w:jc w:val="center"/>
              <w:rPr>
                <w:kern w:val="0"/>
                <w:sz w:val="18"/>
                <w:szCs w:val="18"/>
              </w:rPr>
            </w:pPr>
            <w:r>
              <w:rPr>
                <w:rFonts w:hint="eastAsia"/>
                <w:kern w:val="0"/>
                <w:sz w:val="18"/>
                <w:szCs w:val="18"/>
              </w:rPr>
              <w:t>≤0.50</w:t>
            </w:r>
          </w:p>
        </w:tc>
        <w:tc>
          <w:tcPr>
            <w:tcW w:w="644" w:type="pct"/>
            <w:vAlign w:val="center"/>
          </w:tcPr>
          <w:p>
            <w:pPr>
              <w:jc w:val="center"/>
              <w:rPr>
                <w:kern w:val="0"/>
                <w:sz w:val="18"/>
                <w:szCs w:val="18"/>
              </w:rPr>
            </w:pPr>
            <w:r>
              <w:rPr>
                <w:rFonts w:hint="eastAsia"/>
                <w:kern w:val="0"/>
                <w:sz w:val="18"/>
                <w:szCs w:val="18"/>
              </w:rPr>
              <w:t>≤0.30</w:t>
            </w:r>
          </w:p>
        </w:tc>
        <w:tc>
          <w:tcPr>
            <w:tcW w:w="716" w:type="pct"/>
            <w:vAlign w:val="center"/>
          </w:tcPr>
          <w:p>
            <w:pPr>
              <w:jc w:val="center"/>
              <w:rPr>
                <w:color w:val="000000"/>
                <w:kern w:val="0"/>
                <w:sz w:val="18"/>
                <w:szCs w:val="18"/>
              </w:rPr>
            </w:pPr>
            <w:r>
              <w:rPr>
                <w:color w:val="000000"/>
                <w:kern w:val="0"/>
                <w:sz w:val="18"/>
                <w:szCs w:val="18"/>
              </w:rPr>
              <w:t>ISO</w:t>
            </w:r>
            <w:r>
              <w:rPr>
                <w:rFonts w:hint="eastAsia"/>
                <w:color w:val="000000"/>
                <w:kern w:val="0"/>
                <w:sz w:val="18"/>
                <w:szCs w:val="18"/>
              </w:rPr>
              <w:t xml:space="preserve"> 10580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8"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widowControl/>
              <w:rPr>
                <w:sz w:val="18"/>
                <w:szCs w:val="18"/>
              </w:rPr>
            </w:pPr>
          </w:p>
        </w:tc>
        <w:tc>
          <w:tcPr>
            <w:tcW w:w="1202" w:type="pct"/>
            <w:gridSpan w:val="2"/>
            <w:vAlign w:val="center"/>
          </w:tcPr>
          <w:p>
            <w:pPr>
              <w:widowControl/>
              <w:rPr>
                <w:sz w:val="18"/>
                <w:szCs w:val="18"/>
              </w:rPr>
            </w:pPr>
            <w:r>
              <w:rPr>
                <w:rFonts w:hint="eastAsia"/>
                <w:sz w:val="18"/>
                <w:szCs w:val="18"/>
              </w:rPr>
              <w:t>氯乙烯单体</w:t>
            </w:r>
          </w:p>
        </w:tc>
        <w:tc>
          <w:tcPr>
            <w:tcW w:w="521" w:type="pct"/>
            <w:vAlign w:val="center"/>
          </w:tcPr>
          <w:p>
            <w:pPr>
              <w:jc w:val="center"/>
              <w:rPr>
                <w:color w:val="000000"/>
                <w:kern w:val="0"/>
                <w:sz w:val="18"/>
                <w:szCs w:val="18"/>
              </w:rPr>
            </w:pPr>
            <w:r>
              <w:rPr>
                <w:rFonts w:hint="eastAsia"/>
                <w:sz w:val="18"/>
                <w:szCs w:val="18"/>
              </w:rPr>
              <w:t>m</w:t>
            </w:r>
            <w:r>
              <w:rPr>
                <w:sz w:val="18"/>
                <w:szCs w:val="18"/>
              </w:rPr>
              <w:t>g</w:t>
            </w:r>
            <w:r>
              <w:rPr>
                <w:rFonts w:hint="eastAsia"/>
                <w:sz w:val="18"/>
                <w:szCs w:val="18"/>
              </w:rPr>
              <w:t>/</w:t>
            </w:r>
            <w:r>
              <w:rPr>
                <w:sz w:val="18"/>
                <w:szCs w:val="18"/>
              </w:rPr>
              <w:t>kg</w:t>
            </w:r>
          </w:p>
        </w:tc>
        <w:tc>
          <w:tcPr>
            <w:tcW w:w="1929" w:type="pct"/>
            <w:gridSpan w:val="5"/>
          </w:tcPr>
          <w:p>
            <w:pPr>
              <w:widowControl/>
              <w:jc w:val="center"/>
              <w:rPr>
                <w:rFonts w:ascii="宋体" w:cs="宋体"/>
                <w:color w:val="000000"/>
                <w:kern w:val="0"/>
                <w:sz w:val="18"/>
                <w:szCs w:val="18"/>
              </w:rPr>
            </w:pPr>
            <w:r>
              <w:rPr>
                <w:rFonts w:hint="eastAsia"/>
                <w:color w:val="000000"/>
                <w:kern w:val="0"/>
                <w:sz w:val="18"/>
                <w:szCs w:val="18"/>
              </w:rPr>
              <w:t>≤5</w:t>
            </w:r>
          </w:p>
        </w:tc>
        <w:tc>
          <w:tcPr>
            <w:tcW w:w="716" w:type="pct"/>
            <w:vAlign w:val="center"/>
          </w:tcPr>
          <w:p>
            <w:pPr>
              <w:jc w:val="center"/>
              <w:rPr>
                <w:color w:val="000000"/>
                <w:kern w:val="0"/>
                <w:sz w:val="18"/>
                <w:szCs w:val="18"/>
              </w:rPr>
            </w:pPr>
            <w:r>
              <w:rPr>
                <w:color w:val="000000"/>
                <w:kern w:val="0"/>
                <w:sz w:val="18"/>
                <w:szCs w:val="18"/>
              </w:rPr>
              <w:t>GB 18586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widowControl/>
              <w:rPr>
                <w:sz w:val="18"/>
                <w:szCs w:val="18"/>
              </w:rPr>
            </w:pPr>
          </w:p>
        </w:tc>
        <w:tc>
          <w:tcPr>
            <w:tcW w:w="360" w:type="pct"/>
            <w:vMerge w:val="restart"/>
            <w:vAlign w:val="center"/>
          </w:tcPr>
          <w:p>
            <w:pPr>
              <w:rPr>
                <w:sz w:val="18"/>
                <w:szCs w:val="18"/>
              </w:rPr>
            </w:pPr>
            <w:r>
              <w:rPr>
                <w:rFonts w:hint="eastAsia"/>
                <w:sz w:val="18"/>
                <w:szCs w:val="18"/>
              </w:rPr>
              <w:t>可溶性重金属含量</w:t>
            </w:r>
          </w:p>
        </w:tc>
        <w:tc>
          <w:tcPr>
            <w:tcW w:w="842" w:type="pct"/>
            <w:vAlign w:val="center"/>
          </w:tcPr>
          <w:p>
            <w:pPr>
              <w:widowControl/>
              <w:jc w:val="center"/>
              <w:rPr>
                <w:sz w:val="18"/>
                <w:szCs w:val="18"/>
              </w:rPr>
            </w:pPr>
            <w:r>
              <w:rPr>
                <w:rFonts w:hint="eastAsia"/>
                <w:sz w:val="18"/>
                <w:szCs w:val="18"/>
              </w:rPr>
              <w:t>铅</w:t>
            </w:r>
          </w:p>
        </w:tc>
        <w:tc>
          <w:tcPr>
            <w:tcW w:w="521" w:type="pct"/>
            <w:vMerge w:val="restart"/>
            <w:vAlign w:val="center"/>
          </w:tcPr>
          <w:p>
            <w:pPr>
              <w:widowControl/>
              <w:jc w:val="center"/>
              <w:rPr>
                <w:color w:val="000000"/>
                <w:kern w:val="0"/>
                <w:sz w:val="18"/>
                <w:szCs w:val="18"/>
              </w:rPr>
            </w:pPr>
            <w:r>
              <w:rPr>
                <w:rFonts w:hint="eastAsia"/>
                <w:sz w:val="18"/>
                <w:szCs w:val="18"/>
              </w:rPr>
              <w:t>m</w:t>
            </w:r>
            <w:r>
              <w:rPr>
                <w:sz w:val="18"/>
                <w:szCs w:val="18"/>
              </w:rPr>
              <w:t>g</w:t>
            </w:r>
            <w:r>
              <w:rPr>
                <w:rFonts w:hint="eastAsia"/>
                <w:sz w:val="18"/>
                <w:szCs w:val="18"/>
              </w:rPr>
              <w:t>/</w:t>
            </w:r>
            <w:r>
              <w:rPr>
                <w:sz w:val="18"/>
                <w:szCs w:val="18"/>
              </w:rPr>
              <w:t>kg</w:t>
            </w:r>
          </w:p>
        </w:tc>
        <w:tc>
          <w:tcPr>
            <w:tcW w:w="647" w:type="pct"/>
            <w:gridSpan w:val="2"/>
          </w:tcPr>
          <w:p>
            <w:pPr>
              <w:jc w:val="center"/>
              <w:rPr>
                <w:sz w:val="18"/>
                <w:szCs w:val="18"/>
              </w:rPr>
            </w:pPr>
            <w:r>
              <w:rPr>
                <w:rFonts w:hint="eastAsia"/>
                <w:color w:val="000000"/>
                <w:kern w:val="0"/>
                <w:sz w:val="18"/>
                <w:szCs w:val="18"/>
              </w:rPr>
              <w:t>≤</w:t>
            </w:r>
            <w:r>
              <w:rPr>
                <w:color w:val="000000"/>
                <w:kern w:val="0"/>
                <w:sz w:val="18"/>
                <w:szCs w:val="18"/>
              </w:rPr>
              <w:t>1</w:t>
            </w:r>
            <w:r>
              <w:rPr>
                <w:rFonts w:hint="eastAsia"/>
                <w:color w:val="000000"/>
                <w:kern w:val="0"/>
                <w:sz w:val="18"/>
                <w:szCs w:val="18"/>
              </w:rPr>
              <w:t>0</w:t>
            </w:r>
          </w:p>
        </w:tc>
        <w:tc>
          <w:tcPr>
            <w:tcW w:w="638" w:type="pct"/>
            <w:gridSpan w:val="2"/>
          </w:tcPr>
          <w:p>
            <w:pPr>
              <w:jc w:val="center"/>
              <w:rPr>
                <w:sz w:val="18"/>
                <w:szCs w:val="18"/>
              </w:rPr>
            </w:pPr>
            <w:r>
              <w:rPr>
                <w:rFonts w:hint="eastAsia"/>
                <w:color w:val="000000"/>
                <w:kern w:val="0"/>
                <w:sz w:val="18"/>
                <w:szCs w:val="18"/>
              </w:rPr>
              <w:t>≤</w:t>
            </w:r>
            <w:r>
              <w:rPr>
                <w:color w:val="000000"/>
                <w:kern w:val="0"/>
                <w:sz w:val="18"/>
                <w:szCs w:val="18"/>
              </w:rPr>
              <w:t>6</w:t>
            </w:r>
          </w:p>
        </w:tc>
        <w:tc>
          <w:tcPr>
            <w:tcW w:w="644" w:type="pct"/>
          </w:tcPr>
          <w:p>
            <w:pPr>
              <w:widowControl/>
              <w:jc w:val="center"/>
              <w:rPr>
                <w:rFonts w:ascii="宋体" w:cs="宋体"/>
                <w:color w:val="000000"/>
                <w:kern w:val="0"/>
                <w:sz w:val="18"/>
                <w:szCs w:val="18"/>
              </w:rPr>
            </w:pPr>
            <w:r>
              <w:rPr>
                <w:rFonts w:hint="eastAsia"/>
                <w:color w:val="000000"/>
                <w:kern w:val="0"/>
                <w:sz w:val="18"/>
                <w:szCs w:val="18"/>
              </w:rPr>
              <w:t>未检出</w:t>
            </w:r>
          </w:p>
        </w:tc>
        <w:tc>
          <w:tcPr>
            <w:tcW w:w="716" w:type="pct"/>
            <w:vMerge w:val="restart"/>
            <w:vAlign w:val="center"/>
          </w:tcPr>
          <w:p>
            <w:pPr>
              <w:widowControl/>
              <w:jc w:val="center"/>
              <w:rPr>
                <w:color w:val="000000"/>
                <w:kern w:val="0"/>
                <w:sz w:val="18"/>
                <w:szCs w:val="18"/>
              </w:rPr>
            </w:pPr>
            <w:r>
              <w:rPr>
                <w:color w:val="000000"/>
                <w:kern w:val="0"/>
                <w:sz w:val="18"/>
                <w:szCs w:val="18"/>
              </w:rPr>
              <w:t>GB 18585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widowControl/>
              <w:rPr>
                <w:sz w:val="18"/>
                <w:szCs w:val="18"/>
              </w:rPr>
            </w:pPr>
          </w:p>
        </w:tc>
        <w:tc>
          <w:tcPr>
            <w:tcW w:w="360" w:type="pct"/>
            <w:vMerge w:val="continue"/>
            <w:vAlign w:val="center"/>
          </w:tcPr>
          <w:p>
            <w:pPr>
              <w:rPr>
                <w:sz w:val="18"/>
                <w:szCs w:val="18"/>
              </w:rPr>
            </w:pPr>
          </w:p>
        </w:tc>
        <w:tc>
          <w:tcPr>
            <w:tcW w:w="842" w:type="pct"/>
            <w:vAlign w:val="center"/>
          </w:tcPr>
          <w:p>
            <w:pPr>
              <w:widowControl/>
              <w:jc w:val="center"/>
              <w:rPr>
                <w:sz w:val="18"/>
                <w:szCs w:val="18"/>
              </w:rPr>
            </w:pPr>
            <w:r>
              <w:rPr>
                <w:rFonts w:hint="eastAsia"/>
                <w:sz w:val="18"/>
                <w:szCs w:val="18"/>
              </w:rPr>
              <w:t>镉</w:t>
            </w:r>
          </w:p>
        </w:tc>
        <w:tc>
          <w:tcPr>
            <w:tcW w:w="521" w:type="pct"/>
            <w:vMerge w:val="continue"/>
            <w:vAlign w:val="center"/>
          </w:tcPr>
          <w:p>
            <w:pPr>
              <w:widowControl/>
              <w:jc w:val="center"/>
              <w:rPr>
                <w:color w:val="000000"/>
                <w:kern w:val="0"/>
                <w:sz w:val="18"/>
                <w:szCs w:val="18"/>
              </w:rPr>
            </w:pPr>
          </w:p>
        </w:tc>
        <w:tc>
          <w:tcPr>
            <w:tcW w:w="647" w:type="pct"/>
            <w:gridSpan w:val="2"/>
          </w:tcPr>
          <w:p>
            <w:pPr>
              <w:jc w:val="center"/>
              <w:rPr>
                <w:sz w:val="18"/>
                <w:szCs w:val="18"/>
              </w:rPr>
            </w:pPr>
            <w:r>
              <w:rPr>
                <w:rFonts w:hint="eastAsia"/>
                <w:color w:val="000000"/>
                <w:kern w:val="0"/>
                <w:sz w:val="18"/>
                <w:szCs w:val="18"/>
              </w:rPr>
              <w:t>≤</w:t>
            </w:r>
            <w:r>
              <w:rPr>
                <w:color w:val="000000"/>
                <w:kern w:val="0"/>
                <w:sz w:val="18"/>
                <w:szCs w:val="18"/>
              </w:rPr>
              <w:t>5</w:t>
            </w:r>
          </w:p>
        </w:tc>
        <w:tc>
          <w:tcPr>
            <w:tcW w:w="638" w:type="pct"/>
            <w:gridSpan w:val="2"/>
          </w:tcPr>
          <w:p>
            <w:pPr>
              <w:jc w:val="center"/>
              <w:rPr>
                <w:sz w:val="18"/>
                <w:szCs w:val="18"/>
              </w:rPr>
            </w:pPr>
            <w:r>
              <w:rPr>
                <w:rFonts w:hint="eastAsia"/>
                <w:color w:val="000000"/>
                <w:kern w:val="0"/>
                <w:sz w:val="18"/>
                <w:szCs w:val="18"/>
              </w:rPr>
              <w:t>≤</w:t>
            </w:r>
            <w:r>
              <w:rPr>
                <w:color w:val="000000"/>
                <w:kern w:val="0"/>
                <w:sz w:val="18"/>
                <w:szCs w:val="18"/>
              </w:rPr>
              <w:t>3</w:t>
            </w:r>
          </w:p>
        </w:tc>
        <w:tc>
          <w:tcPr>
            <w:tcW w:w="644" w:type="pct"/>
            <w:vAlign w:val="center"/>
          </w:tcPr>
          <w:p>
            <w:pPr>
              <w:widowControl/>
              <w:jc w:val="center"/>
              <w:rPr>
                <w:rFonts w:ascii="宋体" w:cs="宋体"/>
                <w:color w:val="000000"/>
                <w:kern w:val="0"/>
                <w:sz w:val="18"/>
                <w:szCs w:val="18"/>
              </w:rPr>
            </w:pPr>
            <w:r>
              <w:rPr>
                <w:rFonts w:hint="eastAsia"/>
                <w:color w:val="000000"/>
                <w:kern w:val="0"/>
                <w:sz w:val="18"/>
                <w:szCs w:val="18"/>
              </w:rPr>
              <w:t>未检出</w:t>
            </w:r>
          </w:p>
        </w:tc>
        <w:tc>
          <w:tcPr>
            <w:tcW w:w="716" w:type="pct"/>
            <w:vMerge w:val="continue"/>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widowControl/>
              <w:rPr>
                <w:sz w:val="18"/>
                <w:szCs w:val="18"/>
              </w:rPr>
            </w:pPr>
          </w:p>
        </w:tc>
        <w:tc>
          <w:tcPr>
            <w:tcW w:w="360" w:type="pct"/>
            <w:vMerge w:val="continue"/>
            <w:vAlign w:val="center"/>
          </w:tcPr>
          <w:p>
            <w:pPr>
              <w:rPr>
                <w:sz w:val="18"/>
                <w:szCs w:val="18"/>
              </w:rPr>
            </w:pPr>
          </w:p>
        </w:tc>
        <w:tc>
          <w:tcPr>
            <w:tcW w:w="842" w:type="pct"/>
            <w:vAlign w:val="center"/>
          </w:tcPr>
          <w:p>
            <w:pPr>
              <w:jc w:val="center"/>
              <w:rPr>
                <w:color w:val="000000"/>
                <w:kern w:val="0"/>
                <w:sz w:val="18"/>
                <w:szCs w:val="18"/>
              </w:rPr>
            </w:pPr>
            <w:r>
              <w:rPr>
                <w:rFonts w:hint="eastAsia"/>
                <w:color w:val="000000"/>
                <w:kern w:val="0"/>
                <w:sz w:val="18"/>
                <w:szCs w:val="18"/>
              </w:rPr>
              <w:t>铬</w:t>
            </w:r>
          </w:p>
        </w:tc>
        <w:tc>
          <w:tcPr>
            <w:tcW w:w="521" w:type="pct"/>
            <w:vMerge w:val="continue"/>
            <w:vAlign w:val="center"/>
          </w:tcPr>
          <w:p>
            <w:pPr>
              <w:jc w:val="center"/>
              <w:rPr>
                <w:color w:val="000000"/>
                <w:kern w:val="0"/>
                <w:sz w:val="18"/>
                <w:szCs w:val="18"/>
              </w:rPr>
            </w:pPr>
          </w:p>
        </w:tc>
        <w:tc>
          <w:tcPr>
            <w:tcW w:w="647" w:type="pct"/>
            <w:gridSpan w:val="2"/>
          </w:tcPr>
          <w:p>
            <w:pPr>
              <w:jc w:val="center"/>
              <w:rPr>
                <w:color w:val="000000"/>
                <w:kern w:val="0"/>
                <w:sz w:val="18"/>
                <w:szCs w:val="18"/>
              </w:rPr>
            </w:pPr>
            <w:r>
              <w:rPr>
                <w:rFonts w:hint="eastAsia"/>
                <w:color w:val="000000"/>
                <w:kern w:val="0"/>
                <w:sz w:val="18"/>
                <w:szCs w:val="18"/>
              </w:rPr>
              <w:t>≤</w:t>
            </w:r>
            <w:r>
              <w:rPr>
                <w:color w:val="000000"/>
                <w:kern w:val="0"/>
                <w:sz w:val="18"/>
                <w:szCs w:val="18"/>
              </w:rPr>
              <w:t>10</w:t>
            </w:r>
          </w:p>
        </w:tc>
        <w:tc>
          <w:tcPr>
            <w:tcW w:w="638" w:type="pct"/>
            <w:gridSpan w:val="2"/>
          </w:tcPr>
          <w:p>
            <w:pPr>
              <w:jc w:val="center"/>
              <w:rPr>
                <w:color w:val="000000"/>
                <w:kern w:val="0"/>
                <w:sz w:val="18"/>
                <w:szCs w:val="18"/>
              </w:rPr>
            </w:pPr>
            <w:r>
              <w:rPr>
                <w:rFonts w:hint="eastAsia"/>
                <w:color w:val="000000"/>
                <w:kern w:val="0"/>
                <w:sz w:val="18"/>
                <w:szCs w:val="18"/>
              </w:rPr>
              <w:t>≤</w:t>
            </w:r>
            <w:r>
              <w:rPr>
                <w:color w:val="000000"/>
                <w:kern w:val="0"/>
                <w:sz w:val="18"/>
                <w:szCs w:val="18"/>
              </w:rPr>
              <w:t>6</w:t>
            </w:r>
          </w:p>
        </w:tc>
        <w:tc>
          <w:tcPr>
            <w:tcW w:w="644" w:type="pct"/>
            <w:vAlign w:val="center"/>
          </w:tcPr>
          <w:p>
            <w:pPr>
              <w:jc w:val="center"/>
              <w:rPr>
                <w:color w:val="000000"/>
                <w:kern w:val="0"/>
                <w:sz w:val="18"/>
                <w:szCs w:val="18"/>
              </w:rPr>
            </w:pPr>
            <w:r>
              <w:rPr>
                <w:rFonts w:hint="eastAsia"/>
                <w:color w:val="000000"/>
                <w:kern w:val="0"/>
                <w:sz w:val="18"/>
                <w:szCs w:val="18"/>
              </w:rPr>
              <w:t>未检出</w:t>
            </w:r>
          </w:p>
        </w:tc>
        <w:tc>
          <w:tcPr>
            <w:tcW w:w="716" w:type="pct"/>
            <w:vMerge w:val="continue"/>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widowControl/>
              <w:rPr>
                <w:sz w:val="18"/>
                <w:szCs w:val="18"/>
              </w:rPr>
            </w:pPr>
          </w:p>
        </w:tc>
        <w:tc>
          <w:tcPr>
            <w:tcW w:w="360" w:type="pct"/>
            <w:vMerge w:val="continue"/>
            <w:vAlign w:val="center"/>
          </w:tcPr>
          <w:p>
            <w:pPr>
              <w:widowControl/>
              <w:rPr>
                <w:sz w:val="18"/>
                <w:szCs w:val="18"/>
              </w:rPr>
            </w:pPr>
          </w:p>
        </w:tc>
        <w:tc>
          <w:tcPr>
            <w:tcW w:w="842" w:type="pct"/>
            <w:vAlign w:val="center"/>
          </w:tcPr>
          <w:p>
            <w:pPr>
              <w:pStyle w:val="48"/>
              <w:jc w:val="center"/>
              <w:rPr>
                <w:sz w:val="18"/>
                <w:szCs w:val="18"/>
              </w:rPr>
            </w:pPr>
            <w:r>
              <w:rPr>
                <w:rFonts w:hint="eastAsia"/>
                <w:sz w:val="18"/>
                <w:szCs w:val="18"/>
              </w:rPr>
              <w:t>汞</w:t>
            </w:r>
          </w:p>
        </w:tc>
        <w:tc>
          <w:tcPr>
            <w:tcW w:w="521" w:type="pct"/>
            <w:vMerge w:val="continue"/>
            <w:vAlign w:val="center"/>
          </w:tcPr>
          <w:p>
            <w:pPr>
              <w:widowControl/>
              <w:jc w:val="center"/>
              <w:rPr>
                <w:color w:val="000000"/>
                <w:kern w:val="0"/>
                <w:sz w:val="18"/>
                <w:szCs w:val="18"/>
              </w:rPr>
            </w:pPr>
          </w:p>
        </w:tc>
        <w:tc>
          <w:tcPr>
            <w:tcW w:w="647" w:type="pct"/>
            <w:gridSpan w:val="2"/>
          </w:tcPr>
          <w:p>
            <w:pPr>
              <w:jc w:val="center"/>
              <w:rPr>
                <w:sz w:val="18"/>
                <w:szCs w:val="18"/>
              </w:rPr>
            </w:pPr>
            <w:r>
              <w:rPr>
                <w:rFonts w:hint="eastAsia"/>
                <w:color w:val="000000"/>
                <w:kern w:val="0"/>
                <w:sz w:val="18"/>
                <w:szCs w:val="18"/>
              </w:rPr>
              <w:t>≤</w:t>
            </w:r>
            <w:r>
              <w:rPr>
                <w:color w:val="000000"/>
                <w:kern w:val="0"/>
                <w:sz w:val="18"/>
                <w:szCs w:val="18"/>
              </w:rPr>
              <w:t>1</w:t>
            </w:r>
          </w:p>
        </w:tc>
        <w:tc>
          <w:tcPr>
            <w:tcW w:w="638" w:type="pct"/>
            <w:gridSpan w:val="2"/>
          </w:tcPr>
          <w:p>
            <w:pPr>
              <w:jc w:val="center"/>
              <w:rPr>
                <w:sz w:val="18"/>
                <w:szCs w:val="18"/>
              </w:rPr>
            </w:pPr>
            <w:r>
              <w:rPr>
                <w:rFonts w:hint="eastAsia"/>
                <w:color w:val="000000"/>
                <w:kern w:val="0"/>
                <w:sz w:val="18"/>
                <w:szCs w:val="18"/>
              </w:rPr>
              <w:t>≤</w:t>
            </w:r>
            <w:r>
              <w:rPr>
                <w:color w:val="000000"/>
                <w:kern w:val="0"/>
                <w:sz w:val="18"/>
                <w:szCs w:val="18"/>
              </w:rPr>
              <w:t>1</w:t>
            </w:r>
          </w:p>
        </w:tc>
        <w:tc>
          <w:tcPr>
            <w:tcW w:w="644" w:type="pct"/>
            <w:vAlign w:val="center"/>
          </w:tcPr>
          <w:p>
            <w:pPr>
              <w:widowControl/>
              <w:jc w:val="center"/>
              <w:rPr>
                <w:rFonts w:ascii="宋体" w:cs="宋体"/>
                <w:color w:val="000000"/>
                <w:kern w:val="0"/>
                <w:sz w:val="18"/>
                <w:szCs w:val="18"/>
              </w:rPr>
            </w:pPr>
            <w:r>
              <w:rPr>
                <w:rFonts w:hint="eastAsia" w:ascii="宋体" w:cs="宋体"/>
                <w:color w:val="000000"/>
                <w:kern w:val="0"/>
                <w:sz w:val="18"/>
                <w:szCs w:val="18"/>
              </w:rPr>
              <w:t>未检出</w:t>
            </w:r>
          </w:p>
        </w:tc>
        <w:tc>
          <w:tcPr>
            <w:tcW w:w="716" w:type="pct"/>
            <w:vMerge w:val="continue"/>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widowControl/>
              <w:rPr>
                <w:sz w:val="18"/>
                <w:szCs w:val="18"/>
              </w:rPr>
            </w:pPr>
          </w:p>
        </w:tc>
        <w:tc>
          <w:tcPr>
            <w:tcW w:w="360" w:type="pct"/>
            <w:vMerge w:val="continue"/>
            <w:vAlign w:val="center"/>
          </w:tcPr>
          <w:p>
            <w:pPr>
              <w:widowControl/>
              <w:rPr>
                <w:sz w:val="18"/>
                <w:szCs w:val="18"/>
              </w:rPr>
            </w:pPr>
          </w:p>
        </w:tc>
        <w:tc>
          <w:tcPr>
            <w:tcW w:w="842" w:type="pct"/>
            <w:vAlign w:val="center"/>
          </w:tcPr>
          <w:p>
            <w:pPr>
              <w:pStyle w:val="24"/>
              <w:ind w:firstLine="0" w:firstLineChars="0"/>
              <w:jc w:val="center"/>
              <w:rPr>
                <w:sz w:val="18"/>
                <w:szCs w:val="18"/>
              </w:rPr>
            </w:pPr>
            <w:r>
              <w:rPr>
                <w:rFonts w:hint="eastAsia"/>
                <w:sz w:val="18"/>
                <w:szCs w:val="18"/>
              </w:rPr>
              <w:t>砷</w:t>
            </w:r>
          </w:p>
        </w:tc>
        <w:tc>
          <w:tcPr>
            <w:tcW w:w="521" w:type="pct"/>
            <w:vMerge w:val="continue"/>
            <w:vAlign w:val="center"/>
          </w:tcPr>
          <w:p>
            <w:pPr>
              <w:widowControl/>
              <w:jc w:val="center"/>
              <w:rPr>
                <w:color w:val="000000"/>
                <w:kern w:val="0"/>
                <w:sz w:val="18"/>
                <w:szCs w:val="18"/>
              </w:rPr>
            </w:pPr>
          </w:p>
        </w:tc>
        <w:tc>
          <w:tcPr>
            <w:tcW w:w="647" w:type="pct"/>
            <w:gridSpan w:val="2"/>
          </w:tcPr>
          <w:p>
            <w:pPr>
              <w:jc w:val="center"/>
              <w:rPr>
                <w:sz w:val="18"/>
                <w:szCs w:val="18"/>
              </w:rPr>
            </w:pPr>
            <w:r>
              <w:rPr>
                <w:rFonts w:hint="eastAsia"/>
                <w:color w:val="000000"/>
                <w:kern w:val="0"/>
                <w:sz w:val="18"/>
                <w:szCs w:val="18"/>
              </w:rPr>
              <w:t>≤</w:t>
            </w:r>
            <w:r>
              <w:rPr>
                <w:color w:val="000000"/>
                <w:kern w:val="0"/>
                <w:sz w:val="18"/>
                <w:szCs w:val="18"/>
              </w:rPr>
              <w:t>1</w:t>
            </w:r>
          </w:p>
        </w:tc>
        <w:tc>
          <w:tcPr>
            <w:tcW w:w="638" w:type="pct"/>
            <w:gridSpan w:val="2"/>
          </w:tcPr>
          <w:p>
            <w:pPr>
              <w:jc w:val="center"/>
              <w:rPr>
                <w:sz w:val="18"/>
                <w:szCs w:val="18"/>
              </w:rPr>
            </w:pPr>
            <w:r>
              <w:rPr>
                <w:rFonts w:hint="eastAsia"/>
                <w:color w:val="000000"/>
                <w:kern w:val="0"/>
                <w:sz w:val="18"/>
                <w:szCs w:val="18"/>
              </w:rPr>
              <w:t>≤</w:t>
            </w:r>
            <w:r>
              <w:rPr>
                <w:color w:val="000000"/>
                <w:kern w:val="0"/>
                <w:sz w:val="18"/>
                <w:szCs w:val="18"/>
              </w:rPr>
              <w:t>1</w:t>
            </w:r>
          </w:p>
        </w:tc>
        <w:tc>
          <w:tcPr>
            <w:tcW w:w="644" w:type="pct"/>
            <w:vAlign w:val="center"/>
          </w:tcPr>
          <w:p>
            <w:pPr>
              <w:widowControl/>
              <w:jc w:val="center"/>
              <w:rPr>
                <w:rFonts w:ascii="宋体" w:cs="宋体"/>
                <w:color w:val="000000"/>
                <w:kern w:val="0"/>
                <w:sz w:val="18"/>
                <w:szCs w:val="18"/>
              </w:rPr>
            </w:pPr>
            <w:r>
              <w:rPr>
                <w:rFonts w:hint="eastAsia" w:ascii="宋体" w:cs="宋体"/>
                <w:color w:val="000000"/>
                <w:kern w:val="0"/>
                <w:sz w:val="18"/>
                <w:szCs w:val="18"/>
              </w:rPr>
              <w:t>未检出</w:t>
            </w:r>
          </w:p>
        </w:tc>
        <w:tc>
          <w:tcPr>
            <w:tcW w:w="716" w:type="pct"/>
            <w:vMerge w:val="continue"/>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widowControl/>
              <w:rPr>
                <w:sz w:val="18"/>
                <w:szCs w:val="18"/>
              </w:rPr>
            </w:pPr>
          </w:p>
        </w:tc>
        <w:tc>
          <w:tcPr>
            <w:tcW w:w="360" w:type="pct"/>
            <w:vMerge w:val="continue"/>
            <w:vAlign w:val="center"/>
          </w:tcPr>
          <w:p>
            <w:pPr>
              <w:widowControl/>
              <w:rPr>
                <w:sz w:val="18"/>
                <w:szCs w:val="18"/>
              </w:rPr>
            </w:pPr>
          </w:p>
        </w:tc>
        <w:tc>
          <w:tcPr>
            <w:tcW w:w="842" w:type="pct"/>
            <w:vAlign w:val="center"/>
          </w:tcPr>
          <w:p>
            <w:pPr>
              <w:pStyle w:val="24"/>
              <w:ind w:firstLine="0" w:firstLineChars="0"/>
              <w:jc w:val="center"/>
              <w:rPr>
                <w:sz w:val="18"/>
                <w:szCs w:val="18"/>
              </w:rPr>
            </w:pPr>
            <w:r>
              <w:rPr>
                <w:rFonts w:hint="eastAsia"/>
                <w:sz w:val="18"/>
                <w:szCs w:val="18"/>
              </w:rPr>
              <w:t>锑</w:t>
            </w:r>
          </w:p>
        </w:tc>
        <w:tc>
          <w:tcPr>
            <w:tcW w:w="521" w:type="pct"/>
            <w:vMerge w:val="continue"/>
            <w:vAlign w:val="center"/>
          </w:tcPr>
          <w:p>
            <w:pPr>
              <w:widowControl/>
              <w:jc w:val="center"/>
              <w:rPr>
                <w:color w:val="000000"/>
                <w:kern w:val="0"/>
                <w:sz w:val="18"/>
                <w:szCs w:val="18"/>
              </w:rPr>
            </w:pPr>
          </w:p>
        </w:tc>
        <w:tc>
          <w:tcPr>
            <w:tcW w:w="647" w:type="pct"/>
            <w:gridSpan w:val="2"/>
          </w:tcPr>
          <w:p>
            <w:pPr>
              <w:jc w:val="center"/>
              <w:rPr>
                <w:sz w:val="18"/>
                <w:szCs w:val="18"/>
              </w:rPr>
            </w:pPr>
            <w:r>
              <w:rPr>
                <w:rFonts w:hint="eastAsia"/>
                <w:color w:val="000000"/>
                <w:kern w:val="0"/>
                <w:sz w:val="18"/>
                <w:szCs w:val="18"/>
              </w:rPr>
              <w:t>≤</w:t>
            </w:r>
            <w:r>
              <w:rPr>
                <w:color w:val="000000"/>
                <w:kern w:val="0"/>
                <w:sz w:val="18"/>
                <w:szCs w:val="18"/>
              </w:rPr>
              <w:t>1</w:t>
            </w:r>
          </w:p>
        </w:tc>
        <w:tc>
          <w:tcPr>
            <w:tcW w:w="638" w:type="pct"/>
            <w:gridSpan w:val="2"/>
          </w:tcPr>
          <w:p>
            <w:pPr>
              <w:jc w:val="center"/>
              <w:rPr>
                <w:sz w:val="18"/>
                <w:szCs w:val="18"/>
              </w:rPr>
            </w:pPr>
            <w:r>
              <w:rPr>
                <w:rFonts w:hint="eastAsia"/>
                <w:color w:val="000000"/>
                <w:kern w:val="0"/>
                <w:sz w:val="18"/>
                <w:szCs w:val="18"/>
              </w:rPr>
              <w:t>≤</w:t>
            </w:r>
            <w:r>
              <w:rPr>
                <w:color w:val="000000"/>
                <w:kern w:val="0"/>
                <w:sz w:val="18"/>
                <w:szCs w:val="18"/>
              </w:rPr>
              <w:t>1</w:t>
            </w:r>
          </w:p>
        </w:tc>
        <w:tc>
          <w:tcPr>
            <w:tcW w:w="644" w:type="pct"/>
            <w:vAlign w:val="center"/>
          </w:tcPr>
          <w:p>
            <w:pPr>
              <w:widowControl/>
              <w:jc w:val="center"/>
              <w:rPr>
                <w:rFonts w:ascii="宋体" w:cs="宋体"/>
                <w:color w:val="000000"/>
                <w:kern w:val="0"/>
                <w:sz w:val="18"/>
                <w:szCs w:val="18"/>
              </w:rPr>
            </w:pPr>
            <w:r>
              <w:rPr>
                <w:rFonts w:hint="eastAsia" w:ascii="宋体" w:cs="宋体"/>
                <w:color w:val="000000"/>
                <w:kern w:val="0"/>
                <w:sz w:val="18"/>
                <w:szCs w:val="18"/>
              </w:rPr>
              <w:t>未检出</w:t>
            </w:r>
          </w:p>
        </w:tc>
        <w:tc>
          <w:tcPr>
            <w:tcW w:w="716" w:type="pct"/>
            <w:vMerge w:val="continue"/>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2"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pStyle w:val="24"/>
              <w:ind w:firstLine="0" w:firstLineChars="0"/>
              <w:rPr>
                <w:sz w:val="18"/>
                <w:szCs w:val="18"/>
              </w:rPr>
            </w:pPr>
          </w:p>
        </w:tc>
        <w:tc>
          <w:tcPr>
            <w:tcW w:w="360" w:type="pct"/>
            <w:vMerge w:val="restart"/>
            <w:vAlign w:val="center"/>
          </w:tcPr>
          <w:p>
            <w:pPr>
              <w:pStyle w:val="24"/>
              <w:ind w:firstLine="0" w:firstLineChars="0"/>
              <w:rPr>
                <w:sz w:val="18"/>
                <w:szCs w:val="18"/>
              </w:rPr>
            </w:pPr>
            <w:r>
              <w:rPr>
                <w:sz w:val="18"/>
                <w:szCs w:val="18"/>
              </w:rPr>
              <w:t>邻苯二甲酸酯含量</w:t>
            </w:r>
          </w:p>
        </w:tc>
        <w:tc>
          <w:tcPr>
            <w:tcW w:w="842" w:type="pct"/>
            <w:vAlign w:val="center"/>
          </w:tcPr>
          <w:p>
            <w:pPr>
              <w:pStyle w:val="24"/>
              <w:ind w:firstLine="0" w:firstLineChars="0"/>
              <w:rPr>
                <w:sz w:val="18"/>
                <w:szCs w:val="18"/>
              </w:rPr>
            </w:pPr>
            <w:r>
              <w:rPr>
                <w:sz w:val="18"/>
                <w:szCs w:val="18"/>
              </w:rPr>
              <w:t>邻苯二甲酸二</w:t>
            </w:r>
            <w:r>
              <w:rPr>
                <w:rFonts w:hint="eastAsia"/>
                <w:sz w:val="18"/>
                <w:szCs w:val="18"/>
              </w:rPr>
              <w:t>（2-乙基）己酯（DEHP）</w:t>
            </w:r>
          </w:p>
        </w:tc>
        <w:tc>
          <w:tcPr>
            <w:tcW w:w="521" w:type="pct"/>
            <w:vMerge w:val="restart"/>
            <w:vAlign w:val="center"/>
          </w:tcPr>
          <w:p>
            <w:pPr>
              <w:widowControl/>
              <w:jc w:val="center"/>
              <w:rPr>
                <w:color w:val="000000"/>
                <w:kern w:val="0"/>
                <w:sz w:val="18"/>
                <w:szCs w:val="18"/>
              </w:rPr>
            </w:pPr>
            <w:r>
              <w:rPr>
                <w:rFonts w:hint="eastAsia"/>
                <w:sz w:val="18"/>
                <w:szCs w:val="18"/>
              </w:rPr>
              <w:t>m</w:t>
            </w:r>
            <w:r>
              <w:rPr>
                <w:sz w:val="18"/>
                <w:szCs w:val="18"/>
              </w:rPr>
              <w:t>g</w:t>
            </w:r>
            <w:r>
              <w:rPr>
                <w:rFonts w:hint="eastAsia"/>
                <w:sz w:val="18"/>
                <w:szCs w:val="18"/>
              </w:rPr>
              <w:t>/</w:t>
            </w:r>
            <w:r>
              <w:rPr>
                <w:sz w:val="18"/>
                <w:szCs w:val="18"/>
              </w:rPr>
              <w:t>kg</w:t>
            </w:r>
          </w:p>
        </w:tc>
        <w:tc>
          <w:tcPr>
            <w:tcW w:w="643" w:type="pct"/>
            <w:vMerge w:val="restart"/>
            <w:vAlign w:val="center"/>
          </w:tcPr>
          <w:p>
            <w:pPr>
              <w:widowControl/>
              <w:jc w:val="center"/>
              <w:rPr>
                <w:rFonts w:ascii="宋体" w:cs="宋体"/>
                <w:color w:val="000000"/>
                <w:kern w:val="0"/>
                <w:sz w:val="18"/>
                <w:szCs w:val="18"/>
              </w:rPr>
            </w:pPr>
            <w:r>
              <w:rPr>
                <w:rFonts w:hint="eastAsia" w:ascii="宋体" w:cs="宋体"/>
                <w:color w:val="000000"/>
                <w:kern w:val="0"/>
                <w:sz w:val="18"/>
                <w:szCs w:val="18"/>
              </w:rPr>
              <w:t>≤500</w:t>
            </w:r>
          </w:p>
        </w:tc>
        <w:tc>
          <w:tcPr>
            <w:tcW w:w="642" w:type="pct"/>
            <w:gridSpan w:val="3"/>
            <w:vMerge w:val="restart"/>
            <w:vAlign w:val="center"/>
          </w:tcPr>
          <w:p>
            <w:pPr>
              <w:widowControl/>
              <w:jc w:val="center"/>
              <w:rPr>
                <w:rFonts w:ascii="宋体" w:cs="宋体"/>
                <w:color w:val="000000"/>
                <w:kern w:val="0"/>
                <w:sz w:val="18"/>
                <w:szCs w:val="18"/>
              </w:rPr>
            </w:pPr>
            <w:r>
              <w:rPr>
                <w:rFonts w:hint="eastAsia" w:ascii="宋体" w:cs="宋体"/>
                <w:color w:val="000000"/>
                <w:kern w:val="0"/>
                <w:sz w:val="18"/>
                <w:szCs w:val="18"/>
              </w:rPr>
              <w:t>≤100</w:t>
            </w:r>
          </w:p>
        </w:tc>
        <w:tc>
          <w:tcPr>
            <w:tcW w:w="644" w:type="pct"/>
            <w:vAlign w:val="center"/>
          </w:tcPr>
          <w:p>
            <w:pPr>
              <w:jc w:val="center"/>
              <w:rPr>
                <w:sz w:val="18"/>
                <w:szCs w:val="18"/>
              </w:rPr>
            </w:pPr>
            <w:r>
              <w:rPr>
                <w:rFonts w:hint="eastAsia"/>
                <w:color w:val="000000"/>
                <w:kern w:val="0"/>
                <w:sz w:val="18"/>
                <w:szCs w:val="18"/>
              </w:rPr>
              <w:t>≤10</w:t>
            </w:r>
          </w:p>
        </w:tc>
        <w:tc>
          <w:tcPr>
            <w:tcW w:w="716" w:type="pct"/>
            <w:vMerge w:val="restart"/>
            <w:vAlign w:val="center"/>
          </w:tcPr>
          <w:p>
            <w:pPr>
              <w:widowControl/>
              <w:jc w:val="center"/>
              <w:rPr>
                <w:color w:val="000000"/>
                <w:kern w:val="0"/>
                <w:sz w:val="18"/>
                <w:szCs w:val="18"/>
              </w:rPr>
            </w:pPr>
            <w:r>
              <w:rPr>
                <w:rFonts w:hint="eastAsia"/>
                <w:color w:val="000000"/>
                <w:kern w:val="0"/>
                <w:sz w:val="18"/>
                <w:szCs w:val="18"/>
              </w:rPr>
              <w:t>GB/T</w:t>
            </w:r>
            <w:r>
              <w:rPr>
                <w:color w:val="000000"/>
                <w:kern w:val="0"/>
                <w:sz w:val="18"/>
                <w:szCs w:val="18"/>
              </w:rPr>
              <w:t xml:space="preserve"> 22048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1"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pStyle w:val="24"/>
              <w:ind w:firstLine="0" w:firstLineChars="0"/>
              <w:rPr>
                <w:sz w:val="18"/>
                <w:szCs w:val="18"/>
              </w:rPr>
            </w:pPr>
          </w:p>
        </w:tc>
        <w:tc>
          <w:tcPr>
            <w:tcW w:w="360" w:type="pct"/>
            <w:vMerge w:val="continue"/>
            <w:vAlign w:val="center"/>
          </w:tcPr>
          <w:p>
            <w:pPr>
              <w:pStyle w:val="24"/>
              <w:ind w:firstLine="0" w:firstLineChars="0"/>
              <w:rPr>
                <w:sz w:val="18"/>
                <w:szCs w:val="18"/>
              </w:rPr>
            </w:pPr>
          </w:p>
        </w:tc>
        <w:tc>
          <w:tcPr>
            <w:tcW w:w="842" w:type="pct"/>
            <w:vAlign w:val="center"/>
          </w:tcPr>
          <w:p>
            <w:pPr>
              <w:pStyle w:val="24"/>
              <w:ind w:firstLine="0" w:firstLineChars="0"/>
              <w:rPr>
                <w:sz w:val="18"/>
                <w:szCs w:val="18"/>
              </w:rPr>
            </w:pPr>
            <w:r>
              <w:rPr>
                <w:rFonts w:hint="eastAsia"/>
                <w:sz w:val="18"/>
                <w:szCs w:val="18"/>
              </w:rPr>
              <w:t>邻苯二甲酸二丁酯（DBP）</w:t>
            </w:r>
          </w:p>
        </w:tc>
        <w:tc>
          <w:tcPr>
            <w:tcW w:w="521" w:type="pct"/>
            <w:vMerge w:val="continue"/>
            <w:vAlign w:val="center"/>
          </w:tcPr>
          <w:p>
            <w:pPr>
              <w:pStyle w:val="24"/>
              <w:ind w:firstLine="360"/>
              <w:rPr>
                <w:rFonts w:hint="eastAsia"/>
                <w:color w:val="000000"/>
                <w:kern w:val="0"/>
                <w:sz w:val="18"/>
                <w:szCs w:val="18"/>
              </w:rPr>
            </w:pPr>
          </w:p>
        </w:tc>
        <w:tc>
          <w:tcPr>
            <w:tcW w:w="643" w:type="pct"/>
            <w:vMerge w:val="continue"/>
          </w:tcPr>
          <w:p>
            <w:pPr>
              <w:widowControl/>
              <w:jc w:val="center"/>
              <w:rPr>
                <w:rFonts w:hint="eastAsia" w:ascii="宋体" w:cs="宋体"/>
                <w:color w:val="000000"/>
                <w:kern w:val="0"/>
                <w:sz w:val="18"/>
                <w:szCs w:val="18"/>
              </w:rPr>
            </w:pPr>
          </w:p>
        </w:tc>
        <w:tc>
          <w:tcPr>
            <w:tcW w:w="642" w:type="pct"/>
            <w:gridSpan w:val="3"/>
            <w:vMerge w:val="continue"/>
          </w:tcPr>
          <w:p>
            <w:pPr>
              <w:widowControl/>
              <w:jc w:val="center"/>
              <w:rPr>
                <w:rFonts w:hint="eastAsia" w:ascii="宋体" w:cs="宋体"/>
                <w:color w:val="000000"/>
                <w:kern w:val="0"/>
                <w:sz w:val="18"/>
                <w:szCs w:val="18"/>
              </w:rPr>
            </w:pPr>
          </w:p>
        </w:tc>
        <w:tc>
          <w:tcPr>
            <w:tcW w:w="644" w:type="pct"/>
            <w:vAlign w:val="center"/>
          </w:tcPr>
          <w:p>
            <w:pPr>
              <w:jc w:val="center"/>
              <w:rPr>
                <w:sz w:val="18"/>
                <w:szCs w:val="18"/>
              </w:rPr>
            </w:pPr>
            <w:r>
              <w:rPr>
                <w:rFonts w:hint="eastAsia"/>
                <w:color w:val="000000"/>
                <w:kern w:val="0"/>
                <w:sz w:val="18"/>
                <w:szCs w:val="18"/>
              </w:rPr>
              <w:t>≤</w:t>
            </w:r>
            <w:r>
              <w:rPr>
                <w:color w:val="000000"/>
                <w:kern w:val="0"/>
                <w:sz w:val="18"/>
                <w:szCs w:val="18"/>
              </w:rPr>
              <w:t>1</w:t>
            </w:r>
            <w:r>
              <w:rPr>
                <w:rFonts w:hint="eastAsia"/>
                <w:color w:val="000000"/>
                <w:kern w:val="0"/>
                <w:sz w:val="18"/>
                <w:szCs w:val="18"/>
              </w:rPr>
              <w:t>0</w:t>
            </w:r>
          </w:p>
        </w:tc>
        <w:tc>
          <w:tcPr>
            <w:tcW w:w="716" w:type="pct"/>
            <w:vMerge w:val="continue"/>
            <w:vAlign w:val="center"/>
          </w:tcPr>
          <w:p>
            <w:pPr>
              <w:widowControl/>
              <w:jc w:val="center"/>
              <w:rPr>
                <w:rFonts w:hint="eastAsia"/>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1" w:hRule="atLeast"/>
          <w:jc w:val="center"/>
        </w:trPr>
        <w:tc>
          <w:tcPr>
            <w:tcW w:w="385" w:type="pct"/>
            <w:vMerge w:val="continue"/>
            <w:vAlign w:val="center"/>
          </w:tcPr>
          <w:p>
            <w:pPr>
              <w:widowControl/>
              <w:jc w:val="left"/>
              <w:rPr>
                <w:rFonts w:hAnsi="宋体"/>
                <w:color w:val="000000"/>
                <w:kern w:val="0"/>
                <w:sz w:val="18"/>
                <w:szCs w:val="18"/>
              </w:rPr>
            </w:pPr>
          </w:p>
        </w:tc>
        <w:tc>
          <w:tcPr>
            <w:tcW w:w="247" w:type="pct"/>
            <w:vMerge w:val="continue"/>
            <w:vAlign w:val="center"/>
          </w:tcPr>
          <w:p>
            <w:pPr>
              <w:pStyle w:val="24"/>
              <w:ind w:firstLine="0" w:firstLineChars="0"/>
              <w:rPr>
                <w:sz w:val="18"/>
                <w:szCs w:val="18"/>
              </w:rPr>
            </w:pPr>
          </w:p>
        </w:tc>
        <w:tc>
          <w:tcPr>
            <w:tcW w:w="360" w:type="pct"/>
            <w:vMerge w:val="continue"/>
            <w:vAlign w:val="center"/>
          </w:tcPr>
          <w:p>
            <w:pPr>
              <w:pStyle w:val="24"/>
              <w:ind w:firstLine="0" w:firstLineChars="0"/>
              <w:rPr>
                <w:sz w:val="18"/>
                <w:szCs w:val="18"/>
              </w:rPr>
            </w:pPr>
          </w:p>
        </w:tc>
        <w:tc>
          <w:tcPr>
            <w:tcW w:w="842" w:type="pct"/>
            <w:vAlign w:val="center"/>
          </w:tcPr>
          <w:p>
            <w:pPr>
              <w:pStyle w:val="24"/>
              <w:ind w:firstLine="0" w:firstLineChars="0"/>
              <w:rPr>
                <w:sz w:val="18"/>
                <w:szCs w:val="18"/>
              </w:rPr>
            </w:pPr>
            <w:r>
              <w:rPr>
                <w:sz w:val="18"/>
                <w:szCs w:val="18"/>
              </w:rPr>
              <w:t>邻苯二甲酸丁基苄基酯</w:t>
            </w:r>
            <w:r>
              <w:rPr>
                <w:rFonts w:hint="eastAsia"/>
                <w:sz w:val="18"/>
                <w:szCs w:val="18"/>
              </w:rPr>
              <w:t>（BBP）</w:t>
            </w:r>
          </w:p>
        </w:tc>
        <w:tc>
          <w:tcPr>
            <w:tcW w:w="521" w:type="pct"/>
            <w:vMerge w:val="continue"/>
            <w:vAlign w:val="center"/>
          </w:tcPr>
          <w:p>
            <w:pPr>
              <w:pStyle w:val="24"/>
              <w:ind w:firstLine="360"/>
              <w:rPr>
                <w:rFonts w:hint="eastAsia"/>
                <w:color w:val="000000"/>
                <w:kern w:val="0"/>
                <w:sz w:val="18"/>
                <w:szCs w:val="18"/>
              </w:rPr>
            </w:pPr>
          </w:p>
        </w:tc>
        <w:tc>
          <w:tcPr>
            <w:tcW w:w="643" w:type="pct"/>
            <w:vMerge w:val="continue"/>
          </w:tcPr>
          <w:p>
            <w:pPr>
              <w:widowControl/>
              <w:jc w:val="center"/>
              <w:rPr>
                <w:rFonts w:hint="eastAsia" w:ascii="宋体" w:cs="宋体"/>
                <w:color w:val="000000"/>
                <w:kern w:val="0"/>
                <w:sz w:val="18"/>
                <w:szCs w:val="18"/>
              </w:rPr>
            </w:pPr>
          </w:p>
        </w:tc>
        <w:tc>
          <w:tcPr>
            <w:tcW w:w="642" w:type="pct"/>
            <w:gridSpan w:val="3"/>
            <w:vMerge w:val="continue"/>
          </w:tcPr>
          <w:p>
            <w:pPr>
              <w:widowControl/>
              <w:jc w:val="center"/>
              <w:rPr>
                <w:rFonts w:hint="eastAsia" w:ascii="宋体" w:cs="宋体"/>
                <w:color w:val="000000"/>
                <w:kern w:val="0"/>
                <w:sz w:val="18"/>
                <w:szCs w:val="18"/>
              </w:rPr>
            </w:pPr>
          </w:p>
        </w:tc>
        <w:tc>
          <w:tcPr>
            <w:tcW w:w="644" w:type="pct"/>
            <w:vAlign w:val="center"/>
          </w:tcPr>
          <w:p>
            <w:pPr>
              <w:jc w:val="center"/>
              <w:rPr>
                <w:sz w:val="18"/>
                <w:szCs w:val="18"/>
              </w:rPr>
            </w:pPr>
            <w:r>
              <w:rPr>
                <w:rFonts w:hint="eastAsia"/>
                <w:color w:val="000000"/>
                <w:kern w:val="0"/>
                <w:sz w:val="18"/>
                <w:szCs w:val="18"/>
              </w:rPr>
              <w:t>≤</w:t>
            </w:r>
            <w:r>
              <w:rPr>
                <w:color w:val="000000"/>
                <w:kern w:val="0"/>
                <w:sz w:val="18"/>
                <w:szCs w:val="18"/>
              </w:rPr>
              <w:t>1</w:t>
            </w:r>
            <w:r>
              <w:rPr>
                <w:rFonts w:hint="eastAsia"/>
                <w:color w:val="000000"/>
                <w:kern w:val="0"/>
                <w:sz w:val="18"/>
                <w:szCs w:val="18"/>
              </w:rPr>
              <w:t>0</w:t>
            </w:r>
          </w:p>
        </w:tc>
        <w:tc>
          <w:tcPr>
            <w:tcW w:w="716" w:type="pct"/>
            <w:vMerge w:val="continue"/>
            <w:vAlign w:val="center"/>
          </w:tcPr>
          <w:p>
            <w:pPr>
              <w:widowControl/>
              <w:jc w:val="center"/>
              <w:rPr>
                <w:rFonts w:hint="eastAsia"/>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85" w:type="pct"/>
            <w:vMerge w:val="restart"/>
            <w:vAlign w:val="center"/>
          </w:tcPr>
          <w:p>
            <w:pPr>
              <w:jc w:val="left"/>
              <w:rPr>
                <w:rFonts w:hint="eastAsia" w:hAnsi="宋体"/>
                <w:color w:val="000000"/>
                <w:kern w:val="0"/>
                <w:sz w:val="18"/>
                <w:szCs w:val="18"/>
              </w:rPr>
            </w:pPr>
            <w:r>
              <w:rPr>
                <w:rFonts w:hint="eastAsia" w:hAnsi="宋体"/>
                <w:color w:val="000000"/>
                <w:kern w:val="0"/>
                <w:sz w:val="18"/>
                <w:szCs w:val="18"/>
              </w:rPr>
              <w:t>品质属性</w:t>
            </w:r>
          </w:p>
        </w:tc>
        <w:tc>
          <w:tcPr>
            <w:tcW w:w="1449" w:type="pct"/>
            <w:gridSpan w:val="3"/>
            <w:vAlign w:val="center"/>
          </w:tcPr>
          <w:p>
            <w:pPr>
              <w:widowControl/>
              <w:rPr>
                <w:rFonts w:hint="eastAsia" w:hAnsi="宋体"/>
                <w:color w:val="000000"/>
                <w:kern w:val="0"/>
                <w:sz w:val="18"/>
                <w:szCs w:val="18"/>
              </w:rPr>
            </w:pPr>
            <w:r>
              <w:rPr>
                <w:rFonts w:hint="eastAsia" w:hAnsi="宋体"/>
                <w:color w:val="000000"/>
                <w:kern w:val="0"/>
                <w:sz w:val="18"/>
                <w:szCs w:val="18"/>
              </w:rPr>
              <w:t>残余凹陷</w:t>
            </w:r>
          </w:p>
        </w:tc>
        <w:tc>
          <w:tcPr>
            <w:tcW w:w="521" w:type="pct"/>
            <w:vAlign w:val="center"/>
          </w:tcPr>
          <w:p>
            <w:pPr>
              <w:widowControl/>
              <w:jc w:val="center"/>
              <w:rPr>
                <w:rFonts w:hint="eastAsia"/>
                <w:color w:val="000000"/>
                <w:kern w:val="0"/>
                <w:sz w:val="18"/>
                <w:szCs w:val="18"/>
              </w:rPr>
            </w:pPr>
            <w:r>
              <w:rPr>
                <w:rFonts w:hint="eastAsia"/>
                <w:color w:val="000000"/>
                <w:kern w:val="0"/>
                <w:sz w:val="18"/>
                <w:szCs w:val="18"/>
              </w:rPr>
              <w:t>mm</w:t>
            </w:r>
          </w:p>
        </w:tc>
        <w:tc>
          <w:tcPr>
            <w:tcW w:w="1929" w:type="pct"/>
            <w:gridSpan w:val="5"/>
            <w:vAlign w:val="center"/>
          </w:tcPr>
          <w:p>
            <w:pPr>
              <w:widowControl/>
              <w:jc w:val="center"/>
              <w:rPr>
                <w:rFonts w:hint="eastAsia" w:ascii="宋体" w:cs="宋体"/>
                <w:color w:val="000000"/>
                <w:kern w:val="0"/>
                <w:sz w:val="18"/>
                <w:szCs w:val="18"/>
              </w:rPr>
            </w:pPr>
            <w:r>
              <w:rPr>
                <w:rFonts w:hint="eastAsia" w:ascii="宋体" w:cs="宋体"/>
                <w:color w:val="000000"/>
                <w:kern w:val="0"/>
                <w:sz w:val="18"/>
                <w:szCs w:val="18"/>
              </w:rPr>
              <w:t>≤0.20</w:t>
            </w:r>
          </w:p>
        </w:tc>
        <w:tc>
          <w:tcPr>
            <w:tcW w:w="716" w:type="pct"/>
            <w:vMerge w:val="restart"/>
            <w:vAlign w:val="center"/>
          </w:tcPr>
          <w:p>
            <w:pPr>
              <w:jc w:val="center"/>
              <w:rPr>
                <w:rFonts w:hint="eastAsia"/>
                <w:sz w:val="18"/>
                <w:szCs w:val="18"/>
              </w:rPr>
            </w:pPr>
            <w:r>
              <w:rPr>
                <w:rFonts w:hint="eastAsia"/>
                <w:sz w:val="18"/>
                <w:szCs w:val="18"/>
              </w:rPr>
              <w:t>GB/T  11982.1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85" w:type="pct"/>
            <w:vMerge w:val="continue"/>
            <w:vAlign w:val="center"/>
          </w:tcPr>
          <w:p>
            <w:pPr>
              <w:widowControl/>
              <w:jc w:val="left"/>
              <w:rPr>
                <w:rFonts w:hAnsi="宋体"/>
                <w:color w:val="000000"/>
                <w:kern w:val="0"/>
                <w:sz w:val="18"/>
                <w:szCs w:val="18"/>
              </w:rPr>
            </w:pPr>
          </w:p>
        </w:tc>
        <w:tc>
          <w:tcPr>
            <w:tcW w:w="1449" w:type="pct"/>
            <w:gridSpan w:val="3"/>
            <w:vAlign w:val="center"/>
          </w:tcPr>
          <w:p>
            <w:pPr>
              <w:widowControl/>
              <w:rPr>
                <w:rFonts w:hAnsi="宋体"/>
                <w:color w:val="000000"/>
                <w:kern w:val="0"/>
                <w:sz w:val="18"/>
                <w:szCs w:val="18"/>
              </w:rPr>
            </w:pPr>
            <w:r>
              <w:rPr>
                <w:rFonts w:hint="eastAsia" w:hAnsi="宋体"/>
                <w:color w:val="000000"/>
                <w:kern w:val="0"/>
                <w:sz w:val="18"/>
                <w:szCs w:val="18"/>
              </w:rPr>
              <w:t>耐磨性</w:t>
            </w:r>
          </w:p>
        </w:tc>
        <w:tc>
          <w:tcPr>
            <w:tcW w:w="521" w:type="pct"/>
            <w:vAlign w:val="center"/>
          </w:tcPr>
          <w:p>
            <w:pPr>
              <w:widowControl/>
              <w:jc w:val="center"/>
              <w:rPr>
                <w:color w:val="000000"/>
                <w:kern w:val="0"/>
                <w:sz w:val="18"/>
                <w:szCs w:val="18"/>
              </w:rPr>
            </w:pPr>
            <w:r>
              <w:rPr>
                <w:rFonts w:hint="eastAsia"/>
                <w:color w:val="000000"/>
                <w:kern w:val="0"/>
                <w:sz w:val="18"/>
                <w:szCs w:val="18"/>
              </w:rPr>
              <w:t>级</w:t>
            </w:r>
          </w:p>
        </w:tc>
        <w:tc>
          <w:tcPr>
            <w:tcW w:w="647" w:type="pct"/>
            <w:gridSpan w:val="2"/>
            <w:vAlign w:val="center"/>
          </w:tcPr>
          <w:p>
            <w:pPr>
              <w:jc w:val="center"/>
              <w:rPr>
                <w:sz w:val="18"/>
                <w:szCs w:val="18"/>
              </w:rPr>
            </w:pPr>
            <w:r>
              <w:rPr>
                <w:rFonts w:hint="eastAsia"/>
                <w:sz w:val="18"/>
                <w:szCs w:val="18"/>
              </w:rPr>
              <w:t>P</w:t>
            </w:r>
          </w:p>
        </w:tc>
        <w:tc>
          <w:tcPr>
            <w:tcW w:w="638" w:type="pct"/>
            <w:gridSpan w:val="2"/>
            <w:vAlign w:val="center"/>
          </w:tcPr>
          <w:p>
            <w:pPr>
              <w:jc w:val="center"/>
              <w:rPr>
                <w:sz w:val="18"/>
                <w:szCs w:val="18"/>
              </w:rPr>
            </w:pPr>
            <w:r>
              <w:rPr>
                <w:rFonts w:hint="eastAsia"/>
                <w:sz w:val="18"/>
                <w:szCs w:val="18"/>
              </w:rPr>
              <w:t>P</w:t>
            </w:r>
          </w:p>
        </w:tc>
        <w:tc>
          <w:tcPr>
            <w:tcW w:w="644" w:type="pct"/>
            <w:vAlign w:val="center"/>
          </w:tcPr>
          <w:p>
            <w:pPr>
              <w:widowControl/>
              <w:jc w:val="center"/>
              <w:rPr>
                <w:rFonts w:ascii="宋体" w:cs="宋体"/>
                <w:color w:val="000000"/>
                <w:kern w:val="0"/>
                <w:sz w:val="18"/>
                <w:szCs w:val="18"/>
              </w:rPr>
            </w:pPr>
            <w:r>
              <w:rPr>
                <w:rFonts w:hint="eastAsia" w:ascii="宋体" w:cs="宋体"/>
                <w:color w:val="000000"/>
                <w:kern w:val="0"/>
                <w:sz w:val="18"/>
                <w:szCs w:val="18"/>
              </w:rPr>
              <w:t>T</w:t>
            </w:r>
          </w:p>
        </w:tc>
        <w:tc>
          <w:tcPr>
            <w:tcW w:w="716" w:type="pct"/>
            <w:vMerge w:val="continue"/>
            <w:vAlign w:val="center"/>
          </w:tcPr>
          <w:p>
            <w:pP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85" w:type="pct"/>
            <w:vMerge w:val="continue"/>
            <w:vAlign w:val="center"/>
          </w:tcPr>
          <w:p>
            <w:pPr>
              <w:widowControl/>
              <w:jc w:val="left"/>
              <w:rPr>
                <w:rFonts w:hAnsi="宋体"/>
                <w:color w:val="000000"/>
                <w:kern w:val="0"/>
                <w:sz w:val="18"/>
                <w:szCs w:val="18"/>
              </w:rPr>
            </w:pPr>
          </w:p>
        </w:tc>
        <w:tc>
          <w:tcPr>
            <w:tcW w:w="1449" w:type="pct"/>
            <w:gridSpan w:val="3"/>
            <w:vAlign w:val="center"/>
          </w:tcPr>
          <w:p>
            <w:pPr>
              <w:widowControl/>
              <w:rPr>
                <w:rFonts w:hAnsi="宋体"/>
                <w:color w:val="000000"/>
                <w:kern w:val="0"/>
                <w:sz w:val="18"/>
                <w:szCs w:val="18"/>
              </w:rPr>
            </w:pPr>
            <w:r>
              <w:rPr>
                <w:rFonts w:hint="eastAsia" w:hAnsi="宋体"/>
                <w:color w:val="000000"/>
                <w:kern w:val="0"/>
                <w:sz w:val="18"/>
                <w:szCs w:val="18"/>
              </w:rPr>
              <w:t>色牢度</w:t>
            </w:r>
          </w:p>
        </w:tc>
        <w:tc>
          <w:tcPr>
            <w:tcW w:w="521" w:type="pct"/>
            <w:vAlign w:val="center"/>
          </w:tcPr>
          <w:p>
            <w:pPr>
              <w:widowControl/>
              <w:jc w:val="center"/>
              <w:rPr>
                <w:color w:val="000000"/>
                <w:kern w:val="0"/>
                <w:sz w:val="18"/>
                <w:szCs w:val="18"/>
              </w:rPr>
            </w:pPr>
            <w:r>
              <w:rPr>
                <w:rFonts w:hint="eastAsia"/>
                <w:color w:val="000000"/>
                <w:kern w:val="0"/>
                <w:sz w:val="18"/>
                <w:szCs w:val="18"/>
              </w:rPr>
              <w:t>级</w:t>
            </w:r>
          </w:p>
        </w:tc>
        <w:tc>
          <w:tcPr>
            <w:tcW w:w="647" w:type="pct"/>
            <w:gridSpan w:val="2"/>
            <w:vAlign w:val="center"/>
          </w:tcPr>
          <w:p>
            <w:pPr>
              <w:jc w:val="center"/>
              <w:rPr>
                <w:sz w:val="18"/>
                <w:szCs w:val="18"/>
              </w:rPr>
            </w:pPr>
            <w:r>
              <w:rPr>
                <w:rFonts w:hint="eastAsia"/>
                <w:color w:val="000000"/>
                <w:kern w:val="0"/>
                <w:sz w:val="18"/>
                <w:szCs w:val="18"/>
              </w:rPr>
              <w:t>≥6</w:t>
            </w:r>
          </w:p>
        </w:tc>
        <w:tc>
          <w:tcPr>
            <w:tcW w:w="638" w:type="pct"/>
            <w:gridSpan w:val="2"/>
            <w:vAlign w:val="center"/>
          </w:tcPr>
          <w:p>
            <w:pPr>
              <w:jc w:val="center"/>
              <w:rPr>
                <w:sz w:val="18"/>
                <w:szCs w:val="18"/>
              </w:rPr>
            </w:pPr>
            <w:r>
              <w:rPr>
                <w:rFonts w:hint="eastAsia"/>
                <w:color w:val="000000"/>
                <w:kern w:val="0"/>
                <w:sz w:val="18"/>
                <w:szCs w:val="18"/>
              </w:rPr>
              <w:t>≥6</w:t>
            </w:r>
          </w:p>
        </w:tc>
        <w:tc>
          <w:tcPr>
            <w:tcW w:w="644" w:type="pct"/>
            <w:vAlign w:val="center"/>
          </w:tcPr>
          <w:p>
            <w:pPr>
              <w:jc w:val="center"/>
              <w:rPr>
                <w:rFonts w:ascii="宋体" w:cs="宋体"/>
                <w:color w:val="000000"/>
                <w:kern w:val="0"/>
                <w:sz w:val="18"/>
                <w:szCs w:val="18"/>
              </w:rPr>
            </w:pPr>
            <w:r>
              <w:rPr>
                <w:rFonts w:hint="eastAsia"/>
                <w:color w:val="000000"/>
                <w:kern w:val="0"/>
                <w:sz w:val="18"/>
                <w:szCs w:val="18"/>
              </w:rPr>
              <w:t>≥6</w:t>
            </w:r>
          </w:p>
        </w:tc>
        <w:tc>
          <w:tcPr>
            <w:tcW w:w="716" w:type="pct"/>
            <w:vMerge w:val="continue"/>
            <w:vAlign w:val="center"/>
          </w:tcPr>
          <w:p>
            <w:pPr>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85" w:type="pct"/>
            <w:vMerge w:val="continue"/>
            <w:vAlign w:val="center"/>
          </w:tcPr>
          <w:p>
            <w:pPr>
              <w:widowControl/>
              <w:jc w:val="left"/>
              <w:rPr>
                <w:rFonts w:hAnsi="宋体"/>
                <w:color w:val="000000"/>
                <w:kern w:val="0"/>
                <w:sz w:val="18"/>
                <w:szCs w:val="18"/>
              </w:rPr>
            </w:pPr>
          </w:p>
        </w:tc>
        <w:tc>
          <w:tcPr>
            <w:tcW w:w="607" w:type="pct"/>
            <w:gridSpan w:val="2"/>
            <w:vMerge w:val="restart"/>
            <w:vAlign w:val="center"/>
          </w:tcPr>
          <w:p>
            <w:pPr>
              <w:widowControl/>
              <w:rPr>
                <w:rFonts w:hint="eastAsia" w:hAnsi="宋体"/>
                <w:color w:val="000000"/>
                <w:kern w:val="0"/>
                <w:sz w:val="18"/>
                <w:szCs w:val="18"/>
              </w:rPr>
            </w:pPr>
            <w:r>
              <w:rPr>
                <w:rFonts w:hint="eastAsia" w:hAnsi="宋体"/>
                <w:color w:val="000000"/>
                <w:kern w:val="0"/>
                <w:sz w:val="18"/>
                <w:szCs w:val="18"/>
              </w:rPr>
              <w:t>燃烧性能</w:t>
            </w:r>
          </w:p>
        </w:tc>
        <w:tc>
          <w:tcPr>
            <w:tcW w:w="842" w:type="pct"/>
            <w:vAlign w:val="center"/>
          </w:tcPr>
          <w:p>
            <w:pPr>
              <w:widowControl/>
              <w:rPr>
                <w:rFonts w:hint="eastAsia" w:hAnsi="宋体"/>
                <w:color w:val="000000"/>
                <w:kern w:val="0"/>
                <w:sz w:val="18"/>
                <w:szCs w:val="18"/>
              </w:rPr>
            </w:pPr>
            <w:r>
              <w:rPr>
                <w:rFonts w:hint="eastAsia" w:hAnsi="宋体"/>
                <w:color w:val="000000"/>
                <w:kern w:val="0"/>
                <w:sz w:val="18"/>
                <w:szCs w:val="18"/>
              </w:rPr>
              <w:t>阻燃性能</w:t>
            </w:r>
          </w:p>
        </w:tc>
        <w:tc>
          <w:tcPr>
            <w:tcW w:w="521" w:type="pct"/>
            <w:vAlign w:val="center"/>
          </w:tcPr>
          <w:p>
            <w:pPr>
              <w:widowControl/>
              <w:jc w:val="center"/>
              <w:rPr>
                <w:rFonts w:hint="eastAsia"/>
                <w:color w:val="000000"/>
                <w:kern w:val="0"/>
                <w:sz w:val="18"/>
                <w:szCs w:val="18"/>
              </w:rPr>
            </w:pPr>
            <w:r>
              <w:rPr>
                <w:rFonts w:hint="eastAsia"/>
                <w:color w:val="000000"/>
                <w:kern w:val="0"/>
                <w:sz w:val="18"/>
                <w:szCs w:val="18"/>
              </w:rPr>
              <w:t>级</w:t>
            </w:r>
          </w:p>
        </w:tc>
        <w:tc>
          <w:tcPr>
            <w:tcW w:w="647" w:type="pct"/>
            <w:gridSpan w:val="2"/>
            <w:vAlign w:val="center"/>
          </w:tcPr>
          <w:p>
            <w:pPr>
              <w:jc w:val="center"/>
              <w:rPr>
                <w:rFonts w:hint="eastAsia"/>
                <w:color w:val="000000"/>
                <w:kern w:val="0"/>
                <w:sz w:val="18"/>
                <w:szCs w:val="18"/>
              </w:rPr>
            </w:pPr>
            <w:r>
              <w:rPr>
                <w:rFonts w:hint="eastAsia"/>
                <w:color w:val="000000"/>
                <w:kern w:val="0"/>
                <w:sz w:val="18"/>
                <w:szCs w:val="18"/>
              </w:rPr>
              <w:t>B</w:t>
            </w:r>
            <w:r>
              <w:rPr>
                <w:rFonts w:hint="eastAsia"/>
                <w:color w:val="000000"/>
                <w:kern w:val="0"/>
                <w:sz w:val="18"/>
                <w:szCs w:val="18"/>
                <w:vertAlign w:val="subscript"/>
              </w:rPr>
              <w:t>1</w:t>
            </w:r>
          </w:p>
        </w:tc>
        <w:tc>
          <w:tcPr>
            <w:tcW w:w="638" w:type="pct"/>
            <w:gridSpan w:val="2"/>
            <w:vAlign w:val="center"/>
          </w:tcPr>
          <w:p>
            <w:pPr>
              <w:jc w:val="center"/>
              <w:rPr>
                <w:color w:val="000000"/>
                <w:kern w:val="0"/>
                <w:sz w:val="18"/>
                <w:szCs w:val="18"/>
              </w:rPr>
            </w:pPr>
            <w:r>
              <w:rPr>
                <w:rFonts w:hint="eastAsia" w:ascii="宋体" w:cs="宋体"/>
                <w:color w:val="000000"/>
                <w:kern w:val="0"/>
                <w:sz w:val="18"/>
                <w:szCs w:val="18"/>
              </w:rPr>
              <w:t>≥</w:t>
            </w:r>
            <w:r>
              <w:rPr>
                <w:color w:val="000000"/>
                <w:kern w:val="0"/>
                <w:sz w:val="18"/>
                <w:szCs w:val="18"/>
              </w:rPr>
              <w:t>B</w:t>
            </w:r>
            <w:r>
              <w:rPr>
                <w:color w:val="000000"/>
                <w:kern w:val="0"/>
                <w:sz w:val="18"/>
                <w:szCs w:val="18"/>
                <w:vertAlign w:val="subscript"/>
              </w:rPr>
              <w:t>1</w:t>
            </w:r>
            <w:r>
              <w:rPr>
                <w:rFonts w:hint="eastAsia"/>
                <w:color w:val="000000"/>
                <w:kern w:val="0"/>
                <w:sz w:val="18"/>
                <w:szCs w:val="18"/>
              </w:rPr>
              <w:t>（</w:t>
            </w:r>
            <w:r>
              <w:rPr>
                <w:color w:val="000000"/>
                <w:kern w:val="0"/>
                <w:sz w:val="18"/>
                <w:szCs w:val="18"/>
              </w:rPr>
              <w:t>B</w:t>
            </w:r>
            <w:r>
              <w:rPr>
                <w:rFonts w:hint="eastAsia"/>
                <w:color w:val="000000"/>
                <w:kern w:val="0"/>
                <w:sz w:val="18"/>
                <w:szCs w:val="18"/>
              </w:rPr>
              <w:t>）</w:t>
            </w:r>
          </w:p>
        </w:tc>
        <w:tc>
          <w:tcPr>
            <w:tcW w:w="644" w:type="pct"/>
            <w:vAlign w:val="center"/>
          </w:tcPr>
          <w:p>
            <w:pPr>
              <w:jc w:val="center"/>
              <w:rPr>
                <w:color w:val="000000"/>
                <w:kern w:val="0"/>
                <w:sz w:val="18"/>
                <w:szCs w:val="18"/>
              </w:rPr>
            </w:pPr>
            <w:r>
              <w:rPr>
                <w:rFonts w:hint="eastAsia" w:ascii="宋体" w:cs="宋体"/>
                <w:color w:val="000000"/>
                <w:kern w:val="0"/>
                <w:sz w:val="18"/>
                <w:szCs w:val="18"/>
              </w:rPr>
              <w:t>≥</w:t>
            </w:r>
            <w:r>
              <w:rPr>
                <w:rFonts w:hint="eastAsia"/>
                <w:color w:val="000000"/>
                <w:kern w:val="0"/>
                <w:sz w:val="18"/>
                <w:szCs w:val="18"/>
              </w:rPr>
              <w:t>B</w:t>
            </w:r>
            <w:r>
              <w:rPr>
                <w:color w:val="000000"/>
                <w:kern w:val="0"/>
                <w:sz w:val="18"/>
                <w:szCs w:val="18"/>
                <w:vertAlign w:val="subscript"/>
              </w:rPr>
              <w:t>1</w:t>
            </w:r>
            <w:r>
              <w:rPr>
                <w:color w:val="000000"/>
                <w:kern w:val="0"/>
                <w:sz w:val="18"/>
                <w:szCs w:val="18"/>
              </w:rPr>
              <w:t>(B)</w:t>
            </w:r>
          </w:p>
        </w:tc>
        <w:tc>
          <w:tcPr>
            <w:tcW w:w="716" w:type="pct"/>
            <w:vMerge w:val="restart"/>
            <w:vAlign w:val="center"/>
          </w:tcPr>
          <w:p>
            <w:pPr>
              <w:jc w:val="center"/>
              <w:rPr>
                <w:sz w:val="18"/>
                <w:szCs w:val="18"/>
              </w:rPr>
            </w:pPr>
            <w:r>
              <w:rPr>
                <w:sz w:val="18"/>
                <w:szCs w:val="18"/>
              </w:rPr>
              <w:t>GB</w:t>
            </w:r>
            <w:r>
              <w:rPr>
                <w:rFonts w:hint="eastAsia"/>
                <w:sz w:val="18"/>
                <w:szCs w:val="18"/>
              </w:rPr>
              <w:t xml:space="preserve"> 8624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6" w:hRule="atLeast"/>
          <w:jc w:val="center"/>
        </w:trPr>
        <w:tc>
          <w:tcPr>
            <w:tcW w:w="385" w:type="pct"/>
            <w:vMerge w:val="continue"/>
            <w:vAlign w:val="center"/>
          </w:tcPr>
          <w:p>
            <w:pPr>
              <w:widowControl/>
              <w:jc w:val="left"/>
              <w:rPr>
                <w:rFonts w:hAnsi="宋体"/>
                <w:color w:val="000000"/>
                <w:kern w:val="0"/>
                <w:sz w:val="18"/>
                <w:szCs w:val="18"/>
              </w:rPr>
            </w:pPr>
          </w:p>
        </w:tc>
        <w:tc>
          <w:tcPr>
            <w:tcW w:w="607" w:type="pct"/>
            <w:gridSpan w:val="2"/>
            <w:vMerge w:val="continue"/>
            <w:vAlign w:val="center"/>
          </w:tcPr>
          <w:p>
            <w:pPr>
              <w:widowControl/>
              <w:rPr>
                <w:rFonts w:hint="eastAsia" w:hAnsi="宋体"/>
                <w:color w:val="000000"/>
                <w:kern w:val="0"/>
                <w:sz w:val="18"/>
                <w:szCs w:val="18"/>
              </w:rPr>
            </w:pPr>
          </w:p>
        </w:tc>
        <w:tc>
          <w:tcPr>
            <w:tcW w:w="842" w:type="pct"/>
            <w:vAlign w:val="center"/>
          </w:tcPr>
          <w:p>
            <w:pPr>
              <w:widowControl/>
              <w:rPr>
                <w:rFonts w:hint="eastAsia" w:hAnsi="宋体"/>
                <w:color w:val="000000"/>
                <w:kern w:val="0"/>
                <w:sz w:val="18"/>
                <w:szCs w:val="18"/>
              </w:rPr>
            </w:pPr>
            <w:r>
              <w:rPr>
                <w:rFonts w:hint="eastAsia" w:hAnsi="宋体"/>
                <w:color w:val="000000"/>
                <w:kern w:val="0"/>
                <w:sz w:val="18"/>
                <w:szCs w:val="18"/>
              </w:rPr>
              <w:t>产烟量</w:t>
            </w:r>
          </w:p>
        </w:tc>
        <w:tc>
          <w:tcPr>
            <w:tcW w:w="521" w:type="pct"/>
            <w:vAlign w:val="center"/>
          </w:tcPr>
          <w:p>
            <w:pPr>
              <w:widowControl/>
              <w:jc w:val="center"/>
              <w:rPr>
                <w:rFonts w:hint="eastAsia"/>
                <w:color w:val="000000"/>
                <w:kern w:val="0"/>
                <w:sz w:val="18"/>
                <w:szCs w:val="18"/>
              </w:rPr>
            </w:pPr>
            <w:r>
              <w:rPr>
                <w:rFonts w:hint="eastAsia"/>
                <w:color w:val="000000"/>
                <w:kern w:val="0"/>
                <w:sz w:val="18"/>
                <w:szCs w:val="18"/>
              </w:rPr>
              <w:t>级</w:t>
            </w:r>
          </w:p>
        </w:tc>
        <w:tc>
          <w:tcPr>
            <w:tcW w:w="1929" w:type="pct"/>
            <w:gridSpan w:val="5"/>
            <w:vAlign w:val="center"/>
          </w:tcPr>
          <w:p>
            <w:pPr>
              <w:jc w:val="center"/>
              <w:rPr>
                <w:rFonts w:hint="eastAsia" w:ascii="宋体" w:cs="宋体"/>
                <w:color w:val="000000"/>
                <w:kern w:val="0"/>
                <w:sz w:val="18"/>
                <w:szCs w:val="18"/>
              </w:rPr>
            </w:pPr>
            <w:r>
              <w:rPr>
                <w:rFonts w:hint="eastAsia"/>
                <w:color w:val="000000"/>
                <w:kern w:val="0"/>
                <w:sz w:val="18"/>
                <w:szCs w:val="18"/>
              </w:rPr>
              <w:t>s1</w:t>
            </w:r>
          </w:p>
        </w:tc>
        <w:tc>
          <w:tcPr>
            <w:tcW w:w="716" w:type="pct"/>
            <w:vMerge w:val="continue"/>
            <w:vAlign w:val="center"/>
          </w:tcPr>
          <w:p>
            <w:pPr>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85" w:type="pct"/>
            <w:vMerge w:val="continue"/>
            <w:vAlign w:val="center"/>
          </w:tcPr>
          <w:p>
            <w:pPr>
              <w:widowControl/>
              <w:jc w:val="left"/>
              <w:rPr>
                <w:rFonts w:hAnsi="宋体"/>
                <w:color w:val="000000"/>
                <w:kern w:val="0"/>
                <w:sz w:val="18"/>
                <w:szCs w:val="18"/>
              </w:rPr>
            </w:pPr>
          </w:p>
        </w:tc>
        <w:tc>
          <w:tcPr>
            <w:tcW w:w="607" w:type="pct"/>
            <w:gridSpan w:val="2"/>
            <w:vMerge w:val="continue"/>
            <w:vAlign w:val="center"/>
          </w:tcPr>
          <w:p>
            <w:pPr>
              <w:widowControl/>
              <w:jc w:val="left"/>
              <w:rPr>
                <w:rFonts w:hAnsi="宋体"/>
                <w:color w:val="000000"/>
                <w:kern w:val="0"/>
                <w:sz w:val="18"/>
                <w:szCs w:val="18"/>
              </w:rPr>
            </w:pPr>
          </w:p>
        </w:tc>
        <w:tc>
          <w:tcPr>
            <w:tcW w:w="842" w:type="pct"/>
            <w:vAlign w:val="center"/>
          </w:tcPr>
          <w:p>
            <w:pPr>
              <w:widowControl/>
              <w:jc w:val="left"/>
              <w:rPr>
                <w:rFonts w:hAnsi="宋体"/>
                <w:color w:val="000000"/>
                <w:kern w:val="0"/>
                <w:sz w:val="18"/>
                <w:szCs w:val="18"/>
              </w:rPr>
            </w:pPr>
            <w:r>
              <w:rPr>
                <w:rFonts w:hint="eastAsia" w:hAnsi="宋体"/>
                <w:color w:val="000000"/>
                <w:kern w:val="0"/>
                <w:sz w:val="18"/>
                <w:szCs w:val="18"/>
              </w:rPr>
              <w:t>烟气毒性等级</w:t>
            </w:r>
          </w:p>
        </w:tc>
        <w:tc>
          <w:tcPr>
            <w:tcW w:w="521" w:type="pct"/>
            <w:vAlign w:val="center"/>
          </w:tcPr>
          <w:p>
            <w:pPr>
              <w:widowControl/>
              <w:jc w:val="center"/>
              <w:rPr>
                <w:rFonts w:hAnsi="宋体"/>
                <w:color w:val="000000"/>
                <w:kern w:val="0"/>
                <w:sz w:val="18"/>
                <w:szCs w:val="18"/>
              </w:rPr>
            </w:pPr>
            <w:r>
              <w:rPr>
                <w:rFonts w:hint="eastAsia" w:hAnsi="宋体"/>
                <w:color w:val="000000"/>
                <w:kern w:val="0"/>
                <w:sz w:val="18"/>
                <w:szCs w:val="18"/>
              </w:rPr>
              <w:t>级</w:t>
            </w:r>
          </w:p>
        </w:tc>
        <w:tc>
          <w:tcPr>
            <w:tcW w:w="1929" w:type="pct"/>
            <w:gridSpan w:val="5"/>
            <w:vAlign w:val="center"/>
          </w:tcPr>
          <w:p>
            <w:pPr>
              <w:jc w:val="center"/>
              <w:rPr>
                <w:color w:val="000000"/>
                <w:kern w:val="0"/>
                <w:sz w:val="18"/>
                <w:szCs w:val="18"/>
              </w:rPr>
            </w:pPr>
            <w:r>
              <w:rPr>
                <w:color w:val="000000"/>
                <w:kern w:val="0"/>
                <w:sz w:val="18"/>
                <w:szCs w:val="18"/>
              </w:rPr>
              <w:t>t0</w:t>
            </w:r>
          </w:p>
        </w:tc>
        <w:tc>
          <w:tcPr>
            <w:tcW w:w="716" w:type="pct"/>
            <w:vMerge w:val="continue"/>
            <w:vAlign w:val="center"/>
          </w:tcPr>
          <w:p>
            <w:pPr>
              <w:widowControl/>
              <w:jc w:val="center"/>
              <w:rPr>
                <w:sz w:val="18"/>
                <w:szCs w:val="18"/>
              </w:rPr>
            </w:pPr>
          </w:p>
        </w:tc>
      </w:tr>
    </w:tbl>
    <w:p>
      <w:pPr>
        <w:pStyle w:val="35"/>
        <w:numPr>
          <w:ilvl w:val="0"/>
          <w:numId w:val="0"/>
        </w:numPr>
        <w:spacing w:beforeLines="50" w:afterLines="0"/>
        <w:jc w:val="center"/>
        <w:outlineLvl w:val="9"/>
        <w:rPr>
          <w:rFonts w:ascii="Times New Roman"/>
          <w:szCs w:val="21"/>
        </w:rPr>
      </w:pPr>
      <w:r>
        <w:rPr>
          <w:rFonts w:hint="eastAsia" w:ascii="Times New Roman"/>
          <w:szCs w:val="21"/>
        </w:rPr>
        <w:t>表2</w:t>
      </w:r>
      <w:r>
        <w:rPr>
          <w:rFonts w:ascii="Times New Roman"/>
          <w:szCs w:val="21"/>
        </w:rPr>
        <w:t xml:space="preserve"> </w:t>
      </w:r>
      <w:r>
        <w:rPr>
          <w:rFonts w:hint="eastAsia" w:ascii="Times New Roman"/>
          <w:szCs w:val="21"/>
        </w:rPr>
        <w:t>橡胶类弹性地板评价指标要求</w:t>
      </w:r>
    </w:p>
    <w:tbl>
      <w:tblPr>
        <w:tblStyle w:val="12"/>
        <w:tblW w:w="4934"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21"/>
        <w:gridCol w:w="557"/>
        <w:gridCol w:w="701"/>
        <w:gridCol w:w="1458"/>
        <w:gridCol w:w="1120"/>
        <w:gridCol w:w="1260"/>
        <w:gridCol w:w="1260"/>
        <w:gridCol w:w="1260"/>
        <w:gridCol w:w="120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329" w:type="pct"/>
            <w:vMerge w:val="restart"/>
            <w:shd w:val="clear" w:color="auto" w:fill="auto"/>
            <w:noWrap/>
            <w:vAlign w:val="center"/>
          </w:tcPr>
          <w:p>
            <w:pPr>
              <w:widowControl/>
              <w:jc w:val="center"/>
              <w:rPr>
                <w:color w:val="000000"/>
                <w:kern w:val="0"/>
                <w:sz w:val="18"/>
                <w:szCs w:val="18"/>
              </w:rPr>
            </w:pPr>
            <w:r>
              <w:rPr>
                <w:rFonts w:hAnsi="宋体"/>
                <w:color w:val="000000"/>
                <w:kern w:val="0"/>
                <w:sz w:val="18"/>
                <w:szCs w:val="18"/>
              </w:rPr>
              <w:t>一级指标</w:t>
            </w:r>
          </w:p>
        </w:tc>
        <w:tc>
          <w:tcPr>
            <w:tcW w:w="1438" w:type="pct"/>
            <w:gridSpan w:val="3"/>
            <w:vMerge w:val="restart"/>
            <w:shd w:val="clear" w:color="auto" w:fill="auto"/>
            <w:noWrap/>
            <w:vAlign w:val="center"/>
          </w:tcPr>
          <w:p>
            <w:pPr>
              <w:widowControl/>
              <w:jc w:val="center"/>
              <w:rPr>
                <w:color w:val="000000"/>
                <w:kern w:val="0"/>
                <w:sz w:val="18"/>
                <w:szCs w:val="18"/>
              </w:rPr>
            </w:pPr>
            <w:r>
              <w:rPr>
                <w:rFonts w:hAnsi="宋体"/>
                <w:color w:val="000000"/>
                <w:kern w:val="0"/>
                <w:sz w:val="18"/>
                <w:szCs w:val="18"/>
              </w:rPr>
              <w:t>二级指标</w:t>
            </w:r>
          </w:p>
        </w:tc>
        <w:tc>
          <w:tcPr>
            <w:tcW w:w="593" w:type="pct"/>
            <w:vMerge w:val="restart"/>
            <w:shd w:val="clear" w:color="auto" w:fill="auto"/>
            <w:noWrap/>
            <w:vAlign w:val="center"/>
          </w:tcPr>
          <w:p>
            <w:pPr>
              <w:widowControl/>
              <w:jc w:val="center"/>
              <w:rPr>
                <w:color w:val="000000"/>
                <w:kern w:val="0"/>
                <w:sz w:val="18"/>
                <w:szCs w:val="18"/>
              </w:rPr>
            </w:pPr>
            <w:r>
              <w:rPr>
                <w:rFonts w:hAnsi="宋体"/>
                <w:color w:val="000000"/>
                <w:kern w:val="0"/>
                <w:sz w:val="18"/>
                <w:szCs w:val="18"/>
              </w:rPr>
              <w:t>单位</w:t>
            </w:r>
          </w:p>
        </w:tc>
        <w:tc>
          <w:tcPr>
            <w:tcW w:w="2001" w:type="pct"/>
            <w:gridSpan w:val="3"/>
            <w:shd w:val="clear" w:color="auto" w:fill="auto"/>
            <w:noWrap/>
            <w:vAlign w:val="center"/>
          </w:tcPr>
          <w:p>
            <w:pPr>
              <w:widowControl/>
              <w:jc w:val="center"/>
              <w:rPr>
                <w:rFonts w:hAnsi="宋体"/>
                <w:color w:val="000000"/>
                <w:kern w:val="0"/>
                <w:sz w:val="18"/>
                <w:szCs w:val="18"/>
              </w:rPr>
            </w:pPr>
            <w:r>
              <w:rPr>
                <w:rFonts w:hAnsi="宋体"/>
                <w:color w:val="000000"/>
                <w:kern w:val="0"/>
                <w:sz w:val="18"/>
                <w:szCs w:val="18"/>
              </w:rPr>
              <w:t>基准值</w:t>
            </w:r>
          </w:p>
        </w:tc>
        <w:tc>
          <w:tcPr>
            <w:tcW w:w="639" w:type="pct"/>
            <w:vMerge w:val="restart"/>
            <w:vAlign w:val="center"/>
          </w:tcPr>
          <w:p>
            <w:pPr>
              <w:widowControl/>
              <w:jc w:val="center"/>
              <w:rPr>
                <w:color w:val="000000"/>
                <w:kern w:val="0"/>
                <w:sz w:val="18"/>
                <w:szCs w:val="18"/>
              </w:rPr>
            </w:pPr>
            <w:r>
              <w:rPr>
                <w:rFonts w:hint="eastAsia" w:hAnsi="宋体"/>
                <w:color w:val="000000"/>
                <w:kern w:val="0"/>
                <w:sz w:val="18"/>
                <w:szCs w:val="18"/>
              </w:rPr>
              <w:t>评价</w:t>
            </w:r>
            <w:r>
              <w:rPr>
                <w:rFonts w:hAnsi="宋体"/>
                <w:color w:val="000000"/>
                <w:kern w:val="0"/>
                <w:sz w:val="18"/>
                <w:szCs w:val="18"/>
              </w:rPr>
              <w:t>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1438" w:type="pct"/>
            <w:gridSpan w:val="3"/>
            <w:vMerge w:val="continue"/>
            <w:shd w:val="clear" w:color="auto" w:fill="auto"/>
            <w:noWrap/>
            <w:vAlign w:val="center"/>
          </w:tcPr>
          <w:p>
            <w:pPr>
              <w:widowControl/>
              <w:jc w:val="center"/>
              <w:rPr>
                <w:rFonts w:hAnsi="宋体"/>
                <w:color w:val="000000"/>
                <w:kern w:val="0"/>
                <w:sz w:val="18"/>
                <w:szCs w:val="18"/>
              </w:rPr>
            </w:pPr>
          </w:p>
        </w:tc>
        <w:tc>
          <w:tcPr>
            <w:tcW w:w="593" w:type="pct"/>
            <w:vMerge w:val="continue"/>
            <w:shd w:val="clear" w:color="auto" w:fill="auto"/>
            <w:noWrap/>
            <w:vAlign w:val="center"/>
          </w:tcPr>
          <w:p>
            <w:pPr>
              <w:widowControl/>
              <w:jc w:val="center"/>
              <w:rPr>
                <w:rFonts w:hAnsi="宋体"/>
                <w:color w:val="000000"/>
                <w:kern w:val="0"/>
                <w:sz w:val="18"/>
                <w:szCs w:val="18"/>
              </w:rPr>
            </w:pPr>
          </w:p>
        </w:tc>
        <w:tc>
          <w:tcPr>
            <w:tcW w:w="667"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667" w:type="pct"/>
          </w:tcPr>
          <w:p>
            <w:pPr>
              <w:widowControl/>
              <w:jc w:val="center"/>
              <w:rPr>
                <w:rFonts w:hAnsi="宋体"/>
                <w:color w:val="000000"/>
                <w:kern w:val="0"/>
                <w:sz w:val="18"/>
                <w:szCs w:val="18"/>
              </w:rPr>
            </w:pPr>
            <w:r>
              <w:rPr>
                <w:rFonts w:hint="eastAsia" w:hAnsi="宋体"/>
                <w:color w:val="000000"/>
                <w:kern w:val="0"/>
                <w:sz w:val="18"/>
                <w:szCs w:val="18"/>
              </w:rPr>
              <w:t>二星级</w:t>
            </w:r>
          </w:p>
        </w:tc>
        <w:tc>
          <w:tcPr>
            <w:tcW w:w="667" w:type="pct"/>
          </w:tcPr>
          <w:p>
            <w:pPr>
              <w:widowControl/>
              <w:jc w:val="center"/>
              <w:rPr>
                <w:rFonts w:hAnsi="宋体"/>
                <w:color w:val="000000"/>
                <w:kern w:val="0"/>
                <w:sz w:val="18"/>
                <w:szCs w:val="18"/>
              </w:rPr>
            </w:pPr>
            <w:r>
              <w:rPr>
                <w:rFonts w:hint="eastAsia" w:hAnsi="宋体"/>
                <w:color w:val="000000"/>
                <w:kern w:val="0"/>
                <w:sz w:val="18"/>
                <w:szCs w:val="18"/>
              </w:rPr>
              <w:t>三星级</w:t>
            </w:r>
          </w:p>
        </w:tc>
        <w:tc>
          <w:tcPr>
            <w:tcW w:w="639" w:type="pct"/>
            <w:vMerge w:val="continue"/>
          </w:tcPr>
          <w:p>
            <w:pPr>
              <w:widowControl/>
              <w:jc w:val="center"/>
              <w:rPr>
                <w:rFonts w:hAnsi="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restart"/>
            <w:shd w:val="clear" w:color="auto" w:fill="auto"/>
            <w:noWrap/>
            <w:vAlign w:val="center"/>
          </w:tcPr>
          <w:p>
            <w:pPr>
              <w:widowControl/>
              <w:jc w:val="center"/>
              <w:rPr>
                <w:rFonts w:hAnsi="宋体"/>
                <w:color w:val="000000"/>
                <w:kern w:val="0"/>
                <w:sz w:val="18"/>
                <w:szCs w:val="18"/>
              </w:rPr>
            </w:pPr>
            <w:r>
              <w:rPr>
                <w:rFonts w:hAnsi="宋体"/>
                <w:color w:val="000000"/>
                <w:kern w:val="0"/>
                <w:sz w:val="18"/>
                <w:szCs w:val="18"/>
              </w:rPr>
              <w:t>资源属性</w:t>
            </w:r>
          </w:p>
        </w:tc>
        <w:tc>
          <w:tcPr>
            <w:tcW w:w="295" w:type="pct"/>
            <w:vMerge w:val="restart"/>
            <w:shd w:val="clear" w:color="auto" w:fill="auto"/>
            <w:noWrap/>
            <w:vAlign w:val="center"/>
          </w:tcPr>
          <w:p>
            <w:pPr>
              <w:widowControl/>
              <w:rPr>
                <w:rFonts w:ascii="宋体" w:cs="宋体"/>
                <w:color w:val="000000"/>
                <w:kern w:val="0"/>
                <w:sz w:val="18"/>
                <w:szCs w:val="18"/>
              </w:rPr>
            </w:pPr>
            <w:r>
              <w:rPr>
                <w:rFonts w:hint="eastAsia" w:ascii="宋体" w:cs="宋体"/>
                <w:color w:val="000000"/>
                <w:kern w:val="0"/>
                <w:sz w:val="18"/>
                <w:szCs w:val="18"/>
              </w:rPr>
              <w:t>原</w:t>
            </w:r>
          </w:p>
          <w:p>
            <w:pPr>
              <w:widowControl/>
              <w:rPr>
                <w:rFonts w:ascii="宋体" w:cs="宋体"/>
                <w:color w:val="000000"/>
                <w:kern w:val="0"/>
                <w:sz w:val="18"/>
                <w:szCs w:val="18"/>
              </w:rPr>
            </w:pPr>
            <w:r>
              <w:rPr>
                <w:rFonts w:hint="eastAsia" w:ascii="宋体" w:cs="宋体"/>
                <w:color w:val="000000"/>
                <w:kern w:val="0"/>
                <w:sz w:val="18"/>
                <w:szCs w:val="18"/>
              </w:rPr>
              <w:t>材</w:t>
            </w:r>
          </w:p>
          <w:p>
            <w:pPr>
              <w:widowControl/>
              <w:rPr>
                <w:rFonts w:ascii="宋体" w:cs="宋体"/>
                <w:color w:val="000000"/>
                <w:kern w:val="0"/>
                <w:sz w:val="18"/>
                <w:szCs w:val="18"/>
              </w:rPr>
            </w:pPr>
            <w:r>
              <w:rPr>
                <w:rFonts w:hint="eastAsia" w:ascii="宋体" w:cs="宋体"/>
                <w:color w:val="000000"/>
                <w:kern w:val="0"/>
                <w:sz w:val="18"/>
                <w:szCs w:val="18"/>
              </w:rPr>
              <w:t>料</w:t>
            </w:r>
          </w:p>
          <w:p>
            <w:pPr>
              <w:widowControl/>
              <w:rPr>
                <w:rFonts w:ascii="宋体" w:cs="宋体"/>
                <w:color w:val="000000"/>
                <w:kern w:val="0"/>
                <w:sz w:val="18"/>
                <w:szCs w:val="18"/>
              </w:rPr>
            </w:pPr>
            <w:r>
              <w:rPr>
                <w:rFonts w:hint="eastAsia" w:ascii="宋体" w:cs="宋体"/>
                <w:color w:val="000000"/>
                <w:kern w:val="0"/>
                <w:sz w:val="18"/>
                <w:szCs w:val="18"/>
              </w:rPr>
              <w:t>要</w:t>
            </w:r>
          </w:p>
          <w:p>
            <w:pPr>
              <w:widowControl/>
              <w:rPr>
                <w:rFonts w:ascii="宋体" w:cs="宋体"/>
                <w:color w:val="000000"/>
                <w:kern w:val="0"/>
                <w:sz w:val="18"/>
                <w:szCs w:val="18"/>
                <w:vertAlign w:val="superscript"/>
              </w:rPr>
            </w:pPr>
            <w:r>
              <w:rPr>
                <w:rFonts w:hint="eastAsia" w:ascii="宋体" w:cs="宋体"/>
                <w:color w:val="000000"/>
                <w:kern w:val="0"/>
                <w:sz w:val="18"/>
                <w:szCs w:val="18"/>
              </w:rPr>
              <w:t>求</w:t>
            </w:r>
          </w:p>
        </w:tc>
        <w:tc>
          <w:tcPr>
            <w:tcW w:w="1143" w:type="pct"/>
            <w:gridSpan w:val="2"/>
            <w:shd w:val="clear" w:color="auto" w:fill="auto"/>
            <w:vAlign w:val="center"/>
          </w:tcPr>
          <w:p>
            <w:pPr>
              <w:widowControl/>
              <w:rPr>
                <w:rFonts w:ascii="宋体" w:cs="宋体"/>
                <w:color w:val="000000"/>
                <w:kern w:val="0"/>
                <w:sz w:val="18"/>
                <w:szCs w:val="18"/>
              </w:rPr>
            </w:pPr>
            <w:r>
              <w:rPr>
                <w:rFonts w:ascii="宋体" w:cs="宋体"/>
                <w:color w:val="000000"/>
                <w:kern w:val="0"/>
                <w:sz w:val="18"/>
                <w:szCs w:val="18"/>
              </w:rPr>
              <w:t>防老剂</w:t>
            </w:r>
            <w:r>
              <w:rPr>
                <w:rFonts w:hint="eastAsia" w:ascii="宋体" w:cs="宋体"/>
                <w:color w:val="000000"/>
                <w:kern w:val="0"/>
                <w:sz w:val="18"/>
                <w:szCs w:val="18"/>
              </w:rPr>
              <w:t>、</w:t>
            </w:r>
            <w:r>
              <w:rPr>
                <w:rFonts w:ascii="宋体" w:cs="宋体"/>
                <w:color w:val="000000"/>
                <w:kern w:val="0"/>
                <w:sz w:val="18"/>
                <w:szCs w:val="18"/>
              </w:rPr>
              <w:t>塑解剂</w:t>
            </w:r>
            <w:r>
              <w:rPr>
                <w:rFonts w:hint="eastAsia" w:ascii="宋体" w:cs="宋体"/>
                <w:color w:val="000000"/>
                <w:kern w:val="0"/>
                <w:sz w:val="18"/>
                <w:szCs w:val="18"/>
              </w:rPr>
              <w:t>、</w:t>
            </w:r>
            <w:r>
              <w:rPr>
                <w:rFonts w:ascii="宋体" w:cs="宋体"/>
                <w:color w:val="000000"/>
                <w:kern w:val="0"/>
                <w:sz w:val="18"/>
                <w:szCs w:val="18"/>
              </w:rPr>
              <w:t>助剂等</w:t>
            </w:r>
          </w:p>
        </w:tc>
        <w:tc>
          <w:tcPr>
            <w:tcW w:w="593" w:type="pct"/>
            <w:shd w:val="clear" w:color="auto" w:fill="auto"/>
            <w:noWrap/>
            <w:vAlign w:val="center"/>
          </w:tcPr>
          <w:p>
            <w:pPr>
              <w:widowControl/>
              <w:jc w:val="center"/>
              <w:rPr>
                <w:rFonts w:hAnsi="宋体"/>
                <w:color w:val="000000"/>
                <w:kern w:val="0"/>
                <w:sz w:val="18"/>
                <w:szCs w:val="18"/>
                <w:vertAlign w:val="superscript"/>
              </w:rPr>
            </w:pPr>
            <w:r>
              <w:rPr>
                <w:rFonts w:hint="eastAsia" w:hAnsi="宋体"/>
                <w:color w:val="000000"/>
                <w:kern w:val="0"/>
                <w:sz w:val="18"/>
                <w:szCs w:val="18"/>
              </w:rPr>
              <w:t>—</w:t>
            </w:r>
          </w:p>
        </w:tc>
        <w:tc>
          <w:tcPr>
            <w:tcW w:w="2001" w:type="pct"/>
            <w:gridSpan w:val="3"/>
            <w:shd w:val="clear" w:color="auto" w:fill="auto"/>
            <w:noWrap/>
            <w:vAlign w:val="center"/>
          </w:tcPr>
          <w:p>
            <w:pPr>
              <w:rPr>
                <w:color w:val="000000"/>
                <w:kern w:val="0"/>
                <w:sz w:val="18"/>
                <w:szCs w:val="18"/>
              </w:rPr>
            </w:pPr>
            <w:r>
              <w:rPr>
                <w:rFonts w:hint="eastAsia"/>
                <w:color w:val="000000"/>
                <w:kern w:val="0"/>
                <w:sz w:val="18"/>
                <w:szCs w:val="18"/>
              </w:rPr>
              <w:t>不使用防老剂；不使用产生含吗啡啉物质的助剂，如吗啡啉类硫磺给予体DTDM CAS 103-34-4)等；不使用分解后会产生仲胺的硫化促进剂和硫磺给予体等橡胶助剂，如：秋兰姆类促进剂TMTM (CAS 137-26-8)、TMTD (CAS 97-74-5)、</w:t>
            </w:r>
            <w:r>
              <w:rPr>
                <w:color w:val="000000"/>
                <w:kern w:val="0"/>
                <w:sz w:val="18"/>
                <w:szCs w:val="18"/>
              </w:rPr>
              <w:t>NOBS(CAS 181213-09-2)</w:t>
            </w:r>
            <w:r>
              <w:rPr>
                <w:rFonts w:hint="eastAsia"/>
                <w:color w:val="000000"/>
                <w:kern w:val="0"/>
                <w:sz w:val="18"/>
                <w:szCs w:val="18"/>
              </w:rPr>
              <w:t>等。</w:t>
            </w:r>
          </w:p>
        </w:tc>
        <w:tc>
          <w:tcPr>
            <w:tcW w:w="639" w:type="pct"/>
            <w:vAlign w:val="center"/>
          </w:tcPr>
          <w:p>
            <w:pPr>
              <w:widowControl/>
              <w:jc w:val="center"/>
              <w:rPr>
                <w:rFonts w:hAnsi="宋体"/>
                <w:color w:val="000000"/>
                <w:kern w:val="0"/>
                <w:sz w:val="18"/>
                <w:szCs w:val="18"/>
              </w:rPr>
            </w:pPr>
            <w:r>
              <w:rPr>
                <w:rFonts w:hAnsi="宋体"/>
                <w:color w:val="000000"/>
                <w:kern w:val="0"/>
                <w:sz w:val="18"/>
                <w:szCs w:val="18"/>
              </w:rPr>
              <w:t>提交证明资料结合现场检查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widowControl/>
              <w:rPr>
                <w:rFonts w:ascii="宋体" w:cs="宋体"/>
                <w:color w:val="000000"/>
                <w:kern w:val="0"/>
                <w:sz w:val="18"/>
                <w:szCs w:val="18"/>
              </w:rPr>
            </w:pPr>
          </w:p>
        </w:tc>
        <w:tc>
          <w:tcPr>
            <w:tcW w:w="1143" w:type="pct"/>
            <w:gridSpan w:val="2"/>
            <w:shd w:val="clear" w:color="auto" w:fill="auto"/>
            <w:vAlign w:val="center"/>
          </w:tcPr>
          <w:p>
            <w:pPr>
              <w:widowControl/>
              <w:rPr>
                <w:rFonts w:ascii="宋体" w:cs="宋体"/>
                <w:color w:val="000000"/>
                <w:kern w:val="0"/>
                <w:sz w:val="18"/>
                <w:szCs w:val="18"/>
              </w:rPr>
            </w:pPr>
            <w:r>
              <w:rPr>
                <w:rFonts w:hint="eastAsia" w:ascii="宋体" w:cs="宋体"/>
                <w:color w:val="000000"/>
                <w:kern w:val="0"/>
                <w:sz w:val="18"/>
                <w:szCs w:val="18"/>
              </w:rPr>
              <w:t>阻燃剂</w:t>
            </w:r>
          </w:p>
        </w:tc>
        <w:tc>
          <w:tcPr>
            <w:tcW w:w="593"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w:t>
            </w:r>
          </w:p>
        </w:tc>
        <w:tc>
          <w:tcPr>
            <w:tcW w:w="2001" w:type="pct"/>
            <w:gridSpan w:val="3"/>
            <w:shd w:val="clear" w:color="auto" w:fill="auto"/>
            <w:noWrap/>
            <w:vAlign w:val="center"/>
          </w:tcPr>
          <w:p>
            <w:pPr>
              <w:rPr>
                <w:color w:val="000000"/>
                <w:kern w:val="0"/>
                <w:sz w:val="18"/>
                <w:szCs w:val="18"/>
              </w:rPr>
            </w:pPr>
            <w:r>
              <w:rPr>
                <w:rFonts w:hint="eastAsia"/>
                <w:color w:val="000000"/>
                <w:kern w:val="0"/>
                <w:sz w:val="18"/>
                <w:szCs w:val="18"/>
              </w:rPr>
              <w:t>不使用含有多溴联苯、三-（2,3-二溴丙基）-磷酸酯、二溴二苯醚、八溴联苯醚、六溴环十二烷的阻燃剂</w:t>
            </w:r>
          </w:p>
        </w:tc>
        <w:tc>
          <w:tcPr>
            <w:tcW w:w="639" w:type="pct"/>
            <w:vAlign w:val="center"/>
          </w:tcPr>
          <w:p>
            <w:pPr>
              <w:widowControl/>
              <w:jc w:val="center"/>
              <w:rPr>
                <w:sz w:val="18"/>
                <w:szCs w:val="18"/>
              </w:rPr>
            </w:pPr>
            <w:r>
              <w:rPr>
                <w:rFonts w:hAnsi="宋体"/>
                <w:color w:val="000000"/>
                <w:kern w:val="0"/>
                <w:sz w:val="18"/>
                <w:szCs w:val="18"/>
              </w:rPr>
              <w:t>提交证明资料结合现场检查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1438" w:type="pct"/>
            <w:gridSpan w:val="3"/>
            <w:shd w:val="clear" w:color="auto" w:fill="auto"/>
            <w:noWrap/>
            <w:vAlign w:val="center"/>
          </w:tcPr>
          <w:p>
            <w:pPr>
              <w:widowControl/>
              <w:rPr>
                <w:rFonts w:ascii="宋体" w:cs="宋体"/>
                <w:color w:val="000000"/>
                <w:kern w:val="0"/>
                <w:sz w:val="18"/>
                <w:szCs w:val="18"/>
              </w:rPr>
            </w:pPr>
            <w:r>
              <w:rPr>
                <w:rFonts w:hint="eastAsia" w:ascii="宋体" w:cs="宋体"/>
                <w:color w:val="000000"/>
                <w:kern w:val="0"/>
                <w:sz w:val="18"/>
                <w:szCs w:val="18"/>
              </w:rPr>
              <w:t>单位产品新鲜水消耗量</w:t>
            </w:r>
          </w:p>
        </w:tc>
        <w:tc>
          <w:tcPr>
            <w:tcW w:w="593"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t/t</w:t>
            </w:r>
          </w:p>
        </w:tc>
        <w:tc>
          <w:tcPr>
            <w:tcW w:w="667" w:type="pct"/>
            <w:shd w:val="clear" w:color="auto" w:fill="auto"/>
            <w:noWrap/>
            <w:vAlign w:val="center"/>
          </w:tcPr>
          <w:p>
            <w:pPr>
              <w:jc w:val="center"/>
              <w:rPr>
                <w:color w:val="000000"/>
                <w:kern w:val="0"/>
                <w:sz w:val="18"/>
                <w:szCs w:val="18"/>
              </w:rPr>
            </w:pPr>
            <w:r>
              <w:rPr>
                <w:rFonts w:hint="eastAsia"/>
                <w:color w:val="000000"/>
                <w:kern w:val="0"/>
                <w:sz w:val="18"/>
                <w:szCs w:val="18"/>
              </w:rPr>
              <w:t>≤7.50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≤7.00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≤6.60</w:t>
            </w:r>
          </w:p>
        </w:tc>
        <w:tc>
          <w:tcPr>
            <w:tcW w:w="639" w:type="pct"/>
            <w:vAlign w:val="center"/>
          </w:tcPr>
          <w:p>
            <w:pPr>
              <w:widowControl/>
              <w:jc w:val="center"/>
              <w:rPr>
                <w:sz w:val="18"/>
                <w:szCs w:val="18"/>
              </w:rPr>
            </w:pPr>
            <w:r>
              <w:rPr>
                <w:rFonts w:hint="eastAsia"/>
                <w:sz w:val="18"/>
                <w:szCs w:val="18"/>
              </w:rPr>
              <w:t>附录A.1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shd w:val="clear" w:color="auto" w:fill="auto"/>
            <w:noWrap/>
            <w:vAlign w:val="center"/>
          </w:tcPr>
          <w:p>
            <w:pPr>
              <w:widowControl/>
              <w:jc w:val="center"/>
              <w:rPr>
                <w:rFonts w:hAnsi="宋体"/>
                <w:color w:val="000000"/>
                <w:kern w:val="0"/>
                <w:sz w:val="18"/>
                <w:szCs w:val="18"/>
              </w:rPr>
            </w:pPr>
            <w:r>
              <w:rPr>
                <w:rFonts w:hAnsi="宋体"/>
                <w:color w:val="000000"/>
                <w:kern w:val="0"/>
                <w:sz w:val="18"/>
                <w:szCs w:val="18"/>
              </w:rPr>
              <w:t>能源属性</w:t>
            </w:r>
          </w:p>
        </w:tc>
        <w:tc>
          <w:tcPr>
            <w:tcW w:w="1438" w:type="pct"/>
            <w:gridSpan w:val="3"/>
            <w:shd w:val="clear" w:color="auto" w:fill="auto"/>
            <w:noWrap/>
            <w:vAlign w:val="center"/>
          </w:tcPr>
          <w:p>
            <w:pPr>
              <w:widowControl/>
              <w:rPr>
                <w:rFonts w:ascii="宋体" w:cs="宋体"/>
                <w:color w:val="000000"/>
                <w:kern w:val="0"/>
                <w:sz w:val="18"/>
                <w:szCs w:val="18"/>
              </w:rPr>
            </w:pPr>
            <w:r>
              <w:rPr>
                <w:rFonts w:hint="eastAsia" w:ascii="宋体" w:cs="宋体"/>
                <w:color w:val="000000"/>
                <w:kern w:val="0"/>
                <w:sz w:val="18"/>
                <w:szCs w:val="18"/>
              </w:rPr>
              <w:t>单位产品能耗</w:t>
            </w:r>
          </w:p>
        </w:tc>
        <w:tc>
          <w:tcPr>
            <w:tcW w:w="593"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t</w:t>
            </w:r>
            <w:r>
              <w:rPr>
                <w:rFonts w:hAnsi="宋体"/>
                <w:color w:val="000000"/>
                <w:kern w:val="0"/>
                <w:sz w:val="18"/>
                <w:szCs w:val="18"/>
              </w:rPr>
              <w:t>ce/t</w:t>
            </w:r>
          </w:p>
        </w:tc>
        <w:tc>
          <w:tcPr>
            <w:tcW w:w="667" w:type="pct"/>
            <w:shd w:val="clear" w:color="auto" w:fill="auto"/>
            <w:noWrap/>
            <w:vAlign w:val="center"/>
          </w:tcPr>
          <w:p>
            <w:pPr>
              <w:jc w:val="center"/>
              <w:rPr>
                <w:color w:val="000000"/>
                <w:kern w:val="0"/>
                <w:sz w:val="18"/>
                <w:szCs w:val="18"/>
              </w:rPr>
            </w:pPr>
            <w:r>
              <w:rPr>
                <w:rFonts w:hint="eastAsia"/>
                <w:color w:val="000000"/>
                <w:kern w:val="0"/>
                <w:sz w:val="18"/>
                <w:szCs w:val="18"/>
              </w:rPr>
              <w:t>≤0.50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≤0.40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≤0.30</w:t>
            </w:r>
          </w:p>
        </w:tc>
        <w:tc>
          <w:tcPr>
            <w:tcW w:w="639" w:type="pct"/>
            <w:vAlign w:val="center"/>
          </w:tcPr>
          <w:p>
            <w:pPr>
              <w:widowControl/>
              <w:jc w:val="center"/>
              <w:rPr>
                <w:sz w:val="18"/>
                <w:szCs w:val="18"/>
              </w:rPr>
            </w:pPr>
            <w:r>
              <w:rPr>
                <w:rFonts w:hint="eastAsia"/>
                <w:sz w:val="18"/>
                <w:szCs w:val="18"/>
              </w:rPr>
              <w:t>附录A.2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restart"/>
            <w:shd w:val="clear" w:color="auto" w:fill="auto"/>
            <w:noWrap/>
            <w:vAlign w:val="center"/>
          </w:tcPr>
          <w:p>
            <w:pPr>
              <w:jc w:val="center"/>
              <w:rPr>
                <w:rFonts w:hAnsi="宋体"/>
                <w:color w:val="000000"/>
                <w:kern w:val="0"/>
                <w:sz w:val="18"/>
                <w:szCs w:val="18"/>
              </w:rPr>
            </w:pPr>
            <w:r>
              <w:rPr>
                <w:rFonts w:hint="eastAsia" w:hAnsi="宋体"/>
                <w:color w:val="000000"/>
                <w:kern w:val="0"/>
                <w:sz w:val="18"/>
                <w:szCs w:val="18"/>
              </w:rPr>
              <w:t>环境属性</w:t>
            </w:r>
          </w:p>
        </w:tc>
        <w:tc>
          <w:tcPr>
            <w:tcW w:w="1438" w:type="pct"/>
            <w:gridSpan w:val="3"/>
            <w:shd w:val="clear" w:color="auto" w:fill="auto"/>
            <w:noWrap/>
            <w:vAlign w:val="center"/>
          </w:tcPr>
          <w:p>
            <w:pPr>
              <w:widowControl/>
              <w:rPr>
                <w:rFonts w:ascii="宋体" w:cs="宋体"/>
                <w:color w:val="000000"/>
                <w:kern w:val="0"/>
                <w:sz w:val="18"/>
                <w:szCs w:val="18"/>
              </w:rPr>
            </w:pPr>
            <w:r>
              <w:rPr>
                <w:rFonts w:hint="eastAsia" w:hAnsi="宋体"/>
                <w:color w:val="000000"/>
                <w:kern w:val="0"/>
                <w:sz w:val="18"/>
                <w:szCs w:val="18"/>
              </w:rPr>
              <w:t>产品生命周期环境影响</w:t>
            </w:r>
          </w:p>
        </w:tc>
        <w:tc>
          <w:tcPr>
            <w:tcW w:w="593" w:type="pct"/>
            <w:shd w:val="clear" w:color="auto" w:fill="auto"/>
            <w:noWrap/>
            <w:vAlign w:val="center"/>
          </w:tcPr>
          <w:p>
            <w:pPr>
              <w:widowControl/>
              <w:jc w:val="center"/>
              <w:rPr>
                <w:rFonts w:hAnsi="宋体"/>
                <w:color w:val="000000"/>
                <w:kern w:val="0"/>
                <w:sz w:val="18"/>
                <w:szCs w:val="18"/>
              </w:rPr>
            </w:pPr>
            <w:r>
              <w:rPr>
                <w:rFonts w:hint="eastAsia"/>
                <w:color w:val="000000"/>
                <w:kern w:val="0"/>
                <w:sz w:val="18"/>
                <w:szCs w:val="18"/>
              </w:rPr>
              <w:t>—</w:t>
            </w:r>
          </w:p>
        </w:tc>
        <w:tc>
          <w:tcPr>
            <w:tcW w:w="2001" w:type="pct"/>
            <w:gridSpan w:val="3"/>
            <w:shd w:val="clear" w:color="auto" w:fill="auto"/>
            <w:noWrap/>
            <w:vAlign w:val="center"/>
          </w:tcPr>
          <w:p>
            <w:pPr>
              <w:jc w:val="center"/>
              <w:rPr>
                <w:color w:val="000000"/>
                <w:kern w:val="0"/>
                <w:sz w:val="18"/>
                <w:szCs w:val="18"/>
              </w:rPr>
            </w:pPr>
            <w:r>
              <w:rPr>
                <w:rFonts w:hint="eastAsia"/>
                <w:kern w:val="0"/>
                <w:sz w:val="18"/>
                <w:szCs w:val="18"/>
              </w:rPr>
              <w:t>进行环境产品声明（EPD）和碳足迹分析</w:t>
            </w:r>
          </w:p>
        </w:tc>
        <w:tc>
          <w:tcPr>
            <w:tcW w:w="639" w:type="pct"/>
            <w:vAlign w:val="center"/>
          </w:tcPr>
          <w:p>
            <w:pPr>
              <w:widowControl/>
              <w:jc w:val="center"/>
              <w:rPr>
                <w:sz w:val="18"/>
                <w:szCs w:val="18"/>
              </w:rPr>
            </w:pPr>
            <w:r>
              <w:rPr>
                <w:rFonts w:hint="eastAsia"/>
                <w:sz w:val="18"/>
                <w:szCs w:val="18"/>
              </w:rPr>
              <w:t>GB/T 24025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jc w:val="center"/>
              <w:rPr>
                <w:rFonts w:hAnsi="宋体"/>
                <w:color w:val="000000"/>
                <w:kern w:val="0"/>
                <w:sz w:val="18"/>
                <w:szCs w:val="18"/>
              </w:rPr>
            </w:pPr>
          </w:p>
        </w:tc>
        <w:tc>
          <w:tcPr>
            <w:tcW w:w="295" w:type="pct"/>
            <w:vMerge w:val="restart"/>
            <w:shd w:val="clear" w:color="auto" w:fill="auto"/>
            <w:noWrap/>
            <w:vAlign w:val="center"/>
          </w:tcPr>
          <w:p>
            <w:pPr>
              <w:widowControl/>
              <w:rPr>
                <w:rFonts w:ascii="宋体" w:cs="宋体"/>
                <w:color w:val="000000"/>
                <w:kern w:val="0"/>
                <w:sz w:val="18"/>
                <w:szCs w:val="18"/>
              </w:rPr>
            </w:pPr>
            <w:r>
              <w:rPr>
                <w:rFonts w:hint="eastAsia" w:ascii="宋体" w:cs="宋体"/>
                <w:color w:val="000000"/>
                <w:kern w:val="0"/>
                <w:sz w:val="18"/>
                <w:szCs w:val="18"/>
              </w:rPr>
              <w:t>有害物质限量</w:t>
            </w:r>
          </w:p>
          <w:p>
            <w:pPr>
              <w:widowControl/>
              <w:rPr>
                <w:rFonts w:ascii="宋体" w:cs="宋体"/>
                <w:color w:val="000000"/>
                <w:kern w:val="0"/>
                <w:sz w:val="18"/>
                <w:szCs w:val="18"/>
              </w:rPr>
            </w:pPr>
          </w:p>
        </w:tc>
        <w:tc>
          <w:tcPr>
            <w:tcW w:w="1143" w:type="pct"/>
            <w:gridSpan w:val="2"/>
            <w:shd w:val="clear" w:color="auto" w:fill="auto"/>
            <w:vAlign w:val="center"/>
          </w:tcPr>
          <w:p>
            <w:pPr>
              <w:widowControl/>
              <w:rPr>
                <w:rFonts w:ascii="宋体" w:cs="宋体"/>
                <w:color w:val="000000"/>
                <w:kern w:val="0"/>
                <w:sz w:val="18"/>
                <w:szCs w:val="18"/>
              </w:rPr>
            </w:pPr>
            <w:r>
              <w:rPr>
                <w:rFonts w:hint="eastAsia" w:ascii="宋体" w:cs="宋体"/>
                <w:color w:val="000000"/>
                <w:kern w:val="0"/>
                <w:sz w:val="18"/>
                <w:szCs w:val="18"/>
              </w:rPr>
              <w:t>总挥发性有机化合物（TVOC）释放量</w:t>
            </w:r>
          </w:p>
        </w:tc>
        <w:tc>
          <w:tcPr>
            <w:tcW w:w="593" w:type="pct"/>
            <w:vMerge w:val="restar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mg/（m</w:t>
            </w:r>
            <w:r>
              <w:rPr>
                <w:rFonts w:hint="eastAsia" w:hAnsi="宋体"/>
                <w:color w:val="000000"/>
                <w:kern w:val="0"/>
                <w:sz w:val="18"/>
                <w:szCs w:val="18"/>
                <w:vertAlign w:val="superscript"/>
              </w:rPr>
              <w:t>2</w:t>
            </w:r>
            <w:r>
              <w:rPr>
                <w:rFonts w:hint="eastAsia" w:hAnsi="宋体"/>
                <w:color w:val="000000"/>
                <w:kern w:val="0"/>
                <w:sz w:val="18"/>
                <w:szCs w:val="18"/>
              </w:rPr>
              <w:t>·h）</w:t>
            </w:r>
          </w:p>
        </w:tc>
        <w:tc>
          <w:tcPr>
            <w:tcW w:w="667" w:type="pct"/>
            <w:shd w:val="clear" w:color="auto" w:fill="auto"/>
            <w:noWrap/>
            <w:vAlign w:val="center"/>
          </w:tcPr>
          <w:p>
            <w:pPr>
              <w:jc w:val="center"/>
              <w:rPr>
                <w:kern w:val="0"/>
                <w:sz w:val="18"/>
                <w:szCs w:val="18"/>
              </w:rPr>
            </w:pPr>
            <w:r>
              <w:rPr>
                <w:rFonts w:hint="eastAsia"/>
                <w:kern w:val="0"/>
                <w:sz w:val="18"/>
                <w:szCs w:val="18"/>
              </w:rPr>
              <w:t>≤0.80</w:t>
            </w:r>
          </w:p>
        </w:tc>
        <w:tc>
          <w:tcPr>
            <w:tcW w:w="667" w:type="pct"/>
            <w:shd w:val="clear" w:color="auto" w:fill="auto"/>
            <w:vAlign w:val="center"/>
          </w:tcPr>
          <w:p>
            <w:pPr>
              <w:jc w:val="center"/>
              <w:rPr>
                <w:kern w:val="0"/>
                <w:sz w:val="18"/>
                <w:szCs w:val="18"/>
              </w:rPr>
            </w:pPr>
            <w:r>
              <w:rPr>
                <w:rFonts w:hint="eastAsia"/>
                <w:kern w:val="0"/>
                <w:sz w:val="18"/>
                <w:szCs w:val="18"/>
              </w:rPr>
              <w:t>≤0.50</w:t>
            </w:r>
          </w:p>
        </w:tc>
        <w:tc>
          <w:tcPr>
            <w:tcW w:w="667" w:type="pct"/>
            <w:shd w:val="clear" w:color="auto" w:fill="auto"/>
            <w:vAlign w:val="center"/>
          </w:tcPr>
          <w:p>
            <w:pPr>
              <w:jc w:val="center"/>
              <w:rPr>
                <w:kern w:val="0"/>
                <w:sz w:val="18"/>
                <w:szCs w:val="18"/>
              </w:rPr>
            </w:pPr>
            <w:r>
              <w:rPr>
                <w:rFonts w:hint="eastAsia"/>
                <w:kern w:val="0"/>
                <w:sz w:val="18"/>
                <w:szCs w:val="18"/>
              </w:rPr>
              <w:t>≤0.30</w:t>
            </w:r>
          </w:p>
        </w:tc>
        <w:tc>
          <w:tcPr>
            <w:tcW w:w="639" w:type="pct"/>
            <w:vMerge w:val="restart"/>
            <w:vAlign w:val="center"/>
          </w:tcPr>
          <w:p>
            <w:pPr>
              <w:widowControl/>
              <w:jc w:val="center"/>
              <w:rPr>
                <w:sz w:val="18"/>
                <w:szCs w:val="18"/>
              </w:rPr>
            </w:pPr>
            <w:r>
              <w:rPr>
                <w:rFonts w:hint="eastAsia"/>
                <w:sz w:val="18"/>
                <w:szCs w:val="18"/>
              </w:rPr>
              <w:t>GB 18587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jc w:val="center"/>
              <w:rPr>
                <w:rFonts w:hAnsi="宋体"/>
                <w:color w:val="000000"/>
                <w:kern w:val="0"/>
                <w:sz w:val="18"/>
                <w:szCs w:val="18"/>
              </w:rPr>
            </w:pPr>
          </w:p>
        </w:tc>
        <w:tc>
          <w:tcPr>
            <w:tcW w:w="295" w:type="pct"/>
            <w:vMerge w:val="continue"/>
            <w:shd w:val="clear" w:color="auto" w:fill="auto"/>
            <w:noWrap/>
            <w:vAlign w:val="center"/>
          </w:tcPr>
          <w:p>
            <w:pPr>
              <w:widowControl/>
              <w:rPr>
                <w:rFonts w:ascii="宋体" w:cs="宋体"/>
                <w:color w:val="000000"/>
                <w:kern w:val="0"/>
                <w:sz w:val="18"/>
                <w:szCs w:val="18"/>
              </w:rPr>
            </w:pPr>
          </w:p>
        </w:tc>
        <w:tc>
          <w:tcPr>
            <w:tcW w:w="1143" w:type="pct"/>
            <w:gridSpan w:val="2"/>
            <w:shd w:val="clear" w:color="auto" w:fill="auto"/>
            <w:vAlign w:val="center"/>
          </w:tcPr>
          <w:p>
            <w:pPr>
              <w:widowControl/>
              <w:rPr>
                <w:rFonts w:ascii="宋体" w:cs="宋体"/>
                <w:color w:val="000000"/>
                <w:kern w:val="0"/>
                <w:sz w:val="18"/>
                <w:szCs w:val="18"/>
              </w:rPr>
            </w:pPr>
            <w:r>
              <w:rPr>
                <w:rFonts w:hint="eastAsia" w:ascii="宋体" w:cs="宋体"/>
                <w:color w:val="000000"/>
                <w:kern w:val="0"/>
                <w:sz w:val="18"/>
                <w:szCs w:val="18"/>
              </w:rPr>
              <w:t>甲醛释放量</w:t>
            </w:r>
          </w:p>
        </w:tc>
        <w:tc>
          <w:tcPr>
            <w:tcW w:w="593" w:type="pct"/>
            <w:vMerge w:val="continue"/>
            <w:shd w:val="clear" w:color="auto" w:fill="auto"/>
            <w:noWrap/>
            <w:vAlign w:val="center"/>
          </w:tcPr>
          <w:p>
            <w:pPr>
              <w:widowControl/>
              <w:jc w:val="center"/>
              <w:rPr>
                <w:rFonts w:hAnsi="宋体"/>
                <w:color w:val="000000"/>
                <w:kern w:val="0"/>
                <w:sz w:val="18"/>
                <w:szCs w:val="18"/>
              </w:rPr>
            </w:pPr>
          </w:p>
        </w:tc>
        <w:tc>
          <w:tcPr>
            <w:tcW w:w="667" w:type="pct"/>
            <w:shd w:val="clear" w:color="auto" w:fill="auto"/>
            <w:noWrap/>
            <w:vAlign w:val="center"/>
          </w:tcPr>
          <w:p>
            <w:pPr>
              <w:jc w:val="center"/>
              <w:rPr>
                <w:color w:val="000000"/>
                <w:kern w:val="0"/>
                <w:sz w:val="18"/>
                <w:szCs w:val="18"/>
              </w:rPr>
            </w:pPr>
            <w:r>
              <w:rPr>
                <w:rFonts w:hint="eastAsia"/>
                <w:kern w:val="0"/>
                <w:sz w:val="18"/>
                <w:szCs w:val="18"/>
              </w:rPr>
              <w:t>≤0</w:t>
            </w:r>
            <w:r>
              <w:rPr>
                <w:kern w:val="0"/>
                <w:sz w:val="18"/>
                <w:szCs w:val="18"/>
              </w:rPr>
              <w:t>.0</w:t>
            </w:r>
            <w:r>
              <w:rPr>
                <w:rFonts w:hint="eastAsia"/>
                <w:kern w:val="0"/>
                <w:sz w:val="18"/>
                <w:szCs w:val="18"/>
              </w:rPr>
              <w:t>3</w:t>
            </w:r>
          </w:p>
        </w:tc>
        <w:tc>
          <w:tcPr>
            <w:tcW w:w="667" w:type="pct"/>
            <w:shd w:val="clear" w:color="auto" w:fill="auto"/>
            <w:vAlign w:val="center"/>
          </w:tcPr>
          <w:p>
            <w:pPr>
              <w:jc w:val="center"/>
              <w:rPr>
                <w:color w:val="000000"/>
                <w:kern w:val="0"/>
                <w:sz w:val="18"/>
                <w:szCs w:val="18"/>
              </w:rPr>
            </w:pPr>
            <w:r>
              <w:rPr>
                <w:rFonts w:hint="eastAsia"/>
                <w:kern w:val="0"/>
                <w:sz w:val="18"/>
                <w:szCs w:val="18"/>
              </w:rPr>
              <w:t>≤0.02</w:t>
            </w:r>
          </w:p>
        </w:tc>
        <w:tc>
          <w:tcPr>
            <w:tcW w:w="667" w:type="pct"/>
            <w:shd w:val="clear" w:color="auto" w:fill="auto"/>
            <w:vAlign w:val="center"/>
          </w:tcPr>
          <w:p>
            <w:pPr>
              <w:jc w:val="center"/>
              <w:rPr>
                <w:color w:val="000000"/>
                <w:kern w:val="0"/>
                <w:sz w:val="18"/>
                <w:szCs w:val="18"/>
              </w:rPr>
            </w:pPr>
            <w:r>
              <w:rPr>
                <w:rFonts w:hint="eastAsia"/>
                <w:kern w:val="0"/>
                <w:sz w:val="18"/>
                <w:szCs w:val="18"/>
              </w:rPr>
              <w:t>≤0.0</w:t>
            </w:r>
            <w:r>
              <w:rPr>
                <w:kern w:val="0"/>
                <w:sz w:val="18"/>
                <w:szCs w:val="18"/>
              </w:rPr>
              <w:t>1</w:t>
            </w:r>
          </w:p>
        </w:tc>
        <w:tc>
          <w:tcPr>
            <w:tcW w:w="639" w:type="pct"/>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jc w:val="center"/>
              <w:rPr>
                <w:rFonts w:hAnsi="宋体"/>
                <w:color w:val="000000"/>
                <w:kern w:val="0"/>
                <w:sz w:val="18"/>
                <w:szCs w:val="18"/>
              </w:rPr>
            </w:pPr>
          </w:p>
        </w:tc>
        <w:tc>
          <w:tcPr>
            <w:tcW w:w="295" w:type="pct"/>
            <w:vMerge w:val="continue"/>
            <w:shd w:val="clear" w:color="auto" w:fill="auto"/>
            <w:noWrap/>
            <w:vAlign w:val="center"/>
          </w:tcPr>
          <w:p>
            <w:pPr>
              <w:widowControl/>
              <w:rPr>
                <w:rFonts w:ascii="宋体" w:cs="宋体"/>
                <w:color w:val="000000"/>
                <w:kern w:val="0"/>
                <w:sz w:val="18"/>
                <w:szCs w:val="18"/>
              </w:rPr>
            </w:pPr>
          </w:p>
        </w:tc>
        <w:tc>
          <w:tcPr>
            <w:tcW w:w="1143" w:type="pct"/>
            <w:gridSpan w:val="2"/>
            <w:shd w:val="clear" w:color="auto" w:fill="auto"/>
            <w:vAlign w:val="center"/>
          </w:tcPr>
          <w:p>
            <w:pPr>
              <w:widowControl/>
              <w:rPr>
                <w:rFonts w:ascii="宋体" w:cs="宋体"/>
                <w:color w:val="000000"/>
                <w:kern w:val="0"/>
                <w:sz w:val="18"/>
                <w:szCs w:val="18"/>
              </w:rPr>
            </w:pPr>
            <w:r>
              <w:rPr>
                <w:rFonts w:hint="eastAsia" w:ascii="宋体" w:cs="宋体"/>
                <w:color w:val="000000"/>
                <w:kern w:val="0"/>
                <w:sz w:val="18"/>
                <w:szCs w:val="18"/>
              </w:rPr>
              <w:t>丁基羟基甲苯</w:t>
            </w:r>
          </w:p>
        </w:tc>
        <w:tc>
          <w:tcPr>
            <w:tcW w:w="593" w:type="pct"/>
            <w:vMerge w:val="continue"/>
            <w:shd w:val="clear" w:color="auto" w:fill="auto"/>
            <w:noWrap/>
            <w:vAlign w:val="center"/>
          </w:tcPr>
          <w:p>
            <w:pPr>
              <w:widowControl/>
              <w:jc w:val="center"/>
              <w:rPr>
                <w:rFonts w:hAnsi="宋体"/>
                <w:color w:val="000000"/>
                <w:kern w:val="0"/>
                <w:sz w:val="18"/>
                <w:szCs w:val="18"/>
              </w:rPr>
            </w:pPr>
          </w:p>
        </w:tc>
        <w:tc>
          <w:tcPr>
            <w:tcW w:w="667" w:type="pct"/>
            <w:shd w:val="clear" w:color="auto" w:fill="auto"/>
            <w:noWrap/>
            <w:vAlign w:val="center"/>
          </w:tcPr>
          <w:p>
            <w:pPr>
              <w:jc w:val="center"/>
              <w:rPr>
                <w:color w:val="000000"/>
                <w:kern w:val="0"/>
                <w:sz w:val="18"/>
                <w:szCs w:val="18"/>
              </w:rPr>
            </w:pPr>
            <w:r>
              <w:rPr>
                <w:rFonts w:hint="eastAsia"/>
                <w:color w:val="000000"/>
                <w:kern w:val="0"/>
                <w:sz w:val="18"/>
                <w:szCs w:val="18"/>
              </w:rPr>
              <w:t>≤0.030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≤0.0</w:t>
            </w:r>
            <w:r>
              <w:rPr>
                <w:color w:val="000000"/>
                <w:kern w:val="0"/>
                <w:sz w:val="18"/>
                <w:szCs w:val="18"/>
              </w:rPr>
              <w:t>2</w:t>
            </w:r>
            <w:r>
              <w:rPr>
                <w:rFonts w:hint="eastAsia"/>
                <w:color w:val="000000"/>
                <w:kern w:val="0"/>
                <w:sz w:val="18"/>
                <w:szCs w:val="18"/>
              </w:rPr>
              <w:t>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≤0.010</w:t>
            </w:r>
          </w:p>
        </w:tc>
        <w:tc>
          <w:tcPr>
            <w:tcW w:w="639" w:type="pct"/>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jc w:val="center"/>
              <w:rPr>
                <w:rFonts w:hAnsi="宋体"/>
                <w:color w:val="000000"/>
                <w:kern w:val="0"/>
                <w:sz w:val="18"/>
                <w:szCs w:val="18"/>
              </w:rPr>
            </w:pPr>
          </w:p>
        </w:tc>
        <w:tc>
          <w:tcPr>
            <w:tcW w:w="295" w:type="pct"/>
            <w:vMerge w:val="continue"/>
            <w:shd w:val="clear" w:color="auto" w:fill="auto"/>
            <w:noWrap/>
            <w:vAlign w:val="center"/>
          </w:tcPr>
          <w:p>
            <w:pPr>
              <w:widowControl/>
              <w:rPr>
                <w:rFonts w:ascii="宋体" w:cs="宋体"/>
                <w:color w:val="000000"/>
                <w:kern w:val="0"/>
                <w:sz w:val="18"/>
                <w:szCs w:val="18"/>
              </w:rPr>
            </w:pPr>
          </w:p>
        </w:tc>
        <w:tc>
          <w:tcPr>
            <w:tcW w:w="1143" w:type="pct"/>
            <w:gridSpan w:val="2"/>
            <w:shd w:val="clear" w:color="auto" w:fill="auto"/>
            <w:vAlign w:val="center"/>
          </w:tcPr>
          <w:p>
            <w:pPr>
              <w:widowControl/>
              <w:rPr>
                <w:rFonts w:ascii="宋体" w:cs="宋体"/>
                <w:color w:val="000000"/>
                <w:kern w:val="0"/>
                <w:sz w:val="18"/>
                <w:szCs w:val="18"/>
              </w:rPr>
            </w:pPr>
            <w:r>
              <w:rPr>
                <w:rFonts w:hint="eastAsia" w:ascii="宋体" w:cs="宋体"/>
                <w:color w:val="000000"/>
                <w:kern w:val="0"/>
                <w:sz w:val="18"/>
                <w:szCs w:val="18"/>
              </w:rPr>
              <w:t>4-苯基环己烯</w:t>
            </w:r>
          </w:p>
        </w:tc>
        <w:tc>
          <w:tcPr>
            <w:tcW w:w="593" w:type="pct"/>
            <w:vMerge w:val="continue"/>
            <w:shd w:val="clear" w:color="auto" w:fill="auto"/>
            <w:noWrap/>
            <w:vAlign w:val="center"/>
          </w:tcPr>
          <w:p>
            <w:pPr>
              <w:widowControl/>
              <w:jc w:val="center"/>
              <w:rPr>
                <w:rFonts w:hAnsi="宋体"/>
                <w:color w:val="000000"/>
                <w:kern w:val="0"/>
                <w:sz w:val="18"/>
                <w:szCs w:val="18"/>
              </w:rPr>
            </w:pPr>
          </w:p>
        </w:tc>
        <w:tc>
          <w:tcPr>
            <w:tcW w:w="667" w:type="pct"/>
            <w:shd w:val="clear" w:color="auto" w:fill="auto"/>
            <w:noWrap/>
            <w:vAlign w:val="center"/>
          </w:tcPr>
          <w:p>
            <w:pPr>
              <w:jc w:val="center"/>
              <w:rPr>
                <w:color w:val="000000"/>
                <w:kern w:val="0"/>
                <w:sz w:val="18"/>
                <w:szCs w:val="18"/>
              </w:rPr>
            </w:pPr>
            <w:r>
              <w:rPr>
                <w:rFonts w:hint="eastAsia"/>
                <w:color w:val="000000"/>
                <w:kern w:val="0"/>
                <w:sz w:val="18"/>
                <w:szCs w:val="18"/>
              </w:rPr>
              <w:t>≤0.050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≤0.030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≤0.020</w:t>
            </w:r>
          </w:p>
        </w:tc>
        <w:tc>
          <w:tcPr>
            <w:tcW w:w="639" w:type="pct"/>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jc w:val="center"/>
              <w:rPr>
                <w:rFonts w:hAnsi="宋体"/>
                <w:color w:val="000000"/>
                <w:kern w:val="0"/>
                <w:sz w:val="18"/>
                <w:szCs w:val="18"/>
              </w:rPr>
            </w:pPr>
          </w:p>
        </w:tc>
        <w:tc>
          <w:tcPr>
            <w:tcW w:w="295" w:type="pct"/>
            <w:vMerge w:val="continue"/>
            <w:shd w:val="clear" w:color="auto" w:fill="auto"/>
            <w:noWrap/>
            <w:vAlign w:val="center"/>
          </w:tcPr>
          <w:p>
            <w:pPr>
              <w:widowControl/>
              <w:rPr>
                <w:rFonts w:ascii="宋体" w:cs="宋体"/>
                <w:color w:val="000000"/>
                <w:kern w:val="0"/>
                <w:sz w:val="18"/>
                <w:szCs w:val="18"/>
              </w:rPr>
            </w:pPr>
          </w:p>
        </w:tc>
        <w:tc>
          <w:tcPr>
            <w:tcW w:w="1143" w:type="pct"/>
            <w:gridSpan w:val="2"/>
            <w:shd w:val="clear" w:color="auto" w:fill="auto"/>
            <w:vAlign w:val="center"/>
          </w:tcPr>
          <w:p>
            <w:pPr>
              <w:widowControl/>
              <w:rPr>
                <w:rFonts w:ascii="宋体" w:cs="宋体"/>
                <w:color w:val="000000"/>
                <w:kern w:val="0"/>
                <w:sz w:val="18"/>
                <w:szCs w:val="18"/>
              </w:rPr>
            </w:pPr>
            <w:r>
              <w:rPr>
                <w:rFonts w:hint="eastAsia" w:ascii="宋体" w:cs="宋体"/>
                <w:color w:val="000000"/>
                <w:kern w:val="0"/>
                <w:sz w:val="18"/>
                <w:szCs w:val="18"/>
              </w:rPr>
              <w:t>二硫化碳</w:t>
            </w:r>
          </w:p>
        </w:tc>
        <w:tc>
          <w:tcPr>
            <w:tcW w:w="593" w:type="pct"/>
            <w:vMerge w:val="continue"/>
            <w:shd w:val="clear" w:color="auto" w:fill="auto"/>
            <w:noWrap/>
            <w:vAlign w:val="center"/>
          </w:tcPr>
          <w:p>
            <w:pPr>
              <w:widowControl/>
              <w:jc w:val="center"/>
              <w:rPr>
                <w:rFonts w:hAnsi="宋体"/>
                <w:color w:val="000000"/>
                <w:kern w:val="0"/>
                <w:sz w:val="18"/>
                <w:szCs w:val="18"/>
              </w:rPr>
            </w:pPr>
          </w:p>
        </w:tc>
        <w:tc>
          <w:tcPr>
            <w:tcW w:w="667" w:type="pct"/>
            <w:shd w:val="clear" w:color="auto" w:fill="auto"/>
            <w:noWrap/>
            <w:vAlign w:val="center"/>
          </w:tcPr>
          <w:p>
            <w:pPr>
              <w:jc w:val="center"/>
              <w:rPr>
                <w:color w:val="000000"/>
                <w:kern w:val="0"/>
                <w:sz w:val="18"/>
                <w:szCs w:val="18"/>
              </w:rPr>
            </w:pPr>
            <w:r>
              <w:rPr>
                <w:rFonts w:hint="eastAsia"/>
                <w:color w:val="000000"/>
                <w:kern w:val="0"/>
                <w:sz w:val="18"/>
                <w:szCs w:val="18"/>
              </w:rPr>
              <w:t>≤2.0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≤2.0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≤1.0</w:t>
            </w:r>
          </w:p>
        </w:tc>
        <w:tc>
          <w:tcPr>
            <w:tcW w:w="639" w:type="pct"/>
            <w:vAlign w:val="center"/>
          </w:tcPr>
          <w:p>
            <w:pPr>
              <w:widowControl/>
              <w:jc w:val="center"/>
              <w:rPr>
                <w:sz w:val="18"/>
                <w:szCs w:val="18"/>
              </w:rPr>
            </w:pPr>
            <w:r>
              <w:rPr>
                <w:rFonts w:hint="eastAsia"/>
                <w:sz w:val="18"/>
                <w:szCs w:val="18"/>
              </w:rPr>
              <w:t>GB 36246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pStyle w:val="48"/>
              <w:jc w:val="both"/>
              <w:rPr>
                <w:sz w:val="18"/>
                <w:szCs w:val="18"/>
              </w:rPr>
            </w:pPr>
          </w:p>
        </w:tc>
        <w:tc>
          <w:tcPr>
            <w:tcW w:w="371" w:type="pct"/>
            <w:vMerge w:val="restart"/>
            <w:shd w:val="clear" w:color="auto" w:fill="auto"/>
            <w:vAlign w:val="center"/>
          </w:tcPr>
          <w:p>
            <w:pPr>
              <w:pStyle w:val="48"/>
              <w:jc w:val="both"/>
              <w:rPr>
                <w:sz w:val="18"/>
                <w:szCs w:val="18"/>
              </w:rPr>
            </w:pPr>
            <w:r>
              <w:rPr>
                <w:rFonts w:hint="eastAsia"/>
                <w:sz w:val="18"/>
                <w:szCs w:val="18"/>
              </w:rPr>
              <w:t>可溶性重金属含量</w:t>
            </w:r>
          </w:p>
        </w:tc>
        <w:tc>
          <w:tcPr>
            <w:tcW w:w="772" w:type="pct"/>
            <w:shd w:val="clear" w:color="auto" w:fill="auto"/>
            <w:vAlign w:val="center"/>
          </w:tcPr>
          <w:p>
            <w:pPr>
              <w:widowControl/>
              <w:jc w:val="center"/>
              <w:rPr>
                <w:sz w:val="18"/>
                <w:szCs w:val="18"/>
              </w:rPr>
            </w:pPr>
            <w:r>
              <w:rPr>
                <w:rFonts w:hint="eastAsia"/>
                <w:sz w:val="18"/>
                <w:szCs w:val="18"/>
              </w:rPr>
              <w:t>铅</w:t>
            </w:r>
          </w:p>
        </w:tc>
        <w:tc>
          <w:tcPr>
            <w:tcW w:w="593" w:type="pct"/>
            <w:vMerge w:val="restar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mg/</w:t>
            </w:r>
            <w:r>
              <w:rPr>
                <w:rFonts w:hAnsi="宋体"/>
                <w:color w:val="000000"/>
                <w:kern w:val="0"/>
                <w:sz w:val="18"/>
                <w:szCs w:val="18"/>
              </w:rPr>
              <w:t>m</w:t>
            </w:r>
            <w:r>
              <w:rPr>
                <w:rFonts w:hAnsi="宋体"/>
                <w:color w:val="000000"/>
                <w:kern w:val="0"/>
                <w:sz w:val="18"/>
                <w:szCs w:val="18"/>
                <w:vertAlign w:val="superscript"/>
              </w:rPr>
              <w:t>2</w:t>
            </w:r>
          </w:p>
        </w:tc>
        <w:tc>
          <w:tcPr>
            <w:tcW w:w="667" w:type="pct"/>
            <w:shd w:val="clear" w:color="auto" w:fill="auto"/>
            <w:noWrap/>
          </w:tcPr>
          <w:p>
            <w:pPr>
              <w:jc w:val="center"/>
              <w:rPr>
                <w:sz w:val="18"/>
                <w:szCs w:val="18"/>
              </w:rPr>
            </w:pPr>
            <w:r>
              <w:rPr>
                <w:rFonts w:hint="eastAsia"/>
                <w:color w:val="000000"/>
                <w:kern w:val="0"/>
                <w:sz w:val="18"/>
                <w:szCs w:val="18"/>
              </w:rPr>
              <w:t>≤</w:t>
            </w:r>
            <w:r>
              <w:rPr>
                <w:color w:val="000000"/>
                <w:kern w:val="0"/>
                <w:sz w:val="18"/>
                <w:szCs w:val="18"/>
              </w:rPr>
              <w:t>1</w:t>
            </w:r>
            <w:r>
              <w:rPr>
                <w:rFonts w:hint="eastAsia"/>
                <w:color w:val="000000"/>
                <w:kern w:val="0"/>
                <w:sz w:val="18"/>
                <w:szCs w:val="18"/>
              </w:rPr>
              <w:t>0</w:t>
            </w:r>
          </w:p>
        </w:tc>
        <w:tc>
          <w:tcPr>
            <w:tcW w:w="667" w:type="pct"/>
            <w:shd w:val="clear" w:color="auto" w:fill="auto"/>
          </w:tcPr>
          <w:p>
            <w:pPr>
              <w:jc w:val="center"/>
              <w:rPr>
                <w:sz w:val="18"/>
                <w:szCs w:val="18"/>
              </w:rPr>
            </w:pPr>
            <w:r>
              <w:rPr>
                <w:rFonts w:hint="eastAsia"/>
                <w:color w:val="000000"/>
                <w:kern w:val="0"/>
                <w:sz w:val="18"/>
                <w:szCs w:val="18"/>
              </w:rPr>
              <w:t>≤</w:t>
            </w:r>
            <w:r>
              <w:rPr>
                <w:color w:val="000000"/>
                <w:kern w:val="0"/>
                <w:sz w:val="18"/>
                <w:szCs w:val="18"/>
              </w:rPr>
              <w:t>6</w:t>
            </w:r>
          </w:p>
        </w:tc>
        <w:tc>
          <w:tcPr>
            <w:tcW w:w="667" w:type="pct"/>
            <w:shd w:val="clear" w:color="auto" w:fill="auto"/>
          </w:tcPr>
          <w:p>
            <w:pPr>
              <w:widowControl/>
              <w:jc w:val="center"/>
              <w:rPr>
                <w:rFonts w:ascii="宋体" w:cs="宋体"/>
                <w:color w:val="000000"/>
                <w:kern w:val="0"/>
                <w:sz w:val="18"/>
                <w:szCs w:val="18"/>
              </w:rPr>
            </w:pPr>
            <w:r>
              <w:rPr>
                <w:rFonts w:hint="eastAsia"/>
                <w:color w:val="000000"/>
                <w:kern w:val="0"/>
                <w:sz w:val="18"/>
                <w:szCs w:val="18"/>
              </w:rPr>
              <w:t>未检出</w:t>
            </w:r>
          </w:p>
        </w:tc>
        <w:tc>
          <w:tcPr>
            <w:tcW w:w="639" w:type="pct"/>
            <w:vMerge w:val="restart"/>
            <w:vAlign w:val="center"/>
          </w:tcPr>
          <w:p>
            <w:pPr>
              <w:widowControl/>
              <w:jc w:val="center"/>
              <w:rPr>
                <w:rFonts w:hAnsi="宋体"/>
                <w:color w:val="000000"/>
                <w:kern w:val="0"/>
                <w:sz w:val="18"/>
                <w:szCs w:val="18"/>
              </w:rPr>
            </w:pPr>
            <w:r>
              <w:rPr>
                <w:rFonts w:hint="eastAsia"/>
                <w:color w:val="000000"/>
                <w:kern w:val="0"/>
                <w:sz w:val="18"/>
                <w:szCs w:val="18"/>
              </w:rPr>
              <w:t>GB 1858</w:t>
            </w:r>
            <w:r>
              <w:rPr>
                <w:color w:val="000000"/>
                <w:kern w:val="0"/>
                <w:sz w:val="18"/>
                <w:szCs w:val="18"/>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pStyle w:val="48"/>
              <w:jc w:val="both"/>
              <w:rPr>
                <w:sz w:val="18"/>
                <w:szCs w:val="18"/>
              </w:rPr>
            </w:pPr>
          </w:p>
        </w:tc>
        <w:tc>
          <w:tcPr>
            <w:tcW w:w="371" w:type="pct"/>
            <w:vMerge w:val="continue"/>
            <w:shd w:val="clear" w:color="auto" w:fill="auto"/>
            <w:vAlign w:val="center"/>
          </w:tcPr>
          <w:p>
            <w:pPr>
              <w:pStyle w:val="48"/>
              <w:jc w:val="both"/>
              <w:rPr>
                <w:rFonts w:hint="eastAsia"/>
                <w:sz w:val="18"/>
                <w:szCs w:val="18"/>
              </w:rPr>
            </w:pPr>
          </w:p>
        </w:tc>
        <w:tc>
          <w:tcPr>
            <w:tcW w:w="772" w:type="pct"/>
            <w:shd w:val="clear" w:color="auto" w:fill="auto"/>
            <w:vAlign w:val="center"/>
          </w:tcPr>
          <w:p>
            <w:pPr>
              <w:widowControl/>
              <w:jc w:val="center"/>
              <w:rPr>
                <w:sz w:val="18"/>
                <w:szCs w:val="18"/>
              </w:rPr>
            </w:pPr>
            <w:r>
              <w:rPr>
                <w:rFonts w:hint="eastAsia"/>
                <w:sz w:val="18"/>
                <w:szCs w:val="18"/>
              </w:rPr>
              <w:t>镉</w:t>
            </w:r>
          </w:p>
        </w:tc>
        <w:tc>
          <w:tcPr>
            <w:tcW w:w="593" w:type="pct"/>
            <w:vMerge w:val="continue"/>
            <w:shd w:val="clear" w:color="auto" w:fill="auto"/>
            <w:noWrap/>
            <w:vAlign w:val="center"/>
          </w:tcPr>
          <w:p>
            <w:pPr>
              <w:widowControl/>
              <w:jc w:val="center"/>
              <w:rPr>
                <w:rFonts w:hint="eastAsia" w:hAnsi="宋体"/>
                <w:color w:val="000000"/>
                <w:kern w:val="0"/>
                <w:sz w:val="18"/>
                <w:szCs w:val="18"/>
              </w:rPr>
            </w:pPr>
          </w:p>
        </w:tc>
        <w:tc>
          <w:tcPr>
            <w:tcW w:w="667" w:type="pct"/>
            <w:shd w:val="clear" w:color="auto" w:fill="auto"/>
            <w:noWrap/>
          </w:tcPr>
          <w:p>
            <w:pPr>
              <w:jc w:val="center"/>
              <w:rPr>
                <w:sz w:val="18"/>
                <w:szCs w:val="18"/>
              </w:rPr>
            </w:pPr>
            <w:r>
              <w:rPr>
                <w:rFonts w:hint="eastAsia"/>
                <w:color w:val="000000"/>
                <w:kern w:val="0"/>
                <w:sz w:val="18"/>
                <w:szCs w:val="18"/>
              </w:rPr>
              <w:t>≤</w:t>
            </w:r>
            <w:r>
              <w:rPr>
                <w:color w:val="000000"/>
                <w:kern w:val="0"/>
                <w:sz w:val="18"/>
                <w:szCs w:val="18"/>
              </w:rPr>
              <w:t>5</w:t>
            </w:r>
          </w:p>
        </w:tc>
        <w:tc>
          <w:tcPr>
            <w:tcW w:w="667" w:type="pct"/>
            <w:shd w:val="clear" w:color="auto" w:fill="auto"/>
          </w:tcPr>
          <w:p>
            <w:pPr>
              <w:jc w:val="center"/>
              <w:rPr>
                <w:sz w:val="18"/>
                <w:szCs w:val="18"/>
              </w:rPr>
            </w:pPr>
            <w:r>
              <w:rPr>
                <w:rFonts w:hint="eastAsia"/>
                <w:color w:val="000000"/>
                <w:kern w:val="0"/>
                <w:sz w:val="18"/>
                <w:szCs w:val="18"/>
              </w:rPr>
              <w:t>≤</w:t>
            </w:r>
            <w:r>
              <w:rPr>
                <w:color w:val="000000"/>
                <w:kern w:val="0"/>
                <w:sz w:val="18"/>
                <w:szCs w:val="18"/>
              </w:rPr>
              <w:t>3</w:t>
            </w:r>
          </w:p>
        </w:tc>
        <w:tc>
          <w:tcPr>
            <w:tcW w:w="667" w:type="pct"/>
            <w:shd w:val="clear" w:color="auto" w:fill="auto"/>
          </w:tcPr>
          <w:p>
            <w:pPr>
              <w:widowControl/>
              <w:jc w:val="center"/>
              <w:rPr>
                <w:rFonts w:ascii="宋体" w:cs="宋体"/>
                <w:color w:val="000000"/>
                <w:kern w:val="0"/>
                <w:sz w:val="18"/>
                <w:szCs w:val="18"/>
              </w:rPr>
            </w:pPr>
            <w:r>
              <w:rPr>
                <w:rFonts w:hint="eastAsia"/>
                <w:color w:val="000000"/>
                <w:kern w:val="0"/>
                <w:sz w:val="18"/>
                <w:szCs w:val="18"/>
              </w:rPr>
              <w:t>未检出</w:t>
            </w:r>
          </w:p>
        </w:tc>
        <w:tc>
          <w:tcPr>
            <w:tcW w:w="639" w:type="pct"/>
            <w:vMerge w:val="continue"/>
            <w:vAlign w:val="center"/>
          </w:tcPr>
          <w:p>
            <w:pPr>
              <w:widowControl/>
              <w:jc w:val="center"/>
              <w:rPr>
                <w:rFonts w:hint="eastAsia"/>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pStyle w:val="48"/>
              <w:jc w:val="both"/>
              <w:rPr>
                <w:sz w:val="18"/>
                <w:szCs w:val="18"/>
              </w:rPr>
            </w:pPr>
          </w:p>
        </w:tc>
        <w:tc>
          <w:tcPr>
            <w:tcW w:w="371" w:type="pct"/>
            <w:vMerge w:val="continue"/>
            <w:shd w:val="clear" w:color="auto" w:fill="auto"/>
            <w:vAlign w:val="center"/>
          </w:tcPr>
          <w:p>
            <w:pPr>
              <w:pStyle w:val="48"/>
              <w:jc w:val="both"/>
              <w:rPr>
                <w:rFonts w:hint="eastAsia"/>
                <w:sz w:val="18"/>
                <w:szCs w:val="18"/>
              </w:rPr>
            </w:pPr>
          </w:p>
        </w:tc>
        <w:tc>
          <w:tcPr>
            <w:tcW w:w="772" w:type="pct"/>
            <w:shd w:val="clear" w:color="auto" w:fill="auto"/>
            <w:vAlign w:val="center"/>
          </w:tcPr>
          <w:p>
            <w:pPr>
              <w:jc w:val="center"/>
              <w:rPr>
                <w:color w:val="000000"/>
                <w:kern w:val="0"/>
                <w:sz w:val="18"/>
                <w:szCs w:val="18"/>
              </w:rPr>
            </w:pPr>
            <w:r>
              <w:rPr>
                <w:rFonts w:hint="eastAsia"/>
                <w:color w:val="000000"/>
                <w:kern w:val="0"/>
                <w:sz w:val="18"/>
                <w:szCs w:val="18"/>
              </w:rPr>
              <w:t>铬</w:t>
            </w:r>
          </w:p>
        </w:tc>
        <w:tc>
          <w:tcPr>
            <w:tcW w:w="593" w:type="pct"/>
            <w:vMerge w:val="continue"/>
            <w:shd w:val="clear" w:color="auto" w:fill="auto"/>
            <w:noWrap/>
            <w:vAlign w:val="center"/>
          </w:tcPr>
          <w:p>
            <w:pPr>
              <w:widowControl/>
              <w:jc w:val="center"/>
              <w:rPr>
                <w:rFonts w:hint="eastAsia" w:hAnsi="宋体"/>
                <w:color w:val="000000"/>
                <w:kern w:val="0"/>
                <w:sz w:val="18"/>
                <w:szCs w:val="18"/>
              </w:rPr>
            </w:pPr>
          </w:p>
        </w:tc>
        <w:tc>
          <w:tcPr>
            <w:tcW w:w="667" w:type="pct"/>
            <w:shd w:val="clear" w:color="auto" w:fill="auto"/>
            <w:noWrap/>
          </w:tcPr>
          <w:p>
            <w:pPr>
              <w:jc w:val="center"/>
              <w:rPr>
                <w:color w:val="000000"/>
                <w:kern w:val="0"/>
                <w:sz w:val="18"/>
                <w:szCs w:val="18"/>
              </w:rPr>
            </w:pPr>
            <w:r>
              <w:rPr>
                <w:rFonts w:hint="eastAsia"/>
                <w:color w:val="000000"/>
                <w:kern w:val="0"/>
                <w:sz w:val="18"/>
                <w:szCs w:val="18"/>
              </w:rPr>
              <w:t>≤</w:t>
            </w:r>
            <w:r>
              <w:rPr>
                <w:color w:val="000000"/>
                <w:kern w:val="0"/>
                <w:sz w:val="18"/>
                <w:szCs w:val="18"/>
              </w:rPr>
              <w:t>10</w:t>
            </w:r>
          </w:p>
        </w:tc>
        <w:tc>
          <w:tcPr>
            <w:tcW w:w="667" w:type="pct"/>
            <w:shd w:val="clear" w:color="auto" w:fill="auto"/>
          </w:tcPr>
          <w:p>
            <w:pPr>
              <w:jc w:val="center"/>
              <w:rPr>
                <w:color w:val="000000"/>
                <w:kern w:val="0"/>
                <w:sz w:val="18"/>
                <w:szCs w:val="18"/>
              </w:rPr>
            </w:pPr>
            <w:r>
              <w:rPr>
                <w:rFonts w:hint="eastAsia"/>
                <w:color w:val="000000"/>
                <w:kern w:val="0"/>
                <w:sz w:val="18"/>
                <w:szCs w:val="18"/>
              </w:rPr>
              <w:t>≤</w:t>
            </w:r>
            <w:r>
              <w:rPr>
                <w:color w:val="000000"/>
                <w:kern w:val="0"/>
                <w:sz w:val="18"/>
                <w:szCs w:val="18"/>
              </w:rPr>
              <w:t>6</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未检出</w:t>
            </w:r>
          </w:p>
        </w:tc>
        <w:tc>
          <w:tcPr>
            <w:tcW w:w="639" w:type="pct"/>
            <w:vMerge w:val="continue"/>
            <w:vAlign w:val="center"/>
          </w:tcPr>
          <w:p>
            <w:pPr>
              <w:widowControl/>
              <w:jc w:val="center"/>
              <w:rPr>
                <w:rFonts w:hint="eastAsia"/>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pStyle w:val="48"/>
              <w:jc w:val="both"/>
              <w:rPr>
                <w:sz w:val="18"/>
                <w:szCs w:val="18"/>
              </w:rPr>
            </w:pPr>
          </w:p>
        </w:tc>
        <w:tc>
          <w:tcPr>
            <w:tcW w:w="371" w:type="pct"/>
            <w:vMerge w:val="continue"/>
            <w:shd w:val="clear" w:color="auto" w:fill="auto"/>
            <w:vAlign w:val="center"/>
          </w:tcPr>
          <w:p>
            <w:pPr>
              <w:pStyle w:val="48"/>
              <w:jc w:val="both"/>
              <w:rPr>
                <w:rFonts w:hint="eastAsia"/>
                <w:sz w:val="18"/>
                <w:szCs w:val="18"/>
              </w:rPr>
            </w:pPr>
          </w:p>
        </w:tc>
        <w:tc>
          <w:tcPr>
            <w:tcW w:w="772" w:type="pct"/>
            <w:shd w:val="clear" w:color="auto" w:fill="auto"/>
            <w:vAlign w:val="center"/>
          </w:tcPr>
          <w:p>
            <w:pPr>
              <w:pStyle w:val="48"/>
              <w:jc w:val="center"/>
              <w:rPr>
                <w:sz w:val="18"/>
                <w:szCs w:val="18"/>
              </w:rPr>
            </w:pPr>
            <w:r>
              <w:rPr>
                <w:rFonts w:hint="eastAsia"/>
                <w:sz w:val="18"/>
                <w:szCs w:val="18"/>
              </w:rPr>
              <w:t>汞</w:t>
            </w:r>
          </w:p>
        </w:tc>
        <w:tc>
          <w:tcPr>
            <w:tcW w:w="593" w:type="pct"/>
            <w:vMerge w:val="continue"/>
            <w:shd w:val="clear" w:color="auto" w:fill="auto"/>
            <w:noWrap/>
            <w:vAlign w:val="center"/>
          </w:tcPr>
          <w:p>
            <w:pPr>
              <w:widowControl/>
              <w:jc w:val="center"/>
              <w:rPr>
                <w:rFonts w:hint="eastAsia" w:hAnsi="宋体"/>
                <w:color w:val="000000"/>
                <w:kern w:val="0"/>
                <w:sz w:val="18"/>
                <w:szCs w:val="18"/>
              </w:rPr>
            </w:pPr>
          </w:p>
        </w:tc>
        <w:tc>
          <w:tcPr>
            <w:tcW w:w="667" w:type="pct"/>
            <w:shd w:val="clear" w:color="auto" w:fill="auto"/>
            <w:noWrap/>
          </w:tcPr>
          <w:p>
            <w:pPr>
              <w:jc w:val="center"/>
              <w:rPr>
                <w:sz w:val="18"/>
                <w:szCs w:val="18"/>
              </w:rPr>
            </w:pPr>
            <w:r>
              <w:rPr>
                <w:rFonts w:hint="eastAsia"/>
                <w:color w:val="000000"/>
                <w:kern w:val="0"/>
                <w:sz w:val="18"/>
                <w:szCs w:val="18"/>
              </w:rPr>
              <w:t>≤</w:t>
            </w:r>
            <w:r>
              <w:rPr>
                <w:color w:val="000000"/>
                <w:kern w:val="0"/>
                <w:sz w:val="18"/>
                <w:szCs w:val="18"/>
              </w:rPr>
              <w:t>1</w:t>
            </w:r>
          </w:p>
        </w:tc>
        <w:tc>
          <w:tcPr>
            <w:tcW w:w="667" w:type="pct"/>
            <w:shd w:val="clear" w:color="auto" w:fill="auto"/>
          </w:tcPr>
          <w:p>
            <w:pPr>
              <w:jc w:val="center"/>
              <w:rPr>
                <w:sz w:val="18"/>
                <w:szCs w:val="18"/>
              </w:rPr>
            </w:pPr>
            <w:r>
              <w:rPr>
                <w:rFonts w:hint="eastAsia"/>
                <w:color w:val="000000"/>
                <w:kern w:val="0"/>
                <w:sz w:val="18"/>
                <w:szCs w:val="18"/>
              </w:rPr>
              <w:t>≤</w:t>
            </w:r>
            <w:r>
              <w:rPr>
                <w:color w:val="000000"/>
                <w:kern w:val="0"/>
                <w:sz w:val="18"/>
                <w:szCs w:val="18"/>
              </w:rPr>
              <w:t>1</w:t>
            </w:r>
          </w:p>
        </w:tc>
        <w:tc>
          <w:tcPr>
            <w:tcW w:w="667" w:type="pct"/>
            <w:shd w:val="clear" w:color="auto" w:fill="auto"/>
            <w:vAlign w:val="center"/>
          </w:tcPr>
          <w:p>
            <w:pPr>
              <w:widowControl/>
              <w:jc w:val="center"/>
              <w:rPr>
                <w:rFonts w:ascii="宋体" w:cs="宋体"/>
                <w:color w:val="000000"/>
                <w:kern w:val="0"/>
                <w:sz w:val="18"/>
                <w:szCs w:val="18"/>
              </w:rPr>
            </w:pPr>
            <w:r>
              <w:rPr>
                <w:rFonts w:hint="eastAsia" w:ascii="宋体" w:cs="宋体"/>
                <w:color w:val="000000"/>
                <w:kern w:val="0"/>
                <w:sz w:val="18"/>
                <w:szCs w:val="18"/>
              </w:rPr>
              <w:t>未检出</w:t>
            </w:r>
          </w:p>
        </w:tc>
        <w:tc>
          <w:tcPr>
            <w:tcW w:w="639" w:type="pct"/>
            <w:vMerge w:val="continue"/>
            <w:vAlign w:val="center"/>
          </w:tcPr>
          <w:p>
            <w:pPr>
              <w:widowControl/>
              <w:jc w:val="center"/>
              <w:rPr>
                <w:rFonts w:hint="eastAsia"/>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pStyle w:val="48"/>
              <w:jc w:val="both"/>
              <w:rPr>
                <w:sz w:val="18"/>
                <w:szCs w:val="18"/>
              </w:rPr>
            </w:pPr>
          </w:p>
        </w:tc>
        <w:tc>
          <w:tcPr>
            <w:tcW w:w="371" w:type="pct"/>
            <w:vMerge w:val="continue"/>
            <w:shd w:val="clear" w:color="auto" w:fill="auto"/>
            <w:vAlign w:val="center"/>
          </w:tcPr>
          <w:p>
            <w:pPr>
              <w:pStyle w:val="48"/>
              <w:jc w:val="both"/>
              <w:rPr>
                <w:rFonts w:hint="eastAsia"/>
                <w:sz w:val="18"/>
                <w:szCs w:val="18"/>
              </w:rPr>
            </w:pPr>
          </w:p>
        </w:tc>
        <w:tc>
          <w:tcPr>
            <w:tcW w:w="772" w:type="pct"/>
            <w:shd w:val="clear" w:color="auto" w:fill="auto"/>
            <w:vAlign w:val="center"/>
          </w:tcPr>
          <w:p>
            <w:pPr>
              <w:pStyle w:val="24"/>
              <w:ind w:firstLine="0" w:firstLineChars="0"/>
              <w:jc w:val="center"/>
              <w:rPr>
                <w:sz w:val="18"/>
                <w:szCs w:val="18"/>
              </w:rPr>
            </w:pPr>
            <w:r>
              <w:rPr>
                <w:rFonts w:hint="eastAsia"/>
                <w:sz w:val="18"/>
                <w:szCs w:val="18"/>
              </w:rPr>
              <w:t>砷</w:t>
            </w:r>
          </w:p>
        </w:tc>
        <w:tc>
          <w:tcPr>
            <w:tcW w:w="593" w:type="pct"/>
            <w:vMerge w:val="continue"/>
            <w:shd w:val="clear" w:color="auto" w:fill="auto"/>
            <w:noWrap/>
            <w:vAlign w:val="center"/>
          </w:tcPr>
          <w:p>
            <w:pPr>
              <w:widowControl/>
              <w:jc w:val="center"/>
              <w:rPr>
                <w:rFonts w:hint="eastAsia" w:hAnsi="宋体"/>
                <w:color w:val="000000"/>
                <w:kern w:val="0"/>
                <w:sz w:val="18"/>
                <w:szCs w:val="18"/>
              </w:rPr>
            </w:pPr>
          </w:p>
        </w:tc>
        <w:tc>
          <w:tcPr>
            <w:tcW w:w="667" w:type="pct"/>
            <w:shd w:val="clear" w:color="auto" w:fill="auto"/>
            <w:noWrap/>
          </w:tcPr>
          <w:p>
            <w:pPr>
              <w:jc w:val="center"/>
              <w:rPr>
                <w:sz w:val="18"/>
                <w:szCs w:val="18"/>
              </w:rPr>
            </w:pPr>
            <w:r>
              <w:rPr>
                <w:rFonts w:hint="eastAsia"/>
                <w:color w:val="000000"/>
                <w:kern w:val="0"/>
                <w:sz w:val="18"/>
                <w:szCs w:val="18"/>
              </w:rPr>
              <w:t>≤</w:t>
            </w:r>
            <w:r>
              <w:rPr>
                <w:color w:val="000000"/>
                <w:kern w:val="0"/>
                <w:sz w:val="18"/>
                <w:szCs w:val="18"/>
              </w:rPr>
              <w:t>1</w:t>
            </w:r>
          </w:p>
        </w:tc>
        <w:tc>
          <w:tcPr>
            <w:tcW w:w="667" w:type="pct"/>
            <w:shd w:val="clear" w:color="auto" w:fill="auto"/>
          </w:tcPr>
          <w:p>
            <w:pPr>
              <w:jc w:val="center"/>
              <w:rPr>
                <w:sz w:val="18"/>
                <w:szCs w:val="18"/>
              </w:rPr>
            </w:pPr>
            <w:r>
              <w:rPr>
                <w:rFonts w:hint="eastAsia"/>
                <w:color w:val="000000"/>
                <w:kern w:val="0"/>
                <w:sz w:val="18"/>
                <w:szCs w:val="18"/>
              </w:rPr>
              <w:t>≤</w:t>
            </w:r>
            <w:r>
              <w:rPr>
                <w:color w:val="000000"/>
                <w:kern w:val="0"/>
                <w:sz w:val="18"/>
                <w:szCs w:val="18"/>
              </w:rPr>
              <w:t>1</w:t>
            </w:r>
          </w:p>
        </w:tc>
        <w:tc>
          <w:tcPr>
            <w:tcW w:w="667" w:type="pct"/>
            <w:shd w:val="clear" w:color="auto" w:fill="auto"/>
            <w:vAlign w:val="center"/>
          </w:tcPr>
          <w:p>
            <w:pPr>
              <w:widowControl/>
              <w:jc w:val="center"/>
              <w:rPr>
                <w:rFonts w:ascii="宋体" w:cs="宋体"/>
                <w:color w:val="000000"/>
                <w:kern w:val="0"/>
                <w:sz w:val="18"/>
                <w:szCs w:val="18"/>
              </w:rPr>
            </w:pPr>
            <w:r>
              <w:rPr>
                <w:rFonts w:hint="eastAsia" w:ascii="宋体" w:cs="宋体"/>
                <w:color w:val="000000"/>
                <w:kern w:val="0"/>
                <w:sz w:val="18"/>
                <w:szCs w:val="18"/>
              </w:rPr>
              <w:t>未检出</w:t>
            </w:r>
          </w:p>
        </w:tc>
        <w:tc>
          <w:tcPr>
            <w:tcW w:w="639" w:type="pct"/>
            <w:vMerge w:val="continue"/>
            <w:vAlign w:val="center"/>
          </w:tcPr>
          <w:p>
            <w:pPr>
              <w:widowControl/>
              <w:jc w:val="center"/>
              <w:rPr>
                <w:rFonts w:hint="eastAsia"/>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pStyle w:val="48"/>
              <w:jc w:val="both"/>
              <w:rPr>
                <w:sz w:val="18"/>
                <w:szCs w:val="18"/>
              </w:rPr>
            </w:pPr>
          </w:p>
        </w:tc>
        <w:tc>
          <w:tcPr>
            <w:tcW w:w="371" w:type="pct"/>
            <w:vMerge w:val="continue"/>
            <w:shd w:val="clear" w:color="auto" w:fill="auto"/>
            <w:vAlign w:val="center"/>
          </w:tcPr>
          <w:p>
            <w:pPr>
              <w:pStyle w:val="48"/>
              <w:jc w:val="both"/>
              <w:rPr>
                <w:sz w:val="18"/>
                <w:szCs w:val="18"/>
              </w:rPr>
            </w:pPr>
          </w:p>
        </w:tc>
        <w:tc>
          <w:tcPr>
            <w:tcW w:w="772" w:type="pct"/>
            <w:shd w:val="clear" w:color="auto" w:fill="auto"/>
            <w:vAlign w:val="center"/>
          </w:tcPr>
          <w:p>
            <w:pPr>
              <w:pStyle w:val="24"/>
              <w:ind w:firstLine="0" w:firstLineChars="0"/>
              <w:jc w:val="center"/>
              <w:rPr>
                <w:sz w:val="18"/>
                <w:szCs w:val="18"/>
              </w:rPr>
            </w:pPr>
            <w:r>
              <w:rPr>
                <w:rFonts w:hint="eastAsia"/>
                <w:sz w:val="18"/>
                <w:szCs w:val="18"/>
              </w:rPr>
              <w:t>锑</w:t>
            </w:r>
          </w:p>
        </w:tc>
        <w:tc>
          <w:tcPr>
            <w:tcW w:w="593" w:type="pct"/>
            <w:vMerge w:val="continue"/>
            <w:shd w:val="clear" w:color="auto" w:fill="auto"/>
            <w:noWrap/>
            <w:vAlign w:val="center"/>
          </w:tcPr>
          <w:p>
            <w:pPr>
              <w:widowControl/>
              <w:jc w:val="center"/>
              <w:rPr>
                <w:rFonts w:hAnsi="宋体"/>
                <w:color w:val="000000"/>
                <w:kern w:val="0"/>
                <w:sz w:val="18"/>
                <w:szCs w:val="18"/>
              </w:rPr>
            </w:pPr>
          </w:p>
        </w:tc>
        <w:tc>
          <w:tcPr>
            <w:tcW w:w="667" w:type="pct"/>
            <w:shd w:val="clear" w:color="auto" w:fill="auto"/>
            <w:noWrap/>
          </w:tcPr>
          <w:p>
            <w:pPr>
              <w:jc w:val="center"/>
              <w:rPr>
                <w:sz w:val="18"/>
                <w:szCs w:val="18"/>
              </w:rPr>
            </w:pPr>
            <w:r>
              <w:rPr>
                <w:rFonts w:hint="eastAsia"/>
                <w:color w:val="000000"/>
                <w:kern w:val="0"/>
                <w:sz w:val="18"/>
                <w:szCs w:val="18"/>
              </w:rPr>
              <w:t>≤</w:t>
            </w:r>
            <w:r>
              <w:rPr>
                <w:color w:val="000000"/>
                <w:kern w:val="0"/>
                <w:sz w:val="18"/>
                <w:szCs w:val="18"/>
              </w:rPr>
              <w:t>1</w:t>
            </w:r>
          </w:p>
        </w:tc>
        <w:tc>
          <w:tcPr>
            <w:tcW w:w="667" w:type="pct"/>
            <w:shd w:val="clear" w:color="auto" w:fill="auto"/>
          </w:tcPr>
          <w:p>
            <w:pPr>
              <w:jc w:val="center"/>
              <w:rPr>
                <w:sz w:val="18"/>
                <w:szCs w:val="18"/>
              </w:rPr>
            </w:pPr>
            <w:r>
              <w:rPr>
                <w:rFonts w:hint="eastAsia"/>
                <w:color w:val="000000"/>
                <w:kern w:val="0"/>
                <w:sz w:val="18"/>
                <w:szCs w:val="18"/>
              </w:rPr>
              <w:t>≤</w:t>
            </w:r>
            <w:r>
              <w:rPr>
                <w:color w:val="000000"/>
                <w:kern w:val="0"/>
                <w:sz w:val="18"/>
                <w:szCs w:val="18"/>
              </w:rPr>
              <w:t>1</w:t>
            </w:r>
          </w:p>
        </w:tc>
        <w:tc>
          <w:tcPr>
            <w:tcW w:w="667" w:type="pct"/>
            <w:shd w:val="clear" w:color="auto" w:fill="auto"/>
            <w:vAlign w:val="center"/>
          </w:tcPr>
          <w:p>
            <w:pPr>
              <w:widowControl/>
              <w:jc w:val="center"/>
              <w:rPr>
                <w:rFonts w:ascii="宋体" w:cs="宋体"/>
                <w:color w:val="000000"/>
                <w:kern w:val="0"/>
                <w:sz w:val="18"/>
                <w:szCs w:val="18"/>
              </w:rPr>
            </w:pPr>
            <w:r>
              <w:rPr>
                <w:rFonts w:hint="eastAsia" w:ascii="宋体" w:cs="宋体"/>
                <w:color w:val="000000"/>
                <w:kern w:val="0"/>
                <w:sz w:val="18"/>
                <w:szCs w:val="18"/>
              </w:rPr>
              <w:t>未检出</w:t>
            </w:r>
          </w:p>
        </w:tc>
        <w:tc>
          <w:tcPr>
            <w:tcW w:w="639" w:type="pct"/>
            <w:vMerge w:val="continue"/>
            <w:vAlign w:val="center"/>
          </w:tcPr>
          <w:p>
            <w:pPr>
              <w:widowControl/>
              <w:jc w:val="center"/>
              <w:rPr>
                <w:rFonts w:hAnsi="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pStyle w:val="48"/>
              <w:jc w:val="both"/>
              <w:rPr>
                <w:sz w:val="18"/>
                <w:szCs w:val="18"/>
              </w:rPr>
            </w:pPr>
          </w:p>
        </w:tc>
        <w:tc>
          <w:tcPr>
            <w:tcW w:w="371" w:type="pct"/>
            <w:vMerge w:val="restart"/>
            <w:shd w:val="clear" w:color="auto" w:fill="auto"/>
            <w:vAlign w:val="center"/>
          </w:tcPr>
          <w:p>
            <w:pPr>
              <w:pStyle w:val="24"/>
              <w:ind w:firstLine="0" w:firstLineChars="0"/>
              <w:rPr>
                <w:sz w:val="18"/>
                <w:szCs w:val="18"/>
              </w:rPr>
            </w:pPr>
            <w:r>
              <w:rPr>
                <w:sz w:val="18"/>
                <w:szCs w:val="18"/>
              </w:rPr>
              <w:t>邻苯二甲酸酯含量</w:t>
            </w:r>
          </w:p>
        </w:tc>
        <w:tc>
          <w:tcPr>
            <w:tcW w:w="772" w:type="pct"/>
            <w:shd w:val="clear" w:color="auto" w:fill="auto"/>
            <w:vAlign w:val="center"/>
          </w:tcPr>
          <w:p>
            <w:pPr>
              <w:pStyle w:val="24"/>
              <w:ind w:firstLine="0" w:firstLineChars="0"/>
              <w:rPr>
                <w:sz w:val="18"/>
                <w:szCs w:val="18"/>
              </w:rPr>
            </w:pPr>
            <w:r>
              <w:rPr>
                <w:sz w:val="18"/>
                <w:szCs w:val="18"/>
              </w:rPr>
              <w:t>邻苯二甲酸二</w:t>
            </w:r>
            <w:r>
              <w:rPr>
                <w:rFonts w:hint="eastAsia"/>
                <w:sz w:val="18"/>
                <w:szCs w:val="18"/>
              </w:rPr>
              <w:t>（2-乙基）己酯（DEHP）</w:t>
            </w:r>
          </w:p>
        </w:tc>
        <w:tc>
          <w:tcPr>
            <w:tcW w:w="593" w:type="pct"/>
            <w:vMerge w:val="restart"/>
            <w:shd w:val="clear" w:color="auto" w:fill="auto"/>
            <w:noWrap/>
            <w:vAlign w:val="center"/>
          </w:tcPr>
          <w:p>
            <w:pPr>
              <w:widowControl/>
              <w:jc w:val="center"/>
              <w:rPr>
                <w:rFonts w:hAnsi="宋体"/>
                <w:color w:val="000000"/>
                <w:kern w:val="0"/>
                <w:sz w:val="18"/>
                <w:szCs w:val="18"/>
              </w:rPr>
            </w:pPr>
            <w:r>
              <w:rPr>
                <w:rFonts w:hint="eastAsia"/>
                <w:sz w:val="18"/>
                <w:szCs w:val="18"/>
              </w:rPr>
              <w:t>m</w:t>
            </w:r>
            <w:r>
              <w:rPr>
                <w:sz w:val="18"/>
                <w:szCs w:val="18"/>
              </w:rPr>
              <w:t>g</w:t>
            </w:r>
            <w:r>
              <w:rPr>
                <w:rFonts w:hint="eastAsia"/>
                <w:sz w:val="18"/>
                <w:szCs w:val="18"/>
              </w:rPr>
              <w:t>/</w:t>
            </w:r>
            <w:r>
              <w:rPr>
                <w:sz w:val="18"/>
                <w:szCs w:val="18"/>
              </w:rPr>
              <w:t>kg</w:t>
            </w:r>
          </w:p>
        </w:tc>
        <w:tc>
          <w:tcPr>
            <w:tcW w:w="667" w:type="pct"/>
            <w:vMerge w:val="restart"/>
            <w:shd w:val="clear" w:color="auto" w:fill="auto"/>
            <w:noWrap/>
            <w:vAlign w:val="center"/>
          </w:tcPr>
          <w:p>
            <w:pPr>
              <w:widowControl/>
              <w:jc w:val="center"/>
              <w:rPr>
                <w:rFonts w:ascii="宋体" w:cs="宋体"/>
                <w:color w:val="000000"/>
                <w:kern w:val="0"/>
                <w:sz w:val="18"/>
                <w:szCs w:val="18"/>
              </w:rPr>
            </w:pPr>
            <w:r>
              <w:rPr>
                <w:rFonts w:hint="eastAsia" w:ascii="宋体" w:cs="宋体"/>
                <w:color w:val="000000"/>
                <w:kern w:val="0"/>
                <w:sz w:val="18"/>
                <w:szCs w:val="18"/>
              </w:rPr>
              <w:t>≤500</w:t>
            </w:r>
          </w:p>
        </w:tc>
        <w:tc>
          <w:tcPr>
            <w:tcW w:w="667" w:type="pct"/>
            <w:vMerge w:val="restart"/>
            <w:shd w:val="clear" w:color="auto" w:fill="auto"/>
            <w:vAlign w:val="center"/>
          </w:tcPr>
          <w:p>
            <w:pPr>
              <w:widowControl/>
              <w:jc w:val="center"/>
              <w:rPr>
                <w:rFonts w:ascii="宋体" w:cs="宋体"/>
                <w:color w:val="000000"/>
                <w:kern w:val="0"/>
                <w:sz w:val="18"/>
                <w:szCs w:val="18"/>
              </w:rPr>
            </w:pPr>
            <w:r>
              <w:rPr>
                <w:rFonts w:hint="eastAsia" w:ascii="宋体" w:cs="宋体"/>
                <w:color w:val="000000"/>
                <w:kern w:val="0"/>
                <w:sz w:val="18"/>
                <w:szCs w:val="18"/>
              </w:rPr>
              <w:t>≤100</w:t>
            </w:r>
          </w:p>
        </w:tc>
        <w:tc>
          <w:tcPr>
            <w:tcW w:w="667" w:type="pct"/>
            <w:shd w:val="clear" w:color="auto" w:fill="auto"/>
            <w:vAlign w:val="center"/>
          </w:tcPr>
          <w:p>
            <w:pPr>
              <w:jc w:val="center"/>
              <w:rPr>
                <w:sz w:val="18"/>
                <w:szCs w:val="18"/>
              </w:rPr>
            </w:pPr>
            <w:r>
              <w:rPr>
                <w:rFonts w:hint="eastAsia"/>
                <w:color w:val="000000"/>
                <w:kern w:val="0"/>
                <w:sz w:val="18"/>
                <w:szCs w:val="18"/>
              </w:rPr>
              <w:t>≤10</w:t>
            </w:r>
          </w:p>
        </w:tc>
        <w:tc>
          <w:tcPr>
            <w:tcW w:w="639" w:type="pct"/>
            <w:vMerge w:val="restart"/>
            <w:vAlign w:val="center"/>
          </w:tcPr>
          <w:p>
            <w:pPr>
              <w:widowControl/>
              <w:jc w:val="center"/>
              <w:rPr>
                <w:rFonts w:hAnsi="宋体"/>
                <w:color w:val="000000"/>
                <w:kern w:val="0"/>
                <w:sz w:val="18"/>
                <w:szCs w:val="18"/>
              </w:rPr>
            </w:pPr>
            <w:r>
              <w:rPr>
                <w:rFonts w:hint="eastAsia"/>
                <w:color w:val="000000"/>
                <w:kern w:val="0"/>
                <w:sz w:val="18"/>
                <w:szCs w:val="18"/>
              </w:rPr>
              <w:t>GB/T</w:t>
            </w:r>
            <w:r>
              <w:rPr>
                <w:color w:val="000000"/>
                <w:kern w:val="0"/>
                <w:sz w:val="18"/>
                <w:szCs w:val="18"/>
              </w:rPr>
              <w:t xml:space="preserve"> 22048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7"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pStyle w:val="48"/>
              <w:jc w:val="both"/>
              <w:rPr>
                <w:sz w:val="18"/>
                <w:szCs w:val="18"/>
              </w:rPr>
            </w:pPr>
          </w:p>
        </w:tc>
        <w:tc>
          <w:tcPr>
            <w:tcW w:w="371" w:type="pct"/>
            <w:vMerge w:val="continue"/>
            <w:shd w:val="clear" w:color="auto" w:fill="auto"/>
            <w:vAlign w:val="center"/>
          </w:tcPr>
          <w:p>
            <w:pPr>
              <w:pStyle w:val="48"/>
              <w:jc w:val="both"/>
              <w:rPr>
                <w:sz w:val="18"/>
                <w:szCs w:val="18"/>
              </w:rPr>
            </w:pPr>
          </w:p>
        </w:tc>
        <w:tc>
          <w:tcPr>
            <w:tcW w:w="772" w:type="pct"/>
            <w:shd w:val="clear" w:color="auto" w:fill="auto"/>
            <w:vAlign w:val="center"/>
          </w:tcPr>
          <w:p>
            <w:pPr>
              <w:pStyle w:val="24"/>
              <w:ind w:firstLine="0" w:firstLineChars="0"/>
              <w:jc w:val="center"/>
              <w:rPr>
                <w:rFonts w:hint="eastAsia"/>
                <w:sz w:val="18"/>
                <w:szCs w:val="18"/>
              </w:rPr>
            </w:pPr>
            <w:r>
              <w:rPr>
                <w:rFonts w:hint="eastAsia"/>
                <w:sz w:val="18"/>
                <w:szCs w:val="18"/>
              </w:rPr>
              <w:t>邻苯二甲酸二丁酯（DBP）</w:t>
            </w:r>
          </w:p>
        </w:tc>
        <w:tc>
          <w:tcPr>
            <w:tcW w:w="593" w:type="pct"/>
            <w:vMerge w:val="continue"/>
            <w:shd w:val="clear" w:color="auto" w:fill="auto"/>
            <w:noWrap/>
            <w:vAlign w:val="center"/>
          </w:tcPr>
          <w:p>
            <w:pPr>
              <w:widowControl/>
              <w:jc w:val="center"/>
              <w:rPr>
                <w:rFonts w:hAnsi="宋体"/>
                <w:color w:val="000000"/>
                <w:kern w:val="0"/>
                <w:sz w:val="18"/>
                <w:szCs w:val="18"/>
              </w:rPr>
            </w:pPr>
          </w:p>
        </w:tc>
        <w:tc>
          <w:tcPr>
            <w:tcW w:w="667" w:type="pct"/>
            <w:vMerge w:val="continue"/>
            <w:shd w:val="clear" w:color="auto" w:fill="auto"/>
            <w:noWrap/>
            <w:vAlign w:val="center"/>
          </w:tcPr>
          <w:p>
            <w:pPr>
              <w:jc w:val="center"/>
              <w:rPr>
                <w:rFonts w:hint="eastAsia"/>
                <w:color w:val="000000"/>
                <w:kern w:val="0"/>
                <w:sz w:val="18"/>
                <w:szCs w:val="18"/>
              </w:rPr>
            </w:pPr>
          </w:p>
        </w:tc>
        <w:tc>
          <w:tcPr>
            <w:tcW w:w="667" w:type="pct"/>
            <w:vMerge w:val="continue"/>
            <w:shd w:val="clear" w:color="auto" w:fill="auto"/>
            <w:vAlign w:val="center"/>
          </w:tcPr>
          <w:p>
            <w:pPr>
              <w:jc w:val="center"/>
              <w:rPr>
                <w:rFonts w:hint="eastAsia"/>
                <w:color w:val="000000"/>
                <w:kern w:val="0"/>
                <w:sz w:val="18"/>
                <w:szCs w:val="18"/>
              </w:rPr>
            </w:pPr>
          </w:p>
        </w:tc>
        <w:tc>
          <w:tcPr>
            <w:tcW w:w="667" w:type="pct"/>
            <w:shd w:val="clear" w:color="auto" w:fill="auto"/>
            <w:vAlign w:val="center"/>
          </w:tcPr>
          <w:p>
            <w:pPr>
              <w:jc w:val="center"/>
              <w:rPr>
                <w:sz w:val="18"/>
                <w:szCs w:val="18"/>
              </w:rPr>
            </w:pPr>
            <w:r>
              <w:rPr>
                <w:rFonts w:hint="eastAsia"/>
                <w:color w:val="000000"/>
                <w:kern w:val="0"/>
                <w:sz w:val="18"/>
                <w:szCs w:val="18"/>
              </w:rPr>
              <w:t>≤</w:t>
            </w:r>
            <w:r>
              <w:rPr>
                <w:color w:val="000000"/>
                <w:kern w:val="0"/>
                <w:sz w:val="18"/>
                <w:szCs w:val="18"/>
              </w:rPr>
              <w:t>1</w:t>
            </w:r>
            <w:r>
              <w:rPr>
                <w:rFonts w:hint="eastAsia"/>
                <w:color w:val="000000"/>
                <w:kern w:val="0"/>
                <w:sz w:val="18"/>
                <w:szCs w:val="18"/>
              </w:rPr>
              <w:t>0</w:t>
            </w:r>
          </w:p>
        </w:tc>
        <w:tc>
          <w:tcPr>
            <w:tcW w:w="639" w:type="pct"/>
            <w:vMerge w:val="continue"/>
            <w:vAlign w:val="center"/>
          </w:tcPr>
          <w:p>
            <w:pPr>
              <w:widowControl/>
              <w:jc w:val="center"/>
              <w:rPr>
                <w:rFonts w:hAnsi="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295" w:type="pct"/>
            <w:vMerge w:val="continue"/>
            <w:shd w:val="clear" w:color="auto" w:fill="auto"/>
            <w:noWrap/>
            <w:vAlign w:val="center"/>
          </w:tcPr>
          <w:p>
            <w:pPr>
              <w:pStyle w:val="48"/>
              <w:jc w:val="both"/>
              <w:rPr>
                <w:sz w:val="18"/>
                <w:szCs w:val="18"/>
              </w:rPr>
            </w:pPr>
          </w:p>
        </w:tc>
        <w:tc>
          <w:tcPr>
            <w:tcW w:w="371" w:type="pct"/>
            <w:vMerge w:val="continue"/>
            <w:shd w:val="clear" w:color="auto" w:fill="auto"/>
            <w:vAlign w:val="center"/>
          </w:tcPr>
          <w:p>
            <w:pPr>
              <w:pStyle w:val="48"/>
              <w:jc w:val="both"/>
              <w:rPr>
                <w:sz w:val="18"/>
                <w:szCs w:val="18"/>
              </w:rPr>
            </w:pPr>
          </w:p>
        </w:tc>
        <w:tc>
          <w:tcPr>
            <w:tcW w:w="772" w:type="pct"/>
            <w:shd w:val="clear" w:color="auto" w:fill="auto"/>
            <w:vAlign w:val="center"/>
          </w:tcPr>
          <w:p>
            <w:pPr>
              <w:pStyle w:val="24"/>
              <w:ind w:firstLine="0" w:firstLineChars="0"/>
              <w:jc w:val="center"/>
              <w:rPr>
                <w:rFonts w:hint="eastAsia"/>
                <w:sz w:val="18"/>
                <w:szCs w:val="18"/>
              </w:rPr>
            </w:pPr>
            <w:r>
              <w:rPr>
                <w:sz w:val="18"/>
                <w:szCs w:val="18"/>
              </w:rPr>
              <w:t>邻苯二甲酸丁基苄基酯</w:t>
            </w:r>
            <w:r>
              <w:rPr>
                <w:rFonts w:hint="eastAsia"/>
                <w:sz w:val="18"/>
                <w:szCs w:val="18"/>
              </w:rPr>
              <w:t>（BBP）</w:t>
            </w:r>
          </w:p>
        </w:tc>
        <w:tc>
          <w:tcPr>
            <w:tcW w:w="593" w:type="pct"/>
            <w:vMerge w:val="continue"/>
            <w:shd w:val="clear" w:color="auto" w:fill="auto"/>
            <w:noWrap/>
            <w:vAlign w:val="center"/>
          </w:tcPr>
          <w:p>
            <w:pPr>
              <w:widowControl/>
              <w:jc w:val="center"/>
              <w:rPr>
                <w:rFonts w:hAnsi="宋体"/>
                <w:color w:val="000000"/>
                <w:kern w:val="0"/>
                <w:sz w:val="18"/>
                <w:szCs w:val="18"/>
              </w:rPr>
            </w:pPr>
          </w:p>
        </w:tc>
        <w:tc>
          <w:tcPr>
            <w:tcW w:w="667" w:type="pct"/>
            <w:vMerge w:val="continue"/>
            <w:shd w:val="clear" w:color="auto" w:fill="auto"/>
            <w:noWrap/>
            <w:vAlign w:val="center"/>
          </w:tcPr>
          <w:p>
            <w:pPr>
              <w:jc w:val="center"/>
              <w:rPr>
                <w:rFonts w:hint="eastAsia"/>
                <w:color w:val="000000"/>
                <w:kern w:val="0"/>
                <w:sz w:val="18"/>
                <w:szCs w:val="18"/>
              </w:rPr>
            </w:pPr>
          </w:p>
        </w:tc>
        <w:tc>
          <w:tcPr>
            <w:tcW w:w="667" w:type="pct"/>
            <w:vMerge w:val="continue"/>
            <w:shd w:val="clear" w:color="auto" w:fill="auto"/>
            <w:vAlign w:val="center"/>
          </w:tcPr>
          <w:p>
            <w:pPr>
              <w:jc w:val="center"/>
              <w:rPr>
                <w:rFonts w:hint="eastAsia"/>
                <w:color w:val="000000"/>
                <w:kern w:val="0"/>
                <w:sz w:val="18"/>
                <w:szCs w:val="18"/>
              </w:rPr>
            </w:pPr>
          </w:p>
        </w:tc>
        <w:tc>
          <w:tcPr>
            <w:tcW w:w="667" w:type="pct"/>
            <w:shd w:val="clear" w:color="auto" w:fill="auto"/>
            <w:vAlign w:val="center"/>
          </w:tcPr>
          <w:p>
            <w:pPr>
              <w:jc w:val="center"/>
              <w:rPr>
                <w:sz w:val="18"/>
                <w:szCs w:val="18"/>
              </w:rPr>
            </w:pPr>
            <w:r>
              <w:rPr>
                <w:rFonts w:hint="eastAsia"/>
                <w:color w:val="000000"/>
                <w:kern w:val="0"/>
                <w:sz w:val="18"/>
                <w:szCs w:val="18"/>
              </w:rPr>
              <w:t>≤</w:t>
            </w:r>
            <w:r>
              <w:rPr>
                <w:color w:val="000000"/>
                <w:kern w:val="0"/>
                <w:sz w:val="18"/>
                <w:szCs w:val="18"/>
              </w:rPr>
              <w:t>1</w:t>
            </w:r>
            <w:r>
              <w:rPr>
                <w:rFonts w:hint="eastAsia"/>
                <w:color w:val="000000"/>
                <w:kern w:val="0"/>
                <w:sz w:val="18"/>
                <w:szCs w:val="18"/>
              </w:rPr>
              <w:t>0</w:t>
            </w:r>
          </w:p>
        </w:tc>
        <w:tc>
          <w:tcPr>
            <w:tcW w:w="639" w:type="pct"/>
            <w:vMerge w:val="continue"/>
            <w:vAlign w:val="center"/>
          </w:tcPr>
          <w:p>
            <w:pPr>
              <w:widowControl/>
              <w:jc w:val="center"/>
              <w:rPr>
                <w:rFonts w:hAnsi="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restart"/>
            <w:shd w:val="clear" w:color="auto" w:fill="auto"/>
            <w:noWrap/>
            <w:vAlign w:val="center"/>
          </w:tcPr>
          <w:p>
            <w:pPr>
              <w:jc w:val="center"/>
              <w:rPr>
                <w:rFonts w:hAnsi="宋体"/>
                <w:color w:val="000000"/>
                <w:kern w:val="0"/>
                <w:sz w:val="18"/>
                <w:szCs w:val="18"/>
              </w:rPr>
            </w:pPr>
            <w:r>
              <w:rPr>
                <w:rFonts w:hAnsi="宋体"/>
                <w:color w:val="000000"/>
                <w:kern w:val="0"/>
                <w:sz w:val="18"/>
                <w:szCs w:val="18"/>
              </w:rPr>
              <w:t>品质属性</w:t>
            </w:r>
          </w:p>
        </w:tc>
        <w:tc>
          <w:tcPr>
            <w:tcW w:w="1438" w:type="pct"/>
            <w:gridSpan w:val="3"/>
            <w:shd w:val="clear" w:color="auto" w:fill="auto"/>
            <w:noWrap/>
            <w:vAlign w:val="center"/>
          </w:tcPr>
          <w:p>
            <w:pPr>
              <w:pStyle w:val="24"/>
              <w:ind w:firstLine="0" w:firstLineChars="0"/>
              <w:jc w:val="left"/>
              <w:rPr>
                <w:sz w:val="18"/>
                <w:szCs w:val="18"/>
              </w:rPr>
            </w:pPr>
            <w:r>
              <w:rPr>
                <w:rFonts w:hint="eastAsia"/>
                <w:sz w:val="18"/>
                <w:szCs w:val="18"/>
              </w:rPr>
              <w:t>残余凹陷</w:t>
            </w:r>
          </w:p>
        </w:tc>
        <w:tc>
          <w:tcPr>
            <w:tcW w:w="593" w:type="pct"/>
            <w:shd w:val="clear" w:color="auto" w:fill="auto"/>
            <w:noWrap/>
            <w:vAlign w:val="center"/>
          </w:tcPr>
          <w:p>
            <w:pPr>
              <w:widowControl/>
              <w:jc w:val="center"/>
              <w:rPr>
                <w:rFonts w:hAnsi="宋体"/>
                <w:color w:val="000000"/>
                <w:kern w:val="0"/>
                <w:sz w:val="18"/>
                <w:szCs w:val="18"/>
              </w:rPr>
            </w:pPr>
            <w:r>
              <w:rPr>
                <w:rFonts w:hint="eastAsia" w:hAnsi="宋体"/>
                <w:color w:val="000000"/>
                <w:kern w:val="0"/>
                <w:sz w:val="18"/>
                <w:szCs w:val="18"/>
              </w:rPr>
              <w:t>mm</w:t>
            </w:r>
          </w:p>
        </w:tc>
        <w:tc>
          <w:tcPr>
            <w:tcW w:w="2001" w:type="pct"/>
            <w:gridSpan w:val="3"/>
            <w:shd w:val="clear" w:color="auto" w:fill="auto"/>
            <w:noWrap/>
          </w:tcPr>
          <w:p>
            <w:pPr>
              <w:jc w:val="center"/>
              <w:rPr>
                <w:rFonts w:hint="eastAsia"/>
                <w:color w:val="000000"/>
                <w:kern w:val="0"/>
                <w:sz w:val="18"/>
                <w:szCs w:val="18"/>
              </w:rPr>
            </w:pPr>
            <w:r>
              <w:rPr>
                <w:rFonts w:hint="eastAsia"/>
                <w:color w:val="000000"/>
                <w:kern w:val="0"/>
                <w:sz w:val="18"/>
                <w:szCs w:val="18"/>
              </w:rPr>
              <w:t>≤0.20</w:t>
            </w:r>
          </w:p>
        </w:tc>
        <w:tc>
          <w:tcPr>
            <w:tcW w:w="639" w:type="pct"/>
            <w:vAlign w:val="center"/>
          </w:tcPr>
          <w:p>
            <w:pPr>
              <w:widowControl/>
              <w:jc w:val="center"/>
              <w:rPr>
                <w:rFonts w:hAnsi="宋体"/>
                <w:color w:val="000000"/>
                <w:kern w:val="0"/>
                <w:sz w:val="18"/>
                <w:szCs w:val="18"/>
              </w:rPr>
            </w:pPr>
            <w:r>
              <w:rPr>
                <w:sz w:val="18"/>
                <w:szCs w:val="18"/>
              </w:rPr>
              <w:t>HG/T</w:t>
            </w:r>
            <w:r>
              <w:rPr>
                <w:rFonts w:hint="eastAsia"/>
                <w:sz w:val="18"/>
                <w:szCs w:val="18"/>
              </w:rPr>
              <w:t xml:space="preserve"> 3747.1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1438" w:type="pct"/>
            <w:gridSpan w:val="3"/>
            <w:shd w:val="clear" w:color="auto" w:fill="auto"/>
            <w:noWrap/>
            <w:vAlign w:val="center"/>
          </w:tcPr>
          <w:p>
            <w:pPr>
              <w:widowControl/>
              <w:rPr>
                <w:sz w:val="18"/>
                <w:szCs w:val="18"/>
              </w:rPr>
            </w:pPr>
            <w:r>
              <w:rPr>
                <w:sz w:val="18"/>
                <w:szCs w:val="18"/>
              </w:rPr>
              <w:t>耐磨性</w:t>
            </w:r>
          </w:p>
        </w:tc>
        <w:tc>
          <w:tcPr>
            <w:tcW w:w="593" w:type="pct"/>
            <w:shd w:val="clear" w:color="auto" w:fill="auto"/>
            <w:noWrap/>
            <w:vAlign w:val="center"/>
          </w:tcPr>
          <w:p>
            <w:pPr>
              <w:widowControl/>
              <w:jc w:val="center"/>
              <w:rPr>
                <w:color w:val="000000"/>
                <w:kern w:val="0"/>
                <w:sz w:val="18"/>
                <w:szCs w:val="18"/>
                <w:vertAlign w:val="superscript"/>
              </w:rPr>
            </w:pPr>
            <w:r>
              <w:rPr>
                <w:color w:val="000000"/>
                <w:kern w:val="0"/>
                <w:sz w:val="18"/>
                <w:szCs w:val="18"/>
              </w:rPr>
              <w:t>mm</w:t>
            </w:r>
            <w:r>
              <w:rPr>
                <w:color w:val="000000"/>
                <w:kern w:val="0"/>
                <w:sz w:val="18"/>
                <w:szCs w:val="18"/>
                <w:vertAlign w:val="superscript"/>
              </w:rPr>
              <w:t>3</w:t>
            </w:r>
          </w:p>
        </w:tc>
        <w:tc>
          <w:tcPr>
            <w:tcW w:w="667" w:type="pct"/>
            <w:shd w:val="clear" w:color="auto" w:fill="auto"/>
            <w:noWrap/>
            <w:vAlign w:val="center"/>
          </w:tcPr>
          <w:p>
            <w:pPr>
              <w:jc w:val="center"/>
              <w:rPr>
                <w:color w:val="000000"/>
                <w:kern w:val="0"/>
                <w:sz w:val="18"/>
                <w:szCs w:val="18"/>
              </w:rPr>
            </w:pPr>
            <w:r>
              <w:rPr>
                <w:rFonts w:hint="eastAsia"/>
                <w:color w:val="000000"/>
                <w:kern w:val="0"/>
                <w:sz w:val="18"/>
                <w:szCs w:val="18"/>
              </w:rPr>
              <w:t>≤250</w:t>
            </w:r>
          </w:p>
        </w:tc>
        <w:tc>
          <w:tcPr>
            <w:tcW w:w="667" w:type="pct"/>
            <w:shd w:val="clear" w:color="auto" w:fill="auto"/>
            <w:vAlign w:val="center"/>
          </w:tcPr>
          <w:p>
            <w:pPr>
              <w:jc w:val="center"/>
              <w:rPr>
                <w:color w:val="000000"/>
                <w:kern w:val="0"/>
                <w:sz w:val="18"/>
                <w:szCs w:val="18"/>
              </w:rPr>
            </w:pPr>
            <w:r>
              <w:rPr>
                <w:rFonts w:hint="eastAsia"/>
                <w:color w:val="000000"/>
                <w:kern w:val="0"/>
                <w:sz w:val="18"/>
                <w:szCs w:val="18"/>
              </w:rPr>
              <w:t>≤20</w:t>
            </w:r>
            <w:r>
              <w:rPr>
                <w:color w:val="000000"/>
                <w:kern w:val="0"/>
                <w:sz w:val="18"/>
                <w:szCs w:val="18"/>
              </w:rPr>
              <w:t>0</w:t>
            </w:r>
          </w:p>
        </w:tc>
        <w:tc>
          <w:tcPr>
            <w:tcW w:w="667" w:type="pct"/>
            <w:shd w:val="clear" w:color="auto" w:fill="auto"/>
            <w:vAlign w:val="center"/>
          </w:tcPr>
          <w:p>
            <w:pPr>
              <w:widowControl/>
              <w:jc w:val="center"/>
              <w:rPr>
                <w:rFonts w:ascii="宋体" w:cs="宋体"/>
                <w:color w:val="000000"/>
                <w:kern w:val="0"/>
                <w:sz w:val="18"/>
                <w:szCs w:val="18"/>
              </w:rPr>
            </w:pPr>
            <w:r>
              <w:rPr>
                <w:rFonts w:hint="eastAsia"/>
                <w:color w:val="000000"/>
                <w:kern w:val="0"/>
                <w:sz w:val="18"/>
                <w:szCs w:val="18"/>
              </w:rPr>
              <w:t>≤18</w:t>
            </w:r>
            <w:r>
              <w:rPr>
                <w:color w:val="000000"/>
                <w:kern w:val="0"/>
                <w:sz w:val="18"/>
                <w:szCs w:val="18"/>
              </w:rPr>
              <w:t>0</w:t>
            </w:r>
          </w:p>
        </w:tc>
        <w:tc>
          <w:tcPr>
            <w:tcW w:w="639" w:type="pct"/>
            <w:vAlign w:val="center"/>
          </w:tcPr>
          <w:p>
            <w:pPr>
              <w:widowControl/>
              <w:jc w:val="center"/>
              <w:rPr>
                <w:sz w:val="18"/>
                <w:szCs w:val="18"/>
              </w:rPr>
            </w:pPr>
            <w:r>
              <w:rPr>
                <w:rFonts w:hint="eastAsia"/>
                <w:sz w:val="18"/>
                <w:szCs w:val="18"/>
              </w:rPr>
              <w:t>G</w:t>
            </w:r>
            <w:r>
              <w:rPr>
                <w:sz w:val="18"/>
                <w:szCs w:val="18"/>
              </w:rPr>
              <w:t>B/T 9867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1438" w:type="pct"/>
            <w:gridSpan w:val="3"/>
            <w:shd w:val="clear" w:color="auto" w:fill="auto"/>
            <w:noWrap/>
            <w:vAlign w:val="center"/>
          </w:tcPr>
          <w:p>
            <w:pPr>
              <w:widowControl/>
              <w:rPr>
                <w:sz w:val="18"/>
                <w:szCs w:val="18"/>
              </w:rPr>
            </w:pPr>
            <w:r>
              <w:rPr>
                <w:sz w:val="18"/>
                <w:szCs w:val="18"/>
              </w:rPr>
              <w:t>耐人造光色牢度</w:t>
            </w:r>
          </w:p>
        </w:tc>
        <w:tc>
          <w:tcPr>
            <w:tcW w:w="593" w:type="pct"/>
            <w:shd w:val="clear" w:color="auto" w:fill="auto"/>
            <w:noWrap/>
            <w:vAlign w:val="center"/>
          </w:tcPr>
          <w:p>
            <w:pPr>
              <w:widowControl/>
              <w:jc w:val="center"/>
              <w:rPr>
                <w:color w:val="000000"/>
                <w:kern w:val="0"/>
                <w:sz w:val="18"/>
                <w:szCs w:val="18"/>
              </w:rPr>
            </w:pPr>
            <w:r>
              <w:rPr>
                <w:color w:val="000000"/>
                <w:kern w:val="0"/>
                <w:sz w:val="18"/>
                <w:szCs w:val="18"/>
              </w:rPr>
              <w:t>级</w:t>
            </w:r>
          </w:p>
        </w:tc>
        <w:tc>
          <w:tcPr>
            <w:tcW w:w="667" w:type="pct"/>
            <w:shd w:val="clear" w:color="auto" w:fill="auto"/>
            <w:noWrap/>
            <w:vAlign w:val="center"/>
          </w:tcPr>
          <w:p>
            <w:pPr>
              <w:jc w:val="center"/>
              <w:rPr>
                <w:sz w:val="18"/>
                <w:szCs w:val="18"/>
              </w:rPr>
            </w:pPr>
            <w:r>
              <w:rPr>
                <w:rFonts w:hint="eastAsia"/>
                <w:color w:val="000000"/>
                <w:kern w:val="0"/>
                <w:sz w:val="18"/>
                <w:szCs w:val="18"/>
              </w:rPr>
              <w:t>≥3</w:t>
            </w:r>
          </w:p>
        </w:tc>
        <w:tc>
          <w:tcPr>
            <w:tcW w:w="667" w:type="pct"/>
            <w:shd w:val="clear" w:color="auto" w:fill="auto"/>
            <w:vAlign w:val="center"/>
          </w:tcPr>
          <w:p>
            <w:pPr>
              <w:jc w:val="center"/>
              <w:rPr>
                <w:sz w:val="18"/>
                <w:szCs w:val="18"/>
              </w:rPr>
            </w:pPr>
            <w:r>
              <w:rPr>
                <w:rFonts w:hint="eastAsia"/>
                <w:color w:val="000000"/>
                <w:kern w:val="0"/>
                <w:sz w:val="18"/>
                <w:szCs w:val="18"/>
              </w:rPr>
              <w:t>≥</w:t>
            </w:r>
            <w:r>
              <w:rPr>
                <w:color w:val="000000"/>
                <w:kern w:val="0"/>
                <w:sz w:val="18"/>
                <w:szCs w:val="18"/>
              </w:rPr>
              <w:t>4</w:t>
            </w:r>
          </w:p>
        </w:tc>
        <w:tc>
          <w:tcPr>
            <w:tcW w:w="667" w:type="pct"/>
            <w:shd w:val="clear" w:color="auto" w:fill="auto"/>
            <w:vAlign w:val="center"/>
          </w:tcPr>
          <w:p>
            <w:pPr>
              <w:widowControl/>
              <w:jc w:val="center"/>
              <w:rPr>
                <w:rFonts w:ascii="宋体" w:cs="宋体"/>
                <w:color w:val="000000"/>
                <w:kern w:val="0"/>
                <w:sz w:val="18"/>
                <w:szCs w:val="18"/>
              </w:rPr>
            </w:pPr>
            <w:r>
              <w:rPr>
                <w:rFonts w:hint="eastAsia" w:ascii="宋体" w:cs="宋体"/>
                <w:color w:val="000000"/>
                <w:kern w:val="0"/>
                <w:sz w:val="18"/>
                <w:szCs w:val="18"/>
              </w:rPr>
              <w:t>≥</w:t>
            </w:r>
            <w:r>
              <w:rPr>
                <w:rFonts w:ascii="宋体" w:cs="宋体"/>
                <w:color w:val="000000"/>
                <w:kern w:val="0"/>
                <w:sz w:val="18"/>
                <w:szCs w:val="18"/>
              </w:rPr>
              <w:t>5</w:t>
            </w:r>
          </w:p>
        </w:tc>
        <w:tc>
          <w:tcPr>
            <w:tcW w:w="639" w:type="pct"/>
            <w:vAlign w:val="center"/>
          </w:tcPr>
          <w:p>
            <w:pPr>
              <w:widowControl/>
              <w:jc w:val="center"/>
              <w:rPr>
                <w:sz w:val="18"/>
                <w:szCs w:val="18"/>
              </w:rPr>
            </w:pPr>
            <w:r>
              <w:rPr>
                <w:sz w:val="18"/>
                <w:szCs w:val="18"/>
              </w:rPr>
              <w:t>HG/T</w:t>
            </w:r>
            <w:r>
              <w:rPr>
                <w:rFonts w:hint="eastAsia"/>
                <w:sz w:val="18"/>
                <w:szCs w:val="18"/>
              </w:rPr>
              <w:t xml:space="preserve"> 3747.1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1438" w:type="pct"/>
            <w:gridSpan w:val="3"/>
            <w:shd w:val="clear" w:color="auto" w:fill="auto"/>
            <w:noWrap/>
            <w:vAlign w:val="center"/>
          </w:tcPr>
          <w:p>
            <w:pPr>
              <w:widowControl/>
              <w:rPr>
                <w:sz w:val="18"/>
                <w:szCs w:val="18"/>
              </w:rPr>
            </w:pPr>
            <w:r>
              <w:rPr>
                <w:sz w:val="18"/>
                <w:szCs w:val="18"/>
              </w:rPr>
              <w:t>阻燃性能</w:t>
            </w:r>
          </w:p>
        </w:tc>
        <w:tc>
          <w:tcPr>
            <w:tcW w:w="593" w:type="pct"/>
            <w:vMerge w:val="restart"/>
            <w:shd w:val="clear" w:color="auto" w:fill="auto"/>
            <w:noWrap/>
            <w:vAlign w:val="center"/>
          </w:tcPr>
          <w:p>
            <w:pPr>
              <w:widowControl/>
              <w:jc w:val="center"/>
              <w:rPr>
                <w:color w:val="000000"/>
                <w:kern w:val="0"/>
                <w:sz w:val="18"/>
                <w:szCs w:val="18"/>
              </w:rPr>
            </w:pPr>
            <w:r>
              <w:rPr>
                <w:color w:val="000000"/>
                <w:kern w:val="0"/>
                <w:sz w:val="18"/>
                <w:szCs w:val="18"/>
              </w:rPr>
              <w:t>级</w:t>
            </w:r>
          </w:p>
        </w:tc>
        <w:tc>
          <w:tcPr>
            <w:tcW w:w="667" w:type="pct"/>
            <w:shd w:val="clear" w:color="auto" w:fill="auto"/>
            <w:noWrap/>
            <w:vAlign w:val="center"/>
          </w:tcPr>
          <w:p>
            <w:pPr>
              <w:widowControl/>
              <w:jc w:val="center"/>
              <w:rPr>
                <w:color w:val="000000"/>
                <w:kern w:val="0"/>
                <w:sz w:val="18"/>
                <w:szCs w:val="18"/>
              </w:rPr>
            </w:pPr>
            <w:r>
              <w:rPr>
                <w:rFonts w:hint="eastAsia" w:ascii="宋体" w:cs="宋体"/>
                <w:color w:val="000000"/>
                <w:kern w:val="0"/>
                <w:sz w:val="18"/>
                <w:szCs w:val="18"/>
              </w:rPr>
              <w:t>≥</w:t>
            </w:r>
            <w:r>
              <w:rPr>
                <w:color w:val="000000"/>
                <w:kern w:val="0"/>
                <w:sz w:val="18"/>
                <w:szCs w:val="18"/>
              </w:rPr>
              <w:t>B</w:t>
            </w:r>
            <w:r>
              <w:rPr>
                <w:color w:val="000000"/>
                <w:kern w:val="0"/>
                <w:sz w:val="18"/>
                <w:szCs w:val="18"/>
                <w:vertAlign w:val="subscript"/>
              </w:rPr>
              <w:t>1</w:t>
            </w:r>
          </w:p>
        </w:tc>
        <w:tc>
          <w:tcPr>
            <w:tcW w:w="667" w:type="pct"/>
            <w:shd w:val="clear" w:color="auto" w:fill="auto"/>
            <w:vAlign w:val="center"/>
          </w:tcPr>
          <w:p>
            <w:pPr>
              <w:jc w:val="center"/>
              <w:rPr>
                <w:color w:val="000000"/>
                <w:kern w:val="0"/>
                <w:sz w:val="18"/>
                <w:szCs w:val="18"/>
              </w:rPr>
            </w:pPr>
            <w:r>
              <w:rPr>
                <w:rFonts w:hint="eastAsia" w:ascii="宋体" w:cs="宋体"/>
                <w:color w:val="000000"/>
                <w:kern w:val="0"/>
                <w:sz w:val="18"/>
                <w:szCs w:val="18"/>
              </w:rPr>
              <w:t>≥</w:t>
            </w:r>
            <w:r>
              <w:rPr>
                <w:color w:val="000000"/>
                <w:kern w:val="0"/>
                <w:sz w:val="18"/>
                <w:szCs w:val="18"/>
              </w:rPr>
              <w:t>B</w:t>
            </w:r>
            <w:r>
              <w:rPr>
                <w:color w:val="000000"/>
                <w:kern w:val="0"/>
                <w:sz w:val="18"/>
                <w:szCs w:val="18"/>
                <w:vertAlign w:val="subscript"/>
              </w:rPr>
              <w:t>1</w:t>
            </w:r>
            <w:r>
              <w:rPr>
                <w:rFonts w:hint="eastAsia"/>
                <w:color w:val="000000"/>
                <w:kern w:val="0"/>
                <w:sz w:val="18"/>
                <w:szCs w:val="18"/>
              </w:rPr>
              <w:t>（</w:t>
            </w:r>
            <w:r>
              <w:rPr>
                <w:color w:val="000000"/>
                <w:kern w:val="0"/>
                <w:sz w:val="18"/>
                <w:szCs w:val="18"/>
              </w:rPr>
              <w:t>B</w:t>
            </w:r>
            <w:r>
              <w:rPr>
                <w:rFonts w:hint="eastAsia"/>
                <w:color w:val="000000"/>
                <w:kern w:val="0"/>
                <w:sz w:val="18"/>
                <w:szCs w:val="18"/>
              </w:rPr>
              <w:t>）</w:t>
            </w:r>
          </w:p>
        </w:tc>
        <w:tc>
          <w:tcPr>
            <w:tcW w:w="667" w:type="pct"/>
            <w:shd w:val="clear" w:color="auto" w:fill="auto"/>
            <w:vAlign w:val="center"/>
          </w:tcPr>
          <w:p>
            <w:pPr>
              <w:jc w:val="center"/>
              <w:rPr>
                <w:color w:val="000000"/>
                <w:kern w:val="0"/>
                <w:sz w:val="18"/>
                <w:szCs w:val="18"/>
              </w:rPr>
            </w:pPr>
            <w:r>
              <w:rPr>
                <w:rFonts w:hint="eastAsia" w:ascii="宋体" w:cs="宋体"/>
                <w:color w:val="000000"/>
                <w:kern w:val="0"/>
                <w:sz w:val="18"/>
                <w:szCs w:val="18"/>
              </w:rPr>
              <w:t>≥</w:t>
            </w:r>
            <w:r>
              <w:rPr>
                <w:rFonts w:hint="eastAsia"/>
                <w:color w:val="000000"/>
                <w:kern w:val="0"/>
                <w:sz w:val="18"/>
                <w:szCs w:val="18"/>
              </w:rPr>
              <w:t>B</w:t>
            </w:r>
            <w:r>
              <w:rPr>
                <w:color w:val="000000"/>
                <w:kern w:val="0"/>
                <w:sz w:val="18"/>
                <w:szCs w:val="18"/>
                <w:vertAlign w:val="subscript"/>
              </w:rPr>
              <w:t>1</w:t>
            </w:r>
            <w:r>
              <w:rPr>
                <w:color w:val="000000"/>
                <w:kern w:val="0"/>
                <w:sz w:val="18"/>
                <w:szCs w:val="18"/>
              </w:rPr>
              <w:t>(B)</w:t>
            </w:r>
          </w:p>
        </w:tc>
        <w:tc>
          <w:tcPr>
            <w:tcW w:w="639" w:type="pct"/>
            <w:vMerge w:val="restart"/>
            <w:vAlign w:val="center"/>
          </w:tcPr>
          <w:p>
            <w:pPr>
              <w:widowControl/>
              <w:jc w:val="center"/>
              <w:rPr>
                <w:sz w:val="18"/>
                <w:szCs w:val="18"/>
              </w:rPr>
            </w:pPr>
            <w:r>
              <w:rPr>
                <w:sz w:val="18"/>
                <w:szCs w:val="18"/>
              </w:rPr>
              <w:t>GB</w:t>
            </w:r>
            <w:r>
              <w:rPr>
                <w:rFonts w:hint="eastAsia"/>
                <w:sz w:val="18"/>
                <w:szCs w:val="18"/>
              </w:rPr>
              <w:t xml:space="preserve"> 8624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1438" w:type="pct"/>
            <w:gridSpan w:val="3"/>
            <w:shd w:val="clear" w:color="auto" w:fill="auto"/>
            <w:noWrap/>
            <w:vAlign w:val="center"/>
          </w:tcPr>
          <w:p>
            <w:pPr>
              <w:widowControl/>
              <w:rPr>
                <w:sz w:val="18"/>
                <w:szCs w:val="18"/>
              </w:rPr>
            </w:pPr>
            <w:r>
              <w:rPr>
                <w:rFonts w:hint="eastAsia"/>
                <w:sz w:val="18"/>
                <w:szCs w:val="18"/>
              </w:rPr>
              <w:t>产烟量</w:t>
            </w:r>
          </w:p>
        </w:tc>
        <w:tc>
          <w:tcPr>
            <w:tcW w:w="593" w:type="pct"/>
            <w:vMerge w:val="continue"/>
            <w:shd w:val="clear" w:color="auto" w:fill="auto"/>
            <w:noWrap/>
            <w:vAlign w:val="center"/>
          </w:tcPr>
          <w:p>
            <w:pPr>
              <w:widowControl/>
              <w:jc w:val="center"/>
              <w:rPr>
                <w:color w:val="000000"/>
                <w:kern w:val="0"/>
                <w:sz w:val="18"/>
                <w:szCs w:val="18"/>
              </w:rPr>
            </w:pPr>
          </w:p>
        </w:tc>
        <w:tc>
          <w:tcPr>
            <w:tcW w:w="2001" w:type="pct"/>
            <w:gridSpan w:val="3"/>
            <w:shd w:val="clear" w:color="auto" w:fill="auto"/>
            <w:noWrap/>
            <w:vAlign w:val="center"/>
          </w:tcPr>
          <w:p>
            <w:pPr>
              <w:widowControl/>
              <w:jc w:val="center"/>
              <w:rPr>
                <w:rFonts w:ascii="宋体" w:cs="宋体"/>
                <w:color w:val="000000"/>
                <w:kern w:val="0"/>
                <w:sz w:val="18"/>
                <w:szCs w:val="18"/>
              </w:rPr>
            </w:pPr>
            <w:r>
              <w:rPr>
                <w:rFonts w:hint="eastAsia" w:ascii="宋体" w:cs="宋体"/>
                <w:color w:val="000000"/>
                <w:kern w:val="0"/>
                <w:sz w:val="18"/>
                <w:szCs w:val="18"/>
              </w:rPr>
              <w:t>s</w:t>
            </w:r>
            <w:r>
              <w:rPr>
                <w:rFonts w:ascii="宋体" w:cs="宋体"/>
                <w:color w:val="000000"/>
                <w:kern w:val="0"/>
                <w:sz w:val="18"/>
                <w:szCs w:val="18"/>
              </w:rPr>
              <w:t xml:space="preserve">1 </w:t>
            </w:r>
          </w:p>
        </w:tc>
        <w:tc>
          <w:tcPr>
            <w:tcW w:w="639" w:type="pct"/>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0" w:hRule="atLeast"/>
          <w:jc w:val="center"/>
        </w:trPr>
        <w:tc>
          <w:tcPr>
            <w:tcW w:w="329" w:type="pct"/>
            <w:vMerge w:val="continue"/>
            <w:shd w:val="clear" w:color="auto" w:fill="auto"/>
            <w:noWrap/>
            <w:vAlign w:val="center"/>
          </w:tcPr>
          <w:p>
            <w:pPr>
              <w:widowControl/>
              <w:jc w:val="center"/>
              <w:rPr>
                <w:rFonts w:hAnsi="宋体"/>
                <w:color w:val="000000"/>
                <w:kern w:val="0"/>
                <w:sz w:val="18"/>
                <w:szCs w:val="18"/>
              </w:rPr>
            </w:pPr>
          </w:p>
        </w:tc>
        <w:tc>
          <w:tcPr>
            <w:tcW w:w="1438" w:type="pct"/>
            <w:gridSpan w:val="3"/>
            <w:shd w:val="clear" w:color="auto" w:fill="auto"/>
            <w:noWrap/>
            <w:vAlign w:val="center"/>
          </w:tcPr>
          <w:p>
            <w:pPr>
              <w:widowControl/>
              <w:rPr>
                <w:sz w:val="18"/>
                <w:szCs w:val="18"/>
              </w:rPr>
            </w:pPr>
            <w:r>
              <w:rPr>
                <w:rFonts w:hint="eastAsia"/>
                <w:sz w:val="18"/>
                <w:szCs w:val="18"/>
              </w:rPr>
              <w:t>烟毒</w:t>
            </w:r>
          </w:p>
        </w:tc>
        <w:tc>
          <w:tcPr>
            <w:tcW w:w="593" w:type="pct"/>
            <w:vMerge w:val="continue"/>
            <w:shd w:val="clear" w:color="auto" w:fill="auto"/>
            <w:noWrap/>
            <w:vAlign w:val="center"/>
          </w:tcPr>
          <w:p>
            <w:pPr>
              <w:widowControl/>
              <w:jc w:val="center"/>
              <w:rPr>
                <w:color w:val="000000"/>
                <w:kern w:val="0"/>
                <w:sz w:val="18"/>
                <w:szCs w:val="18"/>
              </w:rPr>
            </w:pPr>
          </w:p>
        </w:tc>
        <w:tc>
          <w:tcPr>
            <w:tcW w:w="2001" w:type="pct"/>
            <w:gridSpan w:val="3"/>
            <w:shd w:val="clear" w:color="auto" w:fill="auto"/>
            <w:noWrap/>
            <w:vAlign w:val="center"/>
          </w:tcPr>
          <w:p>
            <w:pPr>
              <w:widowControl/>
              <w:jc w:val="center"/>
              <w:rPr>
                <w:rFonts w:ascii="宋体" w:cs="宋体"/>
                <w:color w:val="000000"/>
                <w:kern w:val="0"/>
                <w:sz w:val="18"/>
                <w:szCs w:val="18"/>
              </w:rPr>
            </w:pPr>
            <w:r>
              <w:rPr>
                <w:rFonts w:hint="eastAsia" w:ascii="宋体" w:cs="宋体"/>
                <w:color w:val="000000"/>
                <w:kern w:val="0"/>
                <w:sz w:val="18"/>
                <w:szCs w:val="18"/>
              </w:rPr>
              <w:t>t</w:t>
            </w:r>
            <w:r>
              <w:rPr>
                <w:rFonts w:ascii="宋体" w:cs="宋体"/>
                <w:color w:val="000000"/>
                <w:kern w:val="0"/>
                <w:sz w:val="18"/>
                <w:szCs w:val="18"/>
              </w:rPr>
              <w:t>0</w:t>
            </w:r>
          </w:p>
        </w:tc>
        <w:tc>
          <w:tcPr>
            <w:tcW w:w="639" w:type="pct"/>
            <w:vMerge w:val="continue"/>
            <w:vAlign w:val="center"/>
          </w:tcPr>
          <w:p>
            <w:pPr>
              <w:widowControl/>
              <w:jc w:val="center"/>
              <w:rPr>
                <w:sz w:val="18"/>
                <w:szCs w:val="18"/>
              </w:rPr>
            </w:pPr>
          </w:p>
        </w:tc>
      </w:tr>
    </w:tbl>
    <w:p>
      <w:pPr>
        <w:pStyle w:val="24"/>
        <w:ind w:firstLine="0" w:firstLineChars="0"/>
      </w:pPr>
    </w:p>
    <w:p>
      <w:pPr>
        <w:pStyle w:val="5"/>
        <w:spacing w:before="113"/>
        <w:ind w:left="2750"/>
        <w:rPr>
          <w:rFonts w:ascii="Times New Roman" w:hAnsi="Times New Roman" w:eastAsia="黑体"/>
          <w:kern w:val="0"/>
        </w:rPr>
      </w:pPr>
      <w:r>
        <w:rPr>
          <w:rFonts w:ascii="Times New Roman" w:hAnsi="Times New Roman" w:eastAsia="黑体"/>
          <w:kern w:val="0"/>
        </w:rPr>
        <w:t>表</w:t>
      </w:r>
      <w:r>
        <w:rPr>
          <w:rFonts w:hint="eastAsia" w:ascii="Times New Roman" w:hAnsi="Times New Roman" w:eastAsia="黑体"/>
          <w:kern w:val="0"/>
        </w:rPr>
        <w:t>3 软木类</w:t>
      </w:r>
      <w:r>
        <w:rPr>
          <w:rFonts w:ascii="Times New Roman" w:hAnsi="Times New Roman" w:eastAsia="黑体"/>
          <w:kern w:val="0"/>
        </w:rPr>
        <w:t>弹性地板评价指标要求</w:t>
      </w:r>
    </w:p>
    <w:tbl>
      <w:tblPr>
        <w:tblStyle w:val="12"/>
        <w:tblW w:w="943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4"/>
        <w:gridCol w:w="374"/>
        <w:gridCol w:w="841"/>
        <w:gridCol w:w="1400"/>
        <w:gridCol w:w="742"/>
        <w:gridCol w:w="1368"/>
        <w:gridCol w:w="1368"/>
        <w:gridCol w:w="1368"/>
        <w:gridCol w:w="13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3" w:hRule="atLeast"/>
          <w:tblHeader/>
          <w:jc w:val="center"/>
        </w:trPr>
        <w:tc>
          <w:tcPr>
            <w:tcW w:w="604" w:type="dxa"/>
            <w:vMerge w:val="restart"/>
            <w:shd w:val="clear" w:color="auto" w:fill="auto"/>
            <w:vAlign w:val="center"/>
          </w:tcPr>
          <w:p>
            <w:pPr>
              <w:widowControl/>
              <w:jc w:val="center"/>
              <w:rPr>
                <w:color w:val="000000"/>
                <w:kern w:val="0"/>
                <w:sz w:val="18"/>
                <w:szCs w:val="18"/>
              </w:rPr>
            </w:pPr>
            <w:r>
              <w:rPr>
                <w:color w:val="000000"/>
                <w:kern w:val="0"/>
                <w:sz w:val="18"/>
                <w:szCs w:val="18"/>
              </w:rPr>
              <w:t>一级</w:t>
            </w:r>
          </w:p>
          <w:p>
            <w:pPr>
              <w:widowControl/>
              <w:jc w:val="center"/>
              <w:rPr>
                <w:color w:val="000000"/>
                <w:kern w:val="0"/>
                <w:sz w:val="18"/>
                <w:szCs w:val="18"/>
              </w:rPr>
            </w:pPr>
            <w:r>
              <w:rPr>
                <w:color w:val="000000"/>
                <w:kern w:val="0"/>
                <w:sz w:val="18"/>
                <w:szCs w:val="18"/>
              </w:rPr>
              <w:t>指标</w:t>
            </w:r>
          </w:p>
        </w:tc>
        <w:tc>
          <w:tcPr>
            <w:tcW w:w="2615" w:type="dxa"/>
            <w:gridSpan w:val="3"/>
            <w:vMerge w:val="restart"/>
            <w:shd w:val="clear" w:color="auto" w:fill="auto"/>
            <w:vAlign w:val="center"/>
          </w:tcPr>
          <w:p>
            <w:pPr>
              <w:widowControl/>
              <w:jc w:val="center"/>
              <w:rPr>
                <w:color w:val="000000"/>
                <w:kern w:val="0"/>
                <w:sz w:val="18"/>
                <w:szCs w:val="18"/>
              </w:rPr>
            </w:pPr>
            <w:r>
              <w:rPr>
                <w:color w:val="000000"/>
                <w:kern w:val="0"/>
                <w:sz w:val="18"/>
                <w:szCs w:val="18"/>
              </w:rPr>
              <w:t>二级指标</w:t>
            </w:r>
          </w:p>
        </w:tc>
        <w:tc>
          <w:tcPr>
            <w:tcW w:w="742" w:type="dxa"/>
            <w:vMerge w:val="restart"/>
            <w:shd w:val="clear" w:color="auto" w:fill="auto"/>
            <w:vAlign w:val="center"/>
          </w:tcPr>
          <w:p>
            <w:pPr>
              <w:widowControl/>
              <w:jc w:val="center"/>
              <w:rPr>
                <w:color w:val="000000"/>
                <w:kern w:val="0"/>
                <w:sz w:val="18"/>
                <w:szCs w:val="18"/>
              </w:rPr>
            </w:pPr>
            <w:r>
              <w:rPr>
                <w:color w:val="000000"/>
                <w:kern w:val="0"/>
                <w:sz w:val="18"/>
                <w:szCs w:val="18"/>
              </w:rPr>
              <w:t>单位</w:t>
            </w:r>
          </w:p>
        </w:tc>
        <w:tc>
          <w:tcPr>
            <w:tcW w:w="4104" w:type="dxa"/>
            <w:gridSpan w:val="3"/>
            <w:shd w:val="clear" w:color="auto" w:fill="auto"/>
            <w:vAlign w:val="center"/>
          </w:tcPr>
          <w:p>
            <w:pPr>
              <w:widowControl/>
              <w:jc w:val="center"/>
              <w:rPr>
                <w:color w:val="000000"/>
                <w:kern w:val="0"/>
                <w:sz w:val="18"/>
                <w:szCs w:val="18"/>
              </w:rPr>
            </w:pPr>
            <w:r>
              <w:rPr>
                <w:color w:val="000000"/>
                <w:kern w:val="0"/>
                <w:sz w:val="18"/>
                <w:szCs w:val="18"/>
              </w:rPr>
              <w:t>基准值</w:t>
            </w:r>
          </w:p>
        </w:tc>
        <w:tc>
          <w:tcPr>
            <w:tcW w:w="1369" w:type="dxa"/>
            <w:vMerge w:val="restart"/>
            <w:shd w:val="clear" w:color="auto" w:fill="auto"/>
            <w:vAlign w:val="center"/>
          </w:tcPr>
          <w:p>
            <w:pPr>
              <w:widowControl/>
              <w:jc w:val="center"/>
              <w:rPr>
                <w:color w:val="000000"/>
                <w:kern w:val="0"/>
                <w:sz w:val="18"/>
                <w:szCs w:val="18"/>
              </w:rPr>
            </w:pPr>
            <w:r>
              <w:rPr>
                <w:color w:val="000000"/>
                <w:kern w:val="0"/>
                <w:sz w:val="18"/>
                <w:szCs w:val="18"/>
              </w:rPr>
              <w:t>评价依据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0" w:hRule="atLeast"/>
          <w:tblHeader/>
          <w:jc w:val="center"/>
        </w:trPr>
        <w:tc>
          <w:tcPr>
            <w:tcW w:w="604" w:type="dxa"/>
            <w:vMerge w:val="continue"/>
            <w:shd w:val="clear" w:color="auto" w:fill="auto"/>
            <w:vAlign w:val="center"/>
          </w:tcPr>
          <w:p>
            <w:pPr>
              <w:widowControl/>
              <w:jc w:val="center"/>
              <w:rPr>
                <w:color w:val="000000"/>
                <w:kern w:val="0"/>
                <w:sz w:val="18"/>
                <w:szCs w:val="18"/>
              </w:rPr>
            </w:pPr>
          </w:p>
        </w:tc>
        <w:tc>
          <w:tcPr>
            <w:tcW w:w="2615" w:type="dxa"/>
            <w:gridSpan w:val="3"/>
            <w:vMerge w:val="continue"/>
            <w:shd w:val="clear" w:color="auto" w:fill="auto"/>
            <w:vAlign w:val="center"/>
          </w:tcPr>
          <w:p>
            <w:pPr>
              <w:widowControl/>
              <w:jc w:val="center"/>
              <w:rPr>
                <w:color w:val="000000"/>
                <w:kern w:val="0"/>
                <w:sz w:val="18"/>
                <w:szCs w:val="18"/>
              </w:rPr>
            </w:pPr>
          </w:p>
        </w:tc>
        <w:tc>
          <w:tcPr>
            <w:tcW w:w="742" w:type="dxa"/>
            <w:vMerge w:val="continue"/>
            <w:shd w:val="clear" w:color="auto" w:fill="auto"/>
            <w:vAlign w:val="center"/>
          </w:tcPr>
          <w:p>
            <w:pPr>
              <w:widowControl/>
              <w:jc w:val="center"/>
              <w:rPr>
                <w:color w:val="000000"/>
                <w:kern w:val="0"/>
                <w:sz w:val="18"/>
                <w:szCs w:val="18"/>
              </w:rPr>
            </w:pPr>
          </w:p>
        </w:tc>
        <w:tc>
          <w:tcPr>
            <w:tcW w:w="1368" w:type="dxa"/>
            <w:shd w:val="clear" w:color="auto" w:fill="auto"/>
            <w:vAlign w:val="center"/>
          </w:tcPr>
          <w:p>
            <w:pPr>
              <w:widowControl/>
              <w:jc w:val="center"/>
              <w:rPr>
                <w:color w:val="000000"/>
                <w:kern w:val="0"/>
                <w:sz w:val="18"/>
                <w:szCs w:val="18"/>
              </w:rPr>
            </w:pPr>
            <w:r>
              <w:rPr>
                <w:color w:val="000000"/>
                <w:kern w:val="0"/>
                <w:sz w:val="18"/>
                <w:szCs w:val="18"/>
              </w:rPr>
              <w:t>一</w:t>
            </w:r>
            <w:r>
              <w:rPr>
                <w:rFonts w:hint="eastAsia"/>
                <w:color w:val="000000"/>
                <w:kern w:val="0"/>
                <w:sz w:val="18"/>
                <w:szCs w:val="18"/>
              </w:rPr>
              <w:t>星</w:t>
            </w:r>
            <w:r>
              <w:rPr>
                <w:color w:val="000000"/>
                <w:kern w:val="0"/>
                <w:sz w:val="18"/>
                <w:szCs w:val="18"/>
              </w:rPr>
              <w:t>级</w:t>
            </w:r>
          </w:p>
        </w:tc>
        <w:tc>
          <w:tcPr>
            <w:tcW w:w="1368" w:type="dxa"/>
            <w:shd w:val="clear" w:color="auto" w:fill="auto"/>
            <w:vAlign w:val="center"/>
          </w:tcPr>
          <w:p>
            <w:pPr>
              <w:widowControl/>
              <w:jc w:val="center"/>
              <w:rPr>
                <w:color w:val="000000"/>
                <w:kern w:val="0"/>
                <w:sz w:val="18"/>
                <w:szCs w:val="18"/>
              </w:rPr>
            </w:pPr>
            <w:r>
              <w:rPr>
                <w:color w:val="000000"/>
                <w:kern w:val="0"/>
                <w:sz w:val="18"/>
                <w:szCs w:val="18"/>
              </w:rPr>
              <w:t>二</w:t>
            </w:r>
            <w:r>
              <w:rPr>
                <w:rFonts w:hint="eastAsia"/>
                <w:color w:val="000000"/>
                <w:kern w:val="0"/>
                <w:sz w:val="18"/>
                <w:szCs w:val="18"/>
              </w:rPr>
              <w:t>星</w:t>
            </w:r>
            <w:r>
              <w:rPr>
                <w:color w:val="000000"/>
                <w:kern w:val="0"/>
                <w:sz w:val="18"/>
                <w:szCs w:val="18"/>
              </w:rPr>
              <w:t>级</w:t>
            </w:r>
          </w:p>
        </w:tc>
        <w:tc>
          <w:tcPr>
            <w:tcW w:w="1368" w:type="dxa"/>
            <w:shd w:val="clear" w:color="auto" w:fill="auto"/>
            <w:vAlign w:val="center"/>
          </w:tcPr>
          <w:p>
            <w:pPr>
              <w:widowControl/>
              <w:jc w:val="center"/>
              <w:rPr>
                <w:color w:val="000000"/>
                <w:kern w:val="0"/>
                <w:sz w:val="18"/>
                <w:szCs w:val="18"/>
              </w:rPr>
            </w:pPr>
            <w:r>
              <w:rPr>
                <w:color w:val="000000"/>
                <w:kern w:val="0"/>
                <w:sz w:val="18"/>
                <w:szCs w:val="18"/>
              </w:rPr>
              <w:t>三</w:t>
            </w:r>
            <w:r>
              <w:rPr>
                <w:rFonts w:hint="eastAsia"/>
                <w:color w:val="000000"/>
                <w:kern w:val="0"/>
                <w:sz w:val="18"/>
                <w:szCs w:val="18"/>
              </w:rPr>
              <w:t>星</w:t>
            </w:r>
            <w:r>
              <w:rPr>
                <w:color w:val="000000"/>
                <w:kern w:val="0"/>
                <w:sz w:val="18"/>
                <w:szCs w:val="18"/>
              </w:rPr>
              <w:t>级</w:t>
            </w:r>
          </w:p>
        </w:tc>
        <w:tc>
          <w:tcPr>
            <w:tcW w:w="1369" w:type="dxa"/>
            <w:vMerge w:val="continue"/>
            <w:shd w:val="clear" w:color="auto" w:fill="auto"/>
            <w:vAlign w:val="center"/>
          </w:tcPr>
          <w:p>
            <w:pPr>
              <w:widowControl/>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5" w:hRule="atLeast"/>
          <w:jc w:val="center"/>
        </w:trPr>
        <w:tc>
          <w:tcPr>
            <w:tcW w:w="604" w:type="dxa"/>
            <w:vMerge w:val="restart"/>
            <w:shd w:val="clear" w:color="auto" w:fill="auto"/>
            <w:vAlign w:val="center"/>
          </w:tcPr>
          <w:p>
            <w:pPr>
              <w:pStyle w:val="5"/>
              <w:ind w:left="0"/>
              <w:jc w:val="center"/>
              <w:rPr>
                <w:rFonts w:ascii="Times New Roman" w:hAnsi="Times New Roman"/>
                <w:sz w:val="18"/>
                <w:szCs w:val="18"/>
              </w:rPr>
            </w:pPr>
            <w:r>
              <w:rPr>
                <w:rFonts w:hint="eastAsia" w:ascii="Times New Roman" w:hAnsi="Times New Roman"/>
                <w:sz w:val="18"/>
                <w:szCs w:val="18"/>
              </w:rPr>
              <w:t>资源属性</w:t>
            </w:r>
          </w:p>
        </w:tc>
        <w:tc>
          <w:tcPr>
            <w:tcW w:w="374" w:type="dxa"/>
            <w:vMerge w:val="restart"/>
            <w:shd w:val="clear" w:color="auto" w:fill="auto"/>
            <w:vAlign w:val="center"/>
          </w:tcPr>
          <w:p>
            <w:pPr>
              <w:pStyle w:val="5"/>
              <w:ind w:left="0"/>
              <w:jc w:val="center"/>
              <w:rPr>
                <w:rFonts w:ascii="Times New Roman" w:hAnsi="Times New Roman"/>
                <w:sz w:val="18"/>
                <w:szCs w:val="18"/>
              </w:rPr>
            </w:pPr>
            <w:r>
              <w:rPr>
                <w:rFonts w:hint="eastAsia" w:ascii="Times New Roman" w:hAnsi="Times New Roman"/>
                <w:sz w:val="18"/>
                <w:szCs w:val="18"/>
              </w:rPr>
              <w:t>原</w:t>
            </w:r>
          </w:p>
          <w:p>
            <w:pPr>
              <w:pStyle w:val="5"/>
              <w:ind w:left="0"/>
              <w:jc w:val="center"/>
              <w:rPr>
                <w:rFonts w:ascii="Times New Roman" w:hAnsi="Times New Roman"/>
                <w:sz w:val="18"/>
                <w:szCs w:val="18"/>
              </w:rPr>
            </w:pPr>
            <w:r>
              <w:rPr>
                <w:rFonts w:hint="eastAsia" w:ascii="Times New Roman" w:hAnsi="Times New Roman"/>
                <w:sz w:val="18"/>
                <w:szCs w:val="18"/>
              </w:rPr>
              <w:t>材</w:t>
            </w:r>
          </w:p>
          <w:p>
            <w:pPr>
              <w:pStyle w:val="5"/>
              <w:ind w:left="0"/>
              <w:jc w:val="center"/>
              <w:rPr>
                <w:rFonts w:ascii="Times New Roman" w:hAnsi="Times New Roman"/>
                <w:sz w:val="18"/>
                <w:szCs w:val="18"/>
              </w:rPr>
            </w:pPr>
            <w:r>
              <w:rPr>
                <w:rFonts w:hint="eastAsia" w:ascii="Times New Roman" w:hAnsi="Times New Roman"/>
                <w:sz w:val="18"/>
                <w:szCs w:val="18"/>
              </w:rPr>
              <w:t>料要</w:t>
            </w:r>
          </w:p>
          <w:p>
            <w:pPr>
              <w:pStyle w:val="5"/>
              <w:ind w:left="0"/>
              <w:jc w:val="center"/>
              <w:rPr>
                <w:rFonts w:ascii="Times New Roman" w:hAnsi="Times New Roman"/>
                <w:sz w:val="18"/>
                <w:szCs w:val="18"/>
              </w:rPr>
            </w:pPr>
            <w:r>
              <w:rPr>
                <w:rFonts w:hint="eastAsia" w:ascii="Times New Roman" w:hAnsi="Times New Roman"/>
                <w:sz w:val="18"/>
                <w:szCs w:val="18"/>
              </w:rPr>
              <w:t>求</w:t>
            </w:r>
          </w:p>
        </w:tc>
        <w:tc>
          <w:tcPr>
            <w:tcW w:w="2241" w:type="dxa"/>
            <w:gridSpan w:val="2"/>
            <w:shd w:val="clear" w:color="auto" w:fill="auto"/>
            <w:vAlign w:val="center"/>
          </w:tcPr>
          <w:p>
            <w:pPr>
              <w:pStyle w:val="60"/>
              <w:jc w:val="center"/>
              <w:rPr>
                <w:sz w:val="18"/>
                <w:szCs w:val="18"/>
              </w:rPr>
            </w:pPr>
            <w:r>
              <w:rPr>
                <w:sz w:val="18"/>
                <w:szCs w:val="18"/>
              </w:rPr>
              <w:t>胶粘剂</w:t>
            </w:r>
          </w:p>
        </w:tc>
        <w:tc>
          <w:tcPr>
            <w:tcW w:w="742" w:type="dxa"/>
            <w:shd w:val="clear" w:color="auto" w:fill="auto"/>
            <w:vAlign w:val="center"/>
          </w:tcPr>
          <w:p>
            <w:pPr>
              <w:pStyle w:val="60"/>
              <w:jc w:val="center"/>
              <w:rPr>
                <w:sz w:val="18"/>
                <w:szCs w:val="18"/>
              </w:rPr>
            </w:pPr>
            <w:r>
              <w:rPr>
                <w:rFonts w:hint="eastAsia" w:asciiTheme="minorEastAsia" w:hAnsiTheme="minorEastAsia" w:eastAsiaTheme="minorEastAsia"/>
                <w:sz w:val="18"/>
                <w:szCs w:val="18"/>
              </w:rPr>
              <w:t>-</w:t>
            </w:r>
          </w:p>
        </w:tc>
        <w:tc>
          <w:tcPr>
            <w:tcW w:w="4104" w:type="dxa"/>
            <w:gridSpan w:val="3"/>
            <w:shd w:val="clear" w:color="auto" w:fill="auto"/>
            <w:vAlign w:val="center"/>
          </w:tcPr>
          <w:p>
            <w:pPr>
              <w:pStyle w:val="60"/>
              <w:jc w:val="center"/>
              <w:rPr>
                <w:sz w:val="18"/>
                <w:szCs w:val="18"/>
              </w:rPr>
            </w:pPr>
            <w:r>
              <w:rPr>
                <w:sz w:val="18"/>
                <w:szCs w:val="18"/>
              </w:rPr>
              <w:t>符合</w:t>
            </w:r>
            <w:r>
              <w:rPr>
                <w:rFonts w:eastAsia="Times New Roman"/>
                <w:sz w:val="18"/>
                <w:szCs w:val="18"/>
              </w:rPr>
              <w:t xml:space="preserve">GB18583 </w:t>
            </w:r>
            <w:r>
              <w:rPr>
                <w:sz w:val="18"/>
                <w:szCs w:val="18"/>
              </w:rPr>
              <w:t>的要求</w:t>
            </w:r>
          </w:p>
        </w:tc>
        <w:tc>
          <w:tcPr>
            <w:tcW w:w="1369" w:type="dxa"/>
            <w:shd w:val="clear" w:color="auto" w:fill="auto"/>
            <w:vAlign w:val="center"/>
          </w:tcPr>
          <w:p>
            <w:pPr>
              <w:pStyle w:val="60"/>
              <w:ind w:right="96"/>
              <w:jc w:val="center"/>
              <w:rPr>
                <w:sz w:val="18"/>
                <w:szCs w:val="18"/>
              </w:rPr>
            </w:pPr>
            <w:r>
              <w:rPr>
                <w:rFonts w:eastAsia="Times New Roman"/>
                <w:sz w:val="18"/>
                <w:szCs w:val="18"/>
              </w:rPr>
              <w:t>GB18583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53" w:hRule="atLeast"/>
          <w:jc w:val="center"/>
        </w:trPr>
        <w:tc>
          <w:tcPr>
            <w:tcW w:w="604" w:type="dxa"/>
            <w:vMerge w:val="continue"/>
            <w:shd w:val="clear" w:color="auto" w:fill="auto"/>
            <w:vAlign w:val="center"/>
          </w:tcPr>
          <w:p>
            <w:pPr>
              <w:pStyle w:val="5"/>
              <w:jc w:val="center"/>
              <w:rPr>
                <w:rFonts w:ascii="Times New Roman" w:hAnsi="Times New Roman"/>
                <w:sz w:val="18"/>
                <w:szCs w:val="18"/>
              </w:rPr>
            </w:pPr>
          </w:p>
        </w:tc>
        <w:tc>
          <w:tcPr>
            <w:tcW w:w="374" w:type="dxa"/>
            <w:vMerge w:val="continue"/>
            <w:shd w:val="clear" w:color="auto" w:fill="auto"/>
            <w:vAlign w:val="center"/>
          </w:tcPr>
          <w:p>
            <w:pPr>
              <w:pStyle w:val="5"/>
              <w:jc w:val="center"/>
              <w:rPr>
                <w:rFonts w:ascii="Times New Roman" w:hAnsi="Times New Roman"/>
                <w:sz w:val="18"/>
                <w:szCs w:val="18"/>
              </w:rPr>
            </w:pPr>
          </w:p>
        </w:tc>
        <w:tc>
          <w:tcPr>
            <w:tcW w:w="2241" w:type="dxa"/>
            <w:gridSpan w:val="2"/>
            <w:shd w:val="clear" w:color="auto" w:fill="auto"/>
            <w:vAlign w:val="center"/>
          </w:tcPr>
          <w:p>
            <w:pPr>
              <w:pStyle w:val="60"/>
              <w:jc w:val="center"/>
              <w:rPr>
                <w:sz w:val="18"/>
                <w:szCs w:val="18"/>
              </w:rPr>
            </w:pPr>
            <w:r>
              <w:rPr>
                <w:sz w:val="18"/>
                <w:szCs w:val="18"/>
              </w:rPr>
              <w:t>防腐剂和杀虫剂</w:t>
            </w:r>
          </w:p>
        </w:tc>
        <w:tc>
          <w:tcPr>
            <w:tcW w:w="742" w:type="dxa"/>
            <w:shd w:val="clear" w:color="auto" w:fill="auto"/>
            <w:vAlign w:val="center"/>
          </w:tcPr>
          <w:p>
            <w:pPr>
              <w:pStyle w:val="60"/>
              <w:jc w:val="center"/>
              <w:rPr>
                <w:sz w:val="18"/>
                <w:szCs w:val="18"/>
              </w:rPr>
            </w:pPr>
            <w:r>
              <w:rPr>
                <w:rFonts w:hint="eastAsia" w:asciiTheme="minorEastAsia" w:hAnsiTheme="minorEastAsia" w:eastAsiaTheme="minorEastAsia"/>
                <w:sz w:val="18"/>
                <w:szCs w:val="18"/>
              </w:rPr>
              <w:t>-</w:t>
            </w:r>
          </w:p>
        </w:tc>
        <w:tc>
          <w:tcPr>
            <w:tcW w:w="4104" w:type="dxa"/>
            <w:gridSpan w:val="3"/>
            <w:shd w:val="clear" w:color="auto" w:fill="auto"/>
            <w:vAlign w:val="center"/>
          </w:tcPr>
          <w:p>
            <w:pPr>
              <w:pStyle w:val="60"/>
              <w:jc w:val="center"/>
              <w:rPr>
                <w:sz w:val="18"/>
                <w:szCs w:val="18"/>
              </w:rPr>
            </w:pPr>
            <w:r>
              <w:rPr>
                <w:sz w:val="18"/>
                <w:szCs w:val="18"/>
              </w:rPr>
              <w:t>木材采伐、木材加工过程</w:t>
            </w:r>
            <w:r>
              <w:rPr>
                <w:spacing w:val="-2"/>
                <w:sz w:val="18"/>
                <w:szCs w:val="18"/>
              </w:rPr>
              <w:t>中不允许使用防腐、防虫、</w:t>
            </w:r>
            <w:r>
              <w:rPr>
                <w:sz w:val="18"/>
                <w:szCs w:val="18"/>
              </w:rPr>
              <w:t>防白蚁、防变色的药剂</w:t>
            </w:r>
            <w:r>
              <w:rPr>
                <w:rFonts w:hint="eastAsia"/>
                <w:sz w:val="18"/>
                <w:szCs w:val="18"/>
              </w:rPr>
              <w:t>。</w:t>
            </w:r>
          </w:p>
        </w:tc>
        <w:tc>
          <w:tcPr>
            <w:tcW w:w="1369" w:type="dxa"/>
            <w:vMerge w:val="restart"/>
            <w:shd w:val="clear" w:color="auto" w:fill="auto"/>
            <w:vAlign w:val="center"/>
          </w:tcPr>
          <w:p>
            <w:pPr>
              <w:pStyle w:val="60"/>
              <w:ind w:right="144"/>
              <w:jc w:val="center"/>
              <w:rPr>
                <w:sz w:val="18"/>
                <w:szCs w:val="18"/>
              </w:rPr>
            </w:pPr>
            <w:r>
              <w:rPr>
                <w:rFonts w:hint="eastAsia" w:ascii="宋体" w:hAnsi="宋体" w:cs="宋体"/>
                <w:sz w:val="18"/>
                <w:szCs w:val="18"/>
              </w:rPr>
              <w:t>提交证明资料结合现场检查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1" w:hRule="atLeast"/>
          <w:jc w:val="center"/>
        </w:trPr>
        <w:tc>
          <w:tcPr>
            <w:tcW w:w="604" w:type="dxa"/>
            <w:vMerge w:val="continue"/>
            <w:shd w:val="clear" w:color="auto" w:fill="auto"/>
            <w:vAlign w:val="center"/>
          </w:tcPr>
          <w:p>
            <w:pPr>
              <w:pStyle w:val="5"/>
              <w:jc w:val="center"/>
              <w:rPr>
                <w:rFonts w:ascii="Times New Roman" w:hAnsi="Times New Roman"/>
                <w:sz w:val="18"/>
                <w:szCs w:val="18"/>
              </w:rPr>
            </w:pPr>
          </w:p>
        </w:tc>
        <w:tc>
          <w:tcPr>
            <w:tcW w:w="374" w:type="dxa"/>
            <w:vMerge w:val="continue"/>
            <w:shd w:val="clear" w:color="auto" w:fill="auto"/>
            <w:vAlign w:val="center"/>
          </w:tcPr>
          <w:p>
            <w:pPr>
              <w:pStyle w:val="5"/>
              <w:jc w:val="center"/>
              <w:rPr>
                <w:rFonts w:ascii="Times New Roman" w:hAnsi="Times New Roman"/>
                <w:sz w:val="18"/>
                <w:szCs w:val="18"/>
              </w:rPr>
            </w:pPr>
          </w:p>
        </w:tc>
        <w:tc>
          <w:tcPr>
            <w:tcW w:w="2241" w:type="dxa"/>
            <w:gridSpan w:val="2"/>
            <w:shd w:val="clear" w:color="auto" w:fill="auto"/>
            <w:vAlign w:val="center"/>
          </w:tcPr>
          <w:p>
            <w:pPr>
              <w:pStyle w:val="60"/>
              <w:jc w:val="center"/>
              <w:rPr>
                <w:sz w:val="18"/>
                <w:szCs w:val="18"/>
              </w:rPr>
            </w:pPr>
            <w:r>
              <w:rPr>
                <w:sz w:val="18"/>
                <w:szCs w:val="18"/>
              </w:rPr>
              <w:t>阻燃剂</w:t>
            </w:r>
          </w:p>
        </w:tc>
        <w:tc>
          <w:tcPr>
            <w:tcW w:w="742" w:type="dxa"/>
            <w:shd w:val="clear" w:color="auto" w:fill="auto"/>
            <w:vAlign w:val="center"/>
          </w:tcPr>
          <w:p>
            <w:pPr>
              <w:pStyle w:val="60"/>
              <w:jc w:val="center"/>
              <w:rPr>
                <w:sz w:val="18"/>
                <w:szCs w:val="18"/>
              </w:rPr>
            </w:pPr>
            <w:r>
              <w:rPr>
                <w:rFonts w:hint="eastAsia" w:asciiTheme="minorEastAsia" w:hAnsiTheme="minorEastAsia" w:eastAsiaTheme="minorEastAsia"/>
                <w:sz w:val="18"/>
                <w:szCs w:val="18"/>
              </w:rPr>
              <w:t>-</w:t>
            </w:r>
          </w:p>
        </w:tc>
        <w:tc>
          <w:tcPr>
            <w:tcW w:w="4104" w:type="dxa"/>
            <w:gridSpan w:val="3"/>
            <w:shd w:val="clear" w:color="auto" w:fill="auto"/>
            <w:vAlign w:val="center"/>
          </w:tcPr>
          <w:p>
            <w:pPr>
              <w:pStyle w:val="60"/>
              <w:ind w:right="110"/>
              <w:jc w:val="center"/>
              <w:rPr>
                <w:sz w:val="18"/>
                <w:szCs w:val="18"/>
              </w:rPr>
            </w:pPr>
            <w:r>
              <w:rPr>
                <w:sz w:val="18"/>
                <w:szCs w:val="18"/>
              </w:rPr>
              <w:t>不允许使用含有多溴联苯、三</w:t>
            </w:r>
            <w:r>
              <w:rPr>
                <w:rFonts w:eastAsia="Times New Roman"/>
                <w:sz w:val="18"/>
                <w:szCs w:val="18"/>
              </w:rPr>
              <w:t>-</w:t>
            </w:r>
            <w:r>
              <w:rPr>
                <w:sz w:val="18"/>
                <w:szCs w:val="18"/>
              </w:rPr>
              <w:t>（</w:t>
            </w:r>
            <w:r>
              <w:rPr>
                <w:rFonts w:eastAsia="Times New Roman"/>
                <w:sz w:val="18"/>
                <w:szCs w:val="18"/>
              </w:rPr>
              <w:t>2,3-</w:t>
            </w:r>
            <w:r>
              <w:rPr>
                <w:sz w:val="18"/>
                <w:szCs w:val="18"/>
              </w:rPr>
              <w:t>二溴丙基）</w:t>
            </w:r>
            <w:r>
              <w:rPr>
                <w:rFonts w:eastAsia="Times New Roman"/>
                <w:sz w:val="18"/>
                <w:szCs w:val="18"/>
              </w:rPr>
              <w:t>-</w:t>
            </w:r>
            <w:r>
              <w:rPr>
                <w:sz w:val="18"/>
                <w:szCs w:val="18"/>
              </w:rPr>
              <w:t>磷酸酯、三（氮环丙基）</w:t>
            </w:r>
            <w:r>
              <w:rPr>
                <w:rFonts w:eastAsia="Times New Roman"/>
                <w:sz w:val="18"/>
                <w:szCs w:val="18"/>
              </w:rPr>
              <w:t>-</w:t>
            </w:r>
            <w:r>
              <w:rPr>
                <w:sz w:val="18"/>
                <w:szCs w:val="18"/>
              </w:rPr>
              <w:t>氧化膦、二溴二苯醚、八溴联苯醚、六溴环十二烷的阻燃剂</w:t>
            </w:r>
          </w:p>
        </w:tc>
        <w:tc>
          <w:tcPr>
            <w:tcW w:w="1369" w:type="dxa"/>
            <w:vMerge w:val="continue"/>
            <w:shd w:val="clear" w:color="auto" w:fill="auto"/>
            <w:vAlign w:val="center"/>
          </w:tcPr>
          <w:p>
            <w:pPr>
              <w:pStyle w:val="60"/>
              <w:ind w:right="144"/>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8" w:hRule="atLeast"/>
          <w:jc w:val="center"/>
        </w:trPr>
        <w:tc>
          <w:tcPr>
            <w:tcW w:w="604" w:type="dxa"/>
            <w:vMerge w:val="continue"/>
            <w:shd w:val="clear" w:color="auto" w:fill="auto"/>
            <w:vAlign w:val="center"/>
          </w:tcPr>
          <w:p>
            <w:pPr>
              <w:pStyle w:val="5"/>
              <w:jc w:val="center"/>
              <w:rPr>
                <w:rFonts w:ascii="Times New Roman" w:hAnsi="Times New Roman"/>
                <w:sz w:val="18"/>
                <w:szCs w:val="18"/>
              </w:rPr>
            </w:pPr>
          </w:p>
        </w:tc>
        <w:tc>
          <w:tcPr>
            <w:tcW w:w="374" w:type="dxa"/>
            <w:vMerge w:val="continue"/>
            <w:shd w:val="clear" w:color="auto" w:fill="auto"/>
            <w:vAlign w:val="center"/>
          </w:tcPr>
          <w:p>
            <w:pPr>
              <w:pStyle w:val="5"/>
              <w:jc w:val="center"/>
              <w:rPr>
                <w:rFonts w:ascii="Times New Roman" w:hAnsi="Times New Roman"/>
                <w:sz w:val="18"/>
                <w:szCs w:val="18"/>
              </w:rPr>
            </w:pPr>
          </w:p>
        </w:tc>
        <w:tc>
          <w:tcPr>
            <w:tcW w:w="2241" w:type="dxa"/>
            <w:gridSpan w:val="2"/>
            <w:shd w:val="clear" w:color="auto" w:fill="auto"/>
            <w:vAlign w:val="center"/>
          </w:tcPr>
          <w:p>
            <w:pPr>
              <w:pStyle w:val="60"/>
              <w:jc w:val="center"/>
              <w:rPr>
                <w:sz w:val="18"/>
                <w:szCs w:val="18"/>
              </w:rPr>
            </w:pPr>
            <w:r>
              <w:rPr>
                <w:sz w:val="18"/>
                <w:szCs w:val="18"/>
              </w:rPr>
              <w:t>染料</w:t>
            </w:r>
          </w:p>
        </w:tc>
        <w:tc>
          <w:tcPr>
            <w:tcW w:w="742" w:type="dxa"/>
            <w:shd w:val="clear" w:color="auto" w:fill="auto"/>
            <w:vAlign w:val="center"/>
          </w:tcPr>
          <w:p>
            <w:pPr>
              <w:pStyle w:val="60"/>
              <w:jc w:val="center"/>
              <w:rPr>
                <w:sz w:val="18"/>
                <w:szCs w:val="18"/>
              </w:rPr>
            </w:pPr>
            <w:r>
              <w:rPr>
                <w:rFonts w:hint="eastAsia" w:asciiTheme="minorEastAsia" w:hAnsiTheme="minorEastAsia" w:eastAsiaTheme="minorEastAsia"/>
                <w:sz w:val="18"/>
                <w:szCs w:val="18"/>
              </w:rPr>
              <w:t>-</w:t>
            </w:r>
          </w:p>
        </w:tc>
        <w:tc>
          <w:tcPr>
            <w:tcW w:w="4104" w:type="dxa"/>
            <w:gridSpan w:val="3"/>
            <w:shd w:val="clear" w:color="auto" w:fill="auto"/>
            <w:vAlign w:val="center"/>
          </w:tcPr>
          <w:p>
            <w:pPr>
              <w:pStyle w:val="60"/>
              <w:ind w:right="171"/>
              <w:jc w:val="center"/>
              <w:rPr>
                <w:sz w:val="18"/>
                <w:szCs w:val="18"/>
              </w:rPr>
            </w:pPr>
            <w:r>
              <w:rPr>
                <w:sz w:val="18"/>
                <w:szCs w:val="18"/>
              </w:rPr>
              <w:t>不允许使用可分解成致癌芳香胺的偶氮染料，可致癌染料，含铅、镉、六价铬、汞、锡及其化合物的染料</w:t>
            </w:r>
          </w:p>
        </w:tc>
        <w:tc>
          <w:tcPr>
            <w:tcW w:w="1369" w:type="dxa"/>
            <w:vMerge w:val="continue"/>
            <w:shd w:val="clear" w:color="auto" w:fill="auto"/>
            <w:vAlign w:val="center"/>
          </w:tcPr>
          <w:p>
            <w:pPr>
              <w:pStyle w:val="60"/>
              <w:ind w:right="144"/>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jc w:val="center"/>
        </w:trPr>
        <w:tc>
          <w:tcPr>
            <w:tcW w:w="604" w:type="dxa"/>
            <w:vMerge w:val="continue"/>
            <w:shd w:val="clear" w:color="auto" w:fill="auto"/>
            <w:vAlign w:val="center"/>
          </w:tcPr>
          <w:p>
            <w:pPr>
              <w:pStyle w:val="5"/>
              <w:jc w:val="center"/>
              <w:rPr>
                <w:rFonts w:ascii="Times New Roman" w:hAnsi="Times New Roman"/>
                <w:sz w:val="18"/>
                <w:szCs w:val="18"/>
              </w:rPr>
            </w:pPr>
          </w:p>
        </w:tc>
        <w:tc>
          <w:tcPr>
            <w:tcW w:w="374" w:type="dxa"/>
            <w:vMerge w:val="continue"/>
            <w:shd w:val="clear" w:color="auto" w:fill="auto"/>
            <w:vAlign w:val="center"/>
          </w:tcPr>
          <w:p>
            <w:pPr>
              <w:pStyle w:val="5"/>
              <w:jc w:val="center"/>
              <w:rPr>
                <w:rFonts w:ascii="Times New Roman" w:hAnsi="Times New Roman"/>
                <w:sz w:val="18"/>
                <w:szCs w:val="18"/>
              </w:rPr>
            </w:pPr>
          </w:p>
        </w:tc>
        <w:tc>
          <w:tcPr>
            <w:tcW w:w="2241" w:type="dxa"/>
            <w:gridSpan w:val="2"/>
            <w:shd w:val="clear" w:color="auto" w:fill="auto"/>
            <w:vAlign w:val="center"/>
          </w:tcPr>
          <w:p>
            <w:pPr>
              <w:pStyle w:val="60"/>
              <w:jc w:val="center"/>
              <w:rPr>
                <w:sz w:val="18"/>
                <w:szCs w:val="18"/>
              </w:rPr>
            </w:pPr>
            <w:r>
              <w:rPr>
                <w:sz w:val="18"/>
                <w:szCs w:val="18"/>
              </w:rPr>
              <w:t>涂料</w:t>
            </w:r>
          </w:p>
        </w:tc>
        <w:tc>
          <w:tcPr>
            <w:tcW w:w="742" w:type="dxa"/>
            <w:shd w:val="clear" w:color="auto" w:fill="auto"/>
            <w:vAlign w:val="center"/>
          </w:tcPr>
          <w:p>
            <w:pPr>
              <w:pStyle w:val="60"/>
              <w:jc w:val="center"/>
              <w:rPr>
                <w:sz w:val="18"/>
                <w:szCs w:val="18"/>
              </w:rPr>
            </w:pPr>
            <w:r>
              <w:rPr>
                <w:rFonts w:hint="eastAsia" w:asciiTheme="minorEastAsia" w:hAnsiTheme="minorEastAsia" w:eastAsiaTheme="minorEastAsia"/>
                <w:sz w:val="18"/>
                <w:szCs w:val="18"/>
              </w:rPr>
              <w:t>-</w:t>
            </w:r>
          </w:p>
        </w:tc>
        <w:tc>
          <w:tcPr>
            <w:tcW w:w="4104" w:type="dxa"/>
            <w:gridSpan w:val="3"/>
            <w:shd w:val="clear" w:color="auto" w:fill="auto"/>
            <w:vAlign w:val="center"/>
          </w:tcPr>
          <w:p>
            <w:pPr>
              <w:pStyle w:val="60"/>
              <w:ind w:right="170"/>
              <w:jc w:val="center"/>
              <w:rPr>
                <w:sz w:val="18"/>
                <w:szCs w:val="18"/>
              </w:rPr>
            </w:pPr>
            <w:r>
              <w:rPr>
                <w:sz w:val="18"/>
                <w:szCs w:val="18"/>
              </w:rPr>
              <w:t>应符合</w:t>
            </w:r>
            <w:r>
              <w:rPr>
                <w:rFonts w:eastAsia="Times New Roman"/>
                <w:sz w:val="18"/>
                <w:szCs w:val="18"/>
              </w:rPr>
              <w:t>GB</w:t>
            </w:r>
            <w:r>
              <w:rPr>
                <w:rFonts w:hint="eastAsia" w:eastAsiaTheme="minorEastAsia"/>
                <w:sz w:val="18"/>
                <w:szCs w:val="18"/>
              </w:rPr>
              <w:t xml:space="preserve"> 24410</w:t>
            </w:r>
            <w:r>
              <w:rPr>
                <w:sz w:val="18"/>
                <w:szCs w:val="18"/>
              </w:rPr>
              <w:t>的要求</w:t>
            </w:r>
          </w:p>
        </w:tc>
        <w:tc>
          <w:tcPr>
            <w:tcW w:w="1369" w:type="dxa"/>
            <w:shd w:val="clear" w:color="auto" w:fill="auto"/>
            <w:vAlign w:val="center"/>
          </w:tcPr>
          <w:p>
            <w:pPr>
              <w:pStyle w:val="60"/>
              <w:ind w:right="146"/>
              <w:jc w:val="center"/>
              <w:rPr>
                <w:rFonts w:eastAsiaTheme="minorEastAsia"/>
                <w:sz w:val="18"/>
                <w:szCs w:val="18"/>
              </w:rPr>
            </w:pPr>
            <w:r>
              <w:rPr>
                <w:rFonts w:eastAsia="Times New Roman"/>
                <w:sz w:val="18"/>
                <w:szCs w:val="18"/>
              </w:rPr>
              <w:t>GB2</w:t>
            </w:r>
            <w:r>
              <w:rPr>
                <w:rFonts w:hint="eastAsia" w:eastAsiaTheme="minorEastAsia"/>
                <w:sz w:val="18"/>
                <w:szCs w:val="18"/>
              </w:rPr>
              <w:t>4410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9" w:hRule="atLeast"/>
          <w:jc w:val="center"/>
        </w:trPr>
        <w:tc>
          <w:tcPr>
            <w:tcW w:w="604" w:type="dxa"/>
            <w:vMerge w:val="restart"/>
            <w:shd w:val="clear" w:color="auto" w:fill="auto"/>
            <w:vAlign w:val="center"/>
          </w:tcPr>
          <w:p>
            <w:pPr>
              <w:pStyle w:val="5"/>
              <w:ind w:left="0"/>
              <w:jc w:val="center"/>
              <w:rPr>
                <w:rFonts w:ascii="Times New Roman" w:hAnsi="Times New Roman"/>
                <w:sz w:val="18"/>
                <w:szCs w:val="18"/>
              </w:rPr>
            </w:pPr>
            <w:r>
              <w:rPr>
                <w:rFonts w:ascii="Times New Roman" w:hAnsi="Times New Roman"/>
                <w:sz w:val="18"/>
                <w:szCs w:val="18"/>
              </w:rPr>
              <w:t>能源属性</w:t>
            </w:r>
          </w:p>
        </w:tc>
        <w:tc>
          <w:tcPr>
            <w:tcW w:w="1215" w:type="dxa"/>
            <w:gridSpan w:val="2"/>
            <w:vMerge w:val="restart"/>
            <w:shd w:val="clear" w:color="auto" w:fill="auto"/>
            <w:vAlign w:val="center"/>
          </w:tcPr>
          <w:p>
            <w:pPr>
              <w:pStyle w:val="60"/>
              <w:jc w:val="center"/>
              <w:rPr>
                <w:sz w:val="18"/>
                <w:szCs w:val="18"/>
              </w:rPr>
            </w:pPr>
            <w:r>
              <w:rPr>
                <w:sz w:val="18"/>
                <w:szCs w:val="18"/>
              </w:rPr>
              <w:t>单位产品</w:t>
            </w:r>
          </w:p>
          <w:p>
            <w:pPr>
              <w:pStyle w:val="60"/>
              <w:jc w:val="center"/>
              <w:rPr>
                <w:sz w:val="18"/>
                <w:szCs w:val="18"/>
              </w:rPr>
            </w:pPr>
            <w:r>
              <w:rPr>
                <w:sz w:val="18"/>
                <w:szCs w:val="18"/>
              </w:rPr>
              <w:t>能耗</w:t>
            </w:r>
          </w:p>
        </w:tc>
        <w:tc>
          <w:tcPr>
            <w:tcW w:w="1400" w:type="dxa"/>
            <w:vMerge w:val="restart"/>
            <w:shd w:val="clear" w:color="auto" w:fill="auto"/>
            <w:vAlign w:val="center"/>
          </w:tcPr>
          <w:p>
            <w:pPr>
              <w:pStyle w:val="60"/>
              <w:jc w:val="center"/>
              <w:rPr>
                <w:sz w:val="18"/>
                <w:szCs w:val="18"/>
              </w:rPr>
            </w:pPr>
            <w:r>
              <w:rPr>
                <w:sz w:val="18"/>
                <w:szCs w:val="18"/>
              </w:rPr>
              <w:t>软木地板</w:t>
            </w:r>
          </w:p>
        </w:tc>
        <w:tc>
          <w:tcPr>
            <w:tcW w:w="742" w:type="dxa"/>
            <w:vMerge w:val="restart"/>
            <w:shd w:val="clear" w:color="auto" w:fill="auto"/>
            <w:vAlign w:val="center"/>
          </w:tcPr>
          <w:p>
            <w:pPr>
              <w:pStyle w:val="60"/>
              <w:jc w:val="center"/>
              <w:rPr>
                <w:rFonts w:eastAsia="Times New Roman"/>
                <w:sz w:val="18"/>
                <w:szCs w:val="18"/>
              </w:rPr>
            </w:pPr>
            <w:r>
              <w:rPr>
                <w:rFonts w:hint="eastAsia"/>
                <w:sz w:val="18"/>
                <w:szCs w:val="18"/>
              </w:rPr>
              <w:t>-</w:t>
            </w:r>
          </w:p>
        </w:tc>
        <w:tc>
          <w:tcPr>
            <w:tcW w:w="4104" w:type="dxa"/>
            <w:gridSpan w:val="3"/>
            <w:shd w:val="clear" w:color="auto" w:fill="auto"/>
            <w:vAlign w:val="center"/>
          </w:tcPr>
          <w:p>
            <w:pPr>
              <w:pStyle w:val="60"/>
              <w:ind w:right="7"/>
              <w:jc w:val="center"/>
              <w:rPr>
                <w:spacing w:val="-2"/>
                <w:sz w:val="18"/>
                <w:szCs w:val="18"/>
              </w:rPr>
            </w:pPr>
            <w:r>
              <w:rPr>
                <w:rFonts w:hint="eastAsia" w:ascii="宋体" w:hAnsi="宋体" w:cs="宋体"/>
                <w:sz w:val="18"/>
                <w:szCs w:val="18"/>
              </w:rPr>
              <w:t>符合</w:t>
            </w:r>
            <w:r>
              <w:rPr>
                <w:rFonts w:eastAsia="Times New Roman"/>
                <w:sz w:val="18"/>
                <w:szCs w:val="18"/>
              </w:rPr>
              <w:t>LY/T1703</w:t>
            </w:r>
            <w:r>
              <w:rPr>
                <w:rFonts w:hint="eastAsia" w:ascii="宋体" w:hAnsi="宋体" w:cs="宋体"/>
                <w:sz w:val="18"/>
                <w:szCs w:val="18"/>
              </w:rPr>
              <w:t>规定的要求</w:t>
            </w:r>
          </w:p>
        </w:tc>
        <w:tc>
          <w:tcPr>
            <w:tcW w:w="1369" w:type="dxa"/>
            <w:vMerge w:val="restart"/>
            <w:shd w:val="clear" w:color="auto" w:fill="auto"/>
            <w:vAlign w:val="center"/>
          </w:tcPr>
          <w:p>
            <w:pPr>
              <w:pStyle w:val="60"/>
              <w:ind w:right="144"/>
              <w:jc w:val="center"/>
              <w:rPr>
                <w:sz w:val="18"/>
                <w:szCs w:val="18"/>
              </w:rPr>
            </w:pPr>
            <w:r>
              <w:rPr>
                <w:rFonts w:ascii="宋体" w:hAnsi="宋体" w:cs="宋体"/>
                <w:sz w:val="18"/>
                <w:szCs w:val="18"/>
              </w:rPr>
              <w:t>提交证明资料结合现场检查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9" w:hRule="atLeast"/>
          <w:jc w:val="center"/>
        </w:trPr>
        <w:tc>
          <w:tcPr>
            <w:tcW w:w="604" w:type="dxa"/>
            <w:vMerge w:val="continue"/>
            <w:shd w:val="clear" w:color="auto" w:fill="auto"/>
            <w:vAlign w:val="center"/>
          </w:tcPr>
          <w:p>
            <w:pPr>
              <w:pStyle w:val="5"/>
              <w:jc w:val="center"/>
              <w:rPr>
                <w:rFonts w:ascii="Times New Roman" w:hAnsi="Times New Roman"/>
                <w:sz w:val="18"/>
                <w:szCs w:val="18"/>
              </w:rPr>
            </w:pPr>
          </w:p>
        </w:tc>
        <w:tc>
          <w:tcPr>
            <w:tcW w:w="1215" w:type="dxa"/>
            <w:gridSpan w:val="2"/>
            <w:vMerge w:val="continue"/>
            <w:shd w:val="clear" w:color="auto" w:fill="auto"/>
            <w:vAlign w:val="center"/>
          </w:tcPr>
          <w:p>
            <w:pPr>
              <w:pStyle w:val="60"/>
              <w:jc w:val="center"/>
              <w:rPr>
                <w:sz w:val="18"/>
                <w:szCs w:val="18"/>
              </w:rPr>
            </w:pPr>
          </w:p>
        </w:tc>
        <w:tc>
          <w:tcPr>
            <w:tcW w:w="1400" w:type="dxa"/>
            <w:vMerge w:val="continue"/>
            <w:shd w:val="clear" w:color="auto" w:fill="auto"/>
            <w:vAlign w:val="center"/>
          </w:tcPr>
          <w:p>
            <w:pPr>
              <w:pStyle w:val="60"/>
              <w:jc w:val="center"/>
              <w:rPr>
                <w:sz w:val="18"/>
                <w:szCs w:val="18"/>
              </w:rPr>
            </w:pPr>
          </w:p>
        </w:tc>
        <w:tc>
          <w:tcPr>
            <w:tcW w:w="742" w:type="dxa"/>
            <w:vMerge w:val="continue"/>
            <w:shd w:val="clear" w:color="auto" w:fill="auto"/>
            <w:vAlign w:val="center"/>
          </w:tcPr>
          <w:p>
            <w:pPr>
              <w:pStyle w:val="60"/>
              <w:jc w:val="center"/>
              <w:rPr>
                <w:sz w:val="18"/>
                <w:szCs w:val="18"/>
              </w:rPr>
            </w:pPr>
          </w:p>
        </w:tc>
        <w:tc>
          <w:tcPr>
            <w:tcW w:w="1368" w:type="dxa"/>
            <w:shd w:val="clear" w:color="auto" w:fill="auto"/>
            <w:vAlign w:val="center"/>
          </w:tcPr>
          <w:p>
            <w:pPr>
              <w:pStyle w:val="60"/>
              <w:ind w:right="7"/>
              <w:jc w:val="center"/>
              <w:rPr>
                <w:rFonts w:ascii="宋体" w:hAnsi="宋体" w:cs="宋体"/>
                <w:sz w:val="18"/>
                <w:szCs w:val="18"/>
              </w:rPr>
            </w:pPr>
            <w:r>
              <w:rPr>
                <w:rFonts w:hint="eastAsia" w:ascii="宋体" w:hAnsi="宋体" w:cs="宋体"/>
                <w:sz w:val="18"/>
                <w:szCs w:val="18"/>
              </w:rPr>
              <w:t>合格级</w:t>
            </w:r>
          </w:p>
        </w:tc>
        <w:tc>
          <w:tcPr>
            <w:tcW w:w="1368" w:type="dxa"/>
            <w:shd w:val="clear" w:color="auto" w:fill="auto"/>
            <w:vAlign w:val="center"/>
          </w:tcPr>
          <w:p>
            <w:pPr>
              <w:pStyle w:val="60"/>
              <w:ind w:right="7"/>
              <w:jc w:val="center"/>
              <w:rPr>
                <w:rFonts w:eastAsia="Times New Roman"/>
                <w:sz w:val="18"/>
                <w:szCs w:val="18"/>
              </w:rPr>
            </w:pPr>
            <w:r>
              <w:rPr>
                <w:rFonts w:hint="eastAsia" w:asciiTheme="minorEastAsia" w:hAnsiTheme="minorEastAsia" w:eastAsiaTheme="minorEastAsia"/>
                <w:sz w:val="18"/>
                <w:szCs w:val="18"/>
              </w:rPr>
              <w:t>良好</w:t>
            </w:r>
            <w:r>
              <w:rPr>
                <w:rFonts w:eastAsia="Times New Roman"/>
                <w:sz w:val="18"/>
                <w:szCs w:val="18"/>
              </w:rPr>
              <w:t>级</w:t>
            </w:r>
          </w:p>
        </w:tc>
        <w:tc>
          <w:tcPr>
            <w:tcW w:w="1368" w:type="dxa"/>
            <w:shd w:val="clear" w:color="auto" w:fill="auto"/>
            <w:vAlign w:val="center"/>
          </w:tcPr>
          <w:p>
            <w:pPr>
              <w:pStyle w:val="60"/>
              <w:ind w:right="7"/>
              <w:jc w:val="center"/>
              <w:rPr>
                <w:rFonts w:eastAsia="Times New Roman"/>
                <w:sz w:val="18"/>
                <w:szCs w:val="18"/>
              </w:rPr>
            </w:pPr>
            <w:r>
              <w:rPr>
                <w:rFonts w:hint="eastAsia" w:asciiTheme="minorEastAsia" w:hAnsiTheme="minorEastAsia" w:eastAsiaTheme="minorEastAsia"/>
                <w:sz w:val="18"/>
                <w:szCs w:val="18"/>
              </w:rPr>
              <w:t>优秀</w:t>
            </w:r>
            <w:r>
              <w:rPr>
                <w:rFonts w:eastAsia="Times New Roman"/>
                <w:sz w:val="18"/>
                <w:szCs w:val="18"/>
              </w:rPr>
              <w:t>级</w:t>
            </w:r>
          </w:p>
        </w:tc>
        <w:tc>
          <w:tcPr>
            <w:tcW w:w="1369" w:type="dxa"/>
            <w:vMerge w:val="continue"/>
            <w:shd w:val="clear" w:color="auto" w:fill="auto"/>
            <w:vAlign w:val="center"/>
          </w:tcPr>
          <w:p>
            <w:pPr>
              <w:pStyle w:val="60"/>
              <w:ind w:right="192"/>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 w:hRule="atLeast"/>
          <w:jc w:val="center"/>
        </w:trPr>
        <w:tc>
          <w:tcPr>
            <w:tcW w:w="604" w:type="dxa"/>
            <w:vMerge w:val="continue"/>
            <w:shd w:val="clear" w:color="auto" w:fill="auto"/>
            <w:vAlign w:val="center"/>
          </w:tcPr>
          <w:p>
            <w:pPr>
              <w:pStyle w:val="5"/>
              <w:jc w:val="center"/>
              <w:rPr>
                <w:rFonts w:ascii="Times New Roman" w:hAnsi="Times New Roman"/>
                <w:sz w:val="18"/>
                <w:szCs w:val="18"/>
              </w:rPr>
            </w:pPr>
          </w:p>
        </w:tc>
        <w:tc>
          <w:tcPr>
            <w:tcW w:w="1215" w:type="dxa"/>
            <w:gridSpan w:val="2"/>
            <w:vMerge w:val="continue"/>
            <w:shd w:val="clear" w:color="auto" w:fill="auto"/>
            <w:vAlign w:val="center"/>
          </w:tcPr>
          <w:p>
            <w:pPr>
              <w:pStyle w:val="60"/>
              <w:jc w:val="center"/>
              <w:rPr>
                <w:sz w:val="18"/>
                <w:szCs w:val="18"/>
              </w:rPr>
            </w:pPr>
          </w:p>
        </w:tc>
        <w:tc>
          <w:tcPr>
            <w:tcW w:w="1400" w:type="dxa"/>
            <w:vMerge w:val="restart"/>
            <w:shd w:val="clear" w:color="auto" w:fill="auto"/>
            <w:vAlign w:val="center"/>
          </w:tcPr>
          <w:p>
            <w:pPr>
              <w:pStyle w:val="60"/>
              <w:jc w:val="center"/>
              <w:rPr>
                <w:sz w:val="18"/>
                <w:szCs w:val="18"/>
              </w:rPr>
            </w:pPr>
            <w:r>
              <w:rPr>
                <w:sz w:val="18"/>
                <w:szCs w:val="18"/>
              </w:rPr>
              <w:t>软木复合地板</w:t>
            </w:r>
          </w:p>
        </w:tc>
        <w:tc>
          <w:tcPr>
            <w:tcW w:w="742" w:type="dxa"/>
            <w:vMerge w:val="restart"/>
            <w:shd w:val="clear" w:color="auto" w:fill="auto"/>
            <w:vAlign w:val="center"/>
          </w:tcPr>
          <w:p>
            <w:pPr>
              <w:pStyle w:val="60"/>
              <w:jc w:val="center"/>
              <w:rPr>
                <w:sz w:val="18"/>
                <w:szCs w:val="18"/>
              </w:rPr>
            </w:pPr>
            <w:r>
              <w:rPr>
                <w:rFonts w:hint="eastAsia"/>
                <w:sz w:val="18"/>
                <w:szCs w:val="18"/>
              </w:rPr>
              <w:t>-</w:t>
            </w:r>
          </w:p>
        </w:tc>
        <w:tc>
          <w:tcPr>
            <w:tcW w:w="4104" w:type="dxa"/>
            <w:gridSpan w:val="3"/>
            <w:shd w:val="clear" w:color="auto" w:fill="auto"/>
            <w:vAlign w:val="center"/>
          </w:tcPr>
          <w:p>
            <w:pPr>
              <w:pStyle w:val="60"/>
              <w:ind w:right="7"/>
              <w:jc w:val="center"/>
              <w:rPr>
                <w:rFonts w:eastAsia="Times New Roman"/>
                <w:sz w:val="18"/>
                <w:szCs w:val="18"/>
              </w:rPr>
            </w:pPr>
            <w:r>
              <w:rPr>
                <w:rFonts w:hint="eastAsia" w:ascii="宋体" w:hAnsi="宋体" w:cs="宋体"/>
                <w:sz w:val="18"/>
                <w:szCs w:val="18"/>
              </w:rPr>
              <w:t>符合</w:t>
            </w:r>
            <w:r>
              <w:rPr>
                <w:rFonts w:eastAsia="Times New Roman"/>
                <w:sz w:val="18"/>
                <w:szCs w:val="18"/>
              </w:rPr>
              <w:t>GB/T23899</w:t>
            </w:r>
            <w:r>
              <w:rPr>
                <w:sz w:val="18"/>
                <w:szCs w:val="18"/>
              </w:rPr>
              <w:t>规定的要求</w:t>
            </w:r>
          </w:p>
        </w:tc>
        <w:tc>
          <w:tcPr>
            <w:tcW w:w="1369" w:type="dxa"/>
            <w:vMerge w:val="continue"/>
            <w:shd w:val="clear" w:color="auto" w:fill="auto"/>
            <w:vAlign w:val="center"/>
          </w:tcPr>
          <w:p>
            <w:pPr>
              <w:pStyle w:val="60"/>
              <w:ind w:right="192"/>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 w:hRule="atLeast"/>
          <w:jc w:val="center"/>
        </w:trPr>
        <w:tc>
          <w:tcPr>
            <w:tcW w:w="604" w:type="dxa"/>
            <w:vMerge w:val="continue"/>
            <w:shd w:val="clear" w:color="auto" w:fill="auto"/>
            <w:vAlign w:val="center"/>
          </w:tcPr>
          <w:p>
            <w:pPr>
              <w:pStyle w:val="5"/>
              <w:jc w:val="center"/>
              <w:rPr>
                <w:rFonts w:ascii="Times New Roman" w:hAnsi="Times New Roman"/>
                <w:sz w:val="18"/>
                <w:szCs w:val="18"/>
              </w:rPr>
            </w:pPr>
          </w:p>
        </w:tc>
        <w:tc>
          <w:tcPr>
            <w:tcW w:w="1215" w:type="dxa"/>
            <w:gridSpan w:val="2"/>
            <w:vMerge w:val="continue"/>
            <w:shd w:val="clear" w:color="auto" w:fill="auto"/>
            <w:vAlign w:val="center"/>
          </w:tcPr>
          <w:p>
            <w:pPr>
              <w:pStyle w:val="60"/>
              <w:jc w:val="center"/>
              <w:rPr>
                <w:sz w:val="18"/>
                <w:szCs w:val="18"/>
              </w:rPr>
            </w:pPr>
          </w:p>
        </w:tc>
        <w:tc>
          <w:tcPr>
            <w:tcW w:w="1400" w:type="dxa"/>
            <w:vMerge w:val="continue"/>
            <w:shd w:val="clear" w:color="auto" w:fill="auto"/>
            <w:vAlign w:val="center"/>
          </w:tcPr>
          <w:p>
            <w:pPr>
              <w:pStyle w:val="60"/>
              <w:jc w:val="center"/>
              <w:rPr>
                <w:sz w:val="18"/>
                <w:szCs w:val="18"/>
              </w:rPr>
            </w:pPr>
          </w:p>
        </w:tc>
        <w:tc>
          <w:tcPr>
            <w:tcW w:w="742" w:type="dxa"/>
            <w:vMerge w:val="continue"/>
            <w:shd w:val="clear" w:color="auto" w:fill="auto"/>
            <w:vAlign w:val="center"/>
          </w:tcPr>
          <w:p>
            <w:pPr>
              <w:pStyle w:val="60"/>
              <w:jc w:val="center"/>
              <w:rPr>
                <w:sz w:val="18"/>
                <w:szCs w:val="18"/>
              </w:rPr>
            </w:pPr>
          </w:p>
        </w:tc>
        <w:tc>
          <w:tcPr>
            <w:tcW w:w="1368" w:type="dxa"/>
            <w:shd w:val="clear" w:color="auto" w:fill="auto"/>
            <w:vAlign w:val="center"/>
          </w:tcPr>
          <w:p>
            <w:pPr>
              <w:pStyle w:val="60"/>
              <w:ind w:right="7"/>
              <w:jc w:val="center"/>
              <w:rPr>
                <w:spacing w:val="-2"/>
                <w:sz w:val="18"/>
                <w:szCs w:val="18"/>
              </w:rPr>
            </w:pPr>
            <w:r>
              <w:rPr>
                <w:rFonts w:hint="eastAsia" w:ascii="宋体" w:hAnsi="宋体" w:cs="宋体"/>
                <w:sz w:val="18"/>
                <w:szCs w:val="18"/>
              </w:rPr>
              <w:t>合格级</w:t>
            </w:r>
          </w:p>
        </w:tc>
        <w:tc>
          <w:tcPr>
            <w:tcW w:w="1368" w:type="dxa"/>
            <w:shd w:val="clear" w:color="auto" w:fill="auto"/>
            <w:vAlign w:val="center"/>
          </w:tcPr>
          <w:p>
            <w:pPr>
              <w:pStyle w:val="60"/>
              <w:ind w:right="7"/>
              <w:jc w:val="center"/>
              <w:rPr>
                <w:spacing w:val="-2"/>
                <w:sz w:val="18"/>
                <w:szCs w:val="18"/>
              </w:rPr>
            </w:pPr>
            <w:r>
              <w:rPr>
                <w:rFonts w:hint="eastAsia" w:asciiTheme="minorEastAsia" w:hAnsiTheme="minorEastAsia" w:eastAsiaTheme="minorEastAsia"/>
                <w:sz w:val="18"/>
                <w:szCs w:val="18"/>
              </w:rPr>
              <w:t>良好</w:t>
            </w:r>
            <w:r>
              <w:rPr>
                <w:rFonts w:eastAsia="Times New Roman"/>
                <w:sz w:val="18"/>
                <w:szCs w:val="18"/>
              </w:rPr>
              <w:t>级</w:t>
            </w:r>
          </w:p>
        </w:tc>
        <w:tc>
          <w:tcPr>
            <w:tcW w:w="1368" w:type="dxa"/>
            <w:shd w:val="clear" w:color="auto" w:fill="auto"/>
            <w:vAlign w:val="center"/>
          </w:tcPr>
          <w:p>
            <w:pPr>
              <w:pStyle w:val="60"/>
              <w:ind w:right="7"/>
              <w:jc w:val="center"/>
              <w:rPr>
                <w:spacing w:val="-2"/>
                <w:sz w:val="18"/>
                <w:szCs w:val="18"/>
              </w:rPr>
            </w:pPr>
            <w:r>
              <w:rPr>
                <w:rFonts w:hint="eastAsia" w:asciiTheme="minorEastAsia" w:hAnsiTheme="minorEastAsia" w:eastAsiaTheme="minorEastAsia"/>
                <w:sz w:val="18"/>
                <w:szCs w:val="18"/>
              </w:rPr>
              <w:t>优秀</w:t>
            </w:r>
            <w:r>
              <w:rPr>
                <w:rFonts w:eastAsia="Times New Roman"/>
                <w:sz w:val="18"/>
                <w:szCs w:val="18"/>
              </w:rPr>
              <w:t>级</w:t>
            </w:r>
          </w:p>
        </w:tc>
        <w:tc>
          <w:tcPr>
            <w:tcW w:w="1369" w:type="dxa"/>
            <w:vMerge w:val="continue"/>
            <w:shd w:val="clear" w:color="auto" w:fill="auto"/>
            <w:vAlign w:val="center"/>
          </w:tcPr>
          <w:p>
            <w:pPr>
              <w:pStyle w:val="60"/>
              <w:ind w:right="192"/>
              <w:jc w:val="center"/>
              <w:rPr>
                <w:rFonts w:ascii="宋体" w:hAnsi="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 w:hRule="atLeast"/>
          <w:jc w:val="center"/>
        </w:trPr>
        <w:tc>
          <w:tcPr>
            <w:tcW w:w="604" w:type="dxa"/>
            <w:vMerge w:val="restart"/>
            <w:shd w:val="clear" w:color="auto" w:fill="auto"/>
            <w:vAlign w:val="center"/>
          </w:tcPr>
          <w:p>
            <w:pPr>
              <w:pStyle w:val="5"/>
              <w:ind w:left="0"/>
              <w:jc w:val="center"/>
              <w:rPr>
                <w:rFonts w:ascii="Times New Roman" w:hAnsi="Times New Roman"/>
                <w:sz w:val="18"/>
                <w:szCs w:val="18"/>
              </w:rPr>
            </w:pPr>
            <w:r>
              <w:rPr>
                <w:rFonts w:hint="eastAsia" w:ascii="Times New Roman" w:hAnsi="Times New Roman"/>
                <w:sz w:val="18"/>
                <w:szCs w:val="18"/>
              </w:rPr>
              <w:t>环境</w:t>
            </w:r>
            <w:r>
              <w:rPr>
                <w:rFonts w:ascii="Times New Roman" w:hAnsi="Times New Roman"/>
                <w:sz w:val="18"/>
                <w:szCs w:val="18"/>
              </w:rPr>
              <w:t>属性</w:t>
            </w:r>
          </w:p>
        </w:tc>
        <w:tc>
          <w:tcPr>
            <w:tcW w:w="2615" w:type="dxa"/>
            <w:gridSpan w:val="3"/>
            <w:shd w:val="clear" w:color="auto" w:fill="auto"/>
            <w:vAlign w:val="center"/>
          </w:tcPr>
          <w:p>
            <w:pPr>
              <w:pStyle w:val="60"/>
              <w:jc w:val="center"/>
              <w:rPr>
                <w:sz w:val="18"/>
                <w:szCs w:val="18"/>
              </w:rPr>
            </w:pPr>
            <w:r>
              <w:rPr>
                <w:rFonts w:hint="eastAsia" w:hAnsi="宋体"/>
                <w:color w:val="000000"/>
                <w:kern w:val="0"/>
                <w:sz w:val="18"/>
                <w:szCs w:val="18"/>
              </w:rPr>
              <w:t>产品生命周期环境影响</w:t>
            </w:r>
          </w:p>
        </w:tc>
        <w:tc>
          <w:tcPr>
            <w:tcW w:w="742" w:type="dxa"/>
            <w:shd w:val="clear" w:color="auto" w:fill="auto"/>
            <w:vAlign w:val="center"/>
          </w:tcPr>
          <w:p>
            <w:pPr>
              <w:pStyle w:val="60"/>
              <w:jc w:val="center"/>
              <w:rPr>
                <w:sz w:val="18"/>
                <w:szCs w:val="18"/>
              </w:rPr>
            </w:pPr>
            <w:r>
              <w:rPr>
                <w:rFonts w:hint="eastAsia"/>
                <w:color w:val="000000"/>
                <w:kern w:val="0"/>
                <w:sz w:val="18"/>
                <w:szCs w:val="18"/>
              </w:rPr>
              <w:t>-</w:t>
            </w:r>
          </w:p>
        </w:tc>
        <w:tc>
          <w:tcPr>
            <w:tcW w:w="4104" w:type="dxa"/>
            <w:gridSpan w:val="3"/>
            <w:shd w:val="clear" w:color="auto" w:fill="auto"/>
            <w:vAlign w:val="center"/>
          </w:tcPr>
          <w:p>
            <w:pPr>
              <w:pStyle w:val="60"/>
              <w:ind w:right="7"/>
              <w:jc w:val="center"/>
              <w:rPr>
                <w:rFonts w:asciiTheme="minorEastAsia" w:hAnsiTheme="minorEastAsia" w:eastAsiaTheme="minorEastAsia"/>
                <w:sz w:val="18"/>
                <w:szCs w:val="18"/>
              </w:rPr>
            </w:pPr>
            <w:r>
              <w:rPr>
                <w:rFonts w:hint="eastAsia"/>
                <w:kern w:val="0"/>
                <w:sz w:val="18"/>
                <w:szCs w:val="18"/>
              </w:rPr>
              <w:t>进行环境产品声明（EPD）和碳足迹分析</w:t>
            </w:r>
          </w:p>
        </w:tc>
        <w:tc>
          <w:tcPr>
            <w:tcW w:w="1369" w:type="dxa"/>
            <w:shd w:val="clear" w:color="auto" w:fill="auto"/>
            <w:vAlign w:val="center"/>
          </w:tcPr>
          <w:p>
            <w:pPr>
              <w:pStyle w:val="60"/>
              <w:ind w:right="192"/>
              <w:jc w:val="center"/>
              <w:rPr>
                <w:rFonts w:ascii="宋体" w:hAnsi="宋体" w:cs="宋体"/>
                <w:sz w:val="18"/>
                <w:szCs w:val="18"/>
              </w:rPr>
            </w:pPr>
            <w:r>
              <w:rPr>
                <w:rFonts w:hint="eastAsia"/>
                <w:sz w:val="18"/>
                <w:szCs w:val="18"/>
              </w:rPr>
              <w:t>GB/T24025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3" w:hRule="atLeast"/>
          <w:jc w:val="center"/>
        </w:trPr>
        <w:tc>
          <w:tcPr>
            <w:tcW w:w="604" w:type="dxa"/>
            <w:vMerge w:val="continue"/>
            <w:shd w:val="clear" w:color="auto" w:fill="auto"/>
            <w:vAlign w:val="center"/>
          </w:tcPr>
          <w:p>
            <w:pPr>
              <w:pStyle w:val="5"/>
              <w:ind w:left="0"/>
              <w:jc w:val="center"/>
              <w:rPr>
                <w:rFonts w:ascii="Times New Roman" w:hAnsi="Times New Roman"/>
                <w:sz w:val="18"/>
                <w:szCs w:val="18"/>
              </w:rPr>
            </w:pPr>
          </w:p>
        </w:tc>
        <w:tc>
          <w:tcPr>
            <w:tcW w:w="374" w:type="dxa"/>
            <w:vMerge w:val="restart"/>
            <w:shd w:val="clear" w:color="auto" w:fill="auto"/>
            <w:vAlign w:val="center"/>
          </w:tcPr>
          <w:p>
            <w:pPr>
              <w:pStyle w:val="60"/>
              <w:jc w:val="center"/>
              <w:rPr>
                <w:sz w:val="18"/>
                <w:szCs w:val="18"/>
              </w:rPr>
            </w:pPr>
            <w:r>
              <w:rPr>
                <w:rFonts w:hint="eastAsia"/>
                <w:sz w:val="18"/>
                <w:szCs w:val="18"/>
              </w:rPr>
              <w:t>有害物质限量</w:t>
            </w:r>
          </w:p>
        </w:tc>
        <w:tc>
          <w:tcPr>
            <w:tcW w:w="2241" w:type="dxa"/>
            <w:gridSpan w:val="2"/>
            <w:shd w:val="clear" w:color="auto" w:fill="auto"/>
            <w:vAlign w:val="center"/>
          </w:tcPr>
          <w:p>
            <w:pPr>
              <w:pStyle w:val="60"/>
              <w:jc w:val="center"/>
              <w:rPr>
                <w:sz w:val="18"/>
                <w:szCs w:val="18"/>
              </w:rPr>
            </w:pPr>
            <w:r>
              <w:rPr>
                <w:sz w:val="18"/>
                <w:szCs w:val="18"/>
              </w:rPr>
              <w:t>甲醛释放量</w:t>
            </w:r>
            <w:r>
              <w:rPr>
                <w:rFonts w:hint="eastAsia"/>
                <w:sz w:val="18"/>
                <w:szCs w:val="18"/>
                <w:vertAlign w:val="superscript"/>
              </w:rPr>
              <w:t>1</w:t>
            </w:r>
          </w:p>
        </w:tc>
        <w:tc>
          <w:tcPr>
            <w:tcW w:w="742" w:type="dxa"/>
            <w:shd w:val="clear" w:color="auto" w:fill="auto"/>
            <w:vAlign w:val="center"/>
          </w:tcPr>
          <w:p>
            <w:pPr>
              <w:pStyle w:val="60"/>
              <w:jc w:val="center"/>
              <w:rPr>
                <w:sz w:val="18"/>
                <w:szCs w:val="18"/>
              </w:rPr>
            </w:pPr>
            <w:r>
              <w:rPr>
                <w:sz w:val="18"/>
                <w:szCs w:val="18"/>
              </w:rPr>
              <w:t>mg/m</w:t>
            </w:r>
            <w:r>
              <w:rPr>
                <w:position w:val="6"/>
                <w:sz w:val="18"/>
                <w:szCs w:val="18"/>
                <w:vertAlign w:val="superscript"/>
              </w:rPr>
              <w:t>3</w:t>
            </w:r>
          </w:p>
        </w:tc>
        <w:tc>
          <w:tcPr>
            <w:tcW w:w="1368" w:type="dxa"/>
            <w:shd w:val="clear" w:color="auto" w:fill="auto"/>
            <w:vAlign w:val="center"/>
          </w:tcPr>
          <w:p>
            <w:pPr>
              <w:pStyle w:val="60"/>
              <w:ind w:right="1"/>
              <w:jc w:val="center"/>
              <w:rPr>
                <w:spacing w:val="-2"/>
                <w:sz w:val="18"/>
                <w:szCs w:val="18"/>
              </w:rPr>
            </w:pPr>
            <w:r>
              <w:rPr>
                <w:rFonts w:hint="eastAsia"/>
                <w:sz w:val="18"/>
                <w:szCs w:val="18"/>
              </w:rPr>
              <w:t>≤</w:t>
            </w:r>
            <w:r>
              <w:rPr>
                <w:rFonts w:eastAsia="Times New Roman"/>
                <w:sz w:val="18"/>
                <w:szCs w:val="18"/>
              </w:rPr>
              <w:t>0.</w:t>
            </w:r>
            <w:r>
              <w:rPr>
                <w:rFonts w:hint="eastAsia"/>
                <w:sz w:val="18"/>
                <w:szCs w:val="18"/>
              </w:rPr>
              <w:t>08</w:t>
            </w:r>
          </w:p>
        </w:tc>
        <w:tc>
          <w:tcPr>
            <w:tcW w:w="1368" w:type="dxa"/>
            <w:shd w:val="clear" w:color="auto" w:fill="auto"/>
            <w:vAlign w:val="center"/>
          </w:tcPr>
          <w:p>
            <w:pPr>
              <w:pStyle w:val="60"/>
              <w:ind w:right="1"/>
              <w:jc w:val="center"/>
              <w:rPr>
                <w:rFonts w:eastAsia="Times New Roman"/>
                <w:sz w:val="18"/>
                <w:szCs w:val="18"/>
              </w:rPr>
            </w:pPr>
            <w:r>
              <w:rPr>
                <w:rFonts w:hint="eastAsia"/>
                <w:sz w:val="18"/>
                <w:szCs w:val="18"/>
              </w:rPr>
              <w:t>≤</w:t>
            </w:r>
            <w:r>
              <w:rPr>
                <w:rFonts w:eastAsia="Times New Roman"/>
                <w:sz w:val="18"/>
                <w:szCs w:val="18"/>
              </w:rPr>
              <w:t>0.</w:t>
            </w:r>
            <w:r>
              <w:rPr>
                <w:rFonts w:hint="eastAsia"/>
                <w:sz w:val="18"/>
                <w:szCs w:val="18"/>
              </w:rPr>
              <w:t>05</w:t>
            </w:r>
          </w:p>
        </w:tc>
        <w:tc>
          <w:tcPr>
            <w:tcW w:w="1368" w:type="dxa"/>
            <w:shd w:val="clear" w:color="auto" w:fill="auto"/>
            <w:vAlign w:val="center"/>
          </w:tcPr>
          <w:p>
            <w:pPr>
              <w:pStyle w:val="60"/>
              <w:ind w:right="1"/>
              <w:jc w:val="center"/>
              <w:rPr>
                <w:rFonts w:hint="eastAsia" w:eastAsiaTheme="minorEastAsia"/>
                <w:sz w:val="18"/>
                <w:szCs w:val="18"/>
              </w:rPr>
            </w:pPr>
            <w:r>
              <w:rPr>
                <w:rFonts w:hint="eastAsia"/>
                <w:sz w:val="18"/>
                <w:szCs w:val="18"/>
              </w:rPr>
              <w:t>≤</w:t>
            </w:r>
            <w:r>
              <w:rPr>
                <w:rFonts w:eastAsia="Times New Roman"/>
                <w:sz w:val="18"/>
                <w:szCs w:val="18"/>
              </w:rPr>
              <w:t>0.0</w:t>
            </w:r>
            <w:r>
              <w:rPr>
                <w:rFonts w:hint="eastAsia" w:eastAsiaTheme="minorEastAsia"/>
                <w:sz w:val="18"/>
                <w:szCs w:val="18"/>
              </w:rPr>
              <w:t>3</w:t>
            </w:r>
          </w:p>
        </w:tc>
        <w:tc>
          <w:tcPr>
            <w:tcW w:w="1369" w:type="dxa"/>
            <w:shd w:val="clear" w:color="auto" w:fill="auto"/>
            <w:vAlign w:val="center"/>
          </w:tcPr>
          <w:p>
            <w:pPr>
              <w:pStyle w:val="60"/>
              <w:jc w:val="center"/>
              <w:rPr>
                <w:spacing w:val="-2"/>
                <w:sz w:val="18"/>
                <w:szCs w:val="18"/>
              </w:rPr>
            </w:pPr>
            <w:r>
              <w:rPr>
                <w:rFonts w:eastAsia="Times New Roman"/>
                <w:sz w:val="18"/>
                <w:szCs w:val="18"/>
              </w:rPr>
              <w:t>GB 18580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 w:hRule="atLeast"/>
          <w:jc w:val="center"/>
        </w:trPr>
        <w:tc>
          <w:tcPr>
            <w:tcW w:w="604" w:type="dxa"/>
            <w:vMerge w:val="continue"/>
            <w:shd w:val="clear" w:color="auto" w:fill="auto"/>
            <w:vAlign w:val="center"/>
          </w:tcPr>
          <w:p>
            <w:pPr>
              <w:pStyle w:val="5"/>
              <w:ind w:left="0"/>
              <w:jc w:val="center"/>
              <w:rPr>
                <w:rFonts w:ascii="Times New Roman" w:hAnsi="Times New Roman"/>
                <w:sz w:val="18"/>
                <w:szCs w:val="18"/>
              </w:rPr>
            </w:pPr>
          </w:p>
        </w:tc>
        <w:tc>
          <w:tcPr>
            <w:tcW w:w="374" w:type="dxa"/>
            <w:vMerge w:val="continue"/>
            <w:shd w:val="clear" w:color="auto" w:fill="auto"/>
            <w:vAlign w:val="center"/>
          </w:tcPr>
          <w:p>
            <w:pPr>
              <w:pStyle w:val="60"/>
              <w:jc w:val="center"/>
              <w:rPr>
                <w:sz w:val="18"/>
                <w:szCs w:val="18"/>
              </w:rPr>
            </w:pPr>
          </w:p>
        </w:tc>
        <w:tc>
          <w:tcPr>
            <w:tcW w:w="841" w:type="dxa"/>
            <w:vMerge w:val="restart"/>
            <w:shd w:val="clear" w:color="auto" w:fill="auto"/>
            <w:vAlign w:val="center"/>
          </w:tcPr>
          <w:p>
            <w:pPr>
              <w:pStyle w:val="60"/>
              <w:jc w:val="center"/>
              <w:rPr>
                <w:sz w:val="18"/>
                <w:szCs w:val="18"/>
              </w:rPr>
            </w:pPr>
            <w:r>
              <w:rPr>
                <w:sz w:val="18"/>
                <w:szCs w:val="18"/>
              </w:rPr>
              <w:t>挥发性有机化合物（3d）</w:t>
            </w:r>
          </w:p>
        </w:tc>
        <w:tc>
          <w:tcPr>
            <w:tcW w:w="1400" w:type="dxa"/>
            <w:shd w:val="clear" w:color="auto" w:fill="auto"/>
            <w:vAlign w:val="center"/>
          </w:tcPr>
          <w:p>
            <w:pPr>
              <w:pStyle w:val="60"/>
              <w:jc w:val="center"/>
              <w:rPr>
                <w:sz w:val="18"/>
                <w:szCs w:val="18"/>
              </w:rPr>
            </w:pPr>
            <w:r>
              <w:rPr>
                <w:sz w:val="18"/>
                <w:szCs w:val="18"/>
              </w:rPr>
              <w:t>苯</w:t>
            </w:r>
          </w:p>
        </w:tc>
        <w:tc>
          <w:tcPr>
            <w:tcW w:w="742" w:type="dxa"/>
            <w:vMerge w:val="restart"/>
            <w:shd w:val="clear" w:color="auto" w:fill="auto"/>
            <w:vAlign w:val="center"/>
          </w:tcPr>
          <w:p>
            <w:pPr>
              <w:pStyle w:val="60"/>
              <w:jc w:val="center"/>
              <w:rPr>
                <w:sz w:val="18"/>
                <w:szCs w:val="18"/>
              </w:rPr>
            </w:pPr>
            <w:r>
              <w:rPr>
                <w:rFonts w:eastAsia="Times New Roman"/>
                <w:spacing w:val="-6"/>
                <w:sz w:val="18"/>
                <w:szCs w:val="18"/>
              </w:rPr>
              <w:t>μg/m</w:t>
            </w:r>
            <w:r>
              <w:rPr>
                <w:rFonts w:hint="eastAsia"/>
                <w:spacing w:val="-6"/>
                <w:sz w:val="18"/>
                <w:szCs w:val="18"/>
                <w:vertAlign w:val="superscript"/>
              </w:rPr>
              <w:t>3</w:t>
            </w:r>
          </w:p>
        </w:tc>
        <w:tc>
          <w:tcPr>
            <w:tcW w:w="1368" w:type="dxa"/>
            <w:shd w:val="clear" w:color="auto" w:fill="auto"/>
            <w:vAlign w:val="center"/>
          </w:tcPr>
          <w:p>
            <w:pPr>
              <w:pStyle w:val="60"/>
              <w:jc w:val="center"/>
              <w:rPr>
                <w:spacing w:val="-2"/>
                <w:sz w:val="18"/>
                <w:szCs w:val="18"/>
              </w:rPr>
            </w:pPr>
            <w:r>
              <w:rPr>
                <w:rFonts w:hint="eastAsia"/>
                <w:sz w:val="18"/>
                <w:szCs w:val="18"/>
              </w:rPr>
              <w:t>≤</w:t>
            </w:r>
            <w:r>
              <w:rPr>
                <w:sz w:val="18"/>
                <w:szCs w:val="18"/>
              </w:rPr>
              <w:t>30</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rFonts w:eastAsia="Times New Roman"/>
                <w:sz w:val="18"/>
                <w:szCs w:val="18"/>
              </w:rPr>
              <w:t>20</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rFonts w:eastAsia="Times New Roman"/>
                <w:sz w:val="18"/>
                <w:szCs w:val="18"/>
              </w:rPr>
              <w:t>10</w:t>
            </w:r>
          </w:p>
        </w:tc>
        <w:tc>
          <w:tcPr>
            <w:tcW w:w="1369" w:type="dxa"/>
            <w:vMerge w:val="restart"/>
            <w:shd w:val="clear" w:color="auto" w:fill="auto"/>
            <w:vAlign w:val="center"/>
          </w:tcPr>
          <w:p>
            <w:pPr>
              <w:pStyle w:val="60"/>
              <w:ind w:right="192"/>
              <w:jc w:val="center"/>
              <w:rPr>
                <w:spacing w:val="-2"/>
                <w:sz w:val="18"/>
                <w:szCs w:val="18"/>
              </w:rPr>
            </w:pPr>
            <w:r>
              <w:rPr>
                <w:rFonts w:eastAsia="Times New Roman"/>
                <w:sz w:val="18"/>
                <w:szCs w:val="18"/>
              </w:rPr>
              <w:t>GB/T29899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 w:hRule="atLeast"/>
          <w:jc w:val="center"/>
        </w:trPr>
        <w:tc>
          <w:tcPr>
            <w:tcW w:w="604" w:type="dxa"/>
            <w:vMerge w:val="continue"/>
            <w:shd w:val="clear" w:color="auto" w:fill="auto"/>
            <w:vAlign w:val="center"/>
          </w:tcPr>
          <w:p>
            <w:pPr>
              <w:pStyle w:val="5"/>
              <w:ind w:left="0"/>
              <w:jc w:val="center"/>
              <w:rPr>
                <w:rFonts w:ascii="Times New Roman" w:hAnsi="Times New Roman"/>
                <w:sz w:val="18"/>
                <w:szCs w:val="18"/>
              </w:rPr>
            </w:pPr>
          </w:p>
        </w:tc>
        <w:tc>
          <w:tcPr>
            <w:tcW w:w="374" w:type="dxa"/>
            <w:vMerge w:val="continue"/>
            <w:shd w:val="clear" w:color="auto" w:fill="auto"/>
            <w:vAlign w:val="center"/>
          </w:tcPr>
          <w:p>
            <w:pPr>
              <w:pStyle w:val="60"/>
              <w:jc w:val="center"/>
              <w:rPr>
                <w:sz w:val="18"/>
                <w:szCs w:val="18"/>
              </w:rPr>
            </w:pPr>
          </w:p>
        </w:tc>
        <w:tc>
          <w:tcPr>
            <w:tcW w:w="841" w:type="dxa"/>
            <w:vMerge w:val="continue"/>
            <w:shd w:val="clear" w:color="auto" w:fill="auto"/>
            <w:vAlign w:val="center"/>
          </w:tcPr>
          <w:p>
            <w:pPr>
              <w:pStyle w:val="60"/>
              <w:jc w:val="center"/>
              <w:rPr>
                <w:sz w:val="18"/>
                <w:szCs w:val="18"/>
              </w:rPr>
            </w:pPr>
          </w:p>
        </w:tc>
        <w:tc>
          <w:tcPr>
            <w:tcW w:w="1400" w:type="dxa"/>
            <w:shd w:val="clear" w:color="auto" w:fill="auto"/>
            <w:vAlign w:val="center"/>
          </w:tcPr>
          <w:p>
            <w:pPr>
              <w:pStyle w:val="60"/>
              <w:jc w:val="center"/>
              <w:rPr>
                <w:sz w:val="18"/>
                <w:szCs w:val="18"/>
              </w:rPr>
            </w:pPr>
            <w:r>
              <w:rPr>
                <w:sz w:val="18"/>
                <w:szCs w:val="18"/>
              </w:rPr>
              <w:t>甲苯</w:t>
            </w:r>
          </w:p>
        </w:tc>
        <w:tc>
          <w:tcPr>
            <w:tcW w:w="742" w:type="dxa"/>
            <w:vMerge w:val="continue"/>
            <w:shd w:val="clear" w:color="auto" w:fill="auto"/>
            <w:vAlign w:val="center"/>
          </w:tcPr>
          <w:p>
            <w:pPr>
              <w:pStyle w:val="60"/>
              <w:jc w:val="center"/>
              <w:rPr>
                <w:sz w:val="18"/>
                <w:szCs w:val="18"/>
              </w:rPr>
            </w:pPr>
          </w:p>
        </w:tc>
        <w:tc>
          <w:tcPr>
            <w:tcW w:w="1368" w:type="dxa"/>
            <w:shd w:val="clear" w:color="auto" w:fill="auto"/>
            <w:vAlign w:val="center"/>
          </w:tcPr>
          <w:p>
            <w:pPr>
              <w:pStyle w:val="60"/>
              <w:jc w:val="center"/>
              <w:rPr>
                <w:spacing w:val="-2"/>
                <w:sz w:val="18"/>
                <w:szCs w:val="18"/>
              </w:rPr>
            </w:pPr>
            <w:r>
              <w:rPr>
                <w:rFonts w:hint="eastAsia"/>
                <w:sz w:val="18"/>
                <w:szCs w:val="18"/>
              </w:rPr>
              <w:t>≤</w:t>
            </w:r>
            <w:r>
              <w:rPr>
                <w:sz w:val="18"/>
                <w:szCs w:val="18"/>
              </w:rPr>
              <w:t>60</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sz w:val="18"/>
                <w:szCs w:val="18"/>
              </w:rPr>
              <w:t>40</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rFonts w:eastAsia="Times New Roman"/>
                <w:sz w:val="18"/>
                <w:szCs w:val="18"/>
              </w:rPr>
              <w:t>20</w:t>
            </w:r>
          </w:p>
        </w:tc>
        <w:tc>
          <w:tcPr>
            <w:tcW w:w="1369" w:type="dxa"/>
            <w:vMerge w:val="continue"/>
            <w:shd w:val="clear" w:color="auto" w:fill="auto"/>
            <w:vAlign w:val="center"/>
          </w:tcPr>
          <w:p>
            <w:pPr>
              <w:pStyle w:val="60"/>
              <w:ind w:right="192"/>
              <w:jc w:val="center"/>
              <w:rPr>
                <w:spacing w:val="-2"/>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4" w:hRule="atLeast"/>
          <w:jc w:val="center"/>
        </w:trPr>
        <w:tc>
          <w:tcPr>
            <w:tcW w:w="604" w:type="dxa"/>
            <w:vMerge w:val="continue"/>
            <w:shd w:val="clear" w:color="auto" w:fill="auto"/>
            <w:vAlign w:val="center"/>
          </w:tcPr>
          <w:p>
            <w:pPr>
              <w:pStyle w:val="5"/>
              <w:ind w:left="0"/>
              <w:jc w:val="center"/>
              <w:rPr>
                <w:rFonts w:ascii="Times New Roman" w:hAnsi="Times New Roman"/>
                <w:sz w:val="18"/>
                <w:szCs w:val="18"/>
              </w:rPr>
            </w:pPr>
          </w:p>
        </w:tc>
        <w:tc>
          <w:tcPr>
            <w:tcW w:w="374" w:type="dxa"/>
            <w:vMerge w:val="continue"/>
            <w:shd w:val="clear" w:color="auto" w:fill="auto"/>
            <w:vAlign w:val="center"/>
          </w:tcPr>
          <w:p>
            <w:pPr>
              <w:pStyle w:val="60"/>
              <w:jc w:val="center"/>
              <w:rPr>
                <w:sz w:val="18"/>
                <w:szCs w:val="18"/>
              </w:rPr>
            </w:pPr>
          </w:p>
        </w:tc>
        <w:tc>
          <w:tcPr>
            <w:tcW w:w="841" w:type="dxa"/>
            <w:vMerge w:val="continue"/>
            <w:shd w:val="clear" w:color="auto" w:fill="auto"/>
            <w:vAlign w:val="center"/>
          </w:tcPr>
          <w:p>
            <w:pPr>
              <w:pStyle w:val="60"/>
              <w:jc w:val="center"/>
              <w:rPr>
                <w:sz w:val="18"/>
                <w:szCs w:val="18"/>
              </w:rPr>
            </w:pPr>
          </w:p>
        </w:tc>
        <w:tc>
          <w:tcPr>
            <w:tcW w:w="1400" w:type="dxa"/>
            <w:shd w:val="clear" w:color="auto" w:fill="auto"/>
            <w:vAlign w:val="center"/>
          </w:tcPr>
          <w:p>
            <w:pPr>
              <w:pStyle w:val="60"/>
              <w:jc w:val="center"/>
              <w:rPr>
                <w:sz w:val="18"/>
                <w:szCs w:val="18"/>
              </w:rPr>
            </w:pPr>
            <w:r>
              <w:rPr>
                <w:sz w:val="18"/>
                <w:szCs w:val="18"/>
              </w:rPr>
              <w:t>二甲苯</w:t>
            </w:r>
          </w:p>
        </w:tc>
        <w:tc>
          <w:tcPr>
            <w:tcW w:w="742" w:type="dxa"/>
            <w:vMerge w:val="continue"/>
            <w:shd w:val="clear" w:color="auto" w:fill="auto"/>
            <w:vAlign w:val="center"/>
          </w:tcPr>
          <w:p>
            <w:pPr>
              <w:pStyle w:val="60"/>
              <w:jc w:val="center"/>
              <w:rPr>
                <w:sz w:val="18"/>
                <w:szCs w:val="18"/>
              </w:rPr>
            </w:pPr>
          </w:p>
        </w:tc>
        <w:tc>
          <w:tcPr>
            <w:tcW w:w="1368" w:type="dxa"/>
            <w:shd w:val="clear" w:color="auto" w:fill="auto"/>
            <w:vAlign w:val="center"/>
          </w:tcPr>
          <w:p>
            <w:pPr>
              <w:pStyle w:val="60"/>
              <w:jc w:val="center"/>
              <w:rPr>
                <w:spacing w:val="-2"/>
                <w:sz w:val="18"/>
                <w:szCs w:val="18"/>
              </w:rPr>
            </w:pPr>
            <w:r>
              <w:rPr>
                <w:rFonts w:hint="eastAsia"/>
                <w:sz w:val="18"/>
                <w:szCs w:val="18"/>
              </w:rPr>
              <w:t>≤</w:t>
            </w:r>
            <w:r>
              <w:rPr>
                <w:sz w:val="18"/>
                <w:szCs w:val="18"/>
              </w:rPr>
              <w:t>60</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sz w:val="18"/>
                <w:szCs w:val="18"/>
              </w:rPr>
              <w:t>40</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rFonts w:eastAsia="Times New Roman"/>
                <w:sz w:val="18"/>
                <w:szCs w:val="18"/>
              </w:rPr>
              <w:t>20</w:t>
            </w:r>
          </w:p>
        </w:tc>
        <w:tc>
          <w:tcPr>
            <w:tcW w:w="1369" w:type="dxa"/>
            <w:vMerge w:val="continue"/>
            <w:shd w:val="clear" w:color="auto" w:fill="auto"/>
            <w:vAlign w:val="center"/>
          </w:tcPr>
          <w:p>
            <w:pPr>
              <w:pStyle w:val="60"/>
              <w:ind w:right="192"/>
              <w:jc w:val="center"/>
              <w:rPr>
                <w:spacing w:val="-2"/>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2" w:hRule="atLeast"/>
          <w:jc w:val="center"/>
        </w:trPr>
        <w:tc>
          <w:tcPr>
            <w:tcW w:w="604" w:type="dxa"/>
            <w:vMerge w:val="continue"/>
            <w:shd w:val="clear" w:color="auto" w:fill="auto"/>
            <w:vAlign w:val="center"/>
          </w:tcPr>
          <w:p>
            <w:pPr>
              <w:pStyle w:val="5"/>
              <w:ind w:left="0"/>
              <w:jc w:val="center"/>
              <w:rPr>
                <w:rFonts w:ascii="Times New Roman" w:hAnsi="Times New Roman"/>
                <w:sz w:val="18"/>
                <w:szCs w:val="18"/>
              </w:rPr>
            </w:pPr>
          </w:p>
        </w:tc>
        <w:tc>
          <w:tcPr>
            <w:tcW w:w="374" w:type="dxa"/>
            <w:vMerge w:val="continue"/>
            <w:shd w:val="clear" w:color="auto" w:fill="auto"/>
            <w:vAlign w:val="center"/>
          </w:tcPr>
          <w:p>
            <w:pPr>
              <w:pStyle w:val="60"/>
              <w:jc w:val="center"/>
              <w:rPr>
                <w:sz w:val="18"/>
                <w:szCs w:val="18"/>
              </w:rPr>
            </w:pPr>
          </w:p>
        </w:tc>
        <w:tc>
          <w:tcPr>
            <w:tcW w:w="841" w:type="dxa"/>
            <w:vMerge w:val="continue"/>
            <w:shd w:val="clear" w:color="auto" w:fill="auto"/>
            <w:vAlign w:val="center"/>
          </w:tcPr>
          <w:p>
            <w:pPr>
              <w:pStyle w:val="60"/>
              <w:jc w:val="center"/>
              <w:rPr>
                <w:sz w:val="18"/>
                <w:szCs w:val="18"/>
              </w:rPr>
            </w:pPr>
          </w:p>
        </w:tc>
        <w:tc>
          <w:tcPr>
            <w:tcW w:w="1400" w:type="dxa"/>
            <w:shd w:val="clear" w:color="auto" w:fill="auto"/>
            <w:vAlign w:val="center"/>
          </w:tcPr>
          <w:p>
            <w:pPr>
              <w:rPr>
                <w:sz w:val="18"/>
                <w:szCs w:val="18"/>
              </w:rPr>
            </w:pPr>
            <w:r>
              <w:rPr>
                <w:sz w:val="18"/>
                <w:szCs w:val="18"/>
              </w:rPr>
              <w:t>总挥发性有机化合</w:t>
            </w:r>
            <w:r>
              <w:rPr>
                <w:spacing w:val="-13"/>
                <w:sz w:val="18"/>
                <w:szCs w:val="18"/>
              </w:rPr>
              <w:t>物（</w:t>
            </w:r>
            <w:r>
              <w:rPr>
                <w:rFonts w:eastAsia="Times New Roman"/>
                <w:spacing w:val="-13"/>
                <w:sz w:val="18"/>
                <w:szCs w:val="18"/>
              </w:rPr>
              <w:t>TVOC</w:t>
            </w:r>
            <w:r>
              <w:rPr>
                <w:spacing w:val="-13"/>
                <w:sz w:val="18"/>
                <w:szCs w:val="18"/>
              </w:rPr>
              <w:t>）</w:t>
            </w:r>
          </w:p>
        </w:tc>
        <w:tc>
          <w:tcPr>
            <w:tcW w:w="742" w:type="dxa"/>
            <w:vMerge w:val="continue"/>
            <w:shd w:val="clear" w:color="auto" w:fill="auto"/>
            <w:vAlign w:val="center"/>
          </w:tcPr>
          <w:p>
            <w:pPr>
              <w:pStyle w:val="60"/>
              <w:jc w:val="center"/>
              <w:rPr>
                <w:sz w:val="18"/>
                <w:szCs w:val="18"/>
              </w:rPr>
            </w:pPr>
          </w:p>
        </w:tc>
        <w:tc>
          <w:tcPr>
            <w:tcW w:w="1368" w:type="dxa"/>
            <w:shd w:val="clear" w:color="auto" w:fill="auto"/>
            <w:vAlign w:val="center"/>
          </w:tcPr>
          <w:p>
            <w:pPr>
              <w:pStyle w:val="60"/>
              <w:jc w:val="center"/>
              <w:rPr>
                <w:spacing w:val="-2"/>
                <w:sz w:val="18"/>
                <w:szCs w:val="18"/>
              </w:rPr>
            </w:pPr>
            <w:r>
              <w:rPr>
                <w:rFonts w:hint="eastAsia"/>
                <w:sz w:val="18"/>
                <w:szCs w:val="18"/>
              </w:rPr>
              <w:t>≤</w:t>
            </w:r>
            <w:r>
              <w:rPr>
                <w:sz w:val="18"/>
                <w:szCs w:val="18"/>
              </w:rPr>
              <w:t>300</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rFonts w:eastAsia="Times New Roman"/>
                <w:sz w:val="18"/>
                <w:szCs w:val="18"/>
              </w:rPr>
              <w:t>20</w:t>
            </w:r>
            <w:r>
              <w:rPr>
                <w:sz w:val="18"/>
                <w:szCs w:val="18"/>
              </w:rPr>
              <w:t>0</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rFonts w:eastAsia="Times New Roman"/>
                <w:sz w:val="18"/>
                <w:szCs w:val="18"/>
              </w:rPr>
              <w:t>100</w:t>
            </w:r>
          </w:p>
        </w:tc>
        <w:tc>
          <w:tcPr>
            <w:tcW w:w="1369" w:type="dxa"/>
            <w:vMerge w:val="continue"/>
            <w:shd w:val="clear" w:color="auto" w:fill="auto"/>
            <w:vAlign w:val="center"/>
          </w:tcPr>
          <w:p>
            <w:pPr>
              <w:pStyle w:val="60"/>
              <w:ind w:right="192"/>
              <w:jc w:val="center"/>
              <w:rPr>
                <w:spacing w:val="-2"/>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1" w:hRule="atLeast"/>
          <w:jc w:val="center"/>
        </w:trPr>
        <w:tc>
          <w:tcPr>
            <w:tcW w:w="604" w:type="dxa"/>
            <w:vMerge w:val="continue"/>
            <w:shd w:val="clear" w:color="auto" w:fill="auto"/>
            <w:vAlign w:val="center"/>
          </w:tcPr>
          <w:p>
            <w:pPr>
              <w:pStyle w:val="5"/>
              <w:ind w:left="0"/>
              <w:jc w:val="center"/>
              <w:rPr>
                <w:rFonts w:ascii="Times New Roman" w:hAnsi="Times New Roman"/>
                <w:sz w:val="18"/>
                <w:szCs w:val="18"/>
              </w:rPr>
            </w:pPr>
          </w:p>
        </w:tc>
        <w:tc>
          <w:tcPr>
            <w:tcW w:w="374" w:type="dxa"/>
            <w:vMerge w:val="continue"/>
            <w:shd w:val="clear" w:color="auto" w:fill="auto"/>
            <w:vAlign w:val="center"/>
          </w:tcPr>
          <w:p>
            <w:pPr>
              <w:pStyle w:val="60"/>
              <w:jc w:val="center"/>
              <w:rPr>
                <w:sz w:val="18"/>
                <w:szCs w:val="18"/>
              </w:rPr>
            </w:pPr>
          </w:p>
        </w:tc>
        <w:tc>
          <w:tcPr>
            <w:tcW w:w="2241" w:type="dxa"/>
            <w:gridSpan w:val="2"/>
            <w:shd w:val="clear" w:color="auto" w:fill="auto"/>
            <w:vAlign w:val="center"/>
          </w:tcPr>
          <w:p>
            <w:pPr>
              <w:pStyle w:val="60"/>
              <w:jc w:val="center"/>
              <w:rPr>
                <w:sz w:val="18"/>
                <w:szCs w:val="18"/>
              </w:rPr>
            </w:pPr>
            <w:r>
              <w:rPr>
                <w:sz w:val="18"/>
                <w:szCs w:val="18"/>
              </w:rPr>
              <w:t>可溶性重金属（铅、镉、铬、汞）总含量</w:t>
            </w:r>
            <w:r>
              <w:rPr>
                <w:spacing w:val="27"/>
                <w:sz w:val="18"/>
                <w:szCs w:val="18"/>
                <w:vertAlign w:val="superscript"/>
              </w:rPr>
              <w:t>2</w:t>
            </w:r>
          </w:p>
        </w:tc>
        <w:tc>
          <w:tcPr>
            <w:tcW w:w="742" w:type="dxa"/>
            <w:shd w:val="clear" w:color="auto" w:fill="auto"/>
            <w:vAlign w:val="center"/>
          </w:tcPr>
          <w:p>
            <w:pPr>
              <w:pStyle w:val="60"/>
              <w:jc w:val="center"/>
              <w:rPr>
                <w:sz w:val="18"/>
                <w:szCs w:val="18"/>
              </w:rPr>
            </w:pPr>
            <w:r>
              <w:rPr>
                <w:sz w:val="18"/>
                <w:szCs w:val="18"/>
              </w:rPr>
              <w:t>mg/kg</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rFonts w:eastAsia="Times New Roman"/>
                <w:sz w:val="18"/>
                <w:szCs w:val="18"/>
              </w:rPr>
              <w:t>150</w:t>
            </w:r>
          </w:p>
        </w:tc>
        <w:tc>
          <w:tcPr>
            <w:tcW w:w="1368" w:type="dxa"/>
            <w:shd w:val="clear" w:color="auto" w:fill="auto"/>
            <w:vAlign w:val="center"/>
          </w:tcPr>
          <w:p>
            <w:pPr>
              <w:pStyle w:val="60"/>
              <w:jc w:val="center"/>
              <w:rPr>
                <w:rFonts w:eastAsia="Times New Roman"/>
                <w:sz w:val="18"/>
                <w:szCs w:val="18"/>
              </w:rPr>
            </w:pPr>
            <w:r>
              <w:rPr>
                <w:rFonts w:hint="eastAsia"/>
                <w:sz w:val="18"/>
                <w:szCs w:val="18"/>
              </w:rPr>
              <w:t>≤</w:t>
            </w:r>
            <w:r>
              <w:rPr>
                <w:rFonts w:eastAsia="Times New Roman"/>
                <w:sz w:val="18"/>
                <w:szCs w:val="18"/>
              </w:rPr>
              <w:t>120</w:t>
            </w:r>
          </w:p>
        </w:tc>
        <w:tc>
          <w:tcPr>
            <w:tcW w:w="1368" w:type="dxa"/>
            <w:shd w:val="clear" w:color="auto" w:fill="auto"/>
            <w:vAlign w:val="center"/>
          </w:tcPr>
          <w:p>
            <w:pPr>
              <w:pStyle w:val="60"/>
              <w:jc w:val="center"/>
              <w:rPr>
                <w:rFonts w:eastAsiaTheme="minorEastAsia"/>
                <w:sz w:val="18"/>
                <w:szCs w:val="18"/>
              </w:rPr>
            </w:pPr>
            <w:r>
              <w:rPr>
                <w:rFonts w:hint="eastAsia"/>
                <w:sz w:val="18"/>
                <w:szCs w:val="18"/>
              </w:rPr>
              <w:t>≤</w:t>
            </w:r>
            <w:r>
              <w:rPr>
                <w:rFonts w:eastAsia="Times New Roman"/>
                <w:sz w:val="18"/>
                <w:szCs w:val="18"/>
              </w:rPr>
              <w:t>100</w:t>
            </w:r>
          </w:p>
        </w:tc>
        <w:tc>
          <w:tcPr>
            <w:tcW w:w="1369" w:type="dxa"/>
            <w:shd w:val="clear" w:color="auto" w:fill="auto"/>
            <w:vAlign w:val="center"/>
          </w:tcPr>
          <w:p>
            <w:pPr>
              <w:pStyle w:val="60"/>
              <w:ind w:right="192"/>
              <w:jc w:val="center"/>
              <w:rPr>
                <w:rFonts w:eastAsia="Times New Roman"/>
                <w:sz w:val="18"/>
                <w:szCs w:val="18"/>
              </w:rPr>
            </w:pPr>
            <w:r>
              <w:rPr>
                <w:rFonts w:eastAsia="Times New Roman"/>
                <w:sz w:val="18"/>
                <w:szCs w:val="18"/>
              </w:rPr>
              <w:t>GB/T 33042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6" w:hRule="atLeast"/>
          <w:jc w:val="center"/>
        </w:trPr>
        <w:tc>
          <w:tcPr>
            <w:tcW w:w="604" w:type="dxa"/>
            <w:shd w:val="clear" w:color="auto" w:fill="auto"/>
            <w:vAlign w:val="center"/>
          </w:tcPr>
          <w:p>
            <w:pPr>
              <w:pStyle w:val="5"/>
              <w:ind w:left="0"/>
              <w:jc w:val="center"/>
              <w:rPr>
                <w:rFonts w:ascii="Times New Roman" w:hAnsi="Times New Roman"/>
                <w:sz w:val="18"/>
                <w:szCs w:val="18"/>
              </w:rPr>
            </w:pPr>
            <w:r>
              <w:rPr>
                <w:rFonts w:ascii="Times New Roman" w:hAnsi="Times New Roman"/>
                <w:sz w:val="18"/>
                <w:szCs w:val="18"/>
              </w:rPr>
              <w:t>品质属性</w:t>
            </w:r>
          </w:p>
        </w:tc>
        <w:tc>
          <w:tcPr>
            <w:tcW w:w="2615" w:type="dxa"/>
            <w:gridSpan w:val="3"/>
            <w:shd w:val="clear" w:color="auto" w:fill="auto"/>
            <w:vAlign w:val="center"/>
          </w:tcPr>
          <w:p>
            <w:pPr>
              <w:pStyle w:val="60"/>
              <w:jc w:val="center"/>
              <w:rPr>
                <w:sz w:val="18"/>
                <w:szCs w:val="18"/>
              </w:rPr>
            </w:pPr>
            <w:r>
              <w:rPr>
                <w:sz w:val="18"/>
                <w:szCs w:val="18"/>
              </w:rPr>
              <w:t>耐磨性</w:t>
            </w:r>
          </w:p>
        </w:tc>
        <w:tc>
          <w:tcPr>
            <w:tcW w:w="742" w:type="dxa"/>
            <w:shd w:val="clear" w:color="auto" w:fill="auto"/>
            <w:vAlign w:val="center"/>
          </w:tcPr>
          <w:p>
            <w:pPr>
              <w:pStyle w:val="60"/>
              <w:jc w:val="center"/>
              <w:rPr>
                <w:sz w:val="18"/>
                <w:szCs w:val="18"/>
              </w:rPr>
            </w:pPr>
            <w:r>
              <w:rPr>
                <w:rFonts w:hint="eastAsia"/>
                <w:sz w:val="18"/>
                <w:szCs w:val="18"/>
              </w:rPr>
              <w:t>g/100r</w:t>
            </w:r>
          </w:p>
        </w:tc>
        <w:tc>
          <w:tcPr>
            <w:tcW w:w="1368" w:type="dxa"/>
            <w:shd w:val="clear" w:color="auto" w:fill="auto"/>
            <w:vAlign w:val="center"/>
          </w:tcPr>
          <w:p>
            <w:pPr>
              <w:pStyle w:val="60"/>
              <w:jc w:val="center"/>
              <w:rPr>
                <w:spacing w:val="-2"/>
                <w:sz w:val="18"/>
                <w:szCs w:val="18"/>
              </w:rPr>
            </w:pPr>
            <w:r>
              <w:rPr>
                <w:rFonts w:hint="eastAsia"/>
                <w:sz w:val="18"/>
                <w:szCs w:val="18"/>
              </w:rPr>
              <w:t>≤0.15</w:t>
            </w:r>
          </w:p>
        </w:tc>
        <w:tc>
          <w:tcPr>
            <w:tcW w:w="1368" w:type="dxa"/>
            <w:shd w:val="clear" w:color="auto" w:fill="auto"/>
            <w:vAlign w:val="center"/>
          </w:tcPr>
          <w:p>
            <w:pPr>
              <w:pStyle w:val="60"/>
              <w:jc w:val="center"/>
              <w:rPr>
                <w:rFonts w:eastAsiaTheme="minorEastAsia"/>
                <w:sz w:val="18"/>
                <w:szCs w:val="18"/>
              </w:rPr>
            </w:pPr>
            <w:r>
              <w:rPr>
                <w:rFonts w:hint="eastAsia"/>
                <w:sz w:val="18"/>
                <w:szCs w:val="18"/>
              </w:rPr>
              <w:t>≤</w:t>
            </w:r>
            <w:r>
              <w:rPr>
                <w:rFonts w:hint="eastAsia" w:eastAsiaTheme="minorEastAsia"/>
                <w:sz w:val="18"/>
                <w:szCs w:val="18"/>
              </w:rPr>
              <w:t>0.12</w:t>
            </w:r>
          </w:p>
        </w:tc>
        <w:tc>
          <w:tcPr>
            <w:tcW w:w="1368" w:type="dxa"/>
            <w:shd w:val="clear" w:color="auto" w:fill="auto"/>
            <w:vAlign w:val="center"/>
          </w:tcPr>
          <w:p>
            <w:pPr>
              <w:pStyle w:val="60"/>
              <w:jc w:val="center"/>
              <w:rPr>
                <w:rFonts w:eastAsiaTheme="minorEastAsia"/>
                <w:sz w:val="18"/>
                <w:szCs w:val="18"/>
              </w:rPr>
            </w:pPr>
            <w:r>
              <w:rPr>
                <w:rFonts w:hint="eastAsia"/>
                <w:sz w:val="18"/>
                <w:szCs w:val="18"/>
              </w:rPr>
              <w:t>≤</w:t>
            </w:r>
            <w:r>
              <w:rPr>
                <w:rFonts w:hint="eastAsia" w:eastAsiaTheme="minorEastAsia"/>
                <w:sz w:val="18"/>
                <w:szCs w:val="18"/>
              </w:rPr>
              <w:t>0.08</w:t>
            </w:r>
          </w:p>
        </w:tc>
        <w:tc>
          <w:tcPr>
            <w:tcW w:w="1369" w:type="dxa"/>
            <w:shd w:val="clear" w:color="auto" w:fill="auto"/>
            <w:vAlign w:val="center"/>
          </w:tcPr>
          <w:p>
            <w:pPr>
              <w:pStyle w:val="60"/>
              <w:ind w:right="192"/>
              <w:jc w:val="center"/>
              <w:rPr>
                <w:rFonts w:eastAsia="Times New Roman"/>
                <w:sz w:val="18"/>
                <w:szCs w:val="18"/>
              </w:rPr>
            </w:pPr>
            <w:r>
              <w:rPr>
                <w:rFonts w:hint="eastAsia" w:eastAsia="Times New Roman"/>
                <w:sz w:val="18"/>
                <w:szCs w:val="18"/>
              </w:rPr>
              <w:t>LY/T 1657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1" w:hRule="atLeast"/>
          <w:jc w:val="center"/>
        </w:trPr>
        <w:tc>
          <w:tcPr>
            <w:tcW w:w="9434" w:type="dxa"/>
            <w:gridSpan w:val="9"/>
            <w:shd w:val="clear" w:color="auto" w:fill="auto"/>
            <w:vAlign w:val="center"/>
          </w:tcPr>
          <w:p>
            <w:pPr>
              <w:pStyle w:val="60"/>
              <w:ind w:right="192"/>
              <w:jc w:val="left"/>
              <w:rPr>
                <w:sz w:val="18"/>
                <w:szCs w:val="18"/>
              </w:rPr>
            </w:pPr>
            <w:r>
              <w:rPr>
                <w:sz w:val="18"/>
                <w:szCs w:val="18"/>
                <w:vertAlign w:val="superscript"/>
              </w:rPr>
              <w:t>1</w:t>
            </w:r>
            <w:r>
              <w:rPr>
                <w:rFonts w:hint="eastAsia"/>
                <w:sz w:val="18"/>
                <w:szCs w:val="18"/>
              </w:rPr>
              <w:t>软</w:t>
            </w:r>
            <w:r>
              <w:rPr>
                <w:sz w:val="18"/>
                <w:szCs w:val="18"/>
              </w:rPr>
              <w:t>木地板不检测该项目；</w:t>
            </w:r>
          </w:p>
          <w:p>
            <w:pPr>
              <w:pStyle w:val="60"/>
              <w:ind w:right="192"/>
              <w:jc w:val="left"/>
              <w:rPr>
                <w:sz w:val="18"/>
                <w:szCs w:val="18"/>
              </w:rPr>
            </w:pPr>
            <w:r>
              <w:rPr>
                <w:sz w:val="18"/>
                <w:szCs w:val="18"/>
                <w:vertAlign w:val="superscript"/>
              </w:rPr>
              <w:t>2</w:t>
            </w:r>
            <w:r>
              <w:rPr>
                <w:sz w:val="18"/>
                <w:szCs w:val="18"/>
              </w:rPr>
              <w:t>仅限于色漆饰面</w:t>
            </w:r>
            <w:r>
              <w:rPr>
                <w:rFonts w:hint="eastAsia"/>
                <w:sz w:val="18"/>
                <w:szCs w:val="18"/>
              </w:rPr>
              <w:t>的软木地板和软木复合地板</w:t>
            </w:r>
            <w:r>
              <w:rPr>
                <w:sz w:val="18"/>
                <w:szCs w:val="18"/>
              </w:rPr>
              <w:t>。</w:t>
            </w:r>
          </w:p>
        </w:tc>
      </w:tr>
    </w:tbl>
    <w:p>
      <w:pPr>
        <w:pStyle w:val="24"/>
        <w:ind w:firstLine="0" w:firstLineChars="0"/>
      </w:pPr>
    </w:p>
    <w:bookmarkEnd w:id="95"/>
    <w:bookmarkEnd w:id="96"/>
    <w:bookmarkEnd w:id="97"/>
    <w:bookmarkEnd w:id="98"/>
    <w:bookmarkEnd w:id="99"/>
    <w:bookmarkEnd w:id="100"/>
    <w:bookmarkEnd w:id="101"/>
    <w:bookmarkEnd w:id="102"/>
    <w:bookmarkEnd w:id="103"/>
    <w:bookmarkEnd w:id="104"/>
    <w:bookmarkEnd w:id="105"/>
    <w:p>
      <w:pPr>
        <w:pStyle w:val="34"/>
        <w:numPr>
          <w:ilvl w:val="0"/>
          <w:numId w:val="0"/>
        </w:numPr>
        <w:spacing w:before="156" w:after="156"/>
        <w:rPr>
          <w:color w:val="000000"/>
        </w:rPr>
      </w:pPr>
      <w:r>
        <w:rPr>
          <w:rFonts w:hint="eastAsia"/>
          <w:color w:val="000000"/>
        </w:rPr>
        <w:t xml:space="preserve">5 </w:t>
      </w:r>
      <w:r>
        <w:rPr>
          <w:rFonts w:hint="eastAsia" w:hAnsi="黑体"/>
        </w:rPr>
        <w:t>评价方法</w:t>
      </w:r>
    </w:p>
    <w:p>
      <w:pPr>
        <w:widowControl/>
        <w:tabs>
          <w:tab w:val="center" w:pos="4201"/>
          <w:tab w:val="right" w:leader="dot" w:pos="9298"/>
        </w:tabs>
        <w:autoSpaceDE w:val="0"/>
        <w:autoSpaceDN w:val="0"/>
        <w:rPr>
          <w:kern w:val="0"/>
          <w:szCs w:val="20"/>
        </w:rPr>
      </w:pPr>
      <w:bookmarkStart w:id="106" w:name="_Toc360436858"/>
      <w:bookmarkStart w:id="107" w:name="_Toc360436771"/>
      <w:bookmarkStart w:id="108" w:name="_Toc360632449"/>
      <w:bookmarkStart w:id="109" w:name="_Toc350864010"/>
      <w:bookmarkStart w:id="110" w:name="_Toc384816571"/>
      <w:bookmarkStart w:id="111" w:name="_Toc396134056"/>
      <w:r>
        <w:rPr>
          <w:rFonts w:hint="eastAsia"/>
        </w:rPr>
        <w:t>5</w:t>
      </w:r>
      <w:r>
        <w:t>.</w:t>
      </w:r>
      <w:r>
        <w:rPr>
          <w:rFonts w:hint="eastAsia"/>
        </w:rPr>
        <w:t xml:space="preserve">1 </w:t>
      </w:r>
      <w:r>
        <w:rPr>
          <w:kern w:val="0"/>
          <w:szCs w:val="20"/>
        </w:rPr>
        <w:t>生产企业应按</w:t>
      </w:r>
      <w:r>
        <w:rPr>
          <w:rFonts w:hint="eastAsia"/>
          <w:kern w:val="0"/>
          <w:szCs w:val="20"/>
        </w:rPr>
        <w:t>第4章的规定提供相关证明文件</w:t>
      </w:r>
      <w:r>
        <w:rPr>
          <w:kern w:val="0"/>
          <w:szCs w:val="20"/>
        </w:rPr>
        <w:t>。</w:t>
      </w:r>
    </w:p>
    <w:p>
      <w:pPr>
        <w:autoSpaceDE w:val="0"/>
        <w:autoSpaceDN w:val="0"/>
        <w:adjustRightInd w:val="0"/>
        <w:jc w:val="left"/>
        <w:rPr>
          <w:kern w:val="0"/>
          <w:szCs w:val="20"/>
        </w:rPr>
        <w:sectPr>
          <w:footerReference r:id="rId5" w:type="default"/>
          <w:pgSz w:w="11906" w:h="16838"/>
          <w:pgMar w:top="1402" w:right="1134" w:bottom="1134" w:left="1418" w:header="1418" w:footer="1134" w:gutter="0"/>
          <w:pgNumType w:start="1"/>
          <w:cols w:space="720" w:num="1"/>
          <w:formProt w:val="0"/>
          <w:docGrid w:type="lines" w:linePitch="312" w:charSpace="0"/>
        </w:sectPr>
      </w:pPr>
      <w:r>
        <w:rPr>
          <w:rFonts w:hint="eastAsia"/>
        </w:rPr>
        <w:t>5.2 采用符合性评价，</w:t>
      </w:r>
      <w:r>
        <w:rPr>
          <w:rFonts w:hint="eastAsia" w:ascii="宋体" w:cs="宋体"/>
          <w:kern w:val="0"/>
        </w:rPr>
        <w:t>生产企业满足第4章对某一评价等级的全部要求时，</w:t>
      </w:r>
      <w:r>
        <w:rPr>
          <w:rFonts w:hint="eastAsia"/>
        </w:rPr>
        <w:t>判定评价结果</w:t>
      </w:r>
      <w:r>
        <w:rPr>
          <w:rFonts w:hint="eastAsia" w:ascii="宋体" w:cs="宋体"/>
          <w:kern w:val="0"/>
        </w:rPr>
        <w:t>符合该等级规定。</w:t>
      </w:r>
    </w:p>
    <w:bookmarkEnd w:id="106"/>
    <w:bookmarkEnd w:id="107"/>
    <w:bookmarkEnd w:id="108"/>
    <w:bookmarkEnd w:id="109"/>
    <w:bookmarkEnd w:id="110"/>
    <w:bookmarkEnd w:id="111"/>
    <w:p>
      <w:pPr>
        <w:pStyle w:val="47"/>
        <w:spacing w:before="312" w:after="312"/>
        <w:rPr>
          <w:rFonts w:ascii="Times New Roman"/>
        </w:rPr>
      </w:pPr>
      <w:bookmarkStart w:id="112" w:name="_Toc462063267"/>
      <w:bookmarkStart w:id="113" w:name="_Toc459106423"/>
      <w:bookmarkStart w:id="114" w:name="_Toc360632454"/>
      <w:bookmarkStart w:id="115" w:name="_Toc360632685"/>
      <w:bookmarkStart w:id="116" w:name="_Toc360436775"/>
      <w:bookmarkStart w:id="117" w:name="_Toc360436862"/>
      <w:bookmarkStart w:id="118" w:name="_Toc350864015"/>
      <w:r>
        <w:rPr>
          <w:rFonts w:ascii="Times New Roman"/>
        </w:rPr>
        <w:t>附录</w:t>
      </w:r>
      <w:r>
        <w:rPr>
          <w:rFonts w:hint="eastAsia" w:ascii="Times New Roman"/>
        </w:rPr>
        <w:t>A</w:t>
      </w:r>
      <w:r>
        <w:rPr>
          <w:rFonts w:ascii="Times New Roman"/>
        </w:rPr>
        <w:br w:type="textWrapping"/>
      </w:r>
      <w:bookmarkStart w:id="119" w:name="_Toc456611293"/>
      <w:r>
        <w:rPr>
          <w:rFonts w:ascii="Times New Roman"/>
        </w:rPr>
        <w:t>（规范性附录）</w:t>
      </w:r>
      <w:bookmarkEnd w:id="112"/>
    </w:p>
    <w:p>
      <w:pPr>
        <w:pStyle w:val="47"/>
        <w:snapToGrid w:val="0"/>
        <w:spacing w:before="312" w:after="312"/>
        <w:outlineLvl w:val="9"/>
        <w:rPr>
          <w:rFonts w:ascii="Times New Roman"/>
        </w:rPr>
      </w:pPr>
      <w:bookmarkStart w:id="120" w:name="_Toc462063268"/>
      <w:r>
        <w:rPr>
          <w:rFonts w:ascii="Times New Roman"/>
        </w:rPr>
        <w:t>计算方法</w:t>
      </w:r>
      <w:bookmarkEnd w:id="113"/>
      <w:bookmarkEnd w:id="119"/>
      <w:bookmarkEnd w:id="120"/>
    </w:p>
    <w:bookmarkEnd w:id="114"/>
    <w:bookmarkEnd w:id="115"/>
    <w:bookmarkEnd w:id="116"/>
    <w:bookmarkEnd w:id="117"/>
    <w:bookmarkEnd w:id="118"/>
    <w:p>
      <w:pPr>
        <w:pStyle w:val="45"/>
        <w:spacing w:before="312" w:after="312"/>
        <w:rPr>
          <w:rFonts w:ascii="Times New Roman"/>
        </w:rPr>
      </w:pPr>
      <w:bookmarkStart w:id="121" w:name="_Toc533603721"/>
      <w:r>
        <w:rPr>
          <w:rFonts w:hint="eastAsia" w:ascii="Times New Roman"/>
        </w:rPr>
        <w:t>A.1</w:t>
      </w:r>
      <w:r>
        <w:rPr>
          <w:rFonts w:ascii="Times New Roman"/>
        </w:rPr>
        <w:t>单位产品</w:t>
      </w:r>
      <w:r>
        <w:rPr>
          <w:rFonts w:hint="eastAsia" w:ascii="Times New Roman"/>
        </w:rPr>
        <w:t>新鲜水消耗量</w:t>
      </w:r>
      <w:bookmarkEnd w:id="121"/>
    </w:p>
    <w:p>
      <w:pPr>
        <w:pStyle w:val="24"/>
      </w:pPr>
      <w:r>
        <w:rPr>
          <w:rFonts w:hint="eastAsia"/>
        </w:rPr>
        <w:t>单位产品新鲜水消耗量按式（A.1）计算：</w:t>
      </w:r>
    </w:p>
    <w:p>
      <w:pPr>
        <w:pStyle w:val="44"/>
        <w:jc w:val="center"/>
        <w:rPr>
          <w:rFonts w:ascii="Times New Roman"/>
        </w:rPr>
      </w:pPr>
      <w:r>
        <w:rPr>
          <w:rFonts w:ascii="Times New Roman"/>
          <w:position w:val="-32"/>
        </w:rPr>
        <w:object>
          <v:shape id="_x0000_i1025" o:spt="75" type="#_x0000_t75" style="height:36.3pt;width:42.05pt;" o:ole="t" filled="f" o:preferrelative="t" stroked="f" coordsize="21600,21600">
            <v:path/>
            <v:fill on="f" focussize="0,0"/>
            <v:stroke on="f" joinstyle="miter"/>
            <v:imagedata r:id="rId8" o:title=""/>
            <o:lock v:ext="edit" aspectratio="t"/>
            <w10:wrap type="none"/>
            <w10:anchorlock/>
          </v:shape>
          <o:OLEObject Type="Embed" ProgID="Equation.3" ShapeID="_x0000_i1025" DrawAspect="Content" ObjectID="_1468075725" r:id="rId7">
            <o:LockedField>false</o:LockedField>
          </o:OLEObject>
        </w:object>
      </w:r>
      <w:r>
        <w:rPr>
          <w:rFonts w:ascii="Times New Roman"/>
        </w:rPr>
        <w:t>(</w:t>
      </w:r>
      <w:r>
        <w:rPr>
          <w:rFonts w:hint="eastAsia" w:ascii="Times New Roman"/>
        </w:rPr>
        <w:t>A</w:t>
      </w:r>
      <w:r>
        <w:rPr>
          <w:rFonts w:ascii="Times New Roman"/>
        </w:rPr>
        <w:t>.</w:t>
      </w:r>
      <w:r>
        <w:rPr>
          <w:rFonts w:hint="eastAsia" w:ascii="Times New Roman"/>
        </w:rPr>
        <w:t>1</w:t>
      </w:r>
      <w:r>
        <w:rPr>
          <w:rFonts w:ascii="Times New Roman"/>
        </w:rPr>
        <w:t>)</w:t>
      </w:r>
    </w:p>
    <w:p>
      <w:pPr>
        <w:pStyle w:val="44"/>
        <w:ind w:firstLine="420" w:firstLineChars="200"/>
      </w:pPr>
      <w:r>
        <w:t>式中：</w:t>
      </w:r>
    </w:p>
    <w:p>
      <w:pPr>
        <w:pStyle w:val="24"/>
        <w:rPr>
          <w:rFonts w:ascii="Times New Roman"/>
          <w:szCs w:val="21"/>
        </w:rPr>
      </w:pPr>
      <w:r>
        <w:rPr>
          <w:rFonts w:hint="eastAsia"/>
          <w:i/>
        </w:rPr>
        <w:t>V</w:t>
      </w:r>
      <w:r>
        <w:rPr>
          <w:rFonts w:hint="eastAsia"/>
          <w:i/>
          <w:vertAlign w:val="subscript"/>
        </w:rPr>
        <w:t>i</w:t>
      </w:r>
      <w:r>
        <w:t>——</w:t>
      </w:r>
      <w:r>
        <w:rPr>
          <w:rFonts w:hint="eastAsia"/>
        </w:rPr>
        <w:t>单位产品新鲜水消耗量</w:t>
      </w:r>
      <w:r>
        <w:t>，单位为</w:t>
      </w:r>
      <w:r>
        <w:rPr>
          <w:rFonts w:hint="eastAsia"/>
        </w:rPr>
        <w:t>吨每吨（</w:t>
      </w:r>
      <w:r>
        <w:rPr>
          <w:rFonts w:hint="eastAsia" w:ascii="Times New Roman"/>
        </w:rPr>
        <w:t>t</w:t>
      </w:r>
      <w:r>
        <w:rPr>
          <w:rFonts w:ascii="Times New Roman"/>
        </w:rPr>
        <w:t>/</w:t>
      </w:r>
      <w:r>
        <w:rPr>
          <w:rFonts w:hint="eastAsia" w:ascii="Times New Roman"/>
        </w:rPr>
        <w:t>t</w:t>
      </w:r>
      <w:r>
        <w:rPr>
          <w:rFonts w:hint="eastAsia"/>
        </w:rPr>
        <w:t>）</w:t>
      </w:r>
      <w:r>
        <w:t>；</w:t>
      </w:r>
    </w:p>
    <w:p>
      <w:pPr>
        <w:ind w:firstLine="420" w:firstLineChars="200"/>
      </w:pPr>
      <w:r>
        <w:rPr>
          <w:rFonts w:hint="eastAsia"/>
          <w:i/>
        </w:rPr>
        <w:t>V</w:t>
      </w:r>
      <w:r>
        <w:rPr>
          <w:rFonts w:hint="eastAsia"/>
          <w:i/>
          <w:vertAlign w:val="subscript"/>
        </w:rPr>
        <w:t>h</w:t>
      </w:r>
      <w:r>
        <w:t>——</w:t>
      </w:r>
      <w:r>
        <w:rPr>
          <w:rFonts w:hint="eastAsia"/>
        </w:rPr>
        <w:t>评价</w:t>
      </w:r>
      <w:r>
        <w:t>期内</w:t>
      </w:r>
      <w:r>
        <w:rPr>
          <w:rFonts w:hint="eastAsia" w:hAnsi="宋体"/>
        </w:rPr>
        <w:t>产品生产消耗的新鲜水量</w:t>
      </w:r>
      <w:r>
        <w:t>，单位为</w:t>
      </w:r>
      <w:r>
        <w:rPr>
          <w:rFonts w:hint="eastAsia"/>
        </w:rPr>
        <w:t>吨</w:t>
      </w:r>
      <w:r>
        <w:t>（</w:t>
      </w:r>
      <w:r>
        <w:rPr>
          <w:rFonts w:hint="eastAsia"/>
        </w:rPr>
        <w:t>t</w:t>
      </w:r>
      <w:r>
        <w:t>）；</w:t>
      </w:r>
    </w:p>
    <w:p>
      <w:pPr>
        <w:tabs>
          <w:tab w:val="left" w:pos="7215"/>
        </w:tabs>
        <w:ind w:firstLine="420"/>
      </w:pPr>
      <w:r>
        <w:rPr>
          <w:rFonts w:hint="eastAsia"/>
          <w:i/>
        </w:rPr>
        <w:t>P</w:t>
      </w:r>
      <w:r>
        <w:t>——</w:t>
      </w:r>
      <w:r>
        <w:rPr>
          <w:rFonts w:hint="eastAsia"/>
        </w:rPr>
        <w:t>评价</w:t>
      </w:r>
      <w:r>
        <w:t>期内合格产品产量，单位为</w:t>
      </w:r>
      <w:r>
        <w:rPr>
          <w:rFonts w:hint="eastAsia"/>
        </w:rPr>
        <w:t>吨</w:t>
      </w:r>
      <w:r>
        <w:t>（</w:t>
      </w:r>
      <w:r>
        <w:rPr>
          <w:rFonts w:hint="eastAsia"/>
        </w:rPr>
        <w:t>t</w:t>
      </w:r>
      <w:r>
        <w:t>）</w:t>
      </w:r>
      <w:r>
        <w:rPr>
          <w:rFonts w:hint="eastAsia"/>
        </w:rPr>
        <w:t>.</w:t>
      </w:r>
    </w:p>
    <w:p>
      <w:pPr>
        <w:pStyle w:val="45"/>
        <w:spacing w:before="312" w:after="312"/>
        <w:rPr>
          <w:rFonts w:ascii="Times New Roman"/>
        </w:rPr>
      </w:pPr>
      <w:bookmarkStart w:id="122" w:name="_Toc533603722"/>
      <w:r>
        <w:rPr>
          <w:rFonts w:ascii="Times New Roman"/>
        </w:rPr>
        <w:t>A.2单位产品综合能耗</w:t>
      </w:r>
      <w:bookmarkEnd w:id="122"/>
    </w:p>
    <w:p>
      <w:pPr>
        <w:pStyle w:val="24"/>
      </w:pPr>
      <w:r>
        <w:rPr>
          <w:rFonts w:hint="eastAsia"/>
        </w:rPr>
        <w:t>单位产品综合能耗按式（A.2）计算：</w:t>
      </w:r>
    </w:p>
    <w:p>
      <w:pPr>
        <w:pStyle w:val="44"/>
        <w:rPr>
          <w:rFonts w:ascii="Times New Roman"/>
        </w:rPr>
      </w:pPr>
      <w:r>
        <w:rPr>
          <w:rFonts w:ascii="Times New Roman"/>
        </w:rPr>
        <w:tab/>
      </w:r>
      <w:r>
        <w:rPr>
          <w:rFonts w:ascii="Times New Roman"/>
          <w:position w:val="-24"/>
        </w:rPr>
        <w:object>
          <v:shape id="_x0000_i1026" o:spt="75" type="#_x0000_t75" style="height:32.25pt;width:59.35pt;" o:ole="t" filled="f" o:preferrelative="t" stroked="f" coordsize="21600,21600">
            <v:path/>
            <v:fill on="f" focussize="0,0"/>
            <v:stroke on="f" joinstyle="miter"/>
            <v:imagedata r:id="rId10" o:title=""/>
            <o:lock v:ext="edit" aspectratio="t"/>
            <w10:wrap type="none"/>
            <w10:anchorlock/>
          </v:shape>
          <o:OLEObject Type="Embed" ProgID="Equation.3" ShapeID="_x0000_i1026" DrawAspect="Content" ObjectID="_1468075726" r:id="rId9">
            <o:LockedField>false</o:LockedField>
          </o:OLEObject>
        </w:object>
      </w:r>
      <w:r>
        <w:rPr>
          <w:rFonts w:ascii="Times New Roman"/>
        </w:rPr>
        <w:t>(</w:t>
      </w:r>
      <w:r>
        <w:rPr>
          <w:rFonts w:hint="eastAsia" w:ascii="Times New Roman"/>
        </w:rPr>
        <w:t>A</w:t>
      </w:r>
      <w:r>
        <w:rPr>
          <w:rFonts w:ascii="Times New Roman"/>
        </w:rPr>
        <w:t>.</w:t>
      </w:r>
      <w:r>
        <w:rPr>
          <w:rFonts w:hint="eastAsia" w:ascii="Times New Roman"/>
        </w:rPr>
        <w:t>2</w:t>
      </w:r>
      <w:r>
        <w:rPr>
          <w:rFonts w:ascii="Times New Roman"/>
        </w:rPr>
        <w:t>)</w:t>
      </w:r>
    </w:p>
    <w:p>
      <w:pPr>
        <w:pStyle w:val="44"/>
        <w:ind w:firstLine="420" w:firstLineChars="200"/>
        <w:rPr>
          <w:rFonts w:ascii="Times New Roman"/>
        </w:rPr>
      </w:pPr>
      <w:r>
        <w:rPr>
          <w:rFonts w:ascii="Times New Roman"/>
        </w:rPr>
        <w:t>式中：</w:t>
      </w:r>
    </w:p>
    <w:p>
      <w:pPr>
        <w:pStyle w:val="24"/>
        <w:rPr>
          <w:rFonts w:ascii="Times New Roman"/>
        </w:rPr>
      </w:pPr>
      <w:r>
        <w:rPr>
          <w:rFonts w:ascii="Times New Roman"/>
          <w:i/>
        </w:rPr>
        <w:t>E</w:t>
      </w:r>
      <w:r>
        <w:rPr>
          <w:rFonts w:ascii="Times New Roman"/>
          <w:i/>
          <w:vertAlign w:val="subscript"/>
        </w:rPr>
        <w:t>DN</w:t>
      </w:r>
      <w:r>
        <w:rPr>
          <w:rFonts w:ascii="Times New Roman"/>
        </w:rPr>
        <w:t>——单位产品综合耗能，单位为</w:t>
      </w:r>
      <w:r>
        <w:rPr>
          <w:rFonts w:hint="eastAsia" w:ascii="Times New Roman"/>
        </w:rPr>
        <w:t>吨</w:t>
      </w:r>
      <w:r>
        <w:rPr>
          <w:rFonts w:ascii="Times New Roman"/>
        </w:rPr>
        <w:t>标准煤每</w:t>
      </w:r>
      <w:r>
        <w:rPr>
          <w:rFonts w:hint="eastAsia" w:ascii="Times New Roman"/>
        </w:rPr>
        <w:t>吨</w:t>
      </w:r>
      <w:r>
        <w:rPr>
          <w:rFonts w:ascii="Times New Roman"/>
        </w:rPr>
        <w:t>（</w:t>
      </w:r>
      <w:r>
        <w:rPr>
          <w:rFonts w:hint="eastAsia" w:ascii="Times New Roman"/>
        </w:rPr>
        <w:t>t</w:t>
      </w:r>
      <w:r>
        <w:rPr>
          <w:rFonts w:ascii="Times New Roman"/>
        </w:rPr>
        <w:t>ce/</w:t>
      </w:r>
      <w:r>
        <w:rPr>
          <w:rFonts w:hint="eastAsia" w:ascii="Times New Roman"/>
        </w:rPr>
        <w:t>t）</w:t>
      </w:r>
      <w:r>
        <w:rPr>
          <w:rFonts w:ascii="Times New Roman"/>
        </w:rPr>
        <w:t>；</w:t>
      </w:r>
    </w:p>
    <w:p>
      <w:pPr>
        <w:pStyle w:val="24"/>
        <w:rPr>
          <w:rFonts w:ascii="Times New Roman"/>
        </w:rPr>
      </w:pPr>
      <w:r>
        <w:rPr>
          <w:rFonts w:ascii="Times New Roman"/>
          <w:i/>
        </w:rPr>
        <w:t>E</w:t>
      </w:r>
      <w:r>
        <w:rPr>
          <w:rFonts w:ascii="Times New Roman"/>
          <w:i/>
          <w:vertAlign w:val="subscript"/>
        </w:rPr>
        <w:t>ZN</w:t>
      </w:r>
      <w:r>
        <w:rPr>
          <w:rFonts w:ascii="Times New Roman"/>
        </w:rPr>
        <w:t>——</w:t>
      </w:r>
      <w:r>
        <w:rPr>
          <w:rFonts w:hint="eastAsia" w:ascii="Times New Roman"/>
        </w:rPr>
        <w:t>评价</w:t>
      </w:r>
      <w:r>
        <w:rPr>
          <w:rFonts w:ascii="Times New Roman"/>
        </w:rPr>
        <w:t>期内产品</w:t>
      </w:r>
      <w:r>
        <w:rPr>
          <w:rFonts w:hint="eastAsia" w:ascii="Times New Roman"/>
        </w:rPr>
        <w:t>生产</w:t>
      </w:r>
      <w:r>
        <w:rPr>
          <w:rFonts w:ascii="Times New Roman"/>
        </w:rPr>
        <w:t>能源消耗总量，单位为</w:t>
      </w:r>
      <w:r>
        <w:rPr>
          <w:rFonts w:hint="eastAsia" w:ascii="Times New Roman"/>
        </w:rPr>
        <w:t>吨标准煤</w:t>
      </w:r>
      <w:r>
        <w:rPr>
          <w:rFonts w:ascii="Times New Roman"/>
        </w:rPr>
        <w:t>（</w:t>
      </w:r>
      <w:r>
        <w:rPr>
          <w:rFonts w:hint="eastAsia" w:ascii="Times New Roman"/>
        </w:rPr>
        <w:t>t</w:t>
      </w:r>
      <w:r>
        <w:rPr>
          <w:rFonts w:ascii="Times New Roman"/>
        </w:rPr>
        <w:t>ce）；</w:t>
      </w:r>
    </w:p>
    <w:p>
      <w:pPr>
        <w:pStyle w:val="24"/>
        <w:rPr>
          <w:rFonts w:ascii="Times New Roman"/>
        </w:rPr>
      </w:pPr>
      <w:r>
        <w:rPr>
          <w:rFonts w:ascii="Times New Roman"/>
          <w:i/>
        </w:rPr>
        <w:t>P</w:t>
      </w:r>
      <w:r>
        <w:rPr>
          <w:rFonts w:ascii="Times New Roman"/>
        </w:rPr>
        <w:t>——</w:t>
      </w:r>
      <w:r>
        <w:rPr>
          <w:rFonts w:hint="eastAsia" w:ascii="Times New Roman"/>
        </w:rPr>
        <w:t>评价</w:t>
      </w:r>
      <w:r>
        <w:rPr>
          <w:rFonts w:ascii="Times New Roman"/>
        </w:rPr>
        <w:t>期内合格产品产量，单位为</w:t>
      </w:r>
      <w:r>
        <w:rPr>
          <w:rFonts w:hint="eastAsia" w:ascii="Times New Roman"/>
        </w:rPr>
        <w:t>吨</w:t>
      </w:r>
      <w:r>
        <w:rPr>
          <w:rFonts w:ascii="Times New Roman"/>
        </w:rPr>
        <w:t>（</w:t>
      </w:r>
      <w:r>
        <w:rPr>
          <w:rFonts w:hint="eastAsia" w:ascii="Times New Roman"/>
        </w:rPr>
        <w:t>t</w:t>
      </w:r>
      <w:r>
        <w:rPr>
          <w:rFonts w:ascii="Times New Roman"/>
        </w:rPr>
        <w:t>）。</w:t>
      </w:r>
    </w:p>
    <w:p>
      <w:pPr>
        <w:pStyle w:val="40"/>
        <w:ind w:firstLine="420"/>
        <w:rPr>
          <w:rFonts w:eastAsiaTheme="minorEastAsia"/>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S Mincho">
    <w:altName w:val="Kozuka Mincho Pro M"/>
    <w:panose1 w:val="02020609040205080304"/>
    <w:charset w:val="80"/>
    <w:family w:val="modern"/>
    <w:pitch w:val="default"/>
    <w:sig w:usb0="00000000" w:usb1="00000000" w:usb2="00000010" w:usb3="00000000" w:csb0="0002009F" w:csb1="00000000"/>
  </w:font>
  <w:font w:name="Kozuka Mincho Pro M">
    <w:panose1 w:val="02020600000000000000"/>
    <w:charset w:val="80"/>
    <w:family w:val="auto"/>
    <w:pitch w:val="default"/>
    <w:sig w:usb0="00000083" w:usb1="2AC71C11" w:usb2="00000012" w:usb3="00000000" w:csb0="2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r>
      <w:fldChar w:fldCharType="begin"/>
    </w:r>
    <w:r>
      <w:instrText xml:space="preserve"> PAGE  \* MERGEFORMAT </w:instrText>
    </w:r>
    <w:r>
      <w:fldChar w:fldCharType="separate"/>
    </w:r>
    <w: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7</w:t>
    </w:r>
    <w:r>
      <w:rPr>
        <w:lang w:val="zh-CN"/>
      </w:rPr>
      <w:fldChar w:fldCharType="end"/>
    </w:r>
  </w:p>
  <w:p>
    <w:pPr>
      <w:pStyle w:val="4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Pr>
    <w:r>
      <w:rPr>
        <w:rFonts w:hint="eastAsia"/>
      </w:rPr>
      <w:t>T</w:t>
    </w:r>
    <w:r>
      <w:t xml:space="preserve">/ </w:t>
    </w:r>
    <w:r>
      <w:rPr>
        <w:rFonts w:hint="eastAsia"/>
      </w:rPr>
      <w:t>CECS 1000</w:t>
    </w:r>
    <w:r>
      <w:t>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35"/>
      <w:suff w:val="nothing"/>
      <w:lvlText w:val="%1　"/>
      <w:lvlJc w:val="left"/>
      <w:rPr>
        <w:rFonts w:hint="eastAsia" w:ascii="黑体" w:hAnsi="Times New Roman" w:eastAsia="黑体" w:cs="Times New Roman"/>
        <w:b w:val="0"/>
        <w:i w:val="0"/>
        <w:sz w:val="21"/>
        <w:szCs w:val="21"/>
      </w:rPr>
    </w:lvl>
    <w:lvl w:ilvl="1" w:tentative="0">
      <w:start w:val="1"/>
      <w:numFmt w:val="decimal"/>
      <w:pStyle w:val="34"/>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36"/>
      <w:suff w:val="nothing"/>
      <w:lvlText w:val="%1.%2.%3　"/>
      <w:lvlJc w:val="left"/>
      <w:rPr>
        <w:rFonts w:hint="eastAsia" w:ascii="黑体" w:hAnsi="Times New Roman" w:eastAsia="黑体" w:cs="Times New Roman"/>
        <w:b w:val="0"/>
        <w:i w:val="0"/>
        <w:sz w:val="21"/>
      </w:rPr>
    </w:lvl>
    <w:lvl w:ilvl="3" w:tentative="0">
      <w:start w:val="1"/>
      <w:numFmt w:val="decimal"/>
      <w:pStyle w:val="37"/>
      <w:suff w:val="nothing"/>
      <w:lvlText w:val="%1.%2.%3.%4　"/>
      <w:lvlJc w:val="left"/>
      <w:rPr>
        <w:rFonts w:hint="eastAsia" w:ascii="黑体" w:hAnsi="Times New Roman" w:eastAsia="黑体" w:cs="Times New Roman"/>
        <w:b w:val="0"/>
        <w:i w:val="0"/>
        <w:sz w:val="21"/>
      </w:rPr>
    </w:lvl>
    <w:lvl w:ilvl="4" w:tentative="0">
      <w:start w:val="1"/>
      <w:numFmt w:val="decimal"/>
      <w:pStyle w:val="38"/>
      <w:suff w:val="nothing"/>
      <w:lvlText w:val="%1.%2.%3.%4.%5　"/>
      <w:lvlJc w:val="left"/>
      <w:rPr>
        <w:rFonts w:hint="eastAsia" w:ascii="黑体" w:hAnsi="Times New Roman" w:eastAsia="黑体" w:cs="Times New Roman"/>
        <w:b w:val="0"/>
        <w:i w:val="0"/>
        <w:sz w:val="21"/>
      </w:rPr>
    </w:lvl>
    <w:lvl w:ilvl="5" w:tentative="0">
      <w:start w:val="1"/>
      <w:numFmt w:val="decimal"/>
      <w:pStyle w:val="39"/>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79906EC8"/>
    <w:multiLevelType w:val="multilevel"/>
    <w:tmpl w:val="79906EC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66A0B"/>
    <w:rsid w:val="000157D6"/>
    <w:rsid w:val="00024A64"/>
    <w:rsid w:val="00027816"/>
    <w:rsid w:val="0003377C"/>
    <w:rsid w:val="00050C45"/>
    <w:rsid w:val="00054FF2"/>
    <w:rsid w:val="00056385"/>
    <w:rsid w:val="00073554"/>
    <w:rsid w:val="00076BEA"/>
    <w:rsid w:val="00081418"/>
    <w:rsid w:val="00084632"/>
    <w:rsid w:val="00091E9F"/>
    <w:rsid w:val="00093021"/>
    <w:rsid w:val="000B1C88"/>
    <w:rsid w:val="000C5087"/>
    <w:rsid w:val="000C7929"/>
    <w:rsid w:val="000D0ED4"/>
    <w:rsid w:val="000E0CFD"/>
    <w:rsid w:val="000E554B"/>
    <w:rsid w:val="000E63CB"/>
    <w:rsid w:val="00103157"/>
    <w:rsid w:val="00105045"/>
    <w:rsid w:val="00116B91"/>
    <w:rsid w:val="00116DF6"/>
    <w:rsid w:val="001179BF"/>
    <w:rsid w:val="00124C61"/>
    <w:rsid w:val="0013754D"/>
    <w:rsid w:val="00141B26"/>
    <w:rsid w:val="00154A2D"/>
    <w:rsid w:val="00165959"/>
    <w:rsid w:val="00166A0B"/>
    <w:rsid w:val="0017704B"/>
    <w:rsid w:val="001774D2"/>
    <w:rsid w:val="0018489E"/>
    <w:rsid w:val="001974F4"/>
    <w:rsid w:val="001B2B9F"/>
    <w:rsid w:val="001D2276"/>
    <w:rsid w:val="001E03AA"/>
    <w:rsid w:val="001E05F2"/>
    <w:rsid w:val="001E60E0"/>
    <w:rsid w:val="002007AC"/>
    <w:rsid w:val="00200A61"/>
    <w:rsid w:val="00211ACD"/>
    <w:rsid w:val="002302C2"/>
    <w:rsid w:val="00230E11"/>
    <w:rsid w:val="002353BE"/>
    <w:rsid w:val="00244A0A"/>
    <w:rsid w:val="00250E0B"/>
    <w:rsid w:val="00261B16"/>
    <w:rsid w:val="00266414"/>
    <w:rsid w:val="00267677"/>
    <w:rsid w:val="0027310E"/>
    <w:rsid w:val="00274A9C"/>
    <w:rsid w:val="0028378C"/>
    <w:rsid w:val="002A3455"/>
    <w:rsid w:val="002B4554"/>
    <w:rsid w:val="002B5AD5"/>
    <w:rsid w:val="002B6BEC"/>
    <w:rsid w:val="002D36CE"/>
    <w:rsid w:val="002D6A80"/>
    <w:rsid w:val="002F2115"/>
    <w:rsid w:val="002F5881"/>
    <w:rsid w:val="00302D53"/>
    <w:rsid w:val="00306CD6"/>
    <w:rsid w:val="00310FDF"/>
    <w:rsid w:val="00316B5B"/>
    <w:rsid w:val="00321717"/>
    <w:rsid w:val="003322CA"/>
    <w:rsid w:val="0033378B"/>
    <w:rsid w:val="00334F22"/>
    <w:rsid w:val="003473C2"/>
    <w:rsid w:val="00352E77"/>
    <w:rsid w:val="00356BF5"/>
    <w:rsid w:val="003674D6"/>
    <w:rsid w:val="003850B0"/>
    <w:rsid w:val="00392408"/>
    <w:rsid w:val="00396660"/>
    <w:rsid w:val="003A16B0"/>
    <w:rsid w:val="003B4592"/>
    <w:rsid w:val="003B5B6D"/>
    <w:rsid w:val="003D1F94"/>
    <w:rsid w:val="003D3D27"/>
    <w:rsid w:val="003F1249"/>
    <w:rsid w:val="0041304F"/>
    <w:rsid w:val="00420FD5"/>
    <w:rsid w:val="00432A16"/>
    <w:rsid w:val="00440767"/>
    <w:rsid w:val="00440F7A"/>
    <w:rsid w:val="00445D61"/>
    <w:rsid w:val="00451D81"/>
    <w:rsid w:val="004613DB"/>
    <w:rsid w:val="00476B3B"/>
    <w:rsid w:val="004962ED"/>
    <w:rsid w:val="004A1C94"/>
    <w:rsid w:val="004B1110"/>
    <w:rsid w:val="004B2938"/>
    <w:rsid w:val="004B2DAC"/>
    <w:rsid w:val="004B54D8"/>
    <w:rsid w:val="004B5CC1"/>
    <w:rsid w:val="004E0380"/>
    <w:rsid w:val="004E14B5"/>
    <w:rsid w:val="004E2952"/>
    <w:rsid w:val="004F2C56"/>
    <w:rsid w:val="00505336"/>
    <w:rsid w:val="00531516"/>
    <w:rsid w:val="00531E5F"/>
    <w:rsid w:val="00543CFC"/>
    <w:rsid w:val="00556C03"/>
    <w:rsid w:val="0057402A"/>
    <w:rsid w:val="00576FDA"/>
    <w:rsid w:val="00581C22"/>
    <w:rsid w:val="005836D7"/>
    <w:rsid w:val="0058424B"/>
    <w:rsid w:val="00592FB2"/>
    <w:rsid w:val="005A235D"/>
    <w:rsid w:val="005A3319"/>
    <w:rsid w:val="005A5D48"/>
    <w:rsid w:val="005B124D"/>
    <w:rsid w:val="005B1EAC"/>
    <w:rsid w:val="005C0731"/>
    <w:rsid w:val="005D089E"/>
    <w:rsid w:val="005E0488"/>
    <w:rsid w:val="005F25D0"/>
    <w:rsid w:val="00612C4E"/>
    <w:rsid w:val="0061575C"/>
    <w:rsid w:val="00626903"/>
    <w:rsid w:val="00635C18"/>
    <w:rsid w:val="00684359"/>
    <w:rsid w:val="00686E85"/>
    <w:rsid w:val="00697B9C"/>
    <w:rsid w:val="006C2F93"/>
    <w:rsid w:val="006C6F1A"/>
    <w:rsid w:val="006D1583"/>
    <w:rsid w:val="006E5B5C"/>
    <w:rsid w:val="007027C6"/>
    <w:rsid w:val="00704D26"/>
    <w:rsid w:val="007060D1"/>
    <w:rsid w:val="00734C91"/>
    <w:rsid w:val="007404E1"/>
    <w:rsid w:val="007564F4"/>
    <w:rsid w:val="00771DB3"/>
    <w:rsid w:val="00790F53"/>
    <w:rsid w:val="007A0BBB"/>
    <w:rsid w:val="007A0D81"/>
    <w:rsid w:val="007A1FDD"/>
    <w:rsid w:val="007B45E1"/>
    <w:rsid w:val="007B49FD"/>
    <w:rsid w:val="007B5F26"/>
    <w:rsid w:val="007C0BA4"/>
    <w:rsid w:val="007C4824"/>
    <w:rsid w:val="007E184F"/>
    <w:rsid w:val="007E7B8C"/>
    <w:rsid w:val="007F728D"/>
    <w:rsid w:val="00827C09"/>
    <w:rsid w:val="00836126"/>
    <w:rsid w:val="008407CD"/>
    <w:rsid w:val="00846551"/>
    <w:rsid w:val="00852444"/>
    <w:rsid w:val="00857FA4"/>
    <w:rsid w:val="008724E6"/>
    <w:rsid w:val="00881ABF"/>
    <w:rsid w:val="00890295"/>
    <w:rsid w:val="008D0467"/>
    <w:rsid w:val="008D4633"/>
    <w:rsid w:val="008E11D3"/>
    <w:rsid w:val="008E4C06"/>
    <w:rsid w:val="009007B5"/>
    <w:rsid w:val="00906433"/>
    <w:rsid w:val="009256EA"/>
    <w:rsid w:val="009426B4"/>
    <w:rsid w:val="009436AD"/>
    <w:rsid w:val="00977220"/>
    <w:rsid w:val="00977CC8"/>
    <w:rsid w:val="00983FF5"/>
    <w:rsid w:val="009A4357"/>
    <w:rsid w:val="009B4C49"/>
    <w:rsid w:val="009E4714"/>
    <w:rsid w:val="009E7A79"/>
    <w:rsid w:val="00A13F83"/>
    <w:rsid w:val="00A25C7F"/>
    <w:rsid w:val="00A34374"/>
    <w:rsid w:val="00A43A30"/>
    <w:rsid w:val="00A46BFA"/>
    <w:rsid w:val="00A52952"/>
    <w:rsid w:val="00A542DB"/>
    <w:rsid w:val="00A57562"/>
    <w:rsid w:val="00A627E1"/>
    <w:rsid w:val="00A775DE"/>
    <w:rsid w:val="00A93FC5"/>
    <w:rsid w:val="00AA246D"/>
    <w:rsid w:val="00AB3B43"/>
    <w:rsid w:val="00AB507B"/>
    <w:rsid w:val="00AC71F0"/>
    <w:rsid w:val="00AD7271"/>
    <w:rsid w:val="00AE6AC1"/>
    <w:rsid w:val="00AE7157"/>
    <w:rsid w:val="00AF25C6"/>
    <w:rsid w:val="00AF4DCC"/>
    <w:rsid w:val="00B01142"/>
    <w:rsid w:val="00B020B1"/>
    <w:rsid w:val="00B10672"/>
    <w:rsid w:val="00B26431"/>
    <w:rsid w:val="00B264C2"/>
    <w:rsid w:val="00B45B7A"/>
    <w:rsid w:val="00B6609F"/>
    <w:rsid w:val="00B77C75"/>
    <w:rsid w:val="00B80A6C"/>
    <w:rsid w:val="00B80BB3"/>
    <w:rsid w:val="00B83CF3"/>
    <w:rsid w:val="00B926F4"/>
    <w:rsid w:val="00B93A20"/>
    <w:rsid w:val="00B96365"/>
    <w:rsid w:val="00B97E68"/>
    <w:rsid w:val="00BA5F5A"/>
    <w:rsid w:val="00BA5FE2"/>
    <w:rsid w:val="00BB2C55"/>
    <w:rsid w:val="00BC7267"/>
    <w:rsid w:val="00BF1934"/>
    <w:rsid w:val="00BF56B4"/>
    <w:rsid w:val="00C04F39"/>
    <w:rsid w:val="00C10789"/>
    <w:rsid w:val="00C137AE"/>
    <w:rsid w:val="00C32902"/>
    <w:rsid w:val="00C32FA8"/>
    <w:rsid w:val="00C41E41"/>
    <w:rsid w:val="00C43FF8"/>
    <w:rsid w:val="00C60B42"/>
    <w:rsid w:val="00C90392"/>
    <w:rsid w:val="00C91C6E"/>
    <w:rsid w:val="00C9206D"/>
    <w:rsid w:val="00C96B24"/>
    <w:rsid w:val="00CA2FE9"/>
    <w:rsid w:val="00CA3AF4"/>
    <w:rsid w:val="00CA686D"/>
    <w:rsid w:val="00CB3648"/>
    <w:rsid w:val="00CC0341"/>
    <w:rsid w:val="00CC7F73"/>
    <w:rsid w:val="00CD1285"/>
    <w:rsid w:val="00CD2ABC"/>
    <w:rsid w:val="00D019D1"/>
    <w:rsid w:val="00D0364F"/>
    <w:rsid w:val="00D10C94"/>
    <w:rsid w:val="00D15E34"/>
    <w:rsid w:val="00D25D19"/>
    <w:rsid w:val="00D50B86"/>
    <w:rsid w:val="00D57930"/>
    <w:rsid w:val="00D7113F"/>
    <w:rsid w:val="00D7156E"/>
    <w:rsid w:val="00D738A2"/>
    <w:rsid w:val="00D77EC5"/>
    <w:rsid w:val="00D94DF7"/>
    <w:rsid w:val="00DA2DBE"/>
    <w:rsid w:val="00DA60DC"/>
    <w:rsid w:val="00DA6B88"/>
    <w:rsid w:val="00DC57CE"/>
    <w:rsid w:val="00DE0816"/>
    <w:rsid w:val="00DE1B08"/>
    <w:rsid w:val="00DE4090"/>
    <w:rsid w:val="00DF7895"/>
    <w:rsid w:val="00E220D9"/>
    <w:rsid w:val="00E413B1"/>
    <w:rsid w:val="00E42BFD"/>
    <w:rsid w:val="00E44410"/>
    <w:rsid w:val="00E832BC"/>
    <w:rsid w:val="00EB3398"/>
    <w:rsid w:val="00EB66CF"/>
    <w:rsid w:val="00EC0C57"/>
    <w:rsid w:val="00EC277D"/>
    <w:rsid w:val="00EC27F5"/>
    <w:rsid w:val="00EC7528"/>
    <w:rsid w:val="00ED25DB"/>
    <w:rsid w:val="00EE4CD0"/>
    <w:rsid w:val="00EF390D"/>
    <w:rsid w:val="00F12E9F"/>
    <w:rsid w:val="00F202A8"/>
    <w:rsid w:val="00F21360"/>
    <w:rsid w:val="00F37C1F"/>
    <w:rsid w:val="00F4389D"/>
    <w:rsid w:val="00F52E95"/>
    <w:rsid w:val="00F61F2E"/>
    <w:rsid w:val="00F71E44"/>
    <w:rsid w:val="00F741F0"/>
    <w:rsid w:val="00F82349"/>
    <w:rsid w:val="00F84A64"/>
    <w:rsid w:val="00F9160B"/>
    <w:rsid w:val="00F91DD9"/>
    <w:rsid w:val="00FA2247"/>
    <w:rsid w:val="00FB2FA8"/>
    <w:rsid w:val="00FB4833"/>
    <w:rsid w:val="00FF08F7"/>
    <w:rsid w:val="00FF4801"/>
    <w:rsid w:val="1B57490E"/>
    <w:rsid w:val="2BCC44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41"/>
    <w:qFormat/>
    <w:uiPriority w:val="9"/>
    <w:pPr>
      <w:widowControl/>
      <w:spacing w:before="100" w:beforeAutospacing="1" w:after="100" w:afterAutospacing="1"/>
      <w:jc w:val="left"/>
      <w:outlineLvl w:val="2"/>
    </w:pPr>
    <w:rPr>
      <w:rFonts w:ascii="宋体" w:hAnsi="宋体"/>
      <w:b/>
      <w:bCs/>
      <w:kern w:val="0"/>
      <w:sz w:val="27"/>
      <w:szCs w:val="27"/>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53"/>
    <w:qFormat/>
    <w:uiPriority w:val="0"/>
    <w:rPr>
      <w:rFonts w:ascii="宋体"/>
      <w:sz w:val="18"/>
      <w:szCs w:val="18"/>
    </w:rPr>
  </w:style>
  <w:style w:type="paragraph" w:styleId="4">
    <w:name w:val="annotation text"/>
    <w:basedOn w:val="1"/>
    <w:link w:val="55"/>
    <w:qFormat/>
    <w:uiPriority w:val="0"/>
    <w:pPr>
      <w:jc w:val="left"/>
    </w:pPr>
  </w:style>
  <w:style w:type="paragraph" w:styleId="5">
    <w:name w:val="Body Text"/>
    <w:basedOn w:val="1"/>
    <w:link w:val="59"/>
    <w:qFormat/>
    <w:uiPriority w:val="0"/>
    <w:pPr>
      <w:ind w:left="116"/>
    </w:pPr>
    <w:rPr>
      <w:rFonts w:ascii="宋体" w:hAnsi="宋体"/>
      <w:szCs w:val="21"/>
    </w:rPr>
  </w:style>
  <w:style w:type="paragraph" w:styleId="6">
    <w:name w:val="Plain Text"/>
    <w:basedOn w:val="1"/>
    <w:link w:val="18"/>
    <w:qFormat/>
    <w:uiPriority w:val="0"/>
    <w:rPr>
      <w:rFonts w:ascii="宋体" w:hAnsi="Courier New" w:eastAsiaTheme="minorEastAsia" w:cstheme="minorBidi"/>
      <w:szCs w:val="21"/>
    </w:rPr>
  </w:style>
  <w:style w:type="paragraph" w:styleId="7">
    <w:name w:val="Date"/>
    <w:basedOn w:val="1"/>
    <w:next w:val="1"/>
    <w:link w:val="49"/>
    <w:qFormat/>
    <w:uiPriority w:val="0"/>
    <w:pPr>
      <w:ind w:left="100" w:leftChars="2500"/>
    </w:pPr>
  </w:style>
  <w:style w:type="paragraph" w:styleId="8">
    <w:name w:val="Balloon Text"/>
    <w:basedOn w:val="1"/>
    <w:link w:val="54"/>
    <w:qFormat/>
    <w:uiPriority w:val="0"/>
    <w:rPr>
      <w:sz w:val="18"/>
      <w:szCs w:val="18"/>
    </w:rPr>
  </w:style>
  <w:style w:type="paragraph" w:styleId="9">
    <w:name w:val="footer"/>
    <w:basedOn w:val="1"/>
    <w:link w:val="43"/>
    <w:qFormat/>
    <w:uiPriority w:val="99"/>
    <w:pPr>
      <w:tabs>
        <w:tab w:val="center" w:pos="4153"/>
        <w:tab w:val="right" w:pos="8306"/>
      </w:tabs>
      <w:snapToGrid w:val="0"/>
      <w:jc w:val="left"/>
    </w:pPr>
    <w:rPr>
      <w:sz w:val="18"/>
      <w:szCs w:val="18"/>
    </w:rPr>
  </w:style>
  <w:style w:type="paragraph" w:styleId="10">
    <w:name w:val="header"/>
    <w:basedOn w:val="1"/>
    <w:link w:val="42"/>
    <w:qFormat/>
    <w:uiPriority w:val="0"/>
    <w:pPr>
      <w:pBdr>
        <w:bottom w:val="single" w:color="auto" w:sz="6" w:space="1"/>
      </w:pBdr>
      <w:tabs>
        <w:tab w:val="center" w:pos="4153"/>
        <w:tab w:val="right" w:pos="8306"/>
      </w:tabs>
      <w:snapToGrid w:val="0"/>
      <w:jc w:val="center"/>
    </w:pPr>
    <w:rPr>
      <w:sz w:val="18"/>
      <w:szCs w:val="18"/>
    </w:rPr>
  </w:style>
  <w:style w:type="paragraph" w:styleId="11">
    <w:name w:val="annotation subject"/>
    <w:basedOn w:val="4"/>
    <w:next w:val="4"/>
    <w:link w:val="56"/>
    <w:qFormat/>
    <w:uiPriority w:val="0"/>
    <w:rPr>
      <w:b/>
      <w:bCs/>
    </w:rPr>
  </w:style>
  <w:style w:type="table" w:styleId="13">
    <w:name w:val="Table Grid"/>
    <w:basedOn w:val="12"/>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Emphasis"/>
    <w:qFormat/>
    <w:uiPriority w:val="20"/>
    <w:rPr>
      <w:i/>
      <w:iCs/>
    </w:rPr>
  </w:style>
  <w:style w:type="character" w:styleId="16">
    <w:name w:val="Hyperlink"/>
    <w:unhideWhenUsed/>
    <w:qFormat/>
    <w:uiPriority w:val="99"/>
    <w:rPr>
      <w:color w:val="0000FF"/>
      <w:u w:val="single"/>
    </w:rPr>
  </w:style>
  <w:style w:type="character" w:styleId="17">
    <w:name w:val="annotation reference"/>
    <w:qFormat/>
    <w:uiPriority w:val="0"/>
    <w:rPr>
      <w:sz w:val="21"/>
      <w:szCs w:val="21"/>
    </w:rPr>
  </w:style>
  <w:style w:type="character" w:customStyle="1" w:styleId="18">
    <w:name w:val="纯文本 Char"/>
    <w:link w:val="6"/>
    <w:qFormat/>
    <w:locked/>
    <w:uiPriority w:val="0"/>
    <w:rPr>
      <w:rFonts w:ascii="宋体" w:hAnsi="Courier New"/>
      <w:szCs w:val="21"/>
    </w:rPr>
  </w:style>
  <w:style w:type="character" w:customStyle="1" w:styleId="19">
    <w:name w:val="纯文本 Char1"/>
    <w:basedOn w:val="14"/>
    <w:semiHidden/>
    <w:qFormat/>
    <w:uiPriority w:val="99"/>
    <w:rPr>
      <w:rFonts w:ascii="宋体" w:hAnsi="Courier New" w:eastAsia="宋体" w:cs="Courier New"/>
      <w:szCs w:val="21"/>
    </w:rPr>
  </w:style>
  <w:style w:type="paragraph" w:customStyle="1" w:styleId="2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kern w:val="0"/>
      <w:sz w:val="21"/>
      <w:szCs w:val="21"/>
      <w:lang w:val="en-US" w:eastAsia="zh-CN" w:bidi="ar-SA"/>
    </w:rPr>
  </w:style>
  <w:style w:type="paragraph" w:customStyle="1" w:styleId="21">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kern w:val="0"/>
      <w:sz w:val="28"/>
      <w:szCs w:val="28"/>
      <w:lang w:val="en-US" w:eastAsia="zh-CN" w:bidi="ar-SA"/>
    </w:rPr>
  </w:style>
  <w:style w:type="character" w:customStyle="1" w:styleId="22">
    <w:name w:val="发布"/>
    <w:qFormat/>
    <w:uiPriority w:val="0"/>
    <w:rPr>
      <w:rFonts w:ascii="黑体" w:eastAsia="黑体"/>
      <w:spacing w:val="85"/>
      <w:w w:val="100"/>
      <w:position w:val="3"/>
      <w:sz w:val="28"/>
      <w:szCs w:val="28"/>
    </w:rPr>
  </w:style>
  <w:style w:type="character" w:customStyle="1" w:styleId="23">
    <w:name w:val="段 Char"/>
    <w:link w:val="24"/>
    <w:qFormat/>
    <w:uiPriority w:val="0"/>
    <w:rPr>
      <w:rFonts w:ascii="宋体"/>
    </w:rPr>
  </w:style>
  <w:style w:type="paragraph" w:customStyle="1" w:styleId="24">
    <w:name w:val="段"/>
    <w:link w:val="23"/>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customStyle="1" w:styleId="25">
    <w:name w:val="封面一致性程度标识"/>
    <w:basedOn w:val="1"/>
    <w:qFormat/>
    <w:uiPriority w:val="0"/>
    <w:pPr>
      <w:framePr w:w="9639" w:h="6917" w:hRule="exact" w:wrap="around" w:vAnchor="page" w:hAnchor="page" w:xAlign="center" w:y="6408" w:anchorLock="1"/>
      <w:spacing w:before="440" w:line="400" w:lineRule="exact"/>
      <w:jc w:val="center"/>
      <w:textAlignment w:val="center"/>
    </w:pPr>
    <w:rPr>
      <w:rFonts w:ascii="宋体"/>
      <w:kern w:val="0"/>
      <w:sz w:val="28"/>
      <w:szCs w:val="28"/>
    </w:rPr>
  </w:style>
  <w:style w:type="paragraph" w:customStyle="1" w:styleId="26">
    <w:name w:val="封面标准文稿编辑信息"/>
    <w:basedOn w:val="27"/>
    <w:qFormat/>
    <w:uiPriority w:val="0"/>
    <w:pPr>
      <w:spacing w:before="180" w:line="180" w:lineRule="exact"/>
    </w:pPr>
    <w:rPr>
      <w:sz w:val="21"/>
    </w:rPr>
  </w:style>
  <w:style w:type="paragraph" w:customStyle="1" w:styleId="27">
    <w:name w:val="封面标准文稿类别"/>
    <w:basedOn w:val="25"/>
    <w:qFormat/>
    <w:uiPriority w:val="0"/>
    <w:pPr>
      <w:spacing w:after="160" w:line="240" w:lineRule="auto"/>
    </w:pPr>
    <w:rPr>
      <w:sz w:val="24"/>
    </w:rPr>
  </w:style>
  <w:style w:type="paragraph" w:customStyle="1" w:styleId="28">
    <w:name w:val="其他发布日期"/>
    <w:basedOn w:val="1"/>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29">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30">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31">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kern w:val="0"/>
      <w:sz w:val="21"/>
      <w:szCs w:val="21"/>
      <w:lang w:val="en-US" w:eastAsia="zh-CN" w:bidi="ar-SA"/>
    </w:rPr>
  </w:style>
  <w:style w:type="paragraph" w:customStyle="1" w:styleId="32">
    <w:name w:val="其他实施日期"/>
    <w:basedOn w:val="1"/>
    <w:qFormat/>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33">
    <w:name w:val="目次、标准名称标题"/>
    <w:basedOn w:val="1"/>
    <w:next w:val="24"/>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4">
    <w:name w:val="一级条标题"/>
    <w:next w:val="24"/>
    <w:uiPriority w:val="0"/>
    <w:pPr>
      <w:numPr>
        <w:ilvl w:val="1"/>
        <w:numId w:val="1"/>
      </w:numPr>
      <w:spacing w:beforeLines="50" w:afterLines="50"/>
      <w:outlineLvl w:val="2"/>
    </w:pPr>
    <w:rPr>
      <w:rFonts w:ascii="黑体" w:hAnsi="Times New Roman" w:eastAsia="黑体" w:cs="Times New Roman"/>
      <w:kern w:val="0"/>
      <w:sz w:val="21"/>
      <w:szCs w:val="21"/>
      <w:lang w:val="en-US" w:eastAsia="zh-CN" w:bidi="ar-SA"/>
    </w:rPr>
  </w:style>
  <w:style w:type="paragraph" w:customStyle="1" w:styleId="35">
    <w:name w:val="章标题"/>
    <w:next w:val="24"/>
    <w:qFormat/>
    <w:uiPriority w:val="0"/>
    <w:pPr>
      <w:numPr>
        <w:ilvl w:val="0"/>
        <w:numId w:val="1"/>
      </w:numPr>
      <w:spacing w:beforeLines="100" w:afterLines="100"/>
      <w:jc w:val="both"/>
      <w:outlineLvl w:val="1"/>
    </w:pPr>
    <w:rPr>
      <w:rFonts w:ascii="黑体" w:hAnsi="Times New Roman" w:eastAsia="黑体" w:cs="Times New Roman"/>
      <w:kern w:val="0"/>
      <w:sz w:val="21"/>
      <w:szCs w:val="20"/>
      <w:lang w:val="en-US" w:eastAsia="zh-CN" w:bidi="ar-SA"/>
    </w:rPr>
  </w:style>
  <w:style w:type="paragraph" w:customStyle="1" w:styleId="36">
    <w:name w:val="二级条标题"/>
    <w:basedOn w:val="34"/>
    <w:next w:val="24"/>
    <w:qFormat/>
    <w:uiPriority w:val="0"/>
    <w:pPr>
      <w:numPr>
        <w:ilvl w:val="2"/>
      </w:numPr>
      <w:spacing w:before="50" w:after="50"/>
      <w:outlineLvl w:val="3"/>
    </w:pPr>
  </w:style>
  <w:style w:type="paragraph" w:customStyle="1" w:styleId="37">
    <w:name w:val="三级条标题"/>
    <w:basedOn w:val="36"/>
    <w:next w:val="24"/>
    <w:qFormat/>
    <w:uiPriority w:val="0"/>
    <w:pPr>
      <w:numPr>
        <w:ilvl w:val="3"/>
      </w:numPr>
      <w:outlineLvl w:val="4"/>
    </w:pPr>
  </w:style>
  <w:style w:type="paragraph" w:customStyle="1" w:styleId="38">
    <w:name w:val="四级条标题"/>
    <w:basedOn w:val="37"/>
    <w:next w:val="24"/>
    <w:qFormat/>
    <w:uiPriority w:val="0"/>
    <w:pPr>
      <w:numPr>
        <w:ilvl w:val="4"/>
      </w:numPr>
      <w:outlineLvl w:val="5"/>
    </w:pPr>
  </w:style>
  <w:style w:type="paragraph" w:customStyle="1" w:styleId="39">
    <w:name w:val="五级条标题"/>
    <w:basedOn w:val="38"/>
    <w:next w:val="24"/>
    <w:qFormat/>
    <w:uiPriority w:val="0"/>
    <w:pPr>
      <w:numPr>
        <w:ilvl w:val="5"/>
      </w:numPr>
      <w:outlineLvl w:val="6"/>
    </w:pPr>
  </w:style>
  <w:style w:type="paragraph"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1">
    <w:name w:val="标题 3 Char"/>
    <w:basedOn w:val="14"/>
    <w:link w:val="2"/>
    <w:qFormat/>
    <w:uiPriority w:val="9"/>
    <w:rPr>
      <w:rFonts w:ascii="宋体" w:hAnsi="宋体" w:eastAsia="宋体" w:cs="Times New Roman"/>
      <w:b/>
      <w:bCs/>
      <w:kern w:val="0"/>
      <w:sz w:val="27"/>
      <w:szCs w:val="27"/>
    </w:rPr>
  </w:style>
  <w:style w:type="character" w:customStyle="1" w:styleId="42">
    <w:name w:val="页眉 Char"/>
    <w:basedOn w:val="14"/>
    <w:link w:val="10"/>
    <w:qFormat/>
    <w:uiPriority w:val="0"/>
    <w:rPr>
      <w:rFonts w:ascii="Times New Roman" w:hAnsi="Times New Roman" w:eastAsia="宋体" w:cs="Times New Roman"/>
      <w:sz w:val="18"/>
      <w:szCs w:val="18"/>
    </w:rPr>
  </w:style>
  <w:style w:type="character" w:customStyle="1" w:styleId="43">
    <w:name w:val="页脚 Char"/>
    <w:basedOn w:val="14"/>
    <w:link w:val="9"/>
    <w:uiPriority w:val="99"/>
    <w:rPr>
      <w:rFonts w:ascii="Times New Roman" w:hAnsi="Times New Roman" w:eastAsia="宋体" w:cs="Times New Roman"/>
      <w:sz w:val="18"/>
      <w:szCs w:val="18"/>
    </w:rPr>
  </w:style>
  <w:style w:type="paragraph" w:customStyle="1" w:styleId="44">
    <w:name w:val="附录公式编号制表符"/>
    <w:basedOn w:val="1"/>
    <w:next w:val="24"/>
    <w:qFormat/>
    <w:uiPriority w:val="0"/>
    <w:pPr>
      <w:widowControl/>
      <w:tabs>
        <w:tab w:val="center" w:pos="4201"/>
        <w:tab w:val="right" w:leader="dot" w:pos="9298"/>
      </w:tabs>
      <w:autoSpaceDE w:val="0"/>
      <w:autoSpaceDN w:val="0"/>
    </w:pPr>
    <w:rPr>
      <w:rFonts w:ascii="宋体"/>
      <w:kern w:val="0"/>
      <w:szCs w:val="20"/>
    </w:rPr>
  </w:style>
  <w:style w:type="paragraph" w:customStyle="1" w:styleId="45">
    <w:name w:val="附录章标题"/>
    <w:next w:val="24"/>
    <w:uiPriority w:val="0"/>
    <w:pPr>
      <w:wordWrap w:val="0"/>
      <w:overflowPunct w:val="0"/>
      <w:autoSpaceDE w:val="0"/>
      <w:spacing w:beforeLines="100" w:afterLines="10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46">
    <w:name w:val="标准书脚_奇数页"/>
    <w:uiPriority w:val="0"/>
    <w:pPr>
      <w:spacing w:before="120"/>
      <w:ind w:right="198"/>
      <w:jc w:val="right"/>
    </w:pPr>
    <w:rPr>
      <w:rFonts w:ascii="宋体" w:hAnsi="Times New Roman" w:eastAsia="宋体" w:cs="Times New Roman"/>
      <w:kern w:val="0"/>
      <w:sz w:val="18"/>
      <w:szCs w:val="18"/>
      <w:lang w:val="en-US" w:eastAsia="zh-CN" w:bidi="ar-SA"/>
    </w:rPr>
  </w:style>
  <w:style w:type="paragraph" w:customStyle="1" w:styleId="47">
    <w:name w:val="附录标识"/>
    <w:basedOn w:val="1"/>
    <w:next w:val="24"/>
    <w:uiPriority w:val="0"/>
    <w:pPr>
      <w:keepNext/>
      <w:widowControl/>
      <w:shd w:val="clear" w:color="FFFFFF" w:fill="FFFFFF"/>
      <w:tabs>
        <w:tab w:val="left" w:pos="6405"/>
      </w:tabs>
      <w:spacing w:before="640" w:after="280"/>
      <w:jc w:val="center"/>
      <w:outlineLvl w:val="0"/>
    </w:pPr>
    <w:rPr>
      <w:rFonts w:ascii="黑体" w:eastAsia="黑体"/>
      <w:kern w:val="0"/>
      <w:szCs w:val="20"/>
    </w:rPr>
  </w:style>
  <w:style w:type="paragraph" w:customStyle="1" w:styleId="48">
    <w:name w:val="Defaul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character" w:customStyle="1" w:styleId="49">
    <w:name w:val="日期 Char"/>
    <w:basedOn w:val="14"/>
    <w:link w:val="7"/>
    <w:uiPriority w:val="0"/>
    <w:rPr>
      <w:rFonts w:ascii="Times New Roman" w:hAnsi="Times New Roman" w:eastAsia="宋体" w:cs="Times New Roman"/>
      <w:szCs w:val="24"/>
    </w:rPr>
  </w:style>
  <w:style w:type="character" w:customStyle="1" w:styleId="50">
    <w:name w:val="条文 Char"/>
    <w:link w:val="51"/>
    <w:qFormat/>
    <w:uiPriority w:val="0"/>
    <w:rPr>
      <w:szCs w:val="24"/>
    </w:rPr>
  </w:style>
  <w:style w:type="paragraph" w:customStyle="1" w:styleId="51">
    <w:name w:val="条文"/>
    <w:basedOn w:val="1"/>
    <w:link w:val="50"/>
    <w:qFormat/>
    <w:uiPriority w:val="0"/>
    <w:pPr>
      <w:spacing w:line="300" w:lineRule="auto"/>
      <w:outlineLvl w:val="2"/>
    </w:pPr>
    <w:rPr>
      <w:rFonts w:asciiTheme="minorHAnsi" w:hAnsiTheme="minorHAnsi" w:eastAsiaTheme="minorEastAsia" w:cstheme="minorBidi"/>
    </w:rPr>
  </w:style>
  <w:style w:type="paragraph" w:customStyle="1" w:styleId="52">
    <w:name w:val="图表脚注说明"/>
    <w:basedOn w:val="1"/>
    <w:uiPriority w:val="0"/>
    <w:pPr>
      <w:ind w:left="544" w:hanging="181"/>
    </w:pPr>
    <w:rPr>
      <w:rFonts w:ascii="宋体"/>
      <w:sz w:val="18"/>
      <w:szCs w:val="18"/>
    </w:rPr>
  </w:style>
  <w:style w:type="character" w:customStyle="1" w:styleId="53">
    <w:name w:val="文档结构图 Char"/>
    <w:basedOn w:val="14"/>
    <w:link w:val="3"/>
    <w:uiPriority w:val="0"/>
    <w:rPr>
      <w:rFonts w:ascii="宋体" w:hAnsi="Times New Roman" w:eastAsia="宋体" w:cs="Times New Roman"/>
      <w:sz w:val="18"/>
      <w:szCs w:val="18"/>
    </w:rPr>
  </w:style>
  <w:style w:type="character" w:customStyle="1" w:styleId="54">
    <w:name w:val="批注框文本 Char"/>
    <w:basedOn w:val="14"/>
    <w:link w:val="8"/>
    <w:qFormat/>
    <w:uiPriority w:val="0"/>
    <w:rPr>
      <w:rFonts w:ascii="Times New Roman" w:hAnsi="Times New Roman" w:eastAsia="宋体" w:cs="Times New Roman"/>
      <w:sz w:val="18"/>
      <w:szCs w:val="18"/>
    </w:rPr>
  </w:style>
  <w:style w:type="character" w:customStyle="1" w:styleId="55">
    <w:name w:val="批注文字 Char"/>
    <w:basedOn w:val="14"/>
    <w:link w:val="4"/>
    <w:qFormat/>
    <w:uiPriority w:val="0"/>
    <w:rPr>
      <w:rFonts w:ascii="Times New Roman" w:hAnsi="Times New Roman" w:eastAsia="宋体" w:cs="Times New Roman"/>
      <w:szCs w:val="24"/>
    </w:rPr>
  </w:style>
  <w:style w:type="character" w:customStyle="1" w:styleId="56">
    <w:name w:val="批注主题 Char"/>
    <w:basedOn w:val="55"/>
    <w:link w:val="11"/>
    <w:qFormat/>
    <w:uiPriority w:val="0"/>
    <w:rPr>
      <w:rFonts w:ascii="Times New Roman" w:hAnsi="Times New Roman" w:eastAsia="宋体" w:cs="Times New Roman"/>
      <w:b/>
      <w:bCs/>
      <w:szCs w:val="24"/>
    </w:rPr>
  </w:style>
  <w:style w:type="paragraph" w:customStyle="1" w:styleId="57">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58">
    <w:name w:val="标准书眉_奇数页"/>
    <w:next w:val="1"/>
    <w:qFormat/>
    <w:uiPriority w:val="0"/>
    <w:pPr>
      <w:tabs>
        <w:tab w:val="center" w:pos="4154"/>
        <w:tab w:val="right" w:pos="8306"/>
      </w:tabs>
      <w:spacing w:after="220"/>
      <w:jc w:val="right"/>
    </w:pPr>
    <w:rPr>
      <w:rFonts w:ascii="黑体" w:hAnsi="Times New Roman" w:eastAsia="黑体" w:cs="Times New Roman"/>
      <w:kern w:val="0"/>
      <w:sz w:val="21"/>
      <w:szCs w:val="21"/>
      <w:lang w:val="en-US" w:eastAsia="zh-CN" w:bidi="ar-SA"/>
    </w:rPr>
  </w:style>
  <w:style w:type="character" w:customStyle="1" w:styleId="59">
    <w:name w:val="正文文本 Char"/>
    <w:basedOn w:val="14"/>
    <w:link w:val="5"/>
    <w:qFormat/>
    <w:uiPriority w:val="0"/>
    <w:rPr>
      <w:rFonts w:ascii="宋体" w:hAnsi="宋体" w:eastAsia="宋体" w:cs="Times New Roman"/>
      <w:szCs w:val="21"/>
    </w:rPr>
  </w:style>
  <w:style w:type="paragraph" w:customStyle="1" w:styleId="60">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w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www.win8ghost.com</Company>
  <Pages>9</Pages>
  <Words>870</Words>
  <Characters>4963</Characters>
  <Lines>41</Lines>
  <Paragraphs>11</Paragraphs>
  <TotalTime>387</TotalTime>
  <ScaleCrop>false</ScaleCrop>
  <LinksUpToDate>false</LinksUpToDate>
  <CharactersWithSpaces>5822</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2020-05-22T00:33:00Z</dcterms:created>
  <dc:creator>Microsoft</dc:creator>
  <cp:lastModifiedBy>悠哈</cp:lastModifiedBy>
  <cp:lastPrinted>2019-11-17T02:03:00Z</cp:lastPrinted>
  <dcterms:modified xsi:type="dcterms:W3CDTF">2020-06-03T02:09:03Z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