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公共机构建筑空调系统节能改造技术规程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公共机构建筑空调系统节能改造技术规程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r>
        <w:rPr>
          <w:rFonts w:hint="eastAsia"/>
        </w:rPr>
        <w:t>联系人：朱晓姣1</w:t>
      </w:r>
      <w:r>
        <w:t>8618467793</w:t>
      </w:r>
      <w:r>
        <w:rPr>
          <w:rFonts w:hint="eastAsia"/>
        </w:rPr>
        <w:t>、柳松1</w:t>
      </w:r>
      <w:r>
        <w:t>3581614294</w:t>
      </w:r>
    </w:p>
    <w:p>
      <w:pPr>
        <w:rPr>
          <w:rFonts w:hint="eastAsia"/>
        </w:rPr>
      </w:pPr>
      <w:r>
        <w:rPr>
          <w:rFonts w:hint="eastAsia"/>
        </w:rPr>
        <w:t>邮箱： zxjoyce@163.com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5CEE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2F8B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F75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AB8"/>
    <w:rsid w:val="00AD2443"/>
    <w:rsid w:val="00AD4044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36EC6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4B3D96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181</Characters>
  <Lines>1</Lines>
  <Paragraphs>1</Paragraphs>
  <TotalTime>0</TotalTime>
  <ScaleCrop>false</ScaleCrop>
  <LinksUpToDate>false</LinksUpToDate>
  <CharactersWithSpaces>211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2020-09-15T01:24:34Z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