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华文仿宋" w:cs="Times New Roman"/>
          <w:color w:val="000000" w:themeColor="text1"/>
          <w:highlight w:val="none"/>
          <w14:textFill>
            <w14:solidFill>
              <w14:schemeClr w14:val="tx1"/>
            </w14:solidFill>
          </w14:textFill>
        </w:rPr>
      </w:pPr>
      <w:bookmarkStart w:id="0" w:name="_Toc278960335"/>
      <w:bookmarkStart w:id="142" w:name="_GoBack"/>
      <w:r>
        <w:rPr>
          <w:rFonts w:ascii="Times New Roman" w:hAnsi="Times New Roman" w:eastAsia="华文仿宋" w:cs="Times New Roman"/>
          <w:color w:val="000000" w:themeColor="text1"/>
          <w:sz w:val="96"/>
          <w:szCs w:val="96"/>
          <w:highlight w:val="none"/>
          <w14:textFill>
            <w14:solidFill>
              <w14:schemeClr w14:val="tx1"/>
            </w14:solidFill>
          </w14:textFill>
        </w:rPr>
        <w:t xml:space="preserve">CECS          </w:t>
      </w:r>
      <w:r>
        <w:rPr>
          <w:rFonts w:ascii="Times New Roman" w:hAnsi="Times New Roman" w:eastAsia="华文仿宋" w:cs="Times New Roman"/>
          <w:color w:val="000000" w:themeColor="text1"/>
          <w:sz w:val="36"/>
          <w:szCs w:val="36"/>
          <w:highlight w:val="none"/>
          <w14:textFill>
            <w14:solidFill>
              <w14:schemeClr w14:val="tx1"/>
            </w14:solidFill>
          </w14:textFill>
        </w:rPr>
        <w:t>CECS×××</w:t>
      </w:r>
      <w:bookmarkEnd w:id="0"/>
    </w:p>
    <w:p>
      <w:pPr>
        <w:spacing w:line="360" w:lineRule="auto"/>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sz w:val="20"/>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98425</wp:posOffset>
                </wp:positionV>
                <wp:extent cx="5143500" cy="0"/>
                <wp:effectExtent l="0" t="0" r="0" b="0"/>
                <wp:wrapNone/>
                <wp:docPr id="1" name="直线 81"/>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直线 81" o:spid="_x0000_s1026" o:spt="20" style="position:absolute;left:0pt;margin-left:0pt;margin-top:7.75pt;height:0pt;width:405pt;z-index:251659264;mso-width-relative:page;mso-height-relative:page;" filled="f" stroked="t" coordsize="21600,21600" o:gfxdata="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PD4Mx0gAAAAYBAAAPAAAAAAAAAAEAIAAAACIAAABkcnMvZG93bnJldi54bWxQSwECFAAUAAAA&#10;CACHTuJA978G67sBAABUAwAADgAAAAAAAAABACAAAAAhAQAAZHJzL2Uyb0RvYy54bWxQSwUGAAAA&#10;AAYABgBZAQAATgUAAAAA&#10;">
                <v:fill on="f" focussize="0,0"/>
                <v:stroke color="#000000" joinstyle="round"/>
                <v:imagedata o:title=""/>
                <o:lock v:ext="edit" aspectratio="f"/>
              </v:line>
            </w:pict>
          </mc:Fallback>
        </mc:AlternateContent>
      </w: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b/>
          <w:bCs/>
          <w:color w:val="000000" w:themeColor="text1"/>
          <w:sz w:val="48"/>
          <w:szCs w:val="24"/>
          <w:highlight w:val="none"/>
          <w14:textFill>
            <w14:solidFill>
              <w14:schemeClr w14:val="tx1"/>
            </w14:solidFill>
          </w14:textFill>
        </w:rPr>
      </w:pPr>
      <w:r>
        <w:rPr>
          <w:rFonts w:ascii="Times New Roman" w:hAnsi="Times New Roman" w:cs="Times New Roman"/>
          <w:color w:val="000000" w:themeColor="text1"/>
          <w:sz w:val="32"/>
          <w:szCs w:val="24"/>
          <w:highlight w:val="none"/>
          <w14:textFill>
            <w14:solidFill>
              <w14:schemeClr w14:val="tx1"/>
            </w14:solidFill>
          </w14:textFill>
        </w:rPr>
        <w:t>中国工程建设标准化协会标准</w:t>
      </w:r>
    </w:p>
    <w:p>
      <w:pPr>
        <w:pStyle w:val="84"/>
        <w:rPr>
          <w:rFonts w:eastAsia="宋体"/>
          <w:color w:val="000000" w:themeColor="text1"/>
          <w:highlight w:val="none"/>
          <w14:textFill>
            <w14:solidFill>
              <w14:schemeClr w14:val="tx1"/>
            </w14:solidFill>
          </w14:textFill>
        </w:rPr>
      </w:pPr>
    </w:p>
    <w:p>
      <w:pPr>
        <w:pStyle w:val="84"/>
        <w:rPr>
          <w:rFonts w:eastAsia="宋体"/>
          <w:color w:val="000000" w:themeColor="text1"/>
          <w:highlight w:val="none"/>
          <w14:textFill>
            <w14:solidFill>
              <w14:schemeClr w14:val="tx1"/>
            </w14:solidFill>
          </w14:textFill>
        </w:rPr>
      </w:pPr>
    </w:p>
    <w:p>
      <w:pPr>
        <w:pStyle w:val="85"/>
        <w:rPr>
          <w:rFonts w:eastAsia="宋体"/>
          <w:color w:val="000000" w:themeColor="text1"/>
          <w:highlight w:val="none"/>
          <w14:textFill>
            <w14:solidFill>
              <w14:schemeClr w14:val="tx1"/>
            </w14:solidFill>
          </w14:textFill>
        </w:rPr>
      </w:pPr>
    </w:p>
    <w:p>
      <w:pPr>
        <w:pStyle w:val="8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几何量测量实验室工程技术规程</w:t>
      </w:r>
    </w:p>
    <w:p>
      <w:pPr>
        <w:pStyle w:val="83"/>
        <w:rPr>
          <w:rFonts w:eastAsia="宋体"/>
          <w:color w:val="000000" w:themeColor="text1"/>
          <w:sz w:val="28"/>
          <w:szCs w:val="28"/>
          <w:highlight w:val="none"/>
          <w:lang w:val="fr-FR"/>
          <w14:textFill>
            <w14:solidFill>
              <w14:schemeClr w14:val="tx1"/>
            </w14:solidFill>
          </w14:textFill>
        </w:rPr>
      </w:pPr>
      <w:r>
        <w:rPr>
          <w:rFonts w:eastAsia="宋体"/>
          <w:color w:val="000000" w:themeColor="text1"/>
          <w:sz w:val="28"/>
          <w:szCs w:val="28"/>
          <w:highlight w:val="none"/>
          <w:lang w:val="fr-FR"/>
          <w14:textFill>
            <w14:solidFill>
              <w14:schemeClr w14:val="tx1"/>
            </w14:solidFill>
          </w14:textFill>
        </w:rPr>
        <w:t>Technical specification</w:t>
      </w:r>
    </w:p>
    <w:p>
      <w:pPr>
        <w:pStyle w:val="83"/>
        <w:rPr>
          <w:rFonts w:eastAsia="宋体"/>
          <w:color w:val="000000" w:themeColor="text1"/>
          <w:sz w:val="28"/>
          <w:szCs w:val="28"/>
          <w:highlight w:val="none"/>
          <w:lang w:val="fr-FR"/>
          <w14:textFill>
            <w14:solidFill>
              <w14:schemeClr w14:val="tx1"/>
            </w14:solidFill>
          </w14:textFill>
        </w:rPr>
      </w:pPr>
      <w:r>
        <w:rPr>
          <w:rFonts w:eastAsia="宋体"/>
          <w:color w:val="000000" w:themeColor="text1"/>
          <w:sz w:val="28"/>
          <w:szCs w:val="28"/>
          <w:highlight w:val="none"/>
          <w:lang w:val="fr-FR"/>
          <w14:textFill>
            <w14:solidFill>
              <w14:schemeClr w14:val="tx1"/>
            </w14:solidFill>
          </w14:textFill>
        </w:rPr>
        <w:t xml:space="preserve"> for geometric measurement laboratory </w:t>
      </w:r>
      <w:r>
        <w:rPr>
          <w:rFonts w:hint="eastAsia" w:eastAsia="宋体"/>
          <w:color w:val="000000" w:themeColor="text1"/>
          <w:sz w:val="28"/>
          <w:szCs w:val="28"/>
          <w:highlight w:val="none"/>
          <w:lang w:val="fr-FR"/>
          <w14:textFill>
            <w14:solidFill>
              <w14:schemeClr w14:val="tx1"/>
            </w14:solidFill>
          </w14:textFill>
        </w:rPr>
        <w:t>e</w:t>
      </w:r>
      <w:r>
        <w:rPr>
          <w:rFonts w:eastAsia="宋体"/>
          <w:color w:val="000000" w:themeColor="text1"/>
          <w:sz w:val="28"/>
          <w:szCs w:val="28"/>
          <w:highlight w:val="none"/>
          <w:lang w:val="fr-FR"/>
          <w14:textFill>
            <w14:solidFill>
              <w14:schemeClr w14:val="tx1"/>
            </w14:solidFill>
          </w14:textFill>
        </w:rPr>
        <w:t>ngineering</w:t>
      </w:r>
    </w:p>
    <w:p>
      <w:pPr>
        <w:pStyle w:val="83"/>
        <w:rPr>
          <w:rFonts w:eastAsia="宋体"/>
          <w:color w:val="000000" w:themeColor="text1"/>
          <w:sz w:val="40"/>
          <w:szCs w:val="32"/>
          <w:highlight w:val="none"/>
          <w14:textFill>
            <w14:solidFill>
              <w14:schemeClr w14:val="tx1"/>
            </w14:solidFill>
          </w14:textFill>
        </w:rPr>
      </w:pPr>
      <w:r>
        <w:rPr>
          <w:rFonts w:eastAsia="宋体"/>
          <w:color w:val="000000" w:themeColor="text1"/>
          <w:sz w:val="40"/>
          <w:szCs w:val="32"/>
          <w:highlight w:val="none"/>
          <w14:textFill>
            <w14:solidFill>
              <w14:schemeClr w14:val="tx1"/>
            </w14:solidFill>
          </w14:textFill>
        </w:rPr>
        <w:t>（征求意见稿）</w:t>
      </w:r>
    </w:p>
    <w:p>
      <w:pPr>
        <w:pStyle w:val="83"/>
        <w:rPr>
          <w:rFonts w:eastAsia="宋体"/>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pStyle w:val="86"/>
        <w:rPr>
          <w:rFonts w:eastAsia="宋体"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b/>
          <w:bCs/>
          <w:color w:val="000000" w:themeColor="text1"/>
          <w:sz w:val="28"/>
          <w:szCs w:val="28"/>
          <w:highlight w:val="none"/>
          <w14:textFill>
            <w14:solidFill>
              <w14:schemeClr w14:val="tx1"/>
            </w14:solidFill>
          </w14:textFill>
        </w:rPr>
      </w:pPr>
      <w:r>
        <w:rPr>
          <w:rFonts w:ascii="Times New Roman" w:hAnsi="Times New Roman" w:cs="Times New Roman"/>
          <w:b/>
          <w:bCs/>
          <w:color w:val="000000" w:themeColor="text1"/>
          <w:sz w:val="28"/>
          <w:szCs w:val="28"/>
          <w:highlight w:val="none"/>
          <w14:textFill>
            <w14:solidFill>
              <w14:schemeClr w14:val="tx1"/>
            </w14:solidFill>
          </w14:textFill>
        </w:rPr>
        <w:t>2020北京</w:t>
      </w:r>
    </w:p>
    <w:p>
      <w:pPr>
        <w:spacing w:line="360" w:lineRule="auto"/>
        <w:jc w:val="center"/>
        <w:rPr>
          <w:rFonts w:ascii="Times New Roman" w:hAnsi="Times New Roman" w:eastAsia="黑体" w:cs="Times New Roman"/>
          <w:b/>
          <w:color w:val="000000" w:themeColor="text1"/>
          <w:sz w:val="28"/>
          <w:szCs w:val="28"/>
          <w:highlight w:val="none"/>
          <w14:textFill>
            <w14:solidFill>
              <w14:schemeClr w14:val="tx1"/>
            </w14:solidFill>
          </w14:textFill>
        </w:rPr>
      </w:pPr>
    </w:p>
    <w:p>
      <w:pPr>
        <w:spacing w:line="360" w:lineRule="auto"/>
        <w:jc w:val="center"/>
        <w:rPr>
          <w:rFonts w:ascii="Times New Roman" w:hAnsi="Times New Roman" w:eastAsia="黑体" w:cs="Times New Roman"/>
          <w:b/>
          <w:color w:val="000000" w:themeColor="text1"/>
          <w:sz w:val="28"/>
          <w:szCs w:val="28"/>
          <w:highlight w:val="none"/>
          <w14:textFill>
            <w14:solidFill>
              <w14:schemeClr w14:val="tx1"/>
            </w14:solidFill>
          </w14:textFill>
        </w:rPr>
      </w:pPr>
    </w:p>
    <w:p>
      <w:pPr>
        <w:spacing w:line="360" w:lineRule="auto"/>
        <w:jc w:val="center"/>
        <w:rPr>
          <w:rFonts w:ascii="Times New Roman" w:hAnsi="Times New Roman" w:cs="Times New Roman"/>
          <w:color w:val="000000" w:themeColor="text1"/>
          <w:sz w:val="28"/>
          <w:highlight w:val="none"/>
          <w14:textFill>
            <w14:solidFill>
              <w14:schemeClr w14:val="tx1"/>
            </w14:solidFill>
          </w14:textFill>
        </w:rPr>
      </w:pPr>
    </w:p>
    <w:p>
      <w:pPr>
        <w:spacing w:line="360" w:lineRule="auto"/>
        <w:jc w:val="center"/>
        <w:rPr>
          <w:rFonts w:ascii="Times New Roman" w:hAnsi="Times New Roman" w:cs="Times New Roman"/>
          <w:color w:val="000000" w:themeColor="text1"/>
          <w:sz w:val="28"/>
          <w:highlight w:val="none"/>
          <w14:textFill>
            <w14:solidFill>
              <w14:schemeClr w14:val="tx1"/>
            </w14:solidFill>
          </w14:textFill>
        </w:rPr>
      </w:pPr>
    </w:p>
    <w:p>
      <w:pPr>
        <w:spacing w:line="360" w:lineRule="auto"/>
        <w:jc w:val="center"/>
        <w:rPr>
          <w:rFonts w:ascii="Times New Roman" w:hAnsi="Times New Roman" w:cs="Times New Roman"/>
          <w:color w:val="000000" w:themeColor="text1"/>
          <w:sz w:val="28"/>
          <w:highlight w:val="none"/>
          <w14:textFill>
            <w14:solidFill>
              <w14:schemeClr w14:val="tx1"/>
            </w14:solidFill>
          </w14:textFill>
        </w:rPr>
      </w:pPr>
    </w:p>
    <w:p>
      <w:pPr>
        <w:spacing w:line="360" w:lineRule="auto"/>
        <w:jc w:val="center"/>
        <w:rPr>
          <w:rFonts w:ascii="Times New Roman" w:hAnsi="Times New Roman" w:cs="Times New Roman"/>
          <w:color w:val="000000" w:themeColor="text1"/>
          <w:sz w:val="32"/>
          <w:szCs w:val="24"/>
          <w:highlight w:val="none"/>
          <w14:textFill>
            <w14:solidFill>
              <w14:schemeClr w14:val="tx1"/>
            </w14:solidFill>
          </w14:textFill>
        </w:rPr>
      </w:pPr>
      <w:r>
        <w:rPr>
          <w:rFonts w:ascii="Times New Roman" w:hAnsi="Times New Roman" w:cs="Times New Roman"/>
          <w:color w:val="000000" w:themeColor="text1"/>
          <w:sz w:val="32"/>
          <w:szCs w:val="24"/>
          <w:highlight w:val="none"/>
          <w14:textFill>
            <w14:solidFill>
              <w14:schemeClr w14:val="tx1"/>
            </w14:solidFill>
          </w14:textFill>
        </w:rPr>
        <w:t>中国工程建设标准化协会标准</w:t>
      </w:r>
    </w:p>
    <w:p>
      <w:pPr>
        <w:spacing w:line="360" w:lineRule="auto"/>
        <w:jc w:val="center"/>
        <w:rPr>
          <w:rFonts w:ascii="Times New Roman" w:hAnsi="Times New Roman" w:cs="Times New Roman"/>
          <w:color w:val="000000" w:themeColor="text1"/>
          <w:sz w:val="28"/>
          <w:szCs w:val="28"/>
          <w:highlight w:val="none"/>
          <w14:textFill>
            <w14:solidFill>
              <w14:schemeClr w14:val="tx1"/>
            </w14:solidFill>
          </w14:textFill>
        </w:rPr>
      </w:pPr>
    </w:p>
    <w:p>
      <w:pPr>
        <w:pStyle w:val="83"/>
        <w:ind w:firstLine="2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几何量测量实验室工程技术规程</w:t>
      </w:r>
    </w:p>
    <w:p>
      <w:pPr>
        <w:pStyle w:val="83"/>
        <w:rPr>
          <w:rFonts w:eastAsia="宋体"/>
          <w:color w:val="000000" w:themeColor="text1"/>
          <w:sz w:val="28"/>
          <w:szCs w:val="28"/>
          <w:highlight w:val="none"/>
          <w:lang w:val="fr-FR"/>
          <w14:textFill>
            <w14:solidFill>
              <w14:schemeClr w14:val="tx1"/>
            </w14:solidFill>
          </w14:textFill>
        </w:rPr>
      </w:pPr>
      <w:r>
        <w:rPr>
          <w:rFonts w:eastAsia="宋体"/>
          <w:color w:val="000000" w:themeColor="text1"/>
          <w:sz w:val="28"/>
          <w:szCs w:val="28"/>
          <w:highlight w:val="none"/>
          <w:lang w:val="fr-FR"/>
          <w14:textFill>
            <w14:solidFill>
              <w14:schemeClr w14:val="tx1"/>
            </w14:solidFill>
          </w14:textFill>
        </w:rPr>
        <w:t xml:space="preserve">Technical specification </w:t>
      </w:r>
    </w:p>
    <w:p>
      <w:pPr>
        <w:pStyle w:val="83"/>
        <w:rPr>
          <w:rFonts w:eastAsia="宋体"/>
          <w:color w:val="000000" w:themeColor="text1"/>
          <w:sz w:val="28"/>
          <w:szCs w:val="28"/>
          <w:highlight w:val="none"/>
          <w:lang w:val="fr-FR"/>
          <w14:textFill>
            <w14:solidFill>
              <w14:schemeClr w14:val="tx1"/>
            </w14:solidFill>
          </w14:textFill>
        </w:rPr>
      </w:pPr>
      <w:r>
        <w:rPr>
          <w:rFonts w:eastAsia="宋体"/>
          <w:color w:val="000000" w:themeColor="text1"/>
          <w:sz w:val="28"/>
          <w:szCs w:val="28"/>
          <w:highlight w:val="none"/>
          <w:lang w:val="fr-FR"/>
          <w14:textFill>
            <w14:solidFill>
              <w14:schemeClr w14:val="tx1"/>
            </w14:solidFill>
          </w14:textFill>
        </w:rPr>
        <w:t xml:space="preserve">for geometric measurement laboratory </w:t>
      </w:r>
      <w:r>
        <w:rPr>
          <w:rFonts w:hint="eastAsia" w:eastAsia="宋体"/>
          <w:color w:val="000000" w:themeColor="text1"/>
          <w:sz w:val="28"/>
          <w:szCs w:val="28"/>
          <w:highlight w:val="none"/>
          <w:lang w:val="fr-FR"/>
          <w14:textFill>
            <w14:solidFill>
              <w14:schemeClr w14:val="tx1"/>
            </w14:solidFill>
          </w14:textFill>
        </w:rPr>
        <w:t>e</w:t>
      </w:r>
      <w:r>
        <w:rPr>
          <w:rFonts w:eastAsia="宋体"/>
          <w:color w:val="000000" w:themeColor="text1"/>
          <w:sz w:val="28"/>
          <w:szCs w:val="28"/>
          <w:highlight w:val="none"/>
          <w:lang w:val="fr-FR"/>
          <w14:textFill>
            <w14:solidFill>
              <w14:schemeClr w14:val="tx1"/>
            </w14:solidFill>
          </w14:textFill>
        </w:rPr>
        <w:t>ngineering</w:t>
      </w:r>
    </w:p>
    <w:p>
      <w:pPr>
        <w:spacing w:line="360" w:lineRule="auto"/>
        <w:jc w:val="center"/>
        <w:rPr>
          <w:rFonts w:ascii="Times New Roman" w:hAnsi="Times New Roman" w:cs="Times New Roman"/>
          <w:color w:val="000000" w:themeColor="text1"/>
          <w:highlight w:val="none"/>
          <w:lang w:val="fr-FR"/>
          <w14:textFill>
            <w14:solidFill>
              <w14:schemeClr w14:val="tx1"/>
            </w14:solidFill>
          </w14:textFill>
        </w:rPr>
      </w:pPr>
    </w:p>
    <w:p>
      <w:pPr>
        <w:pStyle w:val="19"/>
        <w:spacing w:line="360" w:lineRule="auto"/>
        <w:jc w:val="center"/>
        <w:rPr>
          <w:rFonts w:ascii="Times New Roman" w:hAnsi="Times New Roman"/>
          <w:b/>
          <w:color w:val="000000" w:themeColor="text1"/>
          <w:highlight w:val="none"/>
          <w14:textFill>
            <w14:solidFill>
              <w14:schemeClr w14:val="tx1"/>
            </w14:solidFill>
          </w14:textFill>
        </w:rPr>
      </w:pPr>
      <w:bookmarkStart w:id="1" w:name="_Toc7027037"/>
      <w:r>
        <w:rPr>
          <w:rFonts w:ascii="Times New Roman" w:hAnsi="Times New Roman"/>
          <w:b/>
          <w:color w:val="000000" w:themeColor="text1"/>
          <w:highlight w:val="none"/>
          <w14:textFill>
            <w14:solidFill>
              <w14:schemeClr w14:val="tx1"/>
            </w14:solidFill>
          </w14:textFill>
        </w:rPr>
        <w:t>T/CECS *** -20XX</w:t>
      </w:r>
      <w:bookmarkEnd w:id="1"/>
    </w:p>
    <w:p>
      <w:pPr>
        <w:spacing w:line="360" w:lineRule="auto"/>
        <w:jc w:val="center"/>
        <w:rPr>
          <w:rFonts w:ascii="Times New Roman" w:hAnsi="Times New Roman" w:cs="Times New Roman"/>
          <w:b/>
          <w:color w:val="000000" w:themeColor="text1"/>
          <w:highlight w:val="none"/>
          <w14:textFill>
            <w14:solidFill>
              <w14:schemeClr w14:val="tx1"/>
            </w14:solidFill>
          </w14:textFill>
        </w:rPr>
      </w:pPr>
    </w:p>
    <w:p>
      <w:pPr>
        <w:spacing w:line="360" w:lineRule="auto"/>
        <w:ind w:firstLine="2520" w:firstLineChars="1200"/>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主编单位：中国计量科学研究院</w:t>
      </w:r>
    </w:p>
    <w:p>
      <w:pPr>
        <w:spacing w:line="360" w:lineRule="auto"/>
        <w:ind w:firstLine="2520" w:firstLineChars="1200"/>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批准单位：中国工程建设标准化协会</w:t>
      </w:r>
    </w:p>
    <w:p>
      <w:pPr>
        <w:spacing w:line="360" w:lineRule="auto"/>
        <w:ind w:firstLine="2520" w:firstLineChars="1200"/>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施行日期：20XX年××月××日</w:t>
      </w:r>
    </w:p>
    <w:p>
      <w:pPr>
        <w:spacing w:line="360" w:lineRule="auto"/>
        <w:jc w:val="center"/>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color w:val="000000" w:themeColor="text1"/>
          <w:highlight w:val="none"/>
          <w14:textFill>
            <w14:solidFill>
              <w14:schemeClr w14:val="tx1"/>
            </w14:solidFill>
          </w14:textFill>
        </w:rPr>
      </w:pPr>
    </w:p>
    <w:p>
      <w:pPr>
        <w:spacing w:line="360" w:lineRule="auto"/>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中国计划出版社</w:t>
      </w:r>
    </w:p>
    <w:p>
      <w:pPr>
        <w:spacing w:line="360" w:lineRule="auto"/>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20XX  北京</w:t>
      </w:r>
    </w:p>
    <w:p>
      <w:pPr>
        <w:spacing w:line="360" w:lineRule="auto"/>
        <w:jc w:val="center"/>
        <w:rPr>
          <w:rFonts w:ascii="Times New Roman" w:hAnsi="Times New Roman" w:cs="Times New Roman"/>
          <w:color w:val="000000" w:themeColor="text1"/>
          <w:sz w:val="28"/>
          <w:szCs w:val="28"/>
          <w:highlight w:val="none"/>
          <w14:textFill>
            <w14:solidFill>
              <w14:schemeClr w14:val="tx1"/>
            </w14:solidFill>
          </w14:textFill>
        </w:rPr>
        <w:sectPr>
          <w:headerReference r:id="rId3" w:type="default"/>
          <w:headerReference r:id="rId4" w:type="even"/>
          <w:pgSz w:w="11906" w:h="16838"/>
          <w:pgMar w:top="1440" w:right="1800" w:bottom="1440" w:left="1800" w:header="851" w:footer="992" w:gutter="0"/>
          <w:cols w:space="425" w:num="1"/>
          <w:docGrid w:type="lines" w:linePitch="312" w:charSpace="0"/>
        </w:sectPr>
      </w:pPr>
    </w:p>
    <w:p>
      <w:pPr>
        <w:snapToGrid w:val="0"/>
        <w:spacing w:line="360" w:lineRule="auto"/>
        <w:jc w:val="center"/>
        <w:rPr>
          <w:rFonts w:ascii="黑体" w:hAnsi="黑体" w:eastAsia="黑体" w:cs="Times New Roman"/>
          <w:b/>
          <w:color w:val="000000" w:themeColor="text1"/>
          <w:sz w:val="32"/>
          <w:szCs w:val="36"/>
          <w:highlight w:val="none"/>
          <w14:textFill>
            <w14:solidFill>
              <w14:schemeClr w14:val="tx1"/>
            </w14:solidFill>
          </w14:textFill>
        </w:rPr>
      </w:pPr>
      <w:r>
        <w:rPr>
          <w:rFonts w:ascii="黑体" w:hAnsi="黑体" w:eastAsia="黑体" w:cs="Times New Roman"/>
          <w:b/>
          <w:color w:val="000000" w:themeColor="text1"/>
          <w:sz w:val="32"/>
          <w:szCs w:val="36"/>
          <w:highlight w:val="none"/>
          <w14:textFill>
            <w14:solidFill>
              <w14:schemeClr w14:val="tx1"/>
            </w14:solidFill>
          </w14:textFill>
        </w:rPr>
        <w:t>前</w:t>
      </w:r>
      <w:r>
        <w:rPr>
          <w:rFonts w:hint="eastAsia" w:ascii="黑体" w:hAnsi="黑体" w:eastAsia="黑体" w:cs="Times New Roman"/>
          <w:color w:val="000000" w:themeColor="text1"/>
          <w:sz w:val="32"/>
          <w:szCs w:val="36"/>
          <w:highlight w:val="none"/>
          <w14:textFill>
            <w14:solidFill>
              <w14:schemeClr w14:val="tx1"/>
            </w14:solidFill>
          </w14:textFill>
        </w:rPr>
        <w:t xml:space="preserve"> </w:t>
      </w:r>
      <w:r>
        <w:rPr>
          <w:rFonts w:ascii="黑体" w:hAnsi="黑体" w:eastAsia="黑体" w:cs="Times New Roman"/>
          <w:color w:val="000000" w:themeColor="text1"/>
          <w:sz w:val="32"/>
          <w:szCs w:val="36"/>
          <w:highlight w:val="none"/>
          <w14:textFill>
            <w14:solidFill>
              <w14:schemeClr w14:val="tx1"/>
            </w14:solidFill>
          </w14:textFill>
        </w:rPr>
        <w:t xml:space="preserve">   </w:t>
      </w:r>
      <w:r>
        <w:rPr>
          <w:rFonts w:ascii="黑体" w:hAnsi="黑体" w:eastAsia="黑体" w:cs="Times New Roman"/>
          <w:b/>
          <w:color w:val="000000" w:themeColor="text1"/>
          <w:sz w:val="32"/>
          <w:szCs w:val="36"/>
          <w:highlight w:val="none"/>
          <w14:textFill>
            <w14:solidFill>
              <w14:schemeClr w14:val="tx1"/>
            </w14:solidFill>
          </w14:textFill>
        </w:rPr>
        <w:t>言</w:t>
      </w:r>
    </w:p>
    <w:p>
      <w:pPr>
        <w:snapToGrid w:val="0"/>
        <w:spacing w:line="360" w:lineRule="auto"/>
        <w:ind w:firstLine="435"/>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根据中国工程建设标准化协会《关于印发〈2019年第二批工程建设协会标准制订、修订计划〉的通知》（建标协字〔2019〕22号）的要求，</w:t>
      </w:r>
      <w:r>
        <w:rPr>
          <w:rFonts w:hint="eastAsia" w:ascii="Times New Roman" w:hAnsi="Times New Roman" w:cs="Times New Roman"/>
          <w:color w:val="000000" w:themeColor="text1"/>
          <w:sz w:val="24"/>
          <w:szCs w:val="24"/>
          <w:highlight w:val="none"/>
          <w14:textFill>
            <w14:solidFill>
              <w14:schemeClr w14:val="tx1"/>
            </w14:solidFill>
          </w14:textFill>
        </w:rPr>
        <w:t>编制组经深入调查研究，认真总结实践经验，</w:t>
      </w:r>
      <w:r>
        <w:rPr>
          <w:rFonts w:ascii="Times New Roman" w:hAnsi="Times New Roman" w:cs="Times New Roman"/>
          <w:color w:val="000000" w:themeColor="text1"/>
          <w:sz w:val="24"/>
          <w:szCs w:val="24"/>
          <w:highlight w:val="none"/>
          <w14:textFill>
            <w14:solidFill>
              <w14:schemeClr w14:val="tx1"/>
            </w14:solidFill>
          </w14:textFill>
        </w:rPr>
        <w:t>研究、消化和吸收国</w:t>
      </w:r>
      <w:r>
        <w:rPr>
          <w:rFonts w:hint="eastAsia" w:ascii="Times New Roman" w:hAnsi="Times New Roman" w:cs="Times New Roman"/>
          <w:color w:val="000000" w:themeColor="text1"/>
          <w:sz w:val="24"/>
          <w:szCs w:val="24"/>
          <w:highlight w:val="none"/>
          <w14:textFill>
            <w14:solidFill>
              <w14:schemeClr w14:val="tx1"/>
            </w14:solidFill>
          </w14:textFill>
        </w:rPr>
        <w:t>内</w:t>
      </w:r>
      <w:r>
        <w:rPr>
          <w:rFonts w:ascii="Times New Roman" w:hAnsi="Times New Roman" w:cs="Times New Roman"/>
          <w:color w:val="000000" w:themeColor="text1"/>
          <w:sz w:val="24"/>
          <w:szCs w:val="24"/>
          <w:highlight w:val="none"/>
          <w14:textFill>
            <w14:solidFill>
              <w14:schemeClr w14:val="tx1"/>
            </w14:solidFill>
          </w14:textFill>
        </w:rPr>
        <w:t>外有关标准规范的技术内容，</w:t>
      </w:r>
      <w:r>
        <w:rPr>
          <w:rFonts w:hint="eastAsia" w:ascii="Times New Roman" w:hAnsi="Times New Roman" w:cs="Times New Roman"/>
          <w:color w:val="000000" w:themeColor="text1"/>
          <w:sz w:val="24"/>
          <w:szCs w:val="24"/>
          <w:highlight w:val="none"/>
          <w14:textFill>
            <w14:solidFill>
              <w14:schemeClr w14:val="tx1"/>
            </w14:solidFill>
          </w14:textFill>
        </w:rPr>
        <w:t>并在广泛征求意见的基础上，制定了本规程。</w:t>
      </w:r>
    </w:p>
    <w:p>
      <w:pPr>
        <w:snapToGrid w:val="0"/>
        <w:spacing w:line="360" w:lineRule="auto"/>
        <w:ind w:firstLine="435"/>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本规程共分</w:t>
      </w:r>
      <w:r>
        <w:rPr>
          <w:rFonts w:hint="eastAsia" w:ascii="Times New Roman" w:hAnsi="Times New Roman" w:cs="Times New Roman"/>
          <w:color w:val="000000" w:themeColor="text1"/>
          <w:sz w:val="24"/>
          <w:szCs w:val="24"/>
          <w:highlight w:val="none"/>
          <w14:textFill>
            <w14:solidFill>
              <w14:schemeClr w14:val="tx1"/>
            </w14:solidFill>
          </w14:textFill>
        </w:rPr>
        <w:t>为8</w:t>
      </w:r>
      <w:r>
        <w:rPr>
          <w:rFonts w:ascii="Times New Roman" w:hAnsi="Times New Roman" w:cs="Times New Roman"/>
          <w:color w:val="000000" w:themeColor="text1"/>
          <w:sz w:val="24"/>
          <w:szCs w:val="24"/>
          <w:highlight w:val="none"/>
          <w14:textFill>
            <w14:solidFill>
              <w14:schemeClr w14:val="tx1"/>
            </w14:solidFill>
          </w14:textFill>
        </w:rPr>
        <w:t>章</w:t>
      </w:r>
      <w:r>
        <w:rPr>
          <w:rFonts w:hint="eastAsia" w:ascii="Times New Roman" w:hAnsi="Times New Roman" w:cs="Times New Roman"/>
          <w:color w:val="000000" w:themeColor="text1"/>
          <w:sz w:val="24"/>
          <w:szCs w:val="24"/>
          <w:highlight w:val="none"/>
          <w14:textFill>
            <w14:solidFill>
              <w14:schemeClr w14:val="tx1"/>
            </w14:solidFill>
          </w14:textFill>
        </w:rPr>
        <w:t>3个附录</w:t>
      </w:r>
      <w:r>
        <w:rPr>
          <w:rFonts w:ascii="Times New Roman" w:hAnsi="Times New Roman" w:cs="Times New Roman"/>
          <w:color w:val="000000" w:themeColor="text1"/>
          <w:sz w:val="24"/>
          <w:szCs w:val="24"/>
          <w:highlight w:val="none"/>
          <w14:textFill>
            <w14:solidFill>
              <w14:schemeClr w14:val="tx1"/>
            </w14:solidFill>
          </w14:textFill>
        </w:rPr>
        <w:t>，主要</w:t>
      </w:r>
      <w:r>
        <w:rPr>
          <w:rFonts w:hint="eastAsia" w:ascii="Times New Roman" w:hAnsi="Times New Roman" w:cs="Times New Roman"/>
          <w:color w:val="000000" w:themeColor="text1"/>
          <w:sz w:val="24"/>
          <w:szCs w:val="24"/>
          <w:highlight w:val="none"/>
          <w14:textFill>
            <w14:solidFill>
              <w14:schemeClr w14:val="tx1"/>
            </w14:solidFill>
          </w14:textFill>
        </w:rPr>
        <w:t>技术</w:t>
      </w:r>
      <w:r>
        <w:rPr>
          <w:rFonts w:ascii="Times New Roman" w:hAnsi="Times New Roman" w:cs="Times New Roman"/>
          <w:color w:val="000000" w:themeColor="text1"/>
          <w:sz w:val="24"/>
          <w:szCs w:val="24"/>
          <w:highlight w:val="none"/>
          <w14:textFill>
            <w14:solidFill>
              <w14:schemeClr w14:val="tx1"/>
            </w14:solidFill>
          </w14:textFill>
        </w:rPr>
        <w:t>内容包括：总则，术语，基本规定，规划选址，工艺设计，工程设计，施工和调试，检测和验收</w:t>
      </w:r>
      <w:r>
        <w:rPr>
          <w:rFonts w:hint="eastAsia" w:ascii="Times New Roman" w:hAnsi="Times New Roman" w:cs="Times New Roman"/>
          <w:color w:val="000000" w:themeColor="text1"/>
          <w:sz w:val="24"/>
          <w:szCs w:val="24"/>
          <w:highlight w:val="none"/>
          <w14:textFill>
            <w14:solidFill>
              <w14:schemeClr w14:val="tx1"/>
            </w14:solidFill>
          </w14:textFill>
        </w:rPr>
        <w:t>等</w:t>
      </w:r>
      <w:r>
        <w:rPr>
          <w:rFonts w:ascii="Times New Roman" w:hAnsi="Times New Roman" w:cs="Times New Roman"/>
          <w:color w:val="000000" w:themeColor="text1"/>
          <w:sz w:val="24"/>
          <w:szCs w:val="24"/>
          <w:highlight w:val="none"/>
          <w14:textFill>
            <w14:solidFill>
              <w14:schemeClr w14:val="tx1"/>
            </w14:solidFill>
          </w14:textFill>
        </w:rPr>
        <w:t>。</w:t>
      </w:r>
    </w:p>
    <w:p>
      <w:pPr>
        <w:spacing w:line="360" w:lineRule="auto"/>
        <w:ind w:firstLine="480" w:firstLineChars="200"/>
        <w:rPr>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请注意本</w:t>
      </w:r>
      <w:r>
        <w:rPr>
          <w:rFonts w:ascii="Times New Roman" w:hAnsi="Times New Roman" w:cs="Times New Roman"/>
          <w:color w:val="000000" w:themeColor="text1"/>
          <w:sz w:val="24"/>
          <w:szCs w:val="24"/>
          <w:highlight w:val="none"/>
          <w14:textFill>
            <w14:solidFill>
              <w14:schemeClr w14:val="tx1"/>
            </w14:solidFill>
          </w14:textFill>
        </w:rPr>
        <w:t>规程</w:t>
      </w:r>
      <w:r>
        <w:rPr>
          <w:rFonts w:hint="eastAsia"/>
          <w:bCs/>
          <w:color w:val="000000" w:themeColor="text1"/>
          <w:sz w:val="24"/>
          <w:highlight w:val="none"/>
          <w14:textFill>
            <w14:solidFill>
              <w14:schemeClr w14:val="tx1"/>
            </w14:solidFill>
          </w14:textFill>
        </w:rPr>
        <w:t>的某些内容可能直接或间接涉及专利，本</w:t>
      </w:r>
      <w:r>
        <w:rPr>
          <w:rFonts w:ascii="Times New Roman" w:hAnsi="Times New Roman" w:cs="Times New Roman"/>
          <w:color w:val="000000" w:themeColor="text1"/>
          <w:sz w:val="24"/>
          <w:szCs w:val="24"/>
          <w:highlight w:val="none"/>
          <w14:textFill>
            <w14:solidFill>
              <w14:schemeClr w14:val="tx1"/>
            </w14:solidFill>
          </w14:textFill>
        </w:rPr>
        <w:t>规程</w:t>
      </w:r>
      <w:r>
        <w:rPr>
          <w:rFonts w:hint="eastAsia"/>
          <w:bCs/>
          <w:color w:val="000000" w:themeColor="text1"/>
          <w:sz w:val="24"/>
          <w:highlight w:val="none"/>
          <w14:textFill>
            <w14:solidFill>
              <w14:schemeClr w14:val="tx1"/>
            </w14:solidFill>
          </w14:textFill>
        </w:rPr>
        <w:t>的发布机构不承担识别这些专利的责任。</w:t>
      </w:r>
    </w:p>
    <w:p>
      <w:pPr>
        <w:snapToGrid w:val="0"/>
        <w:spacing w:line="360" w:lineRule="auto"/>
        <w:ind w:firstLine="435"/>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本规程由中国工程建设标准化协会建筑环境与节能专业委员会归口管理，由中国计量科学研究院负责具体技术内容的解释。</w:t>
      </w:r>
      <w:r>
        <w:rPr>
          <w:rFonts w:hint="eastAsia" w:hAnsi="宋体"/>
          <w:color w:val="000000" w:themeColor="text1"/>
          <w:sz w:val="24"/>
          <w:szCs w:val="24"/>
          <w:highlight w:val="none"/>
          <w14:textFill>
            <w14:solidFill>
              <w14:schemeClr w14:val="tx1"/>
            </w14:solidFill>
          </w14:textFill>
        </w:rPr>
        <w:t>本规程在使用过程中如有需要修改或补充之处，请将有关意见和建议寄送解释单位</w:t>
      </w:r>
      <w:r>
        <w:rPr>
          <w:rFonts w:ascii="Times New Roman" w:hAnsi="Times New Roman" w:cs="Times New Roman"/>
          <w:color w:val="000000" w:themeColor="text1"/>
          <w:sz w:val="24"/>
          <w:szCs w:val="24"/>
          <w:highlight w:val="none"/>
          <w14:textFill>
            <w14:solidFill>
              <w14:schemeClr w14:val="tx1"/>
            </w14:solidFill>
          </w14:textFill>
        </w:rPr>
        <w:t>（地址：北京市</w:t>
      </w:r>
      <w:r>
        <w:rPr>
          <w:rFonts w:hint="eastAsia" w:ascii="Times New Roman" w:hAnsi="Times New Roman" w:cs="Times New Roman"/>
          <w:color w:val="000000" w:themeColor="text1"/>
          <w:sz w:val="24"/>
          <w:szCs w:val="24"/>
          <w:highlight w:val="none"/>
          <w14:textFill>
            <w14:solidFill>
              <w14:schemeClr w14:val="tx1"/>
            </w14:solidFill>
          </w14:textFill>
        </w:rPr>
        <w:t>朝阳区北三环东路</w:t>
      </w:r>
      <w:r>
        <w:rPr>
          <w:rFonts w:ascii="Times New Roman" w:hAnsi="Times New Roman" w:cs="Times New Roman"/>
          <w:color w:val="000000" w:themeColor="text1"/>
          <w:sz w:val="24"/>
          <w:szCs w:val="24"/>
          <w:highlight w:val="none"/>
          <w14:textFill>
            <w14:solidFill>
              <w14:schemeClr w14:val="tx1"/>
            </w14:solidFill>
          </w14:textFill>
        </w:rPr>
        <w:t>18号，邮政编码：10</w:t>
      </w:r>
      <w:r>
        <w:rPr>
          <w:rFonts w:hint="eastAsia" w:ascii="Times New Roman" w:hAnsi="Times New Roman" w:cs="Times New Roman"/>
          <w:color w:val="000000" w:themeColor="text1"/>
          <w:sz w:val="24"/>
          <w:szCs w:val="24"/>
          <w:highlight w:val="none"/>
          <w14:textFill>
            <w14:solidFill>
              <w14:schemeClr w14:val="tx1"/>
            </w14:solidFill>
          </w14:textFill>
        </w:rPr>
        <w:t>0029</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hAnsi="宋体"/>
          <w:color w:val="000000" w:themeColor="text1"/>
          <w:sz w:val="24"/>
          <w:szCs w:val="24"/>
          <w:highlight w:val="none"/>
          <w14:textFill>
            <w14:solidFill>
              <w14:schemeClr w14:val="tx1"/>
            </w14:solidFill>
          </w14:textFill>
        </w:rPr>
        <w:t>，以供修订时参考</w:t>
      </w:r>
      <w:r>
        <w:rPr>
          <w:rFonts w:ascii="Times New Roman" w:hAnsi="Times New Roman" w:cs="Times New Roman"/>
          <w:color w:val="000000" w:themeColor="text1"/>
          <w:sz w:val="24"/>
          <w:szCs w:val="24"/>
          <w:highlight w:val="none"/>
          <w14:textFill>
            <w14:solidFill>
              <w14:schemeClr w14:val="tx1"/>
            </w14:solidFill>
          </w14:textFill>
        </w:rPr>
        <w:t>。</w:t>
      </w:r>
    </w:p>
    <w:p>
      <w:pPr>
        <w:snapToGrid w:val="0"/>
        <w:spacing w:line="360" w:lineRule="auto"/>
        <w:ind w:firstLine="435"/>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主编单位：中国计量科学研究院</w:t>
      </w:r>
    </w:p>
    <w:p>
      <w:pPr>
        <w:snapToGrid w:val="0"/>
        <w:spacing w:line="360" w:lineRule="auto"/>
        <w:ind w:firstLine="424" w:firstLineChars="177"/>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参编单位：</w:t>
      </w:r>
    </w:p>
    <w:p>
      <w:pPr>
        <w:snapToGrid w:val="0"/>
        <w:spacing w:line="360" w:lineRule="auto"/>
        <w:ind w:firstLine="424" w:firstLineChars="177"/>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主要起草人：</w:t>
      </w:r>
    </w:p>
    <w:p>
      <w:pPr>
        <w:snapToGrid w:val="0"/>
        <w:spacing w:line="360" w:lineRule="auto"/>
        <w:ind w:firstLine="424" w:firstLineChars="177"/>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主要审查人：</w:t>
      </w:r>
    </w:p>
    <w:p>
      <w:pPr>
        <w:spacing w:line="360" w:lineRule="auto"/>
        <w:jc w:val="center"/>
        <w:rPr>
          <w:rFonts w:ascii="Times New Roman" w:hAnsi="Times New Roman" w:cs="Times New Roman"/>
          <w:color w:val="000000" w:themeColor="text1"/>
          <w:sz w:val="28"/>
          <w:szCs w:val="28"/>
          <w:highlight w:val="none"/>
          <w14:textFill>
            <w14:solidFill>
              <w14:schemeClr w14:val="tx1"/>
            </w14:solidFill>
          </w14:textFill>
        </w:rPr>
      </w:pPr>
    </w:p>
    <w:p>
      <w:pPr>
        <w:spacing w:line="360" w:lineRule="auto"/>
        <w:jc w:val="center"/>
        <w:rPr>
          <w:rFonts w:ascii="Times New Roman" w:hAnsi="Times New Roman" w:cs="Times New Roman"/>
          <w:color w:val="000000" w:themeColor="text1"/>
          <w:sz w:val="28"/>
          <w:szCs w:val="28"/>
          <w:highlight w:val="none"/>
          <w14:textFill>
            <w14:solidFill>
              <w14:schemeClr w14:val="tx1"/>
            </w14:solidFill>
          </w14:textFill>
        </w:rPr>
        <w:sectPr>
          <w:pgSz w:w="11906" w:h="16838"/>
          <w:pgMar w:top="1440" w:right="1800" w:bottom="1440" w:left="1800" w:header="851" w:footer="992" w:gutter="0"/>
          <w:pgNumType w:start="1"/>
          <w:cols w:space="425" w:num="1"/>
          <w:docGrid w:type="lines" w:linePitch="312" w:charSpace="0"/>
        </w:sectPr>
      </w:pPr>
    </w:p>
    <w:sdt>
      <w:sdtPr>
        <w:rPr>
          <w:rFonts w:ascii="Times New Roman" w:hAnsi="Times New Roman" w:cs="Times New Roman" w:eastAsiaTheme="minorEastAsia"/>
          <w:b w:val="0"/>
          <w:bCs w:val="0"/>
          <w:color w:val="000000" w:themeColor="text1"/>
          <w:kern w:val="2"/>
          <w:sz w:val="21"/>
          <w:szCs w:val="22"/>
          <w:highlight w:val="none"/>
          <w:lang w:val="zh-CN"/>
          <w14:textFill>
            <w14:solidFill>
              <w14:schemeClr w14:val="tx1"/>
            </w14:solidFill>
          </w14:textFill>
        </w:rPr>
        <w:id w:val="22883943"/>
      </w:sdtPr>
      <w:sdtEndPr>
        <w:rPr>
          <w:rFonts w:ascii="Times New Roman" w:hAnsi="Times New Roman" w:cs="Times New Roman" w:eastAsiaTheme="minorEastAsia"/>
          <w:b w:val="0"/>
          <w:bCs w:val="0"/>
          <w:color w:val="000000" w:themeColor="text1"/>
          <w:kern w:val="2"/>
          <w:sz w:val="21"/>
          <w:szCs w:val="22"/>
          <w:highlight w:val="none"/>
          <w:lang w:val="en-US"/>
          <w14:textFill>
            <w14:solidFill>
              <w14:schemeClr w14:val="tx1"/>
            </w14:solidFill>
          </w14:textFill>
        </w:rPr>
      </w:sdtEndPr>
      <w:sdtContent>
        <w:p>
          <w:pPr>
            <w:pStyle w:val="64"/>
            <w:tabs>
              <w:tab w:val="left" w:pos="3398"/>
              <w:tab w:val="center" w:pos="4153"/>
            </w:tabs>
            <w:spacing w:before="0" w:line="360" w:lineRule="auto"/>
            <w:rPr>
              <w:rFonts w:ascii="仿宋" w:hAnsi="仿宋" w:eastAsia="仿宋" w:cs="Times New Roman"/>
              <w:b w:val="0"/>
              <w:bCs w:val="0"/>
              <w:color w:val="000000" w:themeColor="text1"/>
              <w:kern w:val="2"/>
              <w:sz w:val="32"/>
              <w:szCs w:val="32"/>
              <w:highlight w:val="none"/>
              <w:lang w:val="zh-CN"/>
              <w14:textFill>
                <w14:solidFill>
                  <w14:schemeClr w14:val="tx1"/>
                </w14:solidFill>
              </w14:textFill>
            </w:rPr>
          </w:pPr>
          <w:r>
            <w:rPr>
              <w:rFonts w:ascii="Times New Roman" w:hAnsi="Times New Roman" w:cs="Times New Roman" w:eastAsiaTheme="minorEastAsia"/>
              <w:b w:val="0"/>
              <w:bCs w:val="0"/>
              <w:color w:val="000000" w:themeColor="text1"/>
              <w:kern w:val="2"/>
              <w:sz w:val="21"/>
              <w:szCs w:val="22"/>
              <w:highlight w:val="none"/>
              <w:lang w:val="zh-CN"/>
              <w14:textFill>
                <w14:solidFill>
                  <w14:schemeClr w14:val="tx1"/>
                </w14:solidFill>
              </w14:textFill>
            </w:rPr>
            <w:tab/>
          </w:r>
          <w:r>
            <w:rPr>
              <w:rFonts w:ascii="Times New Roman" w:hAnsi="Times New Roman" w:cs="Times New Roman" w:eastAsiaTheme="minorEastAsia"/>
              <w:b w:val="0"/>
              <w:bCs w:val="0"/>
              <w:color w:val="000000" w:themeColor="text1"/>
              <w:kern w:val="2"/>
              <w:sz w:val="21"/>
              <w:szCs w:val="22"/>
              <w:highlight w:val="none"/>
              <w:lang w:val="zh-CN"/>
              <w14:textFill>
                <w14:solidFill>
                  <w14:schemeClr w14:val="tx1"/>
                </w14:solidFill>
              </w14:textFill>
            </w:rPr>
            <w:tab/>
          </w:r>
          <w:r>
            <w:rPr>
              <w:rFonts w:ascii="仿宋" w:hAnsi="仿宋" w:eastAsia="仿宋" w:cs="Times New Roman"/>
              <w:b w:val="0"/>
              <w:bCs w:val="0"/>
              <w:color w:val="000000" w:themeColor="text1"/>
              <w:kern w:val="2"/>
              <w:sz w:val="32"/>
              <w:szCs w:val="32"/>
              <w:highlight w:val="none"/>
              <w:lang w:val="zh-CN"/>
              <w14:textFill>
                <w14:solidFill>
                  <w14:schemeClr w14:val="tx1"/>
                </w14:solidFill>
              </w14:textFill>
            </w:rPr>
            <w:t>目</w:t>
          </w:r>
          <w:r>
            <w:rPr>
              <w:rFonts w:hint="eastAsia" w:ascii="仿宋" w:hAnsi="仿宋" w:eastAsia="仿宋"/>
              <w:color w:val="000000" w:themeColor="text1"/>
              <w:sz w:val="32"/>
              <w:highlight w:val="none"/>
              <w14:textFill>
                <w14:solidFill>
                  <w14:schemeClr w14:val="tx1"/>
                </w14:solidFill>
              </w14:textFill>
            </w:rPr>
            <w:t xml:space="preserve"> </w:t>
          </w:r>
          <w:r>
            <w:rPr>
              <w:rFonts w:ascii="仿宋" w:hAnsi="仿宋" w:eastAsia="仿宋"/>
              <w:color w:val="000000" w:themeColor="text1"/>
              <w:sz w:val="32"/>
              <w:highlight w:val="none"/>
              <w14:textFill>
                <w14:solidFill>
                  <w14:schemeClr w14:val="tx1"/>
                </w14:solidFill>
              </w14:textFill>
            </w:rPr>
            <w:t xml:space="preserve">   </w:t>
          </w:r>
          <w:r>
            <w:rPr>
              <w:rFonts w:hint="eastAsia" w:ascii="仿宋" w:hAnsi="仿宋" w:eastAsia="仿宋" w:cs="Times New Roman"/>
              <w:b w:val="0"/>
              <w:bCs w:val="0"/>
              <w:color w:val="000000" w:themeColor="text1"/>
              <w:kern w:val="2"/>
              <w:sz w:val="32"/>
              <w:szCs w:val="32"/>
              <w:highlight w:val="none"/>
              <w:lang w:val="zh-CN"/>
              <w14:textFill>
                <w14:solidFill>
                  <w14:schemeClr w14:val="tx1"/>
                </w14:solidFill>
              </w14:textFill>
            </w:rPr>
            <w:t>次</w:t>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TOC \o "1-3" \h \z \u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highlight w:val="none"/>
            </w:rPr>
            <w:fldChar w:fldCharType="begin"/>
          </w:r>
          <w:r>
            <w:rPr>
              <w:highlight w:val="none"/>
            </w:rPr>
            <w:instrText xml:space="preserve"> HYPERLINK \l "_Toc44847169"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1</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总　　则</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_Toc44847169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1</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"_Toc44847170"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2</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术　　语</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_Toc44847170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2</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"_Toc44847171"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3</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基本规定</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_Toc44847171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4</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"_Toc44847172"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4</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规划选址</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_Toc44847172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6</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"_Toc44847173"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5</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工艺设计</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_Toc44847173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7</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"_Toc44847174"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5.1　实验室分类</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_Toc44847174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7</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"_Toc44847175"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5.2　受控环境要求</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_Toc44847175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8</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"_Toc44847176"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5.3　实验室布局</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8</w:t>
          </w:r>
          <w:r>
            <w:rPr>
              <w:rFonts w:hint="eastAsia" w:ascii="Times New Roman" w:hAnsi="Times New Roman" w:cs="Times New Roman"/>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"_Toc44847182"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6</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工程设计</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_Toc44847182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1</w:t>
          </w:r>
          <w:r>
            <w:rPr>
              <w:rFonts w:hint="eastAsia" w:ascii="Times New Roman" w:hAnsi="Times New Roman" w:cs="Times New Roman"/>
              <w:b/>
              <w:bCs/>
              <w:color w:val="000000" w:themeColor="text1"/>
              <w:sz w:val="24"/>
              <w:szCs w:val="24"/>
              <w:highlight w:val="none"/>
              <w14:textFill>
                <w14:solidFill>
                  <w14:schemeClr w14:val="tx1"/>
                </w14:solidFill>
              </w14:textFill>
            </w:rPr>
            <w:t>0</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"_Toc44847189"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6.1　建筑设计</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_Toc44847189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0</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"_Toc44847190"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6.2　结构及防微振设计</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_Toc44847190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1</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"_Toc44847191"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6.3　公用系统设计</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_Toc44847191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1</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"_Toc44847192"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6.4　实验室辅助设计</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_Toc44847192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3</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"_Toc44847193"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7</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施工与调试</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_Toc44847193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1</w:t>
          </w:r>
          <w:r>
            <w:rPr>
              <w:rFonts w:hint="eastAsia" w:ascii="Times New Roman" w:hAnsi="Times New Roman" w:cs="Times New Roman"/>
              <w:b/>
              <w:bCs/>
              <w:color w:val="000000" w:themeColor="text1"/>
              <w:sz w:val="24"/>
              <w:szCs w:val="24"/>
              <w:highlight w:val="none"/>
              <w14:textFill>
                <w14:solidFill>
                  <w14:schemeClr w14:val="tx1"/>
                </w14:solidFill>
              </w14:textFill>
            </w:rPr>
            <w:t>4</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"_Toc44847195"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7.1　一般规定</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_Toc44847195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4</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"_Toc44847196"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7.2　施工要求</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_Toc44847196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4</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"_Toc44847197"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7.3　调试要求</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_Toc44847197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5</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"_Toc44847198"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8</w:t>
          </w:r>
          <w:r>
            <w:rPr>
              <w:rFonts w:ascii="Times New Roman" w:hAnsi="Times New Roman" w:cs="Times New Roman"/>
              <w:b/>
              <w:bCs/>
              <w:color w:val="000000" w:themeColor="text1"/>
              <w:sz w:val="24"/>
              <w:szCs w:val="24"/>
              <w:highlight w:val="none"/>
              <w14:textFill>
                <w14:solidFill>
                  <w14:schemeClr w14:val="tx1"/>
                </w14:solidFill>
              </w14:textFill>
            </w:rPr>
            <w:tab/>
          </w:r>
          <w:r>
            <w:rPr>
              <w:rStyle w:val="42"/>
              <w:rFonts w:ascii="Times New Roman" w:hAnsi="Times New Roman" w:cs="Times New Roman"/>
              <w:b/>
              <w:bCs/>
              <w:color w:val="000000" w:themeColor="text1"/>
              <w:sz w:val="24"/>
              <w:szCs w:val="24"/>
              <w:highlight w:val="none"/>
              <w14:textFill>
                <w14:solidFill>
                  <w14:schemeClr w14:val="tx1"/>
                </w14:solidFill>
              </w14:textFill>
            </w:rPr>
            <w:t>检测与验收</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_Toc44847198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1</w:t>
          </w:r>
          <w:r>
            <w:rPr>
              <w:rFonts w:hint="eastAsia" w:ascii="Times New Roman" w:hAnsi="Times New Roman" w:cs="Times New Roman"/>
              <w:b/>
              <w:bCs/>
              <w:color w:val="000000" w:themeColor="text1"/>
              <w:sz w:val="24"/>
              <w:szCs w:val="24"/>
              <w:highlight w:val="none"/>
              <w14:textFill>
                <w14:solidFill>
                  <w14:schemeClr w14:val="tx1"/>
                </w14:solidFill>
              </w14:textFill>
            </w:rPr>
            <w:t>6</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"_Toc44847200"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8.1　工程检测</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_Toc44847200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6</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"_Toc44847201" </w:instrText>
          </w:r>
          <w:r>
            <w:rPr>
              <w:highlight w:val="none"/>
            </w:rPr>
            <w:fldChar w:fldCharType="separate"/>
          </w:r>
          <w:r>
            <w:rPr>
              <w:rStyle w:val="42"/>
              <w:rFonts w:ascii="Times New Roman" w:hAnsi="Times New Roman" w:cs="Times New Roman"/>
              <w:color w:val="000000" w:themeColor="text1"/>
              <w:sz w:val="24"/>
              <w:szCs w:val="24"/>
              <w:highlight w:val="none"/>
              <w14:textFill>
                <w14:solidFill>
                  <w14:schemeClr w14:val="tx1"/>
                </w14:solidFill>
              </w14:textFill>
            </w:rPr>
            <w:t>8.2　工程验收</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_Toc44847201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1</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25"/>
            <w:tabs>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"_Toc44847202"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附录A　</w:t>
          </w:r>
          <w:r>
            <w:rPr>
              <w:rStyle w:val="42"/>
              <w:rFonts w:hint="eastAsia" w:ascii="Times New Roman" w:hAnsi="Times New Roman" w:cs="Times New Roman"/>
              <w:b/>
              <w:bCs/>
              <w:color w:val="000000" w:themeColor="text1"/>
              <w:sz w:val="24"/>
              <w:szCs w:val="24"/>
              <w:highlight w:val="none"/>
              <w14:textFill>
                <w14:solidFill>
                  <w14:schemeClr w14:val="tx1"/>
                </w14:solidFill>
              </w14:textFill>
            </w:rPr>
            <w:t>几何量测量实验室受控环境要求</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_Toc44847202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2</w:t>
          </w:r>
          <w:r>
            <w:rPr>
              <w:rFonts w:hint="eastAsia" w:ascii="Times New Roman" w:hAnsi="Times New Roman" w:cs="Times New Roman"/>
              <w:b/>
              <w:bCs/>
              <w:color w:val="000000" w:themeColor="text1"/>
              <w:sz w:val="24"/>
              <w:szCs w:val="24"/>
              <w:highlight w:val="none"/>
              <w14:textFill>
                <w14:solidFill>
                  <w14:schemeClr w14:val="tx1"/>
                </w14:solidFill>
              </w14:textFill>
            </w:rPr>
            <w:t>2</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"_Toc44847203"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附录B　几何量测量实验室综合性能检验方法</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_Toc44847203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3</w:t>
          </w:r>
          <w:r>
            <w:rPr>
              <w:rFonts w:hint="eastAsia" w:ascii="Times New Roman" w:hAnsi="Times New Roman" w:cs="Times New Roman"/>
              <w:b/>
              <w:bCs/>
              <w:color w:val="000000" w:themeColor="text1"/>
              <w:sz w:val="24"/>
              <w:szCs w:val="24"/>
              <w:highlight w:val="none"/>
              <w14:textFill>
                <w14:solidFill>
                  <w14:schemeClr w14:val="tx1"/>
                </w14:solidFill>
              </w14:textFill>
            </w:rPr>
            <w:t>0</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right" w:leader="dot" w:pos="8296"/>
            </w:tabs>
            <w:spacing w:line="360" w:lineRule="auto"/>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"_Toc44847213"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附录C　几何量测量实验室工程验收检查项目</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_Toc44847213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3</w:t>
          </w:r>
          <w:r>
            <w:rPr>
              <w:rFonts w:hint="eastAsia" w:ascii="Times New Roman" w:hAnsi="Times New Roman" w:cs="Times New Roman"/>
              <w:b/>
              <w:bCs/>
              <w:color w:val="000000" w:themeColor="text1"/>
              <w:sz w:val="24"/>
              <w:szCs w:val="24"/>
              <w:highlight w:val="none"/>
              <w14:textFill>
                <w14:solidFill>
                  <w14:schemeClr w14:val="tx1"/>
                </w14:solidFill>
              </w14:textFill>
            </w:rPr>
            <w:t>5</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ind w:left="0" w:leftChars="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"_Toc44847214"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本标准用词说明</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_Toc44847214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4</w:t>
          </w:r>
          <w:r>
            <w:rPr>
              <w:rFonts w:hint="eastAsia" w:ascii="Times New Roman" w:hAnsi="Times New Roman" w:cs="Times New Roman"/>
              <w:b/>
              <w:bCs/>
              <w:color w:val="000000" w:themeColor="text1"/>
              <w:sz w:val="24"/>
              <w:szCs w:val="24"/>
              <w:highlight w:val="none"/>
              <w14:textFill>
                <w14:solidFill>
                  <w14:schemeClr w14:val="tx1"/>
                </w14:solidFill>
              </w14:textFill>
            </w:rPr>
            <w:t>1</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ind w:left="0" w:leftChars="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"_Toc44847215" </w:instrText>
          </w:r>
          <w:r>
            <w:rPr>
              <w:highlight w:val="none"/>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引用标准名录</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_Toc44847215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4</w:t>
          </w:r>
          <w:r>
            <w:rPr>
              <w:rFonts w:hint="eastAsia" w:ascii="Times New Roman" w:hAnsi="Times New Roman" w:cs="Times New Roman"/>
              <w:b/>
              <w:bCs/>
              <w:color w:val="000000" w:themeColor="text1"/>
              <w:sz w:val="24"/>
              <w:szCs w:val="24"/>
              <w:highlight w:val="none"/>
              <w14:textFill>
                <w14:solidFill>
                  <w14:schemeClr w14:val="tx1"/>
                </w14:solidFill>
              </w14:textFill>
            </w:rPr>
            <w:t>2</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ind w:left="0" w:leftChars="0"/>
            <w:rPr>
              <w:rFonts w:ascii="Times New Roman" w:hAnsi="Times New Roman" w:cs="Times New Roman"/>
              <w:b/>
              <w:bCs/>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14:textFill>
                <w14:solidFill>
                  <w14:schemeClr w14:val="tx1"/>
                </w14:solidFill>
              </w14:textFill>
            </w:rPr>
            <w:t>附：</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"_Toc44847216" </w:instrText>
          </w:r>
          <w:r>
            <w:rPr>
              <w:color w:val="000000" w:themeColor="text1"/>
              <w:highlight w:val="none"/>
              <w14:textFill>
                <w14:solidFill>
                  <w14:schemeClr w14:val="tx1"/>
                </w14:solidFill>
              </w14:textFill>
            </w:rPr>
            <w:fldChar w:fldCharType="separate"/>
          </w:r>
          <w:r>
            <w:rPr>
              <w:rStyle w:val="42"/>
              <w:rFonts w:ascii="Times New Roman" w:hAnsi="Times New Roman" w:cs="Times New Roman"/>
              <w:b/>
              <w:bCs/>
              <w:color w:val="000000" w:themeColor="text1"/>
              <w:sz w:val="24"/>
              <w:szCs w:val="24"/>
              <w:highlight w:val="none"/>
              <w14:textFill>
                <w14:solidFill>
                  <w14:schemeClr w14:val="tx1"/>
                </w14:solidFill>
              </w14:textFill>
            </w:rPr>
            <w:t>条文说明</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_Toc44847216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ascii="Times New Roman" w:hAnsi="Times New Roman" w:cs="Times New Roman"/>
              <w:b/>
              <w:bCs/>
              <w:color w:val="000000" w:themeColor="text1"/>
              <w:sz w:val="24"/>
              <w:szCs w:val="24"/>
              <w:highlight w:val="none"/>
              <w14:textFill>
                <w14:solidFill>
                  <w14:schemeClr w14:val="tx1"/>
                </w14:solidFill>
              </w14:textFill>
            </w:rPr>
            <w:t>4</w:t>
          </w:r>
          <w:r>
            <w:rPr>
              <w:rFonts w:hint="eastAsia" w:ascii="Times New Roman" w:hAnsi="Times New Roman" w:cs="Times New Roman"/>
              <w:b/>
              <w:bCs/>
              <w:color w:val="000000" w:themeColor="text1"/>
              <w:sz w:val="24"/>
              <w:szCs w:val="24"/>
              <w:highlight w:val="none"/>
              <w14:textFill>
                <w14:solidFill>
                  <w14:schemeClr w14:val="tx1"/>
                </w14:solidFill>
              </w14:textFill>
            </w:rPr>
            <w:t>4</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spacing w:line="360" w:lineRule="auto"/>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fldChar w:fldCharType="end"/>
          </w:r>
        </w:p>
      </w:sdtContent>
    </w:sdt>
    <w:p>
      <w:pPr>
        <w:spacing w:line="360" w:lineRule="auto"/>
        <w:jc w:val="center"/>
        <w:rPr>
          <w:rFonts w:ascii="Times New Roman" w:hAnsi="Times New Roman" w:eastAsia="华文中宋" w:cs="Times New Roman"/>
          <w:bCs/>
          <w:color w:val="000000" w:themeColor="text1"/>
          <w:sz w:val="32"/>
          <w:szCs w:val="32"/>
          <w:highlight w:val="none"/>
          <w14:textFill>
            <w14:solidFill>
              <w14:schemeClr w14:val="tx1"/>
            </w14:solidFill>
          </w14:textFill>
        </w:rPr>
      </w:pPr>
      <w:r>
        <w:rPr>
          <w:rFonts w:ascii="Times New Roman" w:hAnsi="Times New Roman" w:eastAsia="华文中宋" w:cs="Times New Roman"/>
          <w:bCs/>
          <w:color w:val="000000" w:themeColor="text1"/>
          <w:sz w:val="32"/>
          <w:szCs w:val="32"/>
          <w:highlight w:val="none"/>
          <w14:textFill>
            <w14:solidFill>
              <w14:schemeClr w14:val="tx1"/>
            </w14:solidFill>
          </w14:textFill>
        </w:rPr>
        <w:br w:type="page"/>
      </w:r>
    </w:p>
    <w:p>
      <w:pPr>
        <w:spacing w:line="360" w:lineRule="auto"/>
        <w:jc w:val="center"/>
        <w:rPr>
          <w:rFonts w:ascii="Times New Roman" w:hAnsi="Times New Roman" w:cs="Times New Roman"/>
          <w:b/>
          <w:color w:val="000000" w:themeColor="text1"/>
          <w:sz w:val="22"/>
          <w:highlight w:val="none"/>
          <w14:textFill>
            <w14:solidFill>
              <w14:schemeClr w14:val="tx1"/>
            </w14:solidFill>
          </w14:textFill>
        </w:rPr>
      </w:pPr>
      <w:r>
        <w:rPr>
          <w:rFonts w:ascii="Times New Roman" w:hAnsi="Times New Roman" w:cs="Times New Roman"/>
          <w:b/>
          <w:color w:val="000000" w:themeColor="text1"/>
          <w:sz w:val="32"/>
          <w:szCs w:val="24"/>
          <w:highlight w:val="none"/>
          <w14:textFill>
            <w14:solidFill>
              <w14:schemeClr w14:val="tx1"/>
            </w14:solidFill>
          </w14:textFill>
        </w:rPr>
        <w:t>Contents</w:t>
      </w:r>
      <w:r>
        <w:rPr>
          <w:rFonts w:ascii="Times New Roman" w:hAnsi="Times New Roman" w:eastAsia="等线 Light" w:cs="Times New Roman"/>
          <w:bCs/>
          <w:color w:val="000000" w:themeColor="text1"/>
          <w:kern w:val="0"/>
          <w:sz w:val="22"/>
          <w:highlight w:val="none"/>
          <w:lang w:val="zh-CN"/>
          <w14:textFill>
            <w14:solidFill>
              <w14:schemeClr w14:val="tx1"/>
            </w14:solidFill>
          </w14:textFill>
        </w:rPr>
        <w:fldChar w:fldCharType="begin"/>
      </w:r>
      <w:r>
        <w:rPr>
          <w:rFonts w:ascii="Times New Roman" w:hAnsi="Times New Roman" w:eastAsia="等线 Light" w:cs="Times New Roman"/>
          <w:bCs/>
          <w:color w:val="000000" w:themeColor="text1"/>
          <w:kern w:val="0"/>
          <w:sz w:val="22"/>
          <w:highlight w:val="none"/>
          <w:lang w:val="zh-CN"/>
          <w14:textFill>
            <w14:solidFill>
              <w14:schemeClr w14:val="tx1"/>
            </w14:solidFill>
          </w14:textFill>
        </w:rPr>
        <w:instrText xml:space="preserve"> TOC \o "1-3" \h \z \u </w:instrText>
      </w:r>
      <w:r>
        <w:rPr>
          <w:rFonts w:ascii="Times New Roman" w:hAnsi="Times New Roman" w:eastAsia="等线 Light" w:cs="Times New Roman"/>
          <w:bCs/>
          <w:color w:val="000000" w:themeColor="text1"/>
          <w:kern w:val="0"/>
          <w:sz w:val="22"/>
          <w:highlight w:val="none"/>
          <w:lang w:val="zh-CN"/>
          <w14:textFill>
            <w14:solidFill>
              <w14:schemeClr w14:val="tx1"/>
            </w14:solidFill>
          </w14:textFill>
        </w:rPr>
        <w:fldChar w:fldCharType="separate"/>
      </w:r>
    </w:p>
    <w:p>
      <w:pPr>
        <w:tabs>
          <w:tab w:val="left" w:pos="426"/>
          <w:tab w:val="right" w:leader="dot" w:pos="8296"/>
        </w:tabs>
        <w:spacing w:line="360" w:lineRule="auto"/>
        <w:rPr>
          <w:rFonts w:ascii="Times New Roman" w:hAnsi="Times New Roman" w:eastAsia="等线" w:cs="Times New Roman"/>
          <w:b/>
          <w:bCs/>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"_Toc519005955"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 xml:space="preserve">1  General </w:t>
      </w:r>
      <w:r>
        <w:rPr>
          <w:rFonts w:hint="eastAsia" w:ascii="Times New Roman" w:hAnsi="Times New Roman" w:eastAsia="宋体" w:cs="Times New Roman"/>
          <w:b/>
          <w:bCs/>
          <w:color w:val="000000" w:themeColor="text1"/>
          <w:sz w:val="22"/>
          <w:highlight w:val="none"/>
          <w14:textFill>
            <w14:solidFill>
              <w14:schemeClr w14:val="tx1"/>
            </w14:solidFill>
          </w14:textFill>
        </w:rPr>
        <w:t>p</w:t>
      </w:r>
      <w:r>
        <w:rPr>
          <w:rFonts w:ascii="Times New Roman" w:hAnsi="Times New Roman" w:eastAsia="宋体" w:cs="Times New Roman"/>
          <w:b/>
          <w:bCs/>
          <w:color w:val="000000" w:themeColor="text1"/>
          <w:sz w:val="22"/>
          <w:highlight w:val="none"/>
          <w14:textFill>
            <w14:solidFill>
              <w14:schemeClr w14:val="tx1"/>
            </w14:solidFill>
          </w14:textFill>
        </w:rPr>
        <w:t>rovisions</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t>1</w:t>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p>
    <w:p>
      <w:pPr>
        <w:tabs>
          <w:tab w:val="left" w:pos="426"/>
          <w:tab w:val="right" w:leader="dot" w:pos="8296"/>
        </w:tabs>
        <w:spacing w:line="360" w:lineRule="auto"/>
        <w:rPr>
          <w:rFonts w:ascii="Times New Roman" w:hAnsi="Times New Roman" w:eastAsia="等线" w:cs="Times New Roman"/>
          <w:b/>
          <w:bCs/>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"_Toc519005956"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2  Terms</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r>
        <w:rPr>
          <w:rFonts w:ascii="Times New Roman" w:hAnsi="Times New Roman" w:eastAsia="宋体" w:cs="Times New Roman"/>
          <w:b/>
          <w:bCs/>
          <w:color w:val="000000" w:themeColor="text1"/>
          <w:sz w:val="22"/>
          <w:highlight w:val="none"/>
          <w14:textFill>
            <w14:solidFill>
              <w14:schemeClr w14:val="tx1"/>
            </w14:solidFill>
          </w14:textFill>
        </w:rPr>
        <w:t>2</w:t>
      </w:r>
    </w:p>
    <w:p>
      <w:pPr>
        <w:tabs>
          <w:tab w:val="left" w:pos="426"/>
          <w:tab w:val="right" w:leader="dot" w:pos="8296"/>
        </w:tabs>
        <w:spacing w:line="360" w:lineRule="auto"/>
        <w:rPr>
          <w:rFonts w:ascii="Times New Roman" w:hAnsi="Times New Roman" w:eastAsia="宋体" w:cs="Times New Roman"/>
          <w:b/>
          <w:bCs/>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"_Toc519005957"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3  Basic requirements</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r>
        <w:rPr>
          <w:rFonts w:ascii="Times New Roman" w:hAnsi="Times New Roman" w:eastAsia="宋体" w:cs="Times New Roman"/>
          <w:b/>
          <w:bCs/>
          <w:color w:val="000000" w:themeColor="text1"/>
          <w:sz w:val="22"/>
          <w:highlight w:val="none"/>
          <w14:textFill>
            <w14:solidFill>
              <w14:schemeClr w14:val="tx1"/>
            </w14:solidFill>
          </w14:textFill>
        </w:rPr>
        <w:t>4</w:t>
      </w:r>
    </w:p>
    <w:p>
      <w:pPr>
        <w:tabs>
          <w:tab w:val="left" w:pos="426"/>
          <w:tab w:val="right" w:leader="dot" w:pos="8296"/>
        </w:tabs>
        <w:spacing w:line="360" w:lineRule="auto"/>
        <w:rPr>
          <w:rFonts w:ascii="Times New Roman" w:hAnsi="Times New Roman" w:eastAsia="宋体" w:cs="Times New Roman"/>
          <w:b/>
          <w:bCs/>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"_Toc519005958"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4  Project planning and site</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r>
        <w:rPr>
          <w:rFonts w:ascii="Times New Roman" w:hAnsi="Times New Roman" w:eastAsia="宋体" w:cs="Times New Roman"/>
          <w:b/>
          <w:bCs/>
          <w:color w:val="000000" w:themeColor="text1"/>
          <w:sz w:val="22"/>
          <w:highlight w:val="none"/>
          <w14:textFill>
            <w14:solidFill>
              <w14:schemeClr w14:val="tx1"/>
            </w14:solidFill>
          </w14:textFill>
        </w:rPr>
        <w:t>6</w:t>
      </w:r>
    </w:p>
    <w:p>
      <w:pPr>
        <w:tabs>
          <w:tab w:val="left" w:pos="426"/>
          <w:tab w:val="right" w:leader="dot" w:pos="8296"/>
        </w:tabs>
        <w:spacing w:line="360" w:lineRule="auto"/>
        <w:rPr>
          <w:rFonts w:ascii="Times New Roman" w:hAnsi="Times New Roman" w:eastAsia="等线" w:cs="Times New Roman"/>
          <w:b/>
          <w:bCs/>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"_Toc519005959"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5  Process planning</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r>
        <w:rPr>
          <w:rFonts w:ascii="Times New Roman" w:hAnsi="Times New Roman" w:eastAsia="宋体" w:cs="Times New Roman"/>
          <w:b/>
          <w:bCs/>
          <w:color w:val="000000" w:themeColor="text1"/>
          <w:sz w:val="22"/>
          <w:highlight w:val="none"/>
          <w14:textFill>
            <w14:solidFill>
              <w14:schemeClr w14:val="tx1"/>
            </w14:solidFill>
          </w14:textFill>
        </w:rPr>
        <w:t>7</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"_Toc519005960" </w:instrText>
      </w:r>
      <w:r>
        <w:rPr>
          <w:highlight w:val="none"/>
        </w:rPr>
        <w:fldChar w:fldCharType="separate"/>
      </w:r>
      <w:r>
        <w:rPr>
          <w:rFonts w:ascii="Times New Roman" w:hAnsi="Times New Roman" w:eastAsia="宋体" w:cs="Times New Roman"/>
          <w:color w:val="000000" w:themeColor="text1"/>
          <w:sz w:val="22"/>
          <w:highlight w:val="none"/>
          <w14:textFill>
            <w14:solidFill>
              <w14:schemeClr w14:val="tx1"/>
            </w14:solidFill>
          </w14:textFill>
        </w:rPr>
        <w:t>5.1  Classification of geometric measurement laboratory</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7</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"_Toc519005961" </w:instrText>
      </w:r>
      <w:r>
        <w:rPr>
          <w:highlight w:val="none"/>
        </w:rPr>
        <w:fldChar w:fldCharType="separate"/>
      </w:r>
      <w:r>
        <w:rPr>
          <w:rFonts w:ascii="Times New Roman" w:hAnsi="Times New Roman" w:eastAsia="宋体" w:cs="Times New Roman"/>
          <w:color w:val="000000" w:themeColor="text1"/>
          <w:sz w:val="22"/>
          <w:highlight w:val="none"/>
          <w14:textFill>
            <w14:solidFill>
              <w14:schemeClr w14:val="tx1"/>
            </w14:solidFill>
          </w14:textFill>
        </w:rPr>
        <w:t>5.2  Controlled environment of geometric measurement laboratory</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8</w:t>
      </w:r>
    </w:p>
    <w:p>
      <w:pPr>
        <w:tabs>
          <w:tab w:val="left" w:pos="993"/>
          <w:tab w:val="right" w:leader="dot" w:pos="8296"/>
        </w:tabs>
        <w:spacing w:line="360" w:lineRule="auto"/>
        <w:ind w:firstLine="424" w:firstLineChars="202"/>
        <w:rPr>
          <w:rFonts w:ascii="Times New Roman" w:hAnsi="Times New Roman" w:eastAsia="宋体"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"_Toc519005962" </w:instrText>
      </w:r>
      <w:r>
        <w:rPr>
          <w:highlight w:val="none"/>
        </w:rPr>
        <w:fldChar w:fldCharType="separate"/>
      </w:r>
      <w:r>
        <w:rPr>
          <w:rFonts w:ascii="Times New Roman" w:hAnsi="Times New Roman" w:eastAsia="宋体" w:cs="Times New Roman"/>
          <w:color w:val="000000" w:themeColor="text1"/>
          <w:sz w:val="22"/>
          <w:highlight w:val="none"/>
          <w14:textFill>
            <w14:solidFill>
              <w14:schemeClr w14:val="tx1"/>
            </w14:solidFill>
          </w14:textFill>
        </w:rPr>
        <w:t>5.3  Layout of geometric measurement laboratory</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hint="eastAsia" w:ascii="Times New Roman" w:hAnsi="Times New Roman" w:eastAsia="宋体" w:cs="Times New Roman"/>
          <w:color w:val="000000" w:themeColor="text1"/>
          <w:sz w:val="22"/>
          <w:highlight w:val="none"/>
          <w14:textFill>
            <w14:solidFill>
              <w14:schemeClr w14:val="tx1"/>
            </w14:solidFill>
          </w14:textFill>
        </w:rPr>
        <w:t>8</w:t>
      </w:r>
    </w:p>
    <w:p>
      <w:pPr>
        <w:tabs>
          <w:tab w:val="left" w:pos="426"/>
          <w:tab w:val="right" w:leader="dot" w:pos="8296"/>
        </w:tabs>
        <w:spacing w:line="360" w:lineRule="auto"/>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"_Toc519005963"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6  Construction design</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t>1</w:t>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r>
        <w:rPr>
          <w:rFonts w:hint="eastAsia" w:ascii="Times New Roman" w:hAnsi="Times New Roman" w:eastAsia="宋体" w:cs="Times New Roman"/>
          <w:b/>
          <w:bCs/>
          <w:color w:val="000000" w:themeColor="text1"/>
          <w:sz w:val="22"/>
          <w:highlight w:val="none"/>
          <w14:textFill>
            <w14:solidFill>
              <w14:schemeClr w14:val="tx1"/>
            </w14:solidFill>
          </w14:textFill>
        </w:rPr>
        <w:t>0</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"_Toc519005964" </w:instrText>
      </w:r>
      <w:r>
        <w:rPr>
          <w:highlight w:val="none"/>
        </w:rPr>
        <w:fldChar w:fldCharType="separate"/>
      </w:r>
      <w:r>
        <w:rPr>
          <w:rFonts w:ascii="Times New Roman" w:hAnsi="Times New Roman" w:eastAsia="宋体" w:cs="Times New Roman"/>
          <w:color w:val="000000" w:themeColor="text1"/>
          <w:sz w:val="22"/>
          <w:highlight w:val="none"/>
          <w14:textFill>
            <w14:solidFill>
              <w14:schemeClr w14:val="tx1"/>
            </w14:solidFill>
          </w14:textFill>
        </w:rPr>
        <w:t>6.1  Architectural design</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t>1</w:t>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hint="eastAsia" w:ascii="Times New Roman" w:hAnsi="Times New Roman" w:eastAsia="宋体" w:cs="Times New Roman"/>
          <w:color w:val="000000" w:themeColor="text1"/>
          <w:sz w:val="22"/>
          <w:highlight w:val="none"/>
          <w14:textFill>
            <w14:solidFill>
              <w14:schemeClr w14:val="tx1"/>
            </w14:solidFill>
          </w14:textFill>
        </w:rPr>
        <w:t>0</w:t>
      </w:r>
    </w:p>
    <w:p>
      <w:pPr>
        <w:tabs>
          <w:tab w:val="left" w:pos="993"/>
          <w:tab w:val="right" w:leader="dot" w:pos="8296"/>
        </w:tabs>
        <w:spacing w:line="360" w:lineRule="auto"/>
        <w:ind w:firstLine="424" w:firstLineChars="202"/>
        <w:rPr>
          <w:rFonts w:ascii="Times New Roman" w:hAnsi="Times New Roman" w:eastAsia="宋体"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"_Toc519005965" </w:instrText>
      </w:r>
      <w:r>
        <w:rPr>
          <w:highlight w:val="none"/>
        </w:rPr>
        <w:fldChar w:fldCharType="separate"/>
      </w:r>
      <w:r>
        <w:rPr>
          <w:rFonts w:ascii="Times New Roman" w:hAnsi="Times New Roman" w:eastAsia="宋体" w:cs="Times New Roman"/>
          <w:color w:val="000000" w:themeColor="text1"/>
          <w:sz w:val="22"/>
          <w:highlight w:val="none"/>
          <w14:textFill>
            <w14:solidFill>
              <w14:schemeClr w14:val="tx1"/>
            </w14:solidFill>
          </w14:textFill>
        </w:rPr>
        <w:t>6.2  Structure and anti-microvibration design</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t>1</w:t>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hint="eastAsia" w:ascii="Times New Roman" w:hAnsi="Times New Roman" w:eastAsia="宋体" w:cs="Times New Roman"/>
          <w:color w:val="000000" w:themeColor="text1"/>
          <w:sz w:val="22"/>
          <w:highlight w:val="none"/>
          <w14:textFill>
            <w14:solidFill>
              <w14:schemeClr w14:val="tx1"/>
            </w14:solidFill>
          </w14:textFill>
        </w:rPr>
        <w:t>1</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"_Toc519005960" </w:instrText>
      </w:r>
      <w:r>
        <w:rPr>
          <w:highlight w:val="none"/>
        </w:rPr>
        <w:fldChar w:fldCharType="separate"/>
      </w:r>
      <w:r>
        <w:rPr>
          <w:rFonts w:ascii="Times New Roman" w:hAnsi="Times New Roman" w:eastAsia="宋体" w:cs="Times New Roman"/>
          <w:color w:val="000000" w:themeColor="text1"/>
          <w:sz w:val="22"/>
          <w:highlight w:val="none"/>
          <w14:textFill>
            <w14:solidFill>
              <w14:schemeClr w14:val="tx1"/>
            </w14:solidFill>
          </w14:textFill>
        </w:rPr>
        <w:t>6.3  U</w:t>
      </w:r>
      <w:r>
        <w:rPr>
          <w:rFonts w:hint="eastAsia" w:ascii="Times New Roman" w:hAnsi="Times New Roman" w:eastAsia="宋体" w:cs="Times New Roman"/>
          <w:color w:val="000000" w:themeColor="text1"/>
          <w:sz w:val="22"/>
          <w:highlight w:val="none"/>
          <w14:textFill>
            <w14:solidFill>
              <w14:schemeClr w14:val="tx1"/>
            </w14:solidFill>
          </w14:textFill>
        </w:rPr>
        <w:t>tility</w:t>
      </w:r>
      <w:r>
        <w:rPr>
          <w:rFonts w:ascii="Times New Roman" w:hAnsi="Times New Roman" w:eastAsia="宋体" w:cs="Times New Roman"/>
          <w:color w:val="000000" w:themeColor="text1"/>
          <w:sz w:val="22"/>
          <w:highlight w:val="none"/>
          <w14:textFill>
            <w14:solidFill>
              <w14:schemeClr w14:val="tx1"/>
            </w14:solidFill>
          </w14:textFill>
        </w:rPr>
        <w:t xml:space="preserve"> system design</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t>1</w:t>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hint="eastAsia" w:ascii="Times New Roman" w:hAnsi="Times New Roman" w:eastAsia="宋体" w:cs="Times New Roman"/>
          <w:color w:val="000000" w:themeColor="text1"/>
          <w:sz w:val="22"/>
          <w:highlight w:val="none"/>
          <w14:textFill>
            <w14:solidFill>
              <w14:schemeClr w14:val="tx1"/>
            </w14:solidFill>
          </w14:textFill>
        </w:rPr>
        <w:t>1</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"_Toc519005960" </w:instrText>
      </w:r>
      <w:r>
        <w:rPr>
          <w:highlight w:val="none"/>
        </w:rPr>
        <w:fldChar w:fldCharType="separate"/>
      </w:r>
      <w:r>
        <w:rPr>
          <w:rFonts w:ascii="Times New Roman" w:hAnsi="Times New Roman" w:eastAsia="宋体" w:cs="Times New Roman"/>
          <w:color w:val="000000" w:themeColor="text1"/>
          <w:sz w:val="22"/>
          <w:highlight w:val="none"/>
          <w14:textFill>
            <w14:solidFill>
              <w14:schemeClr w14:val="tx1"/>
            </w14:solidFill>
          </w14:textFill>
        </w:rPr>
        <w:t>6.4  Laboratory auxiliary design</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t>1</w:t>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hint="eastAsia" w:ascii="Times New Roman" w:hAnsi="Times New Roman" w:eastAsia="宋体" w:cs="Times New Roman"/>
          <w:color w:val="000000" w:themeColor="text1"/>
          <w:sz w:val="22"/>
          <w:highlight w:val="none"/>
          <w14:textFill>
            <w14:solidFill>
              <w14:schemeClr w14:val="tx1"/>
            </w14:solidFill>
          </w14:textFill>
        </w:rPr>
        <w:t>3</w:t>
      </w:r>
    </w:p>
    <w:p>
      <w:pPr>
        <w:tabs>
          <w:tab w:val="left" w:pos="426"/>
          <w:tab w:val="right" w:leader="dot" w:pos="8296"/>
        </w:tabs>
        <w:spacing w:line="360" w:lineRule="auto"/>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"_Toc519005963" </w:instrText>
      </w:r>
      <w:r>
        <w:rPr>
          <w:highlight w:val="none"/>
        </w:rPr>
        <w:fldChar w:fldCharType="separate"/>
      </w:r>
      <w:r>
        <w:rPr>
          <w:rFonts w:hint="eastAsia" w:ascii="Times New Roman" w:hAnsi="Times New Roman" w:eastAsia="宋体" w:cs="Times New Roman"/>
          <w:b/>
          <w:bCs/>
          <w:color w:val="000000" w:themeColor="text1"/>
          <w:sz w:val="22"/>
          <w:highlight w:val="none"/>
          <w14:textFill>
            <w14:solidFill>
              <w14:schemeClr w14:val="tx1"/>
            </w14:solidFill>
          </w14:textFill>
        </w:rPr>
        <w:t>7</w:t>
      </w:r>
      <w:r>
        <w:rPr>
          <w:rFonts w:ascii="Times New Roman" w:hAnsi="Times New Roman" w:eastAsia="宋体" w:cs="Times New Roman"/>
          <w:b/>
          <w:bCs/>
          <w:color w:val="000000" w:themeColor="text1"/>
          <w:sz w:val="22"/>
          <w:highlight w:val="none"/>
          <w14:textFill>
            <w14:solidFill>
              <w14:schemeClr w14:val="tx1"/>
            </w14:solidFill>
          </w14:textFill>
        </w:rPr>
        <w:t xml:space="preserve">  Construction and commission</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1</w:t>
      </w:r>
      <w:r>
        <w:rPr>
          <w:rFonts w:hint="eastAsia" w:ascii="Times New Roman" w:hAnsi="Times New Roman" w:eastAsia="宋体" w:cs="Times New Roman"/>
          <w:color w:val="000000" w:themeColor="text1"/>
          <w:sz w:val="22"/>
          <w:highlight w:val="none"/>
          <w14:textFill>
            <w14:solidFill>
              <w14:schemeClr w14:val="tx1"/>
            </w14:solidFill>
          </w14:textFill>
        </w:rPr>
        <w:t>4</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"_Toc519005964" </w:instrText>
      </w:r>
      <w:r>
        <w:rPr>
          <w:highlight w:val="none"/>
        </w:rPr>
        <w:fldChar w:fldCharType="separate"/>
      </w:r>
      <w:r>
        <w:rPr>
          <w:rFonts w:hint="eastAsia" w:ascii="Times New Roman" w:hAnsi="Times New Roman" w:cs="Times New Roman"/>
          <w:color w:val="000000" w:themeColor="text1"/>
          <w:sz w:val="22"/>
          <w:highlight w:val="none"/>
          <w14:textFill>
            <w14:solidFill>
              <w14:schemeClr w14:val="tx1"/>
            </w14:solidFill>
          </w14:textFill>
        </w:rPr>
        <w:t>7</w:t>
      </w:r>
      <w:r>
        <w:rPr>
          <w:rFonts w:ascii="Times New Roman" w:hAnsi="Times New Roman" w:eastAsia="宋体" w:cs="Times New Roman"/>
          <w:color w:val="000000" w:themeColor="text1"/>
          <w:sz w:val="22"/>
          <w:highlight w:val="none"/>
          <w14:textFill>
            <w14:solidFill>
              <w14:schemeClr w14:val="tx1"/>
            </w14:solidFill>
          </w14:textFill>
        </w:rPr>
        <w:t xml:space="preserve">.1  General </w:t>
      </w:r>
      <w:r>
        <w:rPr>
          <w:rFonts w:ascii="Times New Roman" w:hAnsi="Times New Roman" w:eastAsia="华文中宋" w:cs="Times New Roman"/>
          <w:bCs/>
          <w:color w:val="000000" w:themeColor="text1"/>
          <w:sz w:val="22"/>
          <w:highlight w:val="none"/>
          <w14:textFill>
            <w14:solidFill>
              <w14:schemeClr w14:val="tx1"/>
            </w14:solidFill>
          </w14:textFill>
        </w:rPr>
        <w:t>requirements</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1</w:t>
      </w:r>
      <w:r>
        <w:rPr>
          <w:rFonts w:hint="eastAsia" w:ascii="Times New Roman" w:hAnsi="Times New Roman" w:eastAsia="宋体" w:cs="Times New Roman"/>
          <w:color w:val="000000" w:themeColor="text1"/>
          <w:sz w:val="22"/>
          <w:highlight w:val="none"/>
          <w14:textFill>
            <w14:solidFill>
              <w14:schemeClr w14:val="tx1"/>
            </w14:solidFill>
          </w14:textFill>
        </w:rPr>
        <w:t>4</w:t>
      </w:r>
    </w:p>
    <w:p>
      <w:pPr>
        <w:tabs>
          <w:tab w:val="left" w:pos="993"/>
          <w:tab w:val="right" w:leader="dot" w:pos="8296"/>
        </w:tabs>
        <w:spacing w:line="360" w:lineRule="auto"/>
        <w:ind w:firstLine="424" w:firstLineChars="202"/>
        <w:rPr>
          <w:rFonts w:ascii="Times New Roman" w:hAnsi="Times New Roman" w:eastAsia="宋体"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"_Toc519005965" </w:instrText>
      </w:r>
      <w:r>
        <w:rPr>
          <w:highlight w:val="none"/>
        </w:rPr>
        <w:fldChar w:fldCharType="separate"/>
      </w:r>
      <w:r>
        <w:rPr>
          <w:rFonts w:hint="eastAsia" w:ascii="Times New Roman" w:hAnsi="Times New Roman" w:eastAsia="宋体" w:cs="Times New Roman"/>
          <w:color w:val="000000" w:themeColor="text1"/>
          <w:sz w:val="22"/>
          <w:highlight w:val="none"/>
          <w14:textFill>
            <w14:solidFill>
              <w14:schemeClr w14:val="tx1"/>
            </w14:solidFill>
          </w14:textFill>
        </w:rPr>
        <w:t>7</w:t>
      </w:r>
      <w:r>
        <w:rPr>
          <w:rFonts w:ascii="Times New Roman" w:hAnsi="Times New Roman" w:eastAsia="宋体" w:cs="Times New Roman"/>
          <w:color w:val="000000" w:themeColor="text1"/>
          <w:sz w:val="22"/>
          <w:highlight w:val="none"/>
          <w14:textFill>
            <w14:solidFill>
              <w14:schemeClr w14:val="tx1"/>
            </w14:solidFill>
          </w14:textFill>
        </w:rPr>
        <w:t>.2  Construction requirements</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1</w:t>
      </w:r>
      <w:r>
        <w:rPr>
          <w:rFonts w:hint="eastAsia" w:ascii="Times New Roman" w:hAnsi="Times New Roman" w:eastAsia="宋体" w:cs="Times New Roman"/>
          <w:color w:val="000000" w:themeColor="text1"/>
          <w:sz w:val="22"/>
          <w:highlight w:val="none"/>
          <w14:textFill>
            <w14:solidFill>
              <w14:schemeClr w14:val="tx1"/>
            </w14:solidFill>
          </w14:textFill>
        </w:rPr>
        <w:t>4</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"_Toc519005960" </w:instrText>
      </w:r>
      <w:r>
        <w:rPr>
          <w:highlight w:val="none"/>
        </w:rPr>
        <w:fldChar w:fldCharType="separate"/>
      </w:r>
      <w:r>
        <w:rPr>
          <w:rFonts w:hint="eastAsia" w:ascii="Times New Roman" w:hAnsi="Times New Roman" w:eastAsia="宋体" w:cs="Times New Roman"/>
          <w:color w:val="000000" w:themeColor="text1"/>
          <w:sz w:val="22"/>
          <w:highlight w:val="none"/>
          <w14:textFill>
            <w14:solidFill>
              <w14:schemeClr w14:val="tx1"/>
            </w14:solidFill>
          </w14:textFill>
        </w:rPr>
        <w:t>7</w:t>
      </w:r>
      <w:r>
        <w:rPr>
          <w:rFonts w:ascii="Times New Roman" w:hAnsi="Times New Roman" w:eastAsia="宋体" w:cs="Times New Roman"/>
          <w:color w:val="000000" w:themeColor="text1"/>
          <w:sz w:val="22"/>
          <w:highlight w:val="none"/>
          <w14:textFill>
            <w14:solidFill>
              <w14:schemeClr w14:val="tx1"/>
            </w14:solidFill>
          </w14:textFill>
        </w:rPr>
        <w:t>.3  Commission requirements</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1</w:t>
      </w:r>
      <w:r>
        <w:rPr>
          <w:rFonts w:hint="eastAsia" w:ascii="Times New Roman" w:hAnsi="Times New Roman" w:eastAsia="宋体" w:cs="Times New Roman"/>
          <w:color w:val="000000" w:themeColor="text1"/>
          <w:sz w:val="22"/>
          <w:highlight w:val="none"/>
          <w14:textFill>
            <w14:solidFill>
              <w14:schemeClr w14:val="tx1"/>
            </w14:solidFill>
          </w14:textFill>
        </w:rPr>
        <w:t>5</w:t>
      </w:r>
    </w:p>
    <w:p>
      <w:pPr>
        <w:tabs>
          <w:tab w:val="left" w:pos="426"/>
          <w:tab w:val="right" w:leader="dot" w:pos="8296"/>
        </w:tabs>
        <w:spacing w:line="360" w:lineRule="auto"/>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"_Toc519005963" </w:instrText>
      </w:r>
      <w:r>
        <w:rPr>
          <w:highlight w:val="none"/>
        </w:rPr>
        <w:fldChar w:fldCharType="separate"/>
      </w:r>
      <w:r>
        <w:rPr>
          <w:rFonts w:hint="eastAsia" w:ascii="Times New Roman" w:hAnsi="Times New Roman" w:cs="Times New Roman"/>
          <w:b/>
          <w:bCs/>
          <w:color w:val="000000" w:themeColor="text1"/>
          <w:sz w:val="22"/>
          <w:highlight w:val="none"/>
          <w14:textFill>
            <w14:solidFill>
              <w14:schemeClr w14:val="tx1"/>
            </w14:solidFill>
          </w14:textFill>
        </w:rPr>
        <w:t>8</w:t>
      </w:r>
      <w:r>
        <w:rPr>
          <w:rFonts w:ascii="Times New Roman" w:hAnsi="Times New Roman" w:eastAsia="宋体" w:cs="Times New Roman"/>
          <w:b/>
          <w:bCs/>
          <w:color w:val="000000" w:themeColor="text1"/>
          <w:sz w:val="22"/>
          <w:highlight w:val="none"/>
          <w14:textFill>
            <w14:solidFill>
              <w14:schemeClr w14:val="tx1"/>
            </w14:solidFill>
          </w14:textFill>
        </w:rPr>
        <w:t xml:space="preserve">  Inspection and acceptance</w:t>
      </w:r>
      <w:r>
        <w:rPr>
          <w:rFonts w:ascii="Times New Roman" w:hAnsi="Times New Roman" w:eastAsia="宋体" w:cs="Times New Roman"/>
          <w:b/>
          <w:bCs/>
          <w:color w:val="000000" w:themeColor="text1"/>
          <w:sz w:val="22"/>
          <w:highlight w:val="none"/>
          <w14:textFill>
            <w14:solidFill>
              <w14:schemeClr w14:val="tx1"/>
            </w14:solidFill>
          </w14:textFill>
        </w:rPr>
        <w:tab/>
      </w:r>
      <w:r>
        <w:rPr>
          <w:rFonts w:ascii="Times New Roman" w:hAnsi="Times New Roman" w:eastAsia="宋体" w:cs="Times New Roman"/>
          <w:b/>
          <w:bCs/>
          <w:color w:val="000000" w:themeColor="text1"/>
          <w:sz w:val="22"/>
          <w:highlight w:val="none"/>
          <w14:textFill>
            <w14:solidFill>
              <w14:schemeClr w14:val="tx1"/>
            </w14:solidFill>
          </w14:textFill>
        </w:rPr>
        <w:fldChar w:fldCharType="end"/>
      </w:r>
      <w:r>
        <w:rPr>
          <w:rFonts w:ascii="Times New Roman" w:hAnsi="Times New Roman" w:eastAsia="宋体" w:cs="Times New Roman"/>
          <w:b/>
          <w:bCs/>
          <w:color w:val="000000" w:themeColor="text1"/>
          <w:sz w:val="22"/>
          <w:highlight w:val="none"/>
          <w14:textFill>
            <w14:solidFill>
              <w14:schemeClr w14:val="tx1"/>
            </w14:solidFill>
          </w14:textFill>
        </w:rPr>
        <w:t>1</w:t>
      </w:r>
      <w:r>
        <w:rPr>
          <w:rFonts w:hint="eastAsia" w:ascii="Times New Roman" w:hAnsi="Times New Roman" w:eastAsia="宋体" w:cs="Times New Roman"/>
          <w:b/>
          <w:bCs/>
          <w:color w:val="000000" w:themeColor="text1"/>
          <w:sz w:val="22"/>
          <w:highlight w:val="none"/>
          <w14:textFill>
            <w14:solidFill>
              <w14:schemeClr w14:val="tx1"/>
            </w14:solidFill>
          </w14:textFill>
        </w:rPr>
        <w:t>6</w:t>
      </w:r>
    </w:p>
    <w:p>
      <w:pPr>
        <w:tabs>
          <w:tab w:val="left" w:pos="993"/>
          <w:tab w:val="right" w:leader="dot" w:pos="8296"/>
        </w:tabs>
        <w:spacing w:line="360" w:lineRule="auto"/>
        <w:ind w:firstLine="424" w:firstLineChars="202"/>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"_Toc519005964" </w:instrText>
      </w:r>
      <w:r>
        <w:rPr>
          <w:highlight w:val="none"/>
        </w:rPr>
        <w:fldChar w:fldCharType="separate"/>
      </w:r>
      <w:r>
        <w:rPr>
          <w:rFonts w:hint="eastAsia" w:ascii="Times New Roman" w:hAnsi="Times New Roman" w:eastAsia="宋体" w:cs="Times New Roman"/>
          <w:color w:val="000000" w:themeColor="text1"/>
          <w:sz w:val="22"/>
          <w:highlight w:val="none"/>
          <w14:textFill>
            <w14:solidFill>
              <w14:schemeClr w14:val="tx1"/>
            </w14:solidFill>
          </w14:textFill>
        </w:rPr>
        <w:t>8</w:t>
      </w:r>
      <w:r>
        <w:rPr>
          <w:rFonts w:ascii="Times New Roman" w:hAnsi="Times New Roman" w:eastAsia="宋体" w:cs="Times New Roman"/>
          <w:color w:val="000000" w:themeColor="text1"/>
          <w:sz w:val="22"/>
          <w:highlight w:val="none"/>
          <w14:textFill>
            <w14:solidFill>
              <w14:schemeClr w14:val="tx1"/>
            </w14:solidFill>
          </w14:textFill>
        </w:rPr>
        <w:t>.1  Construction inspection</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1</w:t>
      </w:r>
      <w:r>
        <w:rPr>
          <w:rFonts w:hint="eastAsia" w:ascii="Times New Roman" w:hAnsi="Times New Roman" w:eastAsia="宋体" w:cs="Times New Roman"/>
          <w:color w:val="000000" w:themeColor="text1"/>
          <w:sz w:val="22"/>
          <w:highlight w:val="none"/>
          <w14:textFill>
            <w14:solidFill>
              <w14:schemeClr w14:val="tx1"/>
            </w14:solidFill>
          </w14:textFill>
        </w:rPr>
        <w:t>6</w:t>
      </w:r>
    </w:p>
    <w:p>
      <w:pPr>
        <w:tabs>
          <w:tab w:val="left" w:pos="993"/>
          <w:tab w:val="right" w:leader="dot" w:pos="8296"/>
        </w:tabs>
        <w:spacing w:line="360" w:lineRule="auto"/>
        <w:ind w:firstLine="424" w:firstLineChars="202"/>
        <w:rPr>
          <w:rFonts w:ascii="Times New Roman" w:hAnsi="Times New Roman" w:eastAsia="宋体"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"_Toc519005965" </w:instrText>
      </w:r>
      <w:r>
        <w:rPr>
          <w:highlight w:val="none"/>
        </w:rPr>
        <w:fldChar w:fldCharType="separate"/>
      </w:r>
      <w:r>
        <w:rPr>
          <w:rFonts w:hint="eastAsia" w:ascii="Times New Roman" w:hAnsi="Times New Roman" w:cs="Times New Roman"/>
          <w:color w:val="000000" w:themeColor="text1"/>
          <w:sz w:val="22"/>
          <w:highlight w:val="none"/>
          <w14:textFill>
            <w14:solidFill>
              <w14:schemeClr w14:val="tx1"/>
            </w14:solidFill>
          </w14:textFill>
        </w:rPr>
        <w:t>8</w:t>
      </w:r>
      <w:r>
        <w:rPr>
          <w:rFonts w:ascii="Times New Roman" w:hAnsi="Times New Roman" w:eastAsia="宋体" w:cs="Times New Roman"/>
          <w:color w:val="000000" w:themeColor="text1"/>
          <w:sz w:val="22"/>
          <w:highlight w:val="none"/>
          <w14:textFill>
            <w14:solidFill>
              <w14:schemeClr w14:val="tx1"/>
            </w14:solidFill>
          </w14:textFill>
        </w:rPr>
        <w:t>.2  Construction acceptance</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t>2</w:t>
      </w:r>
      <w:r>
        <w:rPr>
          <w:rFonts w:hint="eastAsia" w:ascii="Times New Roman" w:hAnsi="Times New Roman" w:eastAsia="宋体" w:cs="Times New Roman"/>
          <w:color w:val="000000" w:themeColor="text1"/>
          <w:sz w:val="22"/>
          <w:highlight w:val="none"/>
          <w14:textFill>
            <w14:solidFill>
              <w14:schemeClr w14:val="tx1"/>
            </w14:solidFill>
          </w14:textFill>
        </w:rPr>
        <w:t>1</w:t>
      </w:r>
      <w:r>
        <w:rPr>
          <w:rFonts w:hint="eastAsia" w:ascii="Times New Roman" w:hAnsi="Times New Roman" w:eastAsia="宋体" w:cs="Times New Roman"/>
          <w:color w:val="000000" w:themeColor="text1"/>
          <w:sz w:val="22"/>
          <w:highlight w:val="none"/>
          <w14:textFill>
            <w14:solidFill>
              <w14:schemeClr w14:val="tx1"/>
            </w14:solidFill>
          </w14:textFill>
        </w:rPr>
        <w:fldChar w:fldCharType="end"/>
      </w:r>
    </w:p>
    <w:p>
      <w:pPr>
        <w:tabs>
          <w:tab w:val="left" w:pos="426"/>
          <w:tab w:val="right" w:leader="dot" w:pos="8296"/>
        </w:tabs>
        <w:spacing w:line="360" w:lineRule="auto"/>
        <w:ind w:left="1620" w:right="706" w:rightChars="336" w:hanging="1701" w:hangingChars="810"/>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"_Toc519005966"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Appendix  A</w:t>
      </w:r>
      <w:r>
        <w:rPr>
          <w:rFonts w:hint="eastAsia" w:ascii="Times New Roman" w:hAnsi="Times New Roman" w:eastAsia="宋体" w:cs="Times New Roman"/>
          <w:b/>
          <w:bCs/>
          <w:color w:val="000000" w:themeColor="text1"/>
          <w:sz w:val="22"/>
          <w:highlight w:val="none"/>
          <w14:textFill>
            <w14:solidFill>
              <w14:schemeClr w14:val="tx1"/>
            </w14:solidFill>
          </w14:textFill>
        </w:rPr>
        <w:t xml:space="preserve"> </w:t>
      </w:r>
      <w:r>
        <w:rPr>
          <w:rFonts w:ascii="Times New Roman" w:hAnsi="Times New Roman" w:eastAsia="宋体" w:cs="Times New Roman"/>
          <w:b/>
          <w:bCs/>
          <w:color w:val="000000" w:themeColor="text1"/>
          <w:sz w:val="22"/>
          <w:highlight w:val="none"/>
          <w14:textFill>
            <w14:solidFill>
              <w14:schemeClr w14:val="tx1"/>
            </w14:solidFill>
          </w14:textFill>
        </w:rPr>
        <w:t xml:space="preserve">  </w:t>
      </w:r>
      <w:r>
        <w:rPr>
          <w:rFonts w:ascii="Times New Roman" w:hAnsi="Times New Roman" w:eastAsia="宋体" w:cs="Times New Roman"/>
          <w:color w:val="000000" w:themeColor="text1"/>
          <w:sz w:val="22"/>
          <w:highlight w:val="none"/>
          <w14:textFill>
            <w14:solidFill>
              <w14:schemeClr w14:val="tx1"/>
            </w14:solidFill>
          </w14:textFill>
        </w:rPr>
        <w:t>Controlled environment requirements of geometric measurement laboratory</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t>2</w:t>
      </w:r>
      <w:r>
        <w:rPr>
          <w:rFonts w:hint="eastAsia" w:ascii="Times New Roman" w:hAnsi="Times New Roman" w:eastAsia="宋体" w:cs="Times New Roman"/>
          <w:color w:val="000000" w:themeColor="text1"/>
          <w:sz w:val="22"/>
          <w:highlight w:val="none"/>
          <w14:textFill>
            <w14:solidFill>
              <w14:schemeClr w14:val="tx1"/>
            </w14:solidFill>
          </w14:textFill>
        </w:rPr>
        <w:t>2</w:t>
      </w:r>
      <w:r>
        <w:rPr>
          <w:rFonts w:hint="eastAsia" w:ascii="Times New Roman" w:hAnsi="Times New Roman" w:eastAsia="宋体" w:cs="Times New Roman"/>
          <w:color w:val="000000" w:themeColor="text1"/>
          <w:sz w:val="22"/>
          <w:highlight w:val="none"/>
          <w14:textFill>
            <w14:solidFill>
              <w14:schemeClr w14:val="tx1"/>
            </w14:solidFill>
          </w14:textFill>
        </w:rPr>
        <w:fldChar w:fldCharType="end"/>
      </w:r>
    </w:p>
    <w:p>
      <w:pPr>
        <w:tabs>
          <w:tab w:val="left" w:pos="426"/>
          <w:tab w:val="right" w:leader="dot" w:pos="8296"/>
        </w:tabs>
        <w:spacing w:line="360" w:lineRule="auto"/>
        <w:ind w:left="1612" w:leftChars="1" w:right="706" w:rightChars="336" w:hanging="1610" w:hangingChars="767"/>
        <w:rPr>
          <w:rFonts w:ascii="Times New Roman" w:hAnsi="Times New Roman" w:eastAsia="等线"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"_Toc519005969"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Appendix B</w:t>
      </w:r>
      <w:r>
        <w:rPr>
          <w:rFonts w:hint="eastAsia" w:ascii="Times New Roman" w:hAnsi="Times New Roman" w:eastAsia="宋体" w:cs="Times New Roman"/>
          <w:color w:val="000000" w:themeColor="text1"/>
          <w:sz w:val="22"/>
          <w:highlight w:val="none"/>
          <w14:textFill>
            <w14:solidFill>
              <w14:schemeClr w14:val="tx1"/>
            </w14:solidFill>
          </w14:textFill>
        </w:rPr>
        <w:t xml:space="preserve"> </w:t>
      </w:r>
      <w:r>
        <w:rPr>
          <w:rFonts w:ascii="Times New Roman" w:hAnsi="Times New Roman" w:eastAsia="宋体" w:cs="Times New Roman"/>
          <w:color w:val="000000" w:themeColor="text1"/>
          <w:sz w:val="22"/>
          <w:highlight w:val="none"/>
          <w14:textFill>
            <w14:solidFill>
              <w14:schemeClr w14:val="tx1"/>
            </w14:solidFill>
          </w14:textFill>
        </w:rPr>
        <w:t xml:space="preserve"> Comprehensive </w:t>
      </w:r>
      <w:r>
        <w:rPr>
          <w:rFonts w:hint="eastAsia" w:ascii="Times New Roman" w:hAnsi="Times New Roman" w:eastAsia="宋体" w:cs="Times New Roman"/>
          <w:color w:val="000000" w:themeColor="text1"/>
          <w:sz w:val="22"/>
          <w:highlight w:val="none"/>
          <w14:textFill>
            <w14:solidFill>
              <w14:schemeClr w14:val="tx1"/>
            </w14:solidFill>
          </w14:textFill>
        </w:rPr>
        <w:t>p</w:t>
      </w:r>
      <w:r>
        <w:rPr>
          <w:rFonts w:ascii="Times New Roman" w:hAnsi="Times New Roman" w:eastAsia="宋体" w:cs="Times New Roman"/>
          <w:color w:val="000000" w:themeColor="text1"/>
          <w:sz w:val="22"/>
          <w:highlight w:val="none"/>
          <w14:textFill>
            <w14:solidFill>
              <w14:schemeClr w14:val="tx1"/>
            </w14:solidFill>
          </w14:textFill>
        </w:rPr>
        <w:t xml:space="preserve">erformance </w:t>
      </w:r>
      <w:r>
        <w:rPr>
          <w:rFonts w:hint="eastAsia" w:ascii="Times New Roman" w:hAnsi="Times New Roman" w:eastAsia="宋体" w:cs="Times New Roman"/>
          <w:color w:val="000000" w:themeColor="text1"/>
          <w:sz w:val="22"/>
          <w:highlight w:val="none"/>
          <w14:textFill>
            <w14:solidFill>
              <w14:schemeClr w14:val="tx1"/>
            </w14:solidFill>
          </w14:textFill>
        </w:rPr>
        <w:t>t</w:t>
      </w:r>
      <w:r>
        <w:rPr>
          <w:rFonts w:ascii="Times New Roman" w:hAnsi="Times New Roman" w:eastAsia="宋体" w:cs="Times New Roman"/>
          <w:color w:val="000000" w:themeColor="text1"/>
          <w:sz w:val="22"/>
          <w:highlight w:val="none"/>
          <w14:textFill>
            <w14:solidFill>
              <w14:schemeClr w14:val="tx1"/>
            </w14:solidFill>
          </w14:textFill>
        </w:rPr>
        <w:t xml:space="preserve">esting </w:t>
      </w:r>
      <w:r>
        <w:rPr>
          <w:rFonts w:hint="eastAsia" w:ascii="Times New Roman" w:hAnsi="Times New Roman" w:eastAsia="宋体" w:cs="Times New Roman"/>
          <w:color w:val="000000" w:themeColor="text1"/>
          <w:sz w:val="22"/>
          <w:highlight w:val="none"/>
          <w14:textFill>
            <w14:solidFill>
              <w14:schemeClr w14:val="tx1"/>
            </w14:solidFill>
          </w14:textFill>
        </w:rPr>
        <w:t>m</w:t>
      </w:r>
      <w:r>
        <w:rPr>
          <w:rFonts w:ascii="Times New Roman" w:hAnsi="Times New Roman" w:eastAsia="宋体" w:cs="Times New Roman"/>
          <w:color w:val="000000" w:themeColor="text1"/>
          <w:sz w:val="22"/>
          <w:highlight w:val="none"/>
          <w14:textFill>
            <w14:solidFill>
              <w14:schemeClr w14:val="tx1"/>
            </w14:solidFill>
          </w14:textFill>
        </w:rPr>
        <w:t>ethods of geometric measurement laboratory</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3</w:t>
      </w:r>
      <w:r>
        <w:rPr>
          <w:rFonts w:hint="eastAsia" w:ascii="Times New Roman" w:hAnsi="Times New Roman" w:eastAsia="宋体" w:cs="Times New Roman"/>
          <w:color w:val="000000" w:themeColor="text1"/>
          <w:sz w:val="22"/>
          <w:highlight w:val="none"/>
          <w14:textFill>
            <w14:solidFill>
              <w14:schemeClr w14:val="tx1"/>
            </w14:solidFill>
          </w14:textFill>
        </w:rPr>
        <w:t>0</w:t>
      </w:r>
    </w:p>
    <w:p>
      <w:pPr>
        <w:tabs>
          <w:tab w:val="left" w:pos="426"/>
          <w:tab w:val="right" w:leader="dot" w:pos="8296"/>
        </w:tabs>
        <w:spacing w:line="360" w:lineRule="auto"/>
        <w:ind w:left="1612" w:leftChars="1" w:right="706" w:rightChars="336" w:hanging="1610" w:hangingChars="767"/>
        <w:rPr>
          <w:rFonts w:ascii="Times New Roman" w:hAnsi="Times New Roman" w:eastAsia="宋体"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"_Toc519005966"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 xml:space="preserve">Appendix  C  </w:t>
      </w:r>
      <w:r>
        <w:rPr>
          <w:rFonts w:ascii="Times New Roman" w:hAnsi="Times New Roman" w:eastAsia="宋体" w:cs="Times New Roman"/>
          <w:color w:val="000000" w:themeColor="text1"/>
          <w:sz w:val="22"/>
          <w:highlight w:val="none"/>
          <w14:textFill>
            <w14:solidFill>
              <w14:schemeClr w14:val="tx1"/>
            </w14:solidFill>
          </w14:textFill>
        </w:rPr>
        <w:t>Project acceptance inspection items of geometric measurement laboratory</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color w:val="000000" w:themeColor="text1"/>
          <w:sz w:val="22"/>
          <w:highlight w:val="none"/>
          <w14:textFill>
            <w14:solidFill>
              <w14:schemeClr w14:val="tx1"/>
            </w14:solidFill>
          </w14:textFill>
        </w:rPr>
        <w:t>3</w:t>
      </w:r>
      <w:r>
        <w:rPr>
          <w:rFonts w:hint="eastAsia" w:ascii="Times New Roman" w:hAnsi="Times New Roman" w:eastAsia="宋体" w:cs="Times New Roman"/>
          <w:color w:val="000000" w:themeColor="text1"/>
          <w:sz w:val="22"/>
          <w:highlight w:val="none"/>
          <w14:textFill>
            <w14:solidFill>
              <w14:schemeClr w14:val="tx1"/>
            </w14:solidFill>
          </w14:textFill>
        </w:rPr>
        <w:t>5</w:t>
      </w:r>
    </w:p>
    <w:p>
      <w:pPr>
        <w:tabs>
          <w:tab w:val="left" w:pos="426"/>
          <w:tab w:val="right" w:leader="dot" w:pos="8296"/>
        </w:tabs>
        <w:spacing w:line="360" w:lineRule="auto"/>
        <w:rPr>
          <w:rFonts w:ascii="Times New Roman" w:hAnsi="Times New Roman" w:eastAsia="等线" w:cs="Times New Roman"/>
          <w:b/>
          <w:bCs/>
          <w:color w:val="000000" w:themeColor="text1"/>
          <w:sz w:val="22"/>
          <w:highlight w:val="none"/>
          <w14:textFill>
            <w14:solidFill>
              <w14:schemeClr w14:val="tx1"/>
            </w14:solidFill>
          </w14:textFill>
        </w:rPr>
      </w:pPr>
      <w:r>
        <w:rPr>
          <w:rFonts w:ascii="Times New Roman" w:hAnsi="Times New Roman" w:eastAsia="等线" w:cs="Times New Roman"/>
          <w:b/>
          <w:bCs/>
          <w:color w:val="000000" w:themeColor="text1"/>
          <w:sz w:val="22"/>
          <w:highlight w:val="none"/>
          <w14:textFill>
            <w14:solidFill>
              <w14:schemeClr w14:val="tx1"/>
            </w14:solidFill>
          </w14:textFill>
        </w:rPr>
        <w:t>Explanation of wording in this specification</w:t>
      </w:r>
      <w:r>
        <w:rPr>
          <w:rFonts w:ascii="Times New Roman" w:hAnsi="Times New Roman" w:eastAsia="等线" w:cs="Times New Roman"/>
          <w:b/>
          <w:bCs/>
          <w:color w:val="000000" w:themeColor="text1"/>
          <w:sz w:val="22"/>
          <w:highlight w:val="none"/>
          <w14:textFill>
            <w14:solidFill>
              <w14:schemeClr w14:val="tx1"/>
            </w14:solidFill>
          </w14:textFill>
        </w:rPr>
        <w:tab/>
      </w:r>
      <w:r>
        <w:rPr>
          <w:rFonts w:ascii="Times New Roman" w:hAnsi="Times New Roman" w:eastAsia="等线" w:cs="Times New Roman"/>
          <w:b/>
          <w:bCs/>
          <w:color w:val="000000" w:themeColor="text1"/>
          <w:sz w:val="22"/>
          <w:highlight w:val="none"/>
          <w14:textFill>
            <w14:solidFill>
              <w14:schemeClr w14:val="tx1"/>
            </w14:solidFill>
          </w14:textFill>
        </w:rPr>
        <w:t>4</w:t>
      </w:r>
      <w:r>
        <w:rPr>
          <w:rFonts w:hint="eastAsia" w:ascii="Times New Roman" w:hAnsi="Times New Roman" w:eastAsia="等线" w:cs="Times New Roman"/>
          <w:b/>
          <w:bCs/>
          <w:color w:val="000000" w:themeColor="text1"/>
          <w:sz w:val="22"/>
          <w:highlight w:val="none"/>
          <w14:textFill>
            <w14:solidFill>
              <w14:schemeClr w14:val="tx1"/>
            </w14:solidFill>
          </w14:textFill>
        </w:rPr>
        <w:t>1</w:t>
      </w:r>
    </w:p>
    <w:p>
      <w:pPr>
        <w:tabs>
          <w:tab w:val="left" w:pos="426"/>
          <w:tab w:val="right" w:leader="dot" w:pos="8296"/>
        </w:tabs>
        <w:spacing w:line="360" w:lineRule="auto"/>
        <w:rPr>
          <w:rFonts w:ascii="Times New Roman" w:hAnsi="Times New Roman" w:eastAsia="宋体" w:cs="Times New Roman"/>
          <w:color w:val="000000" w:themeColor="text1"/>
          <w:sz w:val="22"/>
          <w:highlight w:val="none"/>
          <w14:textFill>
            <w14:solidFill>
              <w14:schemeClr w14:val="tx1"/>
            </w14:solidFill>
          </w14:textFill>
        </w:rPr>
      </w:pPr>
      <w:r>
        <w:rPr>
          <w:highlight w:val="none"/>
        </w:rPr>
        <w:fldChar w:fldCharType="begin"/>
      </w:r>
      <w:r>
        <w:rPr>
          <w:highlight w:val="none"/>
        </w:rPr>
        <w:instrText xml:space="preserve"> HYPERLINK \l "_Toc519005972" </w:instrText>
      </w:r>
      <w:r>
        <w:rPr>
          <w:highlight w:val="none"/>
        </w:rPr>
        <w:fldChar w:fldCharType="separate"/>
      </w:r>
      <w:r>
        <w:rPr>
          <w:rFonts w:ascii="Times New Roman" w:hAnsi="Times New Roman" w:eastAsia="宋体" w:cs="Times New Roman"/>
          <w:b/>
          <w:bCs/>
          <w:color w:val="000000" w:themeColor="text1"/>
          <w:sz w:val="22"/>
          <w:highlight w:val="none"/>
          <w14:textFill>
            <w14:solidFill>
              <w14:schemeClr w14:val="tx1"/>
            </w14:solidFill>
          </w14:textFill>
        </w:rPr>
        <w:t>List of quoted standards</w:t>
      </w:r>
      <w:r>
        <w:rPr>
          <w:rFonts w:ascii="Times New Roman" w:hAnsi="Times New Roman" w:eastAsia="宋体" w:cs="Times New Roman"/>
          <w:color w:val="000000" w:themeColor="text1"/>
          <w:sz w:val="22"/>
          <w:highlight w:val="none"/>
          <w14:textFill>
            <w14:solidFill>
              <w14:schemeClr w14:val="tx1"/>
            </w14:solidFill>
          </w14:textFill>
        </w:rPr>
        <w:tab/>
      </w:r>
      <w:r>
        <w:rPr>
          <w:rFonts w:ascii="Times New Roman" w:hAnsi="Times New Roman" w:eastAsia="宋体" w:cs="Times New Roman"/>
          <w:color w:val="000000" w:themeColor="text1"/>
          <w:sz w:val="22"/>
          <w:highlight w:val="none"/>
          <w14:textFill>
            <w14:solidFill>
              <w14:schemeClr w14:val="tx1"/>
            </w14:solidFill>
          </w14:textFill>
        </w:rPr>
        <w:fldChar w:fldCharType="end"/>
      </w:r>
      <w:r>
        <w:rPr>
          <w:rFonts w:ascii="Times New Roman" w:hAnsi="Times New Roman" w:eastAsia="宋体" w:cs="Times New Roman"/>
          <w:b/>
          <w:bCs/>
          <w:color w:val="000000" w:themeColor="text1"/>
          <w:sz w:val="22"/>
          <w:highlight w:val="none"/>
          <w14:textFill>
            <w14:solidFill>
              <w14:schemeClr w14:val="tx1"/>
            </w14:solidFill>
          </w14:textFill>
        </w:rPr>
        <w:t>4</w:t>
      </w:r>
      <w:r>
        <w:rPr>
          <w:rFonts w:hint="eastAsia" w:ascii="Times New Roman" w:hAnsi="Times New Roman" w:eastAsia="宋体" w:cs="Times New Roman"/>
          <w:b/>
          <w:bCs/>
          <w:color w:val="000000" w:themeColor="text1"/>
          <w:sz w:val="22"/>
          <w:highlight w:val="none"/>
          <w14:textFill>
            <w14:solidFill>
              <w14:schemeClr w14:val="tx1"/>
            </w14:solidFill>
          </w14:textFill>
        </w:rPr>
        <w:t>2</w:t>
      </w:r>
    </w:p>
    <w:p>
      <w:pPr>
        <w:tabs>
          <w:tab w:val="left" w:pos="426"/>
          <w:tab w:val="right" w:leader="dot" w:pos="8296"/>
        </w:tabs>
        <w:spacing w:line="360" w:lineRule="auto"/>
        <w:rPr>
          <w:rFonts w:ascii="Times New Roman" w:hAnsi="Times New Roman" w:eastAsia="宋体" w:cs="Times New Roman"/>
          <w:b/>
          <w:color w:val="000000" w:themeColor="text1"/>
          <w:sz w:val="22"/>
          <w:highlight w:val="none"/>
          <w14:textFill>
            <w14:solidFill>
              <w14:schemeClr w14:val="tx1"/>
            </w14:solidFill>
          </w14:textFill>
        </w:rPr>
        <w:sectPr>
          <w:headerReference r:id="rId5" w:type="default"/>
          <w:footerReference r:id="rId6" w:type="default"/>
          <w:pgSz w:w="11906" w:h="16838"/>
          <w:pgMar w:top="1440" w:right="1559" w:bottom="1418" w:left="1418" w:header="851" w:footer="992" w:gutter="0"/>
          <w:pgNumType w:start="1"/>
          <w:cols w:space="425" w:num="1"/>
          <w:docGrid w:type="lines" w:linePitch="312" w:charSpace="0"/>
        </w:sectPr>
      </w:pPr>
      <w:r>
        <w:rPr>
          <w:rFonts w:ascii="Times New Roman" w:hAnsi="Times New Roman" w:eastAsia="宋体" w:cs="Times New Roman"/>
          <w:bCs/>
          <w:color w:val="000000" w:themeColor="text1"/>
          <w:sz w:val="22"/>
          <w:highlight w:val="none"/>
          <w:lang w:val="zh-CN"/>
          <w14:textFill>
            <w14:solidFill>
              <w14:schemeClr w14:val="tx1"/>
            </w14:solidFill>
          </w14:textFill>
        </w:rPr>
        <w:fldChar w:fldCharType="end"/>
      </w:r>
      <w:r>
        <w:rPr>
          <w:rFonts w:ascii="Times New Roman" w:hAnsi="Times New Roman" w:eastAsia="宋体" w:cs="Times New Roman"/>
          <w:b/>
          <w:color w:val="000000" w:themeColor="text1"/>
          <w:sz w:val="22"/>
          <w:highlight w:val="none"/>
          <w:lang w:val="zh-CN"/>
          <w14:textFill>
            <w14:solidFill>
              <w14:schemeClr w14:val="tx1"/>
            </w14:solidFill>
          </w14:textFill>
        </w:rPr>
        <w:t>Addition: Explanation of provisions</w:t>
      </w:r>
      <w:r>
        <w:rPr>
          <w:color w:val="000000" w:themeColor="text1"/>
          <w:sz w:val="20"/>
          <w:szCs w:val="21"/>
          <w:highlight w:val="none"/>
          <w14:textFill>
            <w14:solidFill>
              <w14:schemeClr w14:val="tx1"/>
            </w14:solidFill>
          </w14:textFill>
        </w:rPr>
        <w:fldChar w:fldCharType="begin"/>
      </w:r>
      <w:r>
        <w:rPr>
          <w:color w:val="000000" w:themeColor="text1"/>
          <w:sz w:val="20"/>
          <w:szCs w:val="21"/>
          <w:highlight w:val="none"/>
          <w14:textFill>
            <w14:solidFill>
              <w14:schemeClr w14:val="tx1"/>
            </w14:solidFill>
          </w14:textFill>
        </w:rPr>
        <w:instrText xml:space="preserve"> HYPERLINK \l "_Toc519005972" </w:instrText>
      </w:r>
      <w:r>
        <w:rPr>
          <w:color w:val="000000" w:themeColor="text1"/>
          <w:sz w:val="20"/>
          <w:szCs w:val="21"/>
          <w:highlight w:val="none"/>
          <w14:textFill>
            <w14:solidFill>
              <w14:schemeClr w14:val="tx1"/>
            </w14:solidFill>
          </w14:textFill>
        </w:rPr>
        <w:fldChar w:fldCharType="separate"/>
      </w:r>
      <w:r>
        <w:rPr>
          <w:rFonts w:ascii="Times New Roman" w:hAnsi="Times New Roman" w:eastAsia="宋体" w:cs="Times New Roman"/>
          <w:b/>
          <w:color w:val="000000" w:themeColor="text1"/>
          <w:sz w:val="22"/>
          <w:highlight w:val="none"/>
          <w14:textFill>
            <w14:solidFill>
              <w14:schemeClr w14:val="tx1"/>
            </w14:solidFill>
          </w14:textFill>
        </w:rPr>
        <w:tab/>
      </w:r>
      <w:r>
        <w:rPr>
          <w:rFonts w:ascii="Times New Roman" w:hAnsi="Times New Roman" w:eastAsia="宋体" w:cs="Times New Roman"/>
          <w:b/>
          <w:color w:val="000000" w:themeColor="text1"/>
          <w:sz w:val="22"/>
          <w:highlight w:val="none"/>
          <w14:textFill>
            <w14:solidFill>
              <w14:schemeClr w14:val="tx1"/>
            </w14:solidFill>
          </w14:textFill>
        </w:rPr>
        <w:t>4</w:t>
      </w:r>
      <w:r>
        <w:rPr>
          <w:rFonts w:hint="eastAsia" w:ascii="Times New Roman" w:hAnsi="Times New Roman" w:eastAsia="宋体" w:cs="Times New Roman"/>
          <w:b/>
          <w:color w:val="000000" w:themeColor="text1"/>
          <w:sz w:val="22"/>
          <w:highlight w:val="none"/>
          <w14:textFill>
            <w14:solidFill>
              <w14:schemeClr w14:val="tx1"/>
            </w14:solidFill>
          </w14:textFill>
        </w:rPr>
        <w:t>4</w:t>
      </w:r>
      <w:r>
        <w:rPr>
          <w:rFonts w:ascii="Times New Roman" w:hAnsi="Times New Roman" w:eastAsia="宋体" w:cs="Times New Roman"/>
          <w:b/>
          <w:color w:val="000000" w:themeColor="text1"/>
          <w:sz w:val="22"/>
          <w:highlight w:val="none"/>
          <w14:textFill>
            <w14:solidFill>
              <w14:schemeClr w14:val="tx1"/>
            </w14:solidFill>
          </w14:textFill>
        </w:rPr>
        <w:fldChar w:fldCharType="end"/>
      </w:r>
    </w:p>
    <w:p>
      <w:pPr>
        <w:pStyle w:val="205"/>
        <w:rPr>
          <w:highlight w:val="none"/>
        </w:rPr>
      </w:pPr>
      <w:bookmarkStart w:id="2" w:name="_Toc44847169"/>
      <w:r>
        <w:rPr>
          <w:highlight w:val="none"/>
        </w:rPr>
        <w:t>总</w:t>
      </w:r>
      <w:r>
        <w:rPr>
          <w:rFonts w:hint="eastAsia"/>
          <w:highlight w:val="none"/>
        </w:rPr>
        <w:t>　</w:t>
      </w:r>
      <w:r>
        <w:rPr>
          <w:highlight w:val="none"/>
        </w:rPr>
        <w:t>　则</w:t>
      </w:r>
      <w:bookmarkEnd w:id="2"/>
    </w:p>
    <w:p>
      <w:pPr>
        <w:pStyle w:val="56"/>
        <w:spacing w:line="360" w:lineRule="auto"/>
        <w:ind w:left="-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14:textFill>
            <w14:solidFill>
              <w14:schemeClr w14:val="tx1"/>
            </w14:solidFill>
          </w14:textFill>
        </w:rPr>
        <w:t>1.0.1　</w:t>
      </w:r>
      <w:r>
        <w:rPr>
          <w:rFonts w:ascii="Times New Roman" w:hAnsi="Times New Roman" w:cs="Times New Roman"/>
          <w:color w:val="000000" w:themeColor="text1"/>
          <w:sz w:val="24"/>
          <w:szCs w:val="24"/>
          <w:highlight w:val="none"/>
          <w14:textFill>
            <w14:solidFill>
              <w14:schemeClr w14:val="tx1"/>
            </w14:solidFill>
          </w14:textFill>
        </w:rPr>
        <w:t>为</w:t>
      </w:r>
      <w:r>
        <w:rPr>
          <w:rFonts w:hint="eastAsia" w:ascii="Times New Roman" w:hAnsi="Times New Roman" w:cs="Times New Roman"/>
          <w:color w:val="000000" w:themeColor="text1"/>
          <w:sz w:val="24"/>
          <w:szCs w:val="24"/>
          <w:highlight w:val="none"/>
          <w14:textFill>
            <w14:solidFill>
              <w14:schemeClr w14:val="tx1"/>
            </w14:solidFill>
          </w14:textFill>
        </w:rPr>
        <w:t>统一几何量测量</w:t>
      </w:r>
      <w:r>
        <w:rPr>
          <w:rFonts w:ascii="Times New Roman" w:hAnsi="Times New Roman" w:cs="Times New Roman"/>
          <w:color w:val="000000" w:themeColor="text1"/>
          <w:sz w:val="24"/>
          <w:szCs w:val="24"/>
          <w:highlight w:val="none"/>
          <w14:textFill>
            <w14:solidFill>
              <w14:schemeClr w14:val="tx1"/>
            </w14:solidFill>
          </w14:textFill>
        </w:rPr>
        <w:t>实验室</w:t>
      </w:r>
      <w:r>
        <w:rPr>
          <w:rFonts w:hint="eastAsia" w:ascii="Times New Roman" w:hAnsi="Times New Roman" w:cs="Times New Roman"/>
          <w:color w:val="000000" w:themeColor="text1"/>
          <w:sz w:val="24"/>
          <w:szCs w:val="24"/>
          <w:highlight w:val="none"/>
          <w14:textFill>
            <w14:solidFill>
              <w14:schemeClr w14:val="tx1"/>
            </w14:solidFill>
          </w14:textFill>
        </w:rPr>
        <w:t>工程的技术要求，做到</w:t>
      </w:r>
      <w:r>
        <w:rPr>
          <w:rFonts w:ascii="Times New Roman" w:hAnsi="Times New Roman" w:cs="Times New Roman"/>
          <w:color w:val="000000" w:themeColor="text1"/>
          <w:sz w:val="24"/>
          <w:szCs w:val="24"/>
          <w:highlight w:val="none"/>
          <w14:textFill>
            <w14:solidFill>
              <w14:schemeClr w14:val="tx1"/>
            </w14:solidFill>
          </w14:textFill>
        </w:rPr>
        <w:t>安全</w:t>
      </w:r>
      <w:r>
        <w:rPr>
          <w:rFonts w:hint="eastAsia" w:ascii="Times New Roman" w:hAnsi="Times New Roman" w:cs="Times New Roman"/>
          <w:color w:val="000000" w:themeColor="text1"/>
          <w:sz w:val="24"/>
          <w:szCs w:val="24"/>
          <w:highlight w:val="none"/>
          <w14:textFill>
            <w14:solidFill>
              <w14:schemeClr w14:val="tx1"/>
            </w14:solidFill>
          </w14:textFill>
        </w:rPr>
        <w:t>适用</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技术先进、经济合理，满足</w:t>
      </w:r>
      <w:r>
        <w:rPr>
          <w:rFonts w:ascii="Times New Roman" w:hAnsi="Times New Roman" w:cs="Times New Roman"/>
          <w:color w:val="000000" w:themeColor="text1"/>
          <w:sz w:val="24"/>
          <w:szCs w:val="24"/>
          <w:highlight w:val="none"/>
          <w14:textFill>
            <w14:solidFill>
              <w14:schemeClr w14:val="tx1"/>
            </w14:solidFill>
          </w14:textFill>
        </w:rPr>
        <w:t>智慧</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绿色、人文等的基本要求，制定本规程。</w:t>
      </w:r>
    </w:p>
    <w:p>
      <w:pPr>
        <w:pStyle w:val="56"/>
        <w:spacing w:line="360" w:lineRule="auto"/>
        <w:ind w:left="-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14:textFill>
            <w14:solidFill>
              <w14:schemeClr w14:val="tx1"/>
            </w14:solidFill>
          </w14:textFill>
        </w:rPr>
        <w:t>1.0.2　</w:t>
      </w:r>
      <w:r>
        <w:rPr>
          <w:rFonts w:ascii="Times New Roman" w:hAnsi="Times New Roman" w:cs="Times New Roman"/>
          <w:color w:val="000000" w:themeColor="text1"/>
          <w:sz w:val="24"/>
          <w:szCs w:val="24"/>
          <w:highlight w:val="none"/>
          <w14:textFill>
            <w14:solidFill>
              <w14:schemeClr w14:val="tx1"/>
            </w14:solidFill>
          </w14:textFill>
        </w:rPr>
        <w:t>本规程适用于新建、改建和扩建</w:t>
      </w:r>
      <w:r>
        <w:rPr>
          <w:rFonts w:hint="eastAsia" w:ascii="Times New Roman" w:hAnsi="Times New Roman" w:cs="Times New Roman"/>
          <w:color w:val="000000" w:themeColor="text1"/>
          <w:sz w:val="24"/>
          <w:szCs w:val="24"/>
          <w:highlight w:val="none"/>
          <w14:textFill>
            <w14:solidFill>
              <w14:schemeClr w14:val="tx1"/>
            </w14:solidFill>
          </w14:textFill>
        </w:rPr>
        <w:t>几何量测量</w:t>
      </w:r>
      <w:r>
        <w:rPr>
          <w:rFonts w:ascii="Times New Roman" w:hAnsi="Times New Roman" w:cs="Times New Roman"/>
          <w:color w:val="000000" w:themeColor="text1"/>
          <w:sz w:val="24"/>
          <w:szCs w:val="24"/>
          <w:highlight w:val="none"/>
          <w14:textFill>
            <w14:solidFill>
              <w14:schemeClr w14:val="tx1"/>
            </w14:solidFill>
          </w14:textFill>
        </w:rPr>
        <w:t>实验室工程的</w:t>
      </w:r>
      <w:r>
        <w:rPr>
          <w:rFonts w:hint="eastAsia" w:ascii="Times New Roman" w:hAnsi="Times New Roman" w:cs="Times New Roman"/>
          <w:color w:val="000000" w:themeColor="text1"/>
          <w:sz w:val="24"/>
          <w:szCs w:val="24"/>
          <w:highlight w:val="none"/>
          <w14:textFill>
            <w14:solidFill>
              <w14:schemeClr w14:val="tx1"/>
            </w14:solidFill>
          </w14:textFill>
        </w:rPr>
        <w:t>规划选址、</w:t>
      </w:r>
      <w:r>
        <w:rPr>
          <w:rFonts w:ascii="Times New Roman" w:hAnsi="Times New Roman" w:cs="Times New Roman"/>
          <w:color w:val="000000" w:themeColor="text1"/>
          <w:sz w:val="24"/>
          <w:szCs w:val="24"/>
          <w:highlight w:val="none"/>
          <w14:textFill>
            <w14:solidFill>
              <w14:schemeClr w14:val="tx1"/>
            </w14:solidFill>
          </w14:textFill>
        </w:rPr>
        <w:t>设计、施工</w:t>
      </w:r>
      <w:r>
        <w:rPr>
          <w:rFonts w:hint="eastAsia" w:ascii="Times New Roman" w:hAnsi="Times New Roman" w:cs="Times New Roman"/>
          <w:color w:val="000000" w:themeColor="text1"/>
          <w:sz w:val="24"/>
          <w:szCs w:val="24"/>
          <w:highlight w:val="none"/>
          <w14:textFill>
            <w14:solidFill>
              <w14:schemeClr w14:val="tx1"/>
            </w14:solidFill>
          </w14:textFill>
        </w:rPr>
        <w:t>、调试</w:t>
      </w:r>
      <w:r>
        <w:rPr>
          <w:rFonts w:ascii="Times New Roman" w:hAnsi="Times New Roman" w:cs="Times New Roman"/>
          <w:color w:val="000000" w:themeColor="text1"/>
          <w:sz w:val="24"/>
          <w:szCs w:val="24"/>
          <w:highlight w:val="none"/>
          <w14:textFill>
            <w14:solidFill>
              <w14:schemeClr w14:val="tx1"/>
            </w14:solidFill>
          </w14:textFill>
        </w:rPr>
        <w:t>和验收。</w:t>
      </w:r>
    </w:p>
    <w:p>
      <w:pPr>
        <w:pStyle w:val="56"/>
        <w:spacing w:line="360" w:lineRule="auto"/>
        <w:ind w:left="-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14:textFill>
            <w14:solidFill>
              <w14:schemeClr w14:val="tx1"/>
            </w14:solidFill>
          </w14:textFill>
        </w:rPr>
        <w:t>1.0.3　</w:t>
      </w:r>
      <w:r>
        <w:rPr>
          <w:rFonts w:hint="eastAsia" w:ascii="Times New Roman" w:hAnsi="Times New Roman" w:cs="Times New Roman"/>
          <w:color w:val="000000" w:themeColor="text1"/>
          <w:sz w:val="24"/>
          <w:szCs w:val="24"/>
          <w:highlight w:val="none"/>
          <w14:textFill>
            <w14:solidFill>
              <w14:schemeClr w14:val="tx1"/>
            </w14:solidFill>
          </w14:textFill>
        </w:rPr>
        <w:t>几何量测量</w:t>
      </w:r>
      <w:r>
        <w:rPr>
          <w:rFonts w:ascii="Times New Roman" w:hAnsi="Times New Roman" w:cs="Times New Roman"/>
          <w:color w:val="000000" w:themeColor="text1"/>
          <w:sz w:val="24"/>
          <w:szCs w:val="24"/>
          <w:highlight w:val="none"/>
          <w14:textFill>
            <w14:solidFill>
              <w14:schemeClr w14:val="tx1"/>
            </w14:solidFill>
          </w14:textFill>
        </w:rPr>
        <w:t>实验室</w:t>
      </w:r>
      <w:r>
        <w:rPr>
          <w:rFonts w:hint="eastAsia" w:ascii="Times New Roman" w:hAnsi="Times New Roman" w:cs="Times New Roman"/>
          <w:color w:val="000000" w:themeColor="text1"/>
          <w:sz w:val="24"/>
          <w:szCs w:val="24"/>
          <w:highlight w:val="none"/>
          <w14:textFill>
            <w14:solidFill>
              <w14:schemeClr w14:val="tx1"/>
            </w14:solidFill>
          </w14:textFill>
        </w:rPr>
        <w:t>工程</w:t>
      </w:r>
      <w:r>
        <w:rPr>
          <w:rFonts w:ascii="Times New Roman" w:hAnsi="Times New Roman" w:cs="Times New Roman"/>
          <w:color w:val="000000" w:themeColor="text1"/>
          <w:sz w:val="24"/>
          <w:szCs w:val="24"/>
          <w:highlight w:val="none"/>
          <w14:textFill>
            <w14:solidFill>
              <w14:schemeClr w14:val="tx1"/>
            </w14:solidFill>
          </w14:textFill>
        </w:rPr>
        <w:t>建设除应</w:t>
      </w:r>
      <w:r>
        <w:rPr>
          <w:rFonts w:hint="eastAsia" w:ascii="Times New Roman" w:hAnsi="Times New Roman" w:cs="Times New Roman"/>
          <w:color w:val="000000" w:themeColor="text1"/>
          <w:sz w:val="24"/>
          <w:szCs w:val="24"/>
          <w:highlight w:val="none"/>
          <w14:textFill>
            <w14:solidFill>
              <w14:schemeClr w14:val="tx1"/>
            </w14:solidFill>
          </w14:textFill>
        </w:rPr>
        <w:t>执行</w:t>
      </w:r>
      <w:r>
        <w:rPr>
          <w:rFonts w:ascii="Times New Roman" w:hAnsi="Times New Roman" w:cs="Times New Roman"/>
          <w:color w:val="000000" w:themeColor="text1"/>
          <w:sz w:val="24"/>
          <w:szCs w:val="24"/>
          <w:highlight w:val="none"/>
          <w14:textFill>
            <w14:solidFill>
              <w14:schemeClr w14:val="tx1"/>
            </w14:solidFill>
          </w14:textFill>
        </w:rPr>
        <w:t>本规程外，尚应符合国家现行有关标准的规定。</w:t>
      </w:r>
    </w:p>
    <w:p>
      <w:pPr>
        <w:pStyle w:val="56"/>
        <w:spacing w:line="360" w:lineRule="auto"/>
        <w:ind w:left="-1" w:firstLine="0" w:firstLineChars="0"/>
        <w:rPr>
          <w:rFonts w:ascii="Times New Roman" w:hAnsi="Times New Roman" w:cs="Times New Roman"/>
          <w:color w:val="000000" w:themeColor="text1"/>
          <w:sz w:val="24"/>
          <w:szCs w:val="24"/>
          <w:highlight w:val="none"/>
          <w14:textFill>
            <w14:solidFill>
              <w14:schemeClr w14:val="tx1"/>
            </w14:solidFill>
          </w14:textFill>
        </w:rPr>
      </w:pPr>
    </w:p>
    <w:p>
      <w:pPr>
        <w:widowControl/>
        <w:spacing w:line="360" w:lineRule="auto"/>
        <w:jc w:val="left"/>
        <w:rPr>
          <w:rFonts w:ascii="Times New Roman" w:hAnsi="Times New Roman" w:cs="Times New Roman"/>
          <w:bCs/>
          <w:color w:val="000000" w:themeColor="text1"/>
          <w:kern w:val="44"/>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ind w:left="426"/>
        <w:rPr>
          <w:highlight w:val="none"/>
        </w:rPr>
      </w:pPr>
      <w:bookmarkStart w:id="3" w:name="_Toc44847170"/>
      <w:r>
        <w:rPr>
          <w:highlight w:val="none"/>
        </w:rPr>
        <w:t>术</w:t>
      </w:r>
      <w:r>
        <w:rPr>
          <w:rFonts w:hint="eastAsia"/>
          <w:highlight w:val="none"/>
        </w:rPr>
        <w:t xml:space="preserve">　 </w:t>
      </w:r>
      <w:r>
        <w:rPr>
          <w:highlight w:val="none"/>
        </w:rPr>
        <w:t>语</w:t>
      </w:r>
      <w:bookmarkEnd w:id="3"/>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几何量测量实验室  geometric measurement laboratory</w:t>
      </w:r>
    </w:p>
    <w:p>
      <w:pPr>
        <w:pStyle w:val="56"/>
        <w:spacing w:line="360" w:lineRule="auto"/>
        <w:ind w:firstLineChars="175"/>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提供对各种物体的几何尺寸、几何形状和几何要素进行研究或准确测量、开展量值比对与传递的场所，由一系列专业实验室组成。</w:t>
      </w:r>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受控区域  controlled area</w:t>
      </w:r>
    </w:p>
    <w:p>
      <w:pPr>
        <w:pStyle w:val="56"/>
        <w:spacing w:line="360" w:lineRule="auto"/>
        <w:ind w:firstLine="424" w:firstLineChars="177"/>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几何量测量实验室实验用房及辅助用房内温度、湿度、洁净度等某一项或多项室内环境参数按要求受控的专用空间。</w:t>
      </w:r>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非受控区域  uncontrolled area</w:t>
      </w:r>
    </w:p>
    <w:p>
      <w:pPr>
        <w:pStyle w:val="56"/>
        <w:spacing w:line="360" w:lineRule="auto"/>
        <w:ind w:firstLine="48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几何量测量实验室辅助用房和公共设施用房内温度、湿度、洁净度等室内环境参数未进行严格控制的空间。</w:t>
      </w:r>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标准单元 standard unit</w:t>
      </w:r>
    </w:p>
    <w:p>
      <w:pPr>
        <w:pStyle w:val="56"/>
        <w:spacing w:line="360" w:lineRule="auto"/>
        <w:ind w:firstLine="48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具有标准化、通用化的机电设备配置与接口，满足各类科研和检测实验工作开展及实验设备配置的模数化建筑空间单元。</w:t>
      </w:r>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实验用房 laboratory room</w:t>
      </w:r>
    </w:p>
    <w:p>
      <w:pPr>
        <w:pStyle w:val="56"/>
        <w:spacing w:line="360" w:lineRule="auto"/>
        <w:ind w:firstLine="48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用于从事几何量测量实验操作的场所。</w:t>
      </w:r>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辅助用房 auxiliary room</w:t>
      </w:r>
    </w:p>
    <w:p>
      <w:pPr>
        <w:pStyle w:val="56"/>
        <w:spacing w:line="360" w:lineRule="auto"/>
        <w:ind w:firstLine="48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为几何量测量</w:t>
      </w:r>
      <w:r>
        <w:rPr>
          <w:rFonts w:hint="eastAsia" w:ascii="Times New Roman" w:hAnsi="Times New Roman" w:eastAsia="宋体" w:cs="Times New Roman"/>
          <w:color w:val="000000" w:themeColor="text1"/>
          <w:sz w:val="24"/>
          <w:szCs w:val="24"/>
          <w:highlight w:val="none"/>
          <w14:textFill>
            <w14:solidFill>
              <w14:schemeClr w14:val="tx1"/>
            </w14:solidFill>
          </w14:textFill>
        </w:rPr>
        <w:t>或</w:t>
      </w:r>
      <w:r>
        <w:rPr>
          <w:rFonts w:ascii="Times New Roman" w:hAnsi="Times New Roman" w:eastAsia="宋体" w:cs="Times New Roman"/>
          <w:color w:val="000000" w:themeColor="text1"/>
          <w:sz w:val="24"/>
          <w:szCs w:val="24"/>
          <w:highlight w:val="none"/>
          <w14:textFill>
            <w14:solidFill>
              <w14:schemeClr w14:val="tx1"/>
            </w14:solidFill>
          </w14:textFill>
        </w:rPr>
        <w:t>实验</w:t>
      </w:r>
      <w:r>
        <w:rPr>
          <w:rFonts w:hint="eastAsia" w:ascii="Times New Roman" w:hAnsi="Times New Roman" w:eastAsia="宋体" w:cs="Times New Roman"/>
          <w:color w:val="000000" w:themeColor="text1"/>
          <w:sz w:val="24"/>
          <w:szCs w:val="24"/>
          <w:highlight w:val="none"/>
          <w14:textFill>
            <w14:solidFill>
              <w14:schemeClr w14:val="tx1"/>
            </w14:solidFill>
          </w14:textFill>
        </w:rPr>
        <w:t>研究</w:t>
      </w:r>
      <w:r>
        <w:rPr>
          <w:rFonts w:ascii="Times New Roman" w:hAnsi="Times New Roman" w:eastAsia="宋体" w:cs="Times New Roman"/>
          <w:color w:val="000000" w:themeColor="text1"/>
          <w:sz w:val="24"/>
          <w:szCs w:val="24"/>
          <w:highlight w:val="none"/>
          <w14:textFill>
            <w14:solidFill>
              <w14:schemeClr w14:val="tx1"/>
            </w14:solidFill>
          </w14:textFill>
        </w:rPr>
        <w:t>提供服务的场所。</w:t>
      </w:r>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公用设施用房 utilities room</w:t>
      </w:r>
    </w:p>
    <w:p>
      <w:pPr>
        <w:pStyle w:val="56"/>
        <w:spacing w:line="360" w:lineRule="auto"/>
        <w:ind w:left="420" w:firstLine="4" w:firstLineChars="2"/>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为几何量测量</w:t>
      </w:r>
      <w:r>
        <w:rPr>
          <w:rFonts w:hint="eastAsia" w:ascii="Times New Roman" w:hAnsi="Times New Roman" w:eastAsia="宋体" w:cs="Times New Roman"/>
          <w:color w:val="000000" w:themeColor="text1"/>
          <w:sz w:val="24"/>
          <w:szCs w:val="24"/>
          <w:highlight w:val="none"/>
          <w14:textFill>
            <w14:solidFill>
              <w14:schemeClr w14:val="tx1"/>
            </w14:solidFill>
          </w14:textFill>
        </w:rPr>
        <w:t>或</w:t>
      </w:r>
      <w:r>
        <w:rPr>
          <w:rFonts w:ascii="Times New Roman" w:hAnsi="Times New Roman" w:eastAsia="宋体" w:cs="Times New Roman"/>
          <w:color w:val="000000" w:themeColor="text1"/>
          <w:sz w:val="24"/>
          <w:szCs w:val="24"/>
          <w:highlight w:val="none"/>
          <w14:textFill>
            <w14:solidFill>
              <w14:schemeClr w14:val="tx1"/>
            </w14:solidFill>
          </w14:textFill>
        </w:rPr>
        <w:t>实验</w:t>
      </w:r>
      <w:r>
        <w:rPr>
          <w:rFonts w:hint="eastAsia" w:ascii="Times New Roman" w:hAnsi="Times New Roman" w:eastAsia="宋体" w:cs="Times New Roman"/>
          <w:color w:val="000000" w:themeColor="text1"/>
          <w:sz w:val="24"/>
          <w:szCs w:val="24"/>
          <w:highlight w:val="none"/>
          <w14:textFill>
            <w14:solidFill>
              <w14:schemeClr w14:val="tx1"/>
            </w14:solidFill>
          </w14:textFill>
        </w:rPr>
        <w:t>研究</w:t>
      </w:r>
      <w:r>
        <w:rPr>
          <w:rFonts w:ascii="Times New Roman" w:hAnsi="Times New Roman" w:eastAsia="宋体" w:cs="Times New Roman"/>
          <w:color w:val="000000" w:themeColor="text1"/>
          <w:sz w:val="24"/>
          <w:szCs w:val="24"/>
          <w:highlight w:val="none"/>
          <w14:textFill>
            <w14:solidFill>
              <w14:schemeClr w14:val="tx1"/>
            </w14:solidFill>
          </w14:textFill>
        </w:rPr>
        <w:t>提供所需工作环境及其他条件保证的场所。</w:t>
      </w:r>
    </w:p>
    <w:p>
      <w:pPr>
        <w:pStyle w:val="56"/>
        <w:numPr>
          <w:ilvl w:val="0"/>
          <w:numId w:val="2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服务通道 Service channel</w:t>
      </w:r>
    </w:p>
    <w:p>
      <w:pPr>
        <w:pStyle w:val="56"/>
        <w:spacing w:line="360" w:lineRule="auto"/>
        <w:ind w:firstLine="48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主要用于敷设公用设施管线，向实验室运送物料和设备以及就近放置发热或产生噪声的实验室辅助设备的空间，必要时也可以根据需要进行改变</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ascii="Times New Roman" w:hAnsi="Times New Roman" w:eastAsia="宋体" w:cs="Times New Roman"/>
          <w:color w:val="000000" w:themeColor="text1"/>
          <w:sz w:val="24"/>
          <w:szCs w:val="24"/>
          <w:highlight w:val="none"/>
          <w14:textFill>
            <w14:solidFill>
              <w14:schemeClr w14:val="tx1"/>
            </w14:solidFill>
          </w14:textFill>
        </w:rPr>
        <w:t>为实验室提供有效</w:t>
      </w:r>
      <w:r>
        <w:rPr>
          <w:rFonts w:hint="eastAsia" w:ascii="Times New Roman" w:hAnsi="Times New Roman" w:eastAsia="宋体" w:cs="Times New Roman"/>
          <w:color w:val="000000" w:themeColor="text1"/>
          <w:sz w:val="24"/>
          <w:szCs w:val="24"/>
          <w:highlight w:val="none"/>
          <w14:textFill>
            <w14:solidFill>
              <w14:schemeClr w14:val="tx1"/>
            </w14:solidFill>
          </w14:textFill>
        </w:rPr>
        <w:t>实验</w:t>
      </w:r>
      <w:r>
        <w:rPr>
          <w:rFonts w:ascii="Times New Roman" w:hAnsi="Times New Roman" w:eastAsia="宋体" w:cs="Times New Roman"/>
          <w:color w:val="000000" w:themeColor="text1"/>
          <w:sz w:val="24"/>
          <w:szCs w:val="24"/>
          <w:highlight w:val="none"/>
          <w14:textFill>
            <w14:solidFill>
              <w14:schemeClr w14:val="tx1"/>
            </w14:solidFill>
          </w14:textFill>
        </w:rPr>
        <w:t>空间。</w:t>
      </w:r>
    </w:p>
    <w:p>
      <w:pPr>
        <w:pStyle w:val="82"/>
        <w:numPr>
          <w:ilvl w:val="0"/>
          <w:numId w:val="22"/>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设备管道技术层 Equipment and pipeline technology layer</w:t>
      </w:r>
    </w:p>
    <w:p>
      <w:pPr>
        <w:pStyle w:val="56"/>
        <w:spacing w:line="360" w:lineRule="auto"/>
        <w:ind w:firstLine="48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布置在几何量测量实验室及服务通道区域上方、下方或侧方，集中排布各类空调送排风、实验气/液体等工艺管道及相关机械设备（一对一单独空调、排风扇、</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ascii="Times New Roman" w:hAnsi="Times New Roman" w:eastAsia="宋体" w:cs="Times New Roman"/>
          <w:color w:val="000000" w:themeColor="text1"/>
          <w:sz w:val="24"/>
          <w:szCs w:val="24"/>
          <w:highlight w:val="none"/>
          <w14:textFill>
            <w14:solidFill>
              <w14:schemeClr w14:val="tx1"/>
            </w14:solidFill>
          </w14:textFill>
        </w:rPr>
        <w:t>敏感电源</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ascii="Times New Roman" w:hAnsi="Times New Roman" w:eastAsia="宋体" w:cs="Times New Roman"/>
          <w:color w:val="000000" w:themeColor="text1"/>
          <w:sz w:val="24"/>
          <w:szCs w:val="24"/>
          <w:highlight w:val="none"/>
          <w14:textFill>
            <w14:solidFill>
              <w14:schemeClr w14:val="tx1"/>
            </w14:solidFill>
          </w14:textFill>
        </w:rPr>
        <w:t>独立变压器等），必要时也可以对设置非固定结构楼板区域进行改变</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ascii="Times New Roman" w:hAnsi="Times New Roman" w:eastAsia="宋体" w:cs="Times New Roman"/>
          <w:color w:val="000000" w:themeColor="text1"/>
          <w:sz w:val="24"/>
          <w:szCs w:val="24"/>
          <w:highlight w:val="none"/>
          <w14:textFill>
            <w14:solidFill>
              <w14:schemeClr w14:val="tx1"/>
            </w14:solidFill>
          </w14:textFill>
        </w:rPr>
        <w:t>为实验室提供有效</w:t>
      </w:r>
      <w:r>
        <w:rPr>
          <w:rFonts w:hint="eastAsia" w:ascii="Times New Roman" w:hAnsi="Times New Roman" w:eastAsia="宋体" w:cs="Times New Roman"/>
          <w:color w:val="000000" w:themeColor="text1"/>
          <w:sz w:val="24"/>
          <w:szCs w:val="24"/>
          <w:highlight w:val="none"/>
          <w14:textFill>
            <w14:solidFill>
              <w14:schemeClr w14:val="tx1"/>
            </w14:solidFill>
          </w14:textFill>
        </w:rPr>
        <w:t>实验</w:t>
      </w:r>
      <w:r>
        <w:rPr>
          <w:rFonts w:ascii="Times New Roman" w:hAnsi="Times New Roman" w:eastAsia="宋体" w:cs="Times New Roman"/>
          <w:color w:val="000000" w:themeColor="text1"/>
          <w:sz w:val="24"/>
          <w:szCs w:val="24"/>
          <w:highlight w:val="none"/>
          <w14:textFill>
            <w14:solidFill>
              <w14:schemeClr w14:val="tx1"/>
            </w14:solidFill>
          </w14:textFill>
        </w:rPr>
        <w:t>空间。</w:t>
      </w:r>
    </w:p>
    <w:p>
      <w:pPr>
        <w:pStyle w:val="82"/>
        <w:numPr>
          <w:ilvl w:val="0"/>
          <w:numId w:val="22"/>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综合性能检验　Comprehensive performance inspection</w:t>
      </w:r>
    </w:p>
    <w:p>
      <w:pPr>
        <w:pStyle w:val="56"/>
        <w:spacing w:line="360" w:lineRule="auto"/>
        <w:ind w:firstLine="48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对已竣工验收的几何量测量实验室受控环境指标进行现场检测，并对检测结果进行评定。</w:t>
      </w:r>
    </w:p>
    <w:p>
      <w:pPr>
        <w:spacing w:line="360" w:lineRule="auto"/>
        <w:ind w:firstLine="2"/>
        <w:rPr>
          <w:rFonts w:ascii="Times New Roman" w:hAnsi="Times New Roman" w:cs="Times New Roman"/>
          <w:color w:val="000000" w:themeColor="text1"/>
          <w:szCs w:val="21"/>
          <w:highlight w:val="none"/>
          <w14:textFill>
            <w14:solidFill>
              <w14:schemeClr w14:val="tx1"/>
            </w14:solidFill>
          </w14:textFill>
        </w:rPr>
      </w:pPr>
    </w:p>
    <w:p>
      <w:pPr>
        <w:widowControl/>
        <w:spacing w:line="360" w:lineRule="auto"/>
        <w:jc w:val="left"/>
        <w:rPr>
          <w:rFonts w:ascii="Times New Roman" w:hAnsi="Times New Roman" w:eastAsia="黑体" w:cs="Times New Roman"/>
          <w:bCs/>
          <w:color w:val="000000" w:themeColor="text1"/>
          <w:kern w:val="44"/>
          <w:sz w:val="24"/>
          <w:szCs w:val="24"/>
          <w:highlight w:val="none"/>
          <w14:textFill>
            <w14:solidFill>
              <w14:schemeClr w14:val="tx1"/>
            </w14:solidFill>
          </w14:textFill>
        </w:rPr>
      </w:pPr>
      <w:r>
        <w:rPr>
          <w:rFonts w:ascii="Times New Roman" w:hAnsi="Times New Roman" w:eastAsia="黑体" w:cs="Times New Roman"/>
          <w:color w:val="000000" w:themeColor="text1"/>
          <w:sz w:val="24"/>
          <w:szCs w:val="24"/>
          <w:highlight w:val="none"/>
          <w14:textFill>
            <w14:solidFill>
              <w14:schemeClr w14:val="tx1"/>
            </w14:solidFill>
          </w14:textFill>
        </w:rPr>
        <w:br w:type="page"/>
      </w:r>
    </w:p>
    <w:p>
      <w:pPr>
        <w:pStyle w:val="205"/>
        <w:rPr>
          <w:highlight w:val="none"/>
        </w:rPr>
      </w:pPr>
      <w:bookmarkStart w:id="4" w:name="_Toc44847171"/>
      <w:r>
        <w:rPr>
          <w:highlight w:val="none"/>
        </w:rPr>
        <w:t>基本规定</w:t>
      </w:r>
      <w:bookmarkEnd w:id="4"/>
    </w:p>
    <w:p>
      <w:pPr>
        <w:pStyle w:val="90"/>
        <w:numPr>
          <w:ilvl w:val="0"/>
          <w:numId w:val="23"/>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bookmarkStart w:id="5" w:name="_Hlk44796419"/>
      <w:r>
        <w:rPr>
          <w:rFonts w:ascii="Times New Roman" w:hAnsi="Times New Roman" w:cs="Times New Roman"/>
          <w:color w:val="000000" w:themeColor="text1"/>
          <w:sz w:val="24"/>
          <w:szCs w:val="24"/>
          <w:highlight w:val="none"/>
          <w14:textFill>
            <w14:solidFill>
              <w14:schemeClr w14:val="tx1"/>
            </w14:solidFill>
          </w14:textFill>
        </w:rPr>
        <w:t>本规程所定义的受控环境应为不大于表3.0.1规定的限值。</w:t>
      </w:r>
    </w:p>
    <w:bookmarkEnd w:id="5"/>
    <w:p>
      <w:pPr>
        <w:pStyle w:val="90"/>
        <w:spacing w:line="360" w:lineRule="auto"/>
        <w:ind w:left="420" w:firstLine="0" w:firstLineChars="0"/>
        <w:jc w:val="center"/>
        <w:rPr>
          <w:rFonts w:ascii="Times New Roman" w:hAnsi="Times New Roman" w:cs="Times New Roman"/>
          <w:b/>
          <w:bCs/>
          <w:color w:val="000000" w:themeColor="text1"/>
          <w:highlight w:val="none"/>
          <w14:textFill>
            <w14:solidFill>
              <w14:schemeClr w14:val="tx1"/>
            </w14:solidFill>
          </w14:textFill>
        </w:rPr>
      </w:pPr>
      <w:r>
        <w:rPr>
          <w:rFonts w:ascii="Times New Roman" w:hAnsi="Times New Roman" w:cs="Times New Roman"/>
          <w:b/>
          <w:bCs/>
          <w:color w:val="000000" w:themeColor="text1"/>
          <w:highlight w:val="none"/>
          <w14:textFill>
            <w14:solidFill>
              <w14:schemeClr w14:val="tx1"/>
            </w14:solidFill>
          </w14:textFill>
        </w:rPr>
        <w:t>表3.0.1 受控环境限值</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733"/>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3" w:type="pct"/>
            <w:gridSpan w:val="2"/>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受控环境参数</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2" w:type="pct"/>
            <w:vMerge w:val="restart"/>
            <w:shd w:val="clear" w:color="auto" w:fill="auto"/>
            <w:vAlign w:val="center"/>
          </w:tcPr>
          <w:p>
            <w:pPr>
              <w:spacing w:line="360" w:lineRule="auto"/>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微振动控制</w:t>
            </w:r>
          </w:p>
          <w:p>
            <w:pPr>
              <w:spacing w:line="360" w:lineRule="auto"/>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（频域振动幅值）</w:t>
            </w:r>
          </w:p>
        </w:tc>
        <w:tc>
          <w:tcPr>
            <w:tcW w:w="2040" w:type="pct"/>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振动位移（μm）</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2" w:type="pct"/>
            <w:vMerge w:val="continue"/>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p>
        </w:tc>
        <w:tc>
          <w:tcPr>
            <w:tcW w:w="2040" w:type="pct"/>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振动速度（μm/s）</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2" w:type="pct"/>
            <w:vMerge w:val="continue"/>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p>
        </w:tc>
        <w:tc>
          <w:tcPr>
            <w:tcW w:w="2040" w:type="pct"/>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振动加速度（m/s</w:t>
            </w:r>
            <w:r>
              <w:rPr>
                <w:rFonts w:ascii="Times New Roman" w:hAnsi="Times New Roman" w:cs="Times New Roman"/>
                <w:color w:val="000000" w:themeColor="text1"/>
                <w:highlight w:val="none"/>
                <w:vertAlign w:val="superscript"/>
                <w14:textFill>
                  <w14:solidFill>
                    <w14:schemeClr w14:val="tx1"/>
                  </w14:solidFill>
                </w14:textFill>
              </w:rPr>
              <w:t>2</w:t>
            </w:r>
            <w:r>
              <w:rPr>
                <w:rFonts w:ascii="Times New Roman" w:hAnsi="Times New Roman" w:cs="Times New Roman"/>
                <w:color w:val="000000" w:themeColor="text1"/>
                <w:highlight w:val="none"/>
                <w14:textFill>
                  <w14:solidFill>
                    <w14:schemeClr w14:val="tx1"/>
                  </w14:solidFill>
                </w14:textFill>
              </w:rPr>
              <w:t>）</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2×10</w:t>
            </w:r>
            <w:r>
              <w:rPr>
                <w:rFonts w:ascii="Times New Roman" w:hAnsi="Times New Roman" w:cs="Times New Roman"/>
                <w:color w:val="000000" w:themeColor="text1"/>
                <w:highlight w:val="none"/>
                <w:vertAlign w:val="superscript"/>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3" w:type="pct"/>
            <w:gridSpan w:val="2"/>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温度控制（℃）</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3" w:type="pct"/>
            <w:gridSpan w:val="2"/>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湿度控制（RH）</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3" w:type="pct"/>
            <w:gridSpan w:val="2"/>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洁净度等级（ISO）</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ISO8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3" w:type="pct"/>
            <w:gridSpan w:val="2"/>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噪声控制（dB（A））</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3" w:type="pct"/>
            <w:gridSpan w:val="2"/>
            <w:shd w:val="clear" w:color="auto" w:fill="auto"/>
          </w:tcPr>
          <w:p>
            <w:pPr>
              <w:spacing w:line="360" w:lineRule="auto"/>
              <w:ind w:firstLine="420"/>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电磁干扰（μv/s）</w:t>
            </w:r>
          </w:p>
        </w:tc>
        <w:tc>
          <w:tcPr>
            <w:tcW w:w="1347" w:type="pct"/>
            <w:shd w:val="clear" w:color="auto" w:fill="auto"/>
            <w:vAlign w:val="center"/>
          </w:tcPr>
          <w:p>
            <w:pPr>
              <w:spacing w:line="360" w:lineRule="auto"/>
              <w:ind w:firstLine="199" w:firstLineChars="95"/>
              <w:jc w:val="center"/>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100</w:t>
            </w:r>
          </w:p>
        </w:tc>
      </w:tr>
    </w:tbl>
    <w:p>
      <w:pPr>
        <w:pStyle w:val="90"/>
        <w:numPr>
          <w:ilvl w:val="0"/>
          <w:numId w:val="2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几何量测量实验室的规划选址、设计、施工、调试和验收宜遵循下列程序：</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确定几何量测量实验室的测量能力；</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确定精密设备及仪器的受控环境容许值；</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场地工程地质、水文地质勘察及地基动力特性测试；</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场地环境振动、电磁/射频干扰、温度、噪声、污染物测试及分析;</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场地综合评估及场地选择；</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实验室工艺规划布局；</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实验室工程设计方案论证；</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实验室工程设计；</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实验室工程施工及安装；</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受控工艺参数分部分项</w:t>
      </w:r>
      <w:r>
        <w:rPr>
          <w:rFonts w:hint="eastAsia" w:ascii="Times New Roman" w:hAnsi="Times New Roman" w:cs="Times New Roman"/>
          <w:color w:val="000000" w:themeColor="text1"/>
          <w:sz w:val="24"/>
          <w:szCs w:val="24"/>
          <w:highlight w:val="none"/>
          <w14:textFill>
            <w14:solidFill>
              <w14:schemeClr w14:val="tx1"/>
            </w14:solidFill>
          </w14:textFill>
        </w:rPr>
        <w:t>测试</w:t>
      </w:r>
      <w:r>
        <w:rPr>
          <w:rFonts w:ascii="Times New Roman" w:hAnsi="Times New Roman" w:cs="Times New Roman"/>
          <w:color w:val="000000" w:themeColor="text1"/>
          <w:sz w:val="24"/>
          <w:szCs w:val="24"/>
          <w:highlight w:val="none"/>
          <w14:textFill>
            <w14:solidFill>
              <w14:schemeClr w14:val="tx1"/>
            </w14:solidFill>
          </w14:textFill>
        </w:rPr>
        <w:t>及分析；</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工程调试及试运转；</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工程竣工测试及验收；</w:t>
      </w:r>
    </w:p>
    <w:p>
      <w:pPr>
        <w:pStyle w:val="90"/>
        <w:numPr>
          <w:ilvl w:val="0"/>
          <w:numId w:val="24"/>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实验室综合性能检验。</w:t>
      </w:r>
    </w:p>
    <w:p>
      <w:pPr>
        <w:pStyle w:val="90"/>
        <w:numPr>
          <w:ilvl w:val="0"/>
          <w:numId w:val="23"/>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几何量测量实验室工程设计应包括下列内容：</w:t>
      </w:r>
    </w:p>
    <w:p>
      <w:pPr>
        <w:pStyle w:val="90"/>
        <w:numPr>
          <w:ilvl w:val="0"/>
          <w:numId w:val="25"/>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实验室工艺设计；</w:t>
      </w:r>
    </w:p>
    <w:p>
      <w:pPr>
        <w:pStyle w:val="90"/>
        <w:numPr>
          <w:ilvl w:val="0"/>
          <w:numId w:val="25"/>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建筑设计；</w:t>
      </w:r>
    </w:p>
    <w:p>
      <w:pPr>
        <w:pStyle w:val="90"/>
        <w:numPr>
          <w:ilvl w:val="0"/>
          <w:numId w:val="25"/>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结构设计；</w:t>
      </w:r>
    </w:p>
    <w:p>
      <w:pPr>
        <w:pStyle w:val="90"/>
        <w:numPr>
          <w:ilvl w:val="0"/>
          <w:numId w:val="25"/>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防微振专项设计；</w:t>
      </w:r>
    </w:p>
    <w:p>
      <w:pPr>
        <w:pStyle w:val="90"/>
        <w:numPr>
          <w:ilvl w:val="0"/>
          <w:numId w:val="25"/>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公用系统设计；</w:t>
      </w:r>
    </w:p>
    <w:p>
      <w:pPr>
        <w:pStyle w:val="90"/>
        <w:numPr>
          <w:ilvl w:val="0"/>
          <w:numId w:val="25"/>
        </w:numPr>
        <w:spacing w:line="360" w:lineRule="auto"/>
        <w:ind w:left="848" w:leftChars="202" w:hanging="424"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实验室辅助设计。</w:t>
      </w:r>
    </w:p>
    <w:p>
      <w:pPr>
        <w:pStyle w:val="90"/>
        <w:numPr>
          <w:ilvl w:val="0"/>
          <w:numId w:val="2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几何量测量实验室工程设计与施工质量</w:t>
      </w:r>
      <w:r>
        <w:rPr>
          <w:rFonts w:hint="eastAsia" w:ascii="Times New Roman" w:hAnsi="Times New Roman" w:cs="Times New Roman"/>
          <w:color w:val="000000" w:themeColor="text1"/>
          <w:sz w:val="24"/>
          <w:szCs w:val="24"/>
          <w:highlight w:val="none"/>
          <w14:textFill>
            <w14:solidFill>
              <w14:schemeClr w14:val="tx1"/>
            </w14:solidFill>
          </w14:textFill>
        </w:rPr>
        <w:t>应</w:t>
      </w:r>
      <w:r>
        <w:rPr>
          <w:rFonts w:ascii="Times New Roman" w:hAnsi="Times New Roman" w:cs="Times New Roman"/>
          <w:color w:val="000000" w:themeColor="text1"/>
          <w:sz w:val="24"/>
          <w:szCs w:val="24"/>
          <w:highlight w:val="none"/>
          <w14:textFill>
            <w14:solidFill>
              <w14:schemeClr w14:val="tx1"/>
            </w14:solidFill>
          </w14:textFill>
        </w:rPr>
        <w:t>满足精密设备及仪器的受控环境容许值。</w:t>
      </w:r>
    </w:p>
    <w:p>
      <w:pPr>
        <w:pStyle w:val="56"/>
        <w:spacing w:line="360" w:lineRule="auto"/>
        <w:ind w:left="42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rPr>
          <w:highlight w:val="none"/>
        </w:rPr>
      </w:pPr>
      <w:bookmarkStart w:id="6" w:name="_Toc44847172"/>
      <w:r>
        <w:rPr>
          <w:highlight w:val="none"/>
        </w:rPr>
        <w:t>规划选址</w:t>
      </w:r>
      <w:bookmarkEnd w:id="6"/>
    </w:p>
    <w:p>
      <w:pPr>
        <w:pStyle w:val="56"/>
        <w:numPr>
          <w:ilvl w:val="0"/>
          <w:numId w:val="26"/>
        </w:numPr>
        <w:spacing w:line="360" w:lineRule="auto"/>
        <w:ind w:left="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几何量测量实验室建设地点选址，不得选择在强振源、强噪声、强风沙、强电磁干扰、强射频干扰、有害气体密集区等不利区域，宜符合下列规定：</w:t>
      </w:r>
    </w:p>
    <w:p>
      <w:pPr>
        <w:pStyle w:val="56"/>
        <w:numPr>
          <w:ilvl w:val="0"/>
          <w:numId w:val="27"/>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宜选择在地基土较坚硬或基岩埋藏较浅的地区，不宜选择在软土或回填土等松软地质区域；</w:t>
      </w:r>
    </w:p>
    <w:p>
      <w:pPr>
        <w:pStyle w:val="56"/>
        <w:numPr>
          <w:ilvl w:val="0"/>
          <w:numId w:val="27"/>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宜避开江河湖泊、海岸沙滩、常年冰冻等地区；</w:t>
      </w:r>
    </w:p>
    <w:p>
      <w:pPr>
        <w:pStyle w:val="56"/>
        <w:numPr>
          <w:ilvl w:val="0"/>
          <w:numId w:val="27"/>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宜选择抗震设防烈度不大于8度的地区，避开地震活动断裂带等不利地段，宜避开液化砂土层等区域，并应符合现行国家标准《建筑抗震设计规范》GB50011的有关规定；</w:t>
      </w:r>
    </w:p>
    <w:p>
      <w:pPr>
        <w:pStyle w:val="56"/>
        <w:numPr>
          <w:ilvl w:val="0"/>
          <w:numId w:val="27"/>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无法避开时应采取相应处理措施。</w:t>
      </w:r>
    </w:p>
    <w:p>
      <w:pPr>
        <w:pStyle w:val="56"/>
        <w:numPr>
          <w:ilvl w:val="0"/>
          <w:numId w:val="26"/>
        </w:numPr>
        <w:spacing w:line="360" w:lineRule="auto"/>
        <w:ind w:left="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几何量测量实验室所在建筑物在园区内规划，不得布置在动力站、货运站、基站、主要交通干道等不利区域，宜符合下列规定：</w:t>
      </w:r>
    </w:p>
    <w:p>
      <w:pPr>
        <w:pStyle w:val="56"/>
        <w:numPr>
          <w:ilvl w:val="0"/>
          <w:numId w:val="28"/>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宜选择园区内的上风向地区；</w:t>
      </w:r>
    </w:p>
    <w:p>
      <w:pPr>
        <w:pStyle w:val="56"/>
        <w:numPr>
          <w:ilvl w:val="0"/>
          <w:numId w:val="28"/>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宜避开园区主厂房、会议楼、餐厅等嘈杂区域，单独布置；</w:t>
      </w:r>
    </w:p>
    <w:p>
      <w:pPr>
        <w:pStyle w:val="56"/>
        <w:numPr>
          <w:ilvl w:val="0"/>
          <w:numId w:val="28"/>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周边或楼顶绿化宜种植草坪或长青灌木，不宜种植乔木。</w:t>
      </w:r>
    </w:p>
    <w:p>
      <w:pPr>
        <w:pStyle w:val="56"/>
        <w:numPr>
          <w:ilvl w:val="0"/>
          <w:numId w:val="28"/>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周边道路应加固路基，并宜选用柔性路面；</w:t>
      </w:r>
    </w:p>
    <w:p>
      <w:pPr>
        <w:pStyle w:val="56"/>
        <w:numPr>
          <w:ilvl w:val="0"/>
          <w:numId w:val="28"/>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周边道路宜限制车辆载重、行驶车速及行驶时间；</w:t>
      </w:r>
    </w:p>
    <w:p>
      <w:pPr>
        <w:pStyle w:val="56"/>
        <w:numPr>
          <w:ilvl w:val="0"/>
          <w:numId w:val="28"/>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无法实现时应采取相应处理措施。</w:t>
      </w:r>
    </w:p>
    <w:p>
      <w:pPr>
        <w:pStyle w:val="56"/>
        <w:numPr>
          <w:ilvl w:val="0"/>
          <w:numId w:val="26"/>
        </w:numPr>
        <w:spacing w:line="360" w:lineRule="auto"/>
        <w:ind w:left="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几何量测量实验室在建筑物内规划布局宜符合下列规定；</w:t>
      </w:r>
    </w:p>
    <w:p>
      <w:pPr>
        <w:pStyle w:val="56"/>
        <w:numPr>
          <w:ilvl w:val="0"/>
          <w:numId w:val="2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宜布置在地下室或地上建筑无外门和窗的内区；</w:t>
      </w:r>
    </w:p>
    <w:p>
      <w:pPr>
        <w:pStyle w:val="56"/>
        <w:numPr>
          <w:ilvl w:val="0"/>
          <w:numId w:val="2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宜直接与地面接触，不宜架空布置；</w:t>
      </w:r>
    </w:p>
    <w:p>
      <w:pPr>
        <w:pStyle w:val="56"/>
        <w:numPr>
          <w:ilvl w:val="0"/>
          <w:numId w:val="2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不宜布置在电梯、配电间、弱电间附近；</w:t>
      </w:r>
    </w:p>
    <w:p>
      <w:pPr>
        <w:pStyle w:val="56"/>
        <w:numPr>
          <w:ilvl w:val="0"/>
          <w:numId w:val="2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宜避开空调、通风等不</w:t>
      </w:r>
      <w:r>
        <w:rPr>
          <w:rFonts w:hint="eastAsia" w:ascii="Times New Roman" w:hAnsi="Times New Roman" w:cs="Times New Roman"/>
          <w:color w:val="000000" w:themeColor="text1"/>
          <w:sz w:val="24"/>
          <w:szCs w:val="24"/>
          <w:highlight w:val="none"/>
          <w14:textFill>
            <w14:solidFill>
              <w14:schemeClr w14:val="tx1"/>
            </w14:solidFill>
          </w14:textFill>
        </w:rPr>
        <w:t>便</w:t>
      </w:r>
      <w:r>
        <w:rPr>
          <w:rFonts w:ascii="Times New Roman" w:hAnsi="Times New Roman" w:cs="Times New Roman"/>
          <w:color w:val="000000" w:themeColor="text1"/>
          <w:sz w:val="24"/>
          <w:szCs w:val="24"/>
          <w:highlight w:val="none"/>
          <w14:textFill>
            <w14:solidFill>
              <w14:schemeClr w14:val="tx1"/>
            </w14:solidFill>
          </w14:textFill>
        </w:rPr>
        <w:t>较远布置的动力机房；</w:t>
      </w:r>
    </w:p>
    <w:p>
      <w:pPr>
        <w:pStyle w:val="56"/>
        <w:numPr>
          <w:ilvl w:val="0"/>
          <w:numId w:val="2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无法实现时应采取相应处理措施。</w:t>
      </w:r>
    </w:p>
    <w:p>
      <w:pPr>
        <w:pStyle w:val="56"/>
        <w:numPr>
          <w:ilvl w:val="0"/>
          <w:numId w:val="26"/>
        </w:numPr>
        <w:spacing w:line="360" w:lineRule="auto"/>
        <w:ind w:left="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位置选择时，应对场地或周边环境背景测试，经分析比较、综合评估后确定；当不具备环境背景测试条件时，振源防振距离可按《电子工业防微振工程技术规范》GB51076确定，同时也应远离其他干扰源。</w:t>
      </w:r>
    </w:p>
    <w:p>
      <w:pPr>
        <w:widowControl/>
        <w:spacing w:line="360" w:lineRule="auto"/>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rPr>
          <w:highlight w:val="none"/>
        </w:rPr>
      </w:pPr>
      <w:bookmarkStart w:id="7" w:name="_Toc44847173"/>
      <w:r>
        <w:rPr>
          <w:highlight w:val="none"/>
        </w:rPr>
        <w:t>工艺设计</w:t>
      </w:r>
      <w:bookmarkEnd w:id="7"/>
    </w:p>
    <w:p>
      <w:pPr>
        <w:pStyle w:val="206"/>
        <w:spacing w:before="156"/>
        <w:rPr>
          <w:highlight w:val="none"/>
        </w:rPr>
      </w:pPr>
      <w:bookmarkStart w:id="8" w:name="_Toc369876463"/>
      <w:bookmarkStart w:id="9" w:name="_Toc44847174"/>
      <w:r>
        <w:rPr>
          <w:highlight w:val="none"/>
        </w:rPr>
        <w:t xml:space="preserve">5.1  </w:t>
      </w:r>
      <w:bookmarkEnd w:id="8"/>
      <w:r>
        <w:rPr>
          <w:highlight w:val="none"/>
        </w:rPr>
        <w:t>实验室分类</w:t>
      </w:r>
      <w:bookmarkEnd w:id="9"/>
    </w:p>
    <w:p>
      <w:pPr>
        <w:numPr>
          <w:ilvl w:val="0"/>
          <w:numId w:val="30"/>
        </w:numPr>
        <w:spacing w:line="360" w:lineRule="auto"/>
        <w:ind w:left="0" w:firstLine="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几何量测量实验室的组成应根据实验具体任务的性质和工作范围确定，并应与实验工作量相适应。</w:t>
      </w:r>
    </w:p>
    <w:p>
      <w:pPr>
        <w:numPr>
          <w:ilvl w:val="0"/>
          <w:numId w:val="30"/>
        </w:numPr>
        <w:spacing w:line="360" w:lineRule="auto"/>
        <w:ind w:left="0" w:firstLine="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几何量测量实验室应由实验用房、辅助用房、公用设施用房组成。具体宜根据表5.1.2-1</w:t>
      </w:r>
      <w:r>
        <w:rPr>
          <w:rFonts w:hint="eastAsia" w:ascii="Times New Roman" w:hAnsi="Times New Roman" w:cs="Times New Roman"/>
          <w:color w:val="000000" w:themeColor="text1"/>
          <w:sz w:val="24"/>
          <w:szCs w:val="24"/>
          <w:highlight w:val="none"/>
          <w14:textFill>
            <w14:solidFill>
              <w14:schemeClr w14:val="tx1"/>
            </w14:solidFill>
          </w14:textFill>
        </w:rPr>
        <w:t>及</w:t>
      </w:r>
      <w:r>
        <w:rPr>
          <w:rFonts w:ascii="Times New Roman" w:hAnsi="Times New Roman" w:cs="Times New Roman"/>
          <w:color w:val="000000" w:themeColor="text1"/>
          <w:sz w:val="24"/>
          <w:szCs w:val="24"/>
          <w:highlight w:val="none"/>
          <w14:textFill>
            <w14:solidFill>
              <w14:schemeClr w14:val="tx1"/>
            </w14:solidFill>
          </w14:textFill>
        </w:rPr>
        <w:t>5.1.2-1确定，</w:t>
      </w:r>
      <w:r>
        <w:rPr>
          <w:rFonts w:hint="eastAsia" w:ascii="Times New Roman" w:hAnsi="Times New Roman" w:cs="Times New Roman"/>
          <w:color w:val="000000" w:themeColor="text1"/>
          <w:sz w:val="24"/>
          <w:szCs w:val="24"/>
          <w:highlight w:val="none"/>
          <w14:textFill>
            <w14:solidFill>
              <w14:schemeClr w14:val="tx1"/>
            </w14:solidFill>
          </w14:textFill>
        </w:rPr>
        <w:t>可</w:t>
      </w:r>
      <w:r>
        <w:rPr>
          <w:rFonts w:ascii="Times New Roman" w:hAnsi="Times New Roman" w:cs="Times New Roman"/>
          <w:color w:val="000000" w:themeColor="text1"/>
          <w:sz w:val="24"/>
          <w:szCs w:val="24"/>
          <w:highlight w:val="none"/>
          <w14:textFill>
            <w14:solidFill>
              <w14:schemeClr w14:val="tx1"/>
            </w14:solidFill>
          </w14:textFill>
        </w:rPr>
        <w:t>针对不同行业调整或补充。</w:t>
      </w:r>
    </w:p>
    <w:p>
      <w:pPr>
        <w:pStyle w:val="90"/>
        <w:spacing w:line="360" w:lineRule="auto"/>
        <w:ind w:left="420" w:right="210" w:firstLine="0" w:firstLineChars="0"/>
        <w:jc w:val="center"/>
        <w:rPr>
          <w:rFonts w:ascii="Times New Roman" w:hAnsi="Times New Roman" w:eastAsia="宋体" w:cs="Times New Roman"/>
          <w:b/>
          <w:bCs/>
          <w:color w:val="000000" w:themeColor="text1"/>
          <w:kern w:val="0"/>
          <w:szCs w:val="21"/>
          <w:highlight w:val="none"/>
          <w14:textFill>
            <w14:solidFill>
              <w14:schemeClr w14:val="tx1"/>
            </w14:solidFill>
          </w14:textFill>
        </w:rPr>
      </w:pPr>
      <w:r>
        <w:rPr>
          <w:rFonts w:ascii="Times New Roman" w:hAnsi="Times New Roman" w:eastAsia="宋体" w:cs="Times New Roman"/>
          <w:b/>
          <w:bCs/>
          <w:color w:val="000000" w:themeColor="text1"/>
          <w:kern w:val="0"/>
          <w:szCs w:val="21"/>
          <w:highlight w:val="none"/>
          <w14:textFill>
            <w14:solidFill>
              <w14:schemeClr w14:val="tx1"/>
            </w14:solidFill>
          </w14:textFill>
        </w:rPr>
        <w:t>表</w:t>
      </w:r>
      <w:r>
        <w:rPr>
          <w:rFonts w:ascii="Times New Roman" w:hAnsi="Times New Roman" w:eastAsia="宋体" w:cs="Times New Roman"/>
          <w:b/>
          <w:bCs/>
          <w:color w:val="000000" w:themeColor="text1"/>
          <w:highlight w:val="none"/>
          <w14:textFill>
            <w14:solidFill>
              <w14:schemeClr w14:val="tx1"/>
            </w14:solidFill>
          </w14:textFill>
        </w:rPr>
        <w:t>5.1.2-1</w:t>
      </w:r>
      <w:r>
        <w:rPr>
          <w:rFonts w:ascii="Times New Roman" w:hAnsi="Times New Roman" w:eastAsia="宋体" w:cs="Times New Roman"/>
          <w:b/>
          <w:bCs/>
          <w:color w:val="000000" w:themeColor="text1"/>
          <w:kern w:val="0"/>
          <w:szCs w:val="21"/>
          <w:highlight w:val="none"/>
          <w14:textFill>
            <w14:solidFill>
              <w14:schemeClr w14:val="tx1"/>
            </w14:solidFill>
          </w14:textFill>
        </w:rPr>
        <w:t xml:space="preserve">  常用几何量测量实验室实验用房构成</w:t>
      </w:r>
    </w:p>
    <w:tbl>
      <w:tblPr>
        <w:tblStyle w:val="35"/>
        <w:tblW w:w="4952" w:type="pct"/>
        <w:jc w:val="center"/>
        <w:tblLayout w:type="fixed"/>
        <w:tblCellMar>
          <w:top w:w="0" w:type="dxa"/>
          <w:left w:w="0" w:type="dxa"/>
          <w:bottom w:w="0" w:type="dxa"/>
          <w:right w:w="0" w:type="dxa"/>
        </w:tblCellMar>
      </w:tblPr>
      <w:tblGrid>
        <w:gridCol w:w="1681"/>
        <w:gridCol w:w="3063"/>
        <w:gridCol w:w="4130"/>
      </w:tblGrid>
      <w:tr>
        <w:tblPrEx>
          <w:tblCellMar>
            <w:top w:w="0" w:type="dxa"/>
            <w:left w:w="0" w:type="dxa"/>
            <w:bottom w:w="0" w:type="dxa"/>
            <w:right w:w="0" w:type="dxa"/>
          </w:tblCellMar>
        </w:tblPrEx>
        <w:trPr>
          <w:trHeight w:val="270" w:hRule="atLeast"/>
          <w:jc w:val="center"/>
        </w:trPr>
        <w:tc>
          <w:tcPr>
            <w:tcW w:w="9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kern w:val="0"/>
                <w:szCs w:val="21"/>
                <w:highlight w:val="none"/>
                <w:lang w:bidi="ar"/>
                <w14:textFill>
                  <w14:solidFill>
                    <w14:schemeClr w14:val="tx1"/>
                  </w14:solidFill>
                </w14:textFill>
              </w:rPr>
              <w:t>测量类别</w:t>
            </w:r>
          </w:p>
        </w:tc>
        <w:tc>
          <w:tcPr>
            <w:tcW w:w="172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房间名称</w:t>
            </w:r>
          </w:p>
        </w:tc>
        <w:tc>
          <w:tcPr>
            <w:tcW w:w="2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测量参数/项目</w:t>
            </w:r>
          </w:p>
        </w:tc>
      </w:tr>
      <w:tr>
        <w:tblPrEx>
          <w:tblCellMar>
            <w:top w:w="0" w:type="dxa"/>
            <w:left w:w="0" w:type="dxa"/>
            <w:bottom w:w="0" w:type="dxa"/>
            <w:right w:w="0" w:type="dxa"/>
          </w:tblCellMar>
        </w:tblPrEx>
        <w:trPr>
          <w:trHeight w:val="270" w:hRule="atLeast"/>
          <w:jc w:val="center"/>
        </w:trPr>
        <w:tc>
          <w:tcPr>
            <w:tcW w:w="947"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kern w:val="0"/>
                <w:szCs w:val="21"/>
                <w:highlight w:val="none"/>
                <w:lang w:bidi="ar"/>
                <w14:textFill>
                  <w14:solidFill>
                    <w14:schemeClr w14:val="tx1"/>
                  </w14:solidFill>
                </w14:textFill>
              </w:rPr>
              <w:t>线纹</w:t>
            </w:r>
          </w:p>
        </w:tc>
        <w:tc>
          <w:tcPr>
            <w:tcW w:w="1726" w:type="pct"/>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线纹尺测量实验室</w:t>
            </w:r>
          </w:p>
        </w:tc>
        <w:tc>
          <w:tcPr>
            <w:tcW w:w="2327" w:type="pct"/>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基线尺、光栅尺、线纹尺、卷尺、钢直尺、比例尺、折尺等</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光学仪器精测实验室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工具显微镜、干涉显微镜、光切显微镜、光学计等</w:t>
            </w:r>
          </w:p>
        </w:tc>
      </w:tr>
      <w:tr>
        <w:tblPrEx>
          <w:tblCellMar>
            <w:top w:w="0" w:type="dxa"/>
            <w:left w:w="0" w:type="dxa"/>
            <w:bottom w:w="0" w:type="dxa"/>
            <w:right w:w="0" w:type="dxa"/>
          </w:tblCellMar>
        </w:tblPrEx>
        <w:trPr>
          <w:trHeight w:val="270" w:hRule="atLeast"/>
          <w:jc w:val="center"/>
        </w:trPr>
        <w:tc>
          <w:tcPr>
            <w:tcW w:w="947" w:type="pct"/>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长度和端度</w:t>
            </w: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量块实验室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各等级量块</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量具精测实验室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千分尺、卡尺、指示类量具检定仪等</w:t>
            </w:r>
          </w:p>
        </w:tc>
      </w:tr>
      <w:tr>
        <w:tblPrEx>
          <w:tblCellMar>
            <w:top w:w="0" w:type="dxa"/>
            <w:left w:w="0" w:type="dxa"/>
            <w:bottom w:w="0" w:type="dxa"/>
            <w:right w:w="0" w:type="dxa"/>
          </w:tblCellMar>
        </w:tblPrEx>
        <w:trPr>
          <w:trHeight w:val="425" w:hRule="atLeast"/>
          <w:jc w:val="center"/>
        </w:trPr>
        <w:tc>
          <w:tcPr>
            <w:tcW w:w="947" w:type="pct"/>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kern w:val="0"/>
                <w:szCs w:val="21"/>
                <w:highlight w:val="none"/>
                <w:lang w:bidi="ar"/>
                <w14:textFill>
                  <w14:solidFill>
                    <w14:schemeClr w14:val="tx1"/>
                  </w14:solidFill>
                </w14:textFill>
              </w:rPr>
            </w:pPr>
            <w:r>
              <w:rPr>
                <w:rFonts w:ascii="Times New Roman" w:hAnsi="Times New Roman" w:cs="Times New Roman"/>
                <w:color w:val="000000" w:themeColor="text1"/>
                <w:kern w:val="0"/>
                <w:szCs w:val="21"/>
                <w:highlight w:val="none"/>
                <w:lang w:bidi="ar"/>
                <w14:textFill>
                  <w14:solidFill>
                    <w14:schemeClr w14:val="tx1"/>
                  </w14:solidFill>
                </w14:textFill>
              </w:rPr>
              <w:t>角度</w:t>
            </w:r>
          </w:p>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kern w:val="0"/>
                <w:szCs w:val="21"/>
                <w:highlight w:val="none"/>
                <w:lang w:bidi="ar"/>
                <w14:textFill>
                  <w14:solidFill>
                    <w14:schemeClr w14:val="tx1"/>
                  </w14:solidFill>
                </w14:textFill>
              </w:rPr>
              <w:t>（含水平度）</w:t>
            </w:r>
          </w:p>
        </w:tc>
        <w:tc>
          <w:tcPr>
            <w:tcW w:w="1726" w:type="pc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角度测量实验室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角度块、圆分度器、直角尺、正弦规等</w:t>
            </w:r>
          </w:p>
        </w:tc>
      </w:tr>
      <w:tr>
        <w:tblPrEx>
          <w:tblCellMar>
            <w:top w:w="0" w:type="dxa"/>
            <w:left w:w="0" w:type="dxa"/>
            <w:bottom w:w="0" w:type="dxa"/>
            <w:right w:w="0" w:type="dxa"/>
          </w:tblCellMar>
        </w:tblPrEx>
        <w:trPr>
          <w:trHeight w:val="425" w:hRule="atLeast"/>
          <w:jc w:val="center"/>
        </w:trPr>
        <w:tc>
          <w:tcPr>
            <w:tcW w:w="947" w:type="pct"/>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kern w:val="0"/>
                <w:szCs w:val="21"/>
                <w:highlight w:val="none"/>
                <w:lang w:bidi="ar"/>
                <w14:textFill>
                  <w14:solidFill>
                    <w14:schemeClr w14:val="tx1"/>
                  </w14:solidFill>
                </w14:textFill>
              </w:rPr>
              <w:t>水平度</w:t>
            </w:r>
            <w:r>
              <w:rPr>
                <w:rFonts w:ascii="Times New Roman" w:hAnsi="Times New Roman" w:cs="Times New Roman"/>
                <w:color w:val="000000" w:themeColor="text1"/>
                <w:szCs w:val="21"/>
                <w:highlight w:val="none"/>
                <w14:textFill>
                  <w14:solidFill>
                    <w14:schemeClr w14:val="tx1"/>
                  </w14:solidFill>
                </w14:textFill>
              </w:rPr>
              <w:t>测量</w:t>
            </w:r>
            <w:r>
              <w:rPr>
                <w:rFonts w:ascii="Times New Roman" w:hAnsi="Times New Roman" w:cs="Times New Roman"/>
                <w:color w:val="000000" w:themeColor="text1"/>
                <w:kern w:val="0"/>
                <w:szCs w:val="21"/>
                <w:highlight w:val="none"/>
                <w:lang w:bidi="ar"/>
                <w14:textFill>
                  <w14:solidFill>
                    <w14:schemeClr w14:val="tx1"/>
                  </w14:solidFill>
                </w14:textFill>
              </w:rPr>
              <w:t>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水平尺、激光扫平仪等</w:t>
            </w:r>
          </w:p>
        </w:tc>
      </w:tr>
      <w:tr>
        <w:tblPrEx>
          <w:tblCellMar>
            <w:top w:w="0" w:type="dxa"/>
            <w:left w:w="0" w:type="dxa"/>
            <w:bottom w:w="0" w:type="dxa"/>
            <w:right w:w="0" w:type="dxa"/>
          </w:tblCellMar>
        </w:tblPrEx>
        <w:trPr>
          <w:trHeight w:val="270" w:hRule="atLeast"/>
          <w:jc w:val="center"/>
        </w:trPr>
        <w:tc>
          <w:tcPr>
            <w:tcW w:w="947"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kern w:val="0"/>
                <w:szCs w:val="21"/>
                <w:highlight w:val="none"/>
                <w:lang w:bidi="ar"/>
                <w14:textFill>
                  <w14:solidFill>
                    <w14:schemeClr w14:val="tx1"/>
                  </w14:solidFill>
                </w14:textFill>
              </w:rPr>
              <w:t>测绘仪器</w:t>
            </w: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室内大长度标准实验室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测距仪、平板仪等</w:t>
            </w:r>
          </w:p>
        </w:tc>
      </w:tr>
      <w:tr>
        <w:tblPrEx>
          <w:tblCellMar>
            <w:top w:w="0" w:type="dxa"/>
            <w:left w:w="0" w:type="dxa"/>
            <w:bottom w:w="0" w:type="dxa"/>
            <w:right w:w="0" w:type="dxa"/>
          </w:tblCellMar>
        </w:tblPrEx>
        <w:trPr>
          <w:trHeight w:val="270" w:hRule="atLeast"/>
          <w:jc w:val="center"/>
        </w:trPr>
        <w:tc>
          <w:tcPr>
            <w:tcW w:w="947" w:type="pct"/>
            <w:vMerge w:val="continue"/>
            <w:tcBorders>
              <w:left w:val="single" w:color="000000"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室外基线实验室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全站仪、GPS接收机等</w:t>
            </w:r>
          </w:p>
        </w:tc>
      </w:tr>
      <w:tr>
        <w:tblPrEx>
          <w:tblCellMar>
            <w:top w:w="0" w:type="dxa"/>
            <w:left w:w="0" w:type="dxa"/>
            <w:bottom w:w="0" w:type="dxa"/>
            <w:right w:w="0" w:type="dxa"/>
          </w:tblCellMar>
        </w:tblPrEx>
        <w:trPr>
          <w:trHeight w:val="270" w:hRule="atLeast"/>
          <w:jc w:val="center"/>
        </w:trPr>
        <w:tc>
          <w:tcPr>
            <w:tcW w:w="947"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测绘仪器检测实验室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水准仪、垂准仪等</w:t>
            </w:r>
          </w:p>
        </w:tc>
      </w:tr>
      <w:tr>
        <w:tblPrEx>
          <w:tblCellMar>
            <w:top w:w="0" w:type="dxa"/>
            <w:left w:w="0" w:type="dxa"/>
            <w:bottom w:w="0" w:type="dxa"/>
            <w:right w:w="0" w:type="dxa"/>
          </w:tblCellMar>
        </w:tblPrEx>
        <w:trPr>
          <w:trHeight w:val="846" w:hRule="atLeast"/>
          <w:jc w:val="center"/>
        </w:trPr>
        <w:tc>
          <w:tcPr>
            <w:tcW w:w="947" w:type="pct"/>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齿轮、轴承、 螺纹</w:t>
            </w:r>
          </w:p>
        </w:tc>
        <w:tc>
          <w:tcPr>
            <w:tcW w:w="1726" w:type="pct"/>
            <w:tcBorders>
              <w:top w:val="single" w:color="auto" w:sz="4" w:space="0"/>
              <w:left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齿轮螺纹精测实验室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万能测齿仪、齿厚卡尺、螺纹千分尺、石油螺纹工作量规等</w:t>
            </w:r>
          </w:p>
        </w:tc>
      </w:tr>
      <w:tr>
        <w:tblPrEx>
          <w:tblCellMar>
            <w:top w:w="0" w:type="dxa"/>
            <w:left w:w="0" w:type="dxa"/>
            <w:bottom w:w="0" w:type="dxa"/>
            <w:right w:w="0" w:type="dxa"/>
          </w:tblCellMar>
        </w:tblPrEx>
        <w:trPr>
          <w:trHeight w:val="270" w:hRule="atLeast"/>
          <w:jc w:val="center"/>
        </w:trPr>
        <w:tc>
          <w:tcPr>
            <w:tcW w:w="947" w:type="pct"/>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工程参量</w:t>
            </w: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平面平晶测量实验室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平面平晶等</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粗糙度测量实验室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表面粗糙度测量仪等</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锥度、圆度测量实验室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圆度仪等</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直径/形状/坐标测量实验室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干涉仪、坐标机等</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塞规（限制规）精测实验室</w:t>
            </w:r>
          </w:p>
        </w:tc>
        <w:tc>
          <w:tcPr>
            <w:tcW w:w="2327" w:type="pct"/>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塞规、环规、光滑极限量规、三针、针规、步距规等</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电学仪器精测实验室</w:t>
            </w:r>
          </w:p>
        </w:tc>
        <w:tc>
          <w:tcPr>
            <w:tcW w:w="2327" w:type="pct"/>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测厚仪、斜块式测微仪等</w:t>
            </w:r>
          </w:p>
        </w:tc>
      </w:tr>
      <w:tr>
        <w:tblPrEx>
          <w:tblCellMar>
            <w:top w:w="0" w:type="dxa"/>
            <w:left w:w="0" w:type="dxa"/>
            <w:bottom w:w="0" w:type="dxa"/>
            <w:right w:w="0" w:type="dxa"/>
          </w:tblCellMar>
        </w:tblPrEx>
        <w:trPr>
          <w:trHeight w:val="270" w:hRule="atLeast"/>
          <w:jc w:val="center"/>
        </w:trPr>
        <w:tc>
          <w:tcPr>
            <w:tcW w:w="947" w:type="pct"/>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360" w:lineRule="auto"/>
              <w:jc w:val="center"/>
              <w:rPr>
                <w:rFonts w:ascii="Times New Roman" w:hAnsi="Times New Roman" w:cs="Times New Roman"/>
                <w:color w:val="000000" w:themeColor="text1"/>
                <w:szCs w:val="21"/>
                <w:highlight w:val="none"/>
                <w14:textFill>
                  <w14:solidFill>
                    <w14:schemeClr w14:val="tx1"/>
                  </w14:solidFill>
                </w14:textFill>
              </w:rPr>
            </w:pPr>
          </w:p>
        </w:tc>
        <w:tc>
          <w:tcPr>
            <w:tcW w:w="1726" w:type="pct"/>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长度工程专用器具检测实验室</w:t>
            </w:r>
          </w:p>
        </w:tc>
        <w:tc>
          <w:tcPr>
            <w:tcW w:w="2327" w:type="pct"/>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试验筛、钢筋保护层、楼板厚度测量仪等</w:t>
            </w:r>
          </w:p>
        </w:tc>
      </w:tr>
    </w:tbl>
    <w:p>
      <w:pPr>
        <w:spacing w:line="360" w:lineRule="auto"/>
        <w:ind w:right="210"/>
        <w:jc w:val="center"/>
        <w:rPr>
          <w:rFonts w:ascii="Times New Roman" w:hAnsi="Times New Roman" w:cs="Times New Roman" w:eastAsiaTheme="majorEastAsia"/>
          <w:color w:val="000000" w:themeColor="text1"/>
          <w:szCs w:val="21"/>
          <w:highlight w:val="none"/>
          <w14:textFill>
            <w14:solidFill>
              <w14:schemeClr w14:val="tx1"/>
            </w14:solidFill>
          </w14:textFill>
        </w:rPr>
      </w:pPr>
    </w:p>
    <w:p>
      <w:pPr>
        <w:spacing w:line="360" w:lineRule="auto"/>
        <w:ind w:right="210"/>
        <w:jc w:val="center"/>
        <w:rPr>
          <w:rFonts w:ascii="Times New Roman" w:hAnsi="Times New Roman" w:cs="Times New Roman" w:eastAsiaTheme="majorEastAsia"/>
          <w:b/>
          <w:bCs/>
          <w:color w:val="000000" w:themeColor="text1"/>
          <w:kern w:val="0"/>
          <w:szCs w:val="21"/>
          <w:highlight w:val="none"/>
          <w14:textFill>
            <w14:solidFill>
              <w14:schemeClr w14:val="tx1"/>
            </w14:solidFill>
          </w14:textFill>
        </w:rPr>
      </w:pPr>
      <w:r>
        <w:rPr>
          <w:rFonts w:ascii="Times New Roman" w:hAnsi="Times New Roman" w:cs="Times New Roman" w:eastAsiaTheme="majorEastAsia"/>
          <w:b/>
          <w:bCs/>
          <w:color w:val="000000" w:themeColor="text1"/>
          <w:kern w:val="0"/>
          <w:szCs w:val="21"/>
          <w:highlight w:val="none"/>
          <w14:textFill>
            <w14:solidFill>
              <w14:schemeClr w14:val="tx1"/>
            </w14:solidFill>
          </w14:textFill>
        </w:rPr>
        <w:t>表</w:t>
      </w:r>
      <w:r>
        <w:rPr>
          <w:rFonts w:ascii="Times New Roman" w:hAnsi="Times New Roman" w:cs="Times New Roman" w:eastAsiaTheme="majorEastAsia"/>
          <w:b/>
          <w:bCs/>
          <w:color w:val="000000" w:themeColor="text1"/>
          <w:szCs w:val="21"/>
          <w:highlight w:val="none"/>
          <w14:textFill>
            <w14:solidFill>
              <w14:schemeClr w14:val="tx1"/>
            </w14:solidFill>
          </w14:textFill>
        </w:rPr>
        <w:t>5.1.2-2</w:t>
      </w:r>
      <w:r>
        <w:rPr>
          <w:rFonts w:ascii="Times New Roman" w:hAnsi="Times New Roman" w:cs="Times New Roman" w:eastAsiaTheme="majorEastAsia"/>
          <w:b/>
          <w:bCs/>
          <w:color w:val="000000" w:themeColor="text1"/>
          <w:kern w:val="0"/>
          <w:szCs w:val="21"/>
          <w:highlight w:val="none"/>
          <w14:textFill>
            <w14:solidFill>
              <w14:schemeClr w14:val="tx1"/>
            </w14:solidFill>
          </w14:textFill>
        </w:rPr>
        <w:t xml:space="preserve">  常用几何量测量实验室辅助和公用设施用房构成</w:t>
      </w:r>
    </w:p>
    <w:tbl>
      <w:tblPr>
        <w:tblStyle w:val="35"/>
        <w:tblW w:w="4972" w:type="pct"/>
        <w:jc w:val="center"/>
        <w:tblLayout w:type="fixed"/>
        <w:tblCellMar>
          <w:top w:w="0" w:type="dxa"/>
          <w:left w:w="0" w:type="dxa"/>
          <w:bottom w:w="0" w:type="dxa"/>
          <w:right w:w="0" w:type="dxa"/>
        </w:tblCellMar>
      </w:tblPr>
      <w:tblGrid>
        <w:gridCol w:w="4139"/>
        <w:gridCol w:w="3242"/>
        <w:gridCol w:w="1529"/>
      </w:tblGrid>
      <w:tr>
        <w:tblPrEx>
          <w:tblCellMar>
            <w:top w:w="0" w:type="dxa"/>
            <w:left w:w="0" w:type="dxa"/>
            <w:bottom w:w="0" w:type="dxa"/>
            <w:right w:w="0" w:type="dxa"/>
          </w:tblCellMar>
        </w:tblPrEx>
        <w:trPr>
          <w:trHeight w:val="270" w:hRule="atLeast"/>
          <w:jc w:val="center"/>
        </w:trPr>
        <w:tc>
          <w:tcPr>
            <w:tcW w:w="4142" w:type="pct"/>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szCs w:val="21"/>
                <w:highlight w:val="none"/>
                <w14:textFill>
                  <w14:solidFill>
                    <w14:schemeClr w14:val="tx1"/>
                  </w14:solidFill>
                </w14:textFill>
              </w:rPr>
              <w:t>房间名称</w:t>
            </w:r>
          </w:p>
        </w:tc>
        <w:tc>
          <w:tcPr>
            <w:tcW w:w="858"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用房类别</w:t>
            </w: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更衣室</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szCs w:val="21"/>
                <w:highlight w:val="none"/>
                <w14:textFill>
                  <w14:solidFill>
                    <w14:schemeClr w14:val="tx1"/>
                  </w14:solidFill>
                </w14:textFill>
              </w:rPr>
              <w:t>仪器收发室</w:t>
            </w:r>
          </w:p>
        </w:tc>
        <w:tc>
          <w:tcPr>
            <w:tcW w:w="858"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辅助用房</w:t>
            </w: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仪器库房</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szCs w:val="21"/>
                <w:highlight w:val="none"/>
                <w14:textFill>
                  <w14:solidFill>
                    <w14:schemeClr w14:val="tx1"/>
                  </w14:solidFill>
                </w14:textFill>
              </w:rPr>
              <w:t>机械加工间</w:t>
            </w:r>
          </w:p>
        </w:tc>
        <w:tc>
          <w:tcPr>
            <w:tcW w:w="858"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数据处理室</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kern w:val="0"/>
                <w:szCs w:val="21"/>
                <w:highlight w:val="none"/>
                <w:lang w:bidi="ar"/>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会议室</w:t>
            </w:r>
          </w:p>
        </w:tc>
        <w:tc>
          <w:tcPr>
            <w:tcW w:w="858"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休闲交流区</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kern w:val="0"/>
                <w:szCs w:val="21"/>
                <w:highlight w:val="none"/>
                <w:lang w:bidi="ar"/>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文献研究室</w:t>
            </w:r>
          </w:p>
        </w:tc>
        <w:tc>
          <w:tcPr>
            <w:tcW w:w="858"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变配电间</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kern w:val="0"/>
                <w:szCs w:val="21"/>
                <w:highlight w:val="none"/>
                <w:lang w:bidi="ar"/>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气体消防间</w:t>
            </w:r>
          </w:p>
        </w:tc>
        <w:tc>
          <w:tcPr>
            <w:tcW w:w="858" w:type="pct"/>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公用设施</w:t>
            </w: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UPS间/稳压电源间</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kern w:val="0"/>
                <w:szCs w:val="21"/>
                <w:highlight w:val="none"/>
                <w:lang w:bidi="ar"/>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电梯机房</w:t>
            </w:r>
          </w:p>
        </w:tc>
        <w:tc>
          <w:tcPr>
            <w:tcW w:w="858" w:type="pct"/>
            <w:vMerge w:val="continue"/>
            <w:tcBorders>
              <w:left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空压机房</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kern w:val="0"/>
                <w:szCs w:val="21"/>
                <w:highlight w:val="none"/>
                <w:lang w:bidi="ar"/>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安防监控中心</w:t>
            </w:r>
          </w:p>
        </w:tc>
        <w:tc>
          <w:tcPr>
            <w:tcW w:w="858" w:type="pct"/>
            <w:vMerge w:val="continue"/>
            <w:tcBorders>
              <w:left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空调机房</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szCs w:val="21"/>
                <w:highlight w:val="none"/>
                <w14:textFill>
                  <w14:solidFill>
                    <w14:schemeClr w14:val="tx1"/>
                  </w14:solidFill>
                </w14:textFill>
              </w:rPr>
              <w:t>新风机房</w:t>
            </w:r>
          </w:p>
        </w:tc>
        <w:tc>
          <w:tcPr>
            <w:tcW w:w="858" w:type="pct"/>
            <w:vMerge w:val="continue"/>
            <w:tcBorders>
              <w:left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茶水间</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kern w:val="0"/>
                <w:szCs w:val="21"/>
                <w:highlight w:val="none"/>
                <w:lang w:bidi="ar"/>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卫生间</w:t>
            </w:r>
          </w:p>
        </w:tc>
        <w:tc>
          <w:tcPr>
            <w:tcW w:w="858" w:type="pct"/>
            <w:vMerge w:val="continue"/>
            <w:tcBorders>
              <w:left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r>
        <w:tblPrEx>
          <w:tblCellMar>
            <w:top w:w="0" w:type="dxa"/>
            <w:left w:w="0" w:type="dxa"/>
            <w:bottom w:w="0" w:type="dxa"/>
            <w:right w:w="0" w:type="dxa"/>
          </w:tblCellMar>
        </w:tblPrEx>
        <w:trPr>
          <w:trHeight w:val="270" w:hRule="atLeast"/>
          <w:jc w:val="center"/>
        </w:trPr>
        <w:tc>
          <w:tcPr>
            <w:tcW w:w="232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360" w:lineRule="auto"/>
              <w:jc w:val="center"/>
              <w:textAlignment w:val="center"/>
              <w:rPr>
                <w:rFonts w:ascii="Times New Roman" w:hAnsi="Times New Roman" w:cs="Times New Roman" w:eastAsiaTheme="majorEastAsia"/>
                <w:color w:val="000000" w:themeColor="text1"/>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lang w:bidi="ar"/>
                <w14:textFill>
                  <w14:solidFill>
                    <w14:schemeClr w14:val="tx1"/>
                  </w14:solidFill>
                </w14:textFill>
              </w:rPr>
              <w:t>信息网络机房</w:t>
            </w:r>
          </w:p>
        </w:tc>
        <w:tc>
          <w:tcPr>
            <w:tcW w:w="181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c>
          <w:tcPr>
            <w:tcW w:w="858" w:type="pct"/>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spacing w:line="360" w:lineRule="auto"/>
              <w:jc w:val="center"/>
              <w:rPr>
                <w:rFonts w:ascii="Times New Roman" w:hAnsi="Times New Roman" w:cs="Times New Roman" w:eastAsiaTheme="majorEastAsia"/>
                <w:color w:val="000000" w:themeColor="text1"/>
                <w:szCs w:val="21"/>
                <w:highlight w:val="none"/>
                <w14:textFill>
                  <w14:solidFill>
                    <w14:schemeClr w14:val="tx1"/>
                  </w14:solidFill>
                </w14:textFill>
              </w:rPr>
            </w:pPr>
          </w:p>
        </w:tc>
      </w:tr>
    </w:tbl>
    <w:p>
      <w:pPr>
        <w:pStyle w:val="206"/>
        <w:spacing w:before="156"/>
        <w:rPr>
          <w:highlight w:val="none"/>
        </w:rPr>
      </w:pPr>
      <w:bookmarkStart w:id="10" w:name="_Toc369876468"/>
      <w:bookmarkStart w:id="11" w:name="_Toc44847175"/>
      <w:r>
        <w:rPr>
          <w:highlight w:val="none"/>
        </w:rPr>
        <w:t>5.2</w:t>
      </w:r>
      <w:bookmarkEnd w:id="10"/>
      <w:r>
        <w:rPr>
          <w:highlight w:val="none"/>
        </w:rPr>
        <w:t>　受控环境要求</w:t>
      </w:r>
      <w:bookmarkEnd w:id="11"/>
    </w:p>
    <w:p>
      <w:pPr>
        <w:pStyle w:val="56"/>
        <w:numPr>
          <w:ilvl w:val="0"/>
          <w:numId w:val="31"/>
        </w:numPr>
        <w:spacing w:line="360" w:lineRule="auto"/>
        <w:ind w:left="0"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实验用房受控环境容许值的确定应符合下列规定之一</w:t>
      </w:r>
      <w:r>
        <w:rPr>
          <w:rFonts w:ascii="Times New Roman" w:hAnsi="Times New Roman" w:eastAsia="宋体" w:cs="Times New Roman"/>
          <w:color w:val="000000" w:themeColor="text1"/>
          <w:sz w:val="24"/>
          <w:szCs w:val="24"/>
          <w:highlight w:val="none"/>
          <w14:textFill>
            <w14:solidFill>
              <w14:schemeClr w14:val="tx1"/>
            </w14:solidFill>
          </w14:textFill>
        </w:rPr>
        <w:t>：</w:t>
      </w:r>
    </w:p>
    <w:p>
      <w:pPr>
        <w:pStyle w:val="90"/>
        <w:numPr>
          <w:ilvl w:val="0"/>
          <w:numId w:val="32"/>
        </w:numPr>
        <w:spacing w:line="360" w:lineRule="auto"/>
        <w:ind w:left="851"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实验设备正常工作的受控环境容许值；</w:t>
      </w:r>
    </w:p>
    <w:p>
      <w:pPr>
        <w:pStyle w:val="90"/>
        <w:numPr>
          <w:ilvl w:val="0"/>
          <w:numId w:val="32"/>
        </w:numPr>
        <w:spacing w:line="360" w:lineRule="auto"/>
        <w:ind w:left="851"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现有有效的检测标准规定的实验受控环境容许值；</w:t>
      </w:r>
    </w:p>
    <w:p>
      <w:pPr>
        <w:pStyle w:val="90"/>
        <w:numPr>
          <w:ilvl w:val="0"/>
          <w:numId w:val="32"/>
        </w:numPr>
        <w:spacing w:line="360" w:lineRule="auto"/>
        <w:ind w:left="851"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本规程附录</w:t>
      </w:r>
      <w:r>
        <w:rPr>
          <w:rFonts w:ascii="Times New Roman" w:hAnsi="Times New Roman" w:eastAsia="宋体" w:cs="Times New Roman"/>
          <w:color w:val="000000" w:themeColor="text1"/>
          <w:sz w:val="24"/>
          <w:szCs w:val="24"/>
          <w:highlight w:val="none"/>
          <w14:textFill>
            <w14:solidFill>
              <w14:schemeClr w14:val="tx1"/>
            </w14:solidFill>
          </w14:textFill>
        </w:rPr>
        <w:t>A</w:t>
      </w:r>
      <w:r>
        <w:rPr>
          <w:rFonts w:hint="eastAsia" w:ascii="Times New Roman" w:hAnsi="Times New Roman" w:eastAsia="宋体" w:cs="Times New Roman"/>
          <w:color w:val="000000" w:themeColor="text1"/>
          <w:sz w:val="24"/>
          <w:szCs w:val="24"/>
          <w:highlight w:val="none"/>
          <w14:textFill>
            <w14:solidFill>
              <w14:schemeClr w14:val="tx1"/>
            </w14:solidFill>
          </w14:textFill>
        </w:rPr>
        <w:t>规定的受控环境容许值。</w:t>
      </w:r>
    </w:p>
    <w:p>
      <w:pPr>
        <w:pStyle w:val="56"/>
        <w:numPr>
          <w:ilvl w:val="0"/>
          <w:numId w:val="31"/>
        </w:numPr>
        <w:spacing w:line="360" w:lineRule="auto"/>
        <w:ind w:left="0"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实验用房</w:t>
      </w:r>
      <w:bookmarkStart w:id="12" w:name="_Hlk37572885"/>
      <w:r>
        <w:rPr>
          <w:rFonts w:hint="eastAsia" w:ascii="Times New Roman" w:hAnsi="Times New Roman" w:eastAsia="宋体" w:cs="Times New Roman"/>
          <w:color w:val="000000" w:themeColor="text1"/>
          <w:sz w:val="24"/>
          <w:szCs w:val="24"/>
          <w:highlight w:val="none"/>
          <w14:textFill>
            <w14:solidFill>
              <w14:schemeClr w14:val="tx1"/>
            </w14:solidFill>
          </w14:textFill>
        </w:rPr>
        <w:t>受控</w:t>
      </w:r>
      <w:bookmarkEnd w:id="12"/>
      <w:r>
        <w:rPr>
          <w:rFonts w:hint="eastAsia" w:ascii="Times New Roman" w:hAnsi="Times New Roman" w:eastAsia="宋体" w:cs="Times New Roman"/>
          <w:color w:val="000000" w:themeColor="text1"/>
          <w:sz w:val="24"/>
          <w:szCs w:val="24"/>
          <w:highlight w:val="none"/>
          <w14:textFill>
            <w14:solidFill>
              <w14:schemeClr w14:val="tx1"/>
            </w14:solidFill>
          </w14:textFill>
        </w:rPr>
        <w:t>环境容许值的确定宜结合周边环境及设备更新的要求</w:t>
      </w:r>
      <w:r>
        <w:rPr>
          <w:rFonts w:ascii="Times New Roman" w:hAnsi="Times New Roman" w:eastAsia="宋体" w:cs="Times New Roman"/>
          <w:color w:val="000000" w:themeColor="text1"/>
          <w:sz w:val="24"/>
          <w:szCs w:val="24"/>
          <w:highlight w:val="none"/>
          <w14:textFill>
            <w14:solidFill>
              <w14:schemeClr w14:val="tx1"/>
            </w14:solidFill>
          </w14:textFill>
        </w:rPr>
        <w:t>。</w:t>
      </w:r>
    </w:p>
    <w:p>
      <w:pPr>
        <w:pStyle w:val="56"/>
        <w:numPr>
          <w:ilvl w:val="0"/>
          <w:numId w:val="31"/>
        </w:numPr>
        <w:spacing w:line="360" w:lineRule="auto"/>
        <w:ind w:left="0"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bookmarkStart w:id="13" w:name="_Hlk44836546"/>
      <w:r>
        <w:rPr>
          <w:rFonts w:hint="eastAsia" w:ascii="Times New Roman" w:hAnsi="Times New Roman" w:eastAsia="宋体" w:cs="Times New Roman"/>
          <w:color w:val="000000" w:themeColor="text1"/>
          <w:sz w:val="24"/>
          <w:szCs w:val="24"/>
          <w:highlight w:val="none"/>
          <w14:textFill>
            <w14:solidFill>
              <w14:schemeClr w14:val="tx1"/>
            </w14:solidFill>
          </w14:textFill>
        </w:rPr>
        <w:t>辅助用房和公共设施用房夏季室内温度宜为</w:t>
      </w:r>
      <w:r>
        <w:rPr>
          <w:rFonts w:ascii="Times New Roman" w:hAnsi="Times New Roman" w:eastAsia="宋体" w:cs="Times New Roman"/>
          <w:color w:val="000000" w:themeColor="text1"/>
          <w:sz w:val="24"/>
          <w:szCs w:val="24"/>
          <w:highlight w:val="none"/>
          <w14:textFill>
            <w14:solidFill>
              <w14:schemeClr w14:val="tx1"/>
            </w14:solidFill>
          </w14:textFill>
        </w:rPr>
        <w:t>24~26</w:t>
      </w:r>
      <w:r>
        <w:rPr>
          <w:rFonts w:hint="eastAsia" w:ascii="Times New Roman" w:hAnsi="Times New Roman" w:eastAsia="宋体" w:cs="Times New Roman"/>
          <w:color w:val="000000" w:themeColor="text1"/>
          <w:sz w:val="24"/>
          <w:szCs w:val="24"/>
          <w:highlight w:val="none"/>
          <w14:textFill>
            <w14:solidFill>
              <w14:schemeClr w14:val="tx1"/>
            </w14:solidFill>
          </w14:textFill>
        </w:rPr>
        <w:t>℃，冬季宜为</w:t>
      </w:r>
      <w:r>
        <w:rPr>
          <w:rFonts w:ascii="Times New Roman" w:hAnsi="Times New Roman" w:eastAsia="宋体" w:cs="Times New Roman"/>
          <w:color w:val="000000" w:themeColor="text1"/>
          <w:sz w:val="24"/>
          <w:szCs w:val="24"/>
          <w:highlight w:val="none"/>
          <w14:textFill>
            <w14:solidFill>
              <w14:schemeClr w14:val="tx1"/>
            </w14:solidFill>
          </w14:textFill>
        </w:rPr>
        <w:t>18~22</w:t>
      </w:r>
      <w:r>
        <w:rPr>
          <w:rFonts w:hint="eastAsia" w:ascii="Times New Roman" w:hAnsi="Times New Roman" w:eastAsia="宋体" w:cs="Times New Roman"/>
          <w:color w:val="000000" w:themeColor="text1"/>
          <w:sz w:val="24"/>
          <w:szCs w:val="24"/>
          <w:highlight w:val="none"/>
          <w14:textFill>
            <w14:solidFill>
              <w14:schemeClr w14:val="tx1"/>
            </w14:solidFill>
          </w14:textFill>
        </w:rPr>
        <w:t>℃，湿度宜在</w:t>
      </w:r>
      <w:r>
        <w:rPr>
          <w:rFonts w:ascii="Times New Roman" w:hAnsi="Times New Roman" w:eastAsia="宋体" w:cs="Times New Roman"/>
          <w:color w:val="000000" w:themeColor="text1"/>
          <w:sz w:val="24"/>
          <w:szCs w:val="24"/>
          <w:highlight w:val="none"/>
          <w14:textFill>
            <w14:solidFill>
              <w14:schemeClr w14:val="tx1"/>
            </w14:solidFill>
          </w14:textFill>
        </w:rPr>
        <w:t>30%-70%</w:t>
      </w:r>
      <w:r>
        <w:rPr>
          <w:rFonts w:hint="eastAsia" w:ascii="Times New Roman" w:hAnsi="Times New Roman" w:eastAsia="宋体" w:cs="Times New Roman"/>
          <w:color w:val="000000" w:themeColor="text1"/>
          <w:sz w:val="24"/>
          <w:szCs w:val="24"/>
          <w:highlight w:val="none"/>
          <w14:textFill>
            <w14:solidFill>
              <w14:schemeClr w14:val="tx1"/>
            </w14:solidFill>
          </w14:textFill>
        </w:rPr>
        <w:t>之间</w:t>
      </w:r>
      <w:bookmarkEnd w:id="13"/>
      <w:r>
        <w:rPr>
          <w:rFonts w:ascii="Times New Roman" w:hAnsi="Times New Roman" w:eastAsia="宋体" w:cs="Times New Roman"/>
          <w:color w:val="000000" w:themeColor="text1"/>
          <w:sz w:val="24"/>
          <w:szCs w:val="24"/>
          <w:highlight w:val="none"/>
          <w14:textFill>
            <w14:solidFill>
              <w14:schemeClr w14:val="tx1"/>
            </w14:solidFill>
          </w14:textFill>
        </w:rPr>
        <w:t>。</w:t>
      </w:r>
    </w:p>
    <w:p>
      <w:pPr>
        <w:pStyle w:val="206"/>
        <w:spacing w:before="156"/>
        <w:rPr>
          <w:highlight w:val="none"/>
        </w:rPr>
      </w:pPr>
      <w:bookmarkStart w:id="14" w:name="_Toc44847176"/>
      <w:r>
        <w:rPr>
          <w:highlight w:val="none"/>
        </w:rPr>
        <w:t>5.3　实验室布局</w:t>
      </w:r>
      <w:bookmarkEnd w:id="14"/>
    </w:p>
    <w:p>
      <w:pPr>
        <w:pStyle w:val="82"/>
        <w:numPr>
          <w:ilvl w:val="0"/>
          <w:numId w:val="33"/>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实验室工艺布局应功能明确、分布合理，并</w:t>
      </w:r>
      <w:r>
        <w:rPr>
          <w:rFonts w:hint="eastAsia" w:ascii="Times New Roman" w:hAnsi="Times New Roman" w:cs="Times New Roman"/>
          <w:color w:val="000000" w:themeColor="text1"/>
          <w:sz w:val="24"/>
          <w:szCs w:val="24"/>
          <w:highlight w:val="none"/>
          <w14:textFill>
            <w14:solidFill>
              <w14:schemeClr w14:val="tx1"/>
            </w14:solidFill>
          </w14:textFill>
        </w:rPr>
        <w:t>宜</w:t>
      </w:r>
      <w:r>
        <w:rPr>
          <w:rFonts w:ascii="Times New Roman" w:hAnsi="Times New Roman" w:cs="Times New Roman"/>
          <w:color w:val="000000" w:themeColor="text1"/>
          <w:sz w:val="24"/>
          <w:szCs w:val="24"/>
          <w:highlight w:val="none"/>
          <w14:textFill>
            <w14:solidFill>
              <w14:schemeClr w14:val="tx1"/>
            </w14:solidFill>
          </w14:textFill>
        </w:rPr>
        <w:t>预留发展空间。</w:t>
      </w:r>
    </w:p>
    <w:p>
      <w:pPr>
        <w:pStyle w:val="82"/>
        <w:numPr>
          <w:ilvl w:val="0"/>
          <w:numId w:val="33"/>
        </w:numPr>
        <w:spacing w:line="360" w:lineRule="auto"/>
        <w:ind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实验室受控区域和非受控区域宜分开，中间宜设立门禁装置。</w:t>
      </w:r>
    </w:p>
    <w:p>
      <w:pPr>
        <w:pStyle w:val="82"/>
        <w:numPr>
          <w:ilvl w:val="0"/>
          <w:numId w:val="33"/>
        </w:numPr>
        <w:spacing w:line="360" w:lineRule="auto"/>
        <w:ind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实验室人流、物流宜分开</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布置</w:t>
      </w:r>
      <w:r>
        <w:rPr>
          <w:rFonts w:ascii="Times New Roman" w:hAnsi="Times New Roman" w:cs="Times New Roman" w:eastAsiaTheme="minorEastAsia"/>
          <w:color w:val="000000" w:themeColor="text1"/>
          <w:sz w:val="24"/>
          <w:szCs w:val="24"/>
          <w:highlight w:val="none"/>
          <w14:textFill>
            <w14:solidFill>
              <w14:schemeClr w14:val="tx1"/>
            </w14:solidFill>
          </w14:textFill>
        </w:rPr>
        <w:t>。</w:t>
      </w:r>
    </w:p>
    <w:p>
      <w:pPr>
        <w:pStyle w:val="82"/>
        <w:numPr>
          <w:ilvl w:val="0"/>
          <w:numId w:val="33"/>
        </w:numPr>
        <w:spacing w:line="360" w:lineRule="auto"/>
        <w:ind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实验室布局时，宜优先布置对</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微</w:t>
      </w:r>
      <w:r>
        <w:rPr>
          <w:rFonts w:ascii="Times New Roman" w:hAnsi="Times New Roman" w:cs="Times New Roman" w:eastAsiaTheme="minorEastAsia"/>
          <w:color w:val="000000" w:themeColor="text1"/>
          <w:sz w:val="24"/>
          <w:szCs w:val="24"/>
          <w:highlight w:val="none"/>
          <w14:textFill>
            <w14:solidFill>
              <w14:schemeClr w14:val="tx1"/>
            </w14:solidFill>
          </w14:textFill>
        </w:rPr>
        <w:t>振动容许值</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要求</w:t>
      </w:r>
      <w:r>
        <w:rPr>
          <w:rFonts w:ascii="Times New Roman" w:hAnsi="Times New Roman" w:cs="Times New Roman" w:eastAsiaTheme="minorEastAsia"/>
          <w:color w:val="000000" w:themeColor="text1"/>
          <w:sz w:val="24"/>
          <w:szCs w:val="24"/>
          <w:highlight w:val="none"/>
          <w14:textFill>
            <w14:solidFill>
              <w14:schemeClr w14:val="tx1"/>
            </w14:solidFill>
          </w14:textFill>
        </w:rPr>
        <w:t>较为严格的实验室。</w:t>
      </w:r>
    </w:p>
    <w:p>
      <w:pPr>
        <w:pStyle w:val="82"/>
        <w:numPr>
          <w:ilvl w:val="0"/>
          <w:numId w:val="33"/>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有防微振要求的实验室布置宜遵循以下原则</w:t>
      </w:r>
      <w:r>
        <w:rPr>
          <w:rFonts w:ascii="Times New Roman" w:hAnsi="Times New Roman" w:cs="Times New Roman" w:eastAsiaTheme="minorEastAsia"/>
          <w:color w:val="000000" w:themeColor="text1"/>
          <w:sz w:val="24"/>
          <w:szCs w:val="24"/>
          <w:highlight w:val="none"/>
          <w14:textFill>
            <w14:solidFill>
              <w14:schemeClr w14:val="tx1"/>
            </w14:solidFill>
          </w14:textFill>
        </w:rPr>
        <w:t>：</w:t>
      </w:r>
    </w:p>
    <w:p>
      <w:pPr>
        <w:pStyle w:val="90"/>
        <w:numPr>
          <w:ilvl w:val="0"/>
          <w:numId w:val="34"/>
        </w:numPr>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有防微振要求的实验室宜相对集中布置在同一区域，且宜布置在地下室；</w:t>
      </w:r>
    </w:p>
    <w:p>
      <w:pPr>
        <w:pStyle w:val="90"/>
        <w:numPr>
          <w:ilvl w:val="0"/>
          <w:numId w:val="34"/>
        </w:numPr>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振动标准NIM3及以上要求的精密仪器应布置在底层且与大地接触，其他对振动敏感的实验室宜布置底层或较低楼层；</w:t>
      </w:r>
    </w:p>
    <w:p>
      <w:pPr>
        <w:pStyle w:val="90"/>
        <w:numPr>
          <w:ilvl w:val="0"/>
          <w:numId w:val="34"/>
        </w:numPr>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产生振动、噪声的动力设备宜相对独立、集中且</w:t>
      </w:r>
      <w:r>
        <w:rPr>
          <w:rFonts w:hint="eastAsia" w:ascii="Times New Roman" w:hAnsi="Times New Roman" w:cs="Times New Roman"/>
          <w:color w:val="000000" w:themeColor="text1"/>
          <w:sz w:val="24"/>
          <w:szCs w:val="24"/>
          <w:highlight w:val="none"/>
          <w14:textFill>
            <w14:solidFill>
              <w14:schemeClr w14:val="tx1"/>
            </w14:solidFill>
          </w14:textFill>
        </w:rPr>
        <w:t>宜</w:t>
      </w:r>
      <w:r>
        <w:rPr>
          <w:rFonts w:ascii="Times New Roman" w:hAnsi="Times New Roman" w:cs="Times New Roman"/>
          <w:color w:val="000000" w:themeColor="text1"/>
          <w:sz w:val="24"/>
          <w:szCs w:val="24"/>
          <w:highlight w:val="none"/>
          <w14:textFill>
            <w14:solidFill>
              <w14:schemeClr w14:val="tx1"/>
            </w14:solidFill>
          </w14:textFill>
        </w:rPr>
        <w:t>布置在低层，并</w:t>
      </w:r>
      <w:r>
        <w:rPr>
          <w:rFonts w:hint="eastAsia" w:ascii="Times New Roman" w:hAnsi="Times New Roman" w:cs="Times New Roman"/>
          <w:color w:val="000000" w:themeColor="text1"/>
          <w:sz w:val="24"/>
          <w:szCs w:val="24"/>
          <w:highlight w:val="none"/>
          <w14:textFill>
            <w14:solidFill>
              <w14:schemeClr w14:val="tx1"/>
            </w14:solidFill>
          </w14:textFill>
        </w:rPr>
        <w:t>应</w:t>
      </w:r>
      <w:r>
        <w:rPr>
          <w:rFonts w:ascii="Times New Roman" w:hAnsi="Times New Roman" w:cs="Times New Roman"/>
          <w:color w:val="000000" w:themeColor="text1"/>
          <w:sz w:val="24"/>
          <w:szCs w:val="24"/>
          <w:highlight w:val="none"/>
          <w14:textFill>
            <w14:solidFill>
              <w14:schemeClr w14:val="tx1"/>
            </w14:solidFill>
          </w14:textFill>
        </w:rPr>
        <w:t>远离有防微振要求的实验室，无法远离时，应采取主动隔振措施。</w:t>
      </w:r>
    </w:p>
    <w:p>
      <w:pPr>
        <w:pStyle w:val="82"/>
        <w:numPr>
          <w:ilvl w:val="0"/>
          <w:numId w:val="33"/>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对温度、湿度、洁净度要求符合本规程3.0.</w:t>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的实验室布置宜遵循以下原则</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35"/>
        </w:numPr>
        <w:spacing w:line="360" w:lineRule="auto"/>
        <w:ind w:left="851"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宜相对集中布置在同一区域，且宜布置在地下室、较低楼层和内区；</w:t>
      </w:r>
    </w:p>
    <w:p>
      <w:pPr>
        <w:pStyle w:val="82"/>
        <w:numPr>
          <w:ilvl w:val="0"/>
          <w:numId w:val="35"/>
        </w:numPr>
        <w:spacing w:line="360" w:lineRule="auto"/>
        <w:ind w:left="851"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受控环境</w:t>
      </w:r>
      <w:r>
        <w:rPr>
          <w:rFonts w:ascii="Times New Roman" w:hAnsi="Times New Roman" w:cs="Times New Roman" w:eastAsiaTheme="minorEastAsia"/>
          <w:color w:val="000000" w:themeColor="text1"/>
          <w:sz w:val="24"/>
          <w:szCs w:val="24"/>
          <w:highlight w:val="none"/>
          <w14:textFill>
            <w14:solidFill>
              <w14:schemeClr w14:val="tx1"/>
            </w14:solidFill>
          </w14:textFill>
        </w:rPr>
        <w:t>要求一致或相近的宜靠近布置；</w:t>
      </w:r>
    </w:p>
    <w:p>
      <w:pPr>
        <w:pStyle w:val="82"/>
        <w:numPr>
          <w:ilvl w:val="0"/>
          <w:numId w:val="35"/>
        </w:numPr>
        <w:spacing w:line="360" w:lineRule="auto"/>
        <w:ind w:left="851"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采用标准单元设计时，洁净室宜采用</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w:t>
      </w:r>
      <w:r>
        <w:rPr>
          <w:rFonts w:ascii="Times New Roman" w:hAnsi="Times New Roman" w:cs="Times New Roman" w:eastAsiaTheme="minorEastAsia"/>
          <w:color w:val="000000" w:themeColor="text1"/>
          <w:sz w:val="24"/>
          <w:szCs w:val="24"/>
          <w:highlight w:val="none"/>
          <w14:textFill>
            <w14:solidFill>
              <w14:schemeClr w14:val="tx1"/>
            </w14:solidFill>
          </w14:textFill>
        </w:rPr>
        <w:t>缓冲区洁净区交叉</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w:t>
      </w:r>
      <w:r>
        <w:rPr>
          <w:rFonts w:ascii="Times New Roman" w:hAnsi="Times New Roman" w:cs="Times New Roman" w:eastAsiaTheme="minorEastAsia"/>
          <w:color w:val="000000" w:themeColor="text1"/>
          <w:sz w:val="24"/>
          <w:szCs w:val="24"/>
          <w:highlight w:val="none"/>
          <w14:textFill>
            <w14:solidFill>
              <w14:schemeClr w14:val="tx1"/>
            </w14:solidFill>
          </w14:textFill>
        </w:rPr>
        <w:t>方式布置。</w:t>
      </w:r>
    </w:p>
    <w:p>
      <w:pPr>
        <w:pStyle w:val="82"/>
        <w:numPr>
          <w:ilvl w:val="0"/>
          <w:numId w:val="33"/>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对电磁干扰要求符合本规程3.0.1的实验室布置宜遵循以下原则</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36"/>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变压器等电磁干扰源严禁靠近，无法避免时，应采取措施进行有效隔离；</w:t>
      </w:r>
    </w:p>
    <w:p>
      <w:pPr>
        <w:pStyle w:val="90"/>
        <w:numPr>
          <w:ilvl w:val="0"/>
          <w:numId w:val="36"/>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应与客货电梯、变配电站、卸货区、动力站等保持一定控制距离，控制距离应由测量确定；</w:t>
      </w:r>
    </w:p>
    <w:p>
      <w:pPr>
        <w:pStyle w:val="90"/>
        <w:numPr>
          <w:ilvl w:val="0"/>
          <w:numId w:val="36"/>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放置对电磁干扰特别敏感的实验室，可根据仪器设备需要定制电磁屏蔽技术措施。</w:t>
      </w:r>
    </w:p>
    <w:p>
      <w:pPr>
        <w:pStyle w:val="82"/>
        <w:numPr>
          <w:ilvl w:val="0"/>
          <w:numId w:val="33"/>
        </w:numPr>
        <w:spacing w:line="360" w:lineRule="auto"/>
        <w:ind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配置有准备间的实验室，准备间宜靠近实验间布置。</w:t>
      </w:r>
    </w:p>
    <w:p>
      <w:pPr>
        <w:pStyle w:val="82"/>
        <w:numPr>
          <w:ilvl w:val="0"/>
          <w:numId w:val="33"/>
        </w:numPr>
        <w:spacing w:line="360" w:lineRule="auto"/>
        <w:ind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有相同层高要求的实验室宜布置在</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同</w:t>
      </w:r>
      <w:r>
        <w:rPr>
          <w:rFonts w:ascii="Times New Roman" w:hAnsi="Times New Roman" w:cs="Times New Roman" w:eastAsiaTheme="minorEastAsia"/>
          <w:color w:val="000000" w:themeColor="text1"/>
          <w:sz w:val="24"/>
          <w:szCs w:val="24"/>
          <w:highlight w:val="none"/>
          <w14:textFill>
            <w14:solidFill>
              <w14:schemeClr w14:val="tx1"/>
            </w14:solidFill>
          </w14:textFill>
        </w:rPr>
        <w:t>一区域。</w:t>
      </w:r>
    </w:p>
    <w:p>
      <w:pPr>
        <w:pStyle w:val="82"/>
        <w:numPr>
          <w:ilvl w:val="0"/>
          <w:numId w:val="33"/>
        </w:numPr>
        <w:spacing w:line="360" w:lineRule="auto"/>
        <w:ind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样品量</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较</w:t>
      </w:r>
      <w:r>
        <w:rPr>
          <w:rFonts w:ascii="Times New Roman" w:hAnsi="Times New Roman" w:cs="Times New Roman" w:eastAsiaTheme="minorEastAsia"/>
          <w:color w:val="000000" w:themeColor="text1"/>
          <w:sz w:val="24"/>
          <w:szCs w:val="24"/>
          <w:highlight w:val="none"/>
          <w14:textFill>
            <w14:solidFill>
              <w14:schemeClr w14:val="tx1"/>
            </w14:solidFill>
          </w14:textFill>
        </w:rPr>
        <w:t>大、放置大型或重型仪器的实验室宜布置在一层或较低楼层。</w:t>
      </w:r>
    </w:p>
    <w:p>
      <w:pPr>
        <w:pStyle w:val="82"/>
        <w:numPr>
          <w:ilvl w:val="0"/>
          <w:numId w:val="33"/>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样品接收室宜设在门厅入口处，收样人员与送样人员之间应通过工作台面相互隔离。</w:t>
      </w:r>
    </w:p>
    <w:p>
      <w:pPr>
        <w:pStyle w:val="82"/>
        <w:numPr>
          <w:ilvl w:val="0"/>
          <w:numId w:val="33"/>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数据处理室、会议室、茶水间和卫生间应设置在非受控区域，宜靠近实验室</w:t>
      </w:r>
      <w:r>
        <w:rPr>
          <w:rFonts w:ascii="Times New Roman" w:hAnsi="Times New Roman" w:cs="Times New Roman" w:eastAsiaTheme="minorEastAsia"/>
          <w:color w:val="000000" w:themeColor="text1"/>
          <w:sz w:val="24"/>
          <w:szCs w:val="24"/>
          <w:highlight w:val="none"/>
          <w14:textFill>
            <w14:solidFill>
              <w14:schemeClr w14:val="tx1"/>
            </w14:solidFill>
          </w14:textFill>
        </w:rPr>
        <w:t>。</w:t>
      </w:r>
    </w:p>
    <w:p>
      <w:pPr>
        <w:pStyle w:val="82"/>
        <w:numPr>
          <w:ilvl w:val="0"/>
          <w:numId w:val="33"/>
        </w:numPr>
        <w:spacing w:line="360" w:lineRule="auto"/>
        <w:ind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宜在合理的区域内设置公共设施。</w:t>
      </w:r>
    </w:p>
    <w:p>
      <w:pPr>
        <w:spacing w:line="360" w:lineRule="auto"/>
        <w:rPr>
          <w:rFonts w:ascii="Times New Roman" w:hAnsi="Times New Roman" w:cs="Times New Roman"/>
          <w:color w:val="000000" w:themeColor="text1"/>
          <w:highlight w:val="none"/>
          <w14:textFill>
            <w14:solidFill>
              <w14:schemeClr w14:val="tx1"/>
            </w14:solidFill>
          </w14:textFill>
        </w:rPr>
      </w:pPr>
    </w:p>
    <w:p>
      <w:pPr>
        <w:pStyle w:val="90"/>
        <w:keepNext/>
        <w:keepLines/>
        <w:numPr>
          <w:ilvl w:val="0"/>
          <w:numId w:val="37"/>
        </w:numPr>
        <w:spacing w:before="312" w:beforeLines="100" w:after="156" w:afterLines="50" w:line="360" w:lineRule="auto"/>
        <w:ind w:firstLineChars="0"/>
        <w:jc w:val="center"/>
        <w:outlineLvl w:val="0"/>
        <w:rPr>
          <w:rFonts w:ascii="Times New Roman" w:hAnsi="Times New Roman" w:eastAsia="黑体" w:cs="Times New Roman"/>
          <w:bCs/>
          <w:vanish/>
          <w:color w:val="000000" w:themeColor="text1"/>
          <w:kern w:val="44"/>
          <w:sz w:val="28"/>
          <w:szCs w:val="28"/>
          <w:highlight w:val="none"/>
          <w14:textFill>
            <w14:solidFill>
              <w14:schemeClr w14:val="tx1"/>
            </w14:solidFill>
          </w14:textFill>
        </w:rPr>
      </w:pPr>
      <w:bookmarkStart w:id="15" w:name="_Toc44847177"/>
      <w:bookmarkEnd w:id="15"/>
      <w:bookmarkStart w:id="16" w:name="_Toc36633708"/>
      <w:bookmarkEnd w:id="16"/>
      <w:bookmarkStart w:id="17" w:name="_Toc36625974"/>
      <w:bookmarkEnd w:id="17"/>
      <w:bookmarkStart w:id="18" w:name="_Toc36633599"/>
      <w:bookmarkEnd w:id="18"/>
    </w:p>
    <w:p>
      <w:pPr>
        <w:pStyle w:val="90"/>
        <w:keepNext/>
        <w:keepLines/>
        <w:numPr>
          <w:ilvl w:val="0"/>
          <w:numId w:val="37"/>
        </w:numPr>
        <w:spacing w:before="312" w:beforeLines="100" w:after="156" w:afterLines="50" w:line="360" w:lineRule="auto"/>
        <w:ind w:firstLineChars="0"/>
        <w:jc w:val="center"/>
        <w:outlineLvl w:val="0"/>
        <w:rPr>
          <w:rFonts w:ascii="Times New Roman" w:hAnsi="Times New Roman" w:eastAsia="黑体" w:cs="Times New Roman"/>
          <w:bCs/>
          <w:vanish/>
          <w:color w:val="000000" w:themeColor="text1"/>
          <w:kern w:val="44"/>
          <w:sz w:val="28"/>
          <w:szCs w:val="28"/>
          <w:highlight w:val="none"/>
          <w14:textFill>
            <w14:solidFill>
              <w14:schemeClr w14:val="tx1"/>
            </w14:solidFill>
          </w14:textFill>
        </w:rPr>
      </w:pPr>
      <w:bookmarkStart w:id="19" w:name="_Toc44847178"/>
      <w:bookmarkEnd w:id="19"/>
      <w:bookmarkStart w:id="20" w:name="_Toc36633600"/>
      <w:bookmarkEnd w:id="20"/>
      <w:bookmarkStart w:id="21" w:name="_Toc36625975"/>
      <w:bookmarkEnd w:id="21"/>
      <w:bookmarkStart w:id="22" w:name="_Toc36633709"/>
      <w:bookmarkEnd w:id="22"/>
    </w:p>
    <w:p>
      <w:pPr>
        <w:pStyle w:val="90"/>
        <w:keepNext/>
        <w:keepLines/>
        <w:numPr>
          <w:ilvl w:val="0"/>
          <w:numId w:val="37"/>
        </w:numPr>
        <w:spacing w:before="312" w:beforeLines="100" w:after="156" w:afterLines="50" w:line="360" w:lineRule="auto"/>
        <w:ind w:firstLineChars="0"/>
        <w:jc w:val="center"/>
        <w:outlineLvl w:val="0"/>
        <w:rPr>
          <w:rFonts w:ascii="Times New Roman" w:hAnsi="Times New Roman" w:eastAsia="黑体" w:cs="Times New Roman"/>
          <w:bCs/>
          <w:vanish/>
          <w:color w:val="000000" w:themeColor="text1"/>
          <w:kern w:val="44"/>
          <w:sz w:val="28"/>
          <w:szCs w:val="28"/>
          <w:highlight w:val="none"/>
          <w14:textFill>
            <w14:solidFill>
              <w14:schemeClr w14:val="tx1"/>
            </w14:solidFill>
          </w14:textFill>
        </w:rPr>
      </w:pPr>
      <w:bookmarkStart w:id="23" w:name="_Toc36625976"/>
      <w:bookmarkEnd w:id="23"/>
      <w:bookmarkStart w:id="24" w:name="_Toc36633601"/>
      <w:bookmarkEnd w:id="24"/>
      <w:bookmarkStart w:id="25" w:name="_Toc36633710"/>
      <w:bookmarkEnd w:id="25"/>
      <w:bookmarkStart w:id="26" w:name="_Toc44847179"/>
      <w:bookmarkEnd w:id="26"/>
    </w:p>
    <w:p>
      <w:pPr>
        <w:pStyle w:val="90"/>
        <w:keepNext/>
        <w:keepLines/>
        <w:numPr>
          <w:ilvl w:val="0"/>
          <w:numId w:val="37"/>
        </w:numPr>
        <w:spacing w:before="312" w:beforeLines="100" w:after="156" w:afterLines="50" w:line="360" w:lineRule="auto"/>
        <w:ind w:firstLineChars="0"/>
        <w:jc w:val="center"/>
        <w:outlineLvl w:val="0"/>
        <w:rPr>
          <w:rFonts w:ascii="Times New Roman" w:hAnsi="Times New Roman" w:eastAsia="黑体" w:cs="Times New Roman"/>
          <w:bCs/>
          <w:vanish/>
          <w:color w:val="000000" w:themeColor="text1"/>
          <w:kern w:val="44"/>
          <w:sz w:val="28"/>
          <w:szCs w:val="28"/>
          <w:highlight w:val="none"/>
          <w14:textFill>
            <w14:solidFill>
              <w14:schemeClr w14:val="tx1"/>
            </w14:solidFill>
          </w14:textFill>
        </w:rPr>
      </w:pPr>
      <w:bookmarkStart w:id="27" w:name="_Toc36633602"/>
      <w:bookmarkEnd w:id="27"/>
      <w:bookmarkStart w:id="28" w:name="_Toc36625977"/>
      <w:bookmarkEnd w:id="28"/>
      <w:bookmarkStart w:id="29" w:name="_Toc36633711"/>
      <w:bookmarkEnd w:id="29"/>
      <w:bookmarkStart w:id="30" w:name="_Toc44847180"/>
      <w:bookmarkEnd w:id="30"/>
    </w:p>
    <w:p>
      <w:pPr>
        <w:pStyle w:val="90"/>
        <w:keepNext/>
        <w:keepLines/>
        <w:numPr>
          <w:ilvl w:val="0"/>
          <w:numId w:val="37"/>
        </w:numPr>
        <w:spacing w:before="312" w:beforeLines="100" w:after="156" w:afterLines="50" w:line="360" w:lineRule="auto"/>
        <w:ind w:firstLineChars="0"/>
        <w:jc w:val="center"/>
        <w:outlineLvl w:val="0"/>
        <w:rPr>
          <w:rFonts w:ascii="Times New Roman" w:hAnsi="Times New Roman" w:eastAsia="黑体" w:cs="Times New Roman"/>
          <w:bCs/>
          <w:vanish/>
          <w:color w:val="000000" w:themeColor="text1"/>
          <w:kern w:val="44"/>
          <w:sz w:val="28"/>
          <w:szCs w:val="28"/>
          <w:highlight w:val="none"/>
          <w14:textFill>
            <w14:solidFill>
              <w14:schemeClr w14:val="tx1"/>
            </w14:solidFill>
          </w14:textFill>
        </w:rPr>
      </w:pPr>
      <w:bookmarkStart w:id="31" w:name="_Toc44847181"/>
      <w:bookmarkEnd w:id="31"/>
      <w:bookmarkStart w:id="32" w:name="_Toc36633712"/>
      <w:bookmarkEnd w:id="32"/>
      <w:bookmarkStart w:id="33" w:name="_Toc36633603"/>
      <w:bookmarkEnd w:id="33"/>
      <w:bookmarkStart w:id="34" w:name="_Toc36625978"/>
      <w:bookmarkEnd w:id="34"/>
    </w:p>
    <w:p>
      <w:pPr>
        <w:pStyle w:val="205"/>
        <w:rPr>
          <w:highlight w:val="none"/>
        </w:rPr>
      </w:pPr>
      <w:bookmarkStart w:id="35" w:name="_Toc44847182"/>
      <w:r>
        <w:rPr>
          <w:highlight w:val="none"/>
        </w:rPr>
        <w:t>工程设计</w:t>
      </w:r>
      <w:bookmarkEnd w:id="35"/>
    </w:p>
    <w:p>
      <w:pPr>
        <w:pStyle w:val="90"/>
        <w:keepNext/>
        <w:keepLines/>
        <w:numPr>
          <w:ilvl w:val="0"/>
          <w:numId w:val="38"/>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36" w:name="_Toc36625980"/>
      <w:bookmarkEnd w:id="36"/>
      <w:bookmarkStart w:id="37" w:name="_Toc36633714"/>
      <w:bookmarkEnd w:id="37"/>
      <w:bookmarkStart w:id="38" w:name="_Toc36633605"/>
      <w:bookmarkEnd w:id="38"/>
      <w:bookmarkStart w:id="39" w:name="_Toc44847183"/>
      <w:bookmarkEnd w:id="39"/>
    </w:p>
    <w:p>
      <w:pPr>
        <w:pStyle w:val="90"/>
        <w:keepNext/>
        <w:keepLines/>
        <w:numPr>
          <w:ilvl w:val="0"/>
          <w:numId w:val="38"/>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40" w:name="_Toc44847184"/>
      <w:bookmarkEnd w:id="40"/>
    </w:p>
    <w:p>
      <w:pPr>
        <w:pStyle w:val="90"/>
        <w:keepNext/>
        <w:keepLines/>
        <w:numPr>
          <w:ilvl w:val="0"/>
          <w:numId w:val="38"/>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41" w:name="_Toc44847185"/>
      <w:bookmarkEnd w:id="41"/>
    </w:p>
    <w:p>
      <w:pPr>
        <w:pStyle w:val="90"/>
        <w:keepNext/>
        <w:keepLines/>
        <w:numPr>
          <w:ilvl w:val="0"/>
          <w:numId w:val="38"/>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42" w:name="_Toc44847186"/>
      <w:bookmarkEnd w:id="42"/>
    </w:p>
    <w:p>
      <w:pPr>
        <w:pStyle w:val="90"/>
        <w:keepNext/>
        <w:keepLines/>
        <w:numPr>
          <w:ilvl w:val="0"/>
          <w:numId w:val="38"/>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43" w:name="_Toc44847187"/>
      <w:bookmarkEnd w:id="43"/>
    </w:p>
    <w:p>
      <w:pPr>
        <w:pStyle w:val="90"/>
        <w:keepNext/>
        <w:keepLines/>
        <w:numPr>
          <w:ilvl w:val="0"/>
          <w:numId w:val="38"/>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44" w:name="_Toc44847188"/>
      <w:bookmarkEnd w:id="44"/>
    </w:p>
    <w:p>
      <w:pPr>
        <w:pStyle w:val="3"/>
        <w:numPr>
          <w:ilvl w:val="1"/>
          <w:numId w:val="38"/>
        </w:numPr>
        <w:spacing w:before="156" w:beforeLines="50" w:line="360" w:lineRule="auto"/>
        <w:ind w:left="567"/>
        <w:jc w:val="center"/>
        <w:rPr>
          <w:rFonts w:ascii="黑体" w:hAnsi="黑体" w:eastAsia="黑体"/>
          <w:b w:val="0"/>
          <w:bCs w:val="0"/>
          <w:color w:val="000000" w:themeColor="text1"/>
          <w:sz w:val="28"/>
          <w:szCs w:val="28"/>
          <w:highlight w:val="none"/>
          <w14:textFill>
            <w14:solidFill>
              <w14:schemeClr w14:val="tx1"/>
            </w14:solidFill>
          </w14:textFill>
        </w:rPr>
      </w:pPr>
      <w:bookmarkStart w:id="45" w:name="_Toc44847189"/>
      <w:r>
        <w:rPr>
          <w:color w:val="000000" w:themeColor="text1"/>
          <w:highlight w:val="none"/>
          <w14:textFill>
            <w14:solidFill>
              <w14:schemeClr w14:val="tx1"/>
            </w14:solidFill>
          </w14:textFill>
        </w:rPr>
        <w:t>　</w:t>
      </w:r>
      <w:r>
        <w:rPr>
          <w:rFonts w:ascii="黑体" w:hAnsi="黑体" w:eastAsia="黑体"/>
          <w:b w:val="0"/>
          <w:bCs w:val="0"/>
          <w:color w:val="000000" w:themeColor="text1"/>
          <w:sz w:val="28"/>
          <w:szCs w:val="28"/>
          <w:highlight w:val="none"/>
          <w14:textFill>
            <w14:solidFill>
              <w14:schemeClr w14:val="tx1"/>
            </w14:solidFill>
          </w14:textFill>
        </w:rPr>
        <w:t>建筑设计</w:t>
      </w:r>
      <w:bookmarkEnd w:id="45"/>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在满足实验室工艺需求前提下，建筑设计宜采用标准单元设计，实验室环境控制、配套公用设施宜满足标准单元组合变化的需求</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常规实验用房标准单元的尺寸开间宜为</w:t>
      </w:r>
      <w:r>
        <w:rPr>
          <w:rFonts w:ascii="Times New Roman" w:hAnsi="Times New Roman" w:cs="Times New Roman"/>
          <w:color w:val="000000" w:themeColor="text1"/>
          <w:sz w:val="24"/>
          <w:szCs w:val="24"/>
          <w:highlight w:val="none"/>
          <w14:textFill>
            <w14:solidFill>
              <w14:schemeClr w14:val="tx1"/>
            </w14:solidFill>
          </w14:textFill>
        </w:rPr>
        <w:t>3.6m~4m</w:t>
      </w:r>
      <w:r>
        <w:rPr>
          <w:rFonts w:hint="eastAsia" w:ascii="Times New Roman" w:hAnsi="Times New Roman" w:cs="Times New Roman"/>
          <w:color w:val="000000" w:themeColor="text1"/>
          <w:sz w:val="24"/>
          <w:szCs w:val="24"/>
          <w:highlight w:val="none"/>
          <w14:textFill>
            <w14:solidFill>
              <w14:schemeClr w14:val="tx1"/>
            </w14:solidFill>
          </w14:textFill>
        </w:rPr>
        <w:t>，进深宜为</w:t>
      </w:r>
      <w:r>
        <w:rPr>
          <w:rFonts w:ascii="Times New Roman" w:hAnsi="Times New Roman" w:cs="Times New Roman"/>
          <w:color w:val="000000" w:themeColor="text1"/>
          <w:sz w:val="24"/>
          <w:szCs w:val="24"/>
          <w:highlight w:val="none"/>
          <w14:textFill>
            <w14:solidFill>
              <w14:schemeClr w14:val="tx1"/>
            </w14:solidFill>
          </w14:textFill>
        </w:rPr>
        <w:t>7.8m~8.4m</w:t>
      </w:r>
      <w:r>
        <w:rPr>
          <w:rFonts w:hint="eastAsia" w:ascii="Times New Roman" w:hAnsi="Times New Roman" w:cs="Times New Roman"/>
          <w:color w:val="000000" w:themeColor="text1"/>
          <w:sz w:val="24"/>
          <w:szCs w:val="24"/>
          <w:highlight w:val="none"/>
          <w14:textFill>
            <w14:solidFill>
              <w14:schemeClr w14:val="tx1"/>
            </w14:solidFill>
          </w14:textFill>
        </w:rPr>
        <w:t>，部分高大空间实验用房标准单元尺寸可为</w:t>
      </w:r>
      <w:r>
        <w:rPr>
          <w:rFonts w:ascii="Times New Roman" w:hAnsi="Times New Roman" w:cs="Times New Roman"/>
          <w:color w:val="000000" w:themeColor="text1"/>
          <w:sz w:val="24"/>
          <w:szCs w:val="24"/>
          <w:highlight w:val="none"/>
          <w14:textFill>
            <w14:solidFill>
              <w14:schemeClr w14:val="tx1"/>
            </w14:solidFill>
          </w14:textFill>
        </w:rPr>
        <w:t>9m</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18m</w:t>
      </w:r>
      <w:r>
        <w:rPr>
          <w:rFonts w:hint="eastAsia" w:ascii="Times New Roman" w:hAnsi="Times New Roman" w:cs="Times New Roman"/>
          <w:color w:val="000000" w:themeColor="text1"/>
          <w:sz w:val="24"/>
          <w:szCs w:val="24"/>
          <w:highlight w:val="none"/>
          <w14:textFill>
            <w14:solidFill>
              <w14:schemeClr w14:val="tx1"/>
            </w14:solidFill>
          </w14:textFill>
        </w:rPr>
        <w:t>或</w:t>
      </w:r>
      <w:r>
        <w:rPr>
          <w:rFonts w:ascii="Times New Roman" w:hAnsi="Times New Roman" w:cs="Times New Roman"/>
          <w:color w:val="000000" w:themeColor="text1"/>
          <w:sz w:val="24"/>
          <w:szCs w:val="24"/>
          <w:highlight w:val="none"/>
          <w14:textFill>
            <w14:solidFill>
              <w14:schemeClr w14:val="tx1"/>
            </w14:solidFill>
          </w14:textFill>
        </w:rPr>
        <w:t>6m</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12m。</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实验室净高应满足工艺设备安装、使用及维修需要，且不宜低于</w:t>
      </w:r>
      <w:r>
        <w:rPr>
          <w:rFonts w:ascii="Times New Roman" w:hAnsi="Times New Roman" w:cs="Times New Roman"/>
          <w:color w:val="000000" w:themeColor="text1"/>
          <w:sz w:val="24"/>
          <w:szCs w:val="24"/>
          <w:highlight w:val="none"/>
          <w14:textFill>
            <w14:solidFill>
              <w14:schemeClr w14:val="tx1"/>
            </w14:solidFill>
          </w14:textFill>
        </w:rPr>
        <w:t>3m</w:t>
      </w:r>
      <w:r>
        <w:rPr>
          <w:rFonts w:hint="eastAsia" w:ascii="Times New Roman" w:hAnsi="Times New Roman" w:cs="Times New Roman"/>
          <w:color w:val="000000" w:themeColor="text1"/>
          <w:sz w:val="24"/>
          <w:szCs w:val="24"/>
          <w:highlight w:val="none"/>
          <w14:textFill>
            <w14:solidFill>
              <w14:schemeClr w14:val="tx1"/>
            </w14:solidFill>
          </w14:textFill>
        </w:rPr>
        <w:t>。因洁净度、温度、湿度控制等特殊要求难以实现时，实验室净高不得低于</w:t>
      </w:r>
      <w:r>
        <w:rPr>
          <w:rFonts w:ascii="Times New Roman" w:hAnsi="Times New Roman" w:cs="Times New Roman"/>
          <w:color w:val="000000" w:themeColor="text1"/>
          <w:sz w:val="24"/>
          <w:szCs w:val="24"/>
          <w:highlight w:val="none"/>
          <w14:textFill>
            <w14:solidFill>
              <w14:schemeClr w14:val="tx1"/>
            </w14:solidFill>
          </w14:textFill>
        </w:rPr>
        <w:t>2.8m。</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实验用房标准单元前部宜布置人员通道，后部宜布置服务通道，人员通道外部宜为准备间、辅助用房或具有外窗的外墙</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人员通道净宽宜为</w:t>
      </w:r>
      <w:r>
        <w:rPr>
          <w:rFonts w:ascii="Times New Roman" w:hAnsi="Times New Roman" w:cs="Times New Roman"/>
          <w:color w:val="000000" w:themeColor="text1"/>
          <w:sz w:val="24"/>
          <w:szCs w:val="24"/>
          <w:highlight w:val="none"/>
          <w14:textFill>
            <w14:solidFill>
              <w14:schemeClr w14:val="tx1"/>
            </w14:solidFill>
          </w14:textFill>
        </w:rPr>
        <w:t>2m</w:t>
      </w:r>
      <w:r>
        <w:rPr>
          <w:rFonts w:hint="eastAsia" w:ascii="Times New Roman" w:hAnsi="Times New Roman" w:cs="Times New Roman"/>
          <w:color w:val="000000" w:themeColor="text1"/>
          <w:sz w:val="24"/>
          <w:szCs w:val="24"/>
          <w:highlight w:val="none"/>
          <w14:textFill>
            <w14:solidFill>
              <w14:schemeClr w14:val="tx1"/>
            </w14:solidFill>
          </w14:textFill>
        </w:rPr>
        <w:t>，不宜小于</w:t>
      </w:r>
      <w:r>
        <w:rPr>
          <w:rFonts w:ascii="Times New Roman" w:hAnsi="Times New Roman" w:cs="Times New Roman"/>
          <w:color w:val="000000" w:themeColor="text1"/>
          <w:sz w:val="24"/>
          <w:szCs w:val="24"/>
          <w:highlight w:val="none"/>
          <w14:textFill>
            <w14:solidFill>
              <w14:schemeClr w14:val="tx1"/>
            </w14:solidFill>
          </w14:textFill>
        </w:rPr>
        <w:t>1.8m</w:t>
      </w:r>
      <w:r>
        <w:rPr>
          <w:rFonts w:hint="eastAsia" w:ascii="Times New Roman" w:hAnsi="Times New Roman" w:cs="Times New Roman"/>
          <w:color w:val="000000" w:themeColor="text1"/>
          <w:sz w:val="24"/>
          <w:szCs w:val="24"/>
          <w:highlight w:val="none"/>
          <w14:textFill>
            <w14:solidFill>
              <w14:schemeClr w14:val="tx1"/>
            </w14:solidFill>
          </w14:textFill>
        </w:rPr>
        <w:t>；服务通道净宽宜为</w:t>
      </w:r>
      <w:r>
        <w:rPr>
          <w:rFonts w:ascii="Times New Roman" w:hAnsi="Times New Roman" w:cs="Times New Roman"/>
          <w:color w:val="000000" w:themeColor="text1"/>
          <w:sz w:val="24"/>
          <w:szCs w:val="24"/>
          <w:highlight w:val="none"/>
          <w14:textFill>
            <w14:solidFill>
              <w14:schemeClr w14:val="tx1"/>
            </w14:solidFill>
          </w14:textFill>
        </w:rPr>
        <w:t>4m</w:t>
      </w:r>
      <w:r>
        <w:rPr>
          <w:rFonts w:hint="eastAsia" w:ascii="Times New Roman" w:hAnsi="Times New Roman" w:cs="Times New Roman"/>
          <w:color w:val="000000" w:themeColor="text1"/>
          <w:sz w:val="24"/>
          <w:szCs w:val="24"/>
          <w:highlight w:val="none"/>
          <w14:textFill>
            <w14:solidFill>
              <w14:schemeClr w14:val="tx1"/>
            </w14:solidFill>
          </w14:textFill>
        </w:rPr>
        <w:t>，不宜小于</w:t>
      </w:r>
      <w:r>
        <w:rPr>
          <w:rFonts w:ascii="Times New Roman" w:hAnsi="Times New Roman" w:cs="Times New Roman"/>
          <w:color w:val="000000" w:themeColor="text1"/>
          <w:sz w:val="24"/>
          <w:szCs w:val="24"/>
          <w:highlight w:val="none"/>
          <w14:textFill>
            <w14:solidFill>
              <w14:schemeClr w14:val="tx1"/>
            </w14:solidFill>
          </w14:textFill>
        </w:rPr>
        <w:t>3.8m。</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在实验室用房及服务通道区域上方、下方或侧方宜设置设备管道技术层</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实验室内门设置数量和模数应结合标准单元组合情况确定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实验室的门扇宜设观察窗，有避光等特殊要求的</w:t>
      </w:r>
      <w:r>
        <w:rPr>
          <w:rFonts w:hint="eastAsia" w:ascii="Times New Roman" w:hAnsi="Times New Roman" w:cs="Times New Roman"/>
          <w:color w:val="000000" w:themeColor="text1"/>
          <w:sz w:val="24"/>
          <w:szCs w:val="24"/>
          <w:highlight w:val="none"/>
          <w14:textFill>
            <w14:solidFill>
              <w14:schemeClr w14:val="tx1"/>
            </w14:solidFill>
          </w14:textFill>
        </w:rPr>
        <w:t>实验室，不应设观察窗</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有恒温恒湿、净化要求的实验室不宜设外窗，设置时，宜为双层密闭窗。其他房间宜设双层隔声外窗，</w:t>
      </w:r>
      <w:r>
        <w:rPr>
          <w:rFonts w:hint="eastAsia" w:ascii="Times New Roman" w:hAnsi="Times New Roman" w:cs="Times New Roman"/>
          <w:color w:val="000000" w:themeColor="text1"/>
          <w:sz w:val="24"/>
          <w:szCs w:val="24"/>
          <w:highlight w:val="none"/>
          <w14:textFill>
            <w14:solidFill>
              <w14:schemeClr w14:val="tx1"/>
            </w14:solidFill>
          </w14:textFill>
        </w:rPr>
        <w:t>且宜将</w:t>
      </w:r>
      <w:r>
        <w:rPr>
          <w:rFonts w:ascii="Times New Roman" w:hAnsi="Times New Roman" w:cs="Times New Roman"/>
          <w:color w:val="000000" w:themeColor="text1"/>
          <w:sz w:val="24"/>
          <w:szCs w:val="24"/>
          <w:highlight w:val="none"/>
          <w14:textFill>
            <w14:solidFill>
              <w14:schemeClr w14:val="tx1"/>
            </w14:solidFill>
          </w14:textFill>
        </w:rPr>
        <w:t>不少于窗面积</w:t>
      </w:r>
      <w:r>
        <w:rPr>
          <w:rFonts w:hint="eastAsia" w:ascii="Times New Roman" w:hAnsi="Times New Roman" w:cs="Times New Roman"/>
          <w:color w:val="000000" w:themeColor="text1"/>
          <w:sz w:val="24"/>
          <w:szCs w:val="24"/>
          <w:highlight w:val="none"/>
          <w14:textFill>
            <w14:solidFill>
              <w14:schemeClr w14:val="tx1"/>
            </w14:solidFill>
          </w14:textFill>
        </w:rPr>
        <w:t>的</w:t>
      </w:r>
      <w:r>
        <w:rPr>
          <w:rFonts w:ascii="Times New Roman" w:hAnsi="Times New Roman" w:cs="Times New Roman"/>
          <w:color w:val="000000" w:themeColor="text1"/>
          <w:sz w:val="24"/>
          <w:szCs w:val="24"/>
          <w:highlight w:val="none"/>
          <w14:textFill>
            <w14:solidFill>
              <w14:schemeClr w14:val="tx1"/>
            </w14:solidFill>
          </w14:textFill>
        </w:rPr>
        <w:t>1/3</w:t>
      </w:r>
      <w:r>
        <w:rPr>
          <w:rFonts w:hint="eastAsia" w:ascii="Times New Roman" w:hAnsi="Times New Roman" w:cs="Times New Roman"/>
          <w:color w:val="000000" w:themeColor="text1"/>
          <w:sz w:val="24"/>
          <w:szCs w:val="24"/>
          <w:highlight w:val="none"/>
          <w14:textFill>
            <w14:solidFill>
              <w14:schemeClr w14:val="tx1"/>
            </w14:solidFill>
          </w14:textFill>
        </w:rPr>
        <w:t>设为可开启窗扇</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开启窗扇应</w:t>
      </w:r>
      <w:r>
        <w:rPr>
          <w:rFonts w:ascii="Times New Roman" w:hAnsi="Times New Roman" w:cs="Times New Roman"/>
          <w:color w:val="000000" w:themeColor="text1"/>
          <w:sz w:val="24"/>
          <w:szCs w:val="24"/>
          <w:highlight w:val="none"/>
          <w14:textFill>
            <w14:solidFill>
              <w14:schemeClr w14:val="tx1"/>
            </w14:solidFill>
          </w14:textFill>
        </w:rPr>
        <w:t>设纱窗。</w:t>
      </w:r>
    </w:p>
    <w:p>
      <w:pPr>
        <w:pStyle w:val="82"/>
        <w:numPr>
          <w:ilvl w:val="2"/>
          <w:numId w:val="38"/>
        </w:numPr>
        <w:spacing w:line="360" w:lineRule="auto"/>
        <w:ind w:left="0" w:firstLine="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除有避光要求的实验室外，其他房间宜面向室内人行走廊设置密闭双层隔声内窗，</w:t>
      </w:r>
      <w:r>
        <w:rPr>
          <w:rFonts w:hint="eastAsia" w:ascii="Times New Roman" w:hAnsi="Times New Roman" w:cs="Times New Roman"/>
          <w:color w:val="000000" w:themeColor="text1"/>
          <w:sz w:val="24"/>
          <w:szCs w:val="24"/>
          <w:highlight w:val="none"/>
          <w14:textFill>
            <w14:solidFill>
              <w14:schemeClr w14:val="tx1"/>
            </w14:solidFill>
          </w14:textFill>
        </w:rPr>
        <w:t>窗的</w:t>
      </w:r>
      <w:r>
        <w:rPr>
          <w:rFonts w:ascii="Times New Roman" w:hAnsi="Times New Roman" w:cs="Times New Roman"/>
          <w:color w:val="000000" w:themeColor="text1"/>
          <w:sz w:val="24"/>
          <w:szCs w:val="24"/>
          <w:highlight w:val="none"/>
          <w14:textFill>
            <w14:solidFill>
              <w14:schemeClr w14:val="tx1"/>
            </w14:solidFill>
          </w14:textFill>
        </w:rPr>
        <w:t>尺寸</w:t>
      </w:r>
      <w:r>
        <w:rPr>
          <w:rFonts w:hint="eastAsia" w:ascii="Times New Roman" w:hAnsi="Times New Roman" w:cs="Times New Roman"/>
          <w:color w:val="000000" w:themeColor="text1"/>
          <w:sz w:val="24"/>
          <w:szCs w:val="24"/>
          <w:highlight w:val="none"/>
          <w14:textFill>
            <w14:solidFill>
              <w14:schemeClr w14:val="tx1"/>
            </w14:solidFill>
          </w14:textFill>
        </w:rPr>
        <w:t>应</w:t>
      </w:r>
      <w:r>
        <w:rPr>
          <w:rFonts w:ascii="Times New Roman" w:hAnsi="Times New Roman" w:cs="Times New Roman"/>
          <w:color w:val="000000" w:themeColor="text1"/>
          <w:sz w:val="24"/>
          <w:szCs w:val="24"/>
          <w:highlight w:val="none"/>
          <w14:textFill>
            <w14:solidFill>
              <w14:schemeClr w14:val="tx1"/>
            </w14:solidFill>
          </w14:textFill>
        </w:rPr>
        <w:t>能满足人员参观</w:t>
      </w:r>
      <w:r>
        <w:rPr>
          <w:rFonts w:hint="eastAsia" w:ascii="Times New Roman" w:hAnsi="Times New Roman" w:cs="Times New Roman"/>
          <w:color w:val="000000" w:themeColor="text1"/>
          <w:sz w:val="24"/>
          <w:szCs w:val="24"/>
          <w:highlight w:val="none"/>
          <w14:textFill>
            <w14:solidFill>
              <w14:schemeClr w14:val="tx1"/>
            </w14:solidFill>
          </w14:textFill>
        </w:rPr>
        <w:t>的需要</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有较高温度、湿度控制要求的实验室应采取保温隔湿措施，在一些对温度最为敏感的实验室应采取更为严格的温度控制方式。</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有洁净要求的实验室，应选用气密性良好，且在温度和湿度等变化作用下变形小的装修材料，内墙壁和顶棚的表面，应符合平整、光滑、不起灰、避免眩光、便于除尘等要求，并应减少凹凸面，阴阳角做成圆角</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实验室的楼面宜做轻质隔声垫层，其厚度应满足隔声及埋设管线要求</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建筑的外装修在风格、色调和选材方面应尽量与周边现有建筑统一协调。</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人流和物流通道均应</w:t>
      </w:r>
      <w:r>
        <w:rPr>
          <w:rFonts w:hint="eastAsia" w:ascii="Times New Roman" w:hAnsi="Times New Roman" w:cs="Times New Roman"/>
          <w:color w:val="000000" w:themeColor="text1"/>
          <w:sz w:val="24"/>
          <w:szCs w:val="24"/>
          <w:highlight w:val="none"/>
          <w14:textFill>
            <w14:solidFill>
              <w14:schemeClr w14:val="tx1"/>
            </w14:solidFill>
          </w14:textFill>
        </w:rPr>
        <w:t>进行无障碍设计，</w:t>
      </w:r>
      <w:r>
        <w:rPr>
          <w:rFonts w:ascii="Times New Roman" w:hAnsi="Times New Roman" w:cs="Times New Roman"/>
          <w:color w:val="000000" w:themeColor="text1"/>
          <w:sz w:val="24"/>
          <w:szCs w:val="24"/>
          <w:highlight w:val="none"/>
          <w14:textFill>
            <w14:solidFill>
              <w14:schemeClr w14:val="tx1"/>
            </w14:solidFill>
          </w14:textFill>
        </w:rPr>
        <w:t>设置缓坡坡道，</w:t>
      </w:r>
      <w:r>
        <w:rPr>
          <w:rFonts w:hint="eastAsia" w:ascii="Times New Roman" w:hAnsi="Times New Roman" w:cs="Times New Roman"/>
          <w:color w:val="000000" w:themeColor="text1"/>
          <w:sz w:val="24"/>
          <w:szCs w:val="24"/>
          <w:highlight w:val="none"/>
          <w14:textFill>
            <w14:solidFill>
              <w14:schemeClr w14:val="tx1"/>
            </w14:solidFill>
          </w14:textFill>
        </w:rPr>
        <w:t>并应预留</w:t>
      </w:r>
      <w:r>
        <w:rPr>
          <w:rFonts w:ascii="Times New Roman" w:hAnsi="Times New Roman" w:cs="Times New Roman"/>
          <w:color w:val="000000" w:themeColor="text1"/>
          <w:sz w:val="24"/>
          <w:szCs w:val="24"/>
          <w:highlight w:val="none"/>
          <w14:textFill>
            <w14:solidFill>
              <w14:schemeClr w14:val="tx1"/>
            </w14:solidFill>
          </w14:textFill>
        </w:rPr>
        <w:t>回转余量</w:t>
      </w:r>
      <w:r>
        <w:rPr>
          <w:rFonts w:hint="eastAsia"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辅助用房和公共设施用房设计宜符合现行国家标准《</w:t>
      </w:r>
      <w:r>
        <w:rPr>
          <w:rFonts w:hint="eastAsia" w:ascii="Times New Roman" w:hAnsi="Times New Roman" w:cs="Times New Roman"/>
          <w:color w:val="000000" w:themeColor="text1"/>
          <w:sz w:val="24"/>
          <w:szCs w:val="24"/>
          <w:highlight w:val="none"/>
          <w14:textFill>
            <w14:solidFill>
              <w14:schemeClr w14:val="tx1"/>
            </w14:solidFill>
          </w14:textFill>
        </w:rPr>
        <w:t>科研</w:t>
      </w:r>
      <w:r>
        <w:rPr>
          <w:rFonts w:ascii="Times New Roman" w:hAnsi="Times New Roman" w:cs="Times New Roman"/>
          <w:color w:val="000000" w:themeColor="text1"/>
          <w:sz w:val="24"/>
          <w:szCs w:val="24"/>
          <w:highlight w:val="none"/>
          <w14:textFill>
            <w14:solidFill>
              <w14:schemeClr w14:val="tx1"/>
            </w14:solidFill>
          </w14:textFill>
        </w:rPr>
        <w:t>建筑设计</w:t>
      </w:r>
      <w:r>
        <w:rPr>
          <w:rFonts w:hint="eastAsia" w:ascii="Times New Roman" w:hAnsi="Times New Roman" w:cs="Times New Roman"/>
          <w:color w:val="000000" w:themeColor="text1"/>
          <w:sz w:val="24"/>
          <w:szCs w:val="24"/>
          <w:highlight w:val="none"/>
          <w14:textFill>
            <w14:solidFill>
              <w14:schemeClr w14:val="tx1"/>
            </w14:solidFill>
          </w14:textFill>
        </w:rPr>
        <w:t>标准</w:t>
      </w:r>
      <w:r>
        <w:rPr>
          <w:rFonts w:ascii="Times New Roman" w:hAnsi="Times New Roman" w:cs="Times New Roman"/>
          <w:color w:val="000000" w:themeColor="text1"/>
          <w:sz w:val="24"/>
          <w:szCs w:val="24"/>
          <w:highlight w:val="none"/>
          <w14:textFill>
            <w14:solidFill>
              <w14:schemeClr w14:val="tx1"/>
            </w14:solidFill>
          </w14:textFill>
        </w:rPr>
        <w:t>》JGJ 91</w:t>
      </w:r>
      <w:r>
        <w:rPr>
          <w:rFonts w:hint="eastAsia" w:ascii="Times New Roman" w:hAnsi="Times New Roman" w:cs="Times New Roman"/>
          <w:color w:val="000000" w:themeColor="text1"/>
          <w:sz w:val="24"/>
          <w:szCs w:val="24"/>
          <w:highlight w:val="none"/>
          <w14:textFill>
            <w14:solidFill>
              <w14:schemeClr w14:val="tx1"/>
            </w14:solidFill>
          </w14:textFill>
        </w:rPr>
        <w:t>的有关</w:t>
      </w:r>
      <w:r>
        <w:rPr>
          <w:rFonts w:ascii="Times New Roman" w:hAnsi="Times New Roman" w:cs="Times New Roman"/>
          <w:color w:val="000000" w:themeColor="text1"/>
          <w:sz w:val="24"/>
          <w:szCs w:val="24"/>
          <w:highlight w:val="none"/>
          <w14:textFill>
            <w14:solidFill>
              <w14:schemeClr w14:val="tx1"/>
            </w14:solidFill>
          </w14:textFill>
        </w:rPr>
        <w:t>规定。</w:t>
      </w:r>
    </w:p>
    <w:p>
      <w:pPr>
        <w:pStyle w:val="3"/>
        <w:numPr>
          <w:ilvl w:val="1"/>
          <w:numId w:val="38"/>
        </w:numPr>
        <w:spacing w:before="156" w:beforeLines="50" w:line="360" w:lineRule="auto"/>
        <w:ind w:left="0" w:firstLine="0"/>
        <w:jc w:val="center"/>
        <w:rPr>
          <w:rFonts w:ascii="黑体" w:hAnsi="黑体" w:eastAsia="黑体"/>
          <w:b w:val="0"/>
          <w:bCs w:val="0"/>
          <w:color w:val="000000" w:themeColor="text1"/>
          <w:sz w:val="28"/>
          <w:szCs w:val="28"/>
          <w:highlight w:val="none"/>
          <w14:textFill>
            <w14:solidFill>
              <w14:schemeClr w14:val="tx1"/>
            </w14:solidFill>
          </w14:textFill>
        </w:rPr>
      </w:pPr>
      <w:bookmarkStart w:id="46" w:name="_Toc29462331"/>
      <w:bookmarkStart w:id="47" w:name="_Hlk44838143"/>
      <w:bookmarkStart w:id="48" w:name="_Toc44847190"/>
      <w:r>
        <w:rPr>
          <w:rFonts w:hint="eastAsia" w:ascii="黑体" w:hAnsi="黑体" w:eastAsia="黑体"/>
          <w:b w:val="0"/>
          <w:bCs w:val="0"/>
          <w:color w:val="000000" w:themeColor="text1"/>
          <w:sz w:val="28"/>
          <w:szCs w:val="28"/>
          <w:highlight w:val="none"/>
          <w14:textFill>
            <w14:solidFill>
              <w14:schemeClr w14:val="tx1"/>
            </w14:solidFill>
          </w14:textFill>
        </w:rPr>
        <w:t>结构</w:t>
      </w:r>
      <w:bookmarkEnd w:id="46"/>
      <w:r>
        <w:rPr>
          <w:rFonts w:hint="eastAsia" w:ascii="黑体" w:hAnsi="黑体" w:eastAsia="黑体"/>
          <w:b w:val="0"/>
          <w:bCs w:val="0"/>
          <w:color w:val="000000" w:themeColor="text1"/>
          <w:sz w:val="28"/>
          <w:szCs w:val="28"/>
          <w:highlight w:val="none"/>
          <w14:textFill>
            <w14:solidFill>
              <w14:schemeClr w14:val="tx1"/>
            </w14:solidFill>
          </w14:textFill>
        </w:rPr>
        <w:t>及防微振</w:t>
      </w:r>
      <w:bookmarkEnd w:id="47"/>
      <w:r>
        <w:rPr>
          <w:rFonts w:ascii="黑体" w:hAnsi="黑体" w:eastAsia="黑体"/>
          <w:b w:val="0"/>
          <w:bCs w:val="0"/>
          <w:color w:val="000000" w:themeColor="text1"/>
          <w:sz w:val="28"/>
          <w:szCs w:val="28"/>
          <w:highlight w:val="none"/>
          <w14:textFill>
            <w14:solidFill>
              <w14:schemeClr w14:val="tx1"/>
            </w14:solidFill>
          </w14:textFill>
        </w:rPr>
        <w:t>设计</w:t>
      </w:r>
      <w:bookmarkEnd w:id="48"/>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防微振</w:t>
      </w:r>
      <w:r>
        <w:rPr>
          <w:rFonts w:ascii="Times New Roman" w:hAnsi="Times New Roman" w:cs="Times New Roman"/>
          <w:color w:val="000000" w:themeColor="text1"/>
          <w:sz w:val="24"/>
          <w:szCs w:val="24"/>
          <w:highlight w:val="none"/>
          <w14:textFill>
            <w14:solidFill>
              <w14:schemeClr w14:val="tx1"/>
            </w14:solidFill>
          </w14:textFill>
        </w:rPr>
        <w:t>设计除应按</w:t>
      </w:r>
      <w:r>
        <w:rPr>
          <w:rFonts w:hint="eastAsia" w:ascii="Times New Roman" w:hAnsi="Times New Roman" w:cs="Times New Roman"/>
          <w:color w:val="000000" w:themeColor="text1"/>
          <w:sz w:val="24"/>
          <w:szCs w:val="24"/>
          <w:highlight w:val="none"/>
          <w14:textFill>
            <w14:solidFill>
              <w14:schemeClr w14:val="tx1"/>
            </w14:solidFill>
          </w14:textFill>
        </w:rPr>
        <w:t>本规程的规定执行外，尚应符合</w:t>
      </w:r>
      <w:r>
        <w:rPr>
          <w:rFonts w:ascii="Times New Roman" w:hAnsi="Times New Roman" w:cs="Times New Roman"/>
          <w:color w:val="000000" w:themeColor="text1"/>
          <w:sz w:val="24"/>
          <w:szCs w:val="24"/>
          <w:highlight w:val="none"/>
          <w14:textFill>
            <w14:solidFill>
              <w14:schemeClr w14:val="tx1"/>
            </w14:solidFill>
          </w14:textFill>
        </w:rPr>
        <w:t>现行国家标准《</w:t>
      </w:r>
      <w:r>
        <w:rPr>
          <w:rFonts w:hint="eastAsia" w:ascii="Times New Roman" w:hAnsi="Times New Roman" w:cs="Times New Roman"/>
          <w:color w:val="000000" w:themeColor="text1"/>
          <w:sz w:val="24"/>
          <w:szCs w:val="24"/>
          <w:highlight w:val="none"/>
          <w14:textFill>
            <w14:solidFill>
              <w14:schemeClr w14:val="tx1"/>
            </w14:solidFill>
          </w14:textFill>
        </w:rPr>
        <w:t>隔振设计规范</w:t>
      </w:r>
      <w:r>
        <w:rPr>
          <w:rFonts w:ascii="Times New Roman" w:hAnsi="Times New Roman" w:cs="Times New Roman"/>
          <w:color w:val="000000" w:themeColor="text1"/>
          <w:sz w:val="24"/>
          <w:szCs w:val="24"/>
          <w:highlight w:val="none"/>
          <w14:textFill>
            <w14:solidFill>
              <w14:schemeClr w14:val="tx1"/>
            </w14:solidFill>
          </w14:textFill>
        </w:rPr>
        <w:t>》GB 50</w:t>
      </w:r>
      <w:r>
        <w:rPr>
          <w:rFonts w:hint="eastAsia" w:ascii="Times New Roman" w:hAnsi="Times New Roman" w:cs="Times New Roman"/>
          <w:color w:val="000000" w:themeColor="text1"/>
          <w:sz w:val="24"/>
          <w:szCs w:val="24"/>
          <w:highlight w:val="none"/>
          <w14:textFill>
            <w14:solidFill>
              <w14:schemeClr w14:val="tx1"/>
            </w14:solidFill>
          </w14:textFill>
        </w:rPr>
        <w:t>463</w:t>
      </w:r>
      <w:r>
        <w:rPr>
          <w:rFonts w:ascii="Times New Roman" w:hAnsi="Times New Roman" w:cs="Times New Roman"/>
          <w:color w:val="000000" w:themeColor="text1"/>
          <w:sz w:val="24"/>
          <w:szCs w:val="24"/>
          <w:highlight w:val="none"/>
          <w14:textFill>
            <w14:solidFill>
              <w14:schemeClr w14:val="tx1"/>
            </w14:solidFill>
          </w14:textFill>
        </w:rPr>
        <w:t>和《电子工业防微振工程技术规范》GB51076</w:t>
      </w:r>
      <w:r>
        <w:rPr>
          <w:rFonts w:hint="eastAsia" w:ascii="Times New Roman" w:hAnsi="Times New Roman" w:cs="Times New Roman"/>
          <w:color w:val="000000" w:themeColor="text1"/>
          <w:sz w:val="24"/>
          <w:szCs w:val="24"/>
          <w:highlight w:val="none"/>
          <w14:textFill>
            <w14:solidFill>
              <w14:schemeClr w14:val="tx1"/>
            </w14:solidFill>
          </w14:textFill>
        </w:rPr>
        <w:t>的</w:t>
      </w:r>
      <w:r>
        <w:rPr>
          <w:rFonts w:ascii="Times New Roman" w:hAnsi="Times New Roman" w:cs="Times New Roman"/>
          <w:color w:val="000000" w:themeColor="text1"/>
          <w:sz w:val="24"/>
          <w:szCs w:val="24"/>
          <w:highlight w:val="none"/>
          <w14:textFill>
            <w14:solidFill>
              <w14:schemeClr w14:val="tx1"/>
            </w14:solidFill>
          </w14:textFill>
        </w:rPr>
        <w:t>规定。</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几何量测量实验室结构形式宜采用框架结构或框架剪力墙结构，宜结合工艺、建筑布局采用标准单元设计</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确定为重点实验室的建筑工程抗震设防类别宜为乙类建筑</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实验用房楼面活荷载设计一般宜取</w:t>
      </w:r>
      <w:r>
        <w:rPr>
          <w:rFonts w:ascii="Times New Roman" w:hAnsi="Times New Roman" w:cs="Times New Roman"/>
          <w:color w:val="000000" w:themeColor="text1"/>
          <w:sz w:val="24"/>
          <w:szCs w:val="24"/>
          <w:highlight w:val="none"/>
          <w14:textFill>
            <w14:solidFill>
              <w14:schemeClr w14:val="tx1"/>
            </w14:solidFill>
          </w14:textFill>
        </w:rPr>
        <w:t>5kN/m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7kN/ 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设置在实验室上部的设备管道技术层的构造方式可采用固定结构楼板或非固定结构楼板</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防微振工程设计应包括下列内容：</w:t>
      </w:r>
    </w:p>
    <w:p>
      <w:pPr>
        <w:pStyle w:val="82"/>
        <w:numPr>
          <w:ilvl w:val="0"/>
          <w:numId w:val="3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建筑结构的防微振设计。</w:t>
      </w:r>
    </w:p>
    <w:p>
      <w:pPr>
        <w:pStyle w:val="82"/>
        <w:numPr>
          <w:ilvl w:val="0"/>
          <w:numId w:val="3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动力设备及管道的隔振设计。</w:t>
      </w:r>
    </w:p>
    <w:p>
      <w:pPr>
        <w:pStyle w:val="82"/>
        <w:numPr>
          <w:ilvl w:val="0"/>
          <w:numId w:val="3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精密设备及仪器的隔振设计。</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几何量测量实验室的隔振设计方案应根据容许振动值及本底环境测试数据，模拟计算后确定，隔振处理后的最大振动值不应大于振动容许值</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为实现振动受控环境标准，宜采取如下措施</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4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宜根据工程地质条件，对地基土进行处理，提高地基刚度，改善地基土变形性质。</w:t>
      </w:r>
    </w:p>
    <w:p>
      <w:pPr>
        <w:pStyle w:val="90"/>
        <w:numPr>
          <w:ilvl w:val="0"/>
          <w:numId w:val="4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宜对基板厚度、结构刚度及剪力墙优化设计，使建筑基础和结构能有效阻隔外源或内源性振动在建筑内部扩散传播。</w:t>
      </w:r>
    </w:p>
    <w:p>
      <w:pPr>
        <w:pStyle w:val="90"/>
        <w:numPr>
          <w:ilvl w:val="0"/>
          <w:numId w:val="4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宜合理设计结构隔振分缝和连接构造，将振动敏感区域与其他潜在振动源隔离开来。</w:t>
      </w:r>
    </w:p>
    <w:p>
      <w:pPr>
        <w:pStyle w:val="90"/>
        <w:numPr>
          <w:ilvl w:val="0"/>
          <w:numId w:val="4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动力设备宜选用平衡性好，振动影响小的中高速产品，经过计算后，应将所有可能产生振动的机电设备都安放于隔振垫或隔振弹簧上。</w:t>
      </w:r>
    </w:p>
    <w:p>
      <w:pPr>
        <w:pStyle w:val="90"/>
        <w:numPr>
          <w:ilvl w:val="0"/>
          <w:numId w:val="4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管道、管线应由弹性吊架或隔振弹簧支撑，与动力设备连接以及穿越墙体或楼板时应采取柔性处理。</w:t>
      </w:r>
    </w:p>
    <w:p>
      <w:pPr>
        <w:pStyle w:val="90"/>
        <w:numPr>
          <w:ilvl w:val="0"/>
          <w:numId w:val="41"/>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实验室的底板可通过分缝与建筑整体基础分离，单独设备仪器还可设置在重型惰性隔振台之上，隔振台由隔离基础支撑。</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防微振设计应结合施工各阶段的测试结果，确认或调整设计方案</w:t>
      </w:r>
      <w:r>
        <w:rPr>
          <w:rFonts w:ascii="Times New Roman" w:hAnsi="Times New Roman" w:cs="Times New Roman"/>
          <w:color w:val="000000" w:themeColor="text1"/>
          <w:sz w:val="24"/>
          <w:szCs w:val="24"/>
          <w:highlight w:val="none"/>
          <w14:textFill>
            <w14:solidFill>
              <w14:schemeClr w14:val="tx1"/>
            </w14:solidFill>
          </w14:textFill>
        </w:rPr>
        <w:t>。</w:t>
      </w:r>
    </w:p>
    <w:p>
      <w:pPr>
        <w:pStyle w:val="3"/>
        <w:numPr>
          <w:ilvl w:val="1"/>
          <w:numId w:val="38"/>
        </w:numPr>
        <w:spacing w:before="156" w:beforeLines="50" w:line="360" w:lineRule="auto"/>
        <w:ind w:left="0" w:firstLine="0"/>
        <w:jc w:val="center"/>
        <w:rPr>
          <w:rFonts w:ascii="黑体" w:hAnsi="黑体" w:eastAsia="黑体"/>
          <w:b w:val="0"/>
          <w:bCs w:val="0"/>
          <w:color w:val="000000" w:themeColor="text1"/>
          <w:sz w:val="28"/>
          <w:szCs w:val="28"/>
          <w:highlight w:val="none"/>
          <w14:textFill>
            <w14:solidFill>
              <w14:schemeClr w14:val="tx1"/>
            </w14:solidFill>
          </w14:textFill>
        </w:rPr>
      </w:pPr>
      <w:bookmarkStart w:id="49" w:name="_Toc44847191"/>
      <w:r>
        <w:rPr>
          <w:rFonts w:ascii="黑体" w:hAnsi="黑体" w:eastAsia="黑体"/>
          <w:b w:val="0"/>
          <w:bCs w:val="0"/>
          <w:color w:val="000000" w:themeColor="text1"/>
          <w:sz w:val="28"/>
          <w:szCs w:val="28"/>
          <w:highlight w:val="none"/>
          <w14:textFill>
            <w14:solidFill>
              <w14:schemeClr w14:val="tx1"/>
            </w14:solidFill>
          </w14:textFill>
        </w:rPr>
        <w:t>公用系统设计</w:t>
      </w:r>
      <w:bookmarkEnd w:id="49"/>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供</w:t>
      </w:r>
      <w:r>
        <w:rPr>
          <w:rFonts w:ascii="Times New Roman" w:hAnsi="Times New Roman" w:cs="Times New Roman"/>
          <w:color w:val="000000" w:themeColor="text1"/>
          <w:sz w:val="24"/>
          <w:szCs w:val="24"/>
          <w:highlight w:val="none"/>
          <w14:textFill>
            <w14:solidFill>
              <w14:schemeClr w14:val="tx1"/>
            </w14:solidFill>
          </w14:textFill>
        </w:rPr>
        <w:t>暖、通风、空气调节和制冷设计除应按</w:t>
      </w:r>
      <w:r>
        <w:rPr>
          <w:rFonts w:hint="eastAsia" w:ascii="Times New Roman" w:hAnsi="Times New Roman" w:cs="Times New Roman"/>
          <w:color w:val="000000" w:themeColor="text1"/>
          <w:sz w:val="24"/>
          <w:szCs w:val="24"/>
          <w:highlight w:val="none"/>
          <w14:textFill>
            <w14:solidFill>
              <w14:schemeClr w14:val="tx1"/>
            </w14:solidFill>
          </w14:textFill>
        </w:rPr>
        <w:t>本规程的规定执行外，尚应符合</w:t>
      </w:r>
      <w:r>
        <w:rPr>
          <w:rFonts w:ascii="Times New Roman" w:hAnsi="Times New Roman" w:cs="Times New Roman"/>
          <w:color w:val="000000" w:themeColor="text1"/>
          <w:sz w:val="24"/>
          <w:szCs w:val="24"/>
          <w:highlight w:val="none"/>
          <w14:textFill>
            <w14:solidFill>
              <w14:schemeClr w14:val="tx1"/>
            </w14:solidFill>
          </w14:textFill>
        </w:rPr>
        <w:t>现行国家标准《工业建筑供暖通风与空气调节设计规范》GB 50019和《民用建筑供暖通风与空气调节设计规范》GB 50736</w:t>
      </w:r>
      <w:r>
        <w:rPr>
          <w:rFonts w:hint="eastAsia" w:ascii="Times New Roman" w:hAnsi="Times New Roman" w:cs="Times New Roman"/>
          <w:color w:val="000000" w:themeColor="text1"/>
          <w:sz w:val="24"/>
          <w:szCs w:val="24"/>
          <w:highlight w:val="none"/>
          <w14:textFill>
            <w14:solidFill>
              <w14:schemeClr w14:val="tx1"/>
            </w14:solidFill>
          </w14:textFill>
        </w:rPr>
        <w:t>的</w:t>
      </w:r>
      <w:r>
        <w:rPr>
          <w:rFonts w:ascii="Times New Roman" w:hAnsi="Times New Roman" w:cs="Times New Roman"/>
          <w:color w:val="000000" w:themeColor="text1"/>
          <w:sz w:val="24"/>
          <w:szCs w:val="24"/>
          <w:highlight w:val="none"/>
          <w14:textFill>
            <w14:solidFill>
              <w14:schemeClr w14:val="tx1"/>
            </w14:solidFill>
          </w14:textFill>
        </w:rPr>
        <w:t>规定。</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供配电、接地、照明、智能化设计除</w:t>
      </w:r>
      <w:r>
        <w:rPr>
          <w:rFonts w:ascii="Times New Roman" w:hAnsi="Times New Roman" w:cs="Times New Roman"/>
          <w:color w:val="000000" w:themeColor="text1"/>
          <w:sz w:val="24"/>
          <w:szCs w:val="24"/>
          <w:highlight w:val="none"/>
          <w14:textFill>
            <w14:solidFill>
              <w14:schemeClr w14:val="tx1"/>
            </w14:solidFill>
          </w14:textFill>
        </w:rPr>
        <w:t>应按</w:t>
      </w:r>
      <w:r>
        <w:rPr>
          <w:rFonts w:hint="eastAsia" w:ascii="Times New Roman" w:hAnsi="Times New Roman" w:cs="Times New Roman"/>
          <w:color w:val="000000" w:themeColor="text1"/>
          <w:sz w:val="24"/>
          <w:szCs w:val="24"/>
          <w:highlight w:val="none"/>
          <w14:textFill>
            <w14:solidFill>
              <w14:schemeClr w14:val="tx1"/>
            </w14:solidFill>
          </w14:textFill>
        </w:rPr>
        <w:t>本规程的规定执行外，尚应符合</w:t>
      </w:r>
      <w:r>
        <w:rPr>
          <w:rFonts w:ascii="Times New Roman" w:hAnsi="Times New Roman" w:cs="Times New Roman"/>
          <w:color w:val="000000" w:themeColor="text1"/>
          <w:sz w:val="24"/>
          <w:szCs w:val="24"/>
          <w:highlight w:val="none"/>
          <w14:textFill>
            <w14:solidFill>
              <w14:schemeClr w14:val="tx1"/>
            </w14:solidFill>
          </w14:textFill>
        </w:rPr>
        <w:t>现行国家标准</w:t>
      </w:r>
      <w:r>
        <w:rPr>
          <w:rFonts w:hint="eastAsia" w:ascii="Times New Roman" w:hAnsi="Times New Roman" w:cs="Times New Roman"/>
          <w:color w:val="000000" w:themeColor="text1"/>
          <w:sz w:val="24"/>
          <w:szCs w:val="24"/>
          <w:highlight w:val="none"/>
          <w14:textFill>
            <w14:solidFill>
              <w14:schemeClr w14:val="tx1"/>
            </w14:solidFill>
          </w14:textFill>
        </w:rPr>
        <w:t>《低压配电设计规范》G</w:t>
      </w:r>
      <w:r>
        <w:rPr>
          <w:rFonts w:ascii="Times New Roman" w:hAnsi="Times New Roman" w:cs="Times New Roman"/>
          <w:color w:val="000000" w:themeColor="text1"/>
          <w:sz w:val="24"/>
          <w:szCs w:val="24"/>
          <w:highlight w:val="none"/>
          <w14:textFill>
            <w14:solidFill>
              <w14:schemeClr w14:val="tx1"/>
            </w14:solidFill>
          </w14:textFill>
        </w:rPr>
        <w:t>B50054</w:t>
      </w:r>
      <w:r>
        <w:rPr>
          <w:rFonts w:hint="eastAsia" w:ascii="Times New Roman" w:hAnsi="Times New Roman" w:cs="Times New Roman"/>
          <w:color w:val="000000" w:themeColor="text1"/>
          <w:sz w:val="24"/>
          <w:szCs w:val="24"/>
          <w:highlight w:val="none"/>
          <w14:textFill>
            <w14:solidFill>
              <w14:schemeClr w14:val="tx1"/>
            </w14:solidFill>
          </w14:textFill>
        </w:rPr>
        <w:t>、《供配电系统设计规范》</w:t>
      </w:r>
      <w:r>
        <w:rPr>
          <w:rFonts w:ascii="Times New Roman" w:hAnsi="Times New Roman" w:cs="Times New Roman"/>
          <w:color w:val="000000" w:themeColor="text1"/>
          <w:sz w:val="24"/>
          <w:szCs w:val="24"/>
          <w:highlight w:val="none"/>
          <w14:textFill>
            <w14:solidFill>
              <w14:schemeClr w14:val="tx1"/>
            </w14:solidFill>
          </w14:textFill>
        </w:rPr>
        <w:t>GB 50052</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建筑物防雷设计规范</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G</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50057</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建筑物电子信息系统防雷技术规范》</w:t>
      </w:r>
      <w:r>
        <w:rPr>
          <w:rFonts w:hint="eastAsia" w:ascii="Times New Roman" w:hAnsi="Times New Roman" w:cs="Times New Roman"/>
          <w:color w:val="000000" w:themeColor="text1"/>
          <w:sz w:val="24"/>
          <w:szCs w:val="24"/>
          <w:highlight w:val="none"/>
          <w14:textFill>
            <w14:solidFill>
              <w14:schemeClr w14:val="tx1"/>
            </w14:solidFill>
          </w14:textFill>
        </w:rPr>
        <w:t>G</w:t>
      </w:r>
      <w:r>
        <w:rPr>
          <w:rFonts w:ascii="Times New Roman" w:hAnsi="Times New Roman" w:cs="Times New Roman"/>
          <w:color w:val="000000" w:themeColor="text1"/>
          <w:sz w:val="24"/>
          <w:szCs w:val="24"/>
          <w:highlight w:val="none"/>
          <w14:textFill>
            <w14:solidFill>
              <w14:schemeClr w14:val="tx1"/>
            </w14:solidFill>
          </w14:textFill>
        </w:rPr>
        <w:t>B50343</w:t>
      </w:r>
      <w:r>
        <w:rPr>
          <w:rFonts w:hint="eastAsia" w:ascii="Times New Roman" w:hAnsi="Times New Roman" w:cs="Times New Roman"/>
          <w:color w:val="000000" w:themeColor="text1"/>
          <w:sz w:val="24"/>
          <w:szCs w:val="24"/>
          <w:highlight w:val="none"/>
          <w14:textFill>
            <w14:solidFill>
              <w14:schemeClr w14:val="tx1"/>
            </w14:solidFill>
          </w14:textFill>
        </w:rPr>
        <w:t>、《建筑照明设计标准》</w:t>
      </w:r>
      <w:r>
        <w:rPr>
          <w:rFonts w:ascii="Times New Roman" w:hAnsi="Times New Roman" w:cs="Times New Roman"/>
          <w:color w:val="000000" w:themeColor="text1"/>
          <w:sz w:val="24"/>
          <w:szCs w:val="24"/>
          <w:highlight w:val="none"/>
          <w14:textFill>
            <w14:solidFill>
              <w14:schemeClr w14:val="tx1"/>
            </w14:solidFill>
          </w14:textFill>
        </w:rPr>
        <w:t>GB50034</w:t>
      </w:r>
      <w:r>
        <w:rPr>
          <w:rFonts w:hint="eastAsia" w:ascii="Times New Roman" w:hAnsi="Times New Roman" w:cs="Times New Roman"/>
          <w:color w:val="000000" w:themeColor="text1"/>
          <w:sz w:val="24"/>
          <w:szCs w:val="24"/>
          <w:highlight w:val="none"/>
          <w14:textFill>
            <w14:solidFill>
              <w14:schemeClr w14:val="tx1"/>
            </w14:solidFill>
          </w14:textFill>
        </w:rPr>
        <w:t>和《</w:t>
      </w:r>
      <w:r>
        <w:rPr>
          <w:rFonts w:hint="eastAsia" w:ascii="Times New Roman" w:hAnsi="Times New Roman" w:cs="Times New Roman"/>
          <w:color w:val="000000" w:themeColor="text1"/>
          <w:sz w:val="24"/>
          <w:szCs w:val="24"/>
          <w:highlight w:val="none"/>
          <w14:textFill>
            <w14:solidFill>
              <w14:schemeClr w14:val="tx1"/>
            </w14:solidFill>
          </w14:textFill>
        </w:rPr>
        <w:t>智能建筑设计标准》</w:t>
      </w:r>
      <w:r>
        <w:rPr>
          <w:rFonts w:hint="eastAsia" w:ascii="Times New Roman" w:hAnsi="Times New Roman" w:cs="Times New Roman"/>
          <w:color w:val="000000" w:themeColor="text1"/>
          <w:sz w:val="24"/>
          <w:szCs w:val="24"/>
          <w:highlight w:val="none"/>
          <w14:textFill>
            <w14:solidFill>
              <w14:schemeClr w14:val="tx1"/>
            </w14:solidFill>
          </w14:textFill>
        </w:rPr>
        <w:t>G</w:t>
      </w:r>
      <w:r>
        <w:rPr>
          <w:rFonts w:ascii="Times New Roman" w:hAnsi="Times New Roman" w:cs="Times New Roman"/>
          <w:color w:val="000000" w:themeColor="text1"/>
          <w:sz w:val="24"/>
          <w:szCs w:val="24"/>
          <w:highlight w:val="none"/>
          <w14:textFill>
            <w14:solidFill>
              <w14:schemeClr w14:val="tx1"/>
            </w14:solidFill>
          </w14:textFill>
        </w:rPr>
        <w:t>B50314</w:t>
      </w:r>
      <w:r>
        <w:rPr>
          <w:rFonts w:hint="eastAsia" w:ascii="Times New Roman" w:hAnsi="Times New Roman" w:cs="Times New Roman"/>
          <w:color w:val="000000" w:themeColor="text1"/>
          <w:sz w:val="24"/>
          <w:szCs w:val="24"/>
          <w:highlight w:val="none"/>
          <w14:textFill>
            <w14:solidFill>
              <w14:schemeClr w14:val="tx1"/>
            </w14:solidFill>
          </w14:textFill>
        </w:rPr>
        <w:t>的规定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压缩空气系统设计除</w:t>
      </w:r>
      <w:r>
        <w:rPr>
          <w:rFonts w:ascii="Times New Roman" w:hAnsi="Times New Roman" w:cs="Times New Roman"/>
          <w:color w:val="000000" w:themeColor="text1"/>
          <w:sz w:val="24"/>
          <w:szCs w:val="24"/>
          <w:highlight w:val="none"/>
          <w14:textFill>
            <w14:solidFill>
              <w14:schemeClr w14:val="tx1"/>
            </w14:solidFill>
          </w14:textFill>
        </w:rPr>
        <w:t>应按</w:t>
      </w:r>
      <w:r>
        <w:rPr>
          <w:rFonts w:hint="eastAsia" w:ascii="Times New Roman" w:hAnsi="Times New Roman" w:cs="Times New Roman"/>
          <w:color w:val="000000" w:themeColor="text1"/>
          <w:sz w:val="24"/>
          <w:szCs w:val="24"/>
          <w:highlight w:val="none"/>
          <w14:textFill>
            <w14:solidFill>
              <w14:schemeClr w14:val="tx1"/>
            </w14:solidFill>
          </w14:textFill>
        </w:rPr>
        <w:t>本规程的规定执行外，尚应符合</w:t>
      </w:r>
      <w:r>
        <w:rPr>
          <w:rFonts w:ascii="Times New Roman" w:hAnsi="Times New Roman" w:cs="Times New Roman"/>
          <w:color w:val="000000" w:themeColor="text1"/>
          <w:sz w:val="24"/>
          <w:szCs w:val="24"/>
          <w:highlight w:val="none"/>
          <w14:textFill>
            <w14:solidFill>
              <w14:schemeClr w14:val="tx1"/>
            </w14:solidFill>
          </w14:textFill>
        </w:rPr>
        <w:t>现行国家标准</w:t>
      </w:r>
      <w:r>
        <w:rPr>
          <w:rFonts w:hint="eastAsia" w:ascii="Times New Roman" w:hAnsi="Times New Roman" w:cs="Times New Roman"/>
          <w:color w:val="000000" w:themeColor="text1"/>
          <w:sz w:val="24"/>
          <w:szCs w:val="24"/>
          <w:highlight w:val="none"/>
          <w14:textFill>
            <w14:solidFill>
              <w14:schemeClr w14:val="tx1"/>
            </w14:solidFill>
          </w14:textFill>
        </w:rPr>
        <w:t>《压缩空气站设计规范》</w:t>
      </w:r>
      <w:r>
        <w:rPr>
          <w:rFonts w:ascii="Times New Roman" w:hAnsi="Times New Roman" w:cs="Times New Roman"/>
          <w:color w:val="000000" w:themeColor="text1"/>
          <w:sz w:val="24"/>
          <w:szCs w:val="24"/>
          <w:highlight w:val="none"/>
          <w14:textFill>
            <w14:solidFill>
              <w14:schemeClr w14:val="tx1"/>
            </w14:solidFill>
          </w14:textFill>
        </w:rPr>
        <w:t>GB50029</w:t>
      </w:r>
      <w:r>
        <w:rPr>
          <w:rFonts w:hint="eastAsia" w:ascii="Times New Roman" w:hAnsi="Times New Roman" w:cs="Times New Roman"/>
          <w:color w:val="000000" w:themeColor="text1"/>
          <w:sz w:val="24"/>
          <w:szCs w:val="24"/>
          <w:highlight w:val="none"/>
          <w14:textFill>
            <w14:solidFill>
              <w14:schemeClr w14:val="tx1"/>
            </w14:solidFill>
          </w14:textFill>
        </w:rPr>
        <w:t>的规定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消防、安防设计应严格遵照《建筑设计防火规范》</w:t>
      </w:r>
      <w:r>
        <w:rPr>
          <w:rFonts w:ascii="Times New Roman" w:hAnsi="Times New Roman" w:cs="Times New Roman"/>
          <w:color w:val="000000" w:themeColor="text1"/>
          <w:sz w:val="24"/>
          <w:szCs w:val="24"/>
          <w:highlight w:val="none"/>
          <w14:textFill>
            <w14:solidFill>
              <w14:schemeClr w14:val="tx1"/>
            </w14:solidFill>
          </w14:textFill>
        </w:rPr>
        <w:t>GB50016</w:t>
      </w:r>
      <w:r>
        <w:rPr>
          <w:rFonts w:hint="eastAsia" w:ascii="Times New Roman" w:hAnsi="Times New Roman" w:cs="Times New Roman"/>
          <w:color w:val="000000" w:themeColor="text1"/>
          <w:sz w:val="24"/>
          <w:szCs w:val="24"/>
          <w:highlight w:val="none"/>
          <w14:textFill>
            <w14:solidFill>
              <w14:schemeClr w14:val="tx1"/>
            </w14:solidFill>
          </w14:textFill>
        </w:rPr>
        <w:t>、《自动喷水灭火系统设计规范》</w:t>
      </w:r>
      <w:r>
        <w:rPr>
          <w:rFonts w:ascii="Times New Roman" w:hAnsi="Times New Roman" w:cs="Times New Roman"/>
          <w:color w:val="000000" w:themeColor="text1"/>
          <w:sz w:val="24"/>
          <w:szCs w:val="24"/>
          <w:highlight w:val="none"/>
          <w14:textFill>
            <w14:solidFill>
              <w14:schemeClr w14:val="tx1"/>
            </w14:solidFill>
          </w14:textFill>
        </w:rPr>
        <w:t>GB 50084</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建筑内部装修设计防火规范》</w:t>
      </w:r>
      <w:r>
        <w:rPr>
          <w:rFonts w:hint="eastAsia" w:ascii="Times New Roman" w:hAnsi="Times New Roman" w:cs="Times New Roman"/>
          <w:color w:val="000000" w:themeColor="text1"/>
          <w:sz w:val="24"/>
          <w:szCs w:val="24"/>
          <w:highlight w:val="none"/>
          <w14:textFill>
            <w14:solidFill>
              <w14:schemeClr w14:val="tx1"/>
            </w14:solidFill>
          </w14:textFill>
        </w:rPr>
        <w:t>G</w:t>
      </w:r>
      <w:r>
        <w:rPr>
          <w:rFonts w:ascii="Times New Roman" w:hAnsi="Times New Roman" w:cs="Times New Roman"/>
          <w:color w:val="000000" w:themeColor="text1"/>
          <w:sz w:val="24"/>
          <w:szCs w:val="24"/>
          <w:highlight w:val="none"/>
          <w14:textFill>
            <w14:solidFill>
              <w14:schemeClr w14:val="tx1"/>
            </w14:solidFill>
          </w14:textFill>
        </w:rPr>
        <w:t>B50222</w:t>
      </w:r>
      <w:r>
        <w:rPr>
          <w:rFonts w:hint="eastAsia" w:ascii="Times New Roman" w:hAnsi="Times New Roman" w:cs="Times New Roman"/>
          <w:color w:val="000000" w:themeColor="text1"/>
          <w:sz w:val="24"/>
          <w:szCs w:val="24"/>
          <w:highlight w:val="none"/>
          <w14:textFill>
            <w14:solidFill>
              <w14:schemeClr w14:val="tx1"/>
            </w14:solidFill>
          </w14:textFill>
        </w:rPr>
        <w:t>和《</w:t>
      </w:r>
      <w:r>
        <w:rPr>
          <w:rFonts w:hint="eastAsia" w:ascii="Times New Roman" w:hAnsi="Times New Roman" w:cs="Times New Roman"/>
          <w:color w:val="000000" w:themeColor="text1"/>
          <w:sz w:val="24"/>
          <w:szCs w:val="24"/>
          <w:highlight w:val="none"/>
          <w14:textFill>
            <w14:solidFill>
              <w14:schemeClr w14:val="tx1"/>
            </w14:solidFill>
          </w14:textFill>
        </w:rPr>
        <w:t>安全防范工程技术标准》</w:t>
      </w:r>
      <w:r>
        <w:rPr>
          <w:rFonts w:hint="eastAsia" w:ascii="Times New Roman" w:hAnsi="Times New Roman" w:cs="Times New Roman"/>
          <w:color w:val="000000" w:themeColor="text1"/>
          <w:sz w:val="24"/>
          <w:szCs w:val="24"/>
          <w:highlight w:val="none"/>
          <w14:textFill>
            <w14:solidFill>
              <w14:schemeClr w14:val="tx1"/>
            </w14:solidFill>
          </w14:textFill>
        </w:rPr>
        <w:t>G</w:t>
      </w:r>
      <w:r>
        <w:rPr>
          <w:rFonts w:ascii="Times New Roman" w:hAnsi="Times New Roman" w:cs="Times New Roman"/>
          <w:color w:val="000000" w:themeColor="text1"/>
          <w:sz w:val="24"/>
          <w:szCs w:val="24"/>
          <w:highlight w:val="none"/>
          <w14:textFill>
            <w14:solidFill>
              <w14:schemeClr w14:val="tx1"/>
            </w14:solidFill>
          </w14:textFill>
        </w:rPr>
        <w:t>B50348</w:t>
      </w:r>
      <w:r>
        <w:rPr>
          <w:rFonts w:hint="eastAsia" w:ascii="Times New Roman" w:hAnsi="Times New Roman" w:cs="Times New Roman"/>
          <w:color w:val="000000" w:themeColor="text1"/>
          <w:sz w:val="24"/>
          <w:szCs w:val="24"/>
          <w:highlight w:val="none"/>
          <w14:textFill>
            <w14:solidFill>
              <w14:schemeClr w14:val="tx1"/>
            </w14:solidFill>
          </w14:textFill>
        </w:rPr>
        <w:t>相关规定，不能用水的部位宜采用预作用喷淋系统或气体灭火系统</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空气净化设计应符合现行的《洁净厂房设计规定》</w:t>
      </w:r>
      <w:r>
        <w:rPr>
          <w:rFonts w:ascii="Times New Roman" w:hAnsi="Times New Roman" w:cs="Times New Roman"/>
          <w:color w:val="000000" w:themeColor="text1"/>
          <w:sz w:val="24"/>
          <w:szCs w:val="24"/>
          <w:highlight w:val="none"/>
          <w14:textFill>
            <w14:solidFill>
              <w14:schemeClr w14:val="tx1"/>
            </w14:solidFill>
          </w14:textFill>
        </w:rPr>
        <w:t>GB50073</w:t>
      </w:r>
      <w:r>
        <w:rPr>
          <w:rFonts w:hint="eastAsia" w:ascii="Times New Roman" w:hAnsi="Times New Roman" w:cs="Times New Roman"/>
          <w:color w:val="000000" w:themeColor="text1"/>
          <w:sz w:val="24"/>
          <w:szCs w:val="24"/>
          <w:highlight w:val="none"/>
          <w14:textFill>
            <w14:solidFill>
              <w14:schemeClr w14:val="tx1"/>
            </w14:solidFill>
          </w14:textFill>
        </w:rPr>
        <w:t>的规定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节能设计应遵照《公共建筑节能设计标准》</w:t>
      </w:r>
      <w:r>
        <w:rPr>
          <w:rFonts w:ascii="Times New Roman" w:hAnsi="Times New Roman" w:cs="Times New Roman"/>
          <w:color w:val="000000" w:themeColor="text1"/>
          <w:sz w:val="24"/>
          <w:szCs w:val="24"/>
          <w:highlight w:val="none"/>
          <w14:textFill>
            <w14:solidFill>
              <w14:schemeClr w14:val="tx1"/>
            </w14:solidFill>
          </w14:textFill>
        </w:rPr>
        <w:t>GB50189</w:t>
      </w:r>
      <w:r>
        <w:rPr>
          <w:rFonts w:hint="eastAsia" w:ascii="Times New Roman" w:hAnsi="Times New Roman" w:cs="Times New Roman"/>
          <w:color w:val="000000" w:themeColor="text1"/>
          <w:sz w:val="24"/>
          <w:szCs w:val="24"/>
          <w:highlight w:val="none"/>
          <w14:textFill>
            <w14:solidFill>
              <w14:schemeClr w14:val="tx1"/>
            </w14:solidFill>
          </w14:textFill>
        </w:rPr>
        <w:t>的规定，满足相关节能要求</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按标准单元设计的实验用房，其公用系统也应按标准单元组合设计</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对温度、湿度控制较为严格的实验室宜采用集中全空气恒温恒湿空调系统，实验室外围应采取严格的温度控制措施</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实验室区域精密空调布置及管道系统方案应严格执行控温、消音降噪、减振和气流扰动等特殊技术措施</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实验室内宜设置温度湿度等受控环境智能监控系统，宜通过监控屏幕实时监测、数字显示实验室受控环境状态，并应与设定值实时比较判断能否允许开展检测校准工作</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实验室用电负荷宜按</w:t>
      </w:r>
      <w:r>
        <w:rPr>
          <w:rFonts w:ascii="Times New Roman" w:hAnsi="Times New Roman" w:cs="Times New Roman"/>
          <w:color w:val="000000" w:themeColor="text1"/>
          <w:sz w:val="24"/>
          <w:szCs w:val="24"/>
          <w:highlight w:val="none"/>
          <w14:textFill>
            <w14:solidFill>
              <w14:schemeClr w14:val="tx1"/>
            </w14:solidFill>
          </w14:textFill>
        </w:rPr>
        <w:t>200W/m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~250W/m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设计，并宜留有一定的扩容空间</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实验室的实验用电应由专用的变压器供电，其中灵敏实验设备应由单独变压器供电</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实验室供配电系统宜配置电源管理系统（</w:t>
      </w:r>
      <w:r>
        <w:rPr>
          <w:rFonts w:ascii="Times New Roman" w:hAnsi="Times New Roman" w:cs="Times New Roman"/>
          <w:color w:val="000000" w:themeColor="text1"/>
          <w:sz w:val="24"/>
          <w:szCs w:val="24"/>
          <w:highlight w:val="none"/>
          <w14:textFill>
            <w14:solidFill>
              <w14:schemeClr w14:val="tx1"/>
            </w14:solidFill>
          </w14:textFill>
        </w:rPr>
        <w:t>EMS</w:t>
      </w:r>
      <w:r>
        <w:rPr>
          <w:rFonts w:hint="eastAsia" w:ascii="Times New Roman" w:hAnsi="Times New Roman" w:cs="Times New Roman"/>
          <w:color w:val="000000" w:themeColor="text1"/>
          <w:sz w:val="24"/>
          <w:szCs w:val="24"/>
          <w:highlight w:val="none"/>
          <w14:textFill>
            <w14:solidFill>
              <w14:schemeClr w14:val="tx1"/>
            </w14:solidFill>
          </w14:textFill>
        </w:rPr>
        <w:t>），并应能实现分类计量</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实验室电源宜采用洁净电源，精密设备应远离电磁干扰源，经测试不满足要求时，应采取电磁屏蔽隔离措施</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实验室实验区域的照度宜取</w:t>
      </w:r>
      <w:r>
        <w:rPr>
          <w:rFonts w:ascii="Times New Roman" w:hAnsi="Times New Roman" w:cs="Times New Roman"/>
          <w:color w:val="000000" w:themeColor="text1"/>
          <w:sz w:val="24"/>
          <w:szCs w:val="24"/>
          <w:highlight w:val="none"/>
          <w14:textFill>
            <w14:solidFill>
              <w14:schemeClr w14:val="tx1"/>
            </w14:solidFill>
          </w14:textFill>
        </w:rPr>
        <w:t>300</w:t>
      </w:r>
      <w:r>
        <w:rPr>
          <w:rFonts w:hint="eastAsia" w:ascii="Times New Roman" w:hAnsi="Times New Roman" w:cs="Times New Roman"/>
          <w:color w:val="000000" w:themeColor="text1"/>
          <w:sz w:val="24"/>
          <w:szCs w:val="24"/>
          <w:highlight w:val="none"/>
          <w14:textFill>
            <w14:solidFill>
              <w14:schemeClr w14:val="tx1"/>
            </w14:solidFill>
          </w14:textFill>
        </w:rPr>
        <w:t xml:space="preserve"> l</w:t>
      </w:r>
      <w:r>
        <w:rPr>
          <w:rFonts w:ascii="Times New Roman" w:hAnsi="Times New Roman" w:cs="Times New Roman"/>
          <w:color w:val="000000" w:themeColor="text1"/>
          <w:sz w:val="24"/>
          <w:szCs w:val="24"/>
          <w:highlight w:val="none"/>
          <w14:textFill>
            <w14:solidFill>
              <w14:schemeClr w14:val="tx1"/>
            </w14:solidFill>
          </w14:textFill>
        </w:rPr>
        <w:t xml:space="preserve">x ~700 </w:t>
      </w:r>
      <w:r>
        <w:rPr>
          <w:rFonts w:hint="eastAsia" w:ascii="Times New Roman" w:hAnsi="Times New Roman" w:cs="Times New Roman"/>
          <w:color w:val="000000" w:themeColor="text1"/>
          <w:sz w:val="24"/>
          <w:szCs w:val="24"/>
          <w:highlight w:val="none"/>
          <w14:textFill>
            <w14:solidFill>
              <w14:schemeClr w14:val="tx1"/>
            </w14:solidFill>
          </w14:textFill>
        </w:rPr>
        <w:t>l</w:t>
      </w:r>
      <w:r>
        <w:rPr>
          <w:rFonts w:ascii="Times New Roman" w:hAnsi="Times New Roman" w:cs="Times New Roman"/>
          <w:color w:val="000000" w:themeColor="text1"/>
          <w:sz w:val="24"/>
          <w:szCs w:val="24"/>
          <w:highlight w:val="none"/>
          <w14:textFill>
            <w14:solidFill>
              <w14:schemeClr w14:val="tx1"/>
            </w14:solidFill>
          </w14:textFill>
        </w:rPr>
        <w:t>x</w:t>
      </w:r>
      <w:r>
        <w:rPr>
          <w:rFonts w:hint="eastAsia" w:ascii="Times New Roman" w:hAnsi="Times New Roman" w:cs="Times New Roman"/>
          <w:color w:val="000000" w:themeColor="text1"/>
          <w:sz w:val="24"/>
          <w:szCs w:val="24"/>
          <w:highlight w:val="none"/>
          <w14:textFill>
            <w14:solidFill>
              <w14:schemeClr w14:val="tx1"/>
            </w14:solidFill>
          </w14:textFill>
        </w:rPr>
        <w:t>，照明功率密度宜取</w:t>
      </w:r>
      <w:r>
        <w:rPr>
          <w:rFonts w:ascii="Times New Roman" w:hAnsi="Times New Roman" w:cs="Times New Roman"/>
          <w:color w:val="000000" w:themeColor="text1"/>
          <w:sz w:val="24"/>
          <w:szCs w:val="24"/>
          <w:highlight w:val="none"/>
          <w14:textFill>
            <w14:solidFill>
              <w14:schemeClr w14:val="tx1"/>
            </w14:solidFill>
          </w14:textFill>
        </w:rPr>
        <w:t>11 W/m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~18W/m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实验室的敏感设备仪器工作接地应和楼宇其他接地系统隔离，接地电阻值按实验仪器设备的具体要求确定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实验室的弱电系统设计应综合考虑综合布线系统、安全防范系统、有线电视系统、公共广播系统、会议系统、火灾自动报警及消防联动系统、建筑能耗测评系统等</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较大型或较为集中布置的几何量测量实验室，宜设置空压站，压缩空气应集中供应</w:t>
      </w:r>
      <w:r>
        <w:rPr>
          <w:rFonts w:ascii="Times New Roman" w:hAnsi="Times New Roman" w:cs="Times New Roman"/>
          <w:color w:val="000000" w:themeColor="text1"/>
          <w:sz w:val="24"/>
          <w:szCs w:val="24"/>
          <w:highlight w:val="none"/>
          <w14:textFill>
            <w14:solidFill>
              <w14:schemeClr w14:val="tx1"/>
            </w14:solidFill>
          </w14:textFill>
        </w:rPr>
        <w:t>。</w:t>
      </w:r>
    </w:p>
    <w:p>
      <w:pPr>
        <w:pStyle w:val="3"/>
        <w:numPr>
          <w:ilvl w:val="1"/>
          <w:numId w:val="38"/>
        </w:numPr>
        <w:spacing w:before="156" w:beforeLines="50" w:line="360" w:lineRule="auto"/>
        <w:ind w:left="0" w:firstLine="0"/>
        <w:jc w:val="center"/>
        <w:rPr>
          <w:rFonts w:ascii="黑体" w:hAnsi="黑体" w:eastAsia="黑体"/>
          <w:b w:val="0"/>
          <w:bCs w:val="0"/>
          <w:color w:val="000000" w:themeColor="text1"/>
          <w:sz w:val="28"/>
          <w:szCs w:val="28"/>
          <w:highlight w:val="none"/>
          <w14:textFill>
            <w14:solidFill>
              <w14:schemeClr w14:val="tx1"/>
            </w14:solidFill>
          </w14:textFill>
        </w:rPr>
      </w:pPr>
      <w:bookmarkStart w:id="50" w:name="_Toc44847192"/>
      <w:r>
        <w:rPr>
          <w:rFonts w:ascii="黑体" w:hAnsi="黑体" w:eastAsia="黑体"/>
          <w:b w:val="0"/>
          <w:bCs w:val="0"/>
          <w:color w:val="000000" w:themeColor="text1"/>
          <w:sz w:val="28"/>
          <w:szCs w:val="28"/>
          <w:highlight w:val="none"/>
          <w14:textFill>
            <w14:solidFill>
              <w14:schemeClr w14:val="tx1"/>
            </w14:solidFill>
          </w14:textFill>
        </w:rPr>
        <w:t>实验室辅助设计</w:t>
      </w:r>
      <w:bookmarkEnd w:id="50"/>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实验台架布局应合理配置，优化整合，协调搭配</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实验台架宜采用岛形、半岛型、</w:t>
      </w:r>
      <w:r>
        <w:rPr>
          <w:rFonts w:ascii="Times New Roman" w:hAnsi="Times New Roman" w:cs="Times New Roman"/>
          <w:color w:val="000000" w:themeColor="text1"/>
          <w:sz w:val="24"/>
          <w:szCs w:val="24"/>
          <w:highlight w:val="none"/>
          <w14:textFill>
            <w14:solidFill>
              <w14:schemeClr w14:val="tx1"/>
            </w14:solidFill>
          </w14:textFill>
        </w:rPr>
        <w:t>U</w:t>
      </w:r>
      <w:r>
        <w:rPr>
          <w:rFonts w:hint="eastAsia" w:ascii="Times New Roman" w:hAnsi="Times New Roman" w:cs="Times New Roman"/>
          <w:color w:val="000000" w:themeColor="text1"/>
          <w:sz w:val="24"/>
          <w:szCs w:val="24"/>
          <w:highlight w:val="none"/>
          <w14:textFill>
            <w14:solidFill>
              <w14:schemeClr w14:val="tx1"/>
            </w14:solidFill>
          </w14:textFill>
        </w:rPr>
        <w:t>型、一字形、</w:t>
      </w:r>
      <w:r>
        <w:rPr>
          <w:rFonts w:ascii="Times New Roman" w:hAnsi="Times New Roman" w:cs="Times New Roman"/>
          <w:color w:val="000000" w:themeColor="text1"/>
          <w:sz w:val="24"/>
          <w:szCs w:val="24"/>
          <w:highlight w:val="none"/>
          <w14:textFill>
            <w14:solidFill>
              <w14:schemeClr w14:val="tx1"/>
            </w14:solidFill>
          </w14:textFill>
        </w:rPr>
        <w:t>L</w:t>
      </w:r>
      <w:r>
        <w:rPr>
          <w:rFonts w:hint="eastAsia" w:ascii="Times New Roman" w:hAnsi="Times New Roman" w:cs="Times New Roman"/>
          <w:color w:val="000000" w:themeColor="text1"/>
          <w:sz w:val="24"/>
          <w:szCs w:val="24"/>
          <w:highlight w:val="none"/>
          <w14:textFill>
            <w14:solidFill>
              <w14:schemeClr w14:val="tx1"/>
            </w14:solidFill>
          </w14:textFill>
        </w:rPr>
        <w:t>型等布局，应依据实验室标准单元大小和个数或实验室空间尺寸确定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实验台柜材料和尺寸规格的选择宜根据实验设备放置的安全性和特殊性的要求确定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实验室内对各种可燃、高压、带电等危险管线、柜体和区域应进行标识，宜标识出危险程度</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通风、空调、给水、排水、纯水、采暖、消防、电气、各类特殊其他等各类管线（槽）宜用不同颜色区分，并应标注流向和类别</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在走廊和非洁净房间内，宜预留能够悬挂和张贴宣传或展示科技成果等材料的区域，并应在结构墙体或预制壁板内提前预埋挂件</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在满足功能需求和人员、实验的安全性等基本要求基础上，宜全面提高实验室环境的品位</w:t>
      </w:r>
      <w:r>
        <w:rPr>
          <w:rFonts w:ascii="Times New Roman" w:hAnsi="Times New Roman" w:cs="Times New Roman"/>
          <w:color w:val="000000" w:themeColor="text1"/>
          <w:sz w:val="24"/>
          <w:szCs w:val="24"/>
          <w:highlight w:val="none"/>
          <w14:textFill>
            <w14:solidFill>
              <w14:schemeClr w14:val="tx1"/>
            </w14:solidFill>
          </w14:textFill>
        </w:rPr>
        <w:t>。</w:t>
      </w: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pStyle w:val="82"/>
        <w:numPr>
          <w:ilvl w:val="2"/>
          <w:numId w:val="38"/>
        </w:numPr>
        <w:spacing w:line="360" w:lineRule="auto"/>
        <w:ind w:left="496" w:hanging="495" w:hangingChars="177"/>
        <w:jc w:val="left"/>
        <w:rPr>
          <w:rFonts w:ascii="Times New Roman" w:hAnsi="Times New Roman" w:eastAsia="黑体" w:cs="Times New Roman"/>
          <w:color w:val="000000" w:themeColor="text1"/>
          <w:sz w:val="28"/>
          <w:szCs w:val="28"/>
          <w:highlight w:val="none"/>
          <w14:textFill>
            <w14:solidFill>
              <w14:schemeClr w14:val="tx1"/>
            </w14:solidFill>
          </w14:textFill>
        </w:rPr>
      </w:pPr>
      <w:r>
        <w:rPr>
          <w:rFonts w:ascii="Times New Roman" w:hAnsi="Times New Roman" w:eastAsia="黑体" w:cs="Times New Roman"/>
          <w:color w:val="000000" w:themeColor="text1"/>
          <w:sz w:val="28"/>
          <w:szCs w:val="28"/>
          <w:highlight w:val="none"/>
          <w14:textFill>
            <w14:solidFill>
              <w14:schemeClr w14:val="tx1"/>
            </w14:solidFill>
          </w14:textFill>
        </w:rPr>
        <w:br w:type="page"/>
      </w:r>
    </w:p>
    <w:p>
      <w:pPr>
        <w:pStyle w:val="205"/>
        <w:rPr>
          <w:highlight w:val="none"/>
        </w:rPr>
      </w:pPr>
      <w:bookmarkStart w:id="51" w:name="_Toc44847193"/>
      <w:r>
        <w:rPr>
          <w:highlight w:val="none"/>
        </w:rPr>
        <w:t>施工与调试</w:t>
      </w:r>
      <w:bookmarkEnd w:id="51"/>
    </w:p>
    <w:p>
      <w:pPr>
        <w:pStyle w:val="90"/>
        <w:keepNext/>
        <w:keepLines/>
        <w:numPr>
          <w:ilvl w:val="0"/>
          <w:numId w:val="38"/>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52" w:name="_Toc36625986"/>
      <w:bookmarkEnd w:id="52"/>
      <w:bookmarkStart w:id="53" w:name="_Toc36633720"/>
      <w:bookmarkEnd w:id="53"/>
      <w:bookmarkStart w:id="54" w:name="_Toc44847194"/>
      <w:bookmarkEnd w:id="54"/>
      <w:bookmarkStart w:id="55" w:name="_Toc36633611"/>
      <w:bookmarkEnd w:id="55"/>
    </w:p>
    <w:p>
      <w:pPr>
        <w:pStyle w:val="3"/>
        <w:numPr>
          <w:ilvl w:val="1"/>
          <w:numId w:val="38"/>
        </w:numPr>
        <w:spacing w:before="156" w:beforeLines="50" w:line="360" w:lineRule="auto"/>
        <w:ind w:left="0" w:firstLine="0"/>
        <w:jc w:val="center"/>
        <w:rPr>
          <w:rFonts w:ascii="黑体" w:hAnsi="黑体" w:eastAsia="黑体"/>
          <w:b w:val="0"/>
          <w:bCs w:val="0"/>
          <w:color w:val="000000" w:themeColor="text1"/>
          <w:sz w:val="28"/>
          <w:szCs w:val="28"/>
          <w:highlight w:val="none"/>
          <w14:textFill>
            <w14:solidFill>
              <w14:schemeClr w14:val="tx1"/>
            </w14:solidFill>
          </w14:textFill>
        </w:rPr>
      </w:pPr>
      <w:bookmarkStart w:id="56" w:name="_Toc44847195"/>
      <w:r>
        <w:rPr>
          <w:rFonts w:ascii="黑体" w:hAnsi="黑体" w:eastAsia="黑体"/>
          <w:b w:val="0"/>
          <w:bCs w:val="0"/>
          <w:color w:val="000000" w:themeColor="text1"/>
          <w:sz w:val="28"/>
          <w:szCs w:val="28"/>
          <w:highlight w:val="none"/>
          <w14:textFill>
            <w14:solidFill>
              <w14:schemeClr w14:val="tx1"/>
            </w14:solidFill>
          </w14:textFill>
        </w:rPr>
        <w:t>一般规定</w:t>
      </w:r>
      <w:bookmarkEnd w:id="56"/>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施工质量的验收除应符合本规程的规定外，尚应按批准的设计文件、合同约定的内容执行</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施工应编制施工方案，并应按规定的程序进行，各施工程序完成后均应进行记录，验收合格后方可进行下道工序施工</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施工完成后，应进行单机试运转和系统的联合试运转及调试，竣工验收的系统调试应由施工单位负责，监理单位监督，设计单位与建设单位参与和配合</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系统调试前应编制调试方案，并应报送专业监理工程师审核批准。系统调试应由专业施工和技术人员实施，调试结束后，应提供完整的调试资料和报告</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系统调试所使用的测试仪器应在使用合格检定或校准合格有效期内，精度等级及最小分度值应能满足工程性能测定的要求</w:t>
      </w:r>
      <w:r>
        <w:rPr>
          <w:rFonts w:ascii="Times New Roman" w:hAnsi="Times New Roman" w:cs="Times New Roman"/>
          <w:color w:val="000000" w:themeColor="text1"/>
          <w:sz w:val="24"/>
          <w:szCs w:val="24"/>
          <w:highlight w:val="none"/>
          <w14:textFill>
            <w14:solidFill>
              <w14:schemeClr w14:val="tx1"/>
            </w14:solidFill>
          </w14:textFill>
        </w:rPr>
        <w:t>。</w:t>
      </w:r>
    </w:p>
    <w:p>
      <w:pPr>
        <w:pStyle w:val="3"/>
        <w:numPr>
          <w:ilvl w:val="1"/>
          <w:numId w:val="38"/>
        </w:numPr>
        <w:spacing w:before="156" w:beforeLines="50" w:line="360" w:lineRule="auto"/>
        <w:ind w:left="0" w:firstLine="0"/>
        <w:jc w:val="center"/>
        <w:rPr>
          <w:rFonts w:ascii="黑体" w:hAnsi="黑体" w:eastAsia="黑体"/>
          <w:b w:val="0"/>
          <w:bCs w:val="0"/>
          <w:color w:val="000000" w:themeColor="text1"/>
          <w:sz w:val="28"/>
          <w:szCs w:val="28"/>
          <w:highlight w:val="none"/>
          <w14:textFill>
            <w14:solidFill>
              <w14:schemeClr w14:val="tx1"/>
            </w14:solidFill>
          </w14:textFill>
        </w:rPr>
      </w:pPr>
      <w:bookmarkStart w:id="57" w:name="_Toc44847196"/>
      <w:r>
        <w:rPr>
          <w:rFonts w:ascii="黑体" w:hAnsi="黑体" w:eastAsia="黑体"/>
          <w:b w:val="0"/>
          <w:bCs w:val="0"/>
          <w:color w:val="000000" w:themeColor="text1"/>
          <w:sz w:val="28"/>
          <w:szCs w:val="28"/>
          <w:highlight w:val="none"/>
          <w14:textFill>
            <w14:solidFill>
              <w14:schemeClr w14:val="tx1"/>
            </w14:solidFill>
          </w14:textFill>
        </w:rPr>
        <w:t>施工要求</w:t>
      </w:r>
      <w:bookmarkEnd w:id="57"/>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有大型实验装备的实验室，应在施工图中明确设备安装位置、预留的基坑位置、深度、尺寸；设计说明应对需要提前进行吊装安装的设备做出详细说明</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38"/>
        </w:numPr>
        <w:spacing w:line="360" w:lineRule="auto"/>
        <w:ind w:left="-1" w:leftChars="-1" w:hanging="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实验室围护结构的施工应符合下列规定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42"/>
        </w:numPr>
        <w:tabs>
          <w:tab w:val="left" w:pos="851"/>
        </w:tabs>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吊顶及墙体板材的导热系数、厚度应满足设计要求；</w:t>
      </w:r>
    </w:p>
    <w:p>
      <w:pPr>
        <w:pStyle w:val="90"/>
        <w:numPr>
          <w:ilvl w:val="0"/>
          <w:numId w:val="42"/>
        </w:numPr>
        <w:tabs>
          <w:tab w:val="left" w:pos="851"/>
        </w:tabs>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吊顶及墙体板材的缝隙、构造节点应可靠密封，并应进行断冷桥处理；</w:t>
      </w:r>
    </w:p>
    <w:p>
      <w:pPr>
        <w:pStyle w:val="90"/>
        <w:numPr>
          <w:ilvl w:val="0"/>
          <w:numId w:val="42"/>
        </w:numPr>
        <w:tabs>
          <w:tab w:val="left" w:pos="851"/>
        </w:tabs>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吊顶及墙体上的接线盒、控制面板和管线穿越处的各种孔洞宜提前预留；</w:t>
      </w:r>
    </w:p>
    <w:p>
      <w:pPr>
        <w:pStyle w:val="90"/>
        <w:numPr>
          <w:ilvl w:val="0"/>
          <w:numId w:val="42"/>
        </w:numPr>
        <w:tabs>
          <w:tab w:val="left" w:pos="851"/>
        </w:tabs>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需暗敷的穿线管宜提前预留；</w:t>
      </w:r>
    </w:p>
    <w:p>
      <w:pPr>
        <w:pStyle w:val="90"/>
        <w:numPr>
          <w:ilvl w:val="0"/>
          <w:numId w:val="42"/>
        </w:numPr>
        <w:tabs>
          <w:tab w:val="left" w:pos="851"/>
        </w:tabs>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实验室门窗的气密性、导热系数、玻璃遮阳系数应满足设计要求；</w:t>
      </w:r>
    </w:p>
    <w:p>
      <w:pPr>
        <w:pStyle w:val="90"/>
        <w:numPr>
          <w:ilvl w:val="0"/>
          <w:numId w:val="42"/>
        </w:numPr>
        <w:tabs>
          <w:tab w:val="left" w:pos="851"/>
        </w:tabs>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门窗框与围护结构孔洞之间的缝隙应采用弹性闭孔材料填充饱满，并可靠密封；</w:t>
      </w:r>
    </w:p>
    <w:p>
      <w:pPr>
        <w:pStyle w:val="90"/>
        <w:numPr>
          <w:ilvl w:val="0"/>
          <w:numId w:val="42"/>
        </w:numPr>
        <w:tabs>
          <w:tab w:val="left" w:pos="851"/>
        </w:tabs>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地面材料铺设前应设置保温、防潮层。进行架空地板施工时地板支架与地面基层交接处用保温材料应进行填充密闭。当有防静电要求时，材料及做法应符合现行国家标准《防静电工程施工与质量验收规范》</w:t>
      </w:r>
      <w:r>
        <w:rPr>
          <w:rFonts w:ascii="Times New Roman" w:hAnsi="Times New Roman" w:cs="Times New Roman"/>
          <w:color w:val="000000" w:themeColor="text1"/>
          <w:sz w:val="24"/>
          <w:szCs w:val="24"/>
          <w:highlight w:val="none"/>
          <w14:textFill>
            <w14:solidFill>
              <w14:schemeClr w14:val="tx1"/>
            </w14:solidFill>
          </w14:textFill>
        </w:rPr>
        <w:t>GB 50944</w:t>
      </w:r>
      <w:r>
        <w:rPr>
          <w:rFonts w:hint="eastAsia" w:ascii="Times New Roman" w:hAnsi="Times New Roman" w:cs="Times New Roman"/>
          <w:color w:val="000000" w:themeColor="text1"/>
          <w:sz w:val="24"/>
          <w:szCs w:val="24"/>
          <w:highlight w:val="none"/>
          <w14:textFill>
            <w14:solidFill>
              <w14:schemeClr w14:val="tx1"/>
            </w14:solidFill>
          </w14:textFill>
        </w:rPr>
        <w:t>的相关规定。</w:t>
      </w:r>
    </w:p>
    <w:p>
      <w:pPr>
        <w:pStyle w:val="82"/>
        <w:numPr>
          <w:ilvl w:val="2"/>
          <w:numId w:val="4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实验室通风与空调系统的施工除应符合下列规定外，尚应符合现行国家标准《通风与空调工程施工质量验收规范》</w:t>
      </w:r>
      <w:r>
        <w:rPr>
          <w:rFonts w:ascii="Times New Roman" w:hAnsi="Times New Roman" w:cs="Times New Roman"/>
          <w:color w:val="000000" w:themeColor="text1"/>
          <w:sz w:val="24"/>
          <w:szCs w:val="24"/>
          <w:highlight w:val="none"/>
          <w14:textFill>
            <w14:solidFill>
              <w14:schemeClr w14:val="tx1"/>
            </w14:solidFill>
          </w14:textFill>
        </w:rPr>
        <w:t>GB 50243</w:t>
      </w:r>
      <w:r>
        <w:rPr>
          <w:rFonts w:hint="eastAsia" w:ascii="Times New Roman" w:hAnsi="Times New Roman" w:cs="Times New Roman"/>
          <w:color w:val="000000" w:themeColor="text1"/>
          <w:sz w:val="24"/>
          <w:szCs w:val="24"/>
          <w:highlight w:val="none"/>
          <w14:textFill>
            <w14:solidFill>
              <w14:schemeClr w14:val="tx1"/>
            </w14:solidFill>
          </w14:textFill>
        </w:rPr>
        <w:t>的有关规定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44"/>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空调系统风管的材质应按工程设计文件的要求选择，工程设计无要求时，宜采用镀锌钢板，当产品生产工艺要求或环境条件必须采用非金属风管时应符合国家现行相关消防规范的规定，并应表面光滑、平整、不产尘、不形变；</w:t>
      </w:r>
    </w:p>
    <w:p>
      <w:pPr>
        <w:pStyle w:val="90"/>
        <w:numPr>
          <w:ilvl w:val="0"/>
          <w:numId w:val="44"/>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通风空调系统绝热材料的导热系数、密度、吸水率、厚度应满足设计要求；</w:t>
      </w:r>
    </w:p>
    <w:p>
      <w:pPr>
        <w:pStyle w:val="90"/>
        <w:numPr>
          <w:ilvl w:val="0"/>
          <w:numId w:val="44"/>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绝热材料穿楼板和穿墙处应连续不间断；</w:t>
      </w:r>
    </w:p>
    <w:p>
      <w:pPr>
        <w:pStyle w:val="90"/>
        <w:numPr>
          <w:ilvl w:val="0"/>
          <w:numId w:val="44"/>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风管、空调水管与金属支架的交接处应有断冷桥措施；</w:t>
      </w:r>
    </w:p>
    <w:p>
      <w:pPr>
        <w:pStyle w:val="90"/>
        <w:numPr>
          <w:ilvl w:val="0"/>
          <w:numId w:val="44"/>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风管上插入式温湿度传感器的安装应按绝热层的厚度选择支架或套管。</w:t>
      </w:r>
    </w:p>
    <w:p>
      <w:pPr>
        <w:pStyle w:val="82"/>
        <w:numPr>
          <w:ilvl w:val="2"/>
          <w:numId w:val="4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实验室电气系统的施工应符合现行国家标准《建筑电气工程施工质量验收规范》</w:t>
      </w:r>
      <w:r>
        <w:rPr>
          <w:rFonts w:ascii="Times New Roman" w:hAnsi="Times New Roman" w:cs="Times New Roman"/>
          <w:color w:val="000000" w:themeColor="text1"/>
          <w:sz w:val="24"/>
          <w:szCs w:val="24"/>
          <w:highlight w:val="none"/>
          <w14:textFill>
            <w14:solidFill>
              <w14:schemeClr w14:val="tx1"/>
            </w14:solidFill>
          </w14:textFill>
        </w:rPr>
        <w:t>GB 50303</w:t>
      </w:r>
      <w:r>
        <w:rPr>
          <w:rFonts w:hint="eastAsia" w:ascii="Times New Roman" w:hAnsi="Times New Roman" w:cs="Times New Roman"/>
          <w:color w:val="000000" w:themeColor="text1"/>
          <w:sz w:val="24"/>
          <w:szCs w:val="24"/>
          <w:highlight w:val="none"/>
          <w14:textFill>
            <w14:solidFill>
              <w14:schemeClr w14:val="tx1"/>
            </w14:solidFill>
          </w14:textFill>
        </w:rPr>
        <w:t>的有关规定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4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实验室自控系统的施工应符合现行国家标准《智能建筑工程施工规范》</w:t>
      </w:r>
      <w:r>
        <w:rPr>
          <w:rFonts w:ascii="Times New Roman" w:hAnsi="Times New Roman" w:cs="Times New Roman"/>
          <w:color w:val="000000" w:themeColor="text1"/>
          <w:sz w:val="24"/>
          <w:szCs w:val="24"/>
          <w:highlight w:val="none"/>
          <w14:textFill>
            <w14:solidFill>
              <w14:schemeClr w14:val="tx1"/>
            </w14:solidFill>
          </w14:textFill>
        </w:rPr>
        <w:t>GB 50606</w:t>
      </w:r>
      <w:r>
        <w:rPr>
          <w:rFonts w:hint="eastAsia" w:ascii="Times New Roman" w:hAnsi="Times New Roman" w:cs="Times New Roman"/>
          <w:color w:val="000000" w:themeColor="text1"/>
          <w:sz w:val="24"/>
          <w:szCs w:val="24"/>
          <w:highlight w:val="none"/>
          <w14:textFill>
            <w14:solidFill>
              <w14:schemeClr w14:val="tx1"/>
            </w14:solidFill>
          </w14:textFill>
        </w:rPr>
        <w:t>的有关规定，且温湿度传感器应安装在能真实反映输入变量的位置，并应避开风口的直吹气流</w:t>
      </w:r>
      <w:r>
        <w:rPr>
          <w:rFonts w:ascii="Times New Roman" w:hAnsi="Times New Roman" w:cs="Times New Roman"/>
          <w:color w:val="000000" w:themeColor="text1"/>
          <w:sz w:val="24"/>
          <w:szCs w:val="24"/>
          <w:highlight w:val="none"/>
          <w14:textFill>
            <w14:solidFill>
              <w14:schemeClr w14:val="tx1"/>
            </w14:solidFill>
          </w14:textFill>
        </w:rPr>
        <w:t>。</w:t>
      </w:r>
    </w:p>
    <w:p>
      <w:pPr>
        <w:pStyle w:val="3"/>
        <w:numPr>
          <w:ilvl w:val="1"/>
          <w:numId w:val="45"/>
        </w:numPr>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r>
        <w:rPr>
          <w:rFonts w:hint="eastAsia" w:ascii="黑体" w:hAnsi="黑体" w:eastAsia="黑体"/>
          <w:b w:val="0"/>
          <w:bCs w:val="0"/>
          <w:color w:val="000000" w:themeColor="text1"/>
          <w:sz w:val="28"/>
          <w:szCs w:val="28"/>
          <w:highlight w:val="none"/>
          <w14:textFill>
            <w14:solidFill>
              <w14:schemeClr w14:val="tx1"/>
            </w14:solidFill>
          </w14:textFill>
        </w:rPr>
        <w:t xml:space="preserve"> 调试要求</w:t>
      </w:r>
    </w:p>
    <w:p>
      <w:pPr>
        <w:pStyle w:val="82"/>
        <w:numPr>
          <w:ilvl w:val="2"/>
          <w:numId w:val="46"/>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实验室单机试运转、系统联合试运转及调试内容应符合现行国家标准《通风与空调工程施工质量验收规范》</w:t>
      </w:r>
      <w:r>
        <w:rPr>
          <w:rFonts w:ascii="Times New Roman" w:hAnsi="Times New Roman" w:cs="Times New Roman"/>
          <w:color w:val="000000" w:themeColor="text1"/>
          <w:sz w:val="24"/>
          <w:szCs w:val="24"/>
          <w:highlight w:val="none"/>
          <w14:textFill>
            <w14:solidFill>
              <w14:schemeClr w14:val="tx1"/>
            </w14:solidFill>
          </w14:textFill>
        </w:rPr>
        <w:t>GB 50243</w:t>
      </w:r>
      <w:r>
        <w:rPr>
          <w:rFonts w:hint="eastAsia" w:ascii="Times New Roman" w:hAnsi="Times New Roman" w:cs="Times New Roman"/>
          <w:color w:val="000000" w:themeColor="text1"/>
          <w:sz w:val="24"/>
          <w:szCs w:val="24"/>
          <w:highlight w:val="none"/>
          <w14:textFill>
            <w14:solidFill>
              <w14:schemeClr w14:val="tx1"/>
            </w14:solidFill>
          </w14:textFill>
        </w:rPr>
        <w:t>的有关规定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46"/>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实验室施工完毕后，应进行单机试运转、系统联合试运转，并根据运行情况对系统和设备进行调试，作好调试记录，并应编写调试报告</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46"/>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实验室受控环境的调整应安排在系统试运转合格之后进行</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2"/>
          <w:numId w:val="46"/>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调试报告应至少涵盖以下项目</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47"/>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通风机的转数、风量及出口静压值；</w:t>
      </w:r>
    </w:p>
    <w:p>
      <w:pPr>
        <w:pStyle w:val="90"/>
        <w:numPr>
          <w:ilvl w:val="0"/>
          <w:numId w:val="47"/>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非单向流房间风口的实际风量和平衡性调整；</w:t>
      </w:r>
    </w:p>
    <w:p>
      <w:pPr>
        <w:pStyle w:val="90"/>
        <w:numPr>
          <w:ilvl w:val="0"/>
          <w:numId w:val="47"/>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单向流房间的实际风速和均匀性调整；</w:t>
      </w:r>
    </w:p>
    <w:p>
      <w:pPr>
        <w:pStyle w:val="90"/>
        <w:numPr>
          <w:ilvl w:val="0"/>
          <w:numId w:val="47"/>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相邻相通房间静压差调整；</w:t>
      </w:r>
    </w:p>
    <w:p>
      <w:pPr>
        <w:pStyle w:val="90"/>
        <w:numPr>
          <w:ilvl w:val="0"/>
          <w:numId w:val="47"/>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自动调节系统联动运转和调整；</w:t>
      </w:r>
    </w:p>
    <w:p>
      <w:pPr>
        <w:pStyle w:val="90"/>
        <w:numPr>
          <w:ilvl w:val="0"/>
          <w:numId w:val="47"/>
        </w:numPr>
        <w:spacing w:line="360" w:lineRule="auto"/>
        <w:ind w:left="851"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室内温湿度基准值的设定，波动范围、均匀度及梯度的调整。</w:t>
      </w:r>
      <w:r>
        <w:rPr>
          <w:rFonts w:ascii="Times New Roman" w:hAnsi="Times New Roman" w:eastAsia="宋体" w:cs="Times New Roman"/>
          <w:color w:val="000000" w:themeColor="text1"/>
          <w:sz w:val="24"/>
          <w:szCs w:val="24"/>
          <w:highlight w:val="none"/>
          <w14:textFill>
            <w14:solidFill>
              <w14:schemeClr w14:val="tx1"/>
            </w14:solidFill>
          </w14:textFill>
        </w:rPr>
        <w:br w:type="page"/>
      </w:r>
    </w:p>
    <w:p>
      <w:pPr>
        <w:pStyle w:val="205"/>
        <w:rPr>
          <w:highlight w:val="none"/>
        </w:rPr>
      </w:pPr>
      <w:bookmarkStart w:id="58" w:name="_Toc44847198"/>
      <w:r>
        <w:rPr>
          <w:highlight w:val="none"/>
        </w:rPr>
        <w:t>检测与验收</w:t>
      </w:r>
      <w:bookmarkEnd w:id="58"/>
    </w:p>
    <w:p>
      <w:pPr>
        <w:pStyle w:val="90"/>
        <w:keepNext/>
        <w:keepLines/>
        <w:numPr>
          <w:ilvl w:val="0"/>
          <w:numId w:val="45"/>
        </w:numPr>
        <w:spacing w:before="156" w:beforeLines="50" w:line="360" w:lineRule="auto"/>
        <w:ind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59" w:name="_Toc44847199"/>
      <w:bookmarkEnd w:id="59"/>
      <w:bookmarkStart w:id="60" w:name="_Toc36633618"/>
      <w:bookmarkEnd w:id="60"/>
      <w:bookmarkStart w:id="61" w:name="_Toc36625993"/>
      <w:bookmarkEnd w:id="61"/>
      <w:bookmarkStart w:id="62" w:name="_Toc36633727"/>
      <w:bookmarkEnd w:id="62"/>
    </w:p>
    <w:p>
      <w:pPr>
        <w:pStyle w:val="3"/>
        <w:numPr>
          <w:ilvl w:val="1"/>
          <w:numId w:val="48"/>
        </w:numPr>
        <w:spacing w:before="156" w:beforeLines="50" w:line="360" w:lineRule="auto"/>
        <w:ind w:left="0" w:firstLine="0"/>
        <w:jc w:val="center"/>
        <w:rPr>
          <w:rFonts w:ascii="黑体" w:hAnsi="黑体" w:eastAsia="黑体"/>
          <w:b w:val="0"/>
          <w:bCs w:val="0"/>
          <w:color w:val="000000" w:themeColor="text1"/>
          <w:sz w:val="28"/>
          <w:szCs w:val="28"/>
          <w:highlight w:val="none"/>
          <w14:textFill>
            <w14:solidFill>
              <w14:schemeClr w14:val="tx1"/>
            </w14:solidFill>
          </w14:textFill>
        </w:rPr>
      </w:pPr>
      <w:bookmarkStart w:id="63" w:name="_Toc44847200"/>
      <w:r>
        <w:rPr>
          <w:rFonts w:ascii="黑体" w:hAnsi="黑体" w:eastAsia="黑体"/>
          <w:b w:val="0"/>
          <w:bCs w:val="0"/>
          <w:color w:val="000000" w:themeColor="text1"/>
          <w:sz w:val="28"/>
          <w:szCs w:val="28"/>
          <w:highlight w:val="none"/>
          <w14:textFill>
            <w14:solidFill>
              <w14:schemeClr w14:val="tx1"/>
            </w14:solidFill>
          </w14:textFill>
        </w:rPr>
        <w:t>工程检测</w:t>
      </w:r>
      <w:bookmarkEnd w:id="63"/>
    </w:p>
    <w:p>
      <w:pPr>
        <w:pStyle w:val="82"/>
        <w:numPr>
          <w:ilvl w:val="0"/>
          <w:numId w:val="49"/>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几何量测量实验室应进行工程综合性能全面检测和评定，并应在以下条件满足后进行</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施工单位对整个工程待检区域已进行调整测试和自检合格。</w:t>
      </w:r>
    </w:p>
    <w:p>
      <w:pPr>
        <w:pStyle w:val="90"/>
        <w:numPr>
          <w:ilvl w:val="0"/>
          <w:numId w:val="5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待检区域和所有机电设备及系统应已进行清洁处理，并连续运行</w:t>
      </w:r>
      <w:r>
        <w:rPr>
          <w:rFonts w:ascii="Times New Roman" w:hAnsi="Times New Roman" w:cs="Times New Roman"/>
          <w:color w:val="000000" w:themeColor="text1"/>
          <w:sz w:val="24"/>
          <w:szCs w:val="24"/>
          <w:highlight w:val="none"/>
          <w14:textFill>
            <w14:solidFill>
              <w14:schemeClr w14:val="tx1"/>
            </w14:solidFill>
          </w14:textFill>
        </w:rPr>
        <w:t>24h</w:t>
      </w:r>
      <w:r>
        <w:rPr>
          <w:rFonts w:hint="eastAsia" w:ascii="Times New Roman" w:hAnsi="Times New Roman" w:cs="Times New Roman"/>
          <w:color w:val="000000" w:themeColor="text1"/>
          <w:sz w:val="24"/>
          <w:szCs w:val="24"/>
          <w:highlight w:val="none"/>
          <w14:textFill>
            <w14:solidFill>
              <w14:schemeClr w14:val="tx1"/>
            </w14:solidFill>
          </w14:textFill>
        </w:rPr>
        <w:t>以上。</w:t>
      </w:r>
    </w:p>
    <w:p>
      <w:pPr>
        <w:pStyle w:val="82"/>
        <w:numPr>
          <w:ilvl w:val="0"/>
          <w:numId w:val="49"/>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有下列情况之一时，应对几何量测量实验室进行综合性能全面检测并按本规范附录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进行记录</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1"/>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竣工后，投入使用前；</w:t>
      </w:r>
    </w:p>
    <w:p>
      <w:pPr>
        <w:pStyle w:val="90"/>
        <w:numPr>
          <w:ilvl w:val="0"/>
          <w:numId w:val="51"/>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停止使用半年以上重新投入使用；</w:t>
      </w:r>
    </w:p>
    <w:p>
      <w:pPr>
        <w:pStyle w:val="90"/>
        <w:numPr>
          <w:ilvl w:val="0"/>
          <w:numId w:val="51"/>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进行大修或更换主要设备后；</w:t>
      </w:r>
    </w:p>
    <w:p>
      <w:pPr>
        <w:pStyle w:val="90"/>
        <w:numPr>
          <w:ilvl w:val="0"/>
          <w:numId w:val="51"/>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一年一度的常规检测。</w:t>
      </w:r>
    </w:p>
    <w:p>
      <w:pPr>
        <w:pStyle w:val="82"/>
        <w:numPr>
          <w:ilvl w:val="0"/>
          <w:numId w:val="49"/>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综合性能检验工作应由第三方专业检验机构承担，提交的检验报告应作为工程的背景材料存档</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检验报告应至少包括被检验项目名称、工程地点、委托单位、检验机构、报告编号、检验人员、仪器仪表编号、检验依据、检验结论</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综合性能检验应在空态或静态工况下进行，当有需要时也可经建设方和检验方协商确定检验状态。检验结论中应注明检验状态</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几何量测量实验室工程综合性能检验的现场检测项目应符合表</w:t>
      </w:r>
      <w:r>
        <w:rPr>
          <w:rFonts w:ascii="Times New Roman" w:hAnsi="Times New Roman" w:cs="Times New Roman"/>
          <w:color w:val="000000" w:themeColor="text1"/>
          <w:sz w:val="24"/>
          <w:szCs w:val="24"/>
          <w:highlight w:val="none"/>
          <w14:textFill>
            <w14:solidFill>
              <w14:schemeClr w14:val="tx1"/>
            </w14:solidFill>
          </w14:textFill>
        </w:rPr>
        <w:t>8.1.6</w:t>
      </w:r>
      <w:r>
        <w:rPr>
          <w:rFonts w:hint="eastAsia" w:ascii="Times New Roman" w:hAnsi="Times New Roman" w:cs="Times New Roman"/>
          <w:color w:val="000000" w:themeColor="text1"/>
          <w:sz w:val="24"/>
          <w:szCs w:val="24"/>
          <w:highlight w:val="none"/>
          <w14:textFill>
            <w14:solidFill>
              <w14:schemeClr w14:val="tx1"/>
            </w14:solidFill>
          </w14:textFill>
        </w:rPr>
        <w:t>的规定</w:t>
      </w:r>
      <w:r>
        <w:rPr>
          <w:rFonts w:ascii="Times New Roman" w:hAnsi="Times New Roman" w:cs="Times New Roman"/>
          <w:color w:val="000000" w:themeColor="text1"/>
          <w:sz w:val="24"/>
          <w:szCs w:val="24"/>
          <w:highlight w:val="none"/>
          <w14:textFill>
            <w14:solidFill>
              <w14:schemeClr w14:val="tx1"/>
            </w14:solidFill>
          </w14:textFill>
        </w:rPr>
        <w:t>。</w:t>
      </w:r>
    </w:p>
    <w:p>
      <w:pPr>
        <w:widowControl/>
        <w:tabs>
          <w:tab w:val="left" w:pos="720"/>
        </w:tabs>
        <w:spacing w:before="156" w:beforeLines="50" w:line="360" w:lineRule="auto"/>
        <w:jc w:val="center"/>
        <w:rPr>
          <w:rFonts w:ascii="Times New Roman" w:hAnsi="Times New Roman" w:eastAsia="宋体" w:cs="Times New Roman"/>
          <w:b/>
          <w:color w:val="000000" w:themeColor="text1"/>
          <w:szCs w:val="21"/>
          <w:highlight w:val="none"/>
          <w14:textFill>
            <w14:solidFill>
              <w14:schemeClr w14:val="tx1"/>
            </w14:solidFill>
          </w14:textFill>
        </w:rPr>
      </w:pPr>
      <w:r>
        <w:rPr>
          <w:rFonts w:ascii="Times New Roman" w:hAnsi="Times New Roman" w:eastAsia="宋体" w:cs="Times New Roman"/>
          <w:b/>
          <w:color w:val="000000" w:themeColor="text1"/>
          <w:szCs w:val="21"/>
          <w:highlight w:val="none"/>
          <w14:textFill>
            <w14:solidFill>
              <w14:schemeClr w14:val="tx1"/>
            </w14:solidFill>
          </w14:textFill>
        </w:rPr>
        <w:t>表</w:t>
      </w:r>
      <w:r>
        <w:rPr>
          <w:rFonts w:ascii="Times New Roman" w:hAnsi="Times New Roman" w:cs="Times New Roman"/>
          <w:b/>
          <w:color w:val="000000" w:themeColor="text1"/>
          <w:szCs w:val="21"/>
          <w:highlight w:val="none"/>
          <w14:textFill>
            <w14:solidFill>
              <w14:schemeClr w14:val="tx1"/>
            </w14:solidFill>
          </w14:textFill>
        </w:rPr>
        <w:t>8</w:t>
      </w:r>
      <w:r>
        <w:rPr>
          <w:rFonts w:ascii="Times New Roman" w:hAnsi="Times New Roman" w:eastAsia="宋体" w:cs="Times New Roman"/>
          <w:b/>
          <w:color w:val="000000" w:themeColor="text1"/>
          <w:szCs w:val="21"/>
          <w:highlight w:val="none"/>
          <w14:textFill>
            <w14:solidFill>
              <w14:schemeClr w14:val="tx1"/>
            </w14:solidFill>
          </w14:textFill>
        </w:rPr>
        <w:t>.1.6</w:t>
      </w:r>
      <w:r>
        <w:rPr>
          <w:rFonts w:hint="eastAsia" w:ascii="Times New Roman" w:hAnsi="Times New Roman" w:eastAsia="宋体" w:cs="Times New Roman"/>
          <w:b/>
          <w:color w:val="000000" w:themeColor="text1"/>
          <w:szCs w:val="21"/>
          <w:highlight w:val="none"/>
          <w14:textFill>
            <w14:solidFill>
              <w14:schemeClr w14:val="tx1"/>
            </w14:solidFill>
          </w14:textFill>
        </w:rPr>
        <w:t>　综合性能检验的测试项目</w:t>
      </w:r>
    </w:p>
    <w:tbl>
      <w:tblPr>
        <w:tblStyle w:val="35"/>
        <w:tblW w:w="0" w:type="auto"/>
        <w:jc w:val="center"/>
        <w:tblLayout w:type="fixed"/>
        <w:tblCellMar>
          <w:top w:w="0" w:type="dxa"/>
          <w:left w:w="108" w:type="dxa"/>
          <w:bottom w:w="0" w:type="dxa"/>
          <w:right w:w="108" w:type="dxa"/>
        </w:tblCellMar>
      </w:tblPr>
      <w:tblGrid>
        <w:gridCol w:w="988"/>
        <w:gridCol w:w="708"/>
        <w:gridCol w:w="2268"/>
        <w:gridCol w:w="993"/>
        <w:gridCol w:w="1134"/>
        <w:gridCol w:w="1984"/>
      </w:tblGrid>
      <w:tr>
        <w:tblPrEx>
          <w:tblCellMar>
            <w:top w:w="0" w:type="dxa"/>
            <w:left w:w="108" w:type="dxa"/>
            <w:bottom w:w="0" w:type="dxa"/>
            <w:right w:w="108" w:type="dxa"/>
          </w:tblCellMar>
        </w:tblPrEx>
        <w:trPr>
          <w:trHeight w:val="450" w:hRule="atLeast"/>
          <w:jc w:val="center"/>
        </w:trPr>
        <w:tc>
          <w:tcPr>
            <w:tcW w:w="9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参数类型</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序号</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项目</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单向流</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非单向流</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检测方法</w:t>
            </w:r>
          </w:p>
        </w:tc>
      </w:tr>
      <w:tr>
        <w:tblPrEx>
          <w:tblCellMar>
            <w:top w:w="0" w:type="dxa"/>
            <w:left w:w="108" w:type="dxa"/>
            <w:bottom w:w="0" w:type="dxa"/>
            <w:right w:w="108" w:type="dxa"/>
          </w:tblCellMar>
        </w:tblPrEx>
        <w:trPr>
          <w:trHeight w:val="345" w:hRule="atLeast"/>
          <w:jc w:val="center"/>
        </w:trPr>
        <w:tc>
          <w:tcPr>
            <w:tcW w:w="988"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室内物理参数</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风口送风量</w:t>
            </w:r>
          </w:p>
        </w:tc>
        <w:tc>
          <w:tcPr>
            <w:tcW w:w="993"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不测</w:t>
            </w:r>
          </w:p>
        </w:tc>
        <w:tc>
          <w:tcPr>
            <w:tcW w:w="1134"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restar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本规程附录</w:t>
            </w:r>
            <w:r>
              <w:rPr>
                <w:rFonts w:ascii="Times New Roman" w:hAnsi="Times New Roman" w:cs="Times New Roman"/>
                <w:color w:val="000000" w:themeColor="text1"/>
                <w:kern w:val="0"/>
                <w:szCs w:val="21"/>
                <w:highlight w:val="none"/>
                <w14:textFill>
                  <w14:solidFill>
                    <w14:schemeClr w14:val="tx1"/>
                  </w14:solidFill>
                </w14:textFill>
              </w:rPr>
              <w:t>B</w:t>
            </w: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2</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室内截面风速</w:t>
            </w:r>
          </w:p>
        </w:tc>
        <w:tc>
          <w:tcPr>
            <w:tcW w:w="993"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134"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不测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3</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室内风速不均匀度</w:t>
            </w:r>
          </w:p>
        </w:tc>
        <w:tc>
          <w:tcPr>
            <w:tcW w:w="993"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134"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不测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4</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风口回风或排风量</w:t>
            </w:r>
          </w:p>
        </w:tc>
        <w:tc>
          <w:tcPr>
            <w:tcW w:w="2127" w:type="dxa"/>
            <w:gridSpan w:val="2"/>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5</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房间或系统新风量</w:t>
            </w:r>
          </w:p>
        </w:tc>
        <w:tc>
          <w:tcPr>
            <w:tcW w:w="212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6</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静压差</w:t>
            </w:r>
          </w:p>
        </w:tc>
        <w:tc>
          <w:tcPr>
            <w:tcW w:w="212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7</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温湿度</w:t>
            </w:r>
          </w:p>
        </w:tc>
        <w:tc>
          <w:tcPr>
            <w:tcW w:w="212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8</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温湿度波动范围　</w:t>
            </w:r>
            <w:r>
              <w:rPr>
                <w:rFonts w:ascii="Times New Roman" w:hAnsi="Times New Roman" w:cs="Times New Roman"/>
                <w:color w:val="000000" w:themeColor="text1"/>
                <w:kern w:val="0"/>
                <w:szCs w:val="21"/>
                <w:highlight w:val="none"/>
                <w14:textFill>
                  <w14:solidFill>
                    <w14:schemeClr w14:val="tx1"/>
                  </w14:solidFill>
                </w14:textFill>
              </w:rPr>
              <w:t xml:space="preserve"> </w:t>
            </w:r>
          </w:p>
        </w:tc>
        <w:tc>
          <w:tcPr>
            <w:tcW w:w="212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9</w:t>
            </w:r>
          </w:p>
        </w:tc>
        <w:tc>
          <w:tcPr>
            <w:tcW w:w="2268"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温湿度均匀性</w:t>
            </w:r>
          </w:p>
        </w:tc>
        <w:tc>
          <w:tcPr>
            <w:tcW w:w="212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nil"/>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2268" w:type="dxa"/>
            <w:tcBorders>
              <w:top w:val="nil"/>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隔振台面微振</w:t>
            </w:r>
          </w:p>
        </w:tc>
        <w:tc>
          <w:tcPr>
            <w:tcW w:w="2127" w:type="dxa"/>
            <w:gridSpan w:val="2"/>
            <w:tcBorders>
              <w:top w:val="single" w:color="auto" w:sz="4" w:space="0"/>
              <w:left w:val="nil"/>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必测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11</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噪声</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12</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照度</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室内环境参数</w:t>
            </w: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二氧化硫</w:t>
            </w:r>
            <w:r>
              <w:rPr>
                <w:rFonts w:ascii="Times New Roman" w:hAnsi="Times New Roman" w:cs="Times New Roman"/>
                <w:color w:val="000000" w:themeColor="text1"/>
                <w:kern w:val="0"/>
                <w:szCs w:val="21"/>
                <w:highlight w:val="none"/>
                <w14:textFill>
                  <w14:solidFill>
                    <w14:schemeClr w14:val="tx1"/>
                  </w14:solidFill>
                </w14:textFill>
              </w:rPr>
              <w:t>SO</w:t>
            </w:r>
            <w:r>
              <w:rPr>
                <w:rFonts w:ascii="Times New Roman" w:hAnsi="Times New Roman" w:cs="Times New Roman"/>
                <w:color w:val="000000" w:themeColor="text1"/>
                <w:kern w:val="0"/>
                <w:szCs w:val="21"/>
                <w:highlight w:val="none"/>
                <w:vertAlign w:val="subscript"/>
                <w14:textFill>
                  <w14:solidFill>
                    <w14:schemeClr w14:val="tx1"/>
                  </w14:solidFill>
                </w14:textFill>
              </w:rPr>
              <w:t>2</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现行国家标准《室内空气质量标准》</w:t>
            </w:r>
            <w:r>
              <w:rPr>
                <w:rFonts w:ascii="Times New Roman" w:hAnsi="Times New Roman" w:cs="Times New Roman"/>
                <w:color w:val="000000" w:themeColor="text1"/>
                <w:kern w:val="0"/>
                <w:szCs w:val="21"/>
                <w:highlight w:val="none"/>
                <w14:textFill>
                  <w14:solidFill>
                    <w14:schemeClr w14:val="tx1"/>
                  </w14:solidFill>
                </w14:textFill>
              </w:rPr>
              <w:t>GB/T 18883</w:t>
            </w: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2</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二氧化氮</w:t>
            </w:r>
            <w:r>
              <w:rPr>
                <w:rFonts w:ascii="Times New Roman" w:hAnsi="Times New Roman" w:cs="Times New Roman"/>
                <w:color w:val="000000" w:themeColor="text1"/>
                <w:kern w:val="0"/>
                <w:szCs w:val="21"/>
                <w:highlight w:val="none"/>
                <w14:textFill>
                  <w14:solidFill>
                    <w14:schemeClr w14:val="tx1"/>
                  </w14:solidFill>
                </w14:textFill>
              </w:rPr>
              <w:t>NO</w:t>
            </w:r>
            <w:r>
              <w:rPr>
                <w:rFonts w:ascii="Times New Roman" w:hAnsi="Times New Roman" w:cs="Times New Roman"/>
                <w:color w:val="000000" w:themeColor="text1"/>
                <w:kern w:val="0"/>
                <w:szCs w:val="21"/>
                <w:highlight w:val="none"/>
                <w:vertAlign w:val="subscript"/>
                <w14:textFill>
                  <w14:solidFill>
                    <w14:schemeClr w14:val="tx1"/>
                  </w14:solidFill>
                </w14:textFill>
              </w:rPr>
              <w:t>2</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3</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一氧化碳</w:t>
            </w:r>
            <w:r>
              <w:rPr>
                <w:rFonts w:ascii="Times New Roman" w:hAnsi="Times New Roman" w:cs="Times New Roman"/>
                <w:color w:val="000000" w:themeColor="text1"/>
                <w:kern w:val="0"/>
                <w:szCs w:val="21"/>
                <w:highlight w:val="none"/>
                <w14:textFill>
                  <w14:solidFill>
                    <w14:schemeClr w14:val="tx1"/>
                  </w14:solidFill>
                </w14:textFill>
              </w:rPr>
              <w:t>CO</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二氧化碳</w:t>
            </w:r>
            <w:r>
              <w:rPr>
                <w:rFonts w:ascii="Times New Roman" w:hAnsi="Times New Roman" w:cs="Times New Roman"/>
                <w:color w:val="000000" w:themeColor="text1"/>
                <w:kern w:val="0"/>
                <w:szCs w:val="21"/>
                <w:highlight w:val="none"/>
                <w14:textFill>
                  <w14:solidFill>
                    <w14:schemeClr w14:val="tx1"/>
                  </w14:solidFill>
                </w14:textFill>
              </w:rPr>
              <w:t>CO</w:t>
            </w:r>
            <w:r>
              <w:rPr>
                <w:rFonts w:ascii="Times New Roman" w:hAnsi="Times New Roman" w:cs="Times New Roman"/>
                <w:color w:val="000000" w:themeColor="text1"/>
                <w:kern w:val="0"/>
                <w:szCs w:val="21"/>
                <w:highlight w:val="none"/>
                <w:vertAlign w:val="subscript"/>
                <w14:textFill>
                  <w14:solidFill>
                    <w14:schemeClr w14:val="tx1"/>
                  </w14:solidFill>
                </w14:textFill>
              </w:rPr>
              <w:t>2</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5</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氨</w:t>
            </w:r>
            <w:r>
              <w:rPr>
                <w:rFonts w:ascii="Times New Roman" w:hAnsi="Times New Roman" w:cs="Times New Roman"/>
                <w:color w:val="000000" w:themeColor="text1"/>
                <w:kern w:val="0"/>
                <w:szCs w:val="21"/>
                <w:highlight w:val="none"/>
                <w14:textFill>
                  <w14:solidFill>
                    <w14:schemeClr w14:val="tx1"/>
                  </w14:solidFill>
                </w14:textFill>
              </w:rPr>
              <w:t>NH</w:t>
            </w:r>
            <w:r>
              <w:rPr>
                <w:rFonts w:ascii="Times New Roman" w:hAnsi="Times New Roman" w:cs="Times New Roman"/>
                <w:color w:val="000000" w:themeColor="text1"/>
                <w:kern w:val="0"/>
                <w:szCs w:val="21"/>
                <w:highlight w:val="none"/>
                <w:vertAlign w:val="subscript"/>
                <w14:textFill>
                  <w14:solidFill>
                    <w14:schemeClr w14:val="tx1"/>
                  </w14:solidFill>
                </w14:textFill>
              </w:rPr>
              <w:t>3</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6</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臭氧</w:t>
            </w:r>
            <w:r>
              <w:rPr>
                <w:rFonts w:ascii="Times New Roman" w:hAnsi="Times New Roman" w:cs="Times New Roman"/>
                <w:color w:val="000000" w:themeColor="text1"/>
                <w:kern w:val="0"/>
                <w:szCs w:val="21"/>
                <w:highlight w:val="none"/>
                <w14:textFill>
                  <w14:solidFill>
                    <w14:schemeClr w14:val="tx1"/>
                  </w14:solidFill>
                </w14:textFill>
              </w:rPr>
              <w:t>O</w:t>
            </w:r>
            <w:r>
              <w:rPr>
                <w:rFonts w:ascii="Times New Roman" w:hAnsi="Times New Roman" w:cs="Times New Roman"/>
                <w:color w:val="000000" w:themeColor="text1"/>
                <w:kern w:val="0"/>
                <w:szCs w:val="21"/>
                <w:highlight w:val="none"/>
                <w:vertAlign w:val="subscript"/>
                <w14:textFill>
                  <w14:solidFill>
                    <w14:schemeClr w14:val="tx1"/>
                  </w14:solidFill>
                </w14:textFill>
              </w:rPr>
              <w:t>3</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7</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甲醛</w:t>
            </w:r>
            <w:r>
              <w:rPr>
                <w:rFonts w:ascii="Times New Roman" w:hAnsi="Times New Roman" w:cs="Times New Roman"/>
                <w:color w:val="000000" w:themeColor="text1"/>
                <w:kern w:val="0"/>
                <w:szCs w:val="21"/>
                <w:highlight w:val="none"/>
                <w14:textFill>
                  <w14:solidFill>
                    <w14:schemeClr w14:val="tx1"/>
                  </w14:solidFill>
                </w14:textFill>
              </w:rPr>
              <w:t>HCHO</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8</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苯</w:t>
            </w:r>
            <w:r>
              <w:rPr>
                <w:rFonts w:ascii="Times New Roman" w:hAnsi="Times New Roman" w:cs="Times New Roman"/>
                <w:color w:val="000000" w:themeColor="text1"/>
                <w:kern w:val="0"/>
                <w:szCs w:val="21"/>
                <w:highlight w:val="none"/>
                <w14:textFill>
                  <w14:solidFill>
                    <w14:schemeClr w14:val="tx1"/>
                  </w14:solidFill>
                </w14:textFill>
              </w:rPr>
              <w:t>C</w:t>
            </w:r>
            <w:r>
              <w:rPr>
                <w:rFonts w:ascii="Times New Roman" w:hAnsi="Times New Roman" w:cs="Times New Roman"/>
                <w:color w:val="000000" w:themeColor="text1"/>
                <w:kern w:val="0"/>
                <w:szCs w:val="21"/>
                <w:highlight w:val="none"/>
                <w:vertAlign w:val="subscript"/>
                <w14:textFill>
                  <w14:solidFill>
                    <w14:schemeClr w14:val="tx1"/>
                  </w14:solidFill>
                </w14:textFill>
              </w:rPr>
              <w:t>6</w:t>
            </w:r>
            <w:r>
              <w:rPr>
                <w:rFonts w:ascii="Times New Roman" w:hAnsi="Times New Roman" w:cs="Times New Roman"/>
                <w:color w:val="000000" w:themeColor="text1"/>
                <w:kern w:val="0"/>
                <w:szCs w:val="21"/>
                <w:highlight w:val="none"/>
                <w14:textFill>
                  <w14:solidFill>
                    <w14:schemeClr w14:val="tx1"/>
                  </w14:solidFill>
                </w14:textFill>
              </w:rPr>
              <w:t>H</w:t>
            </w:r>
            <w:r>
              <w:rPr>
                <w:rFonts w:ascii="Times New Roman" w:hAnsi="Times New Roman" w:cs="Times New Roman"/>
                <w:color w:val="000000" w:themeColor="text1"/>
                <w:kern w:val="0"/>
                <w:szCs w:val="21"/>
                <w:highlight w:val="none"/>
                <w:vertAlign w:val="subscript"/>
                <w14:textFill>
                  <w14:solidFill>
                    <w14:schemeClr w14:val="tx1"/>
                  </w14:solidFill>
                </w14:textFill>
              </w:rPr>
              <w:t>6</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9</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甲苯</w:t>
            </w:r>
            <w:r>
              <w:rPr>
                <w:rFonts w:ascii="Times New Roman" w:hAnsi="Times New Roman" w:cs="Times New Roman"/>
                <w:color w:val="000000" w:themeColor="text1"/>
                <w:kern w:val="0"/>
                <w:szCs w:val="21"/>
                <w:highlight w:val="none"/>
                <w14:textFill>
                  <w14:solidFill>
                    <w14:schemeClr w14:val="tx1"/>
                  </w14:solidFill>
                </w14:textFill>
              </w:rPr>
              <w:t>C</w:t>
            </w:r>
            <w:r>
              <w:rPr>
                <w:rFonts w:ascii="Times New Roman" w:hAnsi="Times New Roman" w:cs="Times New Roman"/>
                <w:color w:val="000000" w:themeColor="text1"/>
                <w:kern w:val="0"/>
                <w:szCs w:val="21"/>
                <w:highlight w:val="none"/>
                <w:vertAlign w:val="subscript"/>
                <w14:textFill>
                  <w14:solidFill>
                    <w14:schemeClr w14:val="tx1"/>
                  </w14:solidFill>
                </w14:textFill>
              </w:rPr>
              <w:t>7</w:t>
            </w:r>
            <w:r>
              <w:rPr>
                <w:rFonts w:ascii="Times New Roman" w:hAnsi="Times New Roman" w:cs="Times New Roman"/>
                <w:color w:val="000000" w:themeColor="text1"/>
                <w:kern w:val="0"/>
                <w:szCs w:val="21"/>
                <w:highlight w:val="none"/>
                <w14:textFill>
                  <w14:solidFill>
                    <w14:schemeClr w14:val="tx1"/>
                  </w14:solidFill>
                </w14:textFill>
              </w:rPr>
              <w:t>H</w:t>
            </w:r>
            <w:r>
              <w:rPr>
                <w:rFonts w:ascii="Times New Roman" w:hAnsi="Times New Roman" w:cs="Times New Roman"/>
                <w:color w:val="000000" w:themeColor="text1"/>
                <w:kern w:val="0"/>
                <w:szCs w:val="21"/>
                <w:highlight w:val="none"/>
                <w:vertAlign w:val="subscript"/>
                <w14:textFill>
                  <w14:solidFill>
                    <w14:schemeClr w14:val="tx1"/>
                  </w14:solidFill>
                </w14:textFill>
              </w:rPr>
              <w:t>8</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10</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二甲苯</w:t>
            </w:r>
            <w:r>
              <w:rPr>
                <w:rFonts w:ascii="Times New Roman" w:hAnsi="Times New Roman" w:cs="Times New Roman"/>
                <w:color w:val="000000" w:themeColor="text1"/>
                <w:kern w:val="0"/>
                <w:szCs w:val="21"/>
                <w:highlight w:val="none"/>
                <w14:textFill>
                  <w14:solidFill>
                    <w14:schemeClr w14:val="tx1"/>
                  </w14:solidFill>
                </w14:textFill>
              </w:rPr>
              <w:t>C</w:t>
            </w:r>
            <w:r>
              <w:rPr>
                <w:rFonts w:ascii="Times New Roman" w:hAnsi="Times New Roman" w:cs="Times New Roman"/>
                <w:color w:val="000000" w:themeColor="text1"/>
                <w:kern w:val="0"/>
                <w:szCs w:val="21"/>
                <w:highlight w:val="none"/>
                <w:vertAlign w:val="subscript"/>
                <w14:textFill>
                  <w14:solidFill>
                    <w14:schemeClr w14:val="tx1"/>
                  </w14:solidFill>
                </w14:textFill>
              </w:rPr>
              <w:t>8</w:t>
            </w:r>
            <w:r>
              <w:rPr>
                <w:rFonts w:ascii="Times New Roman" w:hAnsi="Times New Roman" w:cs="Times New Roman"/>
                <w:color w:val="000000" w:themeColor="text1"/>
                <w:kern w:val="0"/>
                <w:szCs w:val="21"/>
                <w:highlight w:val="none"/>
                <w14:textFill>
                  <w14:solidFill>
                    <w14:schemeClr w14:val="tx1"/>
                  </w14:solidFill>
                </w14:textFill>
              </w:rPr>
              <w:t>H</w:t>
            </w:r>
            <w:r>
              <w:rPr>
                <w:rFonts w:ascii="Times New Roman" w:hAnsi="Times New Roman" w:cs="Times New Roman"/>
                <w:color w:val="000000" w:themeColor="text1"/>
                <w:kern w:val="0"/>
                <w:szCs w:val="21"/>
                <w:highlight w:val="none"/>
                <w:vertAlign w:val="subscript"/>
                <w14:textFill>
                  <w14:solidFill>
                    <w14:schemeClr w14:val="tx1"/>
                  </w14:solidFill>
                </w14:textFill>
              </w:rPr>
              <w:t>10</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11</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总挥发性有机物</w:t>
            </w:r>
            <w:r>
              <w:rPr>
                <w:rFonts w:ascii="Times New Roman" w:hAnsi="Times New Roman" w:cs="Times New Roman"/>
                <w:color w:val="000000" w:themeColor="text1"/>
                <w:kern w:val="0"/>
                <w:szCs w:val="21"/>
                <w:highlight w:val="none"/>
                <w14:textFill>
                  <w14:solidFill>
                    <w14:schemeClr w14:val="tx1"/>
                  </w14:solidFill>
                </w14:textFill>
              </w:rPr>
              <w:t>TVOC</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12</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菌落总数</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13</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氡</w:t>
            </w:r>
            <w:r>
              <w:rPr>
                <w:rFonts w:ascii="Times New Roman" w:hAnsi="Times New Roman" w:cs="Times New Roman"/>
                <w:color w:val="000000" w:themeColor="text1"/>
                <w:kern w:val="0"/>
                <w:szCs w:val="21"/>
                <w:highlight w:val="none"/>
                <w:vertAlign w:val="superscript"/>
                <w14:textFill>
                  <w14:solidFill>
                    <w14:schemeClr w14:val="tx1"/>
                  </w14:solidFill>
                </w14:textFill>
              </w:rPr>
              <w:t>222</w:t>
            </w:r>
            <w:r>
              <w:rPr>
                <w:rFonts w:ascii="Times New Roman" w:hAnsi="Times New Roman" w:cs="Times New Roman"/>
                <w:color w:val="000000" w:themeColor="text1"/>
                <w:kern w:val="0"/>
                <w:szCs w:val="21"/>
                <w:highlight w:val="none"/>
                <w14:textFill>
                  <w14:solidFill>
                    <w14:schemeClr w14:val="tx1"/>
                  </w14:solidFill>
                </w14:textFill>
              </w:rPr>
              <w:t>Rn</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必要时测</w:t>
            </w: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45" w:hRule="atLeast"/>
          <w:jc w:val="center"/>
        </w:trPr>
        <w:tc>
          <w:tcPr>
            <w:tcW w:w="9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cs="Times New Roman"/>
                <w:color w:val="000000" w:themeColor="text1"/>
                <w:kern w:val="0"/>
                <w:szCs w:val="21"/>
                <w:highlight w:val="none"/>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室内</w:t>
            </w:r>
            <w:r>
              <w:rPr>
                <w:rFonts w:ascii="Times New Roman" w:hAnsi="Times New Roman" w:cs="Times New Roman"/>
                <w:color w:val="000000" w:themeColor="text1"/>
                <w:kern w:val="0"/>
                <w:szCs w:val="21"/>
                <w:highlight w:val="none"/>
                <w14:textFill>
                  <w14:solidFill>
                    <w14:schemeClr w14:val="tx1"/>
                  </w14:solidFill>
                </w14:textFill>
              </w:rPr>
              <w:t>PM2.5</w:t>
            </w:r>
            <w:r>
              <w:rPr>
                <w:rFonts w:hint="eastAsia" w:ascii="Times New Roman" w:hAnsi="Times New Roman" w:cs="Times New Roman"/>
                <w:color w:val="000000" w:themeColor="text1"/>
                <w:kern w:val="0"/>
                <w:szCs w:val="21"/>
                <w:highlight w:val="none"/>
                <w14:textFill>
                  <w14:solidFill>
                    <w14:schemeClr w14:val="tx1"/>
                  </w14:solidFill>
                </w14:textFill>
              </w:rPr>
              <w:t>污染控制效果</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本规程附录</w:t>
            </w:r>
            <w:r>
              <w:rPr>
                <w:rFonts w:ascii="Times New Roman" w:hAnsi="Times New Roman" w:cs="Times New Roman"/>
                <w:color w:val="000000" w:themeColor="text1"/>
                <w:kern w:val="0"/>
                <w:szCs w:val="21"/>
                <w:highlight w:val="none"/>
                <w14:textFill>
                  <w14:solidFill>
                    <w14:schemeClr w14:val="tx1"/>
                  </w14:solidFill>
                </w14:textFill>
              </w:rPr>
              <w:t>B</w:t>
            </w:r>
          </w:p>
        </w:tc>
      </w:tr>
      <w:tr>
        <w:tblPrEx>
          <w:tblCellMar>
            <w:top w:w="0" w:type="dxa"/>
            <w:left w:w="108" w:type="dxa"/>
            <w:bottom w:w="0" w:type="dxa"/>
            <w:right w:w="108" w:type="dxa"/>
          </w:tblCellMar>
        </w:tblPrEx>
        <w:trPr>
          <w:trHeight w:val="345" w:hRule="atLeast"/>
          <w:jc w:val="center"/>
        </w:trPr>
        <w:tc>
          <w:tcPr>
            <w:tcW w:w="9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室内设备参数</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洁净工作台</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必测</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hint="eastAsia" w:ascii="Times New Roman" w:hAnsi="Times New Roman" w:cs="Times New Roman"/>
                <w:color w:val="000000" w:themeColor="text1"/>
                <w:kern w:val="0"/>
                <w:szCs w:val="21"/>
                <w:highlight w:val="none"/>
                <w14:textFill>
                  <w14:solidFill>
                    <w14:schemeClr w14:val="tx1"/>
                  </w14:solidFill>
                </w14:textFill>
              </w:rPr>
              <w:t>现行国家标准</w:t>
            </w:r>
            <w:bookmarkStart w:id="64" w:name="_Hlk54864006"/>
            <w:r>
              <w:rPr>
                <w:rFonts w:hint="eastAsia" w:ascii="Times New Roman" w:hAnsi="Times New Roman" w:cs="Times New Roman"/>
                <w:color w:val="000000" w:themeColor="text1"/>
                <w:kern w:val="0"/>
                <w:szCs w:val="21"/>
                <w:highlight w:val="none"/>
                <w14:textFill>
                  <w14:solidFill>
                    <w14:schemeClr w14:val="tx1"/>
                  </w14:solidFill>
                </w14:textFill>
              </w:rPr>
              <w:t>《洁净工作台》</w:t>
            </w:r>
            <w:r>
              <w:rPr>
                <w:rFonts w:ascii="Times New Roman" w:hAnsi="Times New Roman" w:cs="Times New Roman"/>
                <w:color w:val="000000" w:themeColor="text1"/>
                <w:kern w:val="0"/>
                <w:szCs w:val="21"/>
                <w:highlight w:val="none"/>
                <w14:textFill>
                  <w14:solidFill>
                    <w14:schemeClr w14:val="tx1"/>
                  </w14:solidFill>
                </w14:textFill>
              </w:rPr>
              <w:t>JG/T292</w:t>
            </w:r>
            <w:bookmarkEnd w:id="64"/>
          </w:p>
        </w:tc>
      </w:tr>
    </w:tbl>
    <w:p>
      <w:pPr>
        <w:pStyle w:val="82"/>
        <w:spacing w:line="360" w:lineRule="auto"/>
        <w:ind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highlight w:val="none"/>
          <w14:textFill>
            <w14:solidFill>
              <w14:schemeClr w14:val="tx1"/>
            </w14:solidFill>
          </w14:textFill>
        </w:rPr>
        <w:t>注：</w:t>
      </w:r>
      <w:r>
        <w:rPr>
          <w:rFonts w:ascii="Times New Roman" w:hAnsi="Times New Roman" w:cs="Times New Roman"/>
          <w:color w:val="000000" w:themeColor="text1"/>
          <w:highlight w:val="none"/>
          <w14:textFill>
            <w14:solidFill>
              <w14:schemeClr w14:val="tx1"/>
            </w14:solidFill>
          </w14:textFill>
        </w:rPr>
        <w:t xml:space="preserve"> “</w:t>
      </w:r>
      <w:r>
        <w:rPr>
          <w:rFonts w:hint="eastAsia" w:ascii="Times New Roman" w:hAnsi="Times New Roman" w:cs="Times New Roman"/>
          <w:color w:val="000000" w:themeColor="text1"/>
          <w:highlight w:val="none"/>
          <w14:textFill>
            <w14:solidFill>
              <w14:schemeClr w14:val="tx1"/>
            </w14:solidFill>
          </w14:textFill>
        </w:rPr>
        <w:t>必测</w:t>
      </w:r>
      <w:r>
        <w:rPr>
          <w:rFonts w:ascii="Times New Roman" w:hAnsi="Times New Roman" w:cs="Times New Roman"/>
          <w:color w:val="000000" w:themeColor="text1"/>
          <w:highlight w:val="none"/>
          <w14:textFill>
            <w14:solidFill>
              <w14:schemeClr w14:val="tx1"/>
            </w14:solidFill>
          </w14:textFill>
        </w:rPr>
        <w:t>”</w:t>
      </w:r>
      <w:r>
        <w:rPr>
          <w:rFonts w:hint="eastAsia" w:ascii="Times New Roman" w:hAnsi="Times New Roman" w:cs="Times New Roman"/>
          <w:color w:val="000000" w:themeColor="text1"/>
          <w:highlight w:val="none"/>
          <w14:textFill>
            <w14:solidFill>
              <w14:schemeClr w14:val="tx1"/>
            </w14:solidFill>
          </w14:textFill>
        </w:rPr>
        <w:t>项目是指不论何种实验室环境在综合性能检验时必须测定的项目，不得少测。</w:t>
      </w:r>
      <w:r>
        <w:rPr>
          <w:rFonts w:ascii="Times New Roman" w:hAnsi="Times New Roman" w:cs="Times New Roman"/>
          <w:color w:val="000000" w:themeColor="text1"/>
          <w:highlight w:val="none"/>
          <w14:textFill>
            <w14:solidFill>
              <w14:schemeClr w14:val="tx1"/>
            </w14:solidFill>
          </w14:textFill>
        </w:rPr>
        <w:t>“</w:t>
      </w:r>
      <w:r>
        <w:rPr>
          <w:rFonts w:hint="eastAsia" w:ascii="Times New Roman" w:hAnsi="Times New Roman" w:cs="Times New Roman"/>
          <w:color w:val="000000" w:themeColor="text1"/>
          <w:highlight w:val="none"/>
          <w14:textFill>
            <w14:solidFill>
              <w14:schemeClr w14:val="tx1"/>
            </w14:solidFill>
          </w14:textFill>
        </w:rPr>
        <w:t>必要时测项目</w:t>
      </w:r>
      <w:r>
        <w:rPr>
          <w:rFonts w:ascii="Times New Roman" w:hAnsi="Times New Roman" w:cs="Times New Roman"/>
          <w:color w:val="000000" w:themeColor="text1"/>
          <w:highlight w:val="none"/>
          <w14:textFill>
            <w14:solidFill>
              <w14:schemeClr w14:val="tx1"/>
            </w14:solidFill>
          </w14:textFill>
        </w:rPr>
        <w:t>”</w:t>
      </w:r>
      <w:r>
        <w:rPr>
          <w:rFonts w:hint="eastAsia" w:ascii="Times New Roman" w:hAnsi="Times New Roman" w:cs="Times New Roman"/>
          <w:color w:val="000000" w:themeColor="text1"/>
          <w:highlight w:val="none"/>
          <w14:textFill>
            <w14:solidFill>
              <w14:schemeClr w14:val="tx1"/>
            </w14:solidFill>
          </w14:textFill>
        </w:rPr>
        <w:t>是指实验室工艺对该项性能有要求时的选测项目</w:t>
      </w:r>
      <w:r>
        <w:rPr>
          <w:rFonts w:ascii="Times New Roman" w:hAnsi="Times New Roman" w:cs="Times New Roman"/>
          <w:color w:val="000000" w:themeColor="text1"/>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洁净类几何量测量实验室，综合性能检验的现场检测项目除符合第</w:t>
      </w:r>
      <w:r>
        <w:rPr>
          <w:rFonts w:ascii="Times New Roman" w:hAnsi="Times New Roman" w:cs="Times New Roman"/>
          <w:color w:val="000000" w:themeColor="text1"/>
          <w:sz w:val="24"/>
          <w:szCs w:val="24"/>
          <w:highlight w:val="none"/>
          <w14:textFill>
            <w14:solidFill>
              <w14:schemeClr w14:val="tx1"/>
            </w14:solidFill>
          </w14:textFill>
        </w:rPr>
        <w:t>8.1.6</w:t>
      </w:r>
      <w:r>
        <w:rPr>
          <w:rFonts w:hint="eastAsia" w:ascii="Times New Roman" w:hAnsi="Times New Roman" w:cs="Times New Roman"/>
          <w:color w:val="000000" w:themeColor="text1"/>
          <w:sz w:val="24"/>
          <w:szCs w:val="24"/>
          <w:highlight w:val="none"/>
          <w14:textFill>
            <w14:solidFill>
              <w14:schemeClr w14:val="tx1"/>
            </w14:solidFill>
          </w14:textFill>
        </w:rPr>
        <w:t>条的规定外，还应符合表</w:t>
      </w:r>
      <w:r>
        <w:rPr>
          <w:rFonts w:ascii="Times New Roman" w:hAnsi="Times New Roman" w:cs="Times New Roman"/>
          <w:color w:val="000000" w:themeColor="text1"/>
          <w:sz w:val="24"/>
          <w:szCs w:val="24"/>
          <w:highlight w:val="none"/>
          <w14:textFill>
            <w14:solidFill>
              <w14:schemeClr w14:val="tx1"/>
            </w14:solidFill>
          </w14:textFill>
        </w:rPr>
        <w:t>8.1.7</w:t>
      </w:r>
      <w:r>
        <w:rPr>
          <w:rFonts w:hint="eastAsia" w:ascii="Times New Roman" w:hAnsi="Times New Roman" w:cs="Times New Roman"/>
          <w:color w:val="000000" w:themeColor="text1"/>
          <w:sz w:val="24"/>
          <w:szCs w:val="24"/>
          <w:highlight w:val="none"/>
          <w14:textFill>
            <w14:solidFill>
              <w14:schemeClr w14:val="tx1"/>
            </w14:solidFill>
          </w14:textFill>
        </w:rPr>
        <w:t>的规定</w:t>
      </w:r>
      <w:r>
        <w:rPr>
          <w:rFonts w:ascii="Times New Roman" w:hAnsi="Times New Roman" w:cs="Times New Roman"/>
          <w:color w:val="000000" w:themeColor="text1"/>
          <w:sz w:val="24"/>
          <w:szCs w:val="24"/>
          <w:highlight w:val="none"/>
          <w14:textFill>
            <w14:solidFill>
              <w14:schemeClr w14:val="tx1"/>
            </w14:solidFill>
          </w14:textFill>
        </w:rPr>
        <w:t>。</w:t>
      </w:r>
    </w:p>
    <w:p>
      <w:pPr>
        <w:tabs>
          <w:tab w:val="left" w:pos="720"/>
        </w:tabs>
        <w:spacing w:before="156" w:beforeLines="50" w:line="360" w:lineRule="auto"/>
        <w:jc w:val="center"/>
        <w:rPr>
          <w:rFonts w:ascii="Times New Roman" w:hAnsi="Times New Roman" w:eastAsia="宋体" w:cs="Times New Roman"/>
          <w:b/>
          <w:color w:val="000000" w:themeColor="text1"/>
          <w:szCs w:val="21"/>
          <w:highlight w:val="none"/>
          <w14:textFill>
            <w14:solidFill>
              <w14:schemeClr w14:val="tx1"/>
            </w14:solidFill>
          </w14:textFill>
        </w:rPr>
      </w:pPr>
      <w:r>
        <w:rPr>
          <w:rFonts w:ascii="Times New Roman" w:hAnsi="Times New Roman" w:eastAsia="宋体" w:cs="Times New Roman"/>
          <w:b/>
          <w:color w:val="000000" w:themeColor="text1"/>
          <w:szCs w:val="21"/>
          <w:highlight w:val="none"/>
          <w14:textFill>
            <w14:solidFill>
              <w14:schemeClr w14:val="tx1"/>
            </w14:solidFill>
          </w14:textFill>
        </w:rPr>
        <w:t>表</w:t>
      </w:r>
      <w:r>
        <w:rPr>
          <w:rFonts w:ascii="Times New Roman" w:hAnsi="Times New Roman" w:cs="Times New Roman"/>
          <w:b/>
          <w:color w:val="000000" w:themeColor="text1"/>
          <w:szCs w:val="21"/>
          <w:highlight w:val="none"/>
          <w14:textFill>
            <w14:solidFill>
              <w14:schemeClr w14:val="tx1"/>
            </w14:solidFill>
          </w14:textFill>
        </w:rPr>
        <w:t>8</w:t>
      </w:r>
      <w:r>
        <w:rPr>
          <w:rFonts w:ascii="Times New Roman" w:hAnsi="Times New Roman" w:eastAsia="宋体" w:cs="Times New Roman"/>
          <w:b/>
          <w:color w:val="000000" w:themeColor="text1"/>
          <w:szCs w:val="21"/>
          <w:highlight w:val="none"/>
          <w14:textFill>
            <w14:solidFill>
              <w14:schemeClr w14:val="tx1"/>
            </w14:solidFill>
          </w14:textFill>
        </w:rPr>
        <w:t>.1.7</w:t>
      </w:r>
      <w:r>
        <w:rPr>
          <w:rFonts w:hint="eastAsia" w:ascii="Times New Roman" w:hAnsi="Times New Roman" w:eastAsia="宋体" w:cs="Times New Roman"/>
          <w:b/>
          <w:color w:val="000000" w:themeColor="text1"/>
          <w:szCs w:val="21"/>
          <w:highlight w:val="none"/>
          <w14:textFill>
            <w14:solidFill>
              <w14:schemeClr w14:val="tx1"/>
            </w14:solidFill>
          </w14:textFill>
        </w:rPr>
        <w:t>　洁净类几何量测量实验室特定测试项目</w:t>
      </w:r>
    </w:p>
    <w:tbl>
      <w:tblPr>
        <w:tblStyle w:val="35"/>
        <w:tblW w:w="0" w:type="auto"/>
        <w:jc w:val="center"/>
        <w:tblLayout w:type="fixed"/>
        <w:tblCellMar>
          <w:top w:w="0" w:type="dxa"/>
          <w:left w:w="108" w:type="dxa"/>
          <w:bottom w:w="0" w:type="dxa"/>
          <w:right w:w="108" w:type="dxa"/>
        </w:tblCellMar>
      </w:tblPr>
      <w:tblGrid>
        <w:gridCol w:w="663"/>
        <w:gridCol w:w="2551"/>
        <w:gridCol w:w="1418"/>
        <w:gridCol w:w="1417"/>
        <w:gridCol w:w="1938"/>
      </w:tblGrid>
      <w:tr>
        <w:tblPrEx>
          <w:tblCellMar>
            <w:top w:w="0" w:type="dxa"/>
            <w:left w:w="108" w:type="dxa"/>
            <w:bottom w:w="0" w:type="dxa"/>
            <w:right w:w="108" w:type="dxa"/>
          </w:tblCellMar>
        </w:tblPrEx>
        <w:trPr>
          <w:trHeight w:val="375" w:hRule="atLeast"/>
          <w:jc w:val="center"/>
        </w:trPr>
        <w:tc>
          <w:tcPr>
            <w:tcW w:w="66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序号</w:t>
            </w:r>
          </w:p>
        </w:tc>
        <w:tc>
          <w:tcPr>
            <w:tcW w:w="255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项目</w:t>
            </w:r>
          </w:p>
        </w:tc>
        <w:tc>
          <w:tcPr>
            <w:tcW w:w="1418"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单向流</w:t>
            </w:r>
          </w:p>
        </w:tc>
        <w:tc>
          <w:tcPr>
            <w:tcW w:w="1417"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非单向流</w:t>
            </w:r>
          </w:p>
        </w:tc>
        <w:tc>
          <w:tcPr>
            <w:tcW w:w="193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检测方法</w:t>
            </w:r>
          </w:p>
        </w:tc>
      </w:tr>
      <w:tr>
        <w:tblPrEx>
          <w:tblCellMar>
            <w:top w:w="0" w:type="dxa"/>
            <w:left w:w="108" w:type="dxa"/>
            <w:bottom w:w="0" w:type="dxa"/>
            <w:right w:w="108" w:type="dxa"/>
          </w:tblCellMar>
        </w:tblPrEx>
        <w:trPr>
          <w:trHeight w:val="375" w:hRule="atLeast"/>
          <w:jc w:val="center"/>
        </w:trPr>
        <w:tc>
          <w:tcPr>
            <w:tcW w:w="66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bCs/>
                <w:color w:val="000000" w:themeColor="text1"/>
                <w:kern w:val="0"/>
                <w:szCs w:val="21"/>
                <w:highlight w:val="none"/>
                <w14:textFill>
                  <w14:solidFill>
                    <w14:schemeClr w14:val="tx1"/>
                  </w14:solidFill>
                </w14:textFill>
              </w:rPr>
            </w:pPr>
          </w:p>
        </w:tc>
        <w:tc>
          <w:tcPr>
            <w:tcW w:w="255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bCs/>
                <w:color w:val="000000" w:themeColor="text1"/>
                <w:kern w:val="0"/>
                <w:szCs w:val="21"/>
                <w:highlight w:val="none"/>
                <w14:textFill>
                  <w14:solidFill>
                    <w14:schemeClr w14:val="tx1"/>
                  </w14:solidFill>
                </w14:textFill>
              </w:rPr>
            </w:pPr>
          </w:p>
        </w:tc>
        <w:tc>
          <w:tcPr>
            <w:tcW w:w="1418"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ascii="Times New Roman" w:hAnsi="Times New Roman" w:cs="Times New Roman"/>
                <w:bCs/>
                <w:color w:val="000000" w:themeColor="text1"/>
                <w:kern w:val="0"/>
                <w:szCs w:val="21"/>
                <w:highlight w:val="none"/>
                <w14:textFill>
                  <w14:solidFill>
                    <w14:schemeClr w14:val="tx1"/>
                  </w14:solidFill>
                </w14:textFill>
              </w:rPr>
              <w:t>4</w:t>
            </w:r>
            <w:r>
              <w:rPr>
                <w:rFonts w:hint="eastAsia" w:ascii="Times New Roman" w:hAnsi="Times New Roman" w:cs="Times New Roman"/>
                <w:bCs/>
                <w:color w:val="000000" w:themeColor="text1"/>
                <w:kern w:val="0"/>
                <w:szCs w:val="21"/>
                <w:highlight w:val="none"/>
                <w14:textFill>
                  <w14:solidFill>
                    <w14:schemeClr w14:val="tx1"/>
                  </w14:solidFill>
                </w14:textFill>
              </w:rPr>
              <w:t>级、</w:t>
            </w:r>
            <w:r>
              <w:rPr>
                <w:rFonts w:ascii="Times New Roman" w:hAnsi="Times New Roman" w:cs="Times New Roman"/>
                <w:bCs/>
                <w:color w:val="000000" w:themeColor="text1"/>
                <w:kern w:val="0"/>
                <w:szCs w:val="21"/>
                <w:highlight w:val="none"/>
                <w14:textFill>
                  <w14:solidFill>
                    <w14:schemeClr w14:val="tx1"/>
                  </w14:solidFill>
                </w14:textFill>
              </w:rPr>
              <w:t>5</w:t>
            </w:r>
            <w:r>
              <w:rPr>
                <w:rFonts w:hint="eastAsia" w:ascii="Times New Roman" w:hAnsi="Times New Roman" w:cs="Times New Roman"/>
                <w:bCs/>
                <w:color w:val="000000" w:themeColor="text1"/>
                <w:kern w:val="0"/>
                <w:szCs w:val="21"/>
                <w:highlight w:val="none"/>
                <w14:textFill>
                  <w14:solidFill>
                    <w14:schemeClr w14:val="tx1"/>
                  </w14:solidFill>
                </w14:textFill>
              </w:rPr>
              <w:t>级</w:t>
            </w:r>
          </w:p>
        </w:tc>
        <w:tc>
          <w:tcPr>
            <w:tcW w:w="1417"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ascii="Times New Roman" w:hAnsi="Times New Roman" w:cs="Times New Roman"/>
                <w:bCs/>
                <w:color w:val="000000" w:themeColor="text1"/>
                <w:kern w:val="0"/>
                <w:szCs w:val="21"/>
                <w:highlight w:val="none"/>
                <w14:textFill>
                  <w14:solidFill>
                    <w14:schemeClr w14:val="tx1"/>
                  </w14:solidFill>
                </w14:textFill>
              </w:rPr>
              <w:t>6</w:t>
            </w:r>
            <w:r>
              <w:rPr>
                <w:rFonts w:hint="eastAsia" w:ascii="Times New Roman" w:hAnsi="Times New Roman" w:cs="Times New Roman"/>
                <w:bCs/>
                <w:color w:val="000000" w:themeColor="text1"/>
                <w:kern w:val="0"/>
                <w:szCs w:val="21"/>
                <w:highlight w:val="none"/>
                <w14:textFill>
                  <w14:solidFill>
                    <w14:schemeClr w14:val="tx1"/>
                  </w14:solidFill>
                </w14:textFill>
              </w:rPr>
              <w:t>级、7级、8级、</w:t>
            </w:r>
            <w:r>
              <w:rPr>
                <w:rFonts w:ascii="Times New Roman" w:hAnsi="Times New Roman" w:cs="Times New Roman"/>
                <w:bCs/>
                <w:color w:val="000000" w:themeColor="text1"/>
                <w:kern w:val="0"/>
                <w:szCs w:val="21"/>
                <w:highlight w:val="none"/>
                <w14:textFill>
                  <w14:solidFill>
                    <w14:schemeClr w14:val="tx1"/>
                  </w14:solidFill>
                </w14:textFill>
              </w:rPr>
              <w:t>9</w:t>
            </w:r>
            <w:r>
              <w:rPr>
                <w:rFonts w:hint="eastAsia" w:ascii="Times New Roman" w:hAnsi="Times New Roman" w:cs="Times New Roman"/>
                <w:bCs/>
                <w:color w:val="000000" w:themeColor="text1"/>
                <w:kern w:val="0"/>
                <w:szCs w:val="21"/>
                <w:highlight w:val="none"/>
                <w14:textFill>
                  <w14:solidFill>
                    <w14:schemeClr w14:val="tx1"/>
                  </w14:solidFill>
                </w14:textFill>
              </w:rPr>
              <w:t>级</w:t>
            </w:r>
          </w:p>
        </w:tc>
        <w:tc>
          <w:tcPr>
            <w:tcW w:w="193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bCs/>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75" w:hRule="atLeast"/>
          <w:jc w:val="center"/>
        </w:trPr>
        <w:tc>
          <w:tcPr>
            <w:tcW w:w="663"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ascii="Times New Roman" w:hAnsi="Times New Roman" w:cs="Times New Roman"/>
                <w:bCs/>
                <w:color w:val="000000" w:themeColor="text1"/>
                <w:kern w:val="0"/>
                <w:szCs w:val="21"/>
                <w:highlight w:val="none"/>
                <w14:textFill>
                  <w14:solidFill>
                    <w14:schemeClr w14:val="tx1"/>
                  </w14:solidFill>
                </w14:textFill>
              </w:rPr>
              <w:t>1</w:t>
            </w:r>
          </w:p>
        </w:tc>
        <w:tc>
          <w:tcPr>
            <w:tcW w:w="2551"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空气洁净度级别</w:t>
            </w:r>
          </w:p>
        </w:tc>
        <w:tc>
          <w:tcPr>
            <w:tcW w:w="2835" w:type="dxa"/>
            <w:gridSpan w:val="2"/>
            <w:tcBorders>
              <w:top w:val="single" w:color="auto" w:sz="4" w:space="0"/>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必测</w:t>
            </w:r>
          </w:p>
        </w:tc>
        <w:tc>
          <w:tcPr>
            <w:tcW w:w="1938" w:type="dxa"/>
            <w:vMerge w:val="restart"/>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现行国家标准《洁净室施工及验收规范》</w:t>
            </w:r>
            <w:r>
              <w:rPr>
                <w:rFonts w:ascii="Times New Roman" w:hAnsi="Times New Roman" w:cs="Times New Roman"/>
                <w:bCs/>
                <w:color w:val="000000" w:themeColor="text1"/>
                <w:kern w:val="0"/>
                <w:szCs w:val="21"/>
                <w:highlight w:val="none"/>
                <w14:textFill>
                  <w14:solidFill>
                    <w14:schemeClr w14:val="tx1"/>
                  </w14:solidFill>
                </w14:textFill>
              </w:rPr>
              <w:t>GB 50591</w:t>
            </w:r>
          </w:p>
        </w:tc>
      </w:tr>
      <w:tr>
        <w:tblPrEx>
          <w:tblCellMar>
            <w:top w:w="0" w:type="dxa"/>
            <w:left w:w="108" w:type="dxa"/>
            <w:bottom w:w="0" w:type="dxa"/>
            <w:right w:w="108" w:type="dxa"/>
          </w:tblCellMar>
        </w:tblPrEx>
        <w:trPr>
          <w:trHeight w:val="375" w:hRule="atLeast"/>
          <w:jc w:val="center"/>
        </w:trPr>
        <w:tc>
          <w:tcPr>
            <w:tcW w:w="663"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ascii="Times New Roman" w:hAnsi="Times New Roman" w:cs="Times New Roman"/>
                <w:bCs/>
                <w:color w:val="000000" w:themeColor="text1"/>
                <w:kern w:val="0"/>
                <w:szCs w:val="21"/>
                <w:highlight w:val="none"/>
                <w14:textFill>
                  <w14:solidFill>
                    <w14:schemeClr w14:val="tx1"/>
                  </w14:solidFill>
                </w14:textFill>
              </w:rPr>
              <w:t>2</w:t>
            </w:r>
          </w:p>
        </w:tc>
        <w:tc>
          <w:tcPr>
            <w:tcW w:w="2551"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送风高效过滤器扫描检漏</w:t>
            </w:r>
          </w:p>
        </w:tc>
        <w:tc>
          <w:tcPr>
            <w:tcW w:w="2835" w:type="dxa"/>
            <w:gridSpan w:val="2"/>
            <w:tcBorders>
              <w:top w:val="single" w:color="auto" w:sz="4" w:space="0"/>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必测</w:t>
            </w:r>
          </w:p>
        </w:tc>
        <w:tc>
          <w:tcPr>
            <w:tcW w:w="1938"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bCs/>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75" w:hRule="atLeast"/>
          <w:jc w:val="center"/>
        </w:trPr>
        <w:tc>
          <w:tcPr>
            <w:tcW w:w="663"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ascii="Times New Roman" w:hAnsi="Times New Roman" w:cs="Times New Roman"/>
                <w:bCs/>
                <w:color w:val="000000" w:themeColor="text1"/>
                <w:kern w:val="0"/>
                <w:szCs w:val="21"/>
                <w:highlight w:val="none"/>
                <w14:textFill>
                  <w14:solidFill>
                    <w14:schemeClr w14:val="tx1"/>
                  </w14:solidFill>
                </w14:textFill>
              </w:rPr>
              <w:t>3</w:t>
            </w:r>
          </w:p>
        </w:tc>
        <w:tc>
          <w:tcPr>
            <w:tcW w:w="2551"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气流流型</w:t>
            </w:r>
          </w:p>
        </w:tc>
        <w:tc>
          <w:tcPr>
            <w:tcW w:w="1418"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不测</w:t>
            </w:r>
          </w:p>
        </w:tc>
        <w:tc>
          <w:tcPr>
            <w:tcW w:w="1417"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必要时测</w:t>
            </w:r>
          </w:p>
        </w:tc>
        <w:tc>
          <w:tcPr>
            <w:tcW w:w="1938"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bCs/>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75" w:hRule="atLeast"/>
          <w:jc w:val="center"/>
        </w:trPr>
        <w:tc>
          <w:tcPr>
            <w:tcW w:w="663"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ascii="Times New Roman" w:hAnsi="Times New Roman" w:cs="Times New Roman"/>
                <w:bCs/>
                <w:color w:val="000000" w:themeColor="text1"/>
                <w:kern w:val="0"/>
                <w:szCs w:val="21"/>
                <w:highlight w:val="none"/>
                <w14:textFill>
                  <w14:solidFill>
                    <w14:schemeClr w14:val="tx1"/>
                  </w14:solidFill>
                </w14:textFill>
              </w:rPr>
              <w:t>4</w:t>
            </w:r>
          </w:p>
        </w:tc>
        <w:tc>
          <w:tcPr>
            <w:tcW w:w="2551"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定向流</w:t>
            </w:r>
          </w:p>
        </w:tc>
        <w:tc>
          <w:tcPr>
            <w:tcW w:w="1418"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必要时测</w:t>
            </w:r>
          </w:p>
        </w:tc>
        <w:tc>
          <w:tcPr>
            <w:tcW w:w="1417"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不测</w:t>
            </w:r>
          </w:p>
        </w:tc>
        <w:tc>
          <w:tcPr>
            <w:tcW w:w="1938"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bCs/>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375" w:hRule="atLeast"/>
          <w:jc w:val="center"/>
        </w:trPr>
        <w:tc>
          <w:tcPr>
            <w:tcW w:w="663"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ascii="Times New Roman" w:hAnsi="Times New Roman" w:cs="Times New Roman"/>
                <w:bCs/>
                <w:color w:val="000000" w:themeColor="text1"/>
                <w:kern w:val="0"/>
                <w:szCs w:val="21"/>
                <w:highlight w:val="none"/>
                <w14:textFill>
                  <w14:solidFill>
                    <w14:schemeClr w14:val="tx1"/>
                  </w14:solidFill>
                </w14:textFill>
              </w:rPr>
              <w:t>5</w:t>
            </w:r>
          </w:p>
        </w:tc>
        <w:tc>
          <w:tcPr>
            <w:tcW w:w="2551"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流线平行性</w:t>
            </w:r>
          </w:p>
        </w:tc>
        <w:tc>
          <w:tcPr>
            <w:tcW w:w="1418"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必要时测</w:t>
            </w:r>
          </w:p>
        </w:tc>
        <w:tc>
          <w:tcPr>
            <w:tcW w:w="1417" w:type="dxa"/>
            <w:tcBorders>
              <w:top w:val="nil"/>
              <w:left w:val="nil"/>
              <w:bottom w:val="single" w:color="auto" w:sz="4" w:space="0"/>
              <w:right w:val="single" w:color="auto" w:sz="4" w:space="0"/>
            </w:tcBorders>
            <w:vAlign w:val="center"/>
          </w:tcPr>
          <w:p>
            <w:pPr>
              <w:widowControl/>
              <w:spacing w:line="360" w:lineRule="auto"/>
              <w:jc w:val="center"/>
              <w:rPr>
                <w:rFonts w:ascii="Times New Roman" w:hAnsi="Times New Roman" w:cs="Times New Roman"/>
                <w:bCs/>
                <w:color w:val="000000" w:themeColor="text1"/>
                <w:kern w:val="0"/>
                <w:szCs w:val="21"/>
                <w:highlight w:val="none"/>
                <w14:textFill>
                  <w14:solidFill>
                    <w14:schemeClr w14:val="tx1"/>
                  </w14:solidFill>
                </w14:textFill>
              </w:rPr>
            </w:pPr>
            <w:r>
              <w:rPr>
                <w:rFonts w:hint="eastAsia" w:ascii="Times New Roman" w:hAnsi="Times New Roman" w:cs="Times New Roman"/>
                <w:bCs/>
                <w:color w:val="000000" w:themeColor="text1"/>
                <w:kern w:val="0"/>
                <w:szCs w:val="21"/>
                <w:highlight w:val="none"/>
                <w14:textFill>
                  <w14:solidFill>
                    <w14:schemeClr w14:val="tx1"/>
                  </w14:solidFill>
                </w14:textFill>
              </w:rPr>
              <w:t>不测</w:t>
            </w:r>
          </w:p>
        </w:tc>
        <w:tc>
          <w:tcPr>
            <w:tcW w:w="1938"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Times New Roman" w:hAnsi="Times New Roman" w:cs="Times New Roman"/>
                <w:bCs/>
                <w:color w:val="000000" w:themeColor="text1"/>
                <w:kern w:val="0"/>
                <w:szCs w:val="21"/>
                <w:highlight w:val="none"/>
                <w14:textFill>
                  <w14:solidFill>
                    <w14:schemeClr w14:val="tx1"/>
                  </w14:solidFill>
                </w14:textFill>
              </w:rPr>
            </w:pPr>
          </w:p>
        </w:tc>
      </w:tr>
    </w:tbl>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各项工程技术指标现场检测应在同一运行工况下进行，当对某一参数进行调整后，应对所有参数重新进行现场检测</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竣工验收的检测可由施工单位完成，但不得以实验室的单项工程技术指标检验结论代替综合性能检验结论，也不得以竣工验收阶段的调整测试结果代替综合性能检验结论</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现场检测所需仪器、仪表应经过计量校准并在有效期内</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几何量测量实验室应按本规范表</w:t>
      </w:r>
      <w:r>
        <w:rPr>
          <w:rFonts w:ascii="Times New Roman" w:hAnsi="Times New Roman" w:cs="Times New Roman"/>
          <w:color w:val="000000" w:themeColor="text1"/>
          <w:sz w:val="24"/>
          <w:szCs w:val="24"/>
          <w:highlight w:val="none"/>
          <w14:textFill>
            <w14:solidFill>
              <w14:schemeClr w14:val="tx1"/>
            </w14:solidFill>
          </w14:textFill>
        </w:rPr>
        <w:t>8.1.6</w:t>
      </w:r>
      <w:r>
        <w:rPr>
          <w:rFonts w:hint="eastAsia" w:ascii="Times New Roman" w:hAnsi="Times New Roman" w:cs="Times New Roman"/>
          <w:color w:val="000000" w:themeColor="text1"/>
          <w:sz w:val="24"/>
          <w:szCs w:val="24"/>
          <w:highlight w:val="none"/>
          <w14:textFill>
            <w14:solidFill>
              <w14:schemeClr w14:val="tx1"/>
            </w14:solidFill>
          </w14:textFill>
        </w:rPr>
        <w:t>及表</w:t>
      </w:r>
      <w:r>
        <w:rPr>
          <w:rFonts w:ascii="Times New Roman" w:hAnsi="Times New Roman" w:cs="Times New Roman"/>
          <w:color w:val="000000" w:themeColor="text1"/>
          <w:sz w:val="24"/>
          <w:szCs w:val="24"/>
          <w:highlight w:val="none"/>
          <w14:textFill>
            <w14:solidFill>
              <w14:schemeClr w14:val="tx1"/>
            </w14:solidFill>
          </w14:textFill>
        </w:rPr>
        <w:t>8.1.7</w:t>
      </w:r>
      <w:r>
        <w:rPr>
          <w:rFonts w:hint="eastAsia" w:ascii="Times New Roman" w:hAnsi="Times New Roman" w:cs="Times New Roman"/>
          <w:color w:val="000000" w:themeColor="text1"/>
          <w:sz w:val="24"/>
          <w:szCs w:val="24"/>
          <w:highlight w:val="none"/>
          <w14:textFill>
            <w14:solidFill>
              <w14:schemeClr w14:val="tx1"/>
            </w14:solidFill>
          </w14:textFill>
        </w:rPr>
        <w:t>规定的检测项目逐项检测，并应根据下列规定作出检测结论</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2"/>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对于符合规范</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规程要求的，应判定为合格；</w:t>
      </w:r>
    </w:p>
    <w:p>
      <w:pPr>
        <w:pStyle w:val="90"/>
        <w:numPr>
          <w:ilvl w:val="0"/>
          <w:numId w:val="52"/>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对于存在问题，但经过整改后能符合要求的，应判定为限期整改；</w:t>
      </w:r>
    </w:p>
    <w:p>
      <w:pPr>
        <w:pStyle w:val="90"/>
        <w:numPr>
          <w:ilvl w:val="0"/>
          <w:numId w:val="52"/>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对于不符合规范要求，又不具备整改条件的，应判定为不合格。</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室内截面风速应按本规程附录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检验，并应符合下列规定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3"/>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室内工作区截面风速应在系统稳定后对所要求高度的截面平均风速进行检测；</w:t>
      </w:r>
    </w:p>
    <w:p>
      <w:pPr>
        <w:pStyle w:val="90"/>
        <w:numPr>
          <w:ilvl w:val="0"/>
          <w:numId w:val="53"/>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对于普通实验室环境，截面风速的检测结果不应小于设计风速，但不宜超过设计风速的</w:t>
      </w:r>
      <w:r>
        <w:rPr>
          <w:rFonts w:ascii="Times New Roman" w:hAnsi="Times New Roman" w:cs="Times New Roman"/>
          <w:color w:val="000000" w:themeColor="text1"/>
          <w:sz w:val="24"/>
          <w:szCs w:val="24"/>
          <w:highlight w:val="none"/>
          <w14:textFill>
            <w14:solidFill>
              <w14:schemeClr w14:val="tx1"/>
            </w14:solidFill>
          </w14:textFill>
        </w:rPr>
        <w:t>15%</w:t>
      </w:r>
      <w:r>
        <w:rPr>
          <w:rFonts w:hint="eastAsia"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3"/>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对于洁净类几何量测量实验室环境，截面风速的检测结果不应小于表</w:t>
      </w:r>
      <w:r>
        <w:rPr>
          <w:rFonts w:ascii="Times New Roman" w:hAnsi="Times New Roman" w:cs="Times New Roman"/>
          <w:color w:val="000000" w:themeColor="text1"/>
          <w:sz w:val="24"/>
          <w:szCs w:val="24"/>
          <w:highlight w:val="none"/>
          <w14:textFill>
            <w14:solidFill>
              <w14:schemeClr w14:val="tx1"/>
            </w14:solidFill>
          </w14:textFill>
        </w:rPr>
        <w:t>8.1.13</w:t>
      </w:r>
      <w:r>
        <w:rPr>
          <w:rFonts w:hint="eastAsia" w:ascii="Times New Roman" w:hAnsi="Times New Roman" w:cs="Times New Roman"/>
          <w:color w:val="000000" w:themeColor="text1"/>
          <w:sz w:val="24"/>
          <w:szCs w:val="24"/>
          <w:highlight w:val="none"/>
          <w14:textFill>
            <w14:solidFill>
              <w14:schemeClr w14:val="tx1"/>
            </w14:solidFill>
          </w14:textFill>
        </w:rPr>
        <w:t>中规定的平均风速，但不宜超过上限；</w:t>
      </w:r>
    </w:p>
    <w:p>
      <w:pPr>
        <w:pStyle w:val="90"/>
        <w:spacing w:line="360" w:lineRule="auto"/>
        <w:ind w:left="851" w:firstLine="0" w:firstLineChars="0"/>
        <w:rPr>
          <w:rFonts w:ascii="Times New Roman" w:hAnsi="Times New Roman" w:cs="Times New Roman"/>
          <w:color w:val="000000" w:themeColor="text1"/>
          <w:sz w:val="24"/>
          <w:szCs w:val="24"/>
          <w:highlight w:val="none"/>
          <w14:textFill>
            <w14:solidFill>
              <w14:schemeClr w14:val="tx1"/>
            </w14:solidFill>
          </w14:textFill>
        </w:rPr>
      </w:pPr>
    </w:p>
    <w:p>
      <w:pPr>
        <w:tabs>
          <w:tab w:val="left" w:pos="567"/>
        </w:tabs>
        <w:spacing w:before="156" w:beforeLines="50" w:line="360" w:lineRule="auto"/>
        <w:jc w:val="center"/>
        <w:rPr>
          <w:rFonts w:ascii="Times New Roman" w:hAnsi="Times New Roman" w:eastAsia="宋体" w:cs="Times New Roman"/>
          <w:b/>
          <w:color w:val="000000" w:themeColor="text1"/>
          <w:szCs w:val="21"/>
          <w:highlight w:val="none"/>
          <w14:textFill>
            <w14:solidFill>
              <w14:schemeClr w14:val="tx1"/>
            </w14:solidFill>
          </w14:textFill>
        </w:rPr>
      </w:pPr>
      <w:r>
        <w:rPr>
          <w:rFonts w:ascii="Times New Roman" w:hAnsi="Times New Roman" w:eastAsia="宋体" w:cs="Times New Roman"/>
          <w:b/>
          <w:color w:val="000000" w:themeColor="text1"/>
          <w:szCs w:val="21"/>
          <w:highlight w:val="none"/>
          <w14:textFill>
            <w14:solidFill>
              <w14:schemeClr w14:val="tx1"/>
            </w14:solidFill>
          </w14:textFill>
        </w:rPr>
        <w:t>表</w:t>
      </w:r>
      <w:r>
        <w:rPr>
          <w:rFonts w:ascii="Times New Roman" w:hAnsi="Times New Roman" w:cs="Times New Roman"/>
          <w:b/>
          <w:color w:val="000000" w:themeColor="text1"/>
          <w:szCs w:val="21"/>
          <w:highlight w:val="none"/>
          <w14:textFill>
            <w14:solidFill>
              <w14:schemeClr w14:val="tx1"/>
            </w14:solidFill>
          </w14:textFill>
        </w:rPr>
        <w:t>8</w:t>
      </w:r>
      <w:r>
        <w:rPr>
          <w:rFonts w:ascii="Times New Roman" w:hAnsi="Times New Roman" w:eastAsia="宋体" w:cs="Times New Roman"/>
          <w:b/>
          <w:color w:val="000000" w:themeColor="text1"/>
          <w:szCs w:val="21"/>
          <w:highlight w:val="none"/>
          <w14:textFill>
            <w14:solidFill>
              <w14:schemeClr w14:val="tx1"/>
            </w14:solidFill>
          </w14:textFill>
        </w:rPr>
        <w:t>.1.13</w:t>
      </w:r>
      <w:r>
        <w:rPr>
          <w:rFonts w:hint="eastAsia" w:ascii="Times New Roman" w:hAnsi="Times New Roman" w:eastAsia="宋体" w:cs="Times New Roman"/>
          <w:b/>
          <w:color w:val="000000" w:themeColor="text1"/>
          <w:szCs w:val="21"/>
          <w:highlight w:val="none"/>
          <w14:textFill>
            <w14:solidFill>
              <w14:schemeClr w14:val="tx1"/>
            </w14:solidFill>
          </w14:textFill>
        </w:rPr>
        <w:t>　洁净类几何量测量室送风量</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7"/>
        <w:gridCol w:w="2273"/>
        <w:gridCol w:w="2599"/>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2"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空气洁净度等级</w:t>
            </w:r>
          </w:p>
        </w:tc>
        <w:tc>
          <w:tcPr>
            <w:tcW w:w="1243"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气流流型</w:t>
            </w:r>
          </w:p>
        </w:tc>
        <w:tc>
          <w:tcPr>
            <w:tcW w:w="1421"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平均风速</w:t>
            </w:r>
          </w:p>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w:t>
            </w:r>
            <w:r>
              <w:rPr>
                <w:rFonts w:ascii="Times New Roman" w:hAnsi="Times New Roman" w:cs="Times New Roman"/>
                <w:bCs/>
                <w:color w:val="000000" w:themeColor="text1"/>
                <w:szCs w:val="21"/>
                <w:highlight w:val="none"/>
                <w14:textFill>
                  <w14:solidFill>
                    <w14:schemeClr w14:val="tx1"/>
                  </w14:solidFill>
                </w14:textFill>
              </w:rPr>
              <w:t>m/s</w:t>
            </w:r>
            <w:r>
              <w:rPr>
                <w:rFonts w:hint="eastAsia" w:ascii="Times New Roman" w:hAnsi="Times New Roman" w:cs="Times New Roman"/>
                <w:bCs/>
                <w:color w:val="000000" w:themeColor="text1"/>
                <w:szCs w:val="21"/>
                <w:highlight w:val="none"/>
                <w14:textFill>
                  <w14:solidFill>
                    <w14:schemeClr w14:val="tx1"/>
                  </w14:solidFill>
                </w14:textFill>
              </w:rPr>
              <w:t>）</w:t>
            </w:r>
          </w:p>
        </w:tc>
        <w:tc>
          <w:tcPr>
            <w:tcW w:w="1184"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换气次数</w:t>
            </w:r>
          </w:p>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(h</w:t>
            </w:r>
            <w:r>
              <w:rPr>
                <w:rFonts w:ascii="Times New Roman" w:hAnsi="Times New Roman" w:cs="Times New Roman"/>
                <w:bCs/>
                <w:color w:val="000000" w:themeColor="text1"/>
                <w:szCs w:val="21"/>
                <w:highlight w:val="none"/>
                <w:vertAlign w:val="superscript"/>
                <w14:textFill>
                  <w14:solidFill>
                    <w14:schemeClr w14:val="tx1"/>
                  </w14:solidFill>
                </w14:textFill>
              </w:rPr>
              <w:t>-1</w:t>
            </w:r>
            <w:r>
              <w:rPr>
                <w:rFonts w:ascii="Times New Roman" w:hAnsi="Times New Roman" w:cs="Times New Roman"/>
                <w:bCs/>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4</w:t>
            </w:r>
            <w:r>
              <w:rPr>
                <w:rFonts w:hint="eastAsia" w:ascii="Times New Roman" w:hAnsi="Times New Roman" w:cs="Times New Roman"/>
                <w:bCs/>
                <w:color w:val="000000" w:themeColor="text1"/>
                <w:szCs w:val="21"/>
                <w:highlight w:val="none"/>
                <w14:textFill>
                  <w14:solidFill>
                    <w14:schemeClr w14:val="tx1"/>
                  </w14:solidFill>
                </w14:textFill>
              </w:rPr>
              <w:t>～</w:t>
            </w:r>
            <w:r>
              <w:rPr>
                <w:rFonts w:ascii="Times New Roman" w:hAnsi="Times New Roman" w:cs="Times New Roman"/>
                <w:bCs/>
                <w:color w:val="000000" w:themeColor="text1"/>
                <w:szCs w:val="21"/>
                <w:highlight w:val="none"/>
                <w14:textFill>
                  <w14:solidFill>
                    <w14:schemeClr w14:val="tx1"/>
                  </w14:solidFill>
                </w14:textFill>
              </w:rPr>
              <w:t>5</w:t>
            </w:r>
          </w:p>
        </w:tc>
        <w:tc>
          <w:tcPr>
            <w:tcW w:w="1243"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单向流</w:t>
            </w:r>
          </w:p>
        </w:tc>
        <w:tc>
          <w:tcPr>
            <w:tcW w:w="1421"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0.2</w:t>
            </w:r>
            <w:r>
              <w:rPr>
                <w:rFonts w:hint="eastAsia" w:ascii="Times New Roman" w:hAnsi="Times New Roman" w:cs="Times New Roman"/>
                <w:bCs/>
                <w:color w:val="000000" w:themeColor="text1"/>
                <w:szCs w:val="21"/>
                <w:highlight w:val="none"/>
                <w14:textFill>
                  <w14:solidFill>
                    <w14:schemeClr w14:val="tx1"/>
                  </w14:solidFill>
                </w14:textFill>
              </w:rPr>
              <w:t>～</w:t>
            </w:r>
            <w:r>
              <w:rPr>
                <w:rFonts w:ascii="Times New Roman" w:hAnsi="Times New Roman" w:cs="Times New Roman"/>
                <w:bCs/>
                <w:color w:val="000000" w:themeColor="text1"/>
                <w:szCs w:val="21"/>
                <w:highlight w:val="none"/>
                <w14:textFill>
                  <w14:solidFill>
                    <w14:schemeClr w14:val="tx1"/>
                  </w14:solidFill>
                </w14:textFill>
              </w:rPr>
              <w:t>0.4</w:t>
            </w:r>
          </w:p>
        </w:tc>
        <w:tc>
          <w:tcPr>
            <w:tcW w:w="1184"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6</w:t>
            </w:r>
          </w:p>
        </w:tc>
        <w:tc>
          <w:tcPr>
            <w:tcW w:w="1243"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非单向流</w:t>
            </w:r>
          </w:p>
        </w:tc>
        <w:tc>
          <w:tcPr>
            <w:tcW w:w="1421"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w:t>
            </w:r>
          </w:p>
        </w:tc>
        <w:tc>
          <w:tcPr>
            <w:tcW w:w="1184"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50</w:t>
            </w:r>
            <w:r>
              <w:rPr>
                <w:rFonts w:hint="eastAsia" w:ascii="Times New Roman" w:hAnsi="Times New Roman" w:cs="Times New Roman"/>
                <w:bCs/>
                <w:color w:val="000000" w:themeColor="text1"/>
                <w:szCs w:val="21"/>
                <w:highlight w:val="none"/>
                <w14:textFill>
                  <w14:solidFill>
                    <w14:schemeClr w14:val="tx1"/>
                  </w14:solidFill>
                </w14:textFill>
              </w:rPr>
              <w:t>～</w:t>
            </w:r>
            <w:r>
              <w:rPr>
                <w:rFonts w:ascii="Times New Roman" w:hAnsi="Times New Roman" w:cs="Times New Roman"/>
                <w:bCs/>
                <w:color w:val="000000" w:themeColor="text1"/>
                <w:szCs w:val="21"/>
                <w:highlight w:val="none"/>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7</w:t>
            </w:r>
          </w:p>
        </w:tc>
        <w:tc>
          <w:tcPr>
            <w:tcW w:w="1243"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非单向流</w:t>
            </w:r>
          </w:p>
        </w:tc>
        <w:tc>
          <w:tcPr>
            <w:tcW w:w="1421"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w:t>
            </w:r>
          </w:p>
        </w:tc>
        <w:tc>
          <w:tcPr>
            <w:tcW w:w="1184"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15</w:t>
            </w:r>
            <w:r>
              <w:rPr>
                <w:rFonts w:hint="eastAsia" w:ascii="Times New Roman" w:hAnsi="Times New Roman" w:cs="Times New Roman"/>
                <w:bCs/>
                <w:color w:val="000000" w:themeColor="text1"/>
                <w:szCs w:val="21"/>
                <w:highlight w:val="none"/>
                <w14:textFill>
                  <w14:solidFill>
                    <w14:schemeClr w14:val="tx1"/>
                  </w14:solidFill>
                </w14:textFill>
              </w:rPr>
              <w:t>～</w:t>
            </w:r>
            <w:r>
              <w:rPr>
                <w:rFonts w:ascii="Times New Roman" w:hAnsi="Times New Roman" w:cs="Times New Roman"/>
                <w:bCs/>
                <w:color w:val="000000" w:themeColor="text1"/>
                <w:szCs w:val="21"/>
                <w:highlight w:val="none"/>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8</w:t>
            </w:r>
            <w:r>
              <w:rPr>
                <w:rFonts w:hint="eastAsia" w:ascii="Times New Roman" w:hAnsi="Times New Roman" w:cs="Times New Roman"/>
                <w:bCs/>
                <w:color w:val="000000" w:themeColor="text1"/>
                <w:szCs w:val="21"/>
                <w:highlight w:val="none"/>
                <w14:textFill>
                  <w14:solidFill>
                    <w14:schemeClr w14:val="tx1"/>
                  </w14:solidFill>
                </w14:textFill>
              </w:rPr>
              <w:t>～</w:t>
            </w:r>
            <w:r>
              <w:rPr>
                <w:rFonts w:ascii="Times New Roman" w:hAnsi="Times New Roman" w:cs="Times New Roman"/>
                <w:bCs/>
                <w:color w:val="000000" w:themeColor="text1"/>
                <w:szCs w:val="21"/>
                <w:highlight w:val="none"/>
                <w14:textFill>
                  <w14:solidFill>
                    <w14:schemeClr w14:val="tx1"/>
                  </w14:solidFill>
                </w14:textFill>
              </w:rPr>
              <w:t>9</w:t>
            </w:r>
          </w:p>
        </w:tc>
        <w:tc>
          <w:tcPr>
            <w:tcW w:w="1243"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hint="eastAsia" w:ascii="Times New Roman" w:hAnsi="Times New Roman" w:cs="Times New Roman"/>
                <w:bCs/>
                <w:color w:val="000000" w:themeColor="text1"/>
                <w:szCs w:val="21"/>
                <w:highlight w:val="none"/>
                <w14:textFill>
                  <w14:solidFill>
                    <w14:schemeClr w14:val="tx1"/>
                  </w14:solidFill>
                </w14:textFill>
              </w:rPr>
              <w:t>非单向流</w:t>
            </w:r>
          </w:p>
        </w:tc>
        <w:tc>
          <w:tcPr>
            <w:tcW w:w="1421"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w:t>
            </w:r>
          </w:p>
        </w:tc>
        <w:tc>
          <w:tcPr>
            <w:tcW w:w="1184" w:type="pct"/>
            <w:tcBorders>
              <w:top w:val="single" w:color="auto" w:sz="4" w:space="0"/>
              <w:left w:val="single" w:color="auto" w:sz="4" w:space="0"/>
              <w:bottom w:val="single" w:color="auto" w:sz="4" w:space="0"/>
              <w:right w:val="single" w:color="auto" w:sz="4" w:space="0"/>
            </w:tcBorders>
            <w:vAlign w:val="center"/>
          </w:tcPr>
          <w:p>
            <w:pPr>
              <w:tabs>
                <w:tab w:val="left" w:pos="567"/>
              </w:tabs>
              <w:autoSpaceDE w:val="0"/>
              <w:autoSpaceDN w:val="0"/>
              <w:adjustRightInd w:val="0"/>
              <w:spacing w:line="360" w:lineRule="auto"/>
              <w:jc w:val="center"/>
              <w:rPr>
                <w:rFonts w:ascii="Times New Roman" w:hAnsi="Times New Roman" w:cs="Times New Roman"/>
                <w:bCs/>
                <w:color w:val="000000" w:themeColor="text1"/>
                <w:szCs w:val="21"/>
                <w:highlight w:val="none"/>
                <w14:textFill>
                  <w14:solidFill>
                    <w14:schemeClr w14:val="tx1"/>
                  </w14:solidFill>
                </w14:textFill>
              </w:rPr>
            </w:pPr>
            <w:r>
              <w:rPr>
                <w:rFonts w:ascii="Times New Roman" w:hAnsi="Times New Roman" w:cs="Times New Roman"/>
                <w:bCs/>
                <w:color w:val="000000" w:themeColor="text1"/>
                <w:szCs w:val="21"/>
                <w:highlight w:val="none"/>
                <w14:textFill>
                  <w14:solidFill>
                    <w14:schemeClr w14:val="tx1"/>
                  </w14:solidFill>
                </w14:textFill>
              </w:rPr>
              <w:t>10</w:t>
            </w:r>
            <w:r>
              <w:rPr>
                <w:rFonts w:hint="eastAsia" w:ascii="Times New Roman" w:hAnsi="Times New Roman" w:cs="Times New Roman"/>
                <w:bCs/>
                <w:color w:val="000000" w:themeColor="text1"/>
                <w:szCs w:val="21"/>
                <w:highlight w:val="none"/>
                <w14:textFill>
                  <w14:solidFill>
                    <w14:schemeClr w14:val="tx1"/>
                  </w14:solidFill>
                </w14:textFill>
              </w:rPr>
              <w:t>～</w:t>
            </w:r>
            <w:r>
              <w:rPr>
                <w:rFonts w:ascii="Times New Roman" w:hAnsi="Times New Roman" w:cs="Times New Roman"/>
                <w:bCs/>
                <w:color w:val="000000" w:themeColor="text1"/>
                <w:szCs w:val="21"/>
                <w:highlight w:val="none"/>
                <w14:textFill>
                  <w14:solidFill>
                    <w14:schemeClr w14:val="tx1"/>
                  </w14:solidFill>
                </w14:textFill>
              </w:rPr>
              <w:t>15</w:t>
            </w:r>
          </w:p>
        </w:tc>
      </w:tr>
    </w:tbl>
    <w:p>
      <w:pPr>
        <w:spacing w:line="360" w:lineRule="auto"/>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注：</w:t>
      </w:r>
      <w:r>
        <w:rPr>
          <w:rFonts w:ascii="Times New Roman" w:hAnsi="Times New Roman" w:cs="Times New Roman"/>
          <w:color w:val="000000" w:themeColor="text1"/>
          <w:szCs w:val="21"/>
          <w:highlight w:val="none"/>
          <w14:textFill>
            <w14:solidFill>
              <w14:schemeClr w14:val="tx1"/>
            </w14:solidFill>
          </w14:textFill>
        </w:rPr>
        <w:t xml:space="preserve">1 </w:t>
      </w:r>
      <w:r>
        <w:rPr>
          <w:rFonts w:hint="eastAsia" w:ascii="Times New Roman" w:hAnsi="Times New Roman" w:cs="Times New Roman"/>
          <w:color w:val="000000" w:themeColor="text1"/>
          <w:szCs w:val="21"/>
          <w:highlight w:val="none"/>
          <w14:textFill>
            <w14:solidFill>
              <w14:schemeClr w14:val="tx1"/>
            </w14:solidFill>
          </w14:textFill>
        </w:rPr>
        <w:t>换气次数适用于层高小于</w:t>
      </w:r>
      <w:r>
        <w:rPr>
          <w:rFonts w:ascii="Times New Roman" w:hAnsi="Times New Roman" w:cs="Times New Roman"/>
          <w:color w:val="000000" w:themeColor="text1"/>
          <w:szCs w:val="21"/>
          <w:highlight w:val="none"/>
          <w14:textFill>
            <w14:solidFill>
              <w14:schemeClr w14:val="tx1"/>
            </w14:solidFill>
          </w14:textFill>
        </w:rPr>
        <w:t>4.0m</w:t>
      </w:r>
      <w:r>
        <w:rPr>
          <w:rFonts w:hint="eastAsia" w:ascii="Times New Roman" w:hAnsi="Times New Roman" w:cs="Times New Roman"/>
          <w:color w:val="000000" w:themeColor="text1"/>
          <w:szCs w:val="21"/>
          <w:highlight w:val="none"/>
          <w14:textFill>
            <w14:solidFill>
              <w14:schemeClr w14:val="tx1"/>
            </w14:solidFill>
          </w14:textFill>
        </w:rPr>
        <w:t>的洁净室；</w:t>
      </w:r>
    </w:p>
    <w:p>
      <w:pPr>
        <w:spacing w:line="360" w:lineRule="auto"/>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 xml:space="preserve">2 </w:t>
      </w:r>
      <w:r>
        <w:rPr>
          <w:rFonts w:hint="eastAsia" w:ascii="Times New Roman" w:hAnsi="Times New Roman" w:cs="Times New Roman"/>
          <w:color w:val="000000" w:themeColor="text1"/>
          <w:szCs w:val="21"/>
          <w:highlight w:val="none"/>
          <w14:textFill>
            <w14:solidFill>
              <w14:schemeClr w14:val="tx1"/>
            </w14:solidFill>
          </w14:textFill>
        </w:rPr>
        <w:t>应根据室内人员、工艺设备的布置以及物料传输等情况采用上、下限值。</w:t>
      </w:r>
    </w:p>
    <w:p>
      <w:pPr>
        <w:pStyle w:val="90"/>
        <w:numPr>
          <w:ilvl w:val="0"/>
          <w:numId w:val="5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截面平均风速（</w:t>
      </w:r>
      <w:r>
        <w:rPr>
          <w:rFonts w:ascii="Times New Roman" w:hAnsi="Times New Roman" w:cs="Times New Roman"/>
          <w:b/>
          <w:color w:val="000000" w:themeColor="text1"/>
          <w:position w:val="-6"/>
          <w:sz w:val="24"/>
          <w:szCs w:val="24"/>
          <w:highlight w:val="none"/>
          <w14:textFill>
            <w14:solidFill>
              <w14:schemeClr w14:val="tx1"/>
            </w14:solidFill>
          </w14:textFill>
        </w:rPr>
        <w:object>
          <v:shape id="_x0000_i1025" o:spt="75" type="#_x0000_t75" style="height:16.9pt;width:9.75pt;" o:ole="t" filled="f" o:preferrelative="t" stroked="f" coordsize="21600,21600">
            <v:path/>
            <v:fill on="f" focussize="0,0"/>
            <v:stroke on="f" joinstyle="miter"/>
            <v:imagedata r:id="rId9" o:title=""/>
            <o:lock v:ext="edit" aspectratio="t"/>
            <w10:wrap type="none"/>
            <w10:anchorlock/>
          </v:shape>
          <o:OLEObject Type="Embed" ProgID="Equation.DSMT4" ShapeID="_x0000_i1025" DrawAspect="Content" ObjectID="_1468075725" r:id="rId8">
            <o:LockedField>false</o:LockedField>
          </o:OLEObject>
        </w:object>
      </w:r>
      <w:r>
        <w:rPr>
          <w:rFonts w:hint="eastAsia" w:ascii="Times New Roman" w:hAnsi="Times New Roman" w:cs="Times New Roman"/>
          <w:color w:val="000000" w:themeColor="text1"/>
          <w:sz w:val="24"/>
          <w:szCs w:val="24"/>
          <w:highlight w:val="none"/>
          <w14:textFill>
            <w14:solidFill>
              <w14:schemeClr w14:val="tx1"/>
            </w14:solidFill>
          </w14:textFill>
        </w:rPr>
        <w:t>）应按下式计算；</w:t>
      </w:r>
    </w:p>
    <w:p>
      <w:pPr>
        <w:adjustRightInd w:val="0"/>
        <w:snapToGrid w:val="0"/>
        <w:spacing w:line="360" w:lineRule="auto"/>
        <w:jc w:val="right"/>
        <w:rPr>
          <w:rFonts w:ascii="Times New Roman" w:hAnsi="Times New Roman" w:cs="Times New Roman"/>
          <w:bCs/>
          <w:color w:val="000000" w:themeColor="text1"/>
          <w:sz w:val="24"/>
          <w:szCs w:val="24"/>
          <w:highlight w:val="none"/>
          <w14:textFill>
            <w14:solidFill>
              <w14:schemeClr w14:val="tx1"/>
            </w14:solidFill>
          </w14:textFill>
        </w:rPr>
      </w:pPr>
      <w:r>
        <w:rPr>
          <w:rFonts w:ascii="Times New Roman" w:hAnsi="Times New Roman" w:cs="Times New Roman"/>
          <w:color w:val="000000" w:themeColor="text1"/>
          <w:position w:val="-30"/>
          <w:sz w:val="24"/>
          <w:szCs w:val="24"/>
          <w:highlight w:val="none"/>
          <w14:textFill>
            <w14:solidFill>
              <w14:schemeClr w14:val="tx1"/>
            </w14:solidFill>
          </w14:textFill>
        </w:rPr>
        <w:object>
          <v:shape id="_x0000_i1026" o:spt="75" type="#_x0000_t75" style="height:41.65pt;width:81.75pt;" o:ole="t" filled="f" o:preferrelative="t" stroked="f" coordsize="21600,21600">
            <v:path/>
            <v:fill on="f" focussize="0,0"/>
            <v:stroke on="f" joinstyle="miter"/>
            <v:imagedata r:id="rId11" o:title=""/>
            <o:lock v:ext="edit" aspectratio="t"/>
            <w10:wrap type="none"/>
            <w10:anchorlock/>
          </v:shape>
          <o:OLEObject Type="Embed" ProgID="Equation.3" ShapeID="_x0000_i1026" DrawAspect="Content" ObjectID="_1468075726" r:id="rId10">
            <o:LockedField>false</o:LockedField>
          </o:OLEObject>
        </w:object>
      </w:r>
      <w:r>
        <w:rPr>
          <w:rFonts w:hint="eastAsia" w:ascii="Times New Roman" w:hAnsi="Times New Roman" w:cs="Times New Roman"/>
          <w:bCs/>
          <w:color w:val="000000" w:themeColor="text1"/>
          <w:sz w:val="24"/>
          <w:szCs w:val="24"/>
          <w:highlight w:val="none"/>
          <w14:textFill>
            <w14:solidFill>
              <w14:schemeClr w14:val="tx1"/>
            </w14:solidFill>
          </w14:textFill>
        </w:rPr>
        <w:t>　　　　　　　　　　　　　　</w:t>
      </w:r>
      <w:r>
        <w:rPr>
          <w:rFonts w:ascii="Times New Roman" w:hAnsi="Times New Roman" w:cs="Times New Roman"/>
          <w:bCs/>
          <w:color w:val="000000" w:themeColor="text1"/>
          <w:sz w:val="24"/>
          <w:szCs w:val="24"/>
          <w:highlight w:val="none"/>
          <w14:textFill>
            <w14:solidFill>
              <w14:schemeClr w14:val="tx1"/>
            </w14:solidFill>
          </w14:textFill>
        </w:rPr>
        <w:t>(8.1.12)</w:t>
      </w:r>
    </w:p>
    <w:p>
      <w:pPr>
        <w:autoSpaceDE w:val="0"/>
        <w:autoSpaceDN w:val="0"/>
        <w:adjustRightInd w:val="0"/>
        <w:snapToGrid w:val="0"/>
        <w:spacing w:line="360" w:lineRule="auto"/>
        <w:rPr>
          <w:rFonts w:ascii="Times New Roman" w:hAnsi="Times New Roman" w:cs="Times New Roman"/>
          <w:bCs/>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式中：</w:t>
      </w:r>
      <w:r>
        <w:rPr>
          <w:rFonts w:ascii="Times New Roman" w:hAnsi="Times New Roman" w:cs="Times New Roman"/>
          <w:bCs/>
          <w:color w:val="000000" w:themeColor="text1"/>
          <w:position w:val="-14"/>
          <w:sz w:val="24"/>
          <w:szCs w:val="24"/>
          <w:highlight w:val="none"/>
          <w14:textFill>
            <w14:solidFill>
              <w14:schemeClr w14:val="tx1"/>
            </w14:solidFill>
          </w14:textFill>
        </w:rPr>
        <w:object>
          <v:shape id="_x0000_i1027" o:spt="75" type="#_x0000_t75" style="height:18.4pt;width:14.25pt;" o:ole="t" filled="f" o:preferrelative="t" stroked="f" coordsize="21600,21600">
            <v:path/>
            <v:fill on="f" focussize="0,0"/>
            <v:stroke on="f" joinstyle="miter"/>
            <v:imagedata r:id="rId13" o:title=""/>
            <o:lock v:ext="edit" aspectratio="t"/>
            <w10:wrap type="none"/>
            <w10:anchorlock/>
          </v:shape>
          <o:OLEObject Type="Embed" ProgID="Equation.3" ShapeID="_x0000_i1027" DrawAspect="Content" ObjectID="_1468075727" r:id="rId12">
            <o:LockedField>false</o:LockedField>
          </o:OLEObject>
        </w:object>
      </w:r>
      <w:r>
        <w:rPr>
          <w:rFonts w:ascii="Times New Roman" w:hAnsi="Times New Roman" w:cs="Times New Roman"/>
          <w:bCs/>
          <w:color w:val="000000" w:themeColor="text1"/>
          <w:sz w:val="24"/>
          <w:szCs w:val="24"/>
          <w:highlight w:val="none"/>
          <w14:textFill>
            <w14:solidFill>
              <w14:schemeClr w14:val="tx1"/>
            </w14:solidFill>
          </w14:textFill>
        </w:rPr>
        <w:t>——</w:t>
      </w:r>
      <w:r>
        <w:rPr>
          <w:rFonts w:hint="eastAsia" w:ascii="Times New Roman" w:hAnsi="Times New Roman" w:cs="Times New Roman"/>
          <w:bCs/>
          <w:color w:val="000000" w:themeColor="text1"/>
          <w:sz w:val="24"/>
          <w:szCs w:val="24"/>
          <w:highlight w:val="none"/>
          <w14:textFill>
            <w14:solidFill>
              <w14:schemeClr w14:val="tx1"/>
            </w14:solidFill>
          </w14:textFill>
        </w:rPr>
        <w:t>每个测点的风速（</w:t>
      </w:r>
      <w:r>
        <w:rPr>
          <w:rFonts w:ascii="Times New Roman" w:hAnsi="Times New Roman" w:cs="Times New Roman"/>
          <w:bCs/>
          <w:color w:val="000000" w:themeColor="text1"/>
          <w:sz w:val="24"/>
          <w:szCs w:val="24"/>
          <w:highlight w:val="none"/>
          <w14:textFill>
            <w14:solidFill>
              <w14:schemeClr w14:val="tx1"/>
            </w14:solidFill>
          </w14:textFill>
        </w:rPr>
        <w:t>m/s</w:t>
      </w:r>
      <w:r>
        <w:rPr>
          <w:rFonts w:hint="eastAsia" w:ascii="Times New Roman" w:hAnsi="Times New Roman" w:cs="Times New Roman"/>
          <w:bCs/>
          <w:color w:val="000000" w:themeColor="text1"/>
          <w:sz w:val="24"/>
          <w:szCs w:val="24"/>
          <w:highlight w:val="none"/>
          <w14:textFill>
            <w14:solidFill>
              <w14:schemeClr w14:val="tx1"/>
            </w14:solidFill>
          </w14:textFill>
        </w:rPr>
        <w:t>）；</w:t>
      </w:r>
    </w:p>
    <w:p>
      <w:pPr>
        <w:autoSpaceDE w:val="0"/>
        <w:autoSpaceDN w:val="0"/>
        <w:adjustRightInd w:val="0"/>
        <w:snapToGrid w:val="0"/>
        <w:spacing w:line="360" w:lineRule="auto"/>
        <w:ind w:firstLine="720" w:firstLineChars="300"/>
        <w:rPr>
          <w:rFonts w:ascii="Times New Roman" w:hAnsi="Times New Roman" w:cs="Times New Roman"/>
          <w:bCs/>
          <w:color w:val="000000" w:themeColor="text1"/>
          <w:sz w:val="24"/>
          <w:szCs w:val="24"/>
          <w:highlight w:val="none"/>
          <w14:textFill>
            <w14:solidFill>
              <w14:schemeClr w14:val="tx1"/>
            </w14:solidFill>
          </w14:textFill>
        </w:rPr>
      </w:pPr>
      <w:r>
        <w:rPr>
          <w:rFonts w:ascii="Times New Roman" w:hAnsi="Times New Roman" w:cs="Times New Roman"/>
          <w:bCs/>
          <w:color w:val="000000" w:themeColor="text1"/>
          <w:position w:val="-6"/>
          <w:sz w:val="24"/>
          <w:szCs w:val="24"/>
          <w:highlight w:val="none"/>
          <w14:textFill>
            <w14:solidFill>
              <w14:schemeClr w14:val="tx1"/>
            </w14:solidFill>
          </w14:textFill>
        </w:rPr>
        <w:object>
          <v:shape id="_x0000_i1028" o:spt="75" type="#_x0000_t75" style="height:15.4pt;width:10.9pt;" o:ole="t" filled="f" o:preferrelative="t" stroked="f" coordsize="21600,21600">
            <v:path/>
            <v:fill on="f" focussize="0,0"/>
            <v:stroke on="f" joinstyle="miter"/>
            <v:imagedata r:id="rId15" o:title=""/>
            <o:lock v:ext="edit" aspectratio="t"/>
            <w10:wrap type="none"/>
            <w10:anchorlock/>
          </v:shape>
          <o:OLEObject Type="Embed" ProgID="Equation.3" ShapeID="_x0000_i1028" DrawAspect="Content" ObjectID="_1468075728" r:id="rId14">
            <o:LockedField>false</o:LockedField>
          </o:OLEObject>
        </w:object>
      </w:r>
      <w:r>
        <w:rPr>
          <w:rFonts w:ascii="Times New Roman" w:hAnsi="Times New Roman" w:cs="Times New Roman"/>
          <w:bCs/>
          <w:color w:val="000000" w:themeColor="text1"/>
          <w:sz w:val="24"/>
          <w:szCs w:val="24"/>
          <w:highlight w:val="none"/>
          <w14:textFill>
            <w14:solidFill>
              <w14:schemeClr w14:val="tx1"/>
            </w14:solidFill>
          </w14:textFill>
        </w:rPr>
        <w:t>——</w:t>
      </w:r>
      <w:r>
        <w:rPr>
          <w:rFonts w:hint="eastAsia" w:ascii="Times New Roman" w:hAnsi="Times New Roman" w:cs="Times New Roman"/>
          <w:bCs/>
          <w:color w:val="000000" w:themeColor="text1"/>
          <w:sz w:val="24"/>
          <w:szCs w:val="24"/>
          <w:highlight w:val="none"/>
          <w14:textFill>
            <w14:solidFill>
              <w14:schemeClr w14:val="tx1"/>
            </w14:solidFill>
          </w14:textFill>
        </w:rPr>
        <w:t>测点数。</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当需要对室内单向流品质作细致确认时，可测试工作区或规定高度的截面风速不均匀度。风速不均匀度（</w:t>
      </w:r>
      <w:r>
        <w:rPr>
          <w:rFonts w:ascii="Times New Roman" w:hAnsi="Times New Roman" w:cs="Times New Roman"/>
          <w:bCs/>
          <w:color w:val="000000" w:themeColor="text1"/>
          <w:position w:val="-10"/>
          <w:sz w:val="24"/>
          <w:szCs w:val="24"/>
          <w:highlight w:val="none"/>
          <w14:textFill>
            <w14:solidFill>
              <w14:schemeClr w14:val="tx1"/>
            </w14:solidFill>
          </w14:textFill>
        </w:rPr>
        <w:object>
          <v:shape id="_x0000_i1029" o:spt="75" type="#_x0000_t75" style="height:16.9pt;width:12pt;" o:ole="t" filled="f" o:preferrelative="t" stroked="f" coordsize="21600,21600">
            <v:path/>
            <v:fill on="f" focussize="0,0"/>
            <v:stroke on="f" joinstyle="miter"/>
            <v:imagedata r:id="rId17" o:title=""/>
            <o:lock v:ext="edit" aspectratio="t"/>
            <w10:wrap type="none"/>
            <w10:anchorlock/>
          </v:shape>
          <o:OLEObject Type="Embed" ProgID="Equation.DSMT4" ShapeID="_x0000_i1029" DrawAspect="Content" ObjectID="_1468075729" r:id="rId16">
            <o:LockedField>false</o:LockedField>
          </o:OLEObject>
        </w:object>
      </w:r>
      <w:r>
        <w:rPr>
          <w:rFonts w:hint="eastAsia" w:ascii="Times New Roman" w:hAnsi="Times New Roman" w:cs="Times New Roman"/>
          <w:color w:val="000000" w:themeColor="text1"/>
          <w:sz w:val="24"/>
          <w:szCs w:val="24"/>
          <w:highlight w:val="none"/>
          <w14:textFill>
            <w14:solidFill>
              <w14:schemeClr w14:val="tx1"/>
            </w14:solidFill>
          </w14:textFill>
        </w:rPr>
        <w:t>）应按本规程附录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测试，并应按下式计算</w:t>
      </w:r>
      <w:r>
        <w:rPr>
          <w:rFonts w:ascii="Times New Roman" w:hAnsi="Times New Roman" w:cs="Times New Roman"/>
          <w:color w:val="000000" w:themeColor="text1"/>
          <w:sz w:val="24"/>
          <w:szCs w:val="24"/>
          <w:highlight w:val="none"/>
          <w14:textFill>
            <w14:solidFill>
              <w14:schemeClr w14:val="tx1"/>
            </w14:solidFill>
          </w14:textFill>
        </w:rPr>
        <w:t>。</w:t>
      </w:r>
    </w:p>
    <w:p>
      <w:pPr>
        <w:pStyle w:val="97"/>
        <w:wordWrap w:val="0"/>
        <w:snapToGrid w:val="0"/>
        <w:spacing w:after="0" w:line="360" w:lineRule="auto"/>
        <w:ind w:right="182"/>
        <w:jc w:val="right"/>
        <w:rPr>
          <w:rFonts w:ascii="Times New Roman" w:hAnsi="Times New Roman"/>
          <w:bCs/>
          <w:color w:val="000000" w:themeColor="text1"/>
          <w:highlight w:val="none"/>
          <w14:textFill>
            <w14:solidFill>
              <w14:schemeClr w14:val="tx1"/>
            </w14:solidFill>
          </w14:textFill>
        </w:rPr>
      </w:pPr>
      <w:r>
        <w:rPr>
          <w:rFonts w:ascii="Times New Roman" w:hAnsi="Times New Roman"/>
          <w:bCs/>
          <w:color w:val="000000" w:themeColor="text1"/>
          <w:position w:val="-26"/>
          <w:highlight w:val="none"/>
          <w14:textFill>
            <w14:solidFill>
              <w14:schemeClr w14:val="tx1"/>
            </w14:solidFill>
          </w14:textFill>
        </w:rPr>
        <w:object>
          <v:shape id="_x0000_i1030" o:spt="75" type="#_x0000_t75" style="height:48.4pt;width:81.75pt;" o:ole="t" filled="f" o:preferrelative="t" stroked="f" coordsize="21600,21600">
            <v:path/>
            <v:fill on="f" focussize="0,0"/>
            <v:stroke on="f" joinstyle="miter"/>
            <v:imagedata r:id="rId19" o:title=""/>
            <o:lock v:ext="edit" aspectratio="t"/>
            <w10:wrap type="none"/>
            <w10:anchorlock/>
          </v:shape>
          <o:OLEObject Type="Embed" ProgID="Equation.DSMT4" ShapeID="_x0000_i1030" DrawAspect="Content" ObjectID="_1468075730" r:id="rId18">
            <o:LockedField>false</o:LockedField>
          </o:OLEObject>
        </w:object>
      </w:r>
      <w:r>
        <w:rPr>
          <w:rFonts w:ascii="Times New Roman" w:hAnsi="Times New Roman"/>
          <w:bCs/>
          <w:color w:val="000000" w:themeColor="text1"/>
          <w:position w:val="-40"/>
          <w:highlight w:val="none"/>
          <w14:textFill>
            <w14:solidFill>
              <w14:schemeClr w14:val="tx1"/>
            </w14:solidFill>
          </w14:textFill>
        </w:rPr>
        <w:t xml:space="preserve">                          </w:t>
      </w:r>
      <w:r>
        <w:rPr>
          <w:rFonts w:ascii="Times New Roman" w:hAnsi="Times New Roman"/>
          <w:bCs/>
          <w:color w:val="000000" w:themeColor="text1"/>
          <w:highlight w:val="none"/>
          <w14:textFill>
            <w14:solidFill>
              <w14:schemeClr w14:val="tx1"/>
            </w14:solidFill>
          </w14:textFill>
        </w:rPr>
        <w:t>(8.1.13)</w:t>
      </w:r>
    </w:p>
    <w:p>
      <w:pPr>
        <w:pStyle w:val="97"/>
        <w:snapToGrid w:val="0"/>
        <w:spacing w:after="0" w:line="360" w:lineRule="auto"/>
        <w:rPr>
          <w:rFonts w:ascii="Times New Roman" w:hAnsi="Times New Roman"/>
          <w:bCs/>
          <w:color w:val="000000" w:themeColor="text1"/>
          <w:highlight w:val="none"/>
          <w14:textFill>
            <w14:solidFill>
              <w14:schemeClr w14:val="tx1"/>
            </w14:solidFill>
          </w14:textFill>
        </w:rPr>
      </w:pPr>
      <w:r>
        <w:rPr>
          <w:rFonts w:hint="eastAsia" w:ascii="Times New Roman" w:hAnsi="Times New Roman"/>
          <w:bCs/>
          <w:color w:val="000000" w:themeColor="text1"/>
          <w:highlight w:val="none"/>
          <w14:textFill>
            <w14:solidFill>
              <w14:schemeClr w14:val="tx1"/>
            </w14:solidFill>
          </w14:textFill>
        </w:rPr>
        <w:t>式中：</w:t>
      </w:r>
      <w:r>
        <w:rPr>
          <w:rFonts w:ascii="Times New Roman" w:hAnsi="Times New Roman"/>
          <w:bCs/>
          <w:color w:val="000000" w:themeColor="text1"/>
          <w:position w:val="-12"/>
          <w:highlight w:val="none"/>
          <w14:textFill>
            <w14:solidFill>
              <w14:schemeClr w14:val="tx1"/>
            </w14:solidFill>
          </w14:textFill>
        </w:rPr>
        <w:object>
          <v:shape id="_x0000_i1031" o:spt="75" type="#_x0000_t75" style="height:15.4pt;width:9.75pt;" o:ole="t" filled="f" o:preferrelative="t" stroked="f" coordsize="21600,21600">
            <v:path/>
            <v:fill on="f" focussize="0,0"/>
            <v:stroke on="f" joinstyle="miter"/>
            <v:imagedata r:id="rId21" o:title=""/>
            <o:lock v:ext="edit" aspectratio="t"/>
            <w10:wrap type="none"/>
            <w10:anchorlock/>
          </v:shape>
          <o:OLEObject Type="Embed" ProgID="Equation.3" ShapeID="_x0000_i1031" DrawAspect="Content" ObjectID="_1468075731" r:id="rId20">
            <o:LockedField>false</o:LockedField>
          </o:OLEObject>
        </w:object>
      </w:r>
      <w:r>
        <w:rPr>
          <w:rFonts w:ascii="Times New Roman" w:hAnsi="Times New Roman"/>
          <w:bCs/>
          <w:color w:val="000000" w:themeColor="text1"/>
          <w:highlight w:val="none"/>
          <w14:textFill>
            <w14:solidFill>
              <w14:schemeClr w14:val="tx1"/>
            </w14:solidFill>
          </w14:textFill>
        </w:rPr>
        <w:t>——</w:t>
      </w:r>
      <w:r>
        <w:rPr>
          <w:rFonts w:hint="eastAsia" w:ascii="Times New Roman" w:hAnsi="Times New Roman"/>
          <w:bCs/>
          <w:color w:val="000000" w:themeColor="text1"/>
          <w:highlight w:val="none"/>
          <w14:textFill>
            <w14:solidFill>
              <w14:schemeClr w14:val="tx1"/>
            </w14:solidFill>
          </w14:textFill>
        </w:rPr>
        <w:t>每个测点的风速（</w:t>
      </w:r>
      <w:r>
        <w:rPr>
          <w:rFonts w:ascii="Times New Roman" w:hAnsi="Times New Roman"/>
          <w:bCs/>
          <w:color w:val="000000" w:themeColor="text1"/>
          <w:highlight w:val="none"/>
          <w14:textFill>
            <w14:solidFill>
              <w14:schemeClr w14:val="tx1"/>
            </w14:solidFill>
          </w14:textFill>
        </w:rPr>
        <w:t>m/s</w:t>
      </w:r>
      <w:r>
        <w:rPr>
          <w:rFonts w:hint="eastAsia" w:ascii="Times New Roman" w:hAnsi="Times New Roman"/>
          <w:bCs/>
          <w:color w:val="000000" w:themeColor="text1"/>
          <w:highlight w:val="none"/>
          <w14:textFill>
            <w14:solidFill>
              <w14:schemeClr w14:val="tx1"/>
            </w14:solidFill>
          </w14:textFill>
        </w:rPr>
        <w:t>）；</w:t>
      </w:r>
    </w:p>
    <w:p>
      <w:pPr>
        <w:pStyle w:val="97"/>
        <w:snapToGrid w:val="0"/>
        <w:spacing w:after="0" w:line="360" w:lineRule="auto"/>
        <w:ind w:left="424" w:leftChars="202" w:firstLine="240" w:firstLineChars="100"/>
        <w:rPr>
          <w:rFonts w:ascii="Times New Roman" w:hAnsi="Times New Roman"/>
          <w:bCs/>
          <w:color w:val="000000" w:themeColor="text1"/>
          <w:highlight w:val="none"/>
          <w14:textFill>
            <w14:solidFill>
              <w14:schemeClr w14:val="tx1"/>
            </w14:solidFill>
          </w14:textFill>
        </w:rPr>
      </w:pPr>
      <w:r>
        <w:rPr>
          <w:rFonts w:ascii="Times New Roman" w:hAnsi="Times New Roman"/>
          <w:bCs/>
          <w:color w:val="000000" w:themeColor="text1"/>
          <w:position w:val="-6"/>
          <w:highlight w:val="none"/>
          <w14:textFill>
            <w14:solidFill>
              <w14:schemeClr w14:val="tx1"/>
            </w14:solidFill>
          </w14:textFill>
        </w:rPr>
        <w:object>
          <v:shape id="_x0000_i1032" o:spt="75" type="#_x0000_t75" style="height:11.65pt;width:9.75pt;" o:ole="t" filled="f" o:preferrelative="t" stroked="f" coordsize="21600,21600">
            <v:path/>
            <v:fill on="f" focussize="0,0"/>
            <v:stroke on="f" joinstyle="miter"/>
            <v:imagedata r:id="rId23" o:title=""/>
            <o:lock v:ext="edit" aspectratio="t"/>
            <w10:wrap type="none"/>
            <w10:anchorlock/>
          </v:shape>
          <o:OLEObject Type="Embed" ProgID="Equation.3" ShapeID="_x0000_i1032" DrawAspect="Content" ObjectID="_1468075732" r:id="rId22">
            <o:LockedField>false</o:LockedField>
          </o:OLEObject>
        </w:object>
      </w:r>
      <w:r>
        <w:rPr>
          <w:rFonts w:ascii="Times New Roman" w:hAnsi="Times New Roman"/>
          <w:bCs/>
          <w:color w:val="000000" w:themeColor="text1"/>
          <w:highlight w:val="none"/>
          <w14:textFill>
            <w14:solidFill>
              <w14:schemeClr w14:val="tx1"/>
            </w14:solidFill>
          </w14:textFill>
        </w:rPr>
        <w:t>——</w:t>
      </w:r>
      <w:r>
        <w:rPr>
          <w:rFonts w:hint="eastAsia" w:ascii="Times New Roman" w:hAnsi="Times New Roman"/>
          <w:bCs/>
          <w:color w:val="000000" w:themeColor="text1"/>
          <w:highlight w:val="none"/>
          <w14:textFill>
            <w14:solidFill>
              <w14:schemeClr w14:val="tx1"/>
            </w14:solidFill>
          </w14:textFill>
        </w:rPr>
        <w:t>各测点平均风速（</w:t>
      </w:r>
      <w:r>
        <w:rPr>
          <w:rFonts w:ascii="Times New Roman" w:hAnsi="Times New Roman"/>
          <w:bCs/>
          <w:color w:val="000000" w:themeColor="text1"/>
          <w:highlight w:val="none"/>
          <w14:textFill>
            <w14:solidFill>
              <w14:schemeClr w14:val="tx1"/>
            </w14:solidFill>
          </w14:textFill>
        </w:rPr>
        <w:t>m/s</w:t>
      </w:r>
      <w:r>
        <w:rPr>
          <w:rFonts w:hint="eastAsia" w:ascii="Times New Roman" w:hAnsi="Times New Roman"/>
          <w:bCs/>
          <w:color w:val="000000" w:themeColor="text1"/>
          <w:highlight w:val="none"/>
          <w14:textFill>
            <w14:solidFill>
              <w14:schemeClr w14:val="tx1"/>
            </w14:solidFill>
          </w14:textFill>
        </w:rPr>
        <w:t>）；</w:t>
      </w:r>
    </w:p>
    <w:p>
      <w:pPr>
        <w:pStyle w:val="97"/>
        <w:snapToGrid w:val="0"/>
        <w:spacing w:after="0" w:line="360" w:lineRule="auto"/>
        <w:ind w:left="424" w:leftChars="202" w:firstLine="240" w:firstLineChars="100"/>
        <w:rPr>
          <w:rFonts w:ascii="Times New Roman" w:hAnsi="Times New Roman"/>
          <w:bCs/>
          <w:color w:val="000000" w:themeColor="text1"/>
          <w:highlight w:val="none"/>
          <w14:textFill>
            <w14:solidFill>
              <w14:schemeClr w14:val="tx1"/>
            </w14:solidFill>
          </w14:textFill>
        </w:rPr>
      </w:pPr>
      <w:r>
        <w:rPr>
          <w:rFonts w:ascii="Times New Roman" w:hAnsi="Times New Roman"/>
          <w:bCs/>
          <w:color w:val="000000" w:themeColor="text1"/>
          <w:position w:val="-6"/>
          <w:highlight w:val="none"/>
          <w14:textFill>
            <w14:solidFill>
              <w14:schemeClr w14:val="tx1"/>
            </w14:solidFill>
          </w14:textFill>
        </w:rPr>
        <w:object>
          <v:shape id="_x0000_i1033" o:spt="75" type="#_x0000_t75" style="height:15.4pt;width:10.9pt;" o:ole="t" filled="f" o:preferrelative="t" stroked="f" coordsize="21600,21600">
            <v:path/>
            <v:fill on="f" focussize="0,0"/>
            <v:stroke on="f" joinstyle="miter"/>
            <v:imagedata r:id="rId25" o:title=""/>
            <o:lock v:ext="edit" aspectratio="t"/>
            <w10:wrap type="none"/>
            <w10:anchorlock/>
          </v:shape>
          <o:OLEObject Type="Embed" ProgID="Equation.DSMT4" ShapeID="_x0000_i1033" DrawAspect="Content" ObjectID="_1468075733" r:id="rId24">
            <o:LockedField>false</o:LockedField>
          </o:OLEObject>
        </w:object>
      </w:r>
      <w:r>
        <w:rPr>
          <w:rFonts w:ascii="Times New Roman" w:hAnsi="Times New Roman"/>
          <w:bCs/>
          <w:color w:val="000000" w:themeColor="text1"/>
          <w:highlight w:val="none"/>
          <w14:textFill>
            <w14:solidFill>
              <w14:schemeClr w14:val="tx1"/>
            </w14:solidFill>
          </w14:textFill>
        </w:rPr>
        <w:t>——</w:t>
      </w:r>
      <w:r>
        <w:rPr>
          <w:rFonts w:hint="eastAsia" w:ascii="Times New Roman" w:hAnsi="Times New Roman"/>
          <w:bCs/>
          <w:color w:val="000000" w:themeColor="text1"/>
          <w:highlight w:val="none"/>
          <w14:textFill>
            <w14:solidFill>
              <w14:schemeClr w14:val="tx1"/>
            </w14:solidFill>
          </w14:textFill>
        </w:rPr>
        <w:t>测点数。</w:t>
      </w:r>
    </w:p>
    <w:p>
      <w:pPr>
        <w:pStyle w:val="97"/>
        <w:numPr>
          <w:ilvl w:val="0"/>
          <w:numId w:val="49"/>
        </w:numPr>
        <w:snapToGrid w:val="0"/>
        <w:spacing w:after="0" w:line="360" w:lineRule="auto"/>
        <w:rPr>
          <w:rFonts w:ascii="Times New Roman" w:hAnsi="Times New Roman"/>
          <w:bCs/>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室内风口风量应按本规程附录</w:t>
      </w:r>
      <w:r>
        <w:rPr>
          <w:rFonts w:ascii="Times New Roman" w:hAnsi="Times New Roman"/>
          <w:color w:val="000000" w:themeColor="text1"/>
          <w:highlight w:val="none"/>
          <w14:textFill>
            <w14:solidFill>
              <w14:schemeClr w14:val="tx1"/>
            </w14:solidFill>
          </w14:textFill>
        </w:rPr>
        <w:t>B</w:t>
      </w:r>
      <w:r>
        <w:rPr>
          <w:rFonts w:hint="eastAsia" w:ascii="Times New Roman" w:hAnsi="Times New Roman"/>
          <w:color w:val="000000" w:themeColor="text1"/>
          <w:highlight w:val="none"/>
          <w14:textFill>
            <w14:solidFill>
              <w14:schemeClr w14:val="tx1"/>
            </w14:solidFill>
          </w14:textFill>
        </w:rPr>
        <w:t>检验，并应符合下列规定</w:t>
      </w:r>
      <w:r>
        <w:rPr>
          <w:rFonts w:ascii="Times New Roman" w:hAnsi="Times New Roman"/>
          <w:color w:val="000000" w:themeColor="text1"/>
          <w:highlight w:val="none"/>
          <w14:textFill>
            <w14:solidFill>
              <w14:schemeClr w14:val="tx1"/>
            </w14:solidFill>
          </w14:textFill>
        </w:rPr>
        <w:t>：</w:t>
      </w:r>
    </w:p>
    <w:p>
      <w:pPr>
        <w:pStyle w:val="90"/>
        <w:numPr>
          <w:ilvl w:val="0"/>
          <w:numId w:val="55"/>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室内风口风量应在系统稳定后进行检测；</w:t>
      </w:r>
    </w:p>
    <w:p>
      <w:pPr>
        <w:pStyle w:val="90"/>
        <w:numPr>
          <w:ilvl w:val="0"/>
          <w:numId w:val="55"/>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普通实验室环境，检测结果不应小于设计风量，但不宜超过</w:t>
      </w:r>
      <w:r>
        <w:rPr>
          <w:rFonts w:ascii="Times New Roman" w:hAnsi="Times New Roman" w:cs="Times New Roman"/>
          <w:color w:val="000000" w:themeColor="text1"/>
          <w:sz w:val="24"/>
          <w:szCs w:val="24"/>
          <w:highlight w:val="none"/>
          <w14:textFill>
            <w14:solidFill>
              <w14:schemeClr w14:val="tx1"/>
            </w14:solidFill>
          </w14:textFill>
        </w:rPr>
        <w:t>15%</w:t>
      </w:r>
      <w:r>
        <w:rPr>
          <w:rFonts w:hint="eastAsia"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5"/>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洁净类几何量测量实验室环境，检测结果不应小于本规程表</w:t>
      </w:r>
      <w:r>
        <w:rPr>
          <w:rFonts w:ascii="Times New Roman" w:hAnsi="Times New Roman" w:cs="Times New Roman"/>
          <w:color w:val="000000" w:themeColor="text1"/>
          <w:sz w:val="24"/>
          <w:szCs w:val="24"/>
          <w:highlight w:val="none"/>
          <w14:textFill>
            <w14:solidFill>
              <w14:schemeClr w14:val="tx1"/>
            </w14:solidFill>
          </w14:textFill>
        </w:rPr>
        <w:t>9.1.13</w:t>
      </w:r>
      <w:r>
        <w:rPr>
          <w:rFonts w:hint="eastAsia" w:ascii="Times New Roman" w:hAnsi="Times New Roman" w:cs="Times New Roman"/>
          <w:color w:val="000000" w:themeColor="text1"/>
          <w:sz w:val="24"/>
          <w:szCs w:val="24"/>
          <w:highlight w:val="none"/>
          <w14:textFill>
            <w14:solidFill>
              <w14:schemeClr w14:val="tx1"/>
            </w14:solidFill>
          </w14:textFill>
        </w:rPr>
        <w:t>的规定，但不宜超过上限；</w:t>
      </w:r>
    </w:p>
    <w:p>
      <w:pPr>
        <w:pStyle w:val="90"/>
        <w:numPr>
          <w:ilvl w:val="0"/>
          <w:numId w:val="55"/>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系统新风量不应小于设计新风量，但不宜超过设计值的</w:t>
      </w:r>
      <w:r>
        <w:rPr>
          <w:rFonts w:ascii="Times New Roman" w:hAnsi="Times New Roman" w:cs="Times New Roman"/>
          <w:color w:val="000000" w:themeColor="text1"/>
          <w:sz w:val="24"/>
          <w:szCs w:val="24"/>
          <w:highlight w:val="none"/>
          <w14:textFill>
            <w14:solidFill>
              <w14:schemeClr w14:val="tx1"/>
            </w14:solidFill>
          </w14:textFill>
        </w:rPr>
        <w:t>10%</w:t>
      </w:r>
      <w:r>
        <w:rPr>
          <w:rFonts w:hint="eastAsia" w:ascii="Times New Roman" w:hAnsi="Times New Roman" w:cs="Times New Roman"/>
          <w:color w:val="000000" w:themeColor="text1"/>
          <w:sz w:val="24"/>
          <w:szCs w:val="24"/>
          <w:highlight w:val="none"/>
          <w14:textFill>
            <w14:solidFill>
              <w14:schemeClr w14:val="tx1"/>
            </w14:solidFill>
          </w14:textFill>
        </w:rPr>
        <w:t>；；</w:t>
      </w:r>
    </w:p>
    <w:p>
      <w:pPr>
        <w:pStyle w:val="96"/>
        <w:numPr>
          <w:ilvl w:val="0"/>
          <w:numId w:val="55"/>
        </w:numPr>
        <w:tabs>
          <w:tab w:val="left" w:pos="851"/>
        </w:tabs>
        <w:spacing w:line="360" w:lineRule="auto"/>
        <w:ind w:left="851" w:firstLineChars="0"/>
        <w:rPr>
          <w:rFonts w:ascii="Times New Roman" w:hAnsi="Times New Roman"/>
          <w:bCs/>
          <w:color w:val="000000" w:themeColor="text1"/>
          <w:sz w:val="24"/>
          <w:highlight w:val="none"/>
          <w14:textFill>
            <w14:solidFill>
              <w14:schemeClr w14:val="tx1"/>
            </w14:solidFill>
          </w14:textFill>
        </w:rPr>
      </w:pPr>
      <w:r>
        <w:rPr>
          <w:rFonts w:hint="eastAsia" w:ascii="Times New Roman" w:hAnsi="Times New Roman"/>
          <w:bCs/>
          <w:color w:val="000000" w:themeColor="text1"/>
          <w:sz w:val="24"/>
          <w:highlight w:val="none"/>
          <w14:textFill>
            <w14:solidFill>
              <w14:schemeClr w14:val="tx1"/>
            </w14:solidFill>
          </w14:textFill>
        </w:rPr>
        <w:t>风量（</w:t>
      </w:r>
      <w:r>
        <w:rPr>
          <w:rFonts w:ascii="Times New Roman" w:hAnsi="Times New Roman"/>
          <w:bCs/>
          <w:color w:val="000000" w:themeColor="text1"/>
          <w:position w:val="-4"/>
          <w:sz w:val="24"/>
          <w:highlight w:val="none"/>
          <w14:textFill>
            <w14:solidFill>
              <w14:schemeClr w14:val="tx1"/>
            </w14:solidFill>
          </w14:textFill>
        </w:rPr>
        <w:object>
          <v:shape id="_x0000_i1034" o:spt="75" type="#_x0000_t75" style="height:14.25pt;width:11.65pt;" o:ole="t" filled="f" o:preferrelative="t" stroked="f" coordsize="21600,21600">
            <v:path/>
            <v:fill on="f" focussize="0,0"/>
            <v:stroke on="f" joinstyle="miter"/>
            <v:imagedata r:id="rId27" o:title=""/>
            <o:lock v:ext="edit" aspectratio="t"/>
            <w10:wrap type="none"/>
            <w10:anchorlock/>
          </v:shape>
          <o:OLEObject Type="Embed" ProgID="Equation.DSMT4" ShapeID="_x0000_i1034" DrawAspect="Content" ObjectID="_1468075734" r:id="rId26">
            <o:LockedField>false</o:LockedField>
          </o:OLEObject>
        </w:object>
      </w:r>
      <w:r>
        <w:rPr>
          <w:rFonts w:hint="eastAsia" w:ascii="Times New Roman" w:hAnsi="Times New Roman"/>
          <w:bCs/>
          <w:color w:val="000000" w:themeColor="text1"/>
          <w:sz w:val="24"/>
          <w:highlight w:val="none"/>
          <w14:textFill>
            <w14:solidFill>
              <w14:schemeClr w14:val="tx1"/>
            </w14:solidFill>
          </w14:textFill>
        </w:rPr>
        <w:t>）应按下式计算：</w:t>
      </w:r>
    </w:p>
    <w:p>
      <w:pPr>
        <w:tabs>
          <w:tab w:val="left" w:pos="720"/>
        </w:tabs>
        <w:spacing w:line="360" w:lineRule="auto"/>
        <w:ind w:right="210"/>
        <w:jc w:val="right"/>
        <w:rPr>
          <w:rFonts w:ascii="Times New Roman" w:hAnsi="Times New Roman" w:cs="Times New Roman"/>
          <w:bCs/>
          <w:color w:val="000000" w:themeColor="text1"/>
          <w:sz w:val="24"/>
          <w:szCs w:val="24"/>
          <w:highlight w:val="none"/>
          <w14:textFill>
            <w14:solidFill>
              <w14:schemeClr w14:val="tx1"/>
            </w14:solidFill>
          </w14:textFill>
        </w:rPr>
      </w:pPr>
      <w:r>
        <w:rPr>
          <w:rFonts w:ascii="Times New Roman" w:hAnsi="Times New Roman" w:cs="Times New Roman"/>
          <w:bCs/>
          <w:color w:val="000000" w:themeColor="text1"/>
          <w:sz w:val="24"/>
          <w:szCs w:val="24"/>
          <w:highlight w:val="none"/>
          <w14:textFill>
            <w14:solidFill>
              <w14:schemeClr w14:val="tx1"/>
            </w14:solidFill>
          </w14:textFill>
        </w:rPr>
        <w:fldChar w:fldCharType="begin"/>
      </w:r>
      <w:r>
        <w:rPr>
          <w:rFonts w:ascii="Times New Roman" w:hAnsi="Times New Roman" w:cs="Times New Roman"/>
          <w:bCs/>
          <w:color w:val="000000" w:themeColor="text1"/>
          <w:sz w:val="24"/>
          <w:szCs w:val="24"/>
          <w:highlight w:val="none"/>
          <w14:textFill>
            <w14:solidFill>
              <w14:schemeClr w14:val="tx1"/>
            </w14:solidFill>
          </w14:textFill>
        </w:rPr>
        <w:instrText xml:space="preserve"> QUOTE L=3600*F*V </w:instrText>
      </w:r>
      <w:r>
        <w:rPr>
          <w:rFonts w:ascii="Times New Roman" w:hAnsi="Times New Roman" w:cs="Times New Roman"/>
          <w:bCs/>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position w:val="-6"/>
          <w:highlight w:val="none"/>
          <w14:textFill>
            <w14:solidFill>
              <w14:schemeClr w14:val="tx1"/>
            </w14:solidFill>
          </w14:textFill>
        </w:rPr>
        <w:object>
          <v:shape id="_x0000_i1035" o:spt="75" type="#_x0000_t75" style="height:18.4pt;width:87.4pt;" o:ole="t" filled="f" o:preferrelative="t" stroked="f" coordsize="21600,21600">
            <v:path/>
            <v:fill on="f" focussize="0,0"/>
            <v:stroke on="f" joinstyle="miter"/>
            <v:imagedata r:id="rId29" o:title=""/>
            <o:lock v:ext="edit" aspectratio="t"/>
            <w10:wrap type="none"/>
            <w10:anchorlock/>
          </v:shape>
          <o:OLEObject Type="Embed" ProgID="Equation.DSMT4" ShapeID="_x0000_i1035" DrawAspect="Content" ObjectID="_1468075735" r:id="rId28">
            <o:LockedField>false</o:LockedField>
          </o:OLEObject>
        </w:object>
      </w:r>
      <w:r>
        <w:rPr>
          <w:rFonts w:ascii="Times New Roman" w:hAnsi="Times New Roman" w:cs="Times New Roman"/>
          <w:bCs/>
          <w:color w:val="000000" w:themeColor="text1"/>
          <w:sz w:val="24"/>
          <w:szCs w:val="24"/>
          <w:highlight w:val="none"/>
          <w14:textFill>
            <w14:solidFill>
              <w14:schemeClr w14:val="tx1"/>
            </w14:solidFill>
          </w14:textFill>
        </w:rPr>
        <w:fldChar w:fldCharType="end"/>
      </w:r>
      <w:r>
        <w:rPr>
          <w:rFonts w:hint="eastAsia" w:ascii="Times New Roman" w:hAnsi="Times New Roman" w:cs="Times New Roman"/>
          <w:bCs/>
          <w:color w:val="000000" w:themeColor="text1"/>
          <w:sz w:val="24"/>
          <w:szCs w:val="24"/>
          <w:highlight w:val="none"/>
          <w14:textFill>
            <w14:solidFill>
              <w14:schemeClr w14:val="tx1"/>
            </w14:solidFill>
          </w14:textFill>
        </w:rPr>
        <w:t>　　　　　　　　　　</w:t>
      </w:r>
      <w:r>
        <w:rPr>
          <w:rFonts w:ascii="Times New Roman" w:hAnsi="Times New Roman" w:cs="Times New Roman"/>
          <w:bCs/>
          <w:color w:val="000000" w:themeColor="text1"/>
          <w:sz w:val="24"/>
          <w:szCs w:val="24"/>
          <w:highlight w:val="none"/>
          <w14:textFill>
            <w14:solidFill>
              <w14:schemeClr w14:val="tx1"/>
            </w14:solidFill>
          </w14:textFill>
        </w:rPr>
        <w:t>(8.1.14)</w:t>
      </w:r>
    </w:p>
    <w:p>
      <w:pPr>
        <w:tabs>
          <w:tab w:val="left" w:pos="720"/>
        </w:tabs>
        <w:spacing w:line="360" w:lineRule="auto"/>
        <w:rPr>
          <w:rFonts w:ascii="Times New Roman" w:hAnsi="Times New Roman" w:cs="Times New Roman"/>
          <w:bCs/>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式中：</w:t>
      </w:r>
      <w:r>
        <w:rPr>
          <w:rFonts w:ascii="Times New Roman" w:hAnsi="Times New Roman" w:cs="Times New Roman"/>
          <w:bCs/>
          <w:color w:val="000000" w:themeColor="text1"/>
          <w:sz w:val="24"/>
          <w:szCs w:val="24"/>
          <w:highlight w:val="none"/>
          <w14:textFill>
            <w14:solidFill>
              <w14:schemeClr w14:val="tx1"/>
            </w14:solidFill>
          </w14:textFill>
        </w:rPr>
        <w:fldChar w:fldCharType="begin"/>
      </w:r>
      <w:r>
        <w:rPr>
          <w:rFonts w:ascii="Times New Roman" w:hAnsi="Times New Roman" w:cs="Times New Roman"/>
          <w:bCs/>
          <w:color w:val="000000" w:themeColor="text1"/>
          <w:sz w:val="24"/>
          <w:szCs w:val="24"/>
          <w:highlight w:val="none"/>
          <w14:textFill>
            <w14:solidFill>
              <w14:schemeClr w14:val="tx1"/>
            </w14:solidFill>
          </w14:textFill>
        </w:rPr>
        <w:instrText xml:space="preserve"> QUOTE F  \* MERGEFORMAT </w:instrText>
      </w:r>
      <w:r>
        <w:rPr>
          <w:rFonts w:ascii="Times New Roman" w:hAnsi="Times New Roman" w:cs="Times New Roman"/>
          <w:bCs/>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position w:val="-4"/>
          <w:highlight w:val="none"/>
          <w14:textFill>
            <w14:solidFill>
              <w14:schemeClr w14:val="tx1"/>
            </w14:solidFill>
          </w14:textFill>
        </w:rPr>
        <w:object>
          <v:shape id="_x0000_i1036" o:spt="75" type="#_x0000_t75" style="height:14.25pt;width:14.25pt;" o:ole="t" filled="f" o:preferrelative="t" stroked="f" coordsize="21600,21600">
            <v:path/>
            <v:fill on="f" focussize="0,0"/>
            <v:stroke on="f" joinstyle="miter"/>
            <v:imagedata r:id="rId31" o:title=""/>
            <o:lock v:ext="edit" aspectratio="t"/>
            <w10:wrap type="none"/>
            <w10:anchorlock/>
          </v:shape>
          <o:OLEObject Type="Embed" ProgID="Equation.DSMT4" ShapeID="_x0000_i1036" DrawAspect="Content" ObjectID="_1468075736" r:id="rId30">
            <o:LockedField>false</o:LockedField>
          </o:OLEObject>
        </w:object>
      </w:r>
      <w:r>
        <w:rPr>
          <w:rFonts w:ascii="Times New Roman" w:hAnsi="Times New Roman" w:cs="Times New Roman"/>
          <w:bCs/>
          <w:color w:val="000000" w:themeColor="text1"/>
          <w:sz w:val="24"/>
          <w:szCs w:val="24"/>
          <w:highlight w:val="none"/>
          <w14:textFill>
            <w14:solidFill>
              <w14:schemeClr w14:val="tx1"/>
            </w14:solidFill>
          </w14:textFill>
        </w:rPr>
        <w:fldChar w:fldCharType="end"/>
      </w:r>
      <w:r>
        <w:rPr>
          <w:rFonts w:ascii="Times New Roman" w:hAnsi="Times New Roman" w:cs="Times New Roman"/>
          <w:bCs/>
          <w:color w:val="000000" w:themeColor="text1"/>
          <w:sz w:val="24"/>
          <w:szCs w:val="24"/>
          <w:highlight w:val="none"/>
          <w14:textFill>
            <w14:solidFill>
              <w14:schemeClr w14:val="tx1"/>
            </w14:solidFill>
          </w14:textFill>
        </w:rPr>
        <w:t>——</w:t>
      </w:r>
      <w:r>
        <w:rPr>
          <w:rFonts w:hint="eastAsia" w:ascii="Times New Roman" w:hAnsi="Times New Roman" w:cs="Times New Roman"/>
          <w:bCs/>
          <w:color w:val="000000" w:themeColor="text1"/>
          <w:sz w:val="24"/>
          <w:szCs w:val="24"/>
          <w:highlight w:val="none"/>
          <w14:textFill>
            <w14:solidFill>
              <w14:schemeClr w14:val="tx1"/>
            </w14:solidFill>
          </w14:textFill>
        </w:rPr>
        <w:t>出风口截面积（</w:t>
      </w:r>
      <w:r>
        <w:rPr>
          <w:rFonts w:ascii="Times New Roman" w:hAnsi="Times New Roman" w:cs="Times New Roman"/>
          <w:bCs/>
          <w:color w:val="000000" w:themeColor="text1"/>
          <w:sz w:val="24"/>
          <w:szCs w:val="24"/>
          <w:highlight w:val="none"/>
          <w14:textFill>
            <w14:solidFill>
              <w14:schemeClr w14:val="tx1"/>
            </w14:solidFill>
          </w14:textFill>
        </w:rPr>
        <w:t>m</w:t>
      </w:r>
      <w:r>
        <w:rPr>
          <w:rFonts w:ascii="Times New Roman" w:hAnsi="Times New Roman" w:cs="Times New Roman"/>
          <w:bCs/>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bCs/>
          <w:color w:val="000000" w:themeColor="text1"/>
          <w:sz w:val="24"/>
          <w:szCs w:val="24"/>
          <w:highlight w:val="none"/>
          <w14:textFill>
            <w14:solidFill>
              <w14:schemeClr w14:val="tx1"/>
            </w14:solidFill>
          </w14:textFill>
        </w:rPr>
        <w:t>）；</w:t>
      </w:r>
    </w:p>
    <w:p>
      <w:pPr>
        <w:tabs>
          <w:tab w:val="left" w:pos="851"/>
        </w:tabs>
        <w:spacing w:line="360" w:lineRule="auto"/>
        <w:ind w:left="708" w:leftChars="337" w:firstLine="63" w:firstLineChars="30"/>
        <w:rPr>
          <w:rFonts w:ascii="Times New Roman" w:hAnsi="Times New Roman" w:cs="Times New Roman"/>
          <w:bCs/>
          <w:color w:val="000000" w:themeColor="text1"/>
          <w:sz w:val="24"/>
          <w:szCs w:val="24"/>
          <w:highlight w:val="none"/>
          <w14:textFill>
            <w14:solidFill>
              <w14:schemeClr w14:val="tx1"/>
            </w14:solidFill>
          </w14:textFill>
        </w:rPr>
      </w:pPr>
      <w:r>
        <w:rPr>
          <w:rFonts w:ascii="Times New Roman" w:hAnsi="Times New Roman" w:cs="Times New Roman"/>
          <w:color w:val="000000" w:themeColor="text1"/>
          <w:position w:val="-6"/>
          <w:highlight w:val="none"/>
          <w14:textFill>
            <w14:solidFill>
              <w14:schemeClr w14:val="tx1"/>
            </w14:solidFill>
          </w14:textFill>
        </w:rPr>
        <w:object>
          <v:shape id="_x0000_i1037" o:spt="75" type="#_x0000_t75" style="height:16.9pt;width:9.75pt;" o:ole="t" filled="f" o:preferrelative="t" stroked="f" coordsize="21600,21600">
            <v:path/>
            <v:fill on="f" focussize="0,0"/>
            <v:stroke on="f" joinstyle="miter"/>
            <v:imagedata r:id="rId33" o:title=""/>
            <o:lock v:ext="edit" aspectratio="t"/>
            <w10:wrap type="none"/>
            <w10:anchorlock/>
          </v:shape>
          <o:OLEObject Type="Embed" ProgID="Equation.DSMT4" ShapeID="_x0000_i1037" DrawAspect="Content" ObjectID="_1468075737" r:id="rId32">
            <o:LockedField>false</o:LockedField>
          </o:OLEObject>
        </w:object>
      </w:r>
      <w:r>
        <w:rPr>
          <w:rFonts w:ascii="Times New Roman" w:hAnsi="Times New Roman" w:cs="Times New Roman"/>
          <w:bCs/>
          <w:color w:val="000000" w:themeColor="text1"/>
          <w:sz w:val="24"/>
          <w:szCs w:val="24"/>
          <w:highlight w:val="none"/>
          <w14:textFill>
            <w14:solidFill>
              <w14:schemeClr w14:val="tx1"/>
            </w14:solidFill>
          </w14:textFill>
        </w:rPr>
        <w:t>——</w:t>
      </w:r>
      <w:r>
        <w:rPr>
          <w:rFonts w:hint="eastAsia" w:ascii="Times New Roman" w:hAnsi="Times New Roman" w:cs="Times New Roman"/>
          <w:bCs/>
          <w:color w:val="000000" w:themeColor="text1"/>
          <w:sz w:val="24"/>
          <w:szCs w:val="24"/>
          <w:highlight w:val="none"/>
          <w14:textFill>
            <w14:solidFill>
              <w14:schemeClr w14:val="tx1"/>
            </w14:solidFill>
          </w14:textFill>
        </w:rPr>
        <w:t>出风口各测点风速的算术平均值（</w:t>
      </w:r>
      <w:r>
        <w:rPr>
          <w:rFonts w:ascii="Times New Roman" w:hAnsi="Times New Roman" w:cs="Times New Roman"/>
          <w:bCs/>
          <w:color w:val="000000" w:themeColor="text1"/>
          <w:sz w:val="24"/>
          <w:szCs w:val="24"/>
          <w:highlight w:val="none"/>
          <w14:textFill>
            <w14:solidFill>
              <w14:schemeClr w14:val="tx1"/>
            </w14:solidFill>
          </w14:textFill>
        </w:rPr>
        <w:t>m/s</w:t>
      </w:r>
      <w:r>
        <w:rPr>
          <w:rFonts w:hint="eastAsia" w:ascii="Times New Roman" w:hAnsi="Times New Roman" w:cs="Times New Roman"/>
          <w:bCs/>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静压差应按本规程附录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检验，并应符合下列规定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6"/>
        </w:numPr>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有工艺要求的实验室环境，与室外及相邻相通房间的静压差应按工艺要求确定；</w:t>
      </w:r>
    </w:p>
    <w:p>
      <w:pPr>
        <w:pStyle w:val="90"/>
        <w:numPr>
          <w:ilvl w:val="0"/>
          <w:numId w:val="56"/>
        </w:numPr>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无工艺要求时，与室外及相邻相通房间的静压差应满足不小于</w:t>
      </w:r>
      <w:r>
        <w:rPr>
          <w:rFonts w:ascii="Times New Roman" w:hAnsi="Times New Roman" w:cs="Times New Roman"/>
          <w:color w:val="000000" w:themeColor="text1"/>
          <w:sz w:val="24"/>
          <w:szCs w:val="24"/>
          <w:highlight w:val="none"/>
          <w14:textFill>
            <w14:solidFill>
              <w14:schemeClr w14:val="tx1"/>
            </w14:solidFill>
          </w14:textFill>
        </w:rPr>
        <w:t>5Pa</w:t>
      </w:r>
      <w:r>
        <w:rPr>
          <w:rFonts w:hint="eastAsia" w:ascii="Times New Roman" w:hAnsi="Times New Roman" w:cs="Times New Roman"/>
          <w:color w:val="000000" w:themeColor="text1"/>
          <w:sz w:val="24"/>
          <w:szCs w:val="24"/>
          <w:highlight w:val="none"/>
          <w14:textFill>
            <w14:solidFill>
              <w14:schemeClr w14:val="tx1"/>
            </w14:solidFill>
          </w14:textFill>
        </w:rPr>
        <w:t>的要求。</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温湿度应按本规程附录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检验，并应符合下列规定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7"/>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无恒温恒湿要求的实验室应满足实验室设计要求；</w:t>
      </w:r>
    </w:p>
    <w:p>
      <w:pPr>
        <w:pStyle w:val="82"/>
        <w:numPr>
          <w:ilvl w:val="0"/>
          <w:numId w:val="57"/>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有恒温恒湿要求的实验室</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8"/>
        </w:numPr>
        <w:spacing w:line="360" w:lineRule="auto"/>
        <w:ind w:left="1134"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空态工况或室内工艺设备不运行时静态工况的检验，各测点温度基准值应保持一致；室内工艺设备运行时静态工况的检验，各测点的温度基准值应由建设方和施工方协商确定；</w:t>
      </w:r>
    </w:p>
    <w:p>
      <w:pPr>
        <w:pStyle w:val="90"/>
        <w:numPr>
          <w:ilvl w:val="0"/>
          <w:numId w:val="58"/>
        </w:numPr>
        <w:spacing w:line="360" w:lineRule="auto"/>
        <w:ind w:left="1134"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当实验室环境无工艺或特殊要求时，</w:t>
      </w:r>
      <w:r>
        <w:rPr>
          <w:rFonts w:ascii="Times New Roman" w:hAnsi="Times New Roman" w:cs="Times New Roman"/>
          <w:color w:val="000000" w:themeColor="text1"/>
          <w:sz w:val="24"/>
          <w:szCs w:val="24"/>
          <w:highlight w:val="none"/>
          <w14:textFill>
            <w14:solidFill>
              <w14:schemeClr w14:val="tx1"/>
            </w14:solidFill>
          </w14:textFill>
        </w:rPr>
        <w:t>90%</w:t>
      </w:r>
      <w:r>
        <w:rPr>
          <w:rFonts w:hint="eastAsia" w:ascii="Times New Roman" w:hAnsi="Times New Roman" w:cs="Times New Roman"/>
          <w:color w:val="000000" w:themeColor="text1"/>
          <w:sz w:val="24"/>
          <w:szCs w:val="24"/>
          <w:highlight w:val="none"/>
          <w14:textFill>
            <w14:solidFill>
              <w14:schemeClr w14:val="tx1"/>
            </w14:solidFill>
          </w14:textFill>
        </w:rPr>
        <w:t>以上的温湿度测点现场检测值应满足本规程表设计波动范围的要求；</w:t>
      </w:r>
    </w:p>
    <w:p>
      <w:pPr>
        <w:pStyle w:val="82"/>
        <w:numPr>
          <w:ilvl w:val="0"/>
          <w:numId w:val="58"/>
        </w:numPr>
        <w:spacing w:line="360" w:lineRule="auto"/>
        <w:ind w:left="1134"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当建设方有要求时，可进行温湿度均匀性和同一点温湿度稳定性的检测，检测结果应符合所属行业标准的有关规定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噪声应按本规程附录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检验，并应符合下列规定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5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实验室有特殊要求时，应满足实验室工艺要求；</w:t>
      </w:r>
    </w:p>
    <w:p>
      <w:pPr>
        <w:pStyle w:val="90"/>
        <w:numPr>
          <w:ilvl w:val="0"/>
          <w:numId w:val="59"/>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无工艺或特殊要求时，单向流实验室不应大于</w:t>
      </w:r>
      <w:r>
        <w:rPr>
          <w:rFonts w:ascii="Times New Roman" w:hAnsi="Times New Roman" w:cs="Times New Roman"/>
          <w:color w:val="000000" w:themeColor="text1"/>
          <w:sz w:val="24"/>
          <w:szCs w:val="24"/>
          <w:highlight w:val="none"/>
          <w14:textFill>
            <w14:solidFill>
              <w14:schemeClr w14:val="tx1"/>
            </w14:solidFill>
          </w14:textFill>
        </w:rPr>
        <w:t>65dB</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A</w:t>
      </w:r>
      <w:r>
        <w:rPr>
          <w:rFonts w:hint="eastAsia" w:ascii="Times New Roman" w:hAnsi="Times New Roman" w:cs="Times New Roman"/>
          <w:color w:val="000000" w:themeColor="text1"/>
          <w:sz w:val="24"/>
          <w:szCs w:val="24"/>
          <w:highlight w:val="none"/>
          <w14:textFill>
            <w14:solidFill>
              <w14:schemeClr w14:val="tx1"/>
            </w14:solidFill>
          </w14:textFill>
        </w:rPr>
        <w:t>），非单向流实验室不应大于</w:t>
      </w:r>
      <w:r>
        <w:rPr>
          <w:rFonts w:ascii="Times New Roman" w:hAnsi="Times New Roman" w:cs="Times New Roman"/>
          <w:color w:val="000000" w:themeColor="text1"/>
          <w:sz w:val="24"/>
          <w:szCs w:val="24"/>
          <w:highlight w:val="none"/>
          <w14:textFill>
            <w14:solidFill>
              <w14:schemeClr w14:val="tx1"/>
            </w14:solidFill>
          </w14:textFill>
        </w:rPr>
        <w:t>60dB</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A</w:t>
      </w:r>
      <w:r>
        <w:rPr>
          <w:rFonts w:hint="eastAsia" w:ascii="Times New Roman" w:hAnsi="Times New Roman" w:cs="Times New Roman"/>
          <w:color w:val="000000" w:themeColor="text1"/>
          <w:sz w:val="24"/>
          <w:szCs w:val="24"/>
          <w:highlight w:val="none"/>
          <w14:textFill>
            <w14:solidFill>
              <w14:schemeClr w14:val="tx1"/>
            </w14:solidFill>
          </w14:textFill>
        </w:rPr>
        <w:t>），当时实验室有设备并且设备开启时不应大于</w:t>
      </w:r>
      <w:r>
        <w:rPr>
          <w:rFonts w:ascii="Times New Roman" w:hAnsi="Times New Roman" w:cs="Times New Roman"/>
          <w:color w:val="000000" w:themeColor="text1"/>
          <w:sz w:val="24"/>
          <w:szCs w:val="24"/>
          <w:highlight w:val="none"/>
          <w14:textFill>
            <w14:solidFill>
              <w14:schemeClr w14:val="tx1"/>
            </w14:solidFill>
          </w14:textFill>
        </w:rPr>
        <w:t>68dB</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A</w:t>
      </w:r>
      <w:r>
        <w:rPr>
          <w:rFonts w:hint="eastAsia"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照度应按本规程附录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检验，并应符合本规程规定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w:t>
      </w:r>
      <w:r>
        <w:rPr>
          <w:rFonts w:ascii="Times New Roman" w:hAnsi="Times New Roman" w:cs="Times New Roman"/>
          <w:color w:val="000000" w:themeColor="text1"/>
          <w:sz w:val="24"/>
          <w:szCs w:val="24"/>
          <w:highlight w:val="none"/>
          <w14:textFill>
            <w14:solidFill>
              <w14:schemeClr w14:val="tx1"/>
            </w14:solidFill>
          </w14:textFill>
        </w:rPr>
        <w:t xml:space="preserve"> PM2.5</w:t>
      </w:r>
      <w:r>
        <w:rPr>
          <w:rFonts w:hint="eastAsia" w:ascii="Times New Roman" w:hAnsi="Times New Roman" w:cs="Times New Roman"/>
          <w:color w:val="000000" w:themeColor="text1"/>
          <w:sz w:val="24"/>
          <w:szCs w:val="24"/>
          <w:highlight w:val="none"/>
          <w14:textFill>
            <w14:solidFill>
              <w14:schemeClr w14:val="tx1"/>
            </w14:solidFill>
          </w14:textFill>
        </w:rPr>
        <w:t>污染控制效果应按本规程附录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检验，并应符合下列规定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6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w:t>
      </w:r>
      <w:r>
        <w:rPr>
          <w:rFonts w:ascii="Times New Roman" w:hAnsi="Times New Roman" w:cs="Times New Roman"/>
          <w:color w:val="000000" w:themeColor="text1"/>
          <w:sz w:val="24"/>
          <w:szCs w:val="24"/>
          <w:highlight w:val="none"/>
          <w14:textFill>
            <w14:solidFill>
              <w14:schemeClr w14:val="tx1"/>
            </w14:solidFill>
          </w14:textFill>
        </w:rPr>
        <w:t>PM2.5</w:t>
      </w:r>
      <w:r>
        <w:rPr>
          <w:rFonts w:hint="eastAsia" w:ascii="Times New Roman" w:hAnsi="Times New Roman" w:cs="Times New Roman"/>
          <w:color w:val="000000" w:themeColor="text1"/>
          <w:sz w:val="24"/>
          <w:szCs w:val="24"/>
          <w:highlight w:val="none"/>
          <w14:textFill>
            <w14:solidFill>
              <w14:schemeClr w14:val="tx1"/>
            </w14:solidFill>
          </w14:textFill>
        </w:rPr>
        <w:t>污染控制效果检测应包括以下检测项目：</w:t>
      </w:r>
    </w:p>
    <w:p>
      <w:pPr>
        <w:pStyle w:val="90"/>
        <w:numPr>
          <w:ilvl w:val="0"/>
          <w:numId w:val="61"/>
        </w:numPr>
        <w:spacing w:line="360" w:lineRule="auto"/>
        <w:ind w:left="1134"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室外空气中</w:t>
      </w:r>
      <w:r>
        <w:rPr>
          <w:rFonts w:ascii="Times New Roman" w:hAnsi="Times New Roman" w:cs="Times New Roman"/>
          <w:color w:val="000000" w:themeColor="text1"/>
          <w:sz w:val="24"/>
          <w:szCs w:val="24"/>
          <w:highlight w:val="none"/>
          <w14:textFill>
            <w14:solidFill>
              <w14:schemeClr w14:val="tx1"/>
            </w14:solidFill>
          </w14:textFill>
        </w:rPr>
        <w:t>PM2.5</w:t>
      </w:r>
      <w:r>
        <w:rPr>
          <w:rFonts w:hint="eastAsia" w:ascii="Times New Roman" w:hAnsi="Times New Roman" w:cs="Times New Roman"/>
          <w:color w:val="000000" w:themeColor="text1"/>
          <w:sz w:val="24"/>
          <w:szCs w:val="24"/>
          <w:highlight w:val="none"/>
          <w14:textFill>
            <w14:solidFill>
              <w14:schemeClr w14:val="tx1"/>
            </w14:solidFill>
          </w14:textFill>
        </w:rPr>
        <w:t>浓度；</w:t>
      </w:r>
    </w:p>
    <w:p>
      <w:pPr>
        <w:pStyle w:val="90"/>
        <w:numPr>
          <w:ilvl w:val="0"/>
          <w:numId w:val="61"/>
        </w:numPr>
        <w:spacing w:line="360" w:lineRule="auto"/>
        <w:ind w:left="1134"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室内空气中</w:t>
      </w:r>
      <w:r>
        <w:rPr>
          <w:rFonts w:ascii="Times New Roman" w:hAnsi="Times New Roman" w:cs="Times New Roman"/>
          <w:color w:val="000000" w:themeColor="text1"/>
          <w:sz w:val="24"/>
          <w:szCs w:val="24"/>
          <w:highlight w:val="none"/>
          <w14:textFill>
            <w14:solidFill>
              <w14:schemeClr w14:val="tx1"/>
            </w14:solidFill>
          </w14:textFill>
        </w:rPr>
        <w:t>PM2.5</w:t>
      </w:r>
      <w:r>
        <w:rPr>
          <w:rFonts w:hint="eastAsia" w:ascii="Times New Roman" w:hAnsi="Times New Roman" w:cs="Times New Roman"/>
          <w:color w:val="000000" w:themeColor="text1"/>
          <w:sz w:val="24"/>
          <w:szCs w:val="24"/>
          <w:highlight w:val="none"/>
          <w14:textFill>
            <w14:solidFill>
              <w14:schemeClr w14:val="tx1"/>
            </w14:solidFill>
          </w14:textFill>
        </w:rPr>
        <w:t>浓度；</w:t>
      </w:r>
    </w:p>
    <w:p>
      <w:pPr>
        <w:pStyle w:val="90"/>
        <w:numPr>
          <w:ilvl w:val="0"/>
          <w:numId w:val="61"/>
        </w:numPr>
        <w:spacing w:line="360" w:lineRule="auto"/>
        <w:ind w:left="1134"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室内外温度和相对湿度。</w:t>
      </w:r>
    </w:p>
    <w:p>
      <w:pPr>
        <w:pStyle w:val="90"/>
        <w:numPr>
          <w:ilvl w:val="0"/>
          <w:numId w:val="6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w:t>
      </w:r>
      <w:r>
        <w:rPr>
          <w:rFonts w:ascii="Times New Roman" w:hAnsi="Times New Roman" w:cs="Times New Roman"/>
          <w:color w:val="000000" w:themeColor="text1"/>
          <w:sz w:val="24"/>
          <w:szCs w:val="24"/>
          <w:highlight w:val="none"/>
          <w14:textFill>
            <w14:solidFill>
              <w14:schemeClr w14:val="tx1"/>
            </w14:solidFill>
          </w14:textFill>
        </w:rPr>
        <w:t>PM2.5</w:t>
      </w:r>
      <w:r>
        <w:rPr>
          <w:rFonts w:hint="eastAsia" w:ascii="Times New Roman" w:hAnsi="Times New Roman" w:cs="Times New Roman"/>
          <w:color w:val="000000" w:themeColor="text1"/>
          <w:sz w:val="24"/>
          <w:szCs w:val="24"/>
          <w:highlight w:val="none"/>
          <w14:textFill>
            <w14:solidFill>
              <w14:schemeClr w14:val="tx1"/>
            </w14:solidFill>
          </w14:textFill>
        </w:rPr>
        <w:t>污染控制效果检测应抽检代表性房间，抽检数量不应少于房间总数的</w:t>
      </w:r>
      <w:r>
        <w:rPr>
          <w:rFonts w:ascii="Times New Roman" w:hAnsi="Times New Roman" w:cs="Times New Roman"/>
          <w:color w:val="000000" w:themeColor="text1"/>
          <w:sz w:val="24"/>
          <w:szCs w:val="24"/>
          <w:highlight w:val="none"/>
          <w14:textFill>
            <w14:solidFill>
              <w14:schemeClr w14:val="tx1"/>
            </w14:solidFill>
          </w14:textFill>
        </w:rPr>
        <w:t>10%</w:t>
      </w:r>
      <w:r>
        <w:rPr>
          <w:rFonts w:hint="eastAsia" w:ascii="Times New Roman" w:hAnsi="Times New Roman" w:cs="Times New Roman"/>
          <w:color w:val="000000" w:themeColor="text1"/>
          <w:sz w:val="24"/>
          <w:szCs w:val="24"/>
          <w:highlight w:val="none"/>
          <w14:textFill>
            <w14:solidFill>
              <w14:schemeClr w14:val="tx1"/>
            </w14:solidFill>
          </w14:textFill>
        </w:rPr>
        <w:t>，且不宜少于</w:t>
      </w:r>
      <w:r>
        <w:rPr>
          <w:rFonts w:ascii="Times New Roman" w:hAnsi="Times New Roman" w:cs="Times New Roman"/>
          <w:color w:val="000000" w:themeColor="text1"/>
          <w:sz w:val="24"/>
          <w:szCs w:val="24"/>
          <w:highlight w:val="none"/>
          <w14:textFill>
            <w14:solidFill>
              <w14:schemeClr w14:val="tx1"/>
            </w14:solidFill>
          </w14:textFill>
        </w:rPr>
        <w:t>3</w:t>
      </w:r>
      <w:r>
        <w:rPr>
          <w:rFonts w:hint="eastAsia" w:ascii="Times New Roman" w:hAnsi="Times New Roman" w:cs="Times New Roman"/>
          <w:color w:val="000000" w:themeColor="text1"/>
          <w:sz w:val="24"/>
          <w:szCs w:val="24"/>
          <w:highlight w:val="none"/>
          <w14:textFill>
            <w14:solidFill>
              <w14:schemeClr w14:val="tx1"/>
            </w14:solidFill>
          </w14:textFill>
        </w:rPr>
        <w:t>间，当房间总数少于</w:t>
      </w:r>
      <w:r>
        <w:rPr>
          <w:rFonts w:ascii="Times New Roman" w:hAnsi="Times New Roman" w:cs="Times New Roman"/>
          <w:color w:val="000000" w:themeColor="text1"/>
          <w:sz w:val="24"/>
          <w:szCs w:val="24"/>
          <w:highlight w:val="none"/>
          <w14:textFill>
            <w14:solidFill>
              <w14:schemeClr w14:val="tx1"/>
            </w14:solidFill>
          </w14:textFill>
        </w:rPr>
        <w:t>3</w:t>
      </w:r>
      <w:r>
        <w:rPr>
          <w:rFonts w:hint="eastAsia" w:ascii="Times New Roman" w:hAnsi="Times New Roman" w:cs="Times New Roman"/>
          <w:color w:val="000000" w:themeColor="text1"/>
          <w:sz w:val="24"/>
          <w:szCs w:val="24"/>
          <w:highlight w:val="none"/>
          <w14:textFill>
            <w14:solidFill>
              <w14:schemeClr w14:val="tx1"/>
            </w14:solidFill>
          </w14:textFill>
        </w:rPr>
        <w:t>间时，应全部检测。</w:t>
      </w:r>
    </w:p>
    <w:p>
      <w:pPr>
        <w:pStyle w:val="82"/>
        <w:numPr>
          <w:ilvl w:val="0"/>
          <w:numId w:val="60"/>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室内</w:t>
      </w:r>
      <w:r>
        <w:rPr>
          <w:rFonts w:ascii="Times New Roman" w:hAnsi="Times New Roman" w:cs="Times New Roman"/>
          <w:bCs/>
          <w:color w:val="000000" w:themeColor="text1"/>
          <w:sz w:val="24"/>
          <w:szCs w:val="24"/>
          <w:highlight w:val="none"/>
          <w14:textFill>
            <w14:solidFill>
              <w14:schemeClr w14:val="tx1"/>
            </w14:solidFill>
          </w14:textFill>
        </w:rPr>
        <w:t>PM</w:t>
      </w:r>
      <w:r>
        <w:rPr>
          <w:rFonts w:ascii="Times New Roman" w:hAnsi="Times New Roman" w:cs="Times New Roman"/>
          <w:bCs/>
          <w:color w:val="000000" w:themeColor="text1"/>
          <w:sz w:val="24"/>
          <w:szCs w:val="24"/>
          <w:highlight w:val="none"/>
          <w:vertAlign w:val="subscript"/>
          <w14:textFill>
            <w14:solidFill>
              <w14:schemeClr w14:val="tx1"/>
            </w14:solidFill>
          </w14:textFill>
        </w:rPr>
        <w:t>2.5</w:t>
      </w:r>
      <w:r>
        <w:rPr>
          <w:rFonts w:hint="eastAsia" w:ascii="Times New Roman" w:hAnsi="Times New Roman" w:cs="Times New Roman"/>
          <w:bCs/>
          <w:color w:val="000000" w:themeColor="text1"/>
          <w:sz w:val="24"/>
          <w:szCs w:val="24"/>
          <w:highlight w:val="none"/>
          <w14:textFill>
            <w14:solidFill>
              <w14:schemeClr w14:val="tx1"/>
            </w14:solidFill>
          </w14:textFill>
        </w:rPr>
        <w:t>污染控制效果应以室内</w:t>
      </w:r>
      <w:r>
        <w:rPr>
          <w:rFonts w:ascii="Times New Roman" w:hAnsi="Times New Roman" w:cs="Times New Roman"/>
          <w:bCs/>
          <w:color w:val="000000" w:themeColor="text1"/>
          <w:sz w:val="24"/>
          <w:szCs w:val="24"/>
          <w:highlight w:val="none"/>
          <w14:textFill>
            <w14:solidFill>
              <w14:schemeClr w14:val="tx1"/>
            </w14:solidFill>
          </w14:textFill>
        </w:rPr>
        <w:t>PM</w:t>
      </w:r>
      <w:r>
        <w:rPr>
          <w:rFonts w:ascii="Times New Roman" w:hAnsi="Times New Roman" w:cs="Times New Roman"/>
          <w:bCs/>
          <w:color w:val="000000" w:themeColor="text1"/>
          <w:sz w:val="24"/>
          <w:szCs w:val="24"/>
          <w:highlight w:val="none"/>
          <w:vertAlign w:val="subscript"/>
          <w14:textFill>
            <w14:solidFill>
              <w14:schemeClr w14:val="tx1"/>
            </w14:solidFill>
          </w14:textFill>
        </w:rPr>
        <w:t>2.5</w:t>
      </w:r>
      <w:r>
        <w:rPr>
          <w:rFonts w:hint="eastAsia" w:ascii="Times New Roman" w:hAnsi="Times New Roman" w:cs="Times New Roman"/>
          <w:bCs/>
          <w:color w:val="000000" w:themeColor="text1"/>
          <w:sz w:val="24"/>
          <w:szCs w:val="24"/>
          <w:highlight w:val="none"/>
          <w14:textFill>
            <w14:solidFill>
              <w14:schemeClr w14:val="tx1"/>
            </w14:solidFill>
          </w14:textFill>
        </w:rPr>
        <w:t>浓度有效值进行评价，应按下式计算：</w:t>
      </w:r>
    </w:p>
    <w:p>
      <w:pPr>
        <w:pStyle w:val="96"/>
        <w:tabs>
          <w:tab w:val="left" w:pos="993"/>
        </w:tabs>
        <w:spacing w:line="360" w:lineRule="auto"/>
        <w:ind w:right="210" w:firstLine="0" w:firstLineChars="0"/>
        <w:jc w:val="right"/>
        <w:rPr>
          <w:rFonts w:ascii="Times New Roman" w:hAnsi="Times New Roman"/>
          <w:bCs/>
          <w:color w:val="000000" w:themeColor="text1"/>
          <w:position w:val="-28"/>
          <w:sz w:val="24"/>
          <w:highlight w:val="none"/>
          <w14:textFill>
            <w14:solidFill>
              <w14:schemeClr w14:val="tx1"/>
            </w14:solidFill>
          </w14:textFill>
        </w:rPr>
      </w:pPr>
      <w:r>
        <w:rPr>
          <w:rFonts w:ascii="Times New Roman" w:hAnsi="Times New Roman"/>
          <w:bCs/>
          <w:color w:val="000000" w:themeColor="text1"/>
          <w:position w:val="-28"/>
          <w:sz w:val="24"/>
          <w:highlight w:val="none"/>
          <w14:textFill>
            <w14:solidFill>
              <w14:schemeClr w14:val="tx1"/>
            </w14:solidFill>
          </w14:textFill>
        </w:rPr>
        <w:object>
          <v:shape id="_x0000_i1038" o:spt="75" type="#_x0000_t75" style="height:36.4pt;width:67.15pt;" o:ole="t" filled="f" o:preferrelative="t" stroked="f" coordsize="21600,21600">
            <v:path/>
            <v:fill on="f" focussize="0,0"/>
            <v:stroke on="f" joinstyle="miter"/>
            <v:imagedata r:id="rId35" o:title=""/>
            <o:lock v:ext="edit" aspectratio="t"/>
            <w10:wrap type="none"/>
            <w10:anchorlock/>
          </v:shape>
          <o:OLEObject Type="Embed" ProgID="Equation.DSMT4" ShapeID="_x0000_i1038" DrawAspect="Content" ObjectID="_1468075738" r:id="rId34">
            <o:LockedField>false</o:LockedField>
          </o:OLEObject>
        </w:object>
      </w:r>
      <w:r>
        <w:rPr>
          <w:rFonts w:ascii="Times New Roman" w:hAnsi="Times New Roman"/>
          <w:bCs/>
          <w:color w:val="000000" w:themeColor="text1"/>
          <w:position w:val="-28"/>
          <w:sz w:val="24"/>
          <w:highlight w:val="none"/>
          <w14:textFill>
            <w14:solidFill>
              <w14:schemeClr w14:val="tx1"/>
            </w14:solidFill>
          </w14:textFill>
        </w:rPr>
        <w:t xml:space="preserve">                      </w:t>
      </w:r>
      <w:r>
        <w:rPr>
          <w:rFonts w:hint="eastAsia" w:ascii="Times New Roman" w:hAnsi="Times New Roman"/>
          <w:bCs/>
          <w:color w:val="000000" w:themeColor="text1"/>
          <w:position w:val="-28"/>
          <w:sz w:val="24"/>
          <w:highlight w:val="none"/>
          <w14:textFill>
            <w14:solidFill>
              <w14:schemeClr w14:val="tx1"/>
            </w14:solidFill>
          </w14:textFill>
        </w:rPr>
        <w:t>（</w:t>
      </w:r>
      <w:r>
        <w:rPr>
          <w:rFonts w:ascii="Times New Roman" w:hAnsi="Times New Roman"/>
          <w:bCs/>
          <w:color w:val="000000" w:themeColor="text1"/>
          <w:position w:val="-28"/>
          <w:sz w:val="24"/>
          <w:highlight w:val="none"/>
          <w14:textFill>
            <w14:solidFill>
              <w14:schemeClr w14:val="tx1"/>
            </w14:solidFill>
          </w14:textFill>
        </w:rPr>
        <w:t>8.1.19</w:t>
      </w:r>
      <w:r>
        <w:rPr>
          <w:rFonts w:hint="eastAsia" w:ascii="Times New Roman" w:hAnsi="Times New Roman"/>
          <w:bCs/>
          <w:color w:val="000000" w:themeColor="text1"/>
          <w:position w:val="-28"/>
          <w:sz w:val="24"/>
          <w:highlight w:val="none"/>
          <w14:textFill>
            <w14:solidFill>
              <w14:schemeClr w14:val="tx1"/>
            </w14:solidFill>
          </w14:textFill>
        </w:rPr>
        <w:t>）</w:t>
      </w:r>
    </w:p>
    <w:p>
      <w:pPr>
        <w:pStyle w:val="96"/>
        <w:tabs>
          <w:tab w:val="left" w:pos="993"/>
        </w:tabs>
        <w:spacing w:line="360" w:lineRule="auto"/>
        <w:ind w:firstLine="0" w:firstLineChars="0"/>
        <w:jc w:val="both"/>
        <w:rPr>
          <w:rFonts w:ascii="Times New Roman" w:hAnsi="Times New Roman"/>
          <w:bCs/>
          <w:color w:val="000000" w:themeColor="text1"/>
          <w:sz w:val="24"/>
          <w:highlight w:val="none"/>
          <w14:textFill>
            <w14:solidFill>
              <w14:schemeClr w14:val="tx1"/>
            </w14:solidFill>
          </w14:textFill>
        </w:rPr>
      </w:pPr>
      <w:r>
        <w:rPr>
          <w:rFonts w:hint="eastAsia" w:ascii="Times New Roman" w:hAnsi="Times New Roman"/>
          <w:bCs/>
          <w:color w:val="000000" w:themeColor="text1"/>
          <w:sz w:val="24"/>
          <w:highlight w:val="none"/>
          <w14:textFill>
            <w14:solidFill>
              <w14:schemeClr w14:val="tx1"/>
            </w14:solidFill>
          </w14:textFill>
        </w:rPr>
        <w:t>式中：</w:t>
      </w:r>
      <w:r>
        <w:rPr>
          <w:rFonts w:ascii="Times New Roman" w:hAnsi="Times New Roman"/>
          <w:bCs/>
          <w:i/>
          <w:iCs/>
          <w:color w:val="000000" w:themeColor="text1"/>
          <w:sz w:val="24"/>
          <w:highlight w:val="none"/>
          <w14:textFill>
            <w14:solidFill>
              <w14:schemeClr w14:val="tx1"/>
            </w14:solidFill>
          </w14:textFill>
        </w:rPr>
        <w:t>C</w:t>
      </w:r>
      <w:r>
        <w:rPr>
          <w:rFonts w:ascii="Times New Roman" w:hAnsi="Times New Roman"/>
          <w:bCs/>
          <w:color w:val="000000" w:themeColor="text1"/>
          <w:sz w:val="24"/>
          <w:highlight w:val="none"/>
          <w:vertAlign w:val="subscript"/>
          <w14:textFill>
            <w14:solidFill>
              <w14:schemeClr w14:val="tx1"/>
            </w14:solidFill>
          </w14:textFill>
        </w:rPr>
        <w:t>id</w:t>
      </w:r>
      <w:r>
        <w:rPr>
          <w:rFonts w:ascii="Times New Roman" w:hAnsi="Times New Roman"/>
          <w:bCs/>
          <w:color w:val="000000" w:themeColor="text1"/>
          <w:sz w:val="24"/>
          <w:highlight w:val="none"/>
          <w14:textFill>
            <w14:solidFill>
              <w14:schemeClr w14:val="tx1"/>
            </w14:solidFill>
          </w14:textFill>
        </w:rPr>
        <w:t>——</w:t>
      </w:r>
      <w:r>
        <w:rPr>
          <w:rFonts w:hint="eastAsia" w:ascii="Times New Roman" w:hAnsi="Times New Roman"/>
          <w:bCs/>
          <w:color w:val="000000" w:themeColor="text1"/>
          <w:sz w:val="24"/>
          <w:highlight w:val="none"/>
          <w14:textFill>
            <w14:solidFill>
              <w14:schemeClr w14:val="tx1"/>
            </w14:solidFill>
          </w14:textFill>
        </w:rPr>
        <w:t>建筑室内</w:t>
      </w:r>
      <w:r>
        <w:rPr>
          <w:rFonts w:ascii="Times New Roman" w:hAnsi="Times New Roman"/>
          <w:bCs/>
          <w:color w:val="000000" w:themeColor="text1"/>
          <w:sz w:val="24"/>
          <w:highlight w:val="none"/>
          <w14:textFill>
            <w14:solidFill>
              <w14:schemeClr w14:val="tx1"/>
            </w14:solidFill>
          </w14:textFill>
        </w:rPr>
        <w:t>PM</w:t>
      </w:r>
      <w:r>
        <w:rPr>
          <w:rFonts w:ascii="Times New Roman" w:hAnsi="Times New Roman"/>
          <w:bCs/>
          <w:color w:val="000000" w:themeColor="text1"/>
          <w:sz w:val="24"/>
          <w:highlight w:val="none"/>
          <w:vertAlign w:val="subscript"/>
          <w14:textFill>
            <w14:solidFill>
              <w14:schemeClr w14:val="tx1"/>
            </w14:solidFill>
          </w14:textFill>
        </w:rPr>
        <w:t>2.5</w:t>
      </w:r>
      <w:r>
        <w:rPr>
          <w:rFonts w:hint="eastAsia" w:ascii="Times New Roman" w:hAnsi="Times New Roman"/>
          <w:bCs/>
          <w:color w:val="000000" w:themeColor="text1"/>
          <w:sz w:val="24"/>
          <w:highlight w:val="none"/>
          <w14:textFill>
            <w14:solidFill>
              <w14:schemeClr w14:val="tx1"/>
            </w14:solidFill>
          </w14:textFill>
        </w:rPr>
        <w:t>浓度的有效值，</w:t>
      </w:r>
      <w:r>
        <w:rPr>
          <w:rFonts w:ascii="Times New Roman" w:hAnsi="Times New Roman"/>
          <w:bCs/>
          <w:color w:val="000000" w:themeColor="text1"/>
          <w:sz w:val="24"/>
          <w:highlight w:val="none"/>
          <w14:textFill>
            <w14:solidFill>
              <w14:schemeClr w14:val="tx1"/>
            </w14:solidFill>
          </w14:textFill>
        </w:rPr>
        <w:t>μg/m3</w:t>
      </w:r>
      <w:r>
        <w:rPr>
          <w:rFonts w:hint="eastAsia" w:ascii="Times New Roman" w:hAnsi="Times New Roman"/>
          <w:bCs/>
          <w:color w:val="000000" w:themeColor="text1"/>
          <w:sz w:val="24"/>
          <w:highlight w:val="none"/>
          <w14:textFill>
            <w14:solidFill>
              <w14:schemeClr w14:val="tx1"/>
            </w14:solidFill>
          </w14:textFill>
        </w:rPr>
        <w:t>；</w:t>
      </w:r>
    </w:p>
    <w:p>
      <w:pPr>
        <w:pStyle w:val="96"/>
        <w:tabs>
          <w:tab w:val="left" w:pos="993"/>
        </w:tabs>
        <w:spacing w:line="360" w:lineRule="auto"/>
        <w:ind w:firstLine="849" w:firstLineChars="354"/>
        <w:jc w:val="both"/>
        <w:rPr>
          <w:rFonts w:ascii="Times New Roman" w:hAnsi="Times New Roman"/>
          <w:bCs/>
          <w:color w:val="000000" w:themeColor="text1"/>
          <w:sz w:val="24"/>
          <w:highlight w:val="none"/>
          <w14:textFill>
            <w14:solidFill>
              <w14:schemeClr w14:val="tx1"/>
            </w14:solidFill>
          </w14:textFill>
        </w:rPr>
      </w:pPr>
      <w:r>
        <w:rPr>
          <w:rFonts w:ascii="Times New Roman" w:hAnsi="Times New Roman"/>
          <w:bCs/>
          <w:i/>
          <w:iCs/>
          <w:color w:val="000000" w:themeColor="text1"/>
          <w:sz w:val="24"/>
          <w:highlight w:val="none"/>
          <w14:textFill>
            <w14:solidFill>
              <w14:schemeClr w14:val="tx1"/>
            </w14:solidFill>
          </w14:textFill>
        </w:rPr>
        <w:t>n</w:t>
      </w:r>
      <w:r>
        <w:rPr>
          <w:rFonts w:ascii="Times New Roman" w:hAnsi="Times New Roman"/>
          <w:bCs/>
          <w:color w:val="000000" w:themeColor="text1"/>
          <w:sz w:val="24"/>
          <w:highlight w:val="none"/>
          <w14:textFill>
            <w14:solidFill>
              <w14:schemeClr w14:val="tx1"/>
            </w14:solidFill>
          </w14:textFill>
        </w:rPr>
        <w:t xml:space="preserve"> ——</w:t>
      </w:r>
      <w:r>
        <w:rPr>
          <w:rFonts w:hint="eastAsia" w:ascii="Times New Roman" w:hAnsi="Times New Roman"/>
          <w:bCs/>
          <w:color w:val="000000" w:themeColor="text1"/>
          <w:sz w:val="24"/>
          <w:highlight w:val="none"/>
          <w14:textFill>
            <w14:solidFill>
              <w14:schemeClr w14:val="tx1"/>
            </w14:solidFill>
          </w14:textFill>
        </w:rPr>
        <w:t>室内的测点数量；</w:t>
      </w:r>
    </w:p>
    <w:p>
      <w:pPr>
        <w:pStyle w:val="96"/>
        <w:tabs>
          <w:tab w:val="left" w:pos="993"/>
        </w:tabs>
        <w:spacing w:line="360" w:lineRule="auto"/>
        <w:ind w:firstLine="720" w:firstLineChars="300"/>
        <w:jc w:val="both"/>
        <w:rPr>
          <w:rFonts w:ascii="Times New Roman" w:hAnsi="Times New Roman"/>
          <w:bCs/>
          <w:color w:val="000000" w:themeColor="text1"/>
          <w:sz w:val="24"/>
          <w:highlight w:val="none"/>
          <w14:textFill>
            <w14:solidFill>
              <w14:schemeClr w14:val="tx1"/>
            </w14:solidFill>
          </w14:textFill>
        </w:rPr>
      </w:pPr>
      <w:r>
        <w:rPr>
          <w:rFonts w:ascii="Times New Roman" w:hAnsi="Times New Roman"/>
          <w:bCs/>
          <w:i/>
          <w:iCs/>
          <w:color w:val="000000" w:themeColor="text1"/>
          <w:sz w:val="24"/>
          <w:highlight w:val="none"/>
          <w14:textFill>
            <w14:solidFill>
              <w14:schemeClr w14:val="tx1"/>
            </w14:solidFill>
          </w14:textFill>
        </w:rPr>
        <w:t>C</w:t>
      </w:r>
      <w:r>
        <w:rPr>
          <w:rFonts w:ascii="Times New Roman" w:hAnsi="Times New Roman"/>
          <w:bCs/>
          <w:color w:val="000000" w:themeColor="text1"/>
          <w:sz w:val="24"/>
          <w:highlight w:val="none"/>
          <w:vertAlign w:val="subscript"/>
          <w14:textFill>
            <w14:solidFill>
              <w14:schemeClr w14:val="tx1"/>
            </w14:solidFill>
          </w14:textFill>
        </w:rPr>
        <w:t>i</w:t>
      </w:r>
      <w:r>
        <w:rPr>
          <w:rFonts w:ascii="Times New Roman" w:hAnsi="Times New Roman"/>
          <w:bCs/>
          <w:color w:val="000000" w:themeColor="text1"/>
          <w:sz w:val="24"/>
          <w:highlight w:val="none"/>
          <w14:textFill>
            <w14:solidFill>
              <w14:schemeClr w14:val="tx1"/>
            </w14:solidFill>
          </w14:textFill>
        </w:rPr>
        <w:t xml:space="preserve"> ——</w:t>
      </w:r>
      <w:r>
        <w:rPr>
          <w:rFonts w:hint="eastAsia" w:ascii="Times New Roman" w:hAnsi="Times New Roman"/>
          <w:bCs/>
          <w:color w:val="000000" w:themeColor="text1"/>
          <w:sz w:val="24"/>
          <w:highlight w:val="none"/>
          <w14:textFill>
            <w14:solidFill>
              <w14:schemeClr w14:val="tx1"/>
            </w14:solidFill>
          </w14:textFill>
        </w:rPr>
        <w:t>室内</w:t>
      </w:r>
      <w:r>
        <w:rPr>
          <w:rFonts w:ascii="Times New Roman" w:hAnsi="Times New Roman"/>
          <w:bCs/>
          <w:color w:val="000000" w:themeColor="text1"/>
          <w:sz w:val="24"/>
          <w:highlight w:val="none"/>
          <w14:textFill>
            <w14:solidFill>
              <w14:schemeClr w14:val="tx1"/>
            </w14:solidFill>
          </w14:textFill>
        </w:rPr>
        <w:t>i</w:t>
      </w:r>
      <w:r>
        <w:rPr>
          <w:rFonts w:hint="eastAsia" w:ascii="Times New Roman" w:hAnsi="Times New Roman"/>
          <w:bCs/>
          <w:color w:val="000000" w:themeColor="text1"/>
          <w:sz w:val="24"/>
          <w:highlight w:val="none"/>
          <w14:textFill>
            <w14:solidFill>
              <w14:schemeClr w14:val="tx1"/>
            </w14:solidFill>
          </w14:textFill>
        </w:rPr>
        <w:t>点的</w:t>
      </w:r>
      <w:r>
        <w:rPr>
          <w:rFonts w:ascii="Times New Roman" w:hAnsi="Times New Roman"/>
          <w:bCs/>
          <w:color w:val="000000" w:themeColor="text1"/>
          <w:sz w:val="24"/>
          <w:highlight w:val="none"/>
          <w14:textFill>
            <w14:solidFill>
              <w14:schemeClr w14:val="tx1"/>
            </w14:solidFill>
          </w14:textFill>
        </w:rPr>
        <w:t>PM</w:t>
      </w:r>
      <w:r>
        <w:rPr>
          <w:rFonts w:ascii="Times New Roman" w:hAnsi="Times New Roman"/>
          <w:bCs/>
          <w:color w:val="000000" w:themeColor="text1"/>
          <w:sz w:val="24"/>
          <w:highlight w:val="none"/>
          <w:vertAlign w:val="subscript"/>
          <w14:textFill>
            <w14:solidFill>
              <w14:schemeClr w14:val="tx1"/>
            </w14:solidFill>
          </w14:textFill>
        </w:rPr>
        <w:t>2.5</w:t>
      </w:r>
      <w:r>
        <w:rPr>
          <w:rFonts w:hint="eastAsia" w:ascii="Times New Roman" w:hAnsi="Times New Roman"/>
          <w:bCs/>
          <w:color w:val="000000" w:themeColor="text1"/>
          <w:sz w:val="24"/>
          <w:highlight w:val="none"/>
          <w14:textFill>
            <w14:solidFill>
              <w14:schemeClr w14:val="tx1"/>
            </w14:solidFill>
          </w14:textFill>
        </w:rPr>
        <w:t>浓度测试值，</w:t>
      </w:r>
      <w:r>
        <w:rPr>
          <w:rFonts w:ascii="Times New Roman" w:hAnsi="Times New Roman"/>
          <w:bCs/>
          <w:color w:val="000000" w:themeColor="text1"/>
          <w:sz w:val="24"/>
          <w:highlight w:val="none"/>
          <w14:textFill>
            <w14:solidFill>
              <w14:schemeClr w14:val="tx1"/>
            </w14:solidFill>
          </w14:textFill>
        </w:rPr>
        <w:t>μg/m3</w:t>
      </w:r>
      <w:r>
        <w:rPr>
          <w:rFonts w:hint="eastAsia" w:ascii="Times New Roman" w:hAnsi="Times New Roman"/>
          <w:bCs/>
          <w:color w:val="000000" w:themeColor="text1"/>
          <w:sz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除</w:t>
      </w:r>
      <w:r>
        <w:rPr>
          <w:rFonts w:ascii="Times New Roman" w:hAnsi="Times New Roman" w:cs="Times New Roman" w:eastAsiaTheme="minorEastAsia"/>
          <w:color w:val="000000" w:themeColor="text1"/>
          <w:sz w:val="24"/>
          <w:szCs w:val="24"/>
          <w:highlight w:val="none"/>
          <w14:textFill>
            <w14:solidFill>
              <w14:schemeClr w14:val="tx1"/>
            </w14:solidFill>
          </w14:textFill>
        </w:rPr>
        <w:t>室内</w:t>
      </w:r>
      <w:r>
        <w:rPr>
          <w:rFonts w:ascii="Times New Roman" w:hAnsi="Times New Roman" w:cs="Times New Roman"/>
          <w:color w:val="000000" w:themeColor="text1"/>
          <w:sz w:val="24"/>
          <w:szCs w:val="24"/>
          <w:highlight w:val="none"/>
          <w14:textFill>
            <w14:solidFill>
              <w14:schemeClr w14:val="tx1"/>
            </w14:solidFill>
          </w14:textFill>
        </w:rPr>
        <w:t>PM</w:t>
      </w:r>
      <w:r>
        <w:rPr>
          <w:rFonts w:ascii="Times New Roman" w:hAnsi="Times New Roman" w:cs="Times New Roman"/>
          <w:color w:val="000000" w:themeColor="text1"/>
          <w:sz w:val="24"/>
          <w:szCs w:val="24"/>
          <w:highlight w:val="none"/>
          <w:vertAlign w:val="subscript"/>
          <w14:textFill>
            <w14:solidFill>
              <w14:schemeClr w14:val="tx1"/>
            </w14:solidFill>
          </w14:textFill>
        </w:rPr>
        <w:t>2.5</w:t>
      </w:r>
      <w:r>
        <w:rPr>
          <w:rFonts w:ascii="Times New Roman" w:hAnsi="Times New Roman" w:cs="Times New Roman" w:eastAsiaTheme="minorEastAsia"/>
          <w:color w:val="000000" w:themeColor="text1"/>
          <w:sz w:val="24"/>
          <w:szCs w:val="24"/>
          <w:highlight w:val="none"/>
          <w14:textFill>
            <w14:solidFill>
              <w14:schemeClr w14:val="tx1"/>
            </w14:solidFill>
          </w14:textFill>
        </w:rPr>
        <w:t>污染控制效果</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外，其他</w:t>
      </w:r>
      <w:r>
        <w:rPr>
          <w:rFonts w:ascii="Times New Roman" w:hAnsi="Times New Roman" w:cs="Times New Roman" w:eastAsiaTheme="minorEastAsia"/>
          <w:color w:val="000000" w:themeColor="text1"/>
          <w:sz w:val="24"/>
          <w:szCs w:val="24"/>
          <w:highlight w:val="none"/>
          <w14:textFill>
            <w14:solidFill>
              <w14:schemeClr w14:val="tx1"/>
            </w14:solidFill>
          </w14:textFill>
        </w:rPr>
        <w:t>实验室室内环境参数的检验应</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符合</w:t>
      </w:r>
      <w:r>
        <w:rPr>
          <w:rFonts w:ascii="Times New Roman" w:hAnsi="Times New Roman" w:cs="Times New Roman"/>
          <w:color w:val="000000" w:themeColor="text1"/>
          <w:sz w:val="24"/>
          <w:szCs w:val="24"/>
          <w:highlight w:val="none"/>
          <w14:textFill>
            <w14:solidFill>
              <w14:schemeClr w14:val="tx1"/>
            </w14:solidFill>
          </w14:textFill>
        </w:rPr>
        <w:t>现行国家标准</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《室</w:t>
      </w:r>
      <w:r>
        <w:rPr>
          <w:rFonts w:ascii="Times New Roman" w:hAnsi="Times New Roman" w:cs="Times New Roman" w:eastAsiaTheme="minorEastAsia"/>
          <w:color w:val="000000" w:themeColor="text1"/>
          <w:sz w:val="24"/>
          <w:szCs w:val="24"/>
          <w:highlight w:val="none"/>
          <w14:textFill>
            <w14:solidFill>
              <w14:schemeClr w14:val="tx1"/>
            </w14:solidFill>
          </w14:textFill>
        </w:rPr>
        <w:t>内空气质量标准》GB/T 18883</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的有关</w:t>
      </w:r>
      <w:r>
        <w:rPr>
          <w:rFonts w:ascii="Times New Roman" w:hAnsi="Times New Roman" w:cs="Times New Roman" w:eastAsiaTheme="minorEastAsia"/>
          <w:color w:val="000000" w:themeColor="text1"/>
          <w:sz w:val="24"/>
          <w:szCs w:val="24"/>
          <w:highlight w:val="none"/>
          <w14:textFill>
            <w14:solidFill>
              <w14:schemeClr w14:val="tx1"/>
            </w14:solidFill>
          </w14:textFill>
        </w:rPr>
        <w:t>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实验室洁净工作台的检验应符合现行国家标准《洁净工作台》</w:t>
      </w:r>
      <w:r>
        <w:rPr>
          <w:rFonts w:ascii="Times New Roman" w:hAnsi="Times New Roman" w:cs="Times New Roman"/>
          <w:color w:val="000000" w:themeColor="text1"/>
          <w:sz w:val="24"/>
          <w:szCs w:val="24"/>
          <w:highlight w:val="none"/>
          <w14:textFill>
            <w14:solidFill>
              <w14:schemeClr w14:val="tx1"/>
            </w14:solidFill>
          </w14:textFill>
        </w:rPr>
        <w:t>JG/T292</w:t>
      </w:r>
      <w:r>
        <w:rPr>
          <w:rFonts w:hint="eastAsia" w:ascii="Times New Roman" w:hAnsi="Times New Roman" w:cs="Times New Roman"/>
          <w:color w:val="000000" w:themeColor="text1"/>
          <w:sz w:val="24"/>
          <w:szCs w:val="24"/>
          <w:highlight w:val="none"/>
          <w14:textFill>
            <w14:solidFill>
              <w14:schemeClr w14:val="tx1"/>
            </w14:solidFill>
          </w14:textFill>
        </w:rPr>
        <w:t>的有关规定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洁净类几何量测量实验室特定项目的检验应符合现行国家标准《洁净室施工及验收规范》</w:t>
      </w:r>
      <w:r>
        <w:rPr>
          <w:rFonts w:ascii="Times New Roman" w:hAnsi="Times New Roman" w:cs="Times New Roman"/>
          <w:color w:val="000000" w:themeColor="text1"/>
          <w:sz w:val="24"/>
          <w:szCs w:val="24"/>
          <w:highlight w:val="none"/>
          <w14:textFill>
            <w14:solidFill>
              <w14:schemeClr w14:val="tx1"/>
            </w14:solidFill>
          </w14:textFill>
        </w:rPr>
        <w:t>GB 50591</w:t>
      </w:r>
      <w:r>
        <w:rPr>
          <w:rFonts w:hint="eastAsia" w:ascii="Times New Roman" w:hAnsi="Times New Roman" w:cs="Times New Roman"/>
          <w:color w:val="000000" w:themeColor="text1"/>
          <w:sz w:val="24"/>
          <w:szCs w:val="24"/>
          <w:highlight w:val="none"/>
          <w14:textFill>
            <w14:solidFill>
              <w14:schemeClr w14:val="tx1"/>
            </w14:solidFill>
          </w14:textFill>
        </w:rPr>
        <w:t>及《洁净厂房设计规范》</w:t>
      </w:r>
      <w:r>
        <w:rPr>
          <w:rFonts w:ascii="Times New Roman" w:hAnsi="Times New Roman" w:cs="Times New Roman"/>
          <w:color w:val="000000" w:themeColor="text1"/>
          <w:sz w:val="24"/>
          <w:szCs w:val="24"/>
          <w:highlight w:val="none"/>
          <w14:textFill>
            <w14:solidFill>
              <w14:schemeClr w14:val="tx1"/>
            </w14:solidFill>
          </w14:textFill>
        </w:rPr>
        <w:t>GB 50073</w:t>
      </w:r>
      <w:r>
        <w:rPr>
          <w:rFonts w:hint="eastAsia" w:ascii="Times New Roman" w:hAnsi="Times New Roman" w:cs="Times New Roman"/>
          <w:color w:val="000000" w:themeColor="text1"/>
          <w:sz w:val="24"/>
          <w:szCs w:val="24"/>
          <w:highlight w:val="none"/>
          <w14:textFill>
            <w14:solidFill>
              <w14:schemeClr w14:val="tx1"/>
            </w14:solidFill>
          </w14:textFill>
        </w:rPr>
        <w:t>的有关规定</w:t>
      </w:r>
      <w:r>
        <w:rPr>
          <w:rFonts w:ascii="Times New Roman" w:hAnsi="Times New Roman" w:cs="Times New Roman"/>
          <w:color w:val="000000" w:themeColor="text1"/>
          <w:sz w:val="24"/>
          <w:szCs w:val="24"/>
          <w:highlight w:val="none"/>
          <w14:textFill>
            <w14:solidFill>
              <w14:schemeClr w14:val="tx1"/>
            </w14:solidFill>
          </w14:textFill>
        </w:rPr>
        <w:t>。</w:t>
      </w:r>
    </w:p>
    <w:p>
      <w:pPr>
        <w:pStyle w:val="82"/>
        <w:numPr>
          <w:ilvl w:val="0"/>
          <w:numId w:val="4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微振控制应符合现行国家标准</w:t>
      </w:r>
      <w:r>
        <w:rPr>
          <w:rFonts w:ascii="Times New Roman" w:hAnsi="Times New Roman" w:cs="Times New Roman"/>
          <w:color w:val="000000" w:themeColor="text1"/>
          <w:sz w:val="24"/>
          <w:szCs w:val="24"/>
          <w:highlight w:val="none"/>
          <w14:textFill>
            <w14:solidFill>
              <w14:schemeClr w14:val="tx1"/>
            </w14:solidFill>
          </w14:textFill>
        </w:rPr>
        <w:t>《电子工业防微振工程技术规范》GB51076</w:t>
      </w:r>
      <w:r>
        <w:rPr>
          <w:rFonts w:hint="eastAsia" w:ascii="Times New Roman" w:hAnsi="Times New Roman" w:cs="Times New Roman"/>
          <w:color w:val="000000" w:themeColor="text1"/>
          <w:sz w:val="24"/>
          <w:szCs w:val="24"/>
          <w:highlight w:val="none"/>
          <w14:textFill>
            <w14:solidFill>
              <w14:schemeClr w14:val="tx1"/>
            </w14:solidFill>
          </w14:textFill>
        </w:rPr>
        <w:t>的有关规定，微振应按附录</w:t>
      </w:r>
      <w:r>
        <w:rPr>
          <w:rFonts w:ascii="Times New Roman" w:hAnsi="Times New Roman" w:cs="Times New Roman"/>
          <w:color w:val="000000" w:themeColor="text1"/>
          <w:sz w:val="24"/>
          <w:szCs w:val="24"/>
          <w:highlight w:val="none"/>
          <w14:textFill>
            <w14:solidFill>
              <w14:schemeClr w14:val="tx1"/>
            </w14:solidFill>
          </w14:textFill>
        </w:rPr>
        <w:t>B</w:t>
      </w:r>
      <w:r>
        <w:rPr>
          <w:rFonts w:hint="eastAsia" w:ascii="Times New Roman" w:hAnsi="Times New Roman" w:cs="Times New Roman"/>
          <w:color w:val="000000" w:themeColor="text1"/>
          <w:sz w:val="24"/>
          <w:szCs w:val="24"/>
          <w:highlight w:val="none"/>
          <w14:textFill>
            <w14:solidFill>
              <w14:schemeClr w14:val="tx1"/>
            </w14:solidFill>
          </w14:textFill>
        </w:rPr>
        <w:t>检验，振幅值均应符合设计或相关标准的规定</w:t>
      </w:r>
      <w:r>
        <w:rPr>
          <w:rFonts w:ascii="Times New Roman" w:hAnsi="Times New Roman" w:cs="Times New Roman"/>
          <w:color w:val="000000" w:themeColor="text1"/>
          <w:sz w:val="24"/>
          <w:szCs w:val="24"/>
          <w:highlight w:val="none"/>
          <w14:textFill>
            <w14:solidFill>
              <w14:schemeClr w14:val="tx1"/>
            </w14:solidFill>
          </w14:textFill>
        </w:rPr>
        <w:t>。</w:t>
      </w:r>
    </w:p>
    <w:p>
      <w:pPr>
        <w:pStyle w:val="3"/>
        <w:numPr>
          <w:ilvl w:val="1"/>
          <w:numId w:val="48"/>
        </w:numPr>
        <w:spacing w:before="156" w:beforeLines="50" w:line="360" w:lineRule="auto"/>
        <w:ind w:left="0" w:firstLine="0"/>
        <w:jc w:val="center"/>
        <w:rPr>
          <w:rFonts w:ascii="黑体" w:hAnsi="黑体" w:eastAsia="黑体"/>
          <w:b w:val="0"/>
          <w:bCs w:val="0"/>
          <w:color w:val="000000" w:themeColor="text1"/>
          <w:sz w:val="28"/>
          <w:szCs w:val="28"/>
          <w:highlight w:val="none"/>
          <w14:textFill>
            <w14:solidFill>
              <w14:schemeClr w14:val="tx1"/>
            </w14:solidFill>
          </w14:textFill>
        </w:rPr>
      </w:pPr>
      <w:bookmarkStart w:id="65" w:name="_Toc44847201"/>
      <w:r>
        <w:rPr>
          <w:rFonts w:ascii="黑体" w:hAnsi="黑体" w:eastAsia="黑体"/>
          <w:b w:val="0"/>
          <w:bCs w:val="0"/>
          <w:color w:val="000000" w:themeColor="text1"/>
          <w:sz w:val="28"/>
          <w:szCs w:val="28"/>
          <w:highlight w:val="none"/>
          <w14:textFill>
            <w14:solidFill>
              <w14:schemeClr w14:val="tx1"/>
            </w14:solidFill>
          </w14:textFill>
        </w:rPr>
        <w:t>工程验收</w:t>
      </w:r>
      <w:bookmarkEnd w:id="65"/>
    </w:p>
    <w:p>
      <w:pPr>
        <w:pStyle w:val="82"/>
        <w:numPr>
          <w:ilvl w:val="2"/>
          <w:numId w:val="62"/>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几何量测量实验室工程验收除应符合本规程的规定外，尚应符合现行国家标准《通风与空调工程施工质量验收规范》GB 50243、《建筑给排水及采暖工程施工质量验收规范》GB 50242、《建筑电气工程施工质量验收规范》GB 50303、《智能建筑工程质量验收规范》GB 50339、《洁净室施工及验收规范》GB 50591的有关规定</w:t>
      </w:r>
      <w:r>
        <w:rPr>
          <w:rFonts w:ascii="Times New Roman" w:hAnsi="Times New Roman" w:cs="Times New Roman" w:eastAsiaTheme="minorEastAsia"/>
          <w:color w:val="000000" w:themeColor="text1"/>
          <w:sz w:val="24"/>
          <w:szCs w:val="24"/>
          <w:highlight w:val="none"/>
          <w14:textFill>
            <w14:solidFill>
              <w14:schemeClr w14:val="tx1"/>
            </w14:solidFill>
          </w14:textFill>
        </w:rPr>
        <w:t>。</w:t>
      </w:r>
    </w:p>
    <w:p>
      <w:pPr>
        <w:pStyle w:val="82"/>
        <w:numPr>
          <w:ilvl w:val="2"/>
          <w:numId w:val="62"/>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工程验收的内容应包括建设文件、设计文件、施工文件、综合性能的评定文件及按本规程附录</w:t>
      </w:r>
      <w:r>
        <w:rPr>
          <w:rFonts w:ascii="Times New Roman" w:hAnsi="Times New Roman" w:cs="Times New Roman"/>
          <w:color w:val="000000" w:themeColor="text1"/>
          <w:sz w:val="24"/>
          <w:szCs w:val="24"/>
          <w:highlight w:val="none"/>
          <w14:textFill>
            <w14:solidFill>
              <w14:schemeClr w14:val="tx1"/>
            </w14:solidFill>
          </w14:textFill>
        </w:rPr>
        <w:t>C</w:t>
      </w:r>
      <w:r>
        <w:rPr>
          <w:rFonts w:hint="eastAsia" w:ascii="Times New Roman" w:hAnsi="Times New Roman" w:cs="Times New Roman"/>
          <w:color w:val="000000" w:themeColor="text1"/>
          <w:sz w:val="24"/>
          <w:szCs w:val="24"/>
          <w:highlight w:val="none"/>
          <w14:textFill>
            <w14:solidFill>
              <w14:schemeClr w14:val="tx1"/>
            </w14:solidFill>
          </w14:textFill>
        </w:rPr>
        <w:t>进行的工程项目检查</w:t>
      </w:r>
      <w:r>
        <w:rPr>
          <w:rFonts w:ascii="Times New Roman" w:hAnsi="Times New Roman" w:cs="Times New Roman" w:eastAsiaTheme="minorEastAsia"/>
          <w:color w:val="000000" w:themeColor="text1"/>
          <w:sz w:val="24"/>
          <w:szCs w:val="24"/>
          <w:highlight w:val="none"/>
          <w14:textFill>
            <w14:solidFill>
              <w14:schemeClr w14:val="tx1"/>
            </w14:solidFill>
          </w14:textFill>
        </w:rPr>
        <w:t>。</w:t>
      </w:r>
    </w:p>
    <w:p>
      <w:pPr>
        <w:pStyle w:val="82"/>
        <w:numPr>
          <w:ilvl w:val="2"/>
          <w:numId w:val="62"/>
        </w:numPr>
        <w:spacing w:line="360" w:lineRule="auto"/>
        <w:ind w:left="0" w:firstLine="0" w:firstLineChars="0"/>
        <w:rPr>
          <w:rFonts w:ascii="Times New Roman" w:hAnsi="Times New Roman" w:cs="Times New Roman" w:eastAsiaTheme="minorEastAsia"/>
          <w:color w:val="000000" w:themeColor="text1"/>
          <w:sz w:val="24"/>
          <w:szCs w:val="24"/>
          <w:highlight w:val="none"/>
          <w14:textFill>
            <w14:solidFill>
              <w14:schemeClr w14:val="tx1"/>
            </w14:solidFill>
          </w14:textFill>
        </w:rPr>
      </w:pPr>
      <w:r>
        <w:rPr>
          <w:rFonts w:ascii="Times New Roman" w:hAnsi="Times New Roman" w:cs="Times New Roman" w:eastAsiaTheme="minorEastAsia"/>
          <w:color w:val="000000" w:themeColor="text1"/>
          <w:sz w:val="24"/>
          <w:szCs w:val="24"/>
          <w:highlight w:val="none"/>
          <w14:textFill>
            <w14:solidFill>
              <w14:schemeClr w14:val="tx1"/>
            </w14:solidFill>
          </w14:textFill>
        </w:rPr>
        <w:t>对</w:t>
      </w:r>
      <w:r>
        <w:rPr>
          <w:rFonts w:hint="eastAsia" w:ascii="Times New Roman" w:hAnsi="Times New Roman" w:cs="Times New Roman"/>
          <w:color w:val="000000" w:themeColor="text1"/>
          <w:sz w:val="24"/>
          <w:szCs w:val="24"/>
          <w:highlight w:val="none"/>
          <w14:textFill>
            <w14:solidFill>
              <w14:schemeClr w14:val="tx1"/>
            </w14:solidFill>
          </w14:textFill>
        </w:rPr>
        <w:t>在工程验收前，</w:t>
      </w:r>
      <w:r>
        <w:rPr>
          <w:rFonts w:hint="eastAsia" w:ascii="Times New Roman" w:hAnsi="Times New Roman" w:cs="Times New Roman" w:eastAsiaTheme="minorEastAsia"/>
          <w:color w:val="000000" w:themeColor="text1"/>
          <w:sz w:val="24"/>
          <w:szCs w:val="24"/>
          <w:highlight w:val="none"/>
          <w14:textFill>
            <w14:solidFill>
              <w14:schemeClr w14:val="tx1"/>
            </w14:solidFill>
          </w14:textFill>
        </w:rPr>
        <w:t>应首先委托工程质检部门或专业检测机构进行工程检测</w:t>
      </w:r>
      <w:r>
        <w:rPr>
          <w:rFonts w:ascii="Times New Roman" w:hAnsi="Times New Roman" w:cs="Times New Roman" w:eastAsiaTheme="minorEastAsia"/>
          <w:color w:val="000000" w:themeColor="text1"/>
          <w:sz w:val="24"/>
          <w:szCs w:val="24"/>
          <w:highlight w:val="none"/>
          <w14:textFill>
            <w14:solidFill>
              <w14:schemeClr w14:val="tx1"/>
            </w14:solidFill>
          </w14:textFill>
        </w:rPr>
        <w:t>。</w:t>
      </w:r>
    </w:p>
    <w:p>
      <w:pPr>
        <w:pStyle w:val="90"/>
        <w:numPr>
          <w:ilvl w:val="2"/>
          <w:numId w:val="62"/>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几何量测量实验室验收时，各设备及系统应完成调试，可正常运行且已获得合格的工程综合性能全面检测和评定报告。</w:t>
      </w:r>
    </w:p>
    <w:p>
      <w:pPr>
        <w:pStyle w:val="90"/>
        <w:numPr>
          <w:ilvl w:val="2"/>
          <w:numId w:val="62"/>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工程验收宜分为工艺性验收、竣工验收、移交验收三个阶段。</w:t>
      </w:r>
    </w:p>
    <w:p>
      <w:pPr>
        <w:pStyle w:val="90"/>
        <w:numPr>
          <w:ilvl w:val="2"/>
          <w:numId w:val="62"/>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工艺性验收和竣工验收应由建设单位组织，施工、设计、监理以及测试等单位参加，验收合格后应办理工艺性验收和竣工验收手续。</w:t>
      </w:r>
    </w:p>
    <w:p>
      <w:pPr>
        <w:pStyle w:val="90"/>
        <w:widowControl/>
        <w:numPr>
          <w:ilvl w:val="2"/>
          <w:numId w:val="62"/>
        </w:numPr>
        <w:spacing w:line="360" w:lineRule="auto"/>
        <w:ind w:left="0" w:firstLine="0" w:firstLineChars="0"/>
        <w:jc w:val="left"/>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移交验收应由实验室最终使用方组织，建设单位参加，施工、设计、监理以及测试等单位配合，验收合格后应办理移交验收手续。移交验收也可与竣工验收合并进行。</w:t>
      </w:r>
      <w:r>
        <w:rPr>
          <w:rFonts w:ascii="Times New Roman" w:hAnsi="Times New Roman" w:cs="Times New Roman"/>
          <w:color w:val="000000" w:themeColor="text1"/>
          <w:sz w:val="24"/>
          <w:szCs w:val="24"/>
          <w:highlight w:val="none"/>
          <w14:textFill>
            <w14:solidFill>
              <w14:schemeClr w14:val="tx1"/>
            </w14:solidFill>
          </w14:textFill>
        </w:rPr>
        <w:br w:type="page"/>
      </w:r>
    </w:p>
    <w:p>
      <w:pPr>
        <w:pStyle w:val="2"/>
        <w:jc w:val="center"/>
        <w:rPr>
          <w:rFonts w:asciiTheme="minorEastAsia" w:hAnsiTheme="minorEastAsia" w:eastAsiaTheme="minorEastAsia"/>
          <w:bCs w:val="0"/>
          <w:color w:val="000000" w:themeColor="text1"/>
          <w:sz w:val="32"/>
          <w:szCs w:val="32"/>
          <w:highlight w:val="none"/>
          <w14:textFill>
            <w14:solidFill>
              <w14:schemeClr w14:val="tx1"/>
            </w14:solidFill>
          </w14:textFill>
        </w:rPr>
      </w:pPr>
      <w:bookmarkStart w:id="66" w:name="_Toc44847202"/>
      <w:r>
        <w:rPr>
          <w:rFonts w:asciiTheme="minorEastAsia" w:hAnsiTheme="minorEastAsia" w:eastAsiaTheme="minorEastAsia"/>
          <w:bCs w:val="0"/>
          <w:color w:val="000000" w:themeColor="text1"/>
          <w:sz w:val="32"/>
          <w:szCs w:val="32"/>
          <w:highlight w:val="none"/>
          <w14:textFill>
            <w14:solidFill>
              <w14:schemeClr w14:val="tx1"/>
            </w14:solidFill>
          </w14:textFill>
        </w:rPr>
        <w:t>附录A</w:t>
      </w:r>
      <w:bookmarkEnd w:id="66"/>
      <w:r>
        <w:rPr>
          <w:rFonts w:asciiTheme="minorEastAsia" w:hAnsiTheme="minorEastAsia" w:eastAsiaTheme="minorEastAsia"/>
          <w:bCs w:val="0"/>
          <w:color w:val="000000" w:themeColor="text1"/>
          <w:sz w:val="32"/>
          <w:szCs w:val="32"/>
          <w:highlight w:val="none"/>
          <w14:textFill>
            <w14:solidFill>
              <w14:schemeClr w14:val="tx1"/>
            </w14:solidFill>
          </w14:textFill>
        </w:rPr>
        <w:t xml:space="preserve"> </w:t>
      </w:r>
      <w:r>
        <w:rPr>
          <w:rFonts w:hint="eastAsia" w:asciiTheme="minorEastAsia" w:hAnsiTheme="minorEastAsia" w:eastAsiaTheme="minorEastAsia"/>
          <w:bCs w:val="0"/>
          <w:color w:val="000000" w:themeColor="text1"/>
          <w:sz w:val="32"/>
          <w:szCs w:val="32"/>
          <w:highlight w:val="none"/>
          <w14:textFill>
            <w14:solidFill>
              <w14:schemeClr w14:val="tx1"/>
            </w14:solidFill>
          </w14:textFill>
        </w:rPr>
        <w:t>几何量测量实验室受控环境要求</w:t>
      </w:r>
    </w:p>
    <w:p>
      <w:pPr>
        <w:spacing w:line="360" w:lineRule="auto"/>
        <w:jc w:val="center"/>
        <w:rPr>
          <w:rFonts w:cs="Times New Roman" w:asciiTheme="minorEastAsia" w:hAnsiTheme="minorEastAsia"/>
          <w:b/>
          <w:bCs/>
          <w:color w:val="000000" w:themeColor="text1"/>
          <w:szCs w:val="21"/>
          <w:highlight w:val="none"/>
          <w14:textFill>
            <w14:solidFill>
              <w14:schemeClr w14:val="tx1"/>
            </w14:solidFill>
          </w14:textFill>
        </w:rPr>
      </w:pPr>
      <w:r>
        <w:rPr>
          <w:rFonts w:cs="Times New Roman" w:asciiTheme="minorEastAsia" w:hAnsiTheme="minorEastAsia"/>
          <w:b/>
          <w:bCs/>
          <w:color w:val="000000" w:themeColor="text1"/>
          <w:szCs w:val="21"/>
          <w:highlight w:val="none"/>
          <w14:textFill>
            <w14:solidFill>
              <w14:schemeClr w14:val="tx1"/>
            </w14:solidFill>
          </w14:textFill>
        </w:rPr>
        <w:t>表A</w:t>
      </w:r>
      <w:r>
        <w:rPr>
          <w:rFonts w:hint="eastAsia" w:cs="Times New Roman" w:asciiTheme="minorEastAsia" w:hAnsiTheme="minorEastAsia"/>
          <w:b/>
          <w:bCs/>
          <w:color w:val="000000" w:themeColor="text1"/>
          <w:szCs w:val="21"/>
          <w:highlight w:val="none"/>
          <w14:textFill>
            <w14:solidFill>
              <w14:schemeClr w14:val="tx1"/>
            </w14:solidFill>
          </w14:textFill>
        </w:rPr>
        <w:t>-1</w:t>
      </w:r>
      <w:r>
        <w:rPr>
          <w:rFonts w:cs="Times New Roman" w:asciiTheme="minorEastAsia" w:hAnsiTheme="minorEastAsia"/>
          <w:b/>
          <w:bCs/>
          <w:color w:val="000000" w:themeColor="text1"/>
          <w:szCs w:val="21"/>
          <w:highlight w:val="none"/>
          <w14:textFill>
            <w14:solidFill>
              <w14:schemeClr w14:val="tx1"/>
            </w14:solidFill>
          </w14:textFill>
        </w:rPr>
        <w:t xml:space="preserve"> 几何量测量实验室常用精密设备及仪器振动容许值</w:t>
      </w:r>
    </w:p>
    <w:tbl>
      <w:tblPr>
        <w:tblStyle w:val="35"/>
        <w:tblW w:w="5000" w:type="pct"/>
        <w:jc w:val="center"/>
        <w:tblLayout w:type="autofit"/>
        <w:tblCellMar>
          <w:top w:w="0" w:type="dxa"/>
          <w:left w:w="108" w:type="dxa"/>
          <w:bottom w:w="0" w:type="dxa"/>
          <w:right w:w="108" w:type="dxa"/>
        </w:tblCellMar>
      </w:tblPr>
      <w:tblGrid>
        <w:gridCol w:w="1280"/>
        <w:gridCol w:w="3393"/>
        <w:gridCol w:w="1531"/>
        <w:gridCol w:w="1652"/>
        <w:gridCol w:w="1289"/>
      </w:tblGrid>
      <w:tr>
        <w:tblPrEx>
          <w:tblCellMar>
            <w:top w:w="0" w:type="dxa"/>
            <w:left w:w="108" w:type="dxa"/>
            <w:bottom w:w="0" w:type="dxa"/>
            <w:right w:w="108" w:type="dxa"/>
          </w:tblCellMar>
        </w:tblPrEx>
        <w:trPr>
          <w:trHeight w:val="798" w:hRule="atLeast"/>
          <w:jc w:val="center"/>
        </w:trPr>
        <w:tc>
          <w:tcPr>
            <w:tcW w:w="70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振动标准</w:t>
            </w:r>
          </w:p>
        </w:tc>
        <w:tc>
          <w:tcPr>
            <w:tcW w:w="1855" w:type="pct"/>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精密设备及仪器</w:t>
            </w:r>
          </w:p>
        </w:tc>
        <w:tc>
          <w:tcPr>
            <w:tcW w:w="837"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容许振动速度</w:t>
            </w:r>
            <w:r>
              <w:rPr>
                <w:rFonts w:ascii="Times New Roman" w:hAnsi="Times New Roman" w:cs="Times New Roman" w:eastAsiaTheme="majorEastAsia"/>
                <w:color w:val="000000" w:themeColor="text1"/>
                <w:kern w:val="0"/>
                <w:szCs w:val="21"/>
                <w:highlight w:val="none"/>
                <w14:textFill>
                  <w14:solidFill>
                    <w14:schemeClr w14:val="tx1"/>
                  </w14:solidFill>
                </w14:textFill>
              </w:rPr>
              <w:t>(μm/s)</w:t>
            </w:r>
          </w:p>
        </w:tc>
        <w:tc>
          <w:tcPr>
            <w:tcW w:w="903"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容许振动加速度</w:t>
            </w:r>
            <w:r>
              <w:rPr>
                <w:rFonts w:ascii="Times New Roman" w:hAnsi="Times New Roman" w:cs="Times New Roman" w:eastAsiaTheme="majorEastAsia"/>
                <w:color w:val="000000" w:themeColor="text1"/>
                <w:kern w:val="0"/>
                <w:szCs w:val="21"/>
                <w:highlight w:val="none"/>
                <w14:textFill>
                  <w14:solidFill>
                    <w14:schemeClr w14:val="tx1"/>
                  </w14:solidFill>
                </w14:textFill>
              </w:rPr>
              <w:t>(m/s</w:t>
            </w:r>
            <w:r>
              <w:rPr>
                <w:rFonts w:ascii="Times New Roman" w:hAnsi="Times New Roman" w:cs="Times New Roman" w:eastAsiaTheme="majorEastAsia"/>
                <w:color w:val="000000" w:themeColor="text1"/>
                <w:kern w:val="0"/>
                <w:szCs w:val="21"/>
                <w:highlight w:val="none"/>
                <w:vertAlign w:val="superscript"/>
                <w14:textFill>
                  <w14:solidFill>
                    <w14:schemeClr w14:val="tx1"/>
                  </w14:solidFill>
                </w14:textFill>
              </w:rPr>
              <w:t>2</w:t>
            </w: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705"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对应频段</w:t>
            </w:r>
          </w:p>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(Hz)</w:t>
            </w:r>
          </w:p>
        </w:tc>
      </w:tr>
      <w:tr>
        <w:tblPrEx>
          <w:tblCellMar>
            <w:top w:w="0" w:type="dxa"/>
            <w:left w:w="108" w:type="dxa"/>
            <w:bottom w:w="0" w:type="dxa"/>
            <w:right w:w="108" w:type="dxa"/>
          </w:tblCellMar>
        </w:tblPrEx>
        <w:trPr>
          <w:trHeight w:val="798" w:hRule="atLeast"/>
          <w:jc w:val="center"/>
        </w:trPr>
        <w:tc>
          <w:tcPr>
            <w:tcW w:w="700"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NIM-1</w:t>
            </w:r>
          </w:p>
        </w:tc>
        <w:tc>
          <w:tcPr>
            <w:tcW w:w="185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纳米研发装置</w:t>
            </w:r>
          </w:p>
        </w:tc>
        <w:tc>
          <w:tcPr>
            <w:tcW w:w="837" w:type="pct"/>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0.78</w:t>
            </w:r>
          </w:p>
        </w:tc>
        <w:tc>
          <w:tcPr>
            <w:tcW w:w="903" w:type="pct"/>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　</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1~100</w:t>
            </w:r>
          </w:p>
        </w:tc>
      </w:tr>
      <w:tr>
        <w:tblPrEx>
          <w:tblCellMar>
            <w:top w:w="0" w:type="dxa"/>
            <w:left w:w="108" w:type="dxa"/>
            <w:bottom w:w="0" w:type="dxa"/>
            <w:right w:w="108" w:type="dxa"/>
          </w:tblCellMar>
        </w:tblPrEx>
        <w:trPr>
          <w:trHeight w:val="1278" w:hRule="atLeast"/>
          <w:jc w:val="center"/>
        </w:trPr>
        <w:tc>
          <w:tcPr>
            <w:tcW w:w="700"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NIM-2</w:t>
            </w:r>
          </w:p>
        </w:tc>
        <w:tc>
          <w:tcPr>
            <w:tcW w:w="1855" w:type="pct"/>
            <w:tcBorders>
              <w:top w:val="nil"/>
              <w:left w:val="nil"/>
              <w:bottom w:val="single" w:color="auto" w:sz="4" w:space="0"/>
              <w:right w:val="single" w:color="auto" w:sz="4" w:space="0"/>
            </w:tcBorders>
            <w:shd w:val="clear" w:color="auto" w:fill="auto"/>
            <w:vAlign w:val="center"/>
          </w:tcPr>
          <w:p>
            <w:pPr>
              <w:widowControl/>
              <w:spacing w:line="360" w:lineRule="auto"/>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纳米级测量设备，精度为</w:t>
            </w:r>
            <w:r>
              <w:rPr>
                <w:rFonts w:ascii="Times New Roman" w:hAnsi="Times New Roman" w:cs="Times New Roman" w:eastAsiaTheme="majorEastAsia"/>
                <w:color w:val="000000" w:themeColor="text1"/>
                <w:kern w:val="0"/>
                <w:szCs w:val="21"/>
                <w:highlight w:val="none"/>
                <w14:textFill>
                  <w14:solidFill>
                    <w14:schemeClr w14:val="tx1"/>
                  </w14:solidFill>
                </w14:textFill>
              </w:rPr>
              <w:t>0.03μm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的光波干涉孔径测量仪、精度为</w:t>
            </w:r>
            <w:r>
              <w:rPr>
                <w:rFonts w:ascii="Times New Roman" w:hAnsi="Times New Roman" w:cs="Times New Roman" w:eastAsiaTheme="majorEastAsia"/>
                <w:color w:val="000000" w:themeColor="text1"/>
                <w:kern w:val="0"/>
                <w:szCs w:val="21"/>
                <w:highlight w:val="none"/>
                <w14:textFill>
                  <w14:solidFill>
                    <w14:schemeClr w14:val="tx1"/>
                  </w14:solidFill>
                </w14:textFill>
              </w:rPr>
              <w:t>0.02μm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的干涉仪、精度为</w:t>
            </w:r>
            <w:r>
              <w:rPr>
                <w:rFonts w:ascii="Times New Roman" w:hAnsi="Times New Roman" w:cs="Times New Roman" w:eastAsiaTheme="majorEastAsia"/>
                <w:color w:val="000000" w:themeColor="text1"/>
                <w:kern w:val="0"/>
                <w:szCs w:val="21"/>
                <w:highlight w:val="none"/>
                <w14:textFill>
                  <w14:solidFill>
                    <w14:schemeClr w14:val="tx1"/>
                  </w14:solidFill>
                </w14:textFill>
              </w:rPr>
              <w:t>0.01μm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的光管测角仪</w:t>
            </w: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1.56</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1~100</w:t>
            </w:r>
          </w:p>
        </w:tc>
      </w:tr>
      <w:tr>
        <w:tblPrEx>
          <w:tblCellMar>
            <w:top w:w="0" w:type="dxa"/>
            <w:left w:w="108" w:type="dxa"/>
            <w:bottom w:w="0" w:type="dxa"/>
            <w:right w:w="108" w:type="dxa"/>
          </w:tblCellMar>
        </w:tblPrEx>
        <w:trPr>
          <w:trHeight w:val="936" w:hRule="atLeast"/>
          <w:jc w:val="center"/>
        </w:trPr>
        <w:tc>
          <w:tcPr>
            <w:tcW w:w="700"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NIM-3</w:t>
            </w:r>
          </w:p>
        </w:tc>
        <w:tc>
          <w:tcPr>
            <w:tcW w:w="1855" w:type="pct"/>
            <w:tcBorders>
              <w:top w:val="nil"/>
              <w:left w:val="nil"/>
              <w:bottom w:val="single" w:color="auto" w:sz="4" w:space="0"/>
              <w:right w:val="single" w:color="auto" w:sz="4" w:space="0"/>
            </w:tcBorders>
            <w:shd w:val="clear" w:color="auto" w:fill="auto"/>
            <w:vAlign w:val="center"/>
          </w:tcPr>
          <w:p>
            <w:pPr>
              <w:widowControl/>
              <w:spacing w:line="360" w:lineRule="auto"/>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长路径激光设备、</w:t>
            </w:r>
            <w:r>
              <w:rPr>
                <w:rFonts w:ascii="Times New Roman" w:hAnsi="Times New Roman" w:cs="Times New Roman" w:eastAsiaTheme="majorEastAsia"/>
                <w:color w:val="000000" w:themeColor="text1"/>
                <w:kern w:val="0"/>
                <w:szCs w:val="21"/>
                <w:highlight w:val="none"/>
                <w14:textFill>
                  <w14:solidFill>
                    <w14:schemeClr w14:val="tx1"/>
                  </w14:solidFill>
                </w14:textFill>
              </w:rPr>
              <w:t>0.1μm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的超精密检测装置，表面粗糙度为</w:t>
            </w:r>
            <w:r>
              <w:rPr>
                <w:rFonts w:ascii="Times New Roman" w:hAnsi="Times New Roman" w:cs="Times New Roman" w:eastAsiaTheme="majorEastAsia"/>
                <w:color w:val="000000" w:themeColor="text1"/>
                <w:kern w:val="0"/>
                <w:szCs w:val="21"/>
                <w:highlight w:val="none"/>
                <w14:textFill>
                  <w14:solidFill>
                    <w14:schemeClr w14:val="tx1"/>
                  </w14:solidFill>
                </w14:textFill>
              </w:rPr>
              <w:t>0.025μm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的测量仪</w:t>
            </w: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3.12</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1~100</w:t>
            </w:r>
          </w:p>
        </w:tc>
      </w:tr>
      <w:tr>
        <w:tblPrEx>
          <w:tblCellMar>
            <w:top w:w="0" w:type="dxa"/>
            <w:left w:w="108" w:type="dxa"/>
            <w:bottom w:w="0" w:type="dxa"/>
            <w:right w:w="108" w:type="dxa"/>
          </w:tblCellMar>
        </w:tblPrEx>
        <w:trPr>
          <w:trHeight w:val="936" w:hRule="atLeast"/>
          <w:jc w:val="center"/>
        </w:trPr>
        <w:tc>
          <w:tcPr>
            <w:tcW w:w="700"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NIM-4</w:t>
            </w:r>
          </w:p>
        </w:tc>
        <w:tc>
          <w:tcPr>
            <w:tcW w:w="1855" w:type="pct"/>
            <w:tcBorders>
              <w:top w:val="nil"/>
              <w:left w:val="nil"/>
              <w:bottom w:val="single" w:color="auto" w:sz="4" w:space="0"/>
              <w:right w:val="single" w:color="auto" w:sz="4" w:space="0"/>
            </w:tcBorders>
            <w:shd w:val="clear" w:color="auto" w:fill="auto"/>
            <w:vAlign w:val="center"/>
          </w:tcPr>
          <w:p>
            <w:pPr>
              <w:widowControl/>
              <w:spacing w:line="360" w:lineRule="auto"/>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0.1μm~0.3μm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的超精密检测装置、电子显微镜、检流计、</w:t>
            </w:r>
            <w:r>
              <w:rPr>
                <w:rFonts w:ascii="Times New Roman" w:hAnsi="Times New Roman" w:cs="Times New Roman" w:eastAsiaTheme="majorEastAsia"/>
                <w:color w:val="000000" w:themeColor="text1"/>
                <w:kern w:val="0"/>
                <w:szCs w:val="21"/>
                <w:highlight w:val="none"/>
                <w14:textFill>
                  <w14:solidFill>
                    <w14:schemeClr w14:val="tx1"/>
                  </w14:solidFill>
                </w14:textFill>
              </w:rPr>
              <w:t>0.2μm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分光镜（测角仪）</w:t>
            </w: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6.25</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1~100</w:t>
            </w:r>
          </w:p>
        </w:tc>
      </w:tr>
      <w:tr>
        <w:tblPrEx>
          <w:tblCellMar>
            <w:top w:w="0" w:type="dxa"/>
            <w:left w:w="108" w:type="dxa"/>
            <w:bottom w:w="0" w:type="dxa"/>
            <w:right w:w="108" w:type="dxa"/>
          </w:tblCellMar>
        </w:tblPrEx>
        <w:trPr>
          <w:trHeight w:val="2100" w:hRule="atLeast"/>
          <w:jc w:val="center"/>
        </w:trPr>
        <w:tc>
          <w:tcPr>
            <w:tcW w:w="700" w:type="pc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NIM-5</w:t>
            </w:r>
          </w:p>
        </w:tc>
        <w:tc>
          <w:tcPr>
            <w:tcW w:w="1855" w:type="pct"/>
            <w:tcBorders>
              <w:top w:val="nil"/>
              <w:left w:val="nil"/>
              <w:bottom w:val="single" w:color="auto" w:sz="4" w:space="0"/>
              <w:right w:val="single" w:color="auto" w:sz="4" w:space="0"/>
            </w:tcBorders>
            <w:shd w:val="clear" w:color="auto" w:fill="auto"/>
            <w:vAlign w:val="center"/>
          </w:tcPr>
          <w:p>
            <w:pPr>
              <w:widowControl/>
              <w:spacing w:line="360" w:lineRule="auto"/>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1μm~3μm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（小于</w:t>
            </w:r>
            <w:r>
              <w:rPr>
                <w:rFonts w:ascii="Times New Roman" w:hAnsi="Times New Roman" w:cs="Times New Roman" w:eastAsiaTheme="majorEastAsia"/>
                <w:color w:val="000000" w:themeColor="text1"/>
                <w:kern w:val="0"/>
                <w:szCs w:val="21"/>
                <w:highlight w:val="none"/>
                <w14:textFill>
                  <w14:solidFill>
                    <w14:schemeClr w14:val="tx1"/>
                  </w14:solidFill>
                </w14:textFill>
              </w:rPr>
              <w:t>3μm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）的精密检测装置，精度为</w:t>
            </w:r>
            <w:r>
              <w:rPr>
                <w:rFonts w:ascii="Times New Roman" w:hAnsi="Times New Roman" w:cs="Times New Roman" w:eastAsiaTheme="majorEastAsia"/>
                <w:color w:val="000000" w:themeColor="text1"/>
                <w:kern w:val="0"/>
                <w:szCs w:val="21"/>
                <w:highlight w:val="none"/>
                <w14:textFill>
                  <w14:solidFill>
                    <w14:schemeClr w14:val="tx1"/>
                  </w14:solidFill>
                </w14:textFill>
              </w:rPr>
              <w:t>1μm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的立式（卧式）光学比较仪、投影光学仪、接触式干涉仪、精度为</w:t>
            </w:r>
            <w:r>
              <w:rPr>
                <w:rFonts w:ascii="Times New Roman" w:hAnsi="Times New Roman" w:cs="Times New Roman" w:eastAsiaTheme="majorEastAsia"/>
                <w:color w:val="000000" w:themeColor="text1"/>
                <w:kern w:val="0"/>
                <w:szCs w:val="21"/>
                <w:highlight w:val="none"/>
                <w14:textFill>
                  <w14:solidFill>
                    <w14:schemeClr w14:val="tx1"/>
                  </w14:solidFill>
                </w14:textFill>
              </w:rPr>
              <w:t>1μm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的万能工具显微镜、自带主动减振系统的高精度三坐标测量机</w:t>
            </w: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12.50</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1~100</w:t>
            </w:r>
          </w:p>
        </w:tc>
      </w:tr>
      <w:tr>
        <w:tblPrEx>
          <w:tblCellMar>
            <w:top w:w="0" w:type="dxa"/>
            <w:left w:w="108" w:type="dxa"/>
            <w:bottom w:w="0" w:type="dxa"/>
            <w:right w:w="108" w:type="dxa"/>
          </w:tblCellMar>
        </w:tblPrEx>
        <w:trPr>
          <w:trHeight w:val="720" w:hRule="atLeast"/>
          <w:jc w:val="center"/>
        </w:trPr>
        <w:tc>
          <w:tcPr>
            <w:tcW w:w="700"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NIM-6</w:t>
            </w:r>
          </w:p>
        </w:tc>
        <w:tc>
          <w:tcPr>
            <w:tcW w:w="1855" w:type="pct"/>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3μm</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及以上的精密检测装置、</w:t>
            </w:r>
            <w:r>
              <w:rPr>
                <w:rFonts w:ascii="Times New Roman" w:hAnsi="Times New Roman" w:cs="Times New Roman" w:eastAsiaTheme="majorEastAsia"/>
                <w:color w:val="000000" w:themeColor="text1"/>
                <w:kern w:val="0"/>
                <w:szCs w:val="21"/>
                <w:highlight w:val="none"/>
                <w14:textFill>
                  <w14:solidFill>
                    <w14:schemeClr w14:val="tx1"/>
                  </w14:solidFill>
                </w14:textFill>
              </w:rPr>
              <w:t>1000</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倍以下的光学显微镜、卧式光度计、阿贝比长仪、电位计、万能测长仪</w:t>
            </w: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1.25×10</w:t>
            </w:r>
            <w:r>
              <w:rPr>
                <w:rFonts w:ascii="Times New Roman" w:hAnsi="Times New Roman" w:cs="Times New Roman" w:eastAsiaTheme="majorEastAsia"/>
                <w:color w:val="000000" w:themeColor="text1"/>
                <w:kern w:val="0"/>
                <w:szCs w:val="21"/>
                <w:highlight w:val="none"/>
                <w:vertAlign w:val="superscript"/>
                <w14:textFill>
                  <w14:solidFill>
                    <w14:schemeClr w14:val="tx1"/>
                  </w14:solidFill>
                </w14:textFill>
              </w:rPr>
              <w:t>-3</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4~8</w:t>
            </w:r>
          </w:p>
        </w:tc>
      </w:tr>
      <w:tr>
        <w:tblPrEx>
          <w:tblCellMar>
            <w:top w:w="0" w:type="dxa"/>
            <w:left w:w="108" w:type="dxa"/>
            <w:bottom w:w="0" w:type="dxa"/>
            <w:right w:w="108" w:type="dxa"/>
          </w:tblCellMar>
        </w:tblPrEx>
        <w:trPr>
          <w:trHeight w:val="618" w:hRule="atLeast"/>
          <w:jc w:val="center"/>
        </w:trPr>
        <w:tc>
          <w:tcPr>
            <w:tcW w:w="700"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cs="Times New Roman" w:eastAsiaTheme="majorEastAsia"/>
                <w:color w:val="000000" w:themeColor="text1"/>
                <w:kern w:val="0"/>
                <w:szCs w:val="21"/>
                <w:highlight w:val="none"/>
                <w14:textFill>
                  <w14:solidFill>
                    <w14:schemeClr w14:val="tx1"/>
                  </w14:solidFill>
                </w14:textFill>
              </w:rPr>
            </w:pPr>
          </w:p>
        </w:tc>
        <w:tc>
          <w:tcPr>
            <w:tcW w:w="1855"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cs="Times New Roman" w:eastAsiaTheme="majorEastAsia"/>
                <w:color w:val="000000" w:themeColor="text1"/>
                <w:kern w:val="0"/>
                <w:szCs w:val="21"/>
                <w:highlight w:val="none"/>
                <w14:textFill>
                  <w14:solidFill>
                    <w14:schemeClr w14:val="tx1"/>
                  </w14:solidFill>
                </w14:textFill>
              </w:rPr>
            </w:pP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25.00</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8~100</w:t>
            </w:r>
          </w:p>
        </w:tc>
      </w:tr>
      <w:tr>
        <w:tblPrEx>
          <w:tblCellMar>
            <w:top w:w="0" w:type="dxa"/>
            <w:left w:w="108" w:type="dxa"/>
            <w:bottom w:w="0" w:type="dxa"/>
            <w:right w:w="108" w:type="dxa"/>
          </w:tblCellMar>
        </w:tblPrEx>
        <w:trPr>
          <w:trHeight w:val="360" w:hRule="atLeast"/>
          <w:jc w:val="center"/>
        </w:trPr>
        <w:tc>
          <w:tcPr>
            <w:tcW w:w="700"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NIM-7</w:t>
            </w:r>
          </w:p>
        </w:tc>
        <w:tc>
          <w:tcPr>
            <w:tcW w:w="1855" w:type="pct"/>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400</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倍以下的光学显微镜、卧式光学仪、扭簧比较仪</w:t>
            </w: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2.50×10</w:t>
            </w:r>
            <w:r>
              <w:rPr>
                <w:rFonts w:ascii="Times New Roman" w:hAnsi="Times New Roman" w:cs="Times New Roman" w:eastAsiaTheme="majorEastAsia"/>
                <w:color w:val="000000" w:themeColor="text1"/>
                <w:kern w:val="0"/>
                <w:szCs w:val="21"/>
                <w:highlight w:val="none"/>
                <w:vertAlign w:val="superscript"/>
                <w14:textFill>
                  <w14:solidFill>
                    <w14:schemeClr w14:val="tx1"/>
                  </w14:solidFill>
                </w14:textFill>
              </w:rPr>
              <w:t>-3</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4~8</w:t>
            </w:r>
          </w:p>
        </w:tc>
      </w:tr>
      <w:tr>
        <w:tblPrEx>
          <w:tblCellMar>
            <w:top w:w="0" w:type="dxa"/>
            <w:left w:w="108" w:type="dxa"/>
            <w:bottom w:w="0" w:type="dxa"/>
            <w:right w:w="108" w:type="dxa"/>
          </w:tblCellMar>
        </w:tblPrEx>
        <w:trPr>
          <w:trHeight w:val="312" w:hRule="atLeast"/>
          <w:jc w:val="center"/>
        </w:trPr>
        <w:tc>
          <w:tcPr>
            <w:tcW w:w="700"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cs="Times New Roman" w:eastAsiaTheme="majorEastAsia"/>
                <w:color w:val="000000" w:themeColor="text1"/>
                <w:kern w:val="0"/>
                <w:szCs w:val="21"/>
                <w:highlight w:val="none"/>
                <w14:textFill>
                  <w14:solidFill>
                    <w14:schemeClr w14:val="tx1"/>
                  </w14:solidFill>
                </w14:textFill>
              </w:rPr>
            </w:pPr>
          </w:p>
        </w:tc>
        <w:tc>
          <w:tcPr>
            <w:tcW w:w="1855"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cs="Times New Roman" w:eastAsiaTheme="majorEastAsia"/>
                <w:color w:val="000000" w:themeColor="text1"/>
                <w:kern w:val="0"/>
                <w:szCs w:val="21"/>
                <w:highlight w:val="none"/>
                <w14:textFill>
                  <w14:solidFill>
                    <w14:schemeClr w14:val="tx1"/>
                  </w14:solidFill>
                </w14:textFill>
              </w:rPr>
            </w:pPr>
          </w:p>
        </w:tc>
        <w:tc>
          <w:tcPr>
            <w:tcW w:w="837"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50.00</w:t>
            </w:r>
          </w:p>
        </w:tc>
        <w:tc>
          <w:tcPr>
            <w:tcW w:w="903"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　</w:t>
            </w:r>
          </w:p>
        </w:tc>
        <w:tc>
          <w:tcPr>
            <w:tcW w:w="705" w:type="pct"/>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ascii="Times New Roman" w:hAnsi="Times New Roman" w:cs="Times New Roman" w:eastAsiaTheme="majorEastAsia"/>
                <w:color w:val="000000" w:themeColor="text1"/>
                <w:kern w:val="0"/>
                <w:szCs w:val="21"/>
                <w:highlight w:val="none"/>
                <w14:textFill>
                  <w14:solidFill>
                    <w14:schemeClr w14:val="tx1"/>
                  </w14:solidFill>
                </w14:textFill>
              </w:rPr>
              <w:t>8~100</w:t>
            </w:r>
          </w:p>
        </w:tc>
      </w:tr>
      <w:tr>
        <w:tblPrEx>
          <w:tblCellMar>
            <w:top w:w="0" w:type="dxa"/>
            <w:left w:w="108" w:type="dxa"/>
            <w:bottom w:w="0" w:type="dxa"/>
            <w:right w:w="108" w:type="dxa"/>
          </w:tblCellMar>
        </w:tblPrEx>
        <w:trPr>
          <w:trHeight w:val="660" w:hRule="atLeast"/>
          <w:jc w:val="center"/>
        </w:trPr>
        <w:tc>
          <w:tcPr>
            <w:tcW w:w="5000" w:type="pct"/>
            <w:gridSpan w:val="5"/>
            <w:tcBorders>
              <w:top w:val="nil"/>
              <w:left w:val="nil"/>
              <w:bottom w:val="nil"/>
              <w:right w:val="nil"/>
            </w:tcBorders>
            <w:shd w:val="clear" w:color="auto" w:fill="auto"/>
            <w:vAlign w:val="center"/>
          </w:tcPr>
          <w:p>
            <w:pPr>
              <w:widowControl/>
              <w:spacing w:line="360" w:lineRule="auto"/>
              <w:jc w:val="left"/>
              <w:rPr>
                <w:rFonts w:ascii="Times New Roman" w:hAnsi="Times New Roman" w:cs="Times New Roman" w:eastAsiaTheme="majorEastAsia"/>
                <w:color w:val="000000" w:themeColor="text1"/>
                <w:kern w:val="0"/>
                <w:szCs w:val="21"/>
                <w:highlight w:val="none"/>
                <w14:textFill>
                  <w14:solidFill>
                    <w14:schemeClr w14:val="tx1"/>
                  </w14:solidFill>
                </w14:textFill>
              </w:rPr>
            </w:pP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注：振动速度、振动加速度为</w:t>
            </w:r>
            <w:r>
              <w:rPr>
                <w:rFonts w:ascii="Times New Roman" w:hAnsi="Times New Roman" w:cs="Times New Roman" w:eastAsiaTheme="majorEastAsia"/>
                <w:color w:val="000000" w:themeColor="text1"/>
                <w:kern w:val="0"/>
                <w:szCs w:val="21"/>
                <w:highlight w:val="none"/>
                <w14:textFill>
                  <w14:solidFill>
                    <w14:schemeClr w14:val="tx1"/>
                  </w14:solidFill>
                </w14:textFill>
              </w:rPr>
              <w:t>1</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w:t>
            </w:r>
            <w:r>
              <w:rPr>
                <w:rFonts w:ascii="Times New Roman" w:hAnsi="Times New Roman" w:cs="Times New Roman" w:eastAsiaTheme="majorEastAsia"/>
                <w:color w:val="000000" w:themeColor="text1"/>
                <w:kern w:val="0"/>
                <w:szCs w:val="21"/>
                <w:highlight w:val="none"/>
                <w14:textFill>
                  <w14:solidFill>
                    <w14:schemeClr w14:val="tx1"/>
                  </w14:solidFill>
                </w14:textFill>
              </w:rPr>
              <w:t>3</w:t>
            </w:r>
            <w:r>
              <w:rPr>
                <w:rFonts w:hint="eastAsia" w:ascii="Times New Roman" w:hAnsi="Times New Roman" w:cs="Times New Roman" w:eastAsiaTheme="majorEastAsia"/>
                <w:color w:val="000000" w:themeColor="text1"/>
                <w:kern w:val="0"/>
                <w:szCs w:val="21"/>
                <w:highlight w:val="none"/>
                <w14:textFill>
                  <w14:solidFill>
                    <w14:schemeClr w14:val="tx1"/>
                  </w14:solidFill>
                </w14:textFill>
              </w:rPr>
              <w:t>倍频程均方根值；当频率重叠时，应同时满足速度和加速度容许值。</w:t>
            </w:r>
          </w:p>
        </w:tc>
      </w:tr>
    </w:tbl>
    <w:p>
      <w:pPr>
        <w:spacing w:before="142" w:line="360" w:lineRule="auto"/>
        <w:ind w:firstLine="480"/>
        <w:jc w:val="center"/>
        <w:rPr>
          <w:rFonts w:cs="Times New Roman" w:asciiTheme="minorEastAsia" w:hAnsiTheme="minorEastAsia"/>
          <w:b/>
          <w:bCs/>
          <w:color w:val="000000" w:themeColor="text1"/>
          <w:szCs w:val="21"/>
          <w:highlight w:val="none"/>
          <w14:textFill>
            <w14:solidFill>
              <w14:schemeClr w14:val="tx1"/>
            </w14:solidFill>
          </w14:textFill>
        </w:rPr>
      </w:pPr>
      <w:r>
        <w:rPr>
          <w:rFonts w:cs="Times New Roman" w:asciiTheme="minorEastAsia" w:hAnsiTheme="minorEastAsia"/>
          <w:b/>
          <w:bCs/>
          <w:color w:val="000000" w:themeColor="text1"/>
          <w:szCs w:val="21"/>
          <w:highlight w:val="none"/>
          <w14:textFill>
            <w14:solidFill>
              <w14:schemeClr w14:val="tx1"/>
            </w14:solidFill>
          </w14:textFill>
        </w:rPr>
        <w:t>表A</w:t>
      </w:r>
      <w:r>
        <w:rPr>
          <w:rFonts w:hint="eastAsia" w:cs="Times New Roman" w:asciiTheme="minorEastAsia" w:hAnsiTheme="minorEastAsia"/>
          <w:b/>
          <w:bCs/>
          <w:color w:val="000000" w:themeColor="text1"/>
          <w:szCs w:val="21"/>
          <w:highlight w:val="none"/>
          <w14:textFill>
            <w14:solidFill>
              <w14:schemeClr w14:val="tx1"/>
            </w14:solidFill>
          </w14:textFill>
        </w:rPr>
        <w:t>-2</w:t>
      </w:r>
      <w:r>
        <w:rPr>
          <w:rFonts w:cs="Times New Roman" w:asciiTheme="minorEastAsia" w:hAnsiTheme="minorEastAsia"/>
          <w:b/>
          <w:bCs/>
          <w:color w:val="000000" w:themeColor="text1"/>
          <w:szCs w:val="21"/>
          <w:highlight w:val="none"/>
          <w14:textFill>
            <w14:solidFill>
              <w14:schemeClr w14:val="tx1"/>
            </w14:solidFill>
          </w14:textFill>
        </w:rPr>
        <w:t xml:space="preserve"> 几何量测量实验室受控环境参考容许值</w:t>
      </w:r>
    </w:p>
    <w:tbl>
      <w:tblPr>
        <w:tblStyle w:val="35"/>
        <w:tblW w:w="10065" w:type="dxa"/>
        <w:jc w:val="center"/>
        <w:tblLayout w:type="autofit"/>
        <w:tblCellMar>
          <w:top w:w="0" w:type="dxa"/>
          <w:left w:w="108" w:type="dxa"/>
          <w:bottom w:w="0" w:type="dxa"/>
          <w:right w:w="108" w:type="dxa"/>
        </w:tblCellMar>
      </w:tblPr>
      <w:tblGrid>
        <w:gridCol w:w="667"/>
        <w:gridCol w:w="893"/>
        <w:gridCol w:w="992"/>
        <w:gridCol w:w="1823"/>
        <w:gridCol w:w="1541"/>
        <w:gridCol w:w="1559"/>
        <w:gridCol w:w="2835"/>
      </w:tblGrid>
      <w:tr>
        <w:tblPrEx>
          <w:tblCellMar>
            <w:top w:w="0" w:type="dxa"/>
            <w:left w:w="108" w:type="dxa"/>
            <w:bottom w:w="0" w:type="dxa"/>
            <w:right w:w="108" w:type="dxa"/>
          </w:tblCellMar>
        </w:tblPrEx>
        <w:trPr>
          <w:trHeight w:val="1200" w:hRule="atLeast"/>
          <w:jc w:val="center"/>
        </w:trPr>
        <w:tc>
          <w:tcPr>
            <w:tcW w:w="6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序号</w:t>
            </w:r>
          </w:p>
        </w:tc>
        <w:tc>
          <w:tcPr>
            <w:tcW w:w="18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实验室名称</w:t>
            </w:r>
          </w:p>
        </w:tc>
        <w:tc>
          <w:tcPr>
            <w:tcW w:w="1578"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温度控制（℃）</w:t>
            </w:r>
          </w:p>
        </w:tc>
        <w:tc>
          <w:tcPr>
            <w:tcW w:w="1541"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湿度控制（</w:t>
            </w:r>
            <w:r>
              <w:rPr>
                <w:rFonts w:ascii="Times New Roman" w:hAnsi="Times New Roman" w:eastAsia="宋体" w:cs="Times New Roman"/>
                <w:color w:val="000000" w:themeColor="text1"/>
                <w:kern w:val="0"/>
                <w:szCs w:val="21"/>
                <w:highlight w:val="none"/>
                <w14:textFill>
                  <w14:solidFill>
                    <w14:schemeClr w14:val="tx1"/>
                  </w14:solidFill>
                </w14:textFill>
              </w:rPr>
              <w:t>RH）</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洁净度等级（</w:t>
            </w:r>
            <w:r>
              <w:rPr>
                <w:rFonts w:ascii="Times New Roman" w:hAnsi="Times New Roman" w:eastAsia="宋体" w:cs="Times New Roman"/>
                <w:color w:val="000000" w:themeColor="text1"/>
                <w:kern w:val="0"/>
                <w:szCs w:val="21"/>
                <w:highlight w:val="none"/>
                <w14:textFill>
                  <w14:solidFill>
                    <w14:schemeClr w14:val="tx1"/>
                  </w14:solidFill>
                </w14:textFill>
              </w:rPr>
              <w:t>ISO)</w:t>
            </w:r>
          </w:p>
        </w:tc>
        <w:tc>
          <w:tcPr>
            <w:tcW w:w="283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参考规程</w:t>
            </w:r>
          </w:p>
        </w:tc>
      </w:tr>
      <w:tr>
        <w:tblPrEx>
          <w:tblCellMar>
            <w:top w:w="0" w:type="dxa"/>
            <w:left w:w="108" w:type="dxa"/>
            <w:bottom w:w="0" w:type="dxa"/>
            <w:right w:w="108" w:type="dxa"/>
          </w:tblCellMar>
        </w:tblPrEx>
        <w:trPr>
          <w:trHeight w:val="936" w:hRule="atLeast"/>
          <w:jc w:val="center"/>
        </w:trPr>
        <w:tc>
          <w:tcPr>
            <w:tcW w:w="667" w:type="dxa"/>
            <w:vMerge w:val="restart"/>
            <w:tcBorders>
              <w:top w:val="nil"/>
              <w:left w:val="single" w:color="auto" w:sz="4" w:space="0"/>
              <w:bottom w:val="single" w:color="000000"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w:t>
            </w:r>
          </w:p>
        </w:tc>
        <w:tc>
          <w:tcPr>
            <w:tcW w:w="893"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线纹尺测量实验室</w:t>
            </w: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线纹基准实验室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20℃±0.2℃，核心实验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区空间温度场满足</w:t>
            </w:r>
            <w:r>
              <w:rPr>
                <w:rFonts w:ascii="Times New Roman" w:hAnsi="Times New Roman" w:eastAsia="宋体" w:cs="Times New Roman"/>
                <w:color w:val="000000" w:themeColor="text1"/>
                <w:kern w:val="0"/>
                <w:szCs w:val="21"/>
                <w:highlight w:val="none"/>
                <w14:textFill>
                  <w14:solidFill>
                    <w14:schemeClr w14:val="tx1"/>
                  </w14:solidFill>
                </w14:textFill>
              </w:rPr>
              <w:t>0.02℃/h/m</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ISO7（核心实验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区满足</w:t>
            </w:r>
            <w:r>
              <w:rPr>
                <w:rFonts w:ascii="Times New Roman" w:hAnsi="Times New Roman" w:eastAsia="宋体" w:cs="Times New Roman"/>
                <w:color w:val="000000" w:themeColor="text1"/>
                <w:kern w:val="0"/>
                <w:szCs w:val="21"/>
                <w:highlight w:val="none"/>
                <w14:textFill>
                  <w14:solidFill>
                    <w14:schemeClr w14:val="tx1"/>
                  </w14:solidFill>
                </w14:textFill>
              </w:rPr>
              <w:t>ISO6）</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306-2004  24m因瓦基线尺</w:t>
            </w:r>
          </w:p>
        </w:tc>
      </w:tr>
      <w:tr>
        <w:tblPrEx>
          <w:tblCellMar>
            <w:top w:w="0" w:type="dxa"/>
            <w:left w:w="108" w:type="dxa"/>
            <w:bottom w:w="0" w:type="dxa"/>
            <w:right w:w="108" w:type="dxa"/>
          </w:tblCellMar>
        </w:tblPrEx>
        <w:trPr>
          <w:trHeight w:val="2592"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线纹检定实验室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20℃±0.5℃，核心实验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区空间温度场满足</w:t>
            </w:r>
            <w:r>
              <w:rPr>
                <w:rFonts w:ascii="Times New Roman" w:hAnsi="Times New Roman" w:eastAsia="宋体" w:cs="Times New Roman"/>
                <w:color w:val="000000" w:themeColor="text1"/>
                <w:kern w:val="0"/>
                <w:szCs w:val="21"/>
                <w:highlight w:val="none"/>
                <w14:textFill>
                  <w14:solidFill>
                    <w14:schemeClr w14:val="tx1"/>
                  </w14:solidFill>
                </w14:textFill>
              </w:rPr>
              <w:t>0.1℃/h/m</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73-2005</w:t>
            </w:r>
            <w:r>
              <w:rPr>
                <w:rFonts w:hint="eastAsia" w:ascii="Times New Roman" w:hAnsi="Times New Roman" w:eastAsia="宋体" w:cs="Times New Roman"/>
                <w:color w:val="000000" w:themeColor="text1"/>
                <w:kern w:val="0"/>
                <w:szCs w:val="21"/>
                <w:highlight w:val="none"/>
                <w14:textFill>
                  <w14:solidFill>
                    <w14:schemeClr w14:val="tx1"/>
                  </w14:solidFill>
                </w14:textFill>
              </w:rPr>
              <w:t>高等别线纹尺</w:t>
            </w:r>
            <w:r>
              <w:rPr>
                <w:rFonts w:ascii="Times New Roman" w:hAnsi="Times New Roman" w:eastAsia="宋体" w:cs="Times New Roman"/>
                <w:color w:val="000000" w:themeColor="text1"/>
                <w:kern w:val="0"/>
                <w:szCs w:val="21"/>
                <w:highlight w:val="none"/>
                <w14:textFill>
                  <w14:solidFill>
                    <w14:schemeClr w14:val="tx1"/>
                  </w14:solidFill>
                </w14:textFill>
              </w:rPr>
              <w:br w:type="textWrapping"/>
            </w:r>
            <w:r>
              <w:rPr>
                <w:rFonts w:ascii="Times New Roman" w:hAnsi="Times New Roman" w:eastAsia="宋体" w:cs="Times New Roman"/>
                <w:color w:val="000000" w:themeColor="text1"/>
                <w:kern w:val="0"/>
                <w:szCs w:val="21"/>
                <w:highlight w:val="none"/>
                <w14:textFill>
                  <w14:solidFill>
                    <w14:schemeClr w14:val="tx1"/>
                  </w14:solidFill>
                </w14:textFill>
              </w:rPr>
              <w:t>JJG 71-2005三等标准金属线纹尺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741-2019标准钢卷尺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JJG4-2015钢卷尺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1-1999钢直尺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2-1999木直（折）尺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5-2001纤维卷尺、测绳</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832-1993标准玻璃网格板</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739-2005激光干涉仪</w:t>
            </w:r>
          </w:p>
        </w:tc>
      </w:tr>
      <w:tr>
        <w:tblPrEx>
          <w:tblCellMar>
            <w:top w:w="0" w:type="dxa"/>
            <w:left w:w="108" w:type="dxa"/>
            <w:bottom w:w="0" w:type="dxa"/>
            <w:right w:w="108" w:type="dxa"/>
          </w:tblCellMar>
        </w:tblPrEx>
        <w:trPr>
          <w:trHeight w:val="2592"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光学仪器精测实验室</w:t>
            </w:r>
          </w:p>
        </w:tc>
        <w:tc>
          <w:tcPr>
            <w:tcW w:w="1578"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ISO7（激光波长、电镜等实验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区满足</w:t>
            </w:r>
            <w:r>
              <w:rPr>
                <w:rFonts w:ascii="Times New Roman" w:hAnsi="Times New Roman" w:eastAsia="宋体" w:cs="Times New Roman"/>
                <w:color w:val="000000" w:themeColor="text1"/>
                <w:kern w:val="0"/>
                <w:szCs w:val="21"/>
                <w:highlight w:val="none"/>
                <w14:textFill>
                  <w14:solidFill>
                    <w14:schemeClr w14:val="tx1"/>
                  </w14:solidFill>
                </w14:textFill>
              </w:rPr>
              <w:t>ISO6）</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1093-2015投影仪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1318-2011影像测量仪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56-2000工具显微镜</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1351-2012扫描探针显微镜</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45-1999光学计</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101-2004接触式干涉仪JJG 571-2004读数、测量显微镜</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1066-2000测长机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1304-2011量块比较仪</w:t>
            </w:r>
          </w:p>
        </w:tc>
      </w:tr>
      <w:tr>
        <w:tblPrEx>
          <w:tblCellMar>
            <w:top w:w="0" w:type="dxa"/>
            <w:left w:w="108" w:type="dxa"/>
            <w:bottom w:w="0" w:type="dxa"/>
            <w:right w:w="108" w:type="dxa"/>
          </w:tblCellMar>
        </w:tblPrEx>
        <w:trPr>
          <w:trHeight w:val="1398"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3</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量块实验室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20℃±0.5℃，1和2等量</w:t>
            </w:r>
            <w:r>
              <w:rPr>
                <w:rFonts w:hint="eastAsia" w:ascii="Times New Roman" w:hAnsi="Times New Roman" w:eastAsia="宋体" w:cs="Times New Roman"/>
                <w:color w:val="000000" w:themeColor="text1"/>
                <w:kern w:val="0"/>
                <w:szCs w:val="21"/>
                <w:highlight w:val="none"/>
                <w14:textFill>
                  <w14:solidFill>
                    <w14:schemeClr w14:val="tx1"/>
                  </w14:solidFill>
                </w14:textFill>
              </w:rPr>
              <w:t>块空间温度场满足</w:t>
            </w:r>
            <w:r>
              <w:rPr>
                <w:rFonts w:ascii="Times New Roman" w:hAnsi="Times New Roman" w:eastAsia="宋体" w:cs="Times New Roman"/>
                <w:color w:val="000000" w:themeColor="text1"/>
                <w:kern w:val="0"/>
                <w:szCs w:val="21"/>
                <w:highlight w:val="none"/>
                <w14:textFill>
                  <w14:solidFill>
                    <w14:schemeClr w14:val="tx1"/>
                  </w14:solidFill>
                </w14:textFill>
              </w:rPr>
              <w:t>0.1℃/h/m，3等及以下满足0.2℃/h/m</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ISO7（核心实验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区满足</w:t>
            </w:r>
            <w:r>
              <w:rPr>
                <w:rFonts w:ascii="Times New Roman" w:hAnsi="Times New Roman" w:eastAsia="宋体" w:cs="Times New Roman"/>
                <w:color w:val="000000" w:themeColor="text1"/>
                <w:kern w:val="0"/>
                <w:szCs w:val="21"/>
                <w:highlight w:val="none"/>
                <w14:textFill>
                  <w14:solidFill>
                    <w14:schemeClr w14:val="tx1"/>
                  </w14:solidFill>
                </w14:textFill>
              </w:rPr>
              <w:t>ISO6）</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146-2011量块</w:t>
            </w:r>
          </w:p>
        </w:tc>
      </w:tr>
      <w:tr>
        <w:tblPrEx>
          <w:tblCellMar>
            <w:top w:w="0" w:type="dxa"/>
            <w:left w:w="108" w:type="dxa"/>
            <w:bottom w:w="0" w:type="dxa"/>
            <w:right w:w="108" w:type="dxa"/>
          </w:tblCellMar>
        </w:tblPrEx>
        <w:trPr>
          <w:trHeight w:val="1550"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4</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量具精测实验室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20℃±0.5℃（尺寸范围50mm~1600mm）20℃±0.3℃（尺寸范围&gt;1600mm）</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30-2002通用卡尺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31-2011高度卡尺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21-2008千分尺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34-2008指示表</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22-2014内径千分尺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24-2016深度千分尺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26-2011杠杆千分尺、杠杆卡规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427-2004带表千分尺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1088-2015外径千分尺(测量范围500mm～3000mm)</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1091-2002测量内尺寸千分尺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35-2006杠杆表</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39-2004机械式比较仪JJG 118-2010扭簧比较仪JJG 379-2017大量程百分表JJF 1102-2003内径表</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1253-2010带表卡规</w:t>
            </w:r>
          </w:p>
        </w:tc>
      </w:tr>
      <w:tr>
        <w:tblPrEx>
          <w:tblCellMar>
            <w:top w:w="0" w:type="dxa"/>
            <w:left w:w="108" w:type="dxa"/>
            <w:bottom w:w="0" w:type="dxa"/>
            <w:right w:w="108" w:type="dxa"/>
          </w:tblCellMar>
        </w:tblPrEx>
        <w:trPr>
          <w:trHeight w:val="3168"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角度测量实验室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20℃±1℃，温度变化小于0.5℃/h，气流波动小</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ISO8</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70-2004角度块</w:t>
            </w:r>
            <w:r>
              <w:rPr>
                <w:rFonts w:ascii="Times New Roman" w:hAnsi="Times New Roman" w:eastAsia="宋体" w:cs="Times New Roman"/>
                <w:color w:val="000000" w:themeColor="text1"/>
                <w:kern w:val="0"/>
                <w:szCs w:val="21"/>
                <w:highlight w:val="none"/>
                <w14:textFill>
                  <w14:solidFill>
                    <w14:schemeClr w14:val="tx1"/>
                  </w14:solidFill>
                </w14:textFill>
              </w:rPr>
              <w:br w:type="textWrapping"/>
            </w:r>
            <w:r>
              <w:rPr>
                <w:rFonts w:ascii="Times New Roman" w:hAnsi="Times New Roman" w:eastAsia="宋体" w:cs="Times New Roman"/>
                <w:color w:val="000000" w:themeColor="text1"/>
                <w:kern w:val="0"/>
                <w:szCs w:val="21"/>
                <w:highlight w:val="none"/>
                <w14:textFill>
                  <w14:solidFill>
                    <w14:schemeClr w14:val="tx1"/>
                  </w14:solidFill>
                </w14:textFill>
              </w:rPr>
              <w:t>JJG 283-2007正多面棱体JJG 472-2007多齿分度台JJG 850-2005光学角规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1114-2004光学、数显分度台</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1115-2004光电轴角编码器</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7-2004直角尺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275-2017多</w:t>
            </w:r>
            <w:r>
              <w:rPr>
                <w:rFonts w:hint="eastAsia" w:ascii="Times New Roman" w:hAnsi="Times New Roman" w:eastAsia="宋体" w:cs="Times New Roman"/>
                <w:color w:val="000000" w:themeColor="text1"/>
                <w:kern w:val="0"/>
                <w:szCs w:val="21"/>
                <w:highlight w:val="none"/>
                <w14:textFill>
                  <w14:solidFill>
                    <w14:schemeClr w14:val="tx1"/>
                  </w14:solidFill>
                </w14:textFill>
              </w:rPr>
              <w:t>刃刀具角度规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33-2002万能角度尺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194-2007方箱</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1132-2005组合式角度尺</w:t>
            </w:r>
          </w:p>
        </w:tc>
      </w:tr>
      <w:tr>
        <w:tblPrEx>
          <w:tblCellMar>
            <w:top w:w="0" w:type="dxa"/>
            <w:left w:w="108" w:type="dxa"/>
            <w:bottom w:w="0" w:type="dxa"/>
            <w:right w:w="108" w:type="dxa"/>
          </w:tblCellMar>
        </w:tblPrEx>
        <w:trPr>
          <w:trHeight w:val="1920"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6</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水平度测量实验室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20℃±1℃</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ISO8</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1085-2002水平尺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1119-2004电子水平尺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1084-2002框式水平仪和条式水平仪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103-2005电子水平仪和合像水平仪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1166-2007激光扫平仪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1083-2002光学倾斜仪</w:t>
            </w:r>
          </w:p>
        </w:tc>
      </w:tr>
      <w:tr>
        <w:tblPrEx>
          <w:tblCellMar>
            <w:top w:w="0" w:type="dxa"/>
            <w:left w:w="108" w:type="dxa"/>
            <w:bottom w:w="0" w:type="dxa"/>
            <w:right w:w="108" w:type="dxa"/>
          </w:tblCellMar>
        </w:tblPrEx>
        <w:trPr>
          <w:trHeight w:val="557"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7</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室内大长度标准实验室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20℃±0.5℃，实验区送风均匀，风速&lt;0.2m/s</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30%~60%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ISO8</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966-2010手持式激光测距仪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928-1998超声波测距仪JJG 703-2003光电测距仪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1082-2002平板仪</w:t>
            </w:r>
          </w:p>
        </w:tc>
      </w:tr>
      <w:tr>
        <w:tblPrEx>
          <w:tblCellMar>
            <w:top w:w="0" w:type="dxa"/>
            <w:left w:w="108" w:type="dxa"/>
            <w:bottom w:w="0" w:type="dxa"/>
            <w:right w:w="108" w:type="dxa"/>
          </w:tblCellMar>
        </w:tblPrEx>
        <w:trPr>
          <w:trHeight w:val="1020"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8</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室外基线实验室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0℃~35℃，风速&lt;5m/s，1个标准大气压</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20%~70%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100-2003全站型电子速测仪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1118-2004全球定位系统（GPS）接收机（测地型和导航型）</w:t>
            </w:r>
          </w:p>
        </w:tc>
      </w:tr>
      <w:tr>
        <w:tblPrEx>
          <w:tblCellMar>
            <w:top w:w="0" w:type="dxa"/>
            <w:left w:w="108" w:type="dxa"/>
            <w:bottom w:w="0" w:type="dxa"/>
            <w:right w:w="108" w:type="dxa"/>
          </w:tblCellMar>
        </w:tblPrEx>
        <w:trPr>
          <w:trHeight w:val="864"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9</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测绘仪器检测实验室</w:t>
            </w:r>
          </w:p>
        </w:tc>
        <w:tc>
          <w:tcPr>
            <w:tcW w:w="1578"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18℃~26℃</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30%~60%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425-2003水准仪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414-2011光学经纬仪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1081-2002</w:t>
            </w:r>
            <w:r>
              <w:rPr>
                <w:rFonts w:hint="eastAsia" w:ascii="Times New Roman" w:hAnsi="Times New Roman" w:eastAsia="宋体" w:cs="Times New Roman"/>
                <w:color w:val="000000" w:themeColor="text1"/>
                <w:kern w:val="0"/>
                <w:szCs w:val="21"/>
                <w:highlight w:val="none"/>
                <w14:textFill>
                  <w14:solidFill>
                    <w14:schemeClr w14:val="tx1"/>
                  </w14:solidFill>
                </w14:textFill>
              </w:rPr>
              <w:t>垂准仪</w:t>
            </w:r>
          </w:p>
        </w:tc>
      </w:tr>
      <w:tr>
        <w:tblPrEx>
          <w:tblCellMar>
            <w:top w:w="0" w:type="dxa"/>
            <w:left w:w="108" w:type="dxa"/>
            <w:bottom w:w="0" w:type="dxa"/>
            <w:right w:w="108" w:type="dxa"/>
          </w:tblCellMar>
        </w:tblPrEx>
        <w:trPr>
          <w:trHeight w:val="864" w:hRule="atLeast"/>
          <w:jc w:val="center"/>
        </w:trPr>
        <w:tc>
          <w:tcPr>
            <w:tcW w:w="667" w:type="dxa"/>
            <w:vMerge w:val="restart"/>
            <w:tcBorders>
              <w:top w:val="nil"/>
              <w:left w:val="single" w:color="auto" w:sz="4" w:space="0"/>
              <w:bottom w:val="single" w:color="000000"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10</w:t>
            </w:r>
          </w:p>
        </w:tc>
        <w:tc>
          <w:tcPr>
            <w:tcW w:w="89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齿轮螺纹精测实验室</w:t>
            </w: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齿轮螺旋线基准实验室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20℃±0.2℃</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408-2000齿轮螺旋线样板</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1122-2004齿轮螺旋线测量仪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1008-2006标准齿轮</w:t>
            </w:r>
          </w:p>
        </w:tc>
      </w:tr>
      <w:tr>
        <w:tblPrEx>
          <w:tblCellMar>
            <w:top w:w="0" w:type="dxa"/>
            <w:left w:w="108" w:type="dxa"/>
            <w:bottom w:w="0" w:type="dxa"/>
            <w:right w:w="108" w:type="dxa"/>
          </w:tblCellMar>
        </w:tblPrEx>
        <w:trPr>
          <w:trHeight w:val="312"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螺纹坐标基准实验室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20℃±0.2℃</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30%~60%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016"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齿轮螺纹精测实验室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30%~60%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ISO8</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92-1991万能</w:t>
            </w:r>
            <w:r>
              <w:rPr>
                <w:rFonts w:hint="eastAsia" w:ascii="Times New Roman" w:hAnsi="Times New Roman" w:eastAsia="宋体" w:cs="Times New Roman"/>
                <w:color w:val="000000" w:themeColor="text1"/>
                <w:kern w:val="0"/>
                <w:szCs w:val="21"/>
                <w:highlight w:val="none"/>
                <w14:textFill>
                  <w14:solidFill>
                    <w14:schemeClr w14:val="tx1"/>
                  </w14:solidFill>
                </w14:textFill>
              </w:rPr>
              <w:t>测齿仪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1072-2000齿厚卡尺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82-2010公法线千分尺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1345-2012圆柱螺纹量规JJF 1108-2012石油螺纹工作量规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60-2012螺纹样板</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25-2004螺纹千分尺</w:t>
            </w:r>
          </w:p>
        </w:tc>
      </w:tr>
      <w:tr>
        <w:tblPrEx>
          <w:tblCellMar>
            <w:top w:w="0" w:type="dxa"/>
            <w:left w:w="108" w:type="dxa"/>
            <w:bottom w:w="0" w:type="dxa"/>
            <w:right w:w="108" w:type="dxa"/>
          </w:tblCellMar>
        </w:tblPrEx>
        <w:trPr>
          <w:trHeight w:val="624" w:hRule="atLeast"/>
          <w:jc w:val="center"/>
        </w:trPr>
        <w:tc>
          <w:tcPr>
            <w:tcW w:w="667" w:type="dxa"/>
            <w:vMerge w:val="restart"/>
            <w:tcBorders>
              <w:top w:val="nil"/>
              <w:left w:val="single" w:color="auto" w:sz="4" w:space="0"/>
              <w:bottom w:val="single" w:color="000000"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11</w:t>
            </w:r>
          </w:p>
        </w:tc>
        <w:tc>
          <w:tcPr>
            <w:tcW w:w="89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平面平晶测量实验室</w:t>
            </w: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平面平晶基准实验室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20℃±0.1℃</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ISO7（核心实验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区满足</w:t>
            </w:r>
            <w:r>
              <w:rPr>
                <w:rFonts w:ascii="Times New Roman" w:hAnsi="Times New Roman" w:eastAsia="宋体" w:cs="Times New Roman"/>
                <w:color w:val="000000" w:themeColor="text1"/>
                <w:kern w:val="0"/>
                <w:szCs w:val="21"/>
                <w:highlight w:val="none"/>
                <w14:textFill>
                  <w14:solidFill>
                    <w14:schemeClr w14:val="tx1"/>
                  </w14:solidFill>
                </w14:textFill>
              </w:rPr>
              <w:t>ISO6）</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765-1992平面标准器</w:t>
            </w:r>
          </w:p>
        </w:tc>
      </w:tr>
      <w:tr>
        <w:tblPrEx>
          <w:tblCellMar>
            <w:top w:w="0" w:type="dxa"/>
            <w:left w:w="108" w:type="dxa"/>
            <w:bottom w:w="0" w:type="dxa"/>
            <w:right w:w="108" w:type="dxa"/>
          </w:tblCellMar>
        </w:tblPrEx>
        <w:trPr>
          <w:trHeight w:val="2700"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平面平晶检定实验室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20℃±0.1℃（150mm、1600mm平面平晶，长平晶）；               20℃±0.2℃（80mm、100mm平面平晶）；                       20℃±0.5℃（30mm、45mm、60mm平面平晶，平行平晶）</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28-2000</w:t>
            </w:r>
            <w:r>
              <w:rPr>
                <w:rFonts w:hint="eastAsia" w:ascii="Times New Roman" w:hAnsi="Times New Roman" w:eastAsia="宋体" w:cs="Times New Roman"/>
                <w:color w:val="000000" w:themeColor="text1"/>
                <w:kern w:val="0"/>
                <w:szCs w:val="21"/>
                <w:highlight w:val="none"/>
                <w14:textFill>
                  <w14:solidFill>
                    <w14:schemeClr w14:val="tx1"/>
                  </w14:solidFill>
                </w14:textFill>
              </w:rPr>
              <w:t>平晶</w:t>
            </w:r>
          </w:p>
        </w:tc>
      </w:tr>
      <w:tr>
        <w:tblPrEx>
          <w:tblCellMar>
            <w:top w:w="0" w:type="dxa"/>
            <w:left w:w="108" w:type="dxa"/>
            <w:bottom w:w="0" w:type="dxa"/>
            <w:right w:w="108" w:type="dxa"/>
          </w:tblCellMar>
        </w:tblPrEx>
        <w:trPr>
          <w:trHeight w:val="624" w:hRule="atLeast"/>
          <w:jc w:val="center"/>
        </w:trPr>
        <w:tc>
          <w:tcPr>
            <w:tcW w:w="667" w:type="dxa"/>
            <w:vMerge w:val="restart"/>
            <w:tcBorders>
              <w:top w:val="nil"/>
              <w:left w:val="single" w:color="auto" w:sz="4" w:space="0"/>
              <w:bottom w:val="single" w:color="000000"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12</w:t>
            </w:r>
          </w:p>
        </w:tc>
        <w:tc>
          <w:tcPr>
            <w:tcW w:w="89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粗糙度测量实验室</w:t>
            </w: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粗糙度基准实验室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20℃±1℃</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ISO7（核心实验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区满足</w:t>
            </w:r>
            <w:r>
              <w:rPr>
                <w:rFonts w:ascii="Times New Roman" w:hAnsi="Times New Roman" w:eastAsia="宋体" w:cs="Times New Roman"/>
                <w:color w:val="000000" w:themeColor="text1"/>
                <w:kern w:val="0"/>
                <w:szCs w:val="21"/>
                <w:highlight w:val="none"/>
                <w14:textFill>
                  <w14:solidFill>
                    <w14:schemeClr w14:val="tx1"/>
                  </w14:solidFill>
                </w14:textFill>
              </w:rPr>
              <w:t>ISO6）</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w:t>
            </w:r>
          </w:p>
        </w:tc>
      </w:tr>
      <w:tr>
        <w:tblPrEx>
          <w:tblCellMar>
            <w:top w:w="0" w:type="dxa"/>
            <w:left w:w="108" w:type="dxa"/>
            <w:bottom w:w="0" w:type="dxa"/>
            <w:right w:w="108" w:type="dxa"/>
          </w:tblCellMar>
        </w:tblPrEx>
        <w:trPr>
          <w:trHeight w:val="780"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粗糙度检测实验室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20℃±2℃</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&lt;70%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1099-2018表面粗糙度</w:t>
            </w:r>
            <w:r>
              <w:rPr>
                <w:rFonts w:hint="eastAsia" w:ascii="Times New Roman" w:hAnsi="Times New Roman" w:eastAsia="宋体" w:cs="Times New Roman"/>
                <w:color w:val="000000" w:themeColor="text1"/>
                <w:kern w:val="0"/>
                <w:szCs w:val="21"/>
                <w:highlight w:val="none"/>
                <w14:textFill>
                  <w14:solidFill>
                    <w14:schemeClr w14:val="tx1"/>
                  </w14:solidFill>
                </w14:textFill>
              </w:rPr>
              <w:t>比较样块</w:t>
            </w:r>
            <w:r>
              <w:rPr>
                <w:rFonts w:ascii="Times New Roman" w:hAnsi="Times New Roman" w:eastAsia="宋体" w:cs="Times New Roman"/>
                <w:color w:val="000000" w:themeColor="text1"/>
                <w:kern w:val="0"/>
                <w:szCs w:val="21"/>
                <w:highlight w:val="none"/>
                <w14:textFill>
                  <w14:solidFill>
                    <w14:schemeClr w14:val="tx1"/>
                  </w14:solidFill>
                </w14:textFill>
              </w:rPr>
              <w:br w:type="textWrapping"/>
            </w:r>
            <w:r>
              <w:rPr>
                <w:rFonts w:ascii="Times New Roman" w:hAnsi="Times New Roman" w:eastAsia="宋体" w:cs="Times New Roman"/>
                <w:color w:val="000000" w:themeColor="text1"/>
                <w:kern w:val="0"/>
                <w:szCs w:val="21"/>
                <w:highlight w:val="none"/>
                <w14:textFill>
                  <w14:solidFill>
                    <w14:schemeClr w14:val="tx1"/>
                  </w14:solidFill>
                </w14:textFill>
              </w:rPr>
              <w:t>JJF 1105-2018触针式表面粗糙度测量仪</w:t>
            </w:r>
          </w:p>
        </w:tc>
      </w:tr>
      <w:tr>
        <w:tblPrEx>
          <w:tblCellMar>
            <w:top w:w="0" w:type="dxa"/>
            <w:left w:w="108" w:type="dxa"/>
            <w:bottom w:w="0" w:type="dxa"/>
            <w:right w:w="108" w:type="dxa"/>
          </w:tblCellMar>
        </w:tblPrEx>
        <w:trPr>
          <w:trHeight w:val="624" w:hRule="atLeast"/>
          <w:jc w:val="center"/>
        </w:trPr>
        <w:tc>
          <w:tcPr>
            <w:tcW w:w="667" w:type="dxa"/>
            <w:vMerge w:val="restart"/>
            <w:tcBorders>
              <w:top w:val="nil"/>
              <w:left w:val="single" w:color="auto" w:sz="4" w:space="0"/>
              <w:bottom w:val="single" w:color="000000"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13</w:t>
            </w:r>
          </w:p>
        </w:tc>
        <w:tc>
          <w:tcPr>
            <w:tcW w:w="89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锥度、圆度测量</w:t>
            </w:r>
            <w:r>
              <w:rPr>
                <w:rFonts w:ascii="Times New Roman" w:hAnsi="Times New Roman" w:eastAsia="宋体" w:cs="Times New Roman"/>
                <w:color w:val="000000" w:themeColor="text1"/>
                <w:kern w:val="0"/>
                <w:szCs w:val="21"/>
                <w:highlight w:val="none"/>
                <w14:textFill>
                  <w14:solidFill>
                    <w14:schemeClr w14:val="tx1"/>
                  </w14:solidFill>
                </w14:textFill>
              </w:rPr>
              <w:t xml:space="preserve">       </w:t>
            </w:r>
            <w:r>
              <w:rPr>
                <w:rFonts w:hint="eastAsia" w:ascii="Times New Roman" w:hAnsi="Times New Roman" w:eastAsia="宋体" w:cs="Times New Roman"/>
                <w:color w:val="000000" w:themeColor="text1"/>
                <w:kern w:val="0"/>
                <w:szCs w:val="21"/>
                <w:highlight w:val="none"/>
                <w14:textFill>
                  <w14:solidFill>
                    <w14:schemeClr w14:val="tx1"/>
                  </w14:solidFill>
                </w14:textFill>
              </w:rPr>
              <w:t>实验室</w:t>
            </w:r>
          </w:p>
        </w:tc>
        <w:tc>
          <w:tcPr>
            <w:tcW w:w="992"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锥度基准及</w:t>
            </w:r>
            <w:r>
              <w:rPr>
                <w:rFonts w:ascii="Times New Roman" w:hAnsi="Times New Roman" w:eastAsia="宋体" w:cs="Times New Roman"/>
                <w:color w:val="000000" w:themeColor="text1"/>
                <w:kern w:val="0"/>
                <w:szCs w:val="21"/>
                <w:highlight w:val="none"/>
                <w14:textFill>
                  <w14:solidFill>
                    <w14:schemeClr w14:val="tx1"/>
                  </w14:solidFill>
                </w14:textFill>
              </w:rPr>
              <w:t>3D形</w:t>
            </w:r>
            <w:r>
              <w:rPr>
                <w:rFonts w:hint="eastAsia" w:ascii="Times New Roman" w:hAnsi="Times New Roman" w:eastAsia="宋体" w:cs="Times New Roman"/>
                <w:color w:val="000000" w:themeColor="text1"/>
                <w:kern w:val="0"/>
                <w:szCs w:val="21"/>
                <w:highlight w:val="none"/>
                <w14:textFill>
                  <w14:solidFill>
                    <w14:schemeClr w14:val="tx1"/>
                  </w14:solidFill>
                </w14:textFill>
              </w:rPr>
              <w:t>状测量实验室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　</w:t>
            </w:r>
          </w:p>
        </w:tc>
      </w:tr>
      <w:tr>
        <w:tblPrEx>
          <w:tblCellMar>
            <w:top w:w="0" w:type="dxa"/>
            <w:left w:w="108" w:type="dxa"/>
            <w:bottom w:w="0" w:type="dxa"/>
            <w:right w:w="108" w:type="dxa"/>
          </w:tblCellMar>
        </w:tblPrEx>
        <w:trPr>
          <w:trHeight w:val="741"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锥度、圆度检测实验室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20℃±2℃</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&lt;70%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ISO8</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429-2000圆度、圆柱度测量仪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786-1992组合式形状测量仪</w:t>
            </w:r>
          </w:p>
        </w:tc>
      </w:tr>
      <w:tr>
        <w:tblPrEx>
          <w:tblCellMar>
            <w:top w:w="0" w:type="dxa"/>
            <w:left w:w="108" w:type="dxa"/>
            <w:bottom w:w="0" w:type="dxa"/>
            <w:right w:w="108" w:type="dxa"/>
          </w:tblCellMar>
        </w:tblPrEx>
        <w:trPr>
          <w:trHeight w:val="1041" w:hRule="atLeast"/>
          <w:jc w:val="center"/>
        </w:trPr>
        <w:tc>
          <w:tcPr>
            <w:tcW w:w="667" w:type="dxa"/>
            <w:vMerge w:val="restart"/>
            <w:tcBorders>
              <w:top w:val="nil"/>
              <w:left w:val="single" w:color="auto" w:sz="4" w:space="0"/>
              <w:bottom w:val="single" w:color="000000"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14</w:t>
            </w:r>
          </w:p>
        </w:tc>
        <w:tc>
          <w:tcPr>
            <w:tcW w:w="893"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直径</w:t>
            </w:r>
            <w:r>
              <w:rPr>
                <w:rFonts w:ascii="Times New Roman" w:hAnsi="Times New Roman" w:eastAsia="宋体" w:cs="Times New Roman"/>
                <w:color w:val="000000" w:themeColor="text1"/>
                <w:kern w:val="0"/>
                <w:szCs w:val="21"/>
                <w:highlight w:val="none"/>
                <w14:textFill>
                  <w14:solidFill>
                    <w14:schemeClr w14:val="tx1"/>
                  </w14:solidFill>
                </w14:textFill>
              </w:rPr>
              <w:t>/形状/坐标测量实验室</w:t>
            </w:r>
          </w:p>
        </w:tc>
        <w:tc>
          <w:tcPr>
            <w:tcW w:w="992"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高精度激光两坐标标准实验室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20℃±0.5℃，核心实验区水平温度场满足0.05℃/h/m</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ISO7（核心实验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区满足</w:t>
            </w:r>
            <w:r>
              <w:rPr>
                <w:rFonts w:ascii="Times New Roman" w:hAnsi="Times New Roman" w:eastAsia="宋体" w:cs="Times New Roman"/>
                <w:color w:val="000000" w:themeColor="text1"/>
                <w:kern w:val="0"/>
                <w:szCs w:val="21"/>
                <w:highlight w:val="none"/>
                <w14:textFill>
                  <w14:solidFill>
                    <w14:schemeClr w14:val="tx1"/>
                  </w14:solidFill>
                </w14:textFill>
              </w:rPr>
              <w:t>ISO6）</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w:t>
            </w:r>
          </w:p>
        </w:tc>
      </w:tr>
      <w:tr>
        <w:tblPrEx>
          <w:tblCellMar>
            <w:top w:w="0" w:type="dxa"/>
            <w:left w:w="108" w:type="dxa"/>
            <w:bottom w:w="0" w:type="dxa"/>
            <w:right w:w="108" w:type="dxa"/>
          </w:tblCellMar>
        </w:tblPrEx>
        <w:trPr>
          <w:trHeight w:val="576"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空间坐标标准实验室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20℃±1℃</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ISO8</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1242-2010激光跟踪三维坐标测量系统</w:t>
            </w:r>
          </w:p>
        </w:tc>
      </w:tr>
      <w:tr>
        <w:tblPrEx>
          <w:tblCellMar>
            <w:top w:w="0" w:type="dxa"/>
            <w:left w:w="108" w:type="dxa"/>
            <w:bottom w:w="0" w:type="dxa"/>
            <w:right w:w="108" w:type="dxa"/>
          </w:tblCellMar>
        </w:tblPrEx>
        <w:trPr>
          <w:trHeight w:val="624"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多传感器坐标测量</w:t>
            </w:r>
            <w:r>
              <w:rPr>
                <w:rFonts w:ascii="Times New Roman" w:hAnsi="Times New Roman" w:eastAsia="宋体" w:cs="Times New Roman"/>
                <w:color w:val="000000" w:themeColor="text1"/>
                <w:kern w:val="0"/>
                <w:szCs w:val="21"/>
                <w:highlight w:val="none"/>
                <w14:textFill>
                  <w14:solidFill>
                    <w14:schemeClr w14:val="tx1"/>
                  </w14:solidFill>
                </w14:textFill>
              </w:rPr>
              <w:t xml:space="preserve">        </w:t>
            </w:r>
            <w:r>
              <w:rPr>
                <w:rFonts w:hint="eastAsia" w:ascii="Times New Roman" w:hAnsi="Times New Roman" w:eastAsia="宋体" w:cs="Times New Roman"/>
                <w:color w:val="000000" w:themeColor="text1"/>
                <w:kern w:val="0"/>
                <w:szCs w:val="21"/>
                <w:highlight w:val="none"/>
                <w14:textFill>
                  <w14:solidFill>
                    <w14:schemeClr w14:val="tx1"/>
                  </w14:solidFill>
                </w14:textFill>
              </w:rPr>
              <w:t>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20℃±0.1℃</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w:t>
            </w:r>
          </w:p>
        </w:tc>
      </w:tr>
      <w:tr>
        <w:tblPrEx>
          <w:tblCellMar>
            <w:top w:w="0" w:type="dxa"/>
            <w:left w:w="108" w:type="dxa"/>
            <w:bottom w:w="0" w:type="dxa"/>
            <w:right w:w="108" w:type="dxa"/>
          </w:tblCellMar>
        </w:tblPrEx>
        <w:trPr>
          <w:trHeight w:val="936" w:hRule="atLeast"/>
          <w:jc w:val="center"/>
        </w:trPr>
        <w:tc>
          <w:tcPr>
            <w:tcW w:w="667" w:type="dxa"/>
            <w:vMerge w:val="continue"/>
            <w:tcBorders>
              <w:top w:val="nil"/>
              <w:left w:val="single" w:color="auto" w:sz="4" w:space="0"/>
              <w:bottom w:val="single" w:color="000000" w:sz="4" w:space="0"/>
              <w:right w:val="nil"/>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893"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直径</w:t>
            </w:r>
            <w:r>
              <w:rPr>
                <w:rFonts w:ascii="Times New Roman" w:hAnsi="Times New Roman" w:eastAsia="宋体" w:cs="Times New Roman"/>
                <w:color w:val="000000" w:themeColor="text1"/>
                <w:kern w:val="0"/>
                <w:szCs w:val="21"/>
                <w:highlight w:val="none"/>
                <w14:textFill>
                  <w14:solidFill>
                    <w14:schemeClr w14:val="tx1"/>
                  </w14:solidFill>
                </w14:textFill>
              </w:rPr>
              <w:t>/形状测量实验室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20℃±0.2℃，垂直温度梯度小于0.1℃/h/m</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04"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15</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塞规（限制规）精测实验室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20℃±0.2℃</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58-2010半径样板</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1258-2010步距</w:t>
            </w:r>
            <w:r>
              <w:rPr>
                <w:rFonts w:hint="eastAsia" w:ascii="Times New Roman" w:hAnsi="Times New Roman" w:eastAsia="宋体" w:cs="Times New Roman"/>
                <w:color w:val="000000" w:themeColor="text1"/>
                <w:kern w:val="0"/>
                <w:szCs w:val="21"/>
                <w:highlight w:val="none"/>
                <w14:textFill>
                  <w14:solidFill>
                    <w14:schemeClr w14:val="tx1"/>
                  </w14:solidFill>
                </w14:textFill>
              </w:rPr>
              <w:t>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62-2017塞尺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177-2003圆锥量规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343-2012光滑极限量规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894-1995标准环</w:t>
            </w:r>
            <w:r>
              <w:rPr>
                <w:rFonts w:hint="eastAsia" w:ascii="Times New Roman" w:hAnsi="Times New Roman" w:eastAsia="宋体" w:cs="Times New Roman"/>
                <w:color w:val="000000" w:themeColor="text1"/>
                <w:kern w:val="0"/>
                <w:szCs w:val="21"/>
                <w:highlight w:val="none"/>
                <w14:textFill>
                  <w14:solidFill>
                    <w14:schemeClr w14:val="tx1"/>
                  </w14:solidFill>
                </w14:textFill>
              </w:rPr>
              <w:t>规</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1207-2008针</w:t>
            </w:r>
            <w:r>
              <w:rPr>
                <w:rFonts w:hint="eastAsia" w:ascii="Times New Roman" w:hAnsi="Times New Roman" w:eastAsia="宋体" w:cs="Times New Roman"/>
                <w:color w:val="000000" w:themeColor="text1"/>
                <w:kern w:val="0"/>
                <w:szCs w:val="21"/>
                <w:highlight w:val="none"/>
                <w14:textFill>
                  <w14:solidFill>
                    <w14:schemeClr w14:val="tx1"/>
                  </w14:solidFill>
                </w14:textFill>
              </w:rPr>
              <w:t>规、三针</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1310-2011电子塞规</w:t>
            </w:r>
          </w:p>
        </w:tc>
      </w:tr>
      <w:tr>
        <w:tblPrEx>
          <w:tblCellMar>
            <w:top w:w="0" w:type="dxa"/>
            <w:left w:w="108" w:type="dxa"/>
            <w:bottom w:w="0" w:type="dxa"/>
            <w:right w:w="108" w:type="dxa"/>
          </w:tblCellMar>
        </w:tblPrEx>
        <w:trPr>
          <w:trHeight w:val="1975" w:hRule="atLeast"/>
          <w:jc w:val="center"/>
        </w:trPr>
        <w:tc>
          <w:tcPr>
            <w:tcW w:w="667" w:type="dxa"/>
            <w:tcBorders>
              <w:top w:val="nil"/>
              <w:left w:val="single" w:color="auto" w:sz="4" w:space="0"/>
              <w:bottom w:val="single" w:color="auto" w:sz="4" w:space="0"/>
              <w:right w:val="nil"/>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16</w:t>
            </w:r>
          </w:p>
        </w:tc>
        <w:tc>
          <w:tcPr>
            <w:tcW w:w="1885"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电学仪器精测实验室</w:t>
            </w:r>
          </w:p>
        </w:tc>
        <w:tc>
          <w:tcPr>
            <w:tcW w:w="1578"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20℃±0.5℃</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ISO7（某些高精度实验</w:t>
            </w:r>
            <w:r>
              <w:rPr>
                <w:rFonts w:hint="eastAsia" w:ascii="Times New Roman" w:hAnsi="Times New Roman" w:eastAsia="宋体" w:cs="Times New Roman"/>
                <w:color w:val="000000" w:themeColor="text1"/>
                <w:kern w:val="0"/>
                <w:szCs w:val="21"/>
                <w:highlight w:val="none"/>
                <w14:textFill>
                  <w14:solidFill>
                    <w14:schemeClr w14:val="tx1"/>
                  </w14:solidFill>
                </w14:textFill>
              </w:rPr>
              <w:t>区满足</w:t>
            </w:r>
            <w:r>
              <w:rPr>
                <w:rFonts w:ascii="Times New Roman" w:hAnsi="Times New Roman" w:eastAsia="宋体" w:cs="Times New Roman"/>
                <w:color w:val="000000" w:themeColor="text1"/>
                <w:kern w:val="0"/>
                <w:szCs w:val="21"/>
                <w:highlight w:val="none"/>
                <w14:textFill>
                  <w14:solidFill>
                    <w14:schemeClr w14:val="tx1"/>
                  </w14:solidFill>
                </w14:textFill>
              </w:rPr>
              <w:t>ISO6）</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818-2018磁性、电涡流式覆层厚度测量仪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1126-2004超声波测厚仪JJF 1255-2010厚度表</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525-2014斜块</w:t>
            </w:r>
            <w:r>
              <w:rPr>
                <w:rFonts w:hint="eastAsia" w:ascii="Times New Roman" w:hAnsi="Times New Roman" w:eastAsia="宋体" w:cs="Times New Roman"/>
                <w:color w:val="000000" w:themeColor="text1"/>
                <w:kern w:val="0"/>
                <w:szCs w:val="21"/>
                <w:highlight w:val="none"/>
                <w14:textFill>
                  <w14:solidFill>
                    <w14:schemeClr w14:val="tx1"/>
                  </w14:solidFill>
                </w14:textFill>
              </w:rPr>
              <w:t>式测微仪检定器</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1331-2011电感</w:t>
            </w:r>
            <w:r>
              <w:rPr>
                <w:rFonts w:hint="eastAsia" w:ascii="Times New Roman" w:hAnsi="Times New Roman" w:eastAsia="宋体" w:cs="Times New Roman"/>
                <w:color w:val="000000" w:themeColor="text1"/>
                <w:kern w:val="0"/>
                <w:szCs w:val="21"/>
                <w:highlight w:val="none"/>
                <w14:textFill>
                  <w14:solidFill>
                    <w14:schemeClr w14:val="tx1"/>
                  </w14:solidFill>
                </w14:textFill>
              </w:rPr>
              <w:t>测微仪</w:t>
            </w:r>
            <w:r>
              <w:rPr>
                <w:rFonts w:ascii="Times New Roman" w:hAnsi="Times New Roman" w:eastAsia="宋体" w:cs="Times New Roman"/>
                <w:color w:val="000000" w:themeColor="text1"/>
                <w:kern w:val="0"/>
                <w:szCs w:val="21"/>
                <w:highlight w:val="none"/>
                <w14:textFill>
                  <w14:solidFill>
                    <w14:schemeClr w14:val="tx1"/>
                  </w14:solidFill>
                </w14:textFill>
              </w:rPr>
              <w:t>JJG 356-2004气动测量仪JJG 989-2004光栅</w:t>
            </w:r>
            <w:r>
              <w:rPr>
                <w:rFonts w:hint="eastAsia" w:ascii="Times New Roman" w:hAnsi="Times New Roman" w:eastAsia="宋体" w:cs="Times New Roman"/>
                <w:color w:val="000000" w:themeColor="text1"/>
                <w:kern w:val="0"/>
                <w:szCs w:val="21"/>
                <w:highlight w:val="none"/>
                <w14:textFill>
                  <w14:solidFill>
                    <w14:schemeClr w14:val="tx1"/>
                  </w14:solidFill>
                </w14:textFill>
              </w:rPr>
              <w:t>式测微仪</w:t>
            </w:r>
            <w:r>
              <w:rPr>
                <w:rFonts w:ascii="Times New Roman" w:hAnsi="Times New Roman" w:eastAsia="宋体" w:cs="Times New Roman"/>
                <w:color w:val="000000" w:themeColor="text1"/>
                <w:kern w:val="0"/>
                <w:szCs w:val="21"/>
                <w:highlight w:val="none"/>
                <w14:textFill>
                  <w14:solidFill>
                    <w14:schemeClr w14:val="tx1"/>
                  </w14:solidFill>
                </w14:textFill>
              </w:rPr>
              <w:t>JJF 1096-2002引伸计标定器</w:t>
            </w:r>
          </w:p>
        </w:tc>
      </w:tr>
      <w:tr>
        <w:tblPrEx>
          <w:tblCellMar>
            <w:top w:w="0" w:type="dxa"/>
            <w:left w:w="108" w:type="dxa"/>
            <w:bottom w:w="0" w:type="dxa"/>
            <w:right w:w="108" w:type="dxa"/>
          </w:tblCellMar>
        </w:tblPrEx>
        <w:trPr>
          <w:trHeight w:val="3621" w:hRule="atLeast"/>
          <w:jc w:val="center"/>
        </w:trPr>
        <w:tc>
          <w:tcPr>
            <w:tcW w:w="667"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17</w:t>
            </w:r>
          </w:p>
        </w:tc>
        <w:tc>
          <w:tcPr>
            <w:tcW w:w="18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长度工程专用器具检测实验室</w:t>
            </w:r>
          </w:p>
        </w:tc>
        <w:tc>
          <w:tcPr>
            <w:tcW w:w="1578"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20℃±2℃</w:t>
            </w:r>
          </w:p>
        </w:tc>
        <w:tc>
          <w:tcPr>
            <w:tcW w:w="1541" w:type="dxa"/>
            <w:tcBorders>
              <w:top w:val="nil"/>
              <w:left w:val="nil"/>
              <w:bottom w:val="single" w:color="auto" w:sz="4" w:space="0"/>
              <w:right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50%±10%</w:t>
            </w:r>
          </w:p>
        </w:tc>
        <w:tc>
          <w:tcPr>
            <w:tcW w:w="1559"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ISO8</w:t>
            </w:r>
          </w:p>
        </w:tc>
        <w:tc>
          <w:tcPr>
            <w:tcW w:w="2835"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JJG 704-2005焊接检验尺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1477-2014轮胎花纹深度尺</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F 1110-2003建筑工程质量检测器组JJF 1175-2007试验筛JJF 1208-2008沥青针入度仪JJF 1224-2009钢筋保护层、楼板厚度测量仪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1334-2012混凝土裂缝宽度及深度测量仪</w:t>
            </w:r>
          </w:p>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ascii="Times New Roman" w:hAnsi="Times New Roman" w:eastAsia="宋体" w:cs="Times New Roman"/>
                <w:color w:val="000000" w:themeColor="text1"/>
                <w:kern w:val="0"/>
                <w:szCs w:val="21"/>
                <w:highlight w:val="none"/>
                <w14:textFill>
                  <w14:solidFill>
                    <w14:schemeClr w14:val="tx1"/>
                  </w14:solidFill>
                </w14:textFill>
              </w:rPr>
              <w:t>JJF 1307-2011试模</w:t>
            </w:r>
          </w:p>
        </w:tc>
      </w:tr>
      <w:tr>
        <w:tblPrEx>
          <w:tblCellMar>
            <w:top w:w="0" w:type="dxa"/>
            <w:left w:w="108" w:type="dxa"/>
            <w:bottom w:w="0" w:type="dxa"/>
            <w:right w:w="108" w:type="dxa"/>
          </w:tblCellMar>
        </w:tblPrEx>
        <w:trPr>
          <w:trHeight w:val="312" w:hRule="atLeast"/>
          <w:jc w:val="center"/>
        </w:trPr>
        <w:tc>
          <w:tcPr>
            <w:tcW w:w="10065" w:type="dxa"/>
            <w:gridSpan w:val="7"/>
            <w:tcBorders>
              <w:top w:val="nil"/>
              <w:left w:val="nil"/>
              <w:bottom w:val="nil"/>
              <w:right w:val="nil"/>
            </w:tcBorders>
            <w:shd w:val="clear" w:color="auto" w:fill="auto"/>
            <w:vAlign w:val="center"/>
          </w:tcPr>
          <w:p>
            <w:pPr>
              <w:widowControl/>
              <w:spacing w:line="360" w:lineRule="auto"/>
              <w:jc w:val="left"/>
              <w:rPr>
                <w:rFonts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Times New Roman"/>
                <w:color w:val="000000" w:themeColor="text1"/>
                <w:kern w:val="0"/>
                <w:szCs w:val="21"/>
                <w:highlight w:val="none"/>
                <w14:textFill>
                  <w14:solidFill>
                    <w14:schemeClr w14:val="tx1"/>
                  </w14:solidFill>
                </w14:textFill>
              </w:rPr>
              <w:t>注：本表受控环境参考容许值为覆盖本实验室所有测量项目的最优值，具体选择时可依据测量项目参照检定规程或校准规范约定条件执行。</w:t>
            </w:r>
          </w:p>
        </w:tc>
      </w:tr>
    </w:tbl>
    <w:p>
      <w:pPr>
        <w:spacing w:before="142" w:after="142" w:line="360" w:lineRule="auto"/>
        <w:jc w:val="center"/>
        <w:rPr>
          <w:rFonts w:ascii="Times New Roman" w:hAnsi="Times New Roman" w:eastAsia="黑体" w:cs="Times New Roman"/>
          <w:color w:val="000000" w:themeColor="text1"/>
          <w:sz w:val="24"/>
          <w:szCs w:val="24"/>
          <w:highlight w:val="none"/>
          <w14:textFill>
            <w14:solidFill>
              <w14:schemeClr w14:val="tx1"/>
            </w14:solidFill>
          </w14:textFill>
        </w:rPr>
      </w:pPr>
    </w:p>
    <w:p>
      <w:pPr>
        <w:widowControl/>
        <w:spacing w:line="360" w:lineRule="auto"/>
        <w:jc w:val="left"/>
        <w:rPr>
          <w:rFonts w:ascii="Times New Roman" w:hAnsi="Times New Roman" w:eastAsia="黑体" w:cs="Times New Roman"/>
          <w:color w:val="000000" w:themeColor="text1"/>
          <w:sz w:val="24"/>
          <w:szCs w:val="24"/>
          <w:highlight w:val="none"/>
          <w14:textFill>
            <w14:solidFill>
              <w14:schemeClr w14:val="tx1"/>
            </w14:solidFill>
          </w14:textFill>
        </w:rPr>
      </w:pPr>
      <w:r>
        <w:rPr>
          <w:rFonts w:ascii="Times New Roman" w:hAnsi="Times New Roman" w:eastAsia="黑体" w:cs="Times New Roman"/>
          <w:color w:val="000000" w:themeColor="text1"/>
          <w:sz w:val="24"/>
          <w:szCs w:val="24"/>
          <w:highlight w:val="none"/>
          <w14:textFill>
            <w14:solidFill>
              <w14:schemeClr w14:val="tx1"/>
            </w14:solidFill>
          </w14:textFill>
        </w:rPr>
        <w:br w:type="page"/>
      </w:r>
    </w:p>
    <w:p>
      <w:pPr>
        <w:pStyle w:val="2"/>
        <w:ind w:firstLine="482"/>
        <w:jc w:val="center"/>
        <w:rPr>
          <w:rFonts w:asciiTheme="minorEastAsia" w:hAnsiTheme="minorEastAsia" w:eastAsiaTheme="minorEastAsia"/>
          <w:bCs w:val="0"/>
          <w:color w:val="000000" w:themeColor="text1"/>
          <w:sz w:val="32"/>
          <w:szCs w:val="32"/>
          <w:highlight w:val="none"/>
          <w14:textFill>
            <w14:solidFill>
              <w14:schemeClr w14:val="tx1"/>
            </w14:solidFill>
          </w14:textFill>
        </w:rPr>
      </w:pPr>
      <w:bookmarkStart w:id="67" w:name="_Toc44847203"/>
      <w:r>
        <w:rPr>
          <w:rFonts w:asciiTheme="minorEastAsia" w:hAnsiTheme="minorEastAsia" w:eastAsiaTheme="minorEastAsia"/>
          <w:bCs w:val="0"/>
          <w:color w:val="000000" w:themeColor="text1"/>
          <w:sz w:val="32"/>
          <w:szCs w:val="32"/>
          <w:highlight w:val="none"/>
          <w14:textFill>
            <w14:solidFill>
              <w14:schemeClr w14:val="tx1"/>
            </w14:solidFill>
          </w14:textFill>
        </w:rPr>
        <w:t>附录B</w:t>
      </w:r>
      <w:bookmarkEnd w:id="67"/>
      <w:r>
        <w:rPr>
          <w:rFonts w:asciiTheme="minorEastAsia" w:hAnsiTheme="minorEastAsia" w:eastAsiaTheme="minorEastAsia"/>
          <w:bCs w:val="0"/>
          <w:color w:val="000000" w:themeColor="text1"/>
          <w:sz w:val="32"/>
          <w:szCs w:val="32"/>
          <w:highlight w:val="none"/>
          <w14:textFill>
            <w14:solidFill>
              <w14:schemeClr w14:val="tx1"/>
            </w14:solidFill>
          </w14:textFill>
        </w:rPr>
        <w:t xml:space="preserve"> </w:t>
      </w:r>
      <w:r>
        <w:rPr>
          <w:rFonts w:hint="eastAsia" w:asciiTheme="minorEastAsia" w:hAnsiTheme="minorEastAsia" w:eastAsiaTheme="minorEastAsia"/>
          <w:bCs w:val="0"/>
          <w:color w:val="000000" w:themeColor="text1"/>
          <w:sz w:val="32"/>
          <w:szCs w:val="32"/>
          <w:highlight w:val="none"/>
          <w14:textFill>
            <w14:solidFill>
              <w14:schemeClr w14:val="tx1"/>
            </w14:solidFill>
          </w14:textFill>
        </w:rPr>
        <w:t>几何量测量实验室综合性能检验方法</w:t>
      </w:r>
    </w:p>
    <w:p>
      <w:pPr>
        <w:pStyle w:val="90"/>
        <w:keepNext/>
        <w:keepLines/>
        <w:numPr>
          <w:ilvl w:val="0"/>
          <w:numId w:val="62"/>
        </w:numPr>
        <w:spacing w:before="156" w:beforeLines="50" w:line="360" w:lineRule="auto"/>
        <w:ind w:left="0" w:firstLine="0" w:firstLineChars="0"/>
        <w:jc w:val="center"/>
        <w:outlineLvl w:val="1"/>
        <w:rPr>
          <w:rFonts w:ascii="Times New Roman" w:hAnsi="Times New Roman" w:eastAsia="宋体" w:cs="Times New Roman"/>
          <w:b/>
          <w:bCs/>
          <w:vanish/>
          <w:color w:val="000000" w:themeColor="text1"/>
          <w:sz w:val="24"/>
          <w:szCs w:val="24"/>
          <w:highlight w:val="none"/>
          <w14:textFill>
            <w14:solidFill>
              <w14:schemeClr w14:val="tx1"/>
            </w14:solidFill>
          </w14:textFill>
        </w:rPr>
      </w:pPr>
      <w:bookmarkStart w:id="68" w:name="_Toc44847204"/>
      <w:bookmarkEnd w:id="68"/>
      <w:bookmarkStart w:id="69" w:name="_Toc36633747"/>
      <w:bookmarkEnd w:id="69"/>
      <w:bookmarkStart w:id="70" w:name="_Toc36633638"/>
      <w:bookmarkEnd w:id="70"/>
      <w:bookmarkStart w:id="71" w:name="_Toc36626013"/>
      <w:bookmarkEnd w:id="71"/>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72" w:name="_Toc36626014"/>
      <w:bookmarkStart w:id="73" w:name="_Toc44847205"/>
      <w:bookmarkStart w:id="74" w:name="_Toc36633748"/>
      <w:r>
        <w:rPr>
          <w:rFonts w:ascii="黑体" w:hAnsi="黑体" w:eastAsia="黑体"/>
          <w:b w:val="0"/>
          <w:bCs w:val="0"/>
          <w:color w:val="000000" w:themeColor="text1"/>
          <w:sz w:val="28"/>
          <w:szCs w:val="28"/>
          <w:highlight w:val="none"/>
          <w14:textFill>
            <w14:solidFill>
              <w14:schemeClr w14:val="tx1"/>
            </w14:solidFill>
          </w14:textFill>
        </w:rPr>
        <w:t xml:space="preserve">B.1 </w:t>
      </w:r>
      <w:bookmarkEnd w:id="72"/>
      <w:r>
        <w:rPr>
          <w:rFonts w:ascii="黑体" w:hAnsi="黑体" w:eastAsia="黑体"/>
          <w:b w:val="0"/>
          <w:bCs w:val="0"/>
          <w:color w:val="000000" w:themeColor="text1"/>
          <w:sz w:val="28"/>
          <w:szCs w:val="28"/>
          <w:highlight w:val="none"/>
          <w14:textFill>
            <w14:solidFill>
              <w14:schemeClr w14:val="tx1"/>
            </w14:solidFill>
          </w14:textFill>
        </w:rPr>
        <w:t>风量和风速的测试</w:t>
      </w:r>
      <w:bookmarkEnd w:id="73"/>
      <w:bookmarkEnd w:id="74"/>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风量和风速测试前风机运行应正常，系统部件安装应正确，无操作障碍，所有阀门开启位置均应牢固。</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风速测试仪器的最小分辨率应为0.01m/s，宜采用热球式风速仪，需要测出分速度时，应采用三维风速计。仪器测杆应固定位置，不应手持。每点检验时间不应少于5s，每秒应记录1次，取平均值。</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对于为测试送风量而进行的单向流风速测试，应在距出风面100mm～300mm的截面处进行；对于工作面平均风速的测试应和委托方协商确认工作面位置，无法确认位置时，垂直单向流应按离地面0.8m作为工作区，如有阻隔面，测定截面应抬高至阻隔面之上0.25m；水平单向流应按距送风面0.5m处的纵断面作为第一工作面。</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确定风速测试点数时，可用送风面积乘以10，再计算平方根后确定测点数量，截面上测点间距不应大于1m，宜取0.3m。测点数不应少于20个，并应均匀布置。</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对于非单向流房间，风口风量的测定可采用套管法或风量罩法。</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当采用套管法时，应根据风口尺寸制作辅助风管，辅助风管截面尺寸应将待测风口完全罩住，不得漏风，长度不应小于2倍风口边长；测量时应采用风速仪，在辅助风管出口平面上，均匀划分方格，方格边长不应大于200mm，在方格中心设测点，测点数不应少于6点。</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当采用风量罩法时，可直接读取风量测试值，且应根据风口尺寸，选择能够完全罩住出风口的风量罩罩体，且罩体长度不得超过风口长边长度的3倍；风口面积不应小于罩体边界面积的15%；风量罩的面积应与风口面积正对，罩体边框与接触面应紧密贴合无漏风。</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系统新风量测试时，可采用套管法或风量罩法进行。当受环境条件限制无法采用时，可在管道打孔，采用毕托管或风速仪进行测试，测试截面位置应选择气流较均匀的直管段，测定截面应在距上游局部阻力管件不小于5倍管径或5倍大边长度，距下游局部阻力管件不小于3倍管径或3倍大边长度位置选取。测点布置应符合现行行业标准《公共建筑节能检测标准》JGJ/T 177的有关规定。</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当采用毕托管测试风量时，毕托管的测头应正对气流方向且与风管轴线平行，测量过程中毕托管与微压计的连接软管应通畅、无漏气。风量应按下列公式计算：</w:t>
      </w:r>
    </w:p>
    <w:p>
      <w:pPr>
        <w:pStyle w:val="90"/>
        <w:tabs>
          <w:tab w:val="left" w:pos="0"/>
        </w:tabs>
        <w:spacing w:line="360" w:lineRule="auto"/>
        <w:ind w:right="210" w:firstLine="0" w:firstLineChars="0"/>
        <w:jc w:val="righ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position w:val="-14"/>
          <w:sz w:val="24"/>
          <w:szCs w:val="24"/>
          <w:highlight w:val="none"/>
          <w14:textFill>
            <w14:solidFill>
              <w14:schemeClr w14:val="tx1"/>
            </w14:solidFill>
          </w14:textFill>
        </w:rPr>
        <w:object>
          <v:shape id="_x0000_i1039" o:spt="75" type="#_x0000_t75" style="height:20.25pt;width:61.15pt;" o:ole="t" filled="f" o:preferrelative="t" stroked="f" coordsize="21600,21600">
            <v:path/>
            <v:fill on="f" focussize="0,0"/>
            <v:stroke on="f" joinstyle="miter"/>
            <v:imagedata r:id="rId37" o:title=""/>
            <o:lock v:ext="edit" aspectratio="t"/>
            <w10:wrap type="none"/>
            <w10:anchorlock/>
          </v:shape>
          <o:OLEObject Type="Embed" ProgID="Equation.DSMT4" ShapeID="_x0000_i1039" DrawAspect="Content" ObjectID="_1468075739" r:id="rId36">
            <o:LockedField>false</o:LockedField>
          </o:OLEObject>
        </w:object>
      </w:r>
      <w:r>
        <w:rPr>
          <w:rFonts w:ascii="Times New Roman" w:hAnsi="Times New Roman" w:cs="Times New Roman"/>
          <w:color w:val="000000" w:themeColor="text1"/>
          <w:sz w:val="24"/>
          <w:szCs w:val="24"/>
          <w:highlight w:val="none"/>
          <w14:textFill>
            <w14:solidFill>
              <w14:schemeClr w14:val="tx1"/>
            </w14:solidFill>
          </w14:textFill>
        </w:rPr>
        <w:t>　　　　　　　　　　　 (B.1.9-1)</w:t>
      </w:r>
    </w:p>
    <w:p>
      <w:pPr>
        <w:pStyle w:val="90"/>
        <w:tabs>
          <w:tab w:val="left" w:pos="720"/>
        </w:tabs>
        <w:spacing w:line="360" w:lineRule="auto"/>
        <w:ind w:right="210" w:firstLine="0" w:firstLineChars="0"/>
        <w:jc w:val="righ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QUOTE Pa=Pi1+Pi2+…Pinn2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position w:val="-36"/>
          <w:sz w:val="24"/>
          <w:szCs w:val="24"/>
          <w:highlight w:val="none"/>
          <w14:textFill>
            <w14:solidFill>
              <w14:schemeClr w14:val="tx1"/>
            </w14:solidFill>
          </w14:textFill>
        </w:rPr>
        <w:object>
          <v:shape id="_x0000_i1040" o:spt="75" type="#_x0000_t75" style="height:40.5pt;width:136.5pt;" o:ole="t" filled="f" o:preferrelative="t" stroked="f" coordsize="21600,21600">
            <v:path/>
            <v:fill on="f" focussize="0,0"/>
            <v:stroke on="f" joinstyle="miter"/>
            <v:imagedata r:id="rId39" o:title=""/>
            <o:lock v:ext="edit" aspectratio="t"/>
            <w10:wrap type="none"/>
            <w10:anchorlock/>
          </v:shape>
          <o:OLEObject Type="Embed" ProgID="Equation.DSMT4" ShapeID="_x0000_i1040" DrawAspect="Content" ObjectID="_1468075740" r:id="rId38">
            <o:LockedField>false</o:LockedField>
          </o:OLEObject>
        </w:objec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t>　　　　　　 (B.1.9-2)</w:t>
      </w:r>
    </w:p>
    <w:p>
      <w:pPr>
        <w:tabs>
          <w:tab w:val="left" w:pos="720"/>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式中：</w:t>
      </w:r>
      <w:r>
        <w:rPr>
          <w:color w:val="000000" w:themeColor="text1"/>
          <w:highlight w:val="none"/>
          <w14:textFill>
            <w14:solidFill>
              <w14:schemeClr w14:val="tx1"/>
            </w14:solidFill>
          </w14:textFill>
        </w:rPr>
        <w:object>
          <v:shape id="_x0000_i1041" o:spt="75" type="#_x0000_t75" style="height:16.9pt;width:12.4pt;" o:ole="t" filled="f" o:preferrelative="t" stroked="f" coordsize="21600,21600">
            <v:path/>
            <v:fill on="f" focussize="0,0"/>
            <v:stroke on="f" joinstyle="miter"/>
            <v:imagedata r:id="rId41" o:title=""/>
            <o:lock v:ext="edit" aspectratio="t"/>
            <w10:wrap type="none"/>
            <w10:anchorlock/>
          </v:shape>
          <o:OLEObject Type="Embed" ProgID="Equation.DSMT4" ShapeID="_x0000_i1041" DrawAspect="Content" ObjectID="_1468075741" r:id="rId40">
            <o:LockedField>false</o:LockedField>
          </o:OLEObject>
        </w:object>
      </w:r>
      <w:r>
        <w:rPr>
          <w:rFonts w:ascii="Times New Roman" w:hAnsi="Times New Roman" w:cs="Times New Roman"/>
          <w:bCs/>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风量（m</w:t>
      </w:r>
      <w:r>
        <w:rPr>
          <w:rFonts w:ascii="Times New Roman" w:hAnsi="Times New Roman" w:cs="Times New Roman"/>
          <w:color w:val="000000" w:themeColor="text1"/>
          <w:sz w:val="24"/>
          <w:szCs w:val="24"/>
          <w:highlight w:val="none"/>
          <w:vertAlign w:val="superscript"/>
          <w14:textFill>
            <w14:solidFill>
              <w14:schemeClr w14:val="tx1"/>
            </w14:solidFill>
          </w14:textFill>
        </w:rPr>
        <w:t>3</w:t>
      </w:r>
      <w:r>
        <w:rPr>
          <w:rFonts w:ascii="Times New Roman" w:hAnsi="Times New Roman" w:cs="Times New Roman"/>
          <w:color w:val="000000" w:themeColor="text1"/>
          <w:sz w:val="24"/>
          <w:szCs w:val="24"/>
          <w:highlight w:val="none"/>
          <w14:textFill>
            <w14:solidFill>
              <w14:schemeClr w14:val="tx1"/>
            </w14:solidFill>
          </w14:textFill>
        </w:rPr>
        <w:t>/s）；</w:t>
      </w:r>
    </w:p>
    <w:p>
      <w:pPr>
        <w:pStyle w:val="90"/>
        <w:tabs>
          <w:tab w:val="left" w:pos="720"/>
        </w:tabs>
        <w:spacing w:line="360" w:lineRule="auto"/>
        <w:ind w:left="422" w:leftChars="201" w:firstLine="240" w:firstLineChars="10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object>
          <v:shape id="_x0000_i1042" o:spt="75" type="#_x0000_t75" style="height:14.25pt;width:14.25pt;" o:ole="t" filled="f" o:preferrelative="t" stroked="f" coordsize="21600,21600">
            <v:path/>
            <v:fill on="f" focussize="0,0"/>
            <v:stroke on="f" joinstyle="miter"/>
            <v:imagedata r:id="rId43" o:title=""/>
            <o:lock v:ext="edit" aspectratio="t"/>
            <w10:wrap type="none"/>
            <w10:anchorlock/>
          </v:shape>
          <o:OLEObject Type="Embed" ProgID="Equation.DSMT4" ShapeID="_x0000_i1042" DrawAspect="Content" ObjectID="_1468075742" r:id="rId42">
            <o:LockedField>false</o:LockedField>
          </o:OLEObject>
        </w:object>
      </w:r>
      <w:r>
        <w:rPr>
          <w:rFonts w:ascii="Times New Roman" w:hAnsi="Times New Roman" w:cs="Times New Roman"/>
          <w:bCs/>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管道截面积（m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w:t>
      </w:r>
    </w:p>
    <w:p>
      <w:pPr>
        <w:pStyle w:val="90"/>
        <w:tabs>
          <w:tab w:val="left" w:pos="720"/>
        </w:tabs>
        <w:spacing w:line="360" w:lineRule="auto"/>
        <w:ind w:left="422" w:leftChars="201" w:firstLine="240" w:firstLineChars="10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QUOTE Pa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position w:val="-12"/>
          <w:sz w:val="24"/>
          <w:szCs w:val="24"/>
          <w:highlight w:val="none"/>
          <w14:textFill>
            <w14:solidFill>
              <w14:schemeClr w14:val="tx1"/>
            </w14:solidFill>
          </w14:textFill>
        </w:rPr>
        <w:object>
          <v:shape id="_x0000_i1043" o:spt="75" type="#_x0000_t75" style="height:20.25pt;width:15.4pt;" o:ole="t" filled="f" o:preferrelative="t" stroked="f" coordsize="21600,21600">
            <v:path/>
            <v:fill on="f" focussize="0,0"/>
            <v:stroke on="f" joinstyle="miter"/>
            <v:imagedata r:id="rId45" o:title=""/>
            <o:lock v:ext="edit" aspectratio="t"/>
            <w10:wrap type="none"/>
            <w10:anchorlock/>
          </v:shape>
          <o:OLEObject Type="Embed" ProgID="Equation.DSMT4" ShapeID="_x0000_i1043" DrawAspect="Content" ObjectID="_1468075743" r:id="rId44">
            <o:LockedField>false</o:LockedField>
          </o:OLEObject>
        </w:objec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bCs/>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平均动压（Pa）；</w:t>
      </w:r>
    </w:p>
    <w:p>
      <w:pPr>
        <w:tabs>
          <w:tab w:val="left" w:pos="567"/>
        </w:tabs>
        <w:spacing w:line="360" w:lineRule="auto"/>
        <w:ind w:left="567" w:leftChars="68" w:hanging="424" w:hangingChars="177"/>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QUOTE Pi1…Pin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color w:val="000000" w:themeColor="text1"/>
          <w:position w:val="-12"/>
          <w:highlight w:val="none"/>
          <w14:textFill>
            <w14:solidFill>
              <w14:schemeClr w14:val="tx1"/>
            </w14:solidFill>
          </w14:textFill>
        </w:rPr>
        <w:object>
          <v:shape id="_x0000_i1044" o:spt="75" type="#_x0000_t75" style="height:18pt;width:42pt;" o:ole="t" filled="f" o:preferrelative="t" stroked="f" coordsize="21600,21600">
            <v:path/>
            <v:fill on="f" focussize="0,0"/>
            <v:stroke on="f" joinstyle="miter"/>
            <v:imagedata r:id="rId47" o:title=""/>
            <o:lock v:ext="edit" aspectratio="t"/>
            <w10:wrap type="none"/>
            <w10:anchorlock/>
          </v:shape>
          <o:OLEObject Type="Embed" ProgID="Equation.DSMT4" ShapeID="_x0000_i1044" DrawAspect="Content" ObjectID="_1468075744" r:id="rId46">
            <o:LockedField>false</o:LockedField>
          </o:OLEObject>
        </w:objec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bCs/>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各点动压（Pa）。</w:t>
      </w:r>
    </w:p>
    <w:p>
      <w:pPr>
        <w:pStyle w:val="90"/>
        <w:numPr>
          <w:ilvl w:val="0"/>
          <w:numId w:val="6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bookmarkStart w:id="75" w:name="_Hlk36564638"/>
      <w:r>
        <w:rPr>
          <w:rFonts w:ascii="Times New Roman" w:hAnsi="Times New Roman" w:cs="Times New Roman"/>
          <w:color w:val="000000" w:themeColor="text1"/>
          <w:sz w:val="24"/>
          <w:szCs w:val="24"/>
          <w:highlight w:val="none"/>
          <w14:textFill>
            <w14:solidFill>
              <w14:schemeClr w14:val="tx1"/>
            </w14:solidFill>
          </w14:textFill>
        </w:rPr>
        <w:t>当采用风速仪测试风量时，截面平均风速为各点风速测量值的平均值，测点布置应符合现行行业标准《公共建筑节能检验标准》JGJ/T 177的有关规定，风量应按本规程公式（8.1.14）计算</w:t>
      </w:r>
      <w:bookmarkEnd w:id="75"/>
      <w:r>
        <w:rPr>
          <w:rFonts w:ascii="Times New Roman" w:hAnsi="Times New Roman" w:cs="Times New Roman"/>
          <w:color w:val="000000" w:themeColor="text1"/>
          <w:sz w:val="24"/>
          <w:szCs w:val="24"/>
          <w:highlight w:val="none"/>
          <w14:textFill>
            <w14:solidFill>
              <w14:schemeClr w14:val="tx1"/>
            </w14:solidFill>
          </w14:textFill>
        </w:rPr>
        <w:t>。</w:t>
      </w:r>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76" w:name="_Toc44847206"/>
      <w:bookmarkStart w:id="77" w:name="_Toc36633749"/>
      <w:bookmarkStart w:id="78" w:name="_Toc36626015"/>
      <w:r>
        <w:rPr>
          <w:rFonts w:ascii="黑体" w:hAnsi="黑体" w:eastAsia="黑体"/>
          <w:b w:val="0"/>
          <w:bCs w:val="0"/>
          <w:color w:val="000000" w:themeColor="text1"/>
          <w:sz w:val="28"/>
          <w:szCs w:val="28"/>
          <w:highlight w:val="none"/>
          <w14:textFill>
            <w14:solidFill>
              <w14:schemeClr w14:val="tx1"/>
            </w14:solidFill>
          </w14:textFill>
        </w:rPr>
        <w:t>B.2 风速不均匀度的测试</w:t>
      </w:r>
      <w:bookmarkEnd w:id="76"/>
      <w:bookmarkEnd w:id="77"/>
      <w:bookmarkEnd w:id="78"/>
    </w:p>
    <w:p>
      <w:pPr>
        <w:pStyle w:val="90"/>
        <w:numPr>
          <w:ilvl w:val="0"/>
          <w:numId w:val="64"/>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测定截面高度、测点数和测定仪器应符合本规程第B.1.2～B.1.4条的规定。</w:t>
      </w:r>
    </w:p>
    <w:p>
      <w:pPr>
        <w:pStyle w:val="90"/>
        <w:numPr>
          <w:ilvl w:val="0"/>
          <w:numId w:val="64"/>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测定风速宜采用测定架固定风速仪。</w:t>
      </w:r>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79" w:name="_Toc44847207"/>
      <w:bookmarkStart w:id="80" w:name="_Toc36633750"/>
      <w:bookmarkStart w:id="81" w:name="_Toc36626016"/>
      <w:r>
        <w:rPr>
          <w:rFonts w:ascii="黑体" w:hAnsi="黑体" w:eastAsia="黑体"/>
          <w:b w:val="0"/>
          <w:bCs w:val="0"/>
          <w:color w:val="000000" w:themeColor="text1"/>
          <w:sz w:val="28"/>
          <w:szCs w:val="28"/>
          <w:highlight w:val="none"/>
          <w14:textFill>
            <w14:solidFill>
              <w14:schemeClr w14:val="tx1"/>
            </w14:solidFill>
          </w14:textFill>
        </w:rPr>
        <w:t>B.3 静压差的测试</w:t>
      </w:r>
      <w:bookmarkEnd w:id="79"/>
      <w:bookmarkEnd w:id="80"/>
      <w:bookmarkEnd w:id="81"/>
    </w:p>
    <w:p>
      <w:pPr>
        <w:pStyle w:val="90"/>
        <w:numPr>
          <w:ilvl w:val="0"/>
          <w:numId w:val="65"/>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静压差测试应在风量测试完成后进行，根据房间平面布局指定检验顺序。</w:t>
      </w:r>
    </w:p>
    <w:p>
      <w:pPr>
        <w:pStyle w:val="90"/>
        <w:numPr>
          <w:ilvl w:val="0"/>
          <w:numId w:val="65"/>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静压差检验前，应将测试区域内所有房间门关闭，从平面布局最里面的房间依次向外测定，通过门缝或预留孔等位置进行检验。</w:t>
      </w:r>
    </w:p>
    <w:p>
      <w:pPr>
        <w:pStyle w:val="90"/>
        <w:numPr>
          <w:ilvl w:val="0"/>
          <w:numId w:val="65"/>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测定高度应距地面0.8m，测孔截面应平行于气流方向，测点应选在无涡流位置。检验仪器应选用微压计，最小分辨率应为1Pa。</w:t>
      </w:r>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82" w:name="_Toc36633751"/>
      <w:bookmarkStart w:id="83" w:name="_Toc36626017"/>
      <w:bookmarkStart w:id="84" w:name="_Toc44847208"/>
      <w:r>
        <w:rPr>
          <w:rFonts w:ascii="黑体" w:hAnsi="黑体" w:eastAsia="黑体"/>
          <w:b w:val="0"/>
          <w:bCs w:val="0"/>
          <w:color w:val="000000" w:themeColor="text1"/>
          <w:sz w:val="28"/>
          <w:szCs w:val="28"/>
          <w:highlight w:val="none"/>
          <w14:textFill>
            <w14:solidFill>
              <w14:schemeClr w14:val="tx1"/>
            </w14:solidFill>
          </w14:textFill>
        </w:rPr>
        <w:t>B.4 温度、相对湿度的测试</w:t>
      </w:r>
      <w:bookmarkEnd w:id="82"/>
      <w:bookmarkEnd w:id="83"/>
      <w:bookmarkEnd w:id="84"/>
    </w:p>
    <w:p>
      <w:pPr>
        <w:pStyle w:val="90"/>
        <w:numPr>
          <w:ilvl w:val="0"/>
          <w:numId w:val="66"/>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无恒温恒湿要求的温湿度检测应符合下列要求：</w:t>
      </w:r>
    </w:p>
    <w:p>
      <w:pPr>
        <w:pStyle w:val="90"/>
        <w:numPr>
          <w:ilvl w:val="0"/>
          <w:numId w:val="67"/>
        </w:numPr>
        <w:tabs>
          <w:tab w:val="left" w:pos="851"/>
        </w:tabs>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室内空气温度和相对湿度测定之前，空调系统应已连续运行至少8h。</w:t>
      </w:r>
    </w:p>
    <w:p>
      <w:pPr>
        <w:pStyle w:val="90"/>
        <w:numPr>
          <w:ilvl w:val="0"/>
          <w:numId w:val="67"/>
        </w:numPr>
        <w:tabs>
          <w:tab w:val="left" w:pos="851"/>
        </w:tabs>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温度的检测可采用玻璃温度计、数字式温湿度计；相对湿度的检测可采用通风式干湿球温度计、数字式温湿度计、电容式湿度检测仪或露点传感器等。温度检测仪表的最小刻度不宜高于0.4℃，相对湿度检测仪表的最小刻度不宜高于2%。</w:t>
      </w:r>
    </w:p>
    <w:p>
      <w:pPr>
        <w:pStyle w:val="90"/>
        <w:numPr>
          <w:ilvl w:val="0"/>
          <w:numId w:val="67"/>
        </w:numPr>
        <w:tabs>
          <w:tab w:val="left" w:pos="851"/>
        </w:tabs>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测点为房间中间一点，应在温湿度读数稳定后记录。测完室内温湿度后，还应同时测出室外温湿度。</w:t>
      </w:r>
    </w:p>
    <w:p>
      <w:pPr>
        <w:pStyle w:val="90"/>
        <w:numPr>
          <w:ilvl w:val="0"/>
          <w:numId w:val="66"/>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有恒温恒湿要求房间的温湿度检测应符合下列要求：</w:t>
      </w:r>
    </w:p>
    <w:p>
      <w:pPr>
        <w:pStyle w:val="90"/>
        <w:numPr>
          <w:ilvl w:val="0"/>
          <w:numId w:val="68"/>
        </w:numPr>
        <w:tabs>
          <w:tab w:val="left" w:pos="851"/>
        </w:tabs>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温度、相对湿度测试仪宜具备自动记录功能，测试时应根据温度、相对湿度波动范围选择高一级精度的仪器。</w:t>
      </w:r>
    </w:p>
    <w:p>
      <w:pPr>
        <w:pStyle w:val="90"/>
        <w:numPr>
          <w:ilvl w:val="0"/>
          <w:numId w:val="68"/>
        </w:numPr>
        <w:tabs>
          <w:tab w:val="left" w:pos="851"/>
        </w:tabs>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测试时间间隔宜为30s～60s，连续测试周期宜为连续8h～24h，对于特殊要求的环境，测试周期应满足相关行业要求。</w:t>
      </w:r>
    </w:p>
    <w:p>
      <w:pPr>
        <w:pStyle w:val="90"/>
        <w:numPr>
          <w:ilvl w:val="0"/>
          <w:numId w:val="68"/>
        </w:numPr>
        <w:tabs>
          <w:tab w:val="left" w:pos="851"/>
        </w:tabs>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室内测点可在送回风口处或在恒温恒湿工作区具有代表性的地点布置。测点应布置在距外墙表面大于0.5m、距地0.8m的同一高度上；对于特殊要求的环境，测点位置应根据需要，分别布置在离地不同高度的几个平面上。温度、相对湿度的测点数应符合表B.4.2的规定。</w:t>
      </w:r>
    </w:p>
    <w:p>
      <w:pPr>
        <w:tabs>
          <w:tab w:val="left" w:pos="720"/>
        </w:tabs>
        <w:spacing w:before="156" w:beforeLines="50" w:line="360" w:lineRule="auto"/>
        <w:ind w:left="855"/>
        <w:jc w:val="center"/>
        <w:rPr>
          <w:rFonts w:ascii="Times New Roman" w:hAnsi="Times New Roman" w:eastAsia="宋体" w:cs="Times New Roman"/>
          <w:b/>
          <w:color w:val="000000" w:themeColor="text1"/>
          <w:szCs w:val="18"/>
          <w:highlight w:val="none"/>
          <w14:textFill>
            <w14:solidFill>
              <w14:schemeClr w14:val="tx1"/>
            </w14:solidFill>
          </w14:textFill>
        </w:rPr>
      </w:pPr>
      <w:r>
        <w:rPr>
          <w:rFonts w:ascii="Times New Roman" w:hAnsi="Times New Roman" w:eastAsia="宋体" w:cs="Times New Roman"/>
          <w:b/>
          <w:color w:val="000000" w:themeColor="text1"/>
          <w:szCs w:val="18"/>
          <w:highlight w:val="none"/>
          <w14:textFill>
            <w14:solidFill>
              <w14:schemeClr w14:val="tx1"/>
            </w14:solidFill>
          </w14:textFill>
        </w:rPr>
        <w:t>表B.4.2　温度、相对湿度的测点数</w:t>
      </w:r>
    </w:p>
    <w:tbl>
      <w:tblPr>
        <w:tblStyle w:val="35"/>
        <w:tblW w:w="5000" w:type="pct"/>
        <w:jc w:val="center"/>
        <w:tblLayout w:type="autofit"/>
        <w:tblCellMar>
          <w:top w:w="0" w:type="dxa"/>
          <w:left w:w="108" w:type="dxa"/>
          <w:bottom w:w="0" w:type="dxa"/>
          <w:right w:w="108" w:type="dxa"/>
        </w:tblCellMar>
      </w:tblPr>
      <w:tblGrid>
        <w:gridCol w:w="4209"/>
        <w:gridCol w:w="2359"/>
        <w:gridCol w:w="2577"/>
      </w:tblGrid>
      <w:tr>
        <w:tblPrEx>
          <w:tblCellMar>
            <w:top w:w="0" w:type="dxa"/>
            <w:left w:w="108" w:type="dxa"/>
            <w:bottom w:w="0" w:type="dxa"/>
            <w:right w:w="108" w:type="dxa"/>
          </w:tblCellMar>
        </w:tblPrEx>
        <w:trPr>
          <w:trHeight w:val="511" w:hRule="atLeast"/>
          <w:jc w:val="center"/>
        </w:trPr>
        <w:tc>
          <w:tcPr>
            <w:tcW w:w="2301"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波动范围</w:t>
            </w:r>
          </w:p>
        </w:tc>
        <w:tc>
          <w:tcPr>
            <w:tcW w:w="1290" w:type="pct"/>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室内面积≤50m</w:t>
            </w:r>
            <w:r>
              <w:rPr>
                <w:rFonts w:ascii="Times New Roman" w:hAnsi="Times New Roman" w:cs="Times New Roman"/>
                <w:color w:val="000000" w:themeColor="text1"/>
                <w:kern w:val="0"/>
                <w:szCs w:val="21"/>
                <w:highlight w:val="none"/>
                <w:vertAlign w:val="superscript"/>
                <w14:textFill>
                  <w14:solidFill>
                    <w14:schemeClr w14:val="tx1"/>
                  </w14:solidFill>
                </w14:textFill>
              </w:rPr>
              <w:t>2</w:t>
            </w:r>
          </w:p>
        </w:tc>
        <w:tc>
          <w:tcPr>
            <w:tcW w:w="1409" w:type="pct"/>
            <w:tcBorders>
              <w:top w:val="single" w:color="auto" w:sz="4" w:space="0"/>
              <w:left w:val="nil"/>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vertAlign w:val="superscript"/>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每增加20m</w:t>
            </w:r>
            <w:r>
              <w:rPr>
                <w:rFonts w:ascii="Times New Roman" w:hAnsi="Times New Roman" w:cs="Times New Roman"/>
                <w:color w:val="000000" w:themeColor="text1"/>
                <w:kern w:val="0"/>
                <w:szCs w:val="21"/>
                <w:highlight w:val="none"/>
                <w:vertAlign w:val="superscript"/>
                <w14:textFill>
                  <w14:solidFill>
                    <w14:schemeClr w14:val="tx1"/>
                  </w14:solidFill>
                </w14:textFill>
              </w:rPr>
              <w:t>2</w:t>
            </w:r>
            <w:r>
              <w:rPr>
                <w:rFonts w:ascii="Times New Roman" w:hAnsi="Times New Roman" w:cs="Times New Roman"/>
                <w:color w:val="000000" w:themeColor="text1"/>
                <w:kern w:val="0"/>
                <w:szCs w:val="21"/>
                <w:highlight w:val="none"/>
                <w14:textFill>
                  <w14:solidFill>
                    <w14:schemeClr w14:val="tx1"/>
                  </w14:solidFill>
                </w14:textFill>
              </w:rPr>
              <w:t>～50m</w:t>
            </w:r>
            <w:r>
              <w:rPr>
                <w:rFonts w:ascii="Times New Roman" w:hAnsi="Times New Roman" w:cs="Times New Roman"/>
                <w:color w:val="000000" w:themeColor="text1"/>
                <w:kern w:val="0"/>
                <w:szCs w:val="21"/>
                <w:highlight w:val="none"/>
                <w:vertAlign w:val="superscript"/>
                <w14:textFill>
                  <w14:solidFill>
                    <w14:schemeClr w14:val="tx1"/>
                  </w14:solidFill>
                </w14:textFill>
              </w:rPr>
              <w:t>2</w:t>
            </w:r>
          </w:p>
        </w:tc>
      </w:tr>
      <w:tr>
        <w:tblPrEx>
          <w:tblCellMar>
            <w:top w:w="0" w:type="dxa"/>
            <w:left w:w="108" w:type="dxa"/>
            <w:bottom w:w="0" w:type="dxa"/>
            <w:right w:w="108" w:type="dxa"/>
          </w:tblCellMar>
        </w:tblPrEx>
        <w:trPr>
          <w:trHeight w:val="270" w:hRule="atLeast"/>
          <w:jc w:val="center"/>
        </w:trPr>
        <w:tc>
          <w:tcPr>
            <w:tcW w:w="2301" w:type="pct"/>
            <w:tcBorders>
              <w:top w:val="nil"/>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温度波动</w:t>
            </w:r>
            <w:r>
              <w:rPr>
                <w:rFonts w:ascii="Times New Roman" w:hAnsi="Times New Roman" w:cs="Times New Roman"/>
                <w:color w:val="000000" w:themeColor="text1"/>
                <w:szCs w:val="21"/>
                <w:highlight w:val="none"/>
                <w14:textFill>
                  <w14:solidFill>
                    <w14:schemeClr w14:val="tx1"/>
                  </w14:solidFill>
                </w14:textFill>
              </w:rPr>
              <w:t>-2.0℃≤</w:t>
            </w:r>
            <w:r>
              <w:rPr>
                <w:rFonts w:hint="eastAsia" w:ascii="宋体" w:hAnsi="宋体" w:eastAsia="宋体" w:cs="宋体"/>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T≤2.0℃</w:t>
            </w:r>
          </w:p>
        </w:tc>
        <w:tc>
          <w:tcPr>
            <w:tcW w:w="1290" w:type="pct"/>
            <w:vMerge w:val="restart"/>
            <w:tcBorders>
              <w:top w:val="nil"/>
              <w:left w:val="nil"/>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5</w:t>
            </w:r>
          </w:p>
        </w:tc>
        <w:tc>
          <w:tcPr>
            <w:tcW w:w="1409" w:type="pct"/>
            <w:vMerge w:val="restart"/>
            <w:tcBorders>
              <w:top w:val="nil"/>
              <w:left w:val="nil"/>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增加3个～5个</w:t>
            </w:r>
          </w:p>
        </w:tc>
      </w:tr>
      <w:tr>
        <w:tblPrEx>
          <w:tblCellMar>
            <w:top w:w="0" w:type="dxa"/>
            <w:left w:w="108" w:type="dxa"/>
            <w:bottom w:w="0" w:type="dxa"/>
            <w:right w:w="108" w:type="dxa"/>
          </w:tblCellMar>
        </w:tblPrEx>
        <w:trPr>
          <w:trHeight w:val="270" w:hRule="atLeast"/>
          <w:jc w:val="center"/>
        </w:trPr>
        <w:tc>
          <w:tcPr>
            <w:tcW w:w="2301" w:type="pct"/>
            <w:tcBorders>
              <w:top w:val="nil"/>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相对湿度波动</w:t>
            </w:r>
            <w:r>
              <w:rPr>
                <w:rFonts w:ascii="Times New Roman" w:hAnsi="Times New Roman" w:cs="Times New Roman"/>
                <w:color w:val="000000" w:themeColor="text1"/>
                <w:szCs w:val="21"/>
                <w:highlight w:val="none"/>
                <w14:textFill>
                  <w14:solidFill>
                    <w14:schemeClr w14:val="tx1"/>
                  </w14:solidFill>
                </w14:textFill>
              </w:rPr>
              <w:t>-10%≤</w:t>
            </w:r>
            <w:r>
              <w:rPr>
                <w:rFonts w:hint="eastAsia" w:ascii="宋体" w:hAnsi="宋体" w:eastAsia="宋体" w:cs="宋体"/>
                <w:color w:val="000000" w:themeColor="text1"/>
                <w:szCs w:val="21"/>
                <w:highlight w:val="none"/>
                <w14:textFill>
                  <w14:solidFill>
                    <w14:schemeClr w14:val="tx1"/>
                  </w14:solidFill>
                </w14:textFill>
              </w:rPr>
              <w:t>△</w:t>
            </w:r>
            <w:r>
              <w:rPr>
                <w:rFonts w:ascii="Times New Roman" w:hAnsi="Times New Roman" w:cs="Times New Roman"/>
                <w:color w:val="000000" w:themeColor="text1"/>
                <w:kern w:val="0"/>
                <w:szCs w:val="21"/>
                <w:highlight w:val="none"/>
                <w14:textFill>
                  <w14:solidFill>
                    <w14:schemeClr w14:val="tx1"/>
                  </w14:solidFill>
                </w14:textFill>
              </w:rPr>
              <w:t>ψ</w:t>
            </w:r>
            <w:r>
              <w:rPr>
                <w:rFonts w:ascii="Times New Roman" w:hAnsi="Times New Roman" w:cs="Times New Roman"/>
                <w:color w:val="000000" w:themeColor="text1"/>
                <w:szCs w:val="21"/>
                <w:highlight w:val="none"/>
                <w14:textFill>
                  <w14:solidFill>
                    <w14:schemeClr w14:val="tx1"/>
                  </w14:solidFill>
                </w14:textFill>
              </w:rPr>
              <w:t>≤10%</w:t>
            </w:r>
          </w:p>
        </w:tc>
        <w:tc>
          <w:tcPr>
            <w:tcW w:w="1290" w:type="pct"/>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p>
        </w:tc>
        <w:tc>
          <w:tcPr>
            <w:tcW w:w="1409" w:type="pct"/>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p>
        </w:tc>
      </w:tr>
      <w:tr>
        <w:tblPrEx>
          <w:tblCellMar>
            <w:top w:w="0" w:type="dxa"/>
            <w:left w:w="108" w:type="dxa"/>
            <w:bottom w:w="0" w:type="dxa"/>
            <w:right w:w="108" w:type="dxa"/>
          </w:tblCellMar>
        </w:tblPrEx>
        <w:trPr>
          <w:trHeight w:val="270" w:hRule="atLeast"/>
          <w:jc w:val="center"/>
        </w:trPr>
        <w:tc>
          <w:tcPr>
            <w:tcW w:w="2301" w:type="pct"/>
            <w:tcBorders>
              <w:top w:val="nil"/>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温度波动 -0.5</w:t>
            </w:r>
            <w:r>
              <w:rPr>
                <w:rFonts w:ascii="Times New Roman" w:hAnsi="Times New Roman" w:cs="Times New Roman"/>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T≤0.5℃</w:t>
            </w:r>
          </w:p>
        </w:tc>
        <w:tc>
          <w:tcPr>
            <w:tcW w:w="2699" w:type="pct"/>
            <w:gridSpan w:val="2"/>
            <w:vMerge w:val="restart"/>
            <w:tcBorders>
              <w:top w:val="nil"/>
              <w:left w:val="nil"/>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测点间距不应大于2m，测点数不应少于5个</w:t>
            </w:r>
          </w:p>
        </w:tc>
      </w:tr>
      <w:tr>
        <w:tblPrEx>
          <w:tblCellMar>
            <w:top w:w="0" w:type="dxa"/>
            <w:left w:w="108" w:type="dxa"/>
            <w:bottom w:w="0" w:type="dxa"/>
            <w:right w:w="108" w:type="dxa"/>
          </w:tblCellMar>
        </w:tblPrEx>
        <w:trPr>
          <w:trHeight w:val="270" w:hRule="atLeast"/>
          <w:jc w:val="center"/>
        </w:trPr>
        <w:tc>
          <w:tcPr>
            <w:tcW w:w="2301" w:type="pct"/>
            <w:tcBorders>
              <w:top w:val="nil"/>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相对湿度波动</w:t>
            </w:r>
            <w:r>
              <w:rPr>
                <w:rFonts w:ascii="Times New Roman" w:hAnsi="Times New Roman" w:cs="Times New Roman"/>
                <w:color w:val="000000" w:themeColor="text1"/>
                <w:szCs w:val="21"/>
                <w:highlight w:val="none"/>
                <w14:textFill>
                  <w14:solidFill>
                    <w14:schemeClr w14:val="tx1"/>
                  </w14:solidFill>
                </w14:textFill>
              </w:rPr>
              <w:t>-5%≤</w:t>
            </w:r>
            <w:r>
              <w:rPr>
                <w:rFonts w:hint="eastAsia" w:ascii="宋体" w:hAnsi="宋体" w:eastAsia="宋体" w:cs="宋体"/>
                <w:color w:val="000000" w:themeColor="text1"/>
                <w:szCs w:val="21"/>
                <w:highlight w:val="none"/>
                <w14:textFill>
                  <w14:solidFill>
                    <w14:schemeClr w14:val="tx1"/>
                  </w14:solidFill>
                </w14:textFill>
              </w:rPr>
              <w:t>△</w:t>
            </w:r>
            <w:r>
              <w:rPr>
                <w:rFonts w:ascii="Times New Roman" w:hAnsi="Times New Roman" w:cs="Times New Roman"/>
                <w:color w:val="000000" w:themeColor="text1"/>
                <w:kern w:val="0"/>
                <w:szCs w:val="21"/>
                <w:highlight w:val="none"/>
                <w14:textFill>
                  <w14:solidFill>
                    <w14:schemeClr w14:val="tx1"/>
                  </w14:solidFill>
                </w14:textFill>
              </w:rPr>
              <w:t>ψ</w:t>
            </w:r>
            <w:r>
              <w:rPr>
                <w:rFonts w:ascii="Times New Roman" w:hAnsi="Times New Roman" w:cs="Times New Roman"/>
                <w:color w:val="000000" w:themeColor="text1"/>
                <w:szCs w:val="21"/>
                <w:highlight w:val="none"/>
                <w14:textFill>
                  <w14:solidFill>
                    <w14:schemeClr w14:val="tx1"/>
                  </w14:solidFill>
                </w14:textFill>
              </w:rPr>
              <w:t>≤5%</w:t>
            </w:r>
          </w:p>
        </w:tc>
        <w:tc>
          <w:tcPr>
            <w:tcW w:w="2699" w:type="pct"/>
            <w:gridSpan w:val="2"/>
            <w:vMerge w:val="continue"/>
            <w:tcBorders>
              <w:left w:val="nil"/>
              <w:bottom w:val="single" w:color="auto" w:sz="4" w:space="0"/>
              <w:right w:val="single" w:color="auto" w:sz="4" w:space="0"/>
            </w:tcBorders>
            <w:vAlign w:val="center"/>
          </w:tcPr>
          <w:p>
            <w:pPr>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p>
        </w:tc>
      </w:tr>
    </w:tbl>
    <w:p>
      <w:pPr>
        <w:tabs>
          <w:tab w:val="left" w:pos="720"/>
        </w:tabs>
        <w:spacing w:after="156" w:afterLines="50" w:line="360" w:lineRule="auto"/>
        <w:ind w:left="424" w:leftChars="202"/>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注：对于特殊要求的环境，测点数量应满足相关行业要求。</w:t>
      </w:r>
    </w:p>
    <w:p>
      <w:pPr>
        <w:pStyle w:val="90"/>
        <w:numPr>
          <w:ilvl w:val="0"/>
          <w:numId w:val="69"/>
        </w:numPr>
        <w:spacing w:line="360" w:lineRule="auto"/>
        <w:ind w:left="851"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温度、相对湿度检验结果应按下列方法确定：</w:t>
      </w:r>
    </w:p>
    <w:p>
      <w:pPr>
        <w:pStyle w:val="90"/>
        <w:numPr>
          <w:ilvl w:val="0"/>
          <w:numId w:val="70"/>
        </w:numPr>
        <w:spacing w:line="360" w:lineRule="auto"/>
        <w:ind w:left="1276"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应以各测点的各次温度和相对湿度记录值作为一个测定结果，并应以测试周期内各次测定结果偏离基准值最大值表示波动范围；</w:t>
      </w:r>
    </w:p>
    <w:p>
      <w:pPr>
        <w:pStyle w:val="90"/>
        <w:numPr>
          <w:ilvl w:val="0"/>
          <w:numId w:val="70"/>
        </w:numPr>
        <w:spacing w:line="360" w:lineRule="auto"/>
        <w:ind w:left="1276"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应以各测点的各次温度和相对湿度记录值作为一个测定结果，并应以测试周期内同一时间各测点之间的偏差最大值表示室内空间温度、相对湿度的均匀性；</w:t>
      </w:r>
    </w:p>
    <w:p>
      <w:pPr>
        <w:pStyle w:val="90"/>
        <w:numPr>
          <w:ilvl w:val="0"/>
          <w:numId w:val="70"/>
        </w:numPr>
        <w:spacing w:line="360" w:lineRule="auto"/>
        <w:ind w:left="1276" w:hanging="425"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应以测试周期内同一测点3个任意相邻10min均值间偏差的最大值表示该测点30min内稳定性，并应以测试周期内同一测点任意两个30min均值之间的偏差表示测试周期内的稳定性。</w:t>
      </w:r>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85" w:name="_Toc36633752"/>
      <w:bookmarkStart w:id="86" w:name="_Toc36626018"/>
      <w:bookmarkStart w:id="87" w:name="_Toc44847209"/>
      <w:r>
        <w:rPr>
          <w:rFonts w:ascii="黑体" w:hAnsi="黑体" w:eastAsia="黑体"/>
          <w:b w:val="0"/>
          <w:bCs w:val="0"/>
          <w:color w:val="000000" w:themeColor="text1"/>
          <w:sz w:val="28"/>
          <w:szCs w:val="28"/>
          <w:highlight w:val="none"/>
          <w14:textFill>
            <w14:solidFill>
              <w14:schemeClr w14:val="tx1"/>
            </w14:solidFill>
          </w14:textFill>
        </w:rPr>
        <w:t>B.5 噪声的测试</w:t>
      </w:r>
      <w:bookmarkEnd w:id="85"/>
      <w:bookmarkEnd w:id="86"/>
      <w:bookmarkEnd w:id="87"/>
    </w:p>
    <w:p>
      <w:pPr>
        <w:pStyle w:val="90"/>
        <w:numPr>
          <w:ilvl w:val="0"/>
          <w:numId w:val="71"/>
        </w:numPr>
        <w:spacing w:line="360" w:lineRule="auto"/>
        <w:ind w:left="0"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通常可只测试A声级噪声，当有特殊要求时，可采用带倍频程分析的声级计测试。</w:t>
      </w:r>
    </w:p>
    <w:p>
      <w:pPr>
        <w:pStyle w:val="90"/>
        <w:numPr>
          <w:ilvl w:val="0"/>
          <w:numId w:val="71"/>
        </w:numPr>
        <w:spacing w:line="360" w:lineRule="auto"/>
        <w:ind w:left="0"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测点数量及布置可按工艺特定要求进行，当工艺无要求时，面积在15m</w:t>
      </w:r>
      <w:r>
        <w:rPr>
          <w:rFonts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ascii="Times New Roman" w:hAnsi="Times New Roman" w:eastAsia="宋体" w:cs="Times New Roman"/>
          <w:color w:val="000000" w:themeColor="text1"/>
          <w:sz w:val="24"/>
          <w:szCs w:val="24"/>
          <w:highlight w:val="none"/>
          <w14:textFill>
            <w14:solidFill>
              <w14:schemeClr w14:val="tx1"/>
            </w14:solidFill>
          </w14:textFill>
        </w:rPr>
        <w:t>以下的实验室，可只测中心1点，15m</w:t>
      </w:r>
      <w:r>
        <w:rPr>
          <w:rFonts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ascii="Times New Roman" w:hAnsi="Times New Roman" w:eastAsia="宋体" w:cs="Times New Roman"/>
          <w:color w:val="000000" w:themeColor="text1"/>
          <w:sz w:val="24"/>
          <w:szCs w:val="24"/>
          <w:highlight w:val="none"/>
          <w14:textFill>
            <w14:solidFill>
              <w14:schemeClr w14:val="tx1"/>
            </w14:solidFill>
          </w14:textFill>
        </w:rPr>
        <w:t>以上的实验室除中心1点外，应再测对角4点，距侧墙各1m，测点应朝向各角，应以算术平均值作为测试结果。测点应距地面高1.1m。</w:t>
      </w:r>
    </w:p>
    <w:p>
      <w:pPr>
        <w:pStyle w:val="90"/>
        <w:numPr>
          <w:ilvl w:val="0"/>
          <w:numId w:val="71"/>
        </w:numPr>
        <w:spacing w:line="360" w:lineRule="auto"/>
        <w:ind w:left="0"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本底噪声宜在空调系统停止运行后进行测定。当室内噪声与本底噪声相差小于10dB（A）时应按现行国家标准《洁净室施工及验收规范》GB 50591中的要求对测试值进行修正。</w:t>
      </w:r>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88" w:name="_Toc36626019"/>
      <w:bookmarkStart w:id="89" w:name="_Toc44847210"/>
      <w:bookmarkStart w:id="90" w:name="_Toc36633753"/>
      <w:r>
        <w:rPr>
          <w:rFonts w:ascii="黑体" w:hAnsi="黑体" w:eastAsia="黑体"/>
          <w:b w:val="0"/>
          <w:bCs w:val="0"/>
          <w:color w:val="000000" w:themeColor="text1"/>
          <w:sz w:val="28"/>
          <w:szCs w:val="28"/>
          <w:highlight w:val="none"/>
          <w14:textFill>
            <w14:solidFill>
              <w14:schemeClr w14:val="tx1"/>
            </w14:solidFill>
          </w14:textFill>
        </w:rPr>
        <w:t>B.6 照度的测试</w:t>
      </w:r>
      <w:bookmarkEnd w:id="88"/>
      <w:bookmarkEnd w:id="89"/>
      <w:bookmarkEnd w:id="90"/>
    </w:p>
    <w:p>
      <w:pPr>
        <w:pStyle w:val="90"/>
        <w:numPr>
          <w:ilvl w:val="0"/>
          <w:numId w:val="7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室内照度的检测应为测定除局部照明之外的一般照明的照度。</w:t>
      </w:r>
    </w:p>
    <w:p>
      <w:pPr>
        <w:pStyle w:val="90"/>
        <w:numPr>
          <w:ilvl w:val="0"/>
          <w:numId w:val="7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室内照度的检测可采用便携式照度计，照度计的最小刻度不应大于2 lx。</w:t>
      </w:r>
    </w:p>
    <w:p>
      <w:pPr>
        <w:pStyle w:val="90"/>
        <w:numPr>
          <w:ilvl w:val="0"/>
          <w:numId w:val="7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室内照度必须在室温趋于稳定之后进行，并且荧光灯已有100h以上的使用期，检测前已点燃15min以上，白炽灯已有10h以上的使用期，检测前已点燃5min以上。</w:t>
      </w:r>
    </w:p>
    <w:p>
      <w:pPr>
        <w:pStyle w:val="90"/>
        <w:numPr>
          <w:ilvl w:val="0"/>
          <w:numId w:val="72"/>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测点距地面0.8m，按1m~2m间距布点，30m</w:t>
      </w:r>
      <w:r>
        <w:rPr>
          <w:rFonts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ascii="Times New Roman" w:hAnsi="Times New Roman" w:eastAsia="宋体" w:cs="Times New Roman"/>
          <w:color w:val="000000" w:themeColor="text1"/>
          <w:sz w:val="24"/>
          <w:szCs w:val="24"/>
          <w:highlight w:val="none"/>
          <w14:textFill>
            <w14:solidFill>
              <w14:schemeClr w14:val="tx1"/>
            </w14:solidFill>
          </w14:textFill>
        </w:rPr>
        <w:t>以内的房间测点距墙面0.5m，超过30m</w:t>
      </w:r>
      <w:r>
        <w:rPr>
          <w:rFonts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ascii="Times New Roman" w:hAnsi="Times New Roman" w:eastAsia="宋体" w:cs="Times New Roman"/>
          <w:color w:val="000000" w:themeColor="text1"/>
          <w:sz w:val="24"/>
          <w:szCs w:val="24"/>
          <w:highlight w:val="none"/>
          <w14:textFill>
            <w14:solidFill>
              <w14:schemeClr w14:val="tx1"/>
            </w14:solidFill>
          </w14:textFill>
        </w:rPr>
        <w:t>的房间，测点离墙1m。</w:t>
      </w:r>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91" w:name="_Toc44847211"/>
      <w:bookmarkStart w:id="92" w:name="_Toc36626020"/>
      <w:bookmarkStart w:id="93" w:name="_Toc36633754"/>
      <w:r>
        <w:rPr>
          <w:rFonts w:ascii="黑体" w:hAnsi="黑体" w:eastAsia="黑体"/>
          <w:b w:val="0"/>
          <w:bCs w:val="0"/>
          <w:color w:val="000000" w:themeColor="text1"/>
          <w:sz w:val="28"/>
          <w:szCs w:val="28"/>
          <w:highlight w:val="none"/>
          <w14:textFill>
            <w14:solidFill>
              <w14:schemeClr w14:val="tx1"/>
            </w14:solidFill>
          </w14:textFill>
        </w:rPr>
        <w:t>B.7 室内PM2.5污染控制效果的测试</w:t>
      </w:r>
      <w:bookmarkEnd w:id="91"/>
      <w:bookmarkEnd w:id="92"/>
      <w:bookmarkEnd w:id="93"/>
    </w:p>
    <w:p>
      <w:pPr>
        <w:pStyle w:val="90"/>
        <w:numPr>
          <w:ilvl w:val="0"/>
          <w:numId w:val="73"/>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采集室外空气中PM2.5浓度、温度和相对湿度，地点宜选择在室外上风向处。</w:t>
      </w:r>
    </w:p>
    <w:p>
      <w:pPr>
        <w:pStyle w:val="90"/>
        <w:numPr>
          <w:ilvl w:val="0"/>
          <w:numId w:val="73"/>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室内PM2.5浓度测点可根据测定需要而定，但最少检测点数应符合表B.7.2的规定。当房间内有2个及以上检测点时，应采用对角线、斜线、梅花状均衡布点，并应取各点检测结果的平均值作为其检测值。</w:t>
      </w:r>
    </w:p>
    <w:p>
      <w:pPr>
        <w:pStyle w:val="90"/>
        <w:tabs>
          <w:tab w:val="left" w:pos="720"/>
        </w:tabs>
        <w:spacing w:before="156" w:beforeLines="50" w:line="360" w:lineRule="auto"/>
        <w:ind w:firstLine="0" w:firstLineChars="0"/>
        <w:jc w:val="center"/>
        <w:rPr>
          <w:rFonts w:ascii="Times New Roman" w:hAnsi="Times New Roman" w:eastAsia="宋体" w:cs="Times New Roman"/>
          <w:b/>
          <w:color w:val="000000" w:themeColor="text1"/>
          <w:szCs w:val="18"/>
          <w:highlight w:val="none"/>
          <w14:textFill>
            <w14:solidFill>
              <w14:schemeClr w14:val="tx1"/>
            </w14:solidFill>
          </w14:textFill>
        </w:rPr>
      </w:pPr>
      <w:r>
        <w:rPr>
          <w:rFonts w:ascii="Times New Roman" w:hAnsi="Times New Roman" w:eastAsia="宋体" w:cs="Times New Roman"/>
          <w:b/>
          <w:color w:val="000000" w:themeColor="text1"/>
          <w:szCs w:val="18"/>
          <w:highlight w:val="none"/>
          <w14:textFill>
            <w14:solidFill>
              <w14:schemeClr w14:val="tx1"/>
            </w14:solidFill>
          </w14:textFill>
        </w:rPr>
        <w:t>表B.7.2　室内PM2.5浓度检测点数设置</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91"/>
        <w:gridCol w:w="3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38"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房间使用面积（m</w:t>
            </w:r>
            <w:r>
              <w:rPr>
                <w:rFonts w:ascii="Times New Roman" w:hAnsi="Times New Roman" w:cs="Times New Roman"/>
                <w:color w:val="000000" w:themeColor="text1"/>
                <w:kern w:val="0"/>
                <w:szCs w:val="21"/>
                <w:highlight w:val="none"/>
                <w:vertAlign w:val="superscript"/>
                <w14:textFill>
                  <w14:solidFill>
                    <w14:schemeClr w14:val="tx1"/>
                  </w14:solidFill>
                </w14:textFill>
              </w:rPr>
              <w:t>2</w:t>
            </w:r>
            <w:r>
              <w:rPr>
                <w:rFonts w:ascii="Times New Roman" w:hAnsi="Times New Roman" w:cs="Times New Roman"/>
                <w:color w:val="000000" w:themeColor="text1"/>
                <w:kern w:val="0"/>
                <w:szCs w:val="21"/>
                <w:highlight w:val="none"/>
                <w14:textFill>
                  <w14:solidFill>
                    <w14:schemeClr w14:val="tx1"/>
                  </w14:solidFill>
                </w14:textFill>
              </w:rPr>
              <w:t>）</w:t>
            </w:r>
          </w:p>
        </w:tc>
        <w:tc>
          <w:tcPr>
            <w:tcW w:w="2162"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最少检测点数（个）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38"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＜50</w:t>
            </w:r>
          </w:p>
        </w:tc>
        <w:tc>
          <w:tcPr>
            <w:tcW w:w="2162"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38"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≥50，＜100</w:t>
            </w:r>
          </w:p>
        </w:tc>
        <w:tc>
          <w:tcPr>
            <w:tcW w:w="2162"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38"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≥100，＜500</w:t>
            </w:r>
          </w:p>
        </w:tc>
        <w:tc>
          <w:tcPr>
            <w:tcW w:w="2162"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不少于3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38"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≥500，＜1000</w:t>
            </w:r>
          </w:p>
        </w:tc>
        <w:tc>
          <w:tcPr>
            <w:tcW w:w="2162"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不少于5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38"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≥1000，＜3000</w:t>
            </w:r>
          </w:p>
        </w:tc>
        <w:tc>
          <w:tcPr>
            <w:tcW w:w="2162" w:type="pct"/>
            <w:vAlign w:val="center"/>
          </w:tcPr>
          <w:p>
            <w:pPr>
              <w:autoSpaceDE w:val="0"/>
              <w:autoSpaceDN w:val="0"/>
              <w:adjustRightInd w:val="0"/>
              <w:spacing w:line="360" w:lineRule="auto"/>
              <w:jc w:val="center"/>
              <w:rPr>
                <w:rFonts w:ascii="Times New Roman" w:hAnsi="Times New Roman" w:cs="Times New Roman"/>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不少于6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38" w:type="pct"/>
            <w:vAlign w:val="center"/>
          </w:tcPr>
          <w:p>
            <w:pPr>
              <w:autoSpaceDE w:val="0"/>
              <w:autoSpaceDN w:val="0"/>
              <w:adjustRightInd w:val="0"/>
              <w:spacing w:line="360" w:lineRule="auto"/>
              <w:jc w:val="center"/>
              <w:rPr>
                <w:rFonts w:ascii="Times New Roman" w:hAnsi="Times New Roman" w:cs="Times New Roman"/>
                <w:b/>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≥3000</w:t>
            </w:r>
          </w:p>
        </w:tc>
        <w:tc>
          <w:tcPr>
            <w:tcW w:w="2162" w:type="pct"/>
            <w:vAlign w:val="center"/>
          </w:tcPr>
          <w:p>
            <w:pPr>
              <w:autoSpaceDE w:val="0"/>
              <w:autoSpaceDN w:val="0"/>
              <w:adjustRightInd w:val="0"/>
              <w:spacing w:line="360" w:lineRule="auto"/>
              <w:jc w:val="center"/>
              <w:rPr>
                <w:rFonts w:ascii="Times New Roman" w:hAnsi="Times New Roman" w:cs="Times New Roman"/>
                <w:b/>
                <w:color w:val="000000" w:themeColor="text1"/>
                <w:kern w:val="0"/>
                <w:szCs w:val="21"/>
                <w:highlight w:val="none"/>
                <w14:textFill>
                  <w14:solidFill>
                    <w14:schemeClr w14:val="tx1"/>
                  </w14:solidFill>
                </w14:textFill>
              </w:rPr>
            </w:pPr>
            <w:r>
              <w:rPr>
                <w:rFonts w:ascii="Times New Roman" w:hAnsi="Times New Roman" w:cs="Times New Roman"/>
                <w:color w:val="000000" w:themeColor="text1"/>
                <w:kern w:val="0"/>
                <w:szCs w:val="21"/>
                <w:highlight w:val="none"/>
                <w14:textFill>
                  <w14:solidFill>
                    <w14:schemeClr w14:val="tx1"/>
                  </w14:solidFill>
                </w14:textFill>
              </w:rPr>
              <w:t>不少于9</w:t>
            </w:r>
          </w:p>
        </w:tc>
      </w:tr>
    </w:tbl>
    <w:p>
      <w:pPr>
        <w:pStyle w:val="90"/>
        <w:numPr>
          <w:ilvl w:val="0"/>
          <w:numId w:val="73"/>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室内PM2.5浓度现场检测点距内墙面不应小于0.5m，距地面高度应为0.8m~1.5m。</w:t>
      </w:r>
    </w:p>
    <w:p>
      <w:pPr>
        <w:pStyle w:val="90"/>
        <w:numPr>
          <w:ilvl w:val="0"/>
          <w:numId w:val="73"/>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检测点应均匀分布，避开送风口和室内污染源。</w:t>
      </w:r>
    </w:p>
    <w:p>
      <w:pPr>
        <w:pStyle w:val="90"/>
        <w:numPr>
          <w:ilvl w:val="0"/>
          <w:numId w:val="73"/>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每个检测点应重复采样检测6次，每次采样时间不应小于1min或采样量不应小于1L，以6次的平均值作为该点浓度值，对于6次采样值偏差较大的情况（超过平均值±20%范围），应增加采样次数3次。</w:t>
      </w:r>
    </w:p>
    <w:p>
      <w:pPr>
        <w:pStyle w:val="90"/>
        <w:numPr>
          <w:ilvl w:val="0"/>
          <w:numId w:val="73"/>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室内空气温度和相对湿度测定之前，空调系统应已连续运行至少8h，测点应为距地面0.8m高的房间中心点。</w:t>
      </w:r>
    </w:p>
    <w:p>
      <w:pPr>
        <w:pStyle w:val="3"/>
        <w:spacing w:before="156" w:beforeLines="50" w:line="360" w:lineRule="auto"/>
        <w:jc w:val="center"/>
        <w:rPr>
          <w:color w:val="000000" w:themeColor="text1"/>
          <w:highlight w:val="none"/>
          <w14:textFill>
            <w14:solidFill>
              <w14:schemeClr w14:val="tx1"/>
            </w14:solidFill>
          </w14:textFill>
        </w:rPr>
      </w:pPr>
      <w:bookmarkStart w:id="94" w:name="_Toc36633755"/>
      <w:bookmarkStart w:id="95" w:name="_Toc44847212"/>
      <w:bookmarkStart w:id="96" w:name="_Toc36626021"/>
      <w:r>
        <w:rPr>
          <w:color w:val="000000" w:themeColor="text1"/>
          <w:highlight w:val="none"/>
          <w14:textFill>
            <w14:solidFill>
              <w14:schemeClr w14:val="tx1"/>
            </w14:solidFill>
          </w14:textFill>
        </w:rPr>
        <w:t>B.8 微振的测试</w:t>
      </w:r>
      <w:bookmarkEnd w:id="94"/>
      <w:bookmarkEnd w:id="95"/>
      <w:bookmarkEnd w:id="96"/>
    </w:p>
    <w:p>
      <w:pPr>
        <w:pStyle w:val="90"/>
        <w:numPr>
          <w:ilvl w:val="0"/>
          <w:numId w:val="7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对工艺有振动要求的实验室，应采用满足检测精度要求的振动分析仪进行测试。</w:t>
      </w:r>
    </w:p>
    <w:p>
      <w:pPr>
        <w:pStyle w:val="90"/>
        <w:numPr>
          <w:ilvl w:val="0"/>
          <w:numId w:val="7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测点应选在室中心地面和认为有必要测定振动的位置的地面上，以及各壁板表面中心处。</w:t>
      </w:r>
    </w:p>
    <w:p>
      <w:pPr>
        <w:pStyle w:val="90"/>
        <w:numPr>
          <w:ilvl w:val="0"/>
          <w:numId w:val="7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应分别测出室内全部设备正常运转和停止运转两种情况下纵轴、横轴和垂直轴三个方向的振幅值。</w:t>
      </w:r>
    </w:p>
    <w:p>
      <w:pPr>
        <w:widowControl/>
        <w:spacing w:line="360" w:lineRule="auto"/>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
        <w:ind w:firstLine="482"/>
        <w:jc w:val="center"/>
        <w:rPr>
          <w:rFonts w:asciiTheme="minorEastAsia" w:hAnsiTheme="minorEastAsia" w:eastAsiaTheme="minorEastAsia"/>
          <w:bCs w:val="0"/>
          <w:color w:val="000000" w:themeColor="text1"/>
          <w:sz w:val="32"/>
          <w:szCs w:val="32"/>
          <w:highlight w:val="none"/>
          <w14:textFill>
            <w14:solidFill>
              <w14:schemeClr w14:val="tx1"/>
            </w14:solidFill>
          </w14:textFill>
        </w:rPr>
      </w:pPr>
      <w:bookmarkStart w:id="97" w:name="_Toc44847213"/>
      <w:r>
        <w:rPr>
          <w:rFonts w:asciiTheme="minorEastAsia" w:hAnsiTheme="minorEastAsia" w:eastAsiaTheme="minorEastAsia"/>
          <w:bCs w:val="0"/>
          <w:color w:val="000000" w:themeColor="text1"/>
          <w:sz w:val="32"/>
          <w:szCs w:val="32"/>
          <w:highlight w:val="none"/>
          <w14:textFill>
            <w14:solidFill>
              <w14:schemeClr w14:val="tx1"/>
            </w14:solidFill>
          </w14:textFill>
        </w:rPr>
        <w:t>附录C</w:t>
      </w:r>
      <w:bookmarkEnd w:id="97"/>
      <w:r>
        <w:rPr>
          <w:rFonts w:asciiTheme="minorEastAsia" w:hAnsiTheme="minorEastAsia" w:eastAsiaTheme="minorEastAsia"/>
          <w:bCs w:val="0"/>
          <w:color w:val="000000" w:themeColor="text1"/>
          <w:sz w:val="32"/>
          <w:szCs w:val="32"/>
          <w:highlight w:val="none"/>
          <w14:textFill>
            <w14:solidFill>
              <w14:schemeClr w14:val="tx1"/>
            </w14:solidFill>
          </w14:textFill>
        </w:rPr>
        <w:t xml:space="preserve"> 几何量测量实验室工程验收检查项目</w:t>
      </w:r>
    </w:p>
    <w:p>
      <w:pPr>
        <w:pStyle w:val="90"/>
        <w:numPr>
          <w:ilvl w:val="0"/>
          <w:numId w:val="75"/>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几何量测量实验室建成后，除应由建设方按实验室工艺要求自查外，还应由建设方负责按本规程表</w:t>
      </w:r>
      <w:r>
        <w:rPr>
          <w:rFonts w:ascii="Times New Roman" w:hAnsi="Times New Roman" w:cs="Times New Roman"/>
          <w:color w:val="000000" w:themeColor="text1"/>
          <w:sz w:val="24"/>
          <w:szCs w:val="24"/>
          <w:highlight w:val="none"/>
          <w14:textFill>
            <w14:solidFill>
              <w14:schemeClr w14:val="tx1"/>
            </w14:solidFill>
          </w14:textFill>
        </w:rPr>
        <w:t>C.0.4</w:t>
      </w:r>
      <w:r>
        <w:rPr>
          <w:rFonts w:hint="eastAsia" w:ascii="Times New Roman" w:hAnsi="Times New Roman" w:cs="Times New Roman"/>
          <w:color w:val="000000" w:themeColor="text1"/>
          <w:sz w:val="24"/>
          <w:szCs w:val="24"/>
          <w:highlight w:val="none"/>
          <w14:textFill>
            <w14:solidFill>
              <w14:schemeClr w14:val="tx1"/>
            </w14:solidFill>
          </w14:textFill>
        </w:rPr>
        <w:t>所列验收项目，逐项检查</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75"/>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最终验收结论应分为</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不合格</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合格</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两类。对于有不达标项又不具备整改条件，或即使整改也难以符合要求的，宜判定为不合格；对于验收项目均达标，或虽存在问题但经过整改后能予克服的，宜判定为合格。</w:t>
      </w:r>
    </w:p>
    <w:p>
      <w:pPr>
        <w:pStyle w:val="90"/>
        <w:numPr>
          <w:ilvl w:val="0"/>
          <w:numId w:val="75"/>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几何量测量实验室工程验收评价标准应符合表C.0.3的规定。</w:t>
      </w:r>
    </w:p>
    <w:p>
      <w:pPr>
        <w:pStyle w:val="90"/>
        <w:tabs>
          <w:tab w:val="left" w:pos="720"/>
        </w:tabs>
        <w:spacing w:before="156" w:beforeLines="50" w:line="360" w:lineRule="auto"/>
        <w:ind w:firstLine="0" w:firstLineChars="0"/>
        <w:jc w:val="center"/>
        <w:rPr>
          <w:rFonts w:ascii="Times New Roman" w:hAnsi="Times New Roman" w:eastAsia="宋体" w:cs="Times New Roman"/>
          <w:b/>
          <w:color w:val="000000" w:themeColor="text1"/>
          <w:szCs w:val="18"/>
          <w:highlight w:val="none"/>
          <w14:textFill>
            <w14:solidFill>
              <w14:schemeClr w14:val="tx1"/>
            </w14:solidFill>
          </w14:textFill>
        </w:rPr>
      </w:pPr>
      <w:r>
        <w:rPr>
          <w:rFonts w:ascii="Times New Roman" w:hAnsi="Times New Roman" w:eastAsia="宋体" w:cs="Times New Roman"/>
          <w:b/>
          <w:color w:val="000000" w:themeColor="text1"/>
          <w:szCs w:val="18"/>
          <w:highlight w:val="none"/>
          <w14:textFill>
            <w14:solidFill>
              <w14:schemeClr w14:val="tx1"/>
            </w14:solidFill>
          </w14:textFill>
        </w:rPr>
        <w:t>表C.0.3　几何量测量实验室工程验收评价标准</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7"/>
        <w:gridCol w:w="1150"/>
        <w:gridCol w:w="1507"/>
        <w:gridCol w:w="2089"/>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2288" w:type="pct"/>
            <w:gridSpan w:val="3"/>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验收结论</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缺陷数</w:t>
            </w:r>
          </w:p>
        </w:tc>
        <w:tc>
          <w:tcPr>
            <w:tcW w:w="1570"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5" w:type="pct"/>
            <w:vMerge w:val="restar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合格</w:t>
            </w:r>
          </w:p>
        </w:tc>
        <w:tc>
          <w:tcPr>
            <w:tcW w:w="1453" w:type="pct"/>
            <w:gridSpan w:val="2"/>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严重缺陷</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0</w:t>
            </w:r>
          </w:p>
        </w:tc>
        <w:tc>
          <w:tcPr>
            <w:tcW w:w="1570"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5" w:type="pct"/>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1453" w:type="pct"/>
            <w:gridSpan w:val="2"/>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一般缺陷</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＜15%</w:t>
            </w:r>
          </w:p>
        </w:tc>
        <w:tc>
          <w:tcPr>
            <w:tcW w:w="1570"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宜整改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5" w:type="pct"/>
            <w:vMerge w:val="restar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限期整改</w:t>
            </w:r>
          </w:p>
        </w:tc>
        <w:tc>
          <w:tcPr>
            <w:tcW w:w="1453" w:type="pct"/>
            <w:gridSpan w:val="2"/>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严重缺陷</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1个～3个</w:t>
            </w:r>
          </w:p>
        </w:tc>
        <w:tc>
          <w:tcPr>
            <w:tcW w:w="1570"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应限期整改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5" w:type="pct"/>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1453" w:type="pct"/>
            <w:gridSpan w:val="2"/>
            <w:vMerge w:val="restar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一般缺陷</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＜15%</w:t>
            </w:r>
          </w:p>
        </w:tc>
        <w:tc>
          <w:tcPr>
            <w:tcW w:w="1570"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宜整改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5" w:type="pct"/>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1453" w:type="pct"/>
            <w:gridSpan w:val="2"/>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≥15%</w:t>
            </w:r>
          </w:p>
        </w:tc>
        <w:tc>
          <w:tcPr>
            <w:tcW w:w="1570"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应限期整改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35" w:type="pct"/>
            <w:vMerge w:val="restar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不合格</w:t>
            </w:r>
          </w:p>
        </w:tc>
        <w:tc>
          <w:tcPr>
            <w:tcW w:w="1453" w:type="pct"/>
            <w:gridSpan w:val="2"/>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严重缺陷</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＞3个</w:t>
            </w:r>
          </w:p>
        </w:tc>
        <w:tc>
          <w:tcPr>
            <w:tcW w:w="1570"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直接判定为“不合格”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35" w:type="pct"/>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629" w:type="pct"/>
            <w:vMerge w:val="restar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整改后</w:t>
            </w:r>
          </w:p>
        </w:tc>
        <w:tc>
          <w:tcPr>
            <w:tcW w:w="824"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严重缺陷</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1个～3个</w:t>
            </w:r>
          </w:p>
        </w:tc>
        <w:tc>
          <w:tcPr>
            <w:tcW w:w="1570" w:type="pct"/>
            <w:vMerge w:val="restar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最终判定为“不合格”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35" w:type="pct"/>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629" w:type="pct"/>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c>
          <w:tcPr>
            <w:tcW w:w="824"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一般缺陷</w:t>
            </w:r>
          </w:p>
        </w:tc>
        <w:tc>
          <w:tcPr>
            <w:tcW w:w="1142" w:type="pct"/>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r>
              <w:rPr>
                <w:rFonts w:ascii="Times New Roman" w:hAnsi="Times New Roman"/>
                <w:bCs/>
                <w:color w:val="000000" w:themeColor="text1"/>
                <w:szCs w:val="21"/>
                <w:highlight w:val="none"/>
                <w14:textFill>
                  <w14:solidFill>
                    <w14:schemeClr w14:val="tx1"/>
                  </w14:solidFill>
                </w14:textFill>
              </w:rPr>
              <w:t>≥15%</w:t>
            </w:r>
          </w:p>
        </w:tc>
        <w:tc>
          <w:tcPr>
            <w:tcW w:w="1570" w:type="pct"/>
            <w:vMerge w:val="continue"/>
            <w:vAlign w:val="center"/>
          </w:tcPr>
          <w:p>
            <w:pPr>
              <w:pStyle w:val="96"/>
              <w:widowControl w:val="0"/>
              <w:tabs>
                <w:tab w:val="left" w:pos="720"/>
              </w:tabs>
              <w:spacing w:before="62" w:after="62" w:line="360" w:lineRule="auto"/>
              <w:ind w:firstLine="0" w:firstLineChars="0"/>
              <w:jc w:val="center"/>
              <w:rPr>
                <w:rFonts w:ascii="Times New Roman" w:hAnsi="Times New Roman"/>
                <w:bCs/>
                <w:color w:val="000000" w:themeColor="text1"/>
                <w:szCs w:val="21"/>
                <w:highlight w:val="none"/>
                <w14:textFill>
                  <w14:solidFill>
                    <w14:schemeClr w14:val="tx1"/>
                  </w14:solidFill>
                </w14:textFill>
              </w:rPr>
            </w:pPr>
          </w:p>
        </w:tc>
      </w:tr>
    </w:tbl>
    <w:p>
      <w:pPr>
        <w:spacing w:line="360" w:lineRule="auto"/>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注：1.　“合格”——严重缺陷数和一般缺陷数同时满足条件；</w:t>
      </w:r>
    </w:p>
    <w:p>
      <w:pPr>
        <w:spacing w:line="360" w:lineRule="auto"/>
        <w:ind w:firstLine="42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　“限期整改”——存在1～3项严重缺陷或一般缺陷数不少于15%；</w:t>
      </w:r>
    </w:p>
    <w:p>
      <w:pPr>
        <w:spacing w:line="360" w:lineRule="auto"/>
        <w:ind w:firstLine="42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 　整改后未见成效的，判定为“不合格”。</w:t>
      </w:r>
    </w:p>
    <w:p>
      <w:pPr>
        <w:pStyle w:val="90"/>
        <w:numPr>
          <w:ilvl w:val="0"/>
          <w:numId w:val="75"/>
        </w:numPr>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几何量测量</w:t>
      </w:r>
      <w:r>
        <w:rPr>
          <w:rFonts w:ascii="Times New Roman" w:hAnsi="Times New Roman" w:eastAsia="宋体" w:cs="Times New Roman"/>
          <w:color w:val="000000" w:themeColor="text1"/>
          <w:sz w:val="24"/>
          <w:szCs w:val="24"/>
          <w:highlight w:val="none"/>
          <w14:textFill>
            <w14:solidFill>
              <w14:schemeClr w14:val="tx1"/>
            </w14:solidFill>
          </w14:textFill>
        </w:rPr>
        <w:t>实验室工程项目宜按表C.0.4进行验收。</w:t>
      </w:r>
    </w:p>
    <w:p>
      <w:pPr>
        <w:pStyle w:val="90"/>
        <w:tabs>
          <w:tab w:val="left" w:pos="720"/>
        </w:tabs>
        <w:spacing w:before="156" w:beforeLines="50"/>
        <w:ind w:firstLine="0" w:firstLineChars="0"/>
        <w:jc w:val="center"/>
        <w:rPr>
          <w:rFonts w:ascii="Times New Roman" w:hAnsi="Times New Roman" w:eastAsia="宋体" w:cs="Times New Roman"/>
          <w:b/>
          <w:bCs/>
          <w:color w:val="000000" w:themeColor="text1"/>
          <w:szCs w:val="18"/>
          <w:highlight w:val="none"/>
          <w14:textFill>
            <w14:solidFill>
              <w14:schemeClr w14:val="tx1"/>
            </w14:solidFill>
          </w14:textFill>
        </w:rPr>
      </w:pPr>
      <w:r>
        <w:rPr>
          <w:rFonts w:ascii="Times New Roman" w:hAnsi="Times New Roman" w:eastAsia="宋体" w:cs="Times New Roman"/>
          <w:b/>
          <w:bCs/>
          <w:color w:val="000000" w:themeColor="text1"/>
          <w:szCs w:val="18"/>
          <w:highlight w:val="none"/>
          <w14:textFill>
            <w14:solidFill>
              <w14:schemeClr w14:val="tx1"/>
            </w14:solidFill>
          </w14:textFill>
        </w:rPr>
        <w:t>表C.0.</w:t>
      </w:r>
      <w:r>
        <w:rPr>
          <w:rFonts w:hint="eastAsia" w:ascii="Times New Roman" w:hAnsi="Times New Roman" w:eastAsia="宋体" w:cs="Times New Roman"/>
          <w:b/>
          <w:bCs/>
          <w:color w:val="000000" w:themeColor="text1"/>
          <w:szCs w:val="18"/>
          <w:highlight w:val="none"/>
          <w14:textFill>
            <w14:solidFill>
              <w14:schemeClr w14:val="tx1"/>
            </w14:solidFill>
          </w14:textFill>
        </w:rPr>
        <w:t>4</w:t>
      </w:r>
      <w:r>
        <w:rPr>
          <w:rFonts w:ascii="Times New Roman" w:hAnsi="Times New Roman" w:eastAsia="宋体" w:cs="Times New Roman"/>
          <w:b/>
          <w:bCs/>
          <w:color w:val="000000" w:themeColor="text1"/>
          <w:szCs w:val="18"/>
          <w:highlight w:val="none"/>
          <w14:textFill>
            <w14:solidFill>
              <w14:schemeClr w14:val="tx1"/>
            </w14:solidFill>
          </w14:textFill>
        </w:rPr>
        <w:t>　</w:t>
      </w:r>
      <w:r>
        <w:rPr>
          <w:rFonts w:hint="eastAsia" w:ascii="Times New Roman" w:hAnsi="Times New Roman" w:eastAsia="宋体" w:cs="Times New Roman"/>
          <w:b/>
          <w:bCs/>
          <w:color w:val="000000" w:themeColor="text1"/>
          <w:szCs w:val="18"/>
          <w:highlight w:val="none"/>
          <w14:textFill>
            <w14:solidFill>
              <w14:schemeClr w14:val="tx1"/>
            </w14:solidFill>
          </w14:textFill>
        </w:rPr>
        <w:t>几何量测量</w:t>
      </w:r>
      <w:r>
        <w:rPr>
          <w:rFonts w:ascii="Times New Roman" w:hAnsi="Times New Roman" w:eastAsia="宋体" w:cs="Times New Roman"/>
          <w:b/>
          <w:bCs/>
          <w:color w:val="000000" w:themeColor="text1"/>
          <w:szCs w:val="18"/>
          <w:highlight w:val="none"/>
          <w14:textFill>
            <w14:solidFill>
              <w14:schemeClr w14:val="tx1"/>
            </w14:solidFill>
          </w14:textFill>
        </w:rPr>
        <w:t>实验室工程验收评价标准</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626"/>
        <w:gridCol w:w="6551"/>
        <w:gridCol w:w="675"/>
        <w:gridCol w:w="673"/>
      </w:tblGrid>
      <w:tr>
        <w:tblPrEx>
          <w:tblCellMar>
            <w:top w:w="0" w:type="dxa"/>
            <w:left w:w="108" w:type="dxa"/>
            <w:bottom w:w="0" w:type="dxa"/>
            <w:right w:w="108" w:type="dxa"/>
          </w:tblCellMar>
        </w:tblPrEx>
        <w:trPr>
          <w:trHeight w:val="468" w:hRule="atLeast"/>
        </w:trPr>
        <w:tc>
          <w:tcPr>
            <w:tcW w:w="33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章</w:t>
            </w:r>
          </w:p>
        </w:tc>
        <w:tc>
          <w:tcPr>
            <w:tcW w:w="342"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序号</w:t>
            </w:r>
          </w:p>
        </w:tc>
        <w:tc>
          <w:tcPr>
            <w:tcW w:w="3582"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检查出的问题</w:t>
            </w:r>
          </w:p>
        </w:tc>
        <w:tc>
          <w:tcPr>
            <w:tcW w:w="36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严重缺陷</w:t>
            </w:r>
          </w:p>
        </w:tc>
        <w:tc>
          <w:tcPr>
            <w:tcW w:w="368"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一般缺陷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582" w:type="pct"/>
            <w:vMerge w:val="continue"/>
            <w:vAlign w:val="center"/>
          </w:tcPr>
          <w:p>
            <w:pPr>
              <w:rPr>
                <w:rFonts w:ascii="Times New Roman" w:hAnsi="Times New Roman" w:cs="Times New Roman"/>
                <w:color w:val="000000" w:themeColor="text1"/>
                <w:szCs w:val="21"/>
                <w:highlight w:val="none"/>
                <w14:textFill>
                  <w14:solidFill>
                    <w14:schemeClr w14:val="tx1"/>
                  </w14:solidFill>
                </w14:textFill>
              </w:rPr>
            </w:pPr>
          </w:p>
        </w:tc>
        <w:tc>
          <w:tcPr>
            <w:tcW w:w="36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基本规定</w:t>
            </w: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受控环境参数未满足本规程的要求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规划选址、设计、施工、调试和验收程序不符合本规程的规定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工程设计内容未满足本规程的要求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工程设计与施工质量未满足精密设备及仪器的受控环境容许值</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规划选址</w:t>
            </w: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建设地点选择在强振源、强噪声、强风沙、强电磁干扰、强射频干扰、有害气体密集区等不利区域</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实验室所在建筑物布置在动力站、货运站、基站、主要交通干道等不利区域</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实验室在建筑物内规划布局不符合本规程的规定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实验室位置选择具备环境背景测试条件时，未对场地或周边环境背景测试</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实验室位置选择不具备环境背景测试条件时，振源防振距离未按《电子工业防微振工程技术规范》GB51076确定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实验室位置选择未远离干扰源</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实验室的组成未根据实验具体任务的性质、工作范围及实验工作量确定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实验室组成未设置实验用房、辅助用房或公用设施用房</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工艺设计</w:t>
            </w: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实验室的用房构成未按照本规程的规定确定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实验用房受控环境要求的确定不满足本规程的规定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实验用房受控环境容许值的确定未结合周边环境及设备更新的要求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辅助用房和公共设施用房温湿度不符合本规程的规定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实验室工艺布局功能分工不明确、分布不合理，并未预留发展空间</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实验室受控区域和非受控区域未分开</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实验室受控区域和非受控区域中间未设立门禁装置</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实验室布局时，未优先布置对振动容许值较为严格精密仪器的实验室</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有防微振要求的实验室布置未遵循本规程规定的原则</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有温度、湿度、洁净度要求的实验室布置未遵循本规程规定的原则</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有电磁干扰要求的实验室布置未遵循本规程规定的原则</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配置有准备间的实验室，准备间未靠近实验间布置</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有相同层高要求的实验室未布置在一个区域</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样品量大、放置大型或重型仪器的实验室未布置在一层或较低楼层。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样品接收室未设在门厅入口处，收样人员与送样人员之间未通过工作台面相互隔离</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数据处理室、会议室、茶水间和卫生间未设置在非受控区域，未靠近实验室</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实验区未在合理的区域内设置公共区域</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工程设计</w:t>
            </w: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建筑设计未采用标准单元组合设计，环境控制、配套公用设施不能满足标准单元组合变化的需求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常规实验用房标准单元的尺寸不符合本规程的规定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高大空间实验用房标准单元尺寸不符合本规程的规定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实验室净高不能满足工艺设备安装、使用及维修的需要</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实验室净高低于3m</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洁净度、温度、湿度控制等特殊要求难以实现的实验室，净高低于2.8m</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实验用房标准单元前部未布置人员通道，后部未布置服务通道，人员通道外部非准备间、辅助用房或具有外窗的外墙</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人员通道净宽小于1.8m</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服务通道净宽小于3.8m</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实验室用房及服务通道区域上方、下方或侧方未设置设备管道技术层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实验室内门设置数量和模数未结合标准单元组合情况确定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除避光等特殊要求的实验室外，实验室门扇未设观察窗</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有恒温恒湿、净化要求的实验室设置外窗，且外窗非双层密闭窗</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除恒温恒湿、净化要求的实验室外，其他房间未设双层隔声外窗</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除恒温恒湿、净化要求的实验室外，其他房间外窗开启窗扇少于窗面积1/3，且未设纱窗</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除有避光要求的实验室外，其他房间面向室内人行走廊未设置密闭双层隔声内窗</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除有避光要求的实验室外，其他房间面向室内人行走廊设置的密闭双层隔声内窗尺寸大小不能满足人员参观要求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有较高温度、湿度控制要求的实验室未采取保温隔湿措施</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对温度最为敏感的实验室中未采取更为严格的温度控制方式</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有洁净要求的实验室，未选用气密性良好，且在温度和湿度等变化作用下变形小的装修材料</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有洁净要求的实验室，内墙壁和顶棚的表面，不符合平整、光滑、不起灰、避免眩光、便于除尘等要求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有洁净要求的实验室，未减少凹凸面，阴阳角未做成圆角</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实验室的楼面未做轻质隔声垫层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实验室的楼面轻质隔声垫层厚度未满足隔声及埋设管线要求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建筑的外装修在风格、色调和选材方面与院区现有建筑不能统一协调</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办公、交流及公共空间等辅助用房地面未铺装地砖，墙面非乳胶漆，顶棚非乳胶漆，吊顶非轻钢龙骨石膏板吊顶或其他金属扣板吊顶</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几何量测量实验室结构形式未采用框架结构或框架剪力墙结构，且未结合工艺、建筑布局采用标准单元设计</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重点几何量测量实验室建筑工程抗震设防类别非乙类建筑</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实验用房楼面活荷载设计不符合本规程的规定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设备管道技术层的构造方式不符合本规程的规定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隔振设计方案未根据容许振动值及环境测试数据经过多方案比较后确定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隔振处理后的最大振动值大于容许振动值</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实现振动受控环境标准措施不符合本规程的规定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防微振设计未结合施工各阶段的测试结果，确认或调整设计方案</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对温度、湿度控制较为严格的实验室未采用集中全空气恒温恒湿空调系统</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对温度、湿度控制较为严格的实验室外围未采取严格的温度控制措施</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实验室区域精密空调布置及管道系统方案未严格执行控温、消音降噪、减振和气流扰动等特殊技术措施</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实验室内未设置温度湿度等受控环境智能监控系统</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实验室用电负荷设计不符合本规程的规定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实验室的实验用电非专用的变压器供电</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实验室供配电系统未配置电源管理系统（EMS），且不能实现分类计量</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实验室电源未采用洁净电源</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实验室实验区域的照度及照明功率密度不符合本规程的规定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实验室的敏感设备仪器工作接地未和楼宇其他接地系统隔离</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实验室的弱电系统设计未综合考虑综合布线系统、安全防范系统、有线电视系统、公共广播系统、会议系统、火灾自动报警及消防联动系统、建筑能耗测评系统等</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较大型或较为集中布置的几何量测量实验室，未设置空压站</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实验台架未采用岛形、半岛型、U型、一字形、L型等布局</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实验台柜材料和尺寸规格的选择未根据实验设备放置的安全性和特性性的要求确定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实验室内对各种可燃、高压、带电等危险管线、柜体和区域未进行标识</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通风、空调、给水、排水、纯水、采暖、消防、电气、各类特殊其他等各类管线（槽）未用不同颜色区分，且未标注流向和类别</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在走廊和非洁净房间内，未预留能够悬挂和张贴宣传或展示科技成果等材料的区域</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施工与调试</w:t>
            </w: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施工未编制施工方案，未按规定的程序进行，各施工程序完成后无记录</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ind w:firstLine="420"/>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施工完成后，未进行单机试运转和系统的联合试运转及调试</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ind w:firstLine="420"/>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系统调试前未编制调试方案且未报送专业监理工程师审核批准</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ind w:firstLine="420"/>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系统调试所使用的测试仪器未在使用合格检定或校准合格有效期内，精度等级及最小分度值不能满足工程性能测定的要求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ind w:firstLine="420"/>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有大型实验装备的实验室未明确设备安装位置、预留的基坑位置、深度及尺寸，对需要提前进行吊装安装的设备无说明要求</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ind w:firstLine="420"/>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实验室围护结构的施工不符合本规程的规定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ind w:firstLine="420"/>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实验室通风与空调系统的施工不符合本规程的规定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实验室自控系统的施工温湿度传感器未安装在能真实反映输入变量的位置，未避开风口的直吹气流</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89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实验室施工完毕后，未进行单机试运转、系统联合试运转，且未根据运行情况对系统和设备进行调试，无调试记录及编写调试报告</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实验室受控环境的调整安排在系统试运转合格之前进行</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调试报告项目未能涵盖本规程的规定内容</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restar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检测与验收</w:t>
            </w: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工程综合性能的全面检测和评定未能满足本规程的规定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综合性能检验工作非第三方专业检验机构承担</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综合性能检验未在空态或静态工况下进行</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各项工程技术指标现场检测未在同一运行工况下进行，当对某一参数进行调整后，未对所有参数重新进行现场检测</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现场检测所需仪器、仪表未经过计量校准或不在有效期内</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97</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室内截面风速不符合本规程的规定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98</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室内风口风量不符合本规程的规定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99</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静压差不符合本规程的规定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100</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温湿度不符合本规程的规定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101</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噪声不符合本规程的规定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102</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照度不符合本规程的规定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103</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室内PM2.5污染控制效果不符合本规程的规定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104</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工程验收的内容不符合本规程的规定</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105</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工程验收前，未委托有资质的工程质检部门或专业检测机构进行工程检测</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39" w:type="pct"/>
            <w:vMerge w:val="continue"/>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c>
          <w:tcPr>
            <w:tcW w:w="342"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106</w:t>
            </w:r>
          </w:p>
        </w:tc>
        <w:tc>
          <w:tcPr>
            <w:tcW w:w="3582" w:type="pct"/>
            <w:vAlign w:val="center"/>
          </w:tcPr>
          <w:p>
            <w:pP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工程验收前，各设备及系统未完成调试，未能正常运行且未获得合格的工程综合性能全面检测和评定报告</w:t>
            </w:r>
          </w:p>
        </w:tc>
        <w:tc>
          <w:tcPr>
            <w:tcW w:w="369"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368" w:type="pct"/>
            <w:vAlign w:val="center"/>
          </w:tcPr>
          <w:p>
            <w:pPr>
              <w:jc w:val="center"/>
              <w:rPr>
                <w:rFonts w:ascii="Times New Roman" w:hAnsi="Times New Roman" w:cs="Times New Roman"/>
                <w:color w:val="000000" w:themeColor="text1"/>
                <w:szCs w:val="21"/>
                <w:highlight w:val="none"/>
                <w14:textFill>
                  <w14:solidFill>
                    <w14:schemeClr w14:val="tx1"/>
                  </w14:solidFill>
                </w14:textFill>
              </w:rPr>
            </w:pPr>
          </w:p>
        </w:tc>
      </w:tr>
    </w:tbl>
    <w:p>
      <w:pPr>
        <w:keepNext/>
        <w:keepLines/>
        <w:spacing w:before="156" w:beforeLines="50" w:after="156" w:afterLines="50" w:line="360" w:lineRule="auto"/>
        <w:outlineLvl w:val="1"/>
        <w:rPr>
          <w:rFonts w:ascii="Times New Roman" w:hAnsi="Times New Roman" w:cs="Times New Roman"/>
          <w:b/>
          <w:bCs/>
          <w:color w:val="000000" w:themeColor="text1"/>
          <w:sz w:val="24"/>
          <w:szCs w:val="24"/>
          <w:highlight w:val="none"/>
          <w14:textFill>
            <w14:solidFill>
              <w14:schemeClr w14:val="tx1"/>
            </w14:solidFill>
          </w14:textFill>
        </w:rPr>
      </w:pPr>
      <w:bookmarkStart w:id="98" w:name="_Toc335119129"/>
      <w:bookmarkStart w:id="99" w:name="_Toc532730623"/>
      <w:bookmarkStart w:id="100" w:name="_Toc335119381"/>
      <w:bookmarkStart w:id="101" w:name="_Toc368167193"/>
    </w:p>
    <w:p>
      <w:pPr>
        <w:widowControl/>
        <w:spacing w:line="360" w:lineRule="auto"/>
        <w:jc w:val="left"/>
        <w:rPr>
          <w:rFonts w:ascii="Times New Roman" w:hAnsi="Times New Roman" w:cs="Times New Roman"/>
          <w:b/>
          <w:bCs/>
          <w:color w:val="000000" w:themeColor="text1"/>
          <w:sz w:val="24"/>
          <w:szCs w:val="24"/>
          <w:highlight w:val="none"/>
          <w14:textFill>
            <w14:solidFill>
              <w14:schemeClr w14:val="tx1"/>
            </w14:solidFill>
          </w14:textFill>
        </w:rPr>
      </w:pPr>
      <w:r>
        <w:rPr>
          <w:rFonts w:ascii="Times New Roman" w:hAnsi="Times New Roman" w:cs="Times New Roman"/>
          <w:b/>
          <w:bCs/>
          <w:color w:val="000000" w:themeColor="text1"/>
          <w:sz w:val="24"/>
          <w:szCs w:val="24"/>
          <w:highlight w:val="none"/>
          <w14:textFill>
            <w14:solidFill>
              <w14:schemeClr w14:val="tx1"/>
            </w14:solidFill>
          </w14:textFill>
        </w:rPr>
        <w:br w:type="page"/>
      </w:r>
    </w:p>
    <w:p>
      <w:pPr>
        <w:pStyle w:val="205"/>
        <w:numPr>
          <w:ilvl w:val="0"/>
          <w:numId w:val="0"/>
        </w:numPr>
        <w:rPr>
          <w:highlight w:val="none"/>
        </w:rPr>
      </w:pPr>
      <w:bookmarkStart w:id="102" w:name="_Toc44847214"/>
      <w:r>
        <w:rPr>
          <w:highlight w:val="none"/>
        </w:rPr>
        <w:t>本</w:t>
      </w:r>
      <w:r>
        <w:rPr>
          <w:rFonts w:hint="eastAsia" w:eastAsiaTheme="minorEastAsia"/>
          <w:highlight w:val="none"/>
        </w:rPr>
        <w:t>规程</w:t>
      </w:r>
      <w:r>
        <w:rPr>
          <w:highlight w:val="none"/>
        </w:rPr>
        <w:t>用词说明</w:t>
      </w:r>
      <w:bookmarkEnd w:id="98"/>
      <w:bookmarkEnd w:id="99"/>
      <w:bookmarkEnd w:id="100"/>
      <w:bookmarkEnd w:id="101"/>
      <w:bookmarkEnd w:id="102"/>
    </w:p>
    <w:p>
      <w:pPr>
        <w:pStyle w:val="90"/>
        <w:numPr>
          <w:ilvl w:val="0"/>
          <w:numId w:val="76"/>
        </w:numPr>
        <w:spacing w:line="360" w:lineRule="auto"/>
        <w:ind w:left="0" w:firstLine="424" w:firstLineChars="177"/>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为便于在执行本</w:t>
      </w:r>
      <w:r>
        <w:rPr>
          <w:rFonts w:hint="eastAsia" w:ascii="Times New Roman" w:hAnsi="Times New Roman" w:cs="Times New Roman"/>
          <w:color w:val="000000" w:themeColor="text1"/>
          <w:sz w:val="24"/>
          <w:szCs w:val="24"/>
          <w:highlight w:val="none"/>
          <w14:textFill>
            <w14:solidFill>
              <w14:schemeClr w14:val="tx1"/>
            </w14:solidFill>
          </w14:textFill>
        </w:rPr>
        <w:t>规程</w:t>
      </w:r>
      <w:r>
        <w:rPr>
          <w:rFonts w:ascii="Times New Roman" w:hAnsi="Times New Roman" w:cs="Times New Roman"/>
          <w:color w:val="000000" w:themeColor="text1"/>
          <w:sz w:val="24"/>
          <w:szCs w:val="24"/>
          <w:highlight w:val="none"/>
          <w14:textFill>
            <w14:solidFill>
              <w14:schemeClr w14:val="tx1"/>
            </w14:solidFill>
          </w14:textFill>
        </w:rPr>
        <w:t>条文时区别对待，对要求严格程度不同的用词说明如下：</w:t>
      </w:r>
    </w:p>
    <w:p>
      <w:pPr>
        <w:spacing w:line="360" w:lineRule="auto"/>
        <w:ind w:firstLine="849" w:firstLineChars="354"/>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1）表示很严格，非这样做不可的：</w:t>
      </w:r>
    </w:p>
    <w:p>
      <w:pPr>
        <w:spacing w:line="360" w:lineRule="auto"/>
        <w:ind w:firstLine="1202" w:firstLineChars="501"/>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正面词采用“必须”，反面词采用“严禁”；</w:t>
      </w:r>
    </w:p>
    <w:p>
      <w:pPr>
        <w:spacing w:line="360" w:lineRule="auto"/>
        <w:ind w:firstLine="849" w:firstLineChars="354"/>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2）表示严格，在正常情况下均应这样做的：</w:t>
      </w:r>
    </w:p>
    <w:p>
      <w:pPr>
        <w:spacing w:line="360" w:lineRule="auto"/>
        <w:ind w:firstLine="1202" w:firstLineChars="501"/>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正面词采用“应”，反面词采用“不应”或“不得”；</w:t>
      </w:r>
    </w:p>
    <w:p>
      <w:pPr>
        <w:spacing w:line="360" w:lineRule="auto"/>
        <w:ind w:firstLine="849" w:firstLineChars="354"/>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3）表示允许稍有选择，在条件许可时首先应这样做的：</w:t>
      </w:r>
    </w:p>
    <w:p>
      <w:pPr>
        <w:spacing w:line="360" w:lineRule="auto"/>
        <w:ind w:firstLine="1202" w:firstLineChars="501"/>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正面词采用“宜”，反面词采用“不宜”；</w:t>
      </w:r>
    </w:p>
    <w:p>
      <w:pPr>
        <w:spacing w:line="360" w:lineRule="auto"/>
        <w:ind w:firstLine="849" w:firstLineChars="354"/>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4）表示有选择，在一定条件下可以这样做的，采用“可”。</w:t>
      </w:r>
    </w:p>
    <w:p>
      <w:pPr>
        <w:spacing w:line="360" w:lineRule="auto"/>
        <w:ind w:firstLine="431"/>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b/>
          <w:color w:val="000000" w:themeColor="text1"/>
          <w:sz w:val="24"/>
          <w:szCs w:val="24"/>
          <w:highlight w:val="none"/>
          <w14:textFill>
            <w14:solidFill>
              <w14:schemeClr w14:val="tx1"/>
            </w14:solidFill>
          </w14:textFill>
        </w:rPr>
        <w:t>2　</w:t>
      </w:r>
      <w:r>
        <w:rPr>
          <w:rFonts w:hint="eastAsia" w:ascii="Times New Roman" w:hAnsi="Times New Roman" w:cs="Times New Roman"/>
          <w:color w:val="000000" w:themeColor="text1"/>
          <w:sz w:val="24"/>
          <w:szCs w:val="24"/>
          <w:highlight w:val="none"/>
          <w14:textFill>
            <w14:solidFill>
              <w14:schemeClr w14:val="tx1"/>
            </w14:solidFill>
          </w14:textFill>
        </w:rPr>
        <w:t>条文</w:t>
      </w:r>
      <w:r>
        <w:rPr>
          <w:rFonts w:ascii="Times New Roman" w:hAnsi="Times New Roman" w:cs="Times New Roman"/>
          <w:color w:val="000000" w:themeColor="text1"/>
          <w:sz w:val="24"/>
          <w:szCs w:val="24"/>
          <w:highlight w:val="none"/>
          <w14:textFill>
            <w14:solidFill>
              <w14:schemeClr w14:val="tx1"/>
            </w14:solidFill>
          </w14:textFill>
        </w:rPr>
        <w:t>中指明应按其他有关标准执行的写法为：“应符合……的规定”或“应按……执行”。</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p>
    <w:p>
      <w:pPr>
        <w:spacing w:line="360" w:lineRule="auto"/>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br w:type="page"/>
      </w:r>
    </w:p>
    <w:p>
      <w:pPr>
        <w:pStyle w:val="205"/>
        <w:numPr>
          <w:ilvl w:val="0"/>
          <w:numId w:val="0"/>
        </w:numPr>
        <w:rPr>
          <w:highlight w:val="none"/>
        </w:rPr>
      </w:pPr>
      <w:bookmarkStart w:id="103" w:name="_Toc368167194"/>
      <w:bookmarkStart w:id="104" w:name="_Toc361232870"/>
      <w:bookmarkStart w:id="105" w:name="_Toc44847215"/>
      <w:bookmarkStart w:id="106" w:name="_Toc532730624"/>
      <w:bookmarkStart w:id="107" w:name="_Toc361925511"/>
      <w:r>
        <w:rPr>
          <w:highlight w:val="none"/>
        </w:rPr>
        <w:t>引用标准名录</w:t>
      </w:r>
      <w:bookmarkEnd w:id="103"/>
      <w:bookmarkEnd w:id="104"/>
      <w:bookmarkEnd w:id="105"/>
      <w:bookmarkEnd w:id="106"/>
      <w:bookmarkEnd w:id="107"/>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《室内空气质量标准》</w:t>
      </w:r>
      <w:r>
        <w:rPr>
          <w:rFonts w:ascii="Times New Roman" w:hAnsi="Times New Roman" w:cs="Times New Roman"/>
          <w:color w:val="000000" w:themeColor="text1"/>
          <w:sz w:val="24"/>
          <w:szCs w:val="24"/>
          <w:highlight w:val="none"/>
          <w14:textFill>
            <w14:solidFill>
              <w14:schemeClr w14:val="tx1"/>
            </w14:solidFill>
          </w14:textFill>
        </w:rPr>
        <w:t>GB/T 18883</w:t>
      </w:r>
    </w:p>
    <w:p>
      <w:pPr>
        <w:spacing w:line="360" w:lineRule="auto"/>
        <w:rPr>
          <w:rFonts w:ascii="Times New Roman" w:hAnsi="Times New Roman" w:cs="Times New Roman"/>
          <w:bCs/>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《通风系统用空气净化装置》</w:t>
      </w:r>
      <w:r>
        <w:rPr>
          <w:rFonts w:ascii="Times New Roman" w:hAnsi="Times New Roman" w:cs="Times New Roman"/>
          <w:bCs/>
          <w:color w:val="000000" w:themeColor="text1"/>
          <w:sz w:val="24"/>
          <w:szCs w:val="24"/>
          <w:highlight w:val="none"/>
          <w14:textFill>
            <w14:solidFill>
              <w14:schemeClr w14:val="tx1"/>
            </w14:solidFill>
          </w14:textFill>
        </w:rPr>
        <w:t>GB/T 34012</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《建筑抗震设计规范》GB50011</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《建筑设计防火规范》</w:t>
      </w:r>
      <w:r>
        <w:rPr>
          <w:rFonts w:ascii="Times New Roman" w:hAnsi="Times New Roman" w:cs="Times New Roman"/>
          <w:color w:val="000000" w:themeColor="text1"/>
          <w:sz w:val="24"/>
          <w:szCs w:val="24"/>
          <w:highlight w:val="none"/>
          <w14:textFill>
            <w14:solidFill>
              <w14:schemeClr w14:val="tx1"/>
            </w14:solidFill>
          </w14:textFill>
        </w:rPr>
        <w:t>GB 50016</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《工业建筑供暖通风与空气调节设计规范》GB 50019</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《压缩空气站设计规范》GB 50029</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《建筑照明设计标准》GB 50034</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《供配电系统设计规范》</w:t>
      </w:r>
      <w:r>
        <w:rPr>
          <w:rFonts w:ascii="Times New Roman" w:hAnsi="Times New Roman" w:cs="Times New Roman"/>
          <w:color w:val="000000" w:themeColor="text1"/>
          <w:sz w:val="24"/>
          <w:szCs w:val="24"/>
          <w:highlight w:val="none"/>
          <w14:textFill>
            <w14:solidFill>
              <w14:schemeClr w14:val="tx1"/>
            </w14:solidFill>
          </w14:textFill>
        </w:rPr>
        <w:t>GBJ 50052</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《低压配电设计规范》</w:t>
      </w:r>
      <w:r>
        <w:rPr>
          <w:rFonts w:ascii="Times New Roman" w:hAnsi="Times New Roman" w:cs="Times New Roman"/>
          <w:color w:val="000000" w:themeColor="text1"/>
          <w:sz w:val="24"/>
          <w:szCs w:val="24"/>
          <w:highlight w:val="none"/>
          <w14:textFill>
            <w14:solidFill>
              <w14:schemeClr w14:val="tx1"/>
            </w14:solidFill>
          </w14:textFill>
        </w:rPr>
        <w:t>GB 50054</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《建筑物防雷设计规范》GB50057</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《洁净厂房设计规范》</w:t>
      </w:r>
      <w:r>
        <w:rPr>
          <w:rFonts w:ascii="Times New Roman" w:hAnsi="Times New Roman" w:cs="Times New Roman"/>
          <w:color w:val="000000" w:themeColor="text1"/>
          <w:sz w:val="24"/>
          <w:szCs w:val="24"/>
          <w:highlight w:val="none"/>
          <w14:textFill>
            <w14:solidFill>
              <w14:schemeClr w14:val="tx1"/>
            </w14:solidFill>
          </w14:textFill>
        </w:rPr>
        <w:t>GB 50073</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《自动喷水灭火系统设计规范》</w:t>
      </w:r>
      <w:r>
        <w:rPr>
          <w:rFonts w:ascii="Times New Roman" w:hAnsi="Times New Roman" w:cs="Times New Roman"/>
          <w:color w:val="000000" w:themeColor="text1"/>
          <w:sz w:val="24"/>
          <w:szCs w:val="24"/>
          <w:highlight w:val="none"/>
          <w14:textFill>
            <w14:solidFill>
              <w14:schemeClr w14:val="tx1"/>
            </w14:solidFill>
          </w14:textFill>
        </w:rPr>
        <w:t>GB 50084</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《工业企业噪声控制设计规范》</w:t>
      </w:r>
      <w:r>
        <w:rPr>
          <w:rFonts w:ascii="Times New Roman" w:hAnsi="Times New Roman" w:cs="Times New Roman"/>
          <w:color w:val="000000" w:themeColor="text1"/>
          <w:sz w:val="24"/>
          <w:szCs w:val="24"/>
          <w:highlight w:val="none"/>
          <w14:textFill>
            <w14:solidFill>
              <w14:schemeClr w14:val="tx1"/>
            </w14:solidFill>
          </w14:textFill>
        </w:rPr>
        <w:t>GB/T 50087</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《公共建筑节能设计标准》</w:t>
      </w:r>
      <w:r>
        <w:rPr>
          <w:rFonts w:ascii="Times New Roman" w:hAnsi="Times New Roman" w:cs="Times New Roman"/>
          <w:color w:val="000000" w:themeColor="text1"/>
          <w:sz w:val="24"/>
          <w:szCs w:val="24"/>
          <w:highlight w:val="none"/>
          <w14:textFill>
            <w14:solidFill>
              <w14:schemeClr w14:val="tx1"/>
            </w14:solidFill>
          </w14:textFill>
        </w:rPr>
        <w:t>GB 50189</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《建筑内部装修设计防火规范》</w:t>
      </w:r>
      <w:r>
        <w:rPr>
          <w:rFonts w:ascii="Times New Roman" w:hAnsi="Times New Roman" w:cs="Times New Roman"/>
          <w:color w:val="000000" w:themeColor="text1"/>
          <w:sz w:val="24"/>
          <w:szCs w:val="24"/>
          <w:highlight w:val="none"/>
          <w14:textFill>
            <w14:solidFill>
              <w14:schemeClr w14:val="tx1"/>
            </w14:solidFill>
          </w14:textFill>
        </w:rPr>
        <w:t>GB 50222</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《通风与空调工程施工质量验收规范》</w:t>
      </w:r>
      <w:r>
        <w:rPr>
          <w:rFonts w:ascii="Times New Roman" w:hAnsi="Times New Roman" w:cs="Times New Roman"/>
          <w:color w:val="000000" w:themeColor="text1"/>
          <w:sz w:val="24"/>
          <w:szCs w:val="24"/>
          <w:highlight w:val="none"/>
          <w14:textFill>
            <w14:solidFill>
              <w14:schemeClr w14:val="tx1"/>
            </w14:solidFill>
          </w14:textFill>
        </w:rPr>
        <w:t>GB 50243</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《建筑电气工程施工质量验收规范》</w:t>
      </w:r>
      <w:r>
        <w:rPr>
          <w:rFonts w:ascii="Times New Roman" w:hAnsi="Times New Roman" w:cs="Times New Roman"/>
          <w:color w:val="000000" w:themeColor="text1"/>
          <w:sz w:val="24"/>
          <w:szCs w:val="24"/>
          <w:highlight w:val="none"/>
          <w14:textFill>
            <w14:solidFill>
              <w14:schemeClr w14:val="tx1"/>
            </w14:solidFill>
          </w14:textFill>
        </w:rPr>
        <w:t>GB 50303</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《智能建筑设计标准》</w:t>
      </w:r>
      <w:r>
        <w:rPr>
          <w:rFonts w:ascii="Times New Roman" w:hAnsi="Times New Roman" w:cs="Times New Roman"/>
          <w:color w:val="000000" w:themeColor="text1"/>
          <w:sz w:val="24"/>
          <w:szCs w:val="24"/>
          <w:highlight w:val="none"/>
          <w14:textFill>
            <w14:solidFill>
              <w14:schemeClr w14:val="tx1"/>
            </w14:solidFill>
          </w14:textFill>
        </w:rPr>
        <w:t>GB 50314</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《智能建筑工程质量验收规范》</w:t>
      </w:r>
      <w:r>
        <w:rPr>
          <w:rFonts w:ascii="Times New Roman" w:hAnsi="Times New Roman" w:cs="Times New Roman"/>
          <w:color w:val="000000" w:themeColor="text1"/>
          <w:sz w:val="24"/>
          <w:szCs w:val="24"/>
          <w:highlight w:val="none"/>
          <w14:textFill>
            <w14:solidFill>
              <w14:schemeClr w14:val="tx1"/>
            </w14:solidFill>
          </w14:textFill>
        </w:rPr>
        <w:t>GB 50339</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《建筑物电子信息系统防雷技术规范》</w:t>
      </w:r>
      <w:r>
        <w:rPr>
          <w:rFonts w:ascii="Times New Roman" w:hAnsi="Times New Roman" w:cs="Times New Roman"/>
          <w:color w:val="000000" w:themeColor="text1"/>
          <w:sz w:val="24"/>
          <w:szCs w:val="24"/>
          <w:highlight w:val="none"/>
          <w14:textFill>
            <w14:solidFill>
              <w14:schemeClr w14:val="tx1"/>
            </w14:solidFill>
          </w14:textFill>
        </w:rPr>
        <w:t>GB50343</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《安全防范工程技术标准》</w:t>
      </w:r>
      <w:r>
        <w:rPr>
          <w:rFonts w:ascii="Times New Roman" w:hAnsi="Times New Roman" w:cs="Times New Roman"/>
          <w:color w:val="000000" w:themeColor="text1"/>
          <w:sz w:val="24"/>
          <w:szCs w:val="24"/>
          <w:highlight w:val="none"/>
          <w14:textFill>
            <w14:solidFill>
              <w14:schemeClr w14:val="tx1"/>
            </w14:solidFill>
          </w14:textFill>
        </w:rPr>
        <w:t>GB 50348</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《隔振设计规范》</w:t>
      </w:r>
      <w:r>
        <w:rPr>
          <w:rFonts w:ascii="Times New Roman" w:hAnsi="Times New Roman" w:cs="Times New Roman"/>
          <w:color w:val="000000" w:themeColor="text1"/>
          <w:sz w:val="24"/>
          <w:szCs w:val="24"/>
          <w:highlight w:val="none"/>
          <w14:textFill>
            <w14:solidFill>
              <w14:schemeClr w14:val="tx1"/>
            </w14:solidFill>
          </w14:textFill>
        </w:rPr>
        <w:t>GB 50463</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《电子工业洁净厂房设计规范》</w:t>
      </w:r>
      <w:r>
        <w:rPr>
          <w:rFonts w:ascii="Times New Roman" w:hAnsi="Times New Roman" w:cs="Times New Roman"/>
          <w:color w:val="000000" w:themeColor="text1"/>
          <w:sz w:val="24"/>
          <w:szCs w:val="24"/>
          <w:highlight w:val="none"/>
          <w14:textFill>
            <w14:solidFill>
              <w14:schemeClr w14:val="tx1"/>
            </w14:solidFill>
          </w14:textFill>
        </w:rPr>
        <w:t>GB 50472</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《洁净室施工及验收规范》</w:t>
      </w:r>
      <w:r>
        <w:rPr>
          <w:rFonts w:ascii="Times New Roman" w:hAnsi="Times New Roman" w:cs="Times New Roman"/>
          <w:color w:val="000000" w:themeColor="text1"/>
          <w:sz w:val="24"/>
          <w:szCs w:val="24"/>
          <w:highlight w:val="none"/>
          <w14:textFill>
            <w14:solidFill>
              <w14:schemeClr w14:val="tx1"/>
            </w14:solidFill>
          </w14:textFill>
        </w:rPr>
        <w:t>GB 50591</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《智能建筑工程施工规范》</w:t>
      </w:r>
      <w:r>
        <w:rPr>
          <w:rFonts w:ascii="Times New Roman" w:hAnsi="Times New Roman" w:cs="Times New Roman"/>
          <w:color w:val="000000" w:themeColor="text1"/>
          <w:sz w:val="24"/>
          <w:szCs w:val="24"/>
          <w:highlight w:val="none"/>
          <w14:textFill>
            <w14:solidFill>
              <w14:schemeClr w14:val="tx1"/>
            </w14:solidFill>
          </w14:textFill>
        </w:rPr>
        <w:t>GB 50606</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《民用建筑供暖通风与空气调节设计规范》</w:t>
      </w:r>
      <w:r>
        <w:rPr>
          <w:rFonts w:ascii="Times New Roman" w:hAnsi="Times New Roman" w:cs="Times New Roman"/>
          <w:color w:val="000000" w:themeColor="text1"/>
          <w:sz w:val="24"/>
          <w:szCs w:val="24"/>
          <w:highlight w:val="none"/>
          <w14:textFill>
            <w14:solidFill>
              <w14:schemeClr w14:val="tx1"/>
            </w14:solidFill>
          </w14:textFill>
        </w:rPr>
        <w:t>GB 50736</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《防静电工程施工与质量验收规范》</w:t>
      </w:r>
      <w:r>
        <w:rPr>
          <w:rFonts w:ascii="Times New Roman" w:hAnsi="Times New Roman" w:cs="Times New Roman"/>
          <w:color w:val="000000" w:themeColor="text1"/>
          <w:sz w:val="24"/>
          <w:szCs w:val="24"/>
          <w:highlight w:val="none"/>
          <w14:textFill>
            <w14:solidFill>
              <w14:schemeClr w14:val="tx1"/>
            </w14:solidFill>
          </w14:textFill>
        </w:rPr>
        <w:t>GB 50944</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《电子工业防微振工程技术规范》GB 51076</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《科研建筑设计标准》</w:t>
      </w:r>
      <w:r>
        <w:rPr>
          <w:rFonts w:ascii="Times New Roman" w:hAnsi="Times New Roman" w:cs="Times New Roman"/>
          <w:color w:val="000000" w:themeColor="text1"/>
          <w:sz w:val="24"/>
          <w:szCs w:val="24"/>
          <w:highlight w:val="none"/>
          <w14:textFill>
            <w14:solidFill>
              <w14:schemeClr w14:val="tx1"/>
            </w14:solidFill>
          </w14:textFill>
        </w:rPr>
        <w:t>JGJ 91</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《洁净工作台》</w:t>
      </w:r>
      <w:r>
        <w:rPr>
          <w:rFonts w:ascii="Times New Roman" w:hAnsi="Times New Roman" w:cs="Times New Roman"/>
          <w:color w:val="000000" w:themeColor="text1"/>
          <w:sz w:val="24"/>
          <w:szCs w:val="24"/>
          <w:highlight w:val="none"/>
          <w14:textFill>
            <w14:solidFill>
              <w14:schemeClr w14:val="tx1"/>
            </w14:solidFill>
          </w14:textFill>
        </w:rPr>
        <w:t>JG/T292</w:t>
      </w:r>
    </w:p>
    <w:p>
      <w:pPr>
        <w:widowControl/>
        <w:spacing w:before="156" w:beforeLines="50" w:line="360" w:lineRule="auto"/>
        <w:ind w:left="284"/>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spacing w:line="360" w:lineRule="auto"/>
        <w:jc w:val="center"/>
        <w:rPr>
          <w:rFonts w:ascii="Times New Roman" w:hAnsi="Times New Roman" w:cs="Times New Roman"/>
          <w:b/>
          <w:color w:val="000000" w:themeColor="text1"/>
          <w:sz w:val="32"/>
          <w:szCs w:val="32"/>
          <w:highlight w:val="none"/>
          <w14:textFill>
            <w14:solidFill>
              <w14:schemeClr w14:val="tx1"/>
            </w14:solidFill>
          </w14:textFill>
        </w:rPr>
      </w:pPr>
    </w:p>
    <w:p>
      <w:pPr>
        <w:spacing w:line="360" w:lineRule="auto"/>
        <w:jc w:val="center"/>
        <w:rPr>
          <w:rFonts w:ascii="Times New Roman" w:hAnsi="Times New Roman" w:cs="Times New Roman"/>
          <w:b/>
          <w:color w:val="000000" w:themeColor="text1"/>
          <w:sz w:val="32"/>
          <w:szCs w:val="32"/>
          <w:highlight w:val="none"/>
          <w14:textFill>
            <w14:solidFill>
              <w14:schemeClr w14:val="tx1"/>
            </w14:solidFill>
          </w14:textFill>
        </w:rPr>
      </w:pPr>
      <w:r>
        <w:rPr>
          <w:rFonts w:ascii="Times New Roman" w:hAnsi="Times New Roman" w:cs="Times New Roman"/>
          <w:b/>
          <w:color w:val="000000" w:themeColor="text1"/>
          <w:sz w:val="32"/>
          <w:szCs w:val="32"/>
          <w:highlight w:val="none"/>
          <w14:textFill>
            <w14:solidFill>
              <w14:schemeClr w14:val="tx1"/>
            </w14:solidFill>
          </w14:textFill>
        </w:rPr>
        <w:t>中国工程建设标准化协会标准</w:t>
      </w:r>
    </w:p>
    <w:p>
      <w:pPr>
        <w:spacing w:line="360" w:lineRule="auto"/>
        <w:jc w:val="center"/>
        <w:rPr>
          <w:rFonts w:ascii="Times New Roman" w:hAnsi="Times New Roman" w:cs="Times New Roman"/>
          <w:b/>
          <w:color w:val="000000" w:themeColor="text1"/>
          <w:sz w:val="28"/>
          <w:szCs w:val="28"/>
          <w:highlight w:val="none"/>
          <w14:textFill>
            <w14:solidFill>
              <w14:schemeClr w14:val="tx1"/>
            </w14:solidFill>
          </w14:textFill>
        </w:rPr>
      </w:pPr>
    </w:p>
    <w:p>
      <w:pPr>
        <w:pStyle w:val="83"/>
        <w:ind w:firstLine="2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几何量测量实验室工程技术规程</w:t>
      </w:r>
    </w:p>
    <w:p>
      <w:pPr>
        <w:spacing w:line="360" w:lineRule="auto"/>
        <w:jc w:val="center"/>
        <w:rPr>
          <w:rFonts w:ascii="Times New Roman" w:hAnsi="Times New Roman" w:cs="Times New Roman"/>
          <w:color w:val="000000" w:themeColor="text1"/>
          <w:highlight w:val="none"/>
          <w:lang w:val="fr-FR"/>
          <w14:textFill>
            <w14:solidFill>
              <w14:schemeClr w14:val="tx1"/>
            </w14:solidFill>
          </w14:textFill>
        </w:rPr>
      </w:pPr>
    </w:p>
    <w:p>
      <w:pPr>
        <w:pStyle w:val="19"/>
        <w:spacing w:line="360" w:lineRule="auto"/>
        <w:jc w:val="center"/>
        <w:rPr>
          <w:rFonts w:ascii="Times New Roman" w:hAnsi="Times New Roman"/>
          <w:b/>
          <w:color w:val="000000" w:themeColor="text1"/>
          <w:sz w:val="24"/>
          <w:szCs w:val="24"/>
          <w:highlight w:val="none"/>
          <w14:textFill>
            <w14:solidFill>
              <w14:schemeClr w14:val="tx1"/>
            </w14:solidFill>
          </w14:textFill>
        </w:rPr>
      </w:pPr>
      <w:r>
        <w:rPr>
          <w:rFonts w:ascii="Times New Roman" w:hAnsi="Times New Roman"/>
          <w:b/>
          <w:color w:val="000000" w:themeColor="text1"/>
          <w:sz w:val="24"/>
          <w:szCs w:val="24"/>
          <w:highlight w:val="none"/>
          <w14:textFill>
            <w14:solidFill>
              <w14:schemeClr w14:val="tx1"/>
            </w14:solidFill>
          </w14:textFill>
        </w:rPr>
        <w:t>T/CECS *** -20XX</w:t>
      </w:r>
    </w:p>
    <w:p>
      <w:pPr>
        <w:spacing w:line="360" w:lineRule="auto"/>
        <w:jc w:val="center"/>
        <w:rPr>
          <w:rFonts w:ascii="Times New Roman" w:hAnsi="Times New Roman" w:cs="Times New Roman"/>
          <w:b/>
          <w:color w:val="000000" w:themeColor="text1"/>
          <w:highlight w:val="none"/>
          <w14:textFill>
            <w14:solidFill>
              <w14:schemeClr w14:val="tx1"/>
            </w14:solidFill>
          </w14:textFill>
        </w:rPr>
      </w:pPr>
    </w:p>
    <w:p>
      <w:pPr>
        <w:spacing w:line="360" w:lineRule="auto"/>
        <w:jc w:val="center"/>
        <w:rPr>
          <w:rFonts w:ascii="Times New Roman" w:hAnsi="Times New Roman" w:cs="Times New Roman"/>
          <w:b/>
          <w:color w:val="000000" w:themeColor="text1"/>
          <w:sz w:val="32"/>
          <w:szCs w:val="32"/>
          <w:highlight w:val="none"/>
          <w14:textFill>
            <w14:solidFill>
              <w14:schemeClr w14:val="tx1"/>
            </w14:solidFill>
          </w14:textFill>
        </w:rPr>
      </w:pPr>
    </w:p>
    <w:p>
      <w:pPr>
        <w:spacing w:line="360" w:lineRule="auto"/>
        <w:jc w:val="center"/>
        <w:rPr>
          <w:rFonts w:ascii="Times New Roman" w:hAnsi="Times New Roman" w:cs="Times New Roman"/>
          <w:b/>
          <w:color w:val="000000" w:themeColor="text1"/>
          <w:sz w:val="32"/>
          <w:szCs w:val="32"/>
          <w:highlight w:val="none"/>
          <w14:textFill>
            <w14:solidFill>
              <w14:schemeClr w14:val="tx1"/>
            </w14:solidFill>
          </w14:textFill>
        </w:rPr>
      </w:pPr>
    </w:p>
    <w:p>
      <w:pPr>
        <w:spacing w:line="360" w:lineRule="auto"/>
        <w:jc w:val="center"/>
        <w:rPr>
          <w:rFonts w:ascii="Times New Roman" w:hAnsi="Times New Roman" w:cs="Times New Roman"/>
          <w:b/>
          <w:color w:val="000000" w:themeColor="text1"/>
          <w:sz w:val="32"/>
          <w:szCs w:val="32"/>
          <w:highlight w:val="none"/>
          <w14:textFill>
            <w14:solidFill>
              <w14:schemeClr w14:val="tx1"/>
            </w14:solidFill>
          </w14:textFill>
        </w:rPr>
      </w:pPr>
    </w:p>
    <w:p>
      <w:pPr>
        <w:pStyle w:val="2"/>
        <w:ind w:right="3400" w:rightChars="1619" w:firstLine="3402" w:firstLineChars="1059"/>
        <w:jc w:val="distribute"/>
        <w:rPr>
          <w:rFonts w:asciiTheme="minorEastAsia" w:hAnsiTheme="minorEastAsia" w:eastAsiaTheme="minorEastAsia"/>
          <w:color w:val="000000" w:themeColor="text1"/>
          <w:sz w:val="32"/>
          <w:highlight w:val="none"/>
          <w14:textFill>
            <w14:solidFill>
              <w14:schemeClr w14:val="tx1"/>
            </w14:solidFill>
          </w14:textFill>
        </w:rPr>
      </w:pPr>
      <w:bookmarkStart w:id="108" w:name="_Toc489979669"/>
      <w:bookmarkStart w:id="109" w:name="_Toc532730625"/>
      <w:bookmarkStart w:id="110" w:name="_Toc505592164"/>
      <w:bookmarkStart w:id="111" w:name="_Toc471299376"/>
      <w:bookmarkStart w:id="112" w:name="_Toc46324319"/>
      <w:bookmarkStart w:id="113" w:name="_Toc471331177"/>
      <w:bookmarkStart w:id="114" w:name="_Toc52395656"/>
      <w:bookmarkStart w:id="115" w:name="_Toc479786090"/>
      <w:bookmarkStart w:id="116" w:name="_Toc479785464"/>
      <w:r>
        <w:rPr>
          <w:rFonts w:asciiTheme="minorEastAsia" w:hAnsiTheme="minorEastAsia" w:eastAsiaTheme="minorEastAsia"/>
          <w:color w:val="000000" w:themeColor="text1"/>
          <w:sz w:val="32"/>
          <w:highlight w:val="none"/>
          <w14:textFill>
            <w14:solidFill>
              <w14:schemeClr w14:val="tx1"/>
            </w14:solidFill>
          </w14:textFill>
        </w:rPr>
        <w:t>条文说明</w:t>
      </w:r>
      <w:bookmarkEnd w:id="108"/>
      <w:bookmarkEnd w:id="109"/>
      <w:bookmarkEnd w:id="110"/>
      <w:bookmarkEnd w:id="111"/>
      <w:bookmarkEnd w:id="112"/>
      <w:bookmarkEnd w:id="113"/>
      <w:bookmarkEnd w:id="114"/>
      <w:bookmarkEnd w:id="115"/>
      <w:bookmarkEnd w:id="116"/>
    </w:p>
    <w:p>
      <w:pPr>
        <w:spacing w:line="360" w:lineRule="auto"/>
        <w:jc w:val="center"/>
        <w:rPr>
          <w:rFonts w:ascii="Times New Roman" w:hAnsi="Times New Roman" w:cs="Times New Roman"/>
          <w:b/>
          <w:color w:val="000000" w:themeColor="text1"/>
          <w:sz w:val="28"/>
          <w:szCs w:val="28"/>
          <w:highlight w:val="none"/>
          <w14:textFill>
            <w14:solidFill>
              <w14:schemeClr w14:val="tx1"/>
            </w14:solidFill>
          </w14:textFill>
        </w:rPr>
      </w:pPr>
    </w:p>
    <w:p>
      <w:pPr>
        <w:spacing w:line="360" w:lineRule="auto"/>
        <w:jc w:val="center"/>
        <w:rPr>
          <w:rFonts w:ascii="Times New Roman" w:hAnsi="Times New Roman" w:cs="Times New Roman"/>
          <w:b/>
          <w:color w:val="000000" w:themeColor="text1"/>
          <w:sz w:val="28"/>
          <w:szCs w:val="28"/>
          <w:highlight w:val="none"/>
          <w14:textFill>
            <w14:solidFill>
              <w14:schemeClr w14:val="tx1"/>
            </w14:solidFill>
          </w14:textFill>
        </w:rPr>
      </w:pPr>
      <w:r>
        <w:rPr>
          <w:rFonts w:ascii="Times New Roman" w:hAnsi="Times New Roman" w:cs="Times New Roman"/>
          <w:b/>
          <w:color w:val="000000" w:themeColor="text1"/>
          <w:sz w:val="28"/>
          <w:szCs w:val="28"/>
          <w:highlight w:val="none"/>
          <w14:textFill>
            <w14:solidFill>
              <w14:schemeClr w14:val="tx1"/>
            </w14:solidFill>
          </w14:textFill>
        </w:rPr>
        <w:br w:type="page"/>
      </w:r>
    </w:p>
    <w:sdt>
      <w:sdtPr>
        <w:rPr>
          <w:rFonts w:ascii="Times New Roman" w:hAnsi="Times New Roman" w:eastAsia="黑体" w:cs="Times New Roman"/>
          <w:color w:val="000000" w:themeColor="text1"/>
          <w:sz w:val="28"/>
          <w:szCs w:val="28"/>
          <w:highlight w:val="none"/>
          <w:lang w:val="zh-CN"/>
          <w14:textFill>
            <w14:solidFill>
              <w14:schemeClr w14:val="tx1"/>
            </w14:solidFill>
          </w14:textFill>
        </w:rPr>
        <w:id w:val="157975119"/>
        <w:docPartObj>
          <w:docPartGallery w:val="Table of Contents"/>
          <w:docPartUnique/>
        </w:docPartObj>
      </w:sdtPr>
      <w:sdtEndPr>
        <w:rPr>
          <w:rFonts w:ascii="Times New Roman" w:hAnsi="Times New Roman" w:eastAsia="宋体" w:cs="Times New Roman"/>
          <w:color w:val="000000" w:themeColor="text1"/>
          <w:sz w:val="21"/>
          <w:szCs w:val="21"/>
          <w:highlight w:val="none"/>
          <w:lang w:val="zh-CN"/>
          <w14:textFill>
            <w14:solidFill>
              <w14:schemeClr w14:val="tx1"/>
            </w14:solidFill>
          </w14:textFill>
        </w:rPr>
      </w:sdtEndPr>
      <w:sdtContent>
        <w:p>
          <w:pPr>
            <w:keepNext/>
            <w:keepLines/>
            <w:widowControl/>
            <w:spacing w:before="851" w:line="360" w:lineRule="auto"/>
            <w:jc w:val="center"/>
            <w:rPr>
              <w:color w:val="000000" w:themeColor="text1"/>
              <w:highlight w:val="none"/>
              <w14:textFill>
                <w14:solidFill>
                  <w14:schemeClr w14:val="tx1"/>
                </w14:solidFill>
              </w14:textFill>
            </w:rPr>
          </w:pPr>
          <w:bookmarkStart w:id="117" w:name="_Hlk32422418"/>
          <w:r>
            <w:rPr>
              <w:rFonts w:ascii="仿宋" w:hAnsi="仿宋" w:eastAsia="仿宋" w:cs="Times New Roman"/>
              <w:color w:val="000000" w:themeColor="text1"/>
              <w:sz w:val="32"/>
              <w:szCs w:val="32"/>
              <w:highlight w:val="none"/>
              <w14:textFill>
                <w14:solidFill>
                  <w14:schemeClr w14:val="tx1"/>
                </w14:solidFill>
              </w14:textFill>
            </w:rPr>
            <w:t xml:space="preserve">目    </w:t>
          </w:r>
          <w:r>
            <w:rPr>
              <w:rFonts w:hint="eastAsia" w:ascii="仿宋" w:hAnsi="仿宋" w:eastAsia="仿宋" w:cs="Times New Roman"/>
              <w:color w:val="000000" w:themeColor="text1"/>
              <w:sz w:val="32"/>
              <w:szCs w:val="32"/>
              <w:highlight w:val="none"/>
              <w14:textFill>
                <w14:solidFill>
                  <w14:schemeClr w14:val="tx1"/>
                </w14:solidFill>
              </w14:textFill>
            </w:rPr>
            <w:t>次</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TOC \o "1-3" \h \z \u </w:instrText>
          </w:r>
          <w:r>
            <w:rPr>
              <w:color w:val="000000" w:themeColor="text1"/>
              <w:highlight w:val="none"/>
              <w14:textFill>
                <w14:solidFill>
                  <w14:schemeClr w14:val="tx1"/>
                </w14:solidFill>
              </w14:textFill>
            </w:rPr>
            <w:fldChar w:fldCharType="separate"/>
          </w:r>
        </w:p>
        <w:p>
          <w:pPr>
            <w:pStyle w:val="25"/>
            <w:tabs>
              <w:tab w:val="right" w:leader="dot" w:pos="8296"/>
            </w:tabs>
            <w:spacing w:line="360" w:lineRule="auto"/>
            <w:ind w:firstLine="280"/>
            <w:rPr>
              <w:rFonts w:ascii="Times New Roman" w:hAnsi="Times New Roman" w:cs="Times New Roman" w:eastAsiaTheme="majorEastAsia"/>
              <w:color w:val="000000" w:themeColor="text1"/>
              <w:sz w:val="24"/>
              <w:szCs w:val="24"/>
              <w:highlight w:val="none"/>
              <w14:textFill>
                <w14:solidFill>
                  <w14:schemeClr w14:val="tx1"/>
                </w14:solidFill>
              </w14:textFill>
            </w:rPr>
          </w:pPr>
          <w:r>
            <w:rPr>
              <w:color w:val="000000" w:themeColor="text1"/>
              <w:highlight w:val="none"/>
              <w14:textFill>
                <w14:solidFill>
                  <w14:schemeClr w14:val="tx1"/>
                </w14:solidFill>
              </w14:textFill>
            </w:rPr>
            <w:fldChar w:fldCharType="end"/>
          </w:r>
        </w:p>
        <w:p>
          <w:pPr>
            <w:pStyle w:val="25"/>
            <w:tabs>
              <w:tab w:val="left" w:pos="420"/>
              <w:tab w:val="right" w:leader="dot" w:pos="8296"/>
            </w:tabs>
            <w:spacing w:line="360" w:lineRule="auto"/>
            <w:ind w:firstLine="240"/>
            <w:rPr>
              <w:rStyle w:val="42"/>
              <w:rFonts w:ascii="Times New Roman" w:hAnsi="Times New Roman" w:cs="Times New Roman"/>
              <w:b/>
              <w:bCs/>
              <w:color w:val="000000" w:themeColor="text1"/>
              <w:sz w:val="24"/>
              <w:szCs w:val="24"/>
              <w:highlight w:val="none"/>
              <w:u w:val="none"/>
              <w14:textFill>
                <w14:solidFill>
                  <w14:schemeClr w14:val="tx1"/>
                </w14:solidFill>
              </w14:textFill>
            </w:rPr>
          </w:pPr>
          <w:r>
            <w:rPr>
              <w:highlight w:val="none"/>
            </w:rPr>
            <w:fldChar w:fldCharType="begin"/>
          </w:r>
          <w:r>
            <w:rPr>
              <w:highlight w:val="none"/>
            </w:rPr>
            <w:instrText xml:space="preserve"> HYPERLINK \l "_Toc44847218" </w:instrText>
          </w:r>
          <w:r>
            <w:rPr>
              <w:highlight w:val="none"/>
            </w:rPr>
            <w:fldChar w:fldCharType="separate"/>
          </w:r>
          <w:r>
            <w:rPr>
              <w:rStyle w:val="42"/>
              <w:rFonts w:ascii="Times New Roman" w:hAnsi="Times New Roman" w:cs="Times New Roman"/>
              <w:b/>
              <w:bCs/>
              <w:color w:val="000000" w:themeColor="text1"/>
              <w:sz w:val="24"/>
              <w:szCs w:val="24"/>
              <w:highlight w:val="none"/>
              <w:u w:val="none"/>
              <w14:textFill>
                <w14:solidFill>
                  <w14:schemeClr w14:val="tx1"/>
                </w14:solidFill>
              </w14:textFill>
            </w:rPr>
            <w:t>1</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t>　</w:t>
          </w:r>
          <w:r>
            <w:rPr>
              <w:rStyle w:val="42"/>
              <w:rFonts w:ascii="Times New Roman" w:hAnsi="Times New Roman" w:cs="Times New Roman"/>
              <w:b/>
              <w:bCs/>
              <w:color w:val="000000" w:themeColor="text1"/>
              <w:sz w:val="24"/>
              <w:szCs w:val="24"/>
              <w:highlight w:val="none"/>
              <w:u w:val="none"/>
              <w14:textFill>
                <w14:solidFill>
                  <w14:schemeClr w14:val="tx1"/>
                </w14:solidFill>
              </w14:textFill>
            </w:rPr>
            <w:t>总　　则</w:t>
          </w:r>
          <w:r>
            <w:rPr>
              <w:rFonts w:ascii="Times New Roman" w:hAnsi="Times New Roman" w:cs="Times New Roman"/>
              <w:b/>
              <w:bCs/>
              <w:color w:val="000000" w:themeColor="text1"/>
              <w:sz w:val="24"/>
              <w:szCs w:val="24"/>
              <w:highlight w:val="none"/>
              <w14:textFill>
                <w14:solidFill>
                  <w14:schemeClr w14:val="tx1"/>
                </w14:solidFill>
              </w14:textFill>
            </w:rPr>
            <w:tab/>
          </w:r>
          <w:r>
            <w:rPr>
              <w:rFonts w:hint="eastAsia" w:ascii="Times New Roman" w:hAnsi="Times New Roman" w:cs="Times New Roman"/>
              <w:b/>
              <w:bCs/>
              <w:color w:val="000000" w:themeColor="text1"/>
              <w:sz w:val="24"/>
              <w:szCs w:val="24"/>
              <w:highlight w:val="none"/>
              <w14:textFill>
                <w14:solidFill>
                  <w14:schemeClr w14:val="tx1"/>
                </w14:solidFill>
              </w14:textFill>
            </w:rPr>
            <w:t>4</w:t>
          </w:r>
          <w:r>
            <w:rPr>
              <w:rFonts w:hint="eastAsia" w:ascii="Times New Roman" w:hAnsi="Times New Roman" w:cs="Times New Roman"/>
              <w:b/>
              <w:bCs/>
              <w:color w:val="000000" w:themeColor="text1"/>
              <w:sz w:val="24"/>
              <w:szCs w:val="24"/>
              <w:highlight w:val="none"/>
              <w14:textFill>
                <w14:solidFill>
                  <w14:schemeClr w14:val="tx1"/>
                </w14:solidFill>
              </w14:textFill>
            </w:rPr>
            <w:fldChar w:fldCharType="end"/>
          </w:r>
          <w:r>
            <w:rPr>
              <w:rFonts w:hint="eastAsia" w:ascii="Times New Roman" w:hAnsi="Times New Roman" w:cs="Times New Roman"/>
              <w:b/>
              <w:bCs/>
              <w:color w:val="000000" w:themeColor="text1"/>
              <w:sz w:val="24"/>
              <w:szCs w:val="24"/>
              <w:highlight w:val="none"/>
              <w14:textFill>
                <w14:solidFill>
                  <w14:schemeClr w14:val="tx1"/>
                </w14:solidFill>
              </w14:textFill>
            </w:rPr>
            <w:t>6</w:t>
          </w:r>
        </w:p>
        <w:p>
          <w:pPr>
            <w:pStyle w:val="25"/>
            <w:tabs>
              <w:tab w:val="left" w:pos="420"/>
              <w:tab w:val="right" w:leader="dot" w:pos="8296"/>
            </w:tabs>
            <w:spacing w:line="360" w:lineRule="auto"/>
            <w:ind w:firstLine="24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"_Toc44847219" </w:instrText>
          </w:r>
          <w:r>
            <w:rPr>
              <w:highlight w:val="none"/>
            </w:rPr>
            <w:fldChar w:fldCharType="separate"/>
          </w:r>
          <w:r>
            <w:rPr>
              <w:rStyle w:val="42"/>
              <w:rFonts w:ascii="Times New Roman" w:hAnsi="Times New Roman" w:cs="Times New Roman"/>
              <w:b/>
              <w:bCs/>
              <w:color w:val="000000" w:themeColor="text1"/>
              <w:sz w:val="24"/>
              <w:szCs w:val="24"/>
              <w:highlight w:val="none"/>
              <w:u w:val="none"/>
              <w14:textFill>
                <w14:solidFill>
                  <w14:schemeClr w14:val="tx1"/>
                </w14:solidFill>
              </w14:textFill>
            </w:rPr>
            <w:t>2</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t>　</w:t>
          </w:r>
          <w:r>
            <w:rPr>
              <w:rStyle w:val="42"/>
              <w:rFonts w:ascii="Times New Roman" w:hAnsi="Times New Roman" w:cs="Times New Roman"/>
              <w:b/>
              <w:bCs/>
              <w:color w:val="000000" w:themeColor="text1"/>
              <w:sz w:val="24"/>
              <w:szCs w:val="24"/>
              <w:highlight w:val="none"/>
              <w:u w:val="none"/>
              <w14:textFill>
                <w14:solidFill>
                  <w14:schemeClr w14:val="tx1"/>
                </w14:solidFill>
              </w14:textFill>
            </w:rPr>
            <w:t>术　　语</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_Toc44847219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hint="eastAsia" w:ascii="Times New Roman" w:hAnsi="Times New Roman" w:cs="Times New Roman"/>
              <w:b/>
              <w:bCs/>
              <w:color w:val="000000" w:themeColor="text1"/>
              <w:sz w:val="24"/>
              <w:szCs w:val="24"/>
              <w:highlight w:val="none"/>
              <w14:textFill>
                <w14:solidFill>
                  <w14:schemeClr w14:val="tx1"/>
                </w14:solidFill>
              </w14:textFill>
            </w:rPr>
            <w:t>47</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ind w:firstLine="24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"_Toc44847219" </w:instrText>
          </w:r>
          <w:r>
            <w:rPr>
              <w:highlight w:val="none"/>
            </w:rPr>
            <w:fldChar w:fldCharType="separate"/>
          </w:r>
          <w:r>
            <w:rPr>
              <w:rStyle w:val="42"/>
              <w:rFonts w:ascii="Times New Roman" w:hAnsi="Times New Roman" w:cs="Times New Roman"/>
              <w:b/>
              <w:bCs/>
              <w:color w:val="000000" w:themeColor="text1"/>
              <w:sz w:val="24"/>
              <w:szCs w:val="24"/>
              <w:highlight w:val="none"/>
              <w:u w:val="none"/>
              <w14:textFill>
                <w14:solidFill>
                  <w14:schemeClr w14:val="tx1"/>
                </w14:solidFill>
              </w14:textFill>
            </w:rPr>
            <w:t>3</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t>　</w:t>
          </w:r>
          <w:r>
            <w:rPr>
              <w:rStyle w:val="42"/>
              <w:rFonts w:ascii="Times New Roman" w:hAnsi="Times New Roman" w:cs="Times New Roman"/>
              <w:b/>
              <w:bCs/>
              <w:color w:val="000000" w:themeColor="text1"/>
              <w:sz w:val="24"/>
              <w:szCs w:val="24"/>
              <w:highlight w:val="none"/>
              <w:u w:val="none"/>
              <w14:textFill>
                <w14:solidFill>
                  <w14:schemeClr w14:val="tx1"/>
                </w14:solidFill>
              </w14:textFill>
            </w:rPr>
            <w:t>基本规定</w:t>
          </w:r>
          <w:r>
            <w:rPr>
              <w:rFonts w:ascii="Times New Roman" w:hAnsi="Times New Roman" w:cs="Times New Roman"/>
              <w:b/>
              <w:bCs/>
              <w:color w:val="000000" w:themeColor="text1"/>
              <w:sz w:val="24"/>
              <w:szCs w:val="24"/>
              <w:highlight w:val="none"/>
              <w14:textFill>
                <w14:solidFill>
                  <w14:schemeClr w14:val="tx1"/>
                </w14:solidFill>
              </w14:textFill>
            </w:rPr>
            <w:tab/>
          </w:r>
          <w:r>
            <w:rPr>
              <w:rFonts w:hint="eastAsia" w:ascii="Times New Roman" w:hAnsi="Times New Roman" w:cs="Times New Roman"/>
              <w:b/>
              <w:bCs/>
              <w:color w:val="000000" w:themeColor="text1"/>
              <w:sz w:val="24"/>
              <w:szCs w:val="24"/>
              <w:highlight w:val="none"/>
              <w14:textFill>
                <w14:solidFill>
                  <w14:schemeClr w14:val="tx1"/>
                </w14:solidFill>
              </w14:textFill>
            </w:rPr>
            <w:t>48</w:t>
          </w:r>
          <w:r>
            <w:rPr>
              <w:rFonts w:hint="eastAsia"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ind w:firstLine="24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"_Toc44847220" </w:instrText>
          </w:r>
          <w:r>
            <w:rPr>
              <w:highlight w:val="none"/>
            </w:rPr>
            <w:fldChar w:fldCharType="separate"/>
          </w:r>
          <w:r>
            <w:rPr>
              <w:rStyle w:val="42"/>
              <w:rFonts w:ascii="Times New Roman" w:hAnsi="Times New Roman" w:cs="Times New Roman"/>
              <w:b/>
              <w:bCs/>
              <w:color w:val="000000" w:themeColor="text1"/>
              <w:sz w:val="24"/>
              <w:szCs w:val="24"/>
              <w:highlight w:val="none"/>
              <w:u w:val="none"/>
              <w14:textFill>
                <w14:solidFill>
                  <w14:schemeClr w14:val="tx1"/>
                </w14:solidFill>
              </w14:textFill>
            </w:rPr>
            <w:t>4</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t>　</w:t>
          </w:r>
          <w:r>
            <w:rPr>
              <w:rStyle w:val="42"/>
              <w:rFonts w:ascii="Times New Roman" w:hAnsi="Times New Roman" w:cs="Times New Roman"/>
              <w:b/>
              <w:bCs/>
              <w:color w:val="000000" w:themeColor="text1"/>
              <w:sz w:val="24"/>
              <w:szCs w:val="24"/>
              <w:highlight w:val="none"/>
              <w:u w:val="none"/>
              <w14:textFill>
                <w14:solidFill>
                  <w14:schemeClr w14:val="tx1"/>
                </w14:solidFill>
              </w14:textFill>
            </w:rPr>
            <w:t>规划选址</w:t>
          </w:r>
          <w:r>
            <w:rPr>
              <w:rFonts w:ascii="Times New Roman" w:hAnsi="Times New Roman" w:cs="Times New Roman"/>
              <w:b/>
              <w:bCs/>
              <w:color w:val="000000" w:themeColor="text1"/>
              <w:sz w:val="24"/>
              <w:szCs w:val="24"/>
              <w:highlight w:val="none"/>
              <w14:textFill>
                <w14:solidFill>
                  <w14:schemeClr w14:val="tx1"/>
                </w14:solidFill>
              </w14:textFill>
            </w:rPr>
            <w:tab/>
          </w:r>
          <w:r>
            <w:rPr>
              <w:rFonts w:hint="eastAsia" w:ascii="Times New Roman" w:hAnsi="Times New Roman" w:cs="Times New Roman"/>
              <w:b/>
              <w:bCs/>
              <w:color w:val="000000" w:themeColor="text1"/>
              <w:sz w:val="24"/>
              <w:szCs w:val="24"/>
              <w:highlight w:val="none"/>
              <w14:textFill>
                <w14:solidFill>
                  <w14:schemeClr w14:val="tx1"/>
                </w14:solidFill>
              </w14:textFill>
            </w:rPr>
            <w:t>49</w:t>
          </w:r>
          <w:r>
            <w:rPr>
              <w:rFonts w:hint="eastAsia"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ind w:firstLine="24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"_Toc44847221" </w:instrText>
          </w:r>
          <w:r>
            <w:rPr>
              <w:highlight w:val="none"/>
            </w:rPr>
            <w:fldChar w:fldCharType="separate"/>
          </w:r>
          <w:r>
            <w:rPr>
              <w:rStyle w:val="42"/>
              <w:rFonts w:ascii="Times New Roman" w:hAnsi="Times New Roman" w:cs="Times New Roman"/>
              <w:b/>
              <w:bCs/>
              <w:color w:val="000000" w:themeColor="text1"/>
              <w:sz w:val="24"/>
              <w:szCs w:val="24"/>
              <w:highlight w:val="none"/>
              <w:u w:val="none"/>
              <w14:textFill>
                <w14:solidFill>
                  <w14:schemeClr w14:val="tx1"/>
                </w14:solidFill>
              </w14:textFill>
            </w:rPr>
            <w:t>5</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t>　</w:t>
          </w:r>
          <w:r>
            <w:rPr>
              <w:rStyle w:val="42"/>
              <w:rFonts w:ascii="Times New Roman" w:hAnsi="Times New Roman" w:cs="Times New Roman"/>
              <w:b/>
              <w:bCs/>
              <w:color w:val="000000" w:themeColor="text1"/>
              <w:sz w:val="24"/>
              <w:szCs w:val="24"/>
              <w:highlight w:val="none"/>
              <w:u w:val="none"/>
              <w14:textFill>
                <w14:solidFill>
                  <w14:schemeClr w14:val="tx1"/>
                </w14:solidFill>
              </w14:textFill>
            </w:rPr>
            <w:t>工艺设计</w:t>
          </w:r>
          <w:r>
            <w:rPr>
              <w:rFonts w:ascii="Times New Roman" w:hAnsi="Times New Roman" w:cs="Times New Roman"/>
              <w:b/>
              <w:bCs/>
              <w:color w:val="000000" w:themeColor="text1"/>
              <w:sz w:val="24"/>
              <w:szCs w:val="24"/>
              <w:highlight w:val="none"/>
              <w14:textFill>
                <w14:solidFill>
                  <w14:schemeClr w14:val="tx1"/>
                </w14:solidFill>
              </w14:textFill>
            </w:rPr>
            <w:tab/>
          </w:r>
          <w:r>
            <w:rPr>
              <w:rFonts w:hint="eastAsia" w:ascii="Times New Roman" w:hAnsi="Times New Roman" w:cs="Times New Roman"/>
              <w:b/>
              <w:bCs/>
              <w:color w:val="000000" w:themeColor="text1"/>
              <w:sz w:val="24"/>
              <w:szCs w:val="24"/>
              <w:highlight w:val="none"/>
              <w14:textFill>
                <w14:solidFill>
                  <w14:schemeClr w14:val="tx1"/>
                </w14:solidFill>
              </w14:textFill>
            </w:rPr>
            <w:t>50</w:t>
          </w:r>
          <w:r>
            <w:rPr>
              <w:rFonts w:hint="eastAsia"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"_Toc44847222"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5.1　实验室分类</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50</w:t>
          </w:r>
          <w:r>
            <w:rPr>
              <w:rFonts w:hint="eastAsia"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"_Toc44847223"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5.2　受控环境要求</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50</w:t>
          </w:r>
          <w:r>
            <w:rPr>
              <w:rFonts w:hint="eastAsia"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"_Toc44847224"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5.3　实验室布局</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51</w:t>
          </w:r>
          <w:r>
            <w:rPr>
              <w:rFonts w:hint="eastAsia" w:ascii="Times New Roman" w:hAnsi="Times New Roman" w:cs="Times New Roman"/>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ind w:firstLine="24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"_Toc44847225" </w:instrText>
          </w:r>
          <w:r>
            <w:rPr>
              <w:highlight w:val="none"/>
            </w:rPr>
            <w:fldChar w:fldCharType="separate"/>
          </w:r>
          <w:r>
            <w:rPr>
              <w:rStyle w:val="42"/>
              <w:rFonts w:ascii="Times New Roman" w:hAnsi="Times New Roman" w:cs="Times New Roman"/>
              <w:b/>
              <w:bCs/>
              <w:color w:val="000000" w:themeColor="text1"/>
              <w:sz w:val="24"/>
              <w:szCs w:val="24"/>
              <w:highlight w:val="none"/>
              <w:u w:val="none"/>
              <w14:textFill>
                <w14:solidFill>
                  <w14:schemeClr w14:val="tx1"/>
                </w14:solidFill>
              </w14:textFill>
            </w:rPr>
            <w:t>6</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t>　</w:t>
          </w:r>
          <w:r>
            <w:rPr>
              <w:rStyle w:val="42"/>
              <w:rFonts w:ascii="Times New Roman" w:hAnsi="Times New Roman" w:cs="Times New Roman"/>
              <w:b/>
              <w:bCs/>
              <w:color w:val="000000" w:themeColor="text1"/>
              <w:sz w:val="24"/>
              <w:szCs w:val="24"/>
              <w:highlight w:val="none"/>
              <w:u w:val="none"/>
              <w14:textFill>
                <w14:solidFill>
                  <w14:schemeClr w14:val="tx1"/>
                </w14:solidFill>
              </w14:textFill>
            </w:rPr>
            <w:t xml:space="preserve">工程设计 </w:t>
          </w:r>
          <w:r>
            <w:rPr>
              <w:rFonts w:ascii="Times New Roman" w:hAnsi="Times New Roman" w:cs="Times New Roman"/>
              <w:b/>
              <w:bCs/>
              <w:color w:val="000000" w:themeColor="text1"/>
              <w:sz w:val="24"/>
              <w:szCs w:val="24"/>
              <w:highlight w:val="none"/>
              <w14:textFill>
                <w14:solidFill>
                  <w14:schemeClr w14:val="tx1"/>
                </w14:solidFill>
              </w14:textFill>
            </w:rPr>
            <w:tab/>
          </w:r>
          <w:r>
            <w:rPr>
              <w:rFonts w:hint="eastAsia" w:ascii="Times New Roman" w:hAnsi="Times New Roman" w:cs="Times New Roman"/>
              <w:b/>
              <w:bCs/>
              <w:color w:val="000000" w:themeColor="text1"/>
              <w:sz w:val="24"/>
              <w:szCs w:val="24"/>
              <w:highlight w:val="none"/>
              <w14:textFill>
                <w14:solidFill>
                  <w14:schemeClr w14:val="tx1"/>
                </w14:solidFill>
              </w14:textFill>
            </w:rPr>
            <w:t>52</w:t>
          </w:r>
          <w:r>
            <w:rPr>
              <w:rFonts w:hint="eastAsia"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"_Toc44847226"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6.1　建筑设计</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52</w:t>
          </w:r>
          <w:r>
            <w:rPr>
              <w:rFonts w:hint="eastAsia"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"_Toc44847227"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6.2　结构及防微振设计</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_Toc44847227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5</w:t>
          </w:r>
          <w:r>
            <w:rPr>
              <w:rFonts w:hint="eastAsia" w:ascii="Times New Roman" w:hAnsi="Times New Roman" w:cs="Times New Roman"/>
              <w:color w:val="000000" w:themeColor="text1"/>
              <w:sz w:val="24"/>
              <w:szCs w:val="24"/>
              <w:highlight w:val="none"/>
              <w14:textFill>
                <w14:solidFill>
                  <w14:schemeClr w14:val="tx1"/>
                </w14:solidFill>
              </w14:textFill>
            </w:rPr>
            <w:t>3</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"_Toc44847228"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6.3　公用系统设计</w:t>
          </w:r>
          <w:r>
            <w:rPr>
              <w:rFonts w:ascii="Times New Roman" w:hAnsi="Times New Roman" w:cs="Times New Roman"/>
              <w:color w:val="000000" w:themeColor="text1"/>
              <w:sz w:val="24"/>
              <w:szCs w:val="24"/>
              <w:highlight w:val="none"/>
              <w14:textFill>
                <w14:solidFill>
                  <w14:schemeClr w14:val="tx1"/>
                </w14:solidFill>
              </w14:textFill>
            </w:rPr>
            <w:tab/>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_Toc44847228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5</w:t>
          </w:r>
          <w:r>
            <w:rPr>
              <w:rFonts w:hint="eastAsia" w:ascii="Times New Roman" w:hAnsi="Times New Roman" w:cs="Times New Roman"/>
              <w:color w:val="000000" w:themeColor="text1"/>
              <w:sz w:val="24"/>
              <w:szCs w:val="24"/>
              <w:highlight w:val="none"/>
              <w14:textFill>
                <w14:solidFill>
                  <w14:schemeClr w14:val="tx1"/>
                </w14:solidFill>
              </w14:textFill>
            </w:rPr>
            <w:t>4</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"_Toc44847229"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6.4　公用系统设计</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5</w:t>
          </w:r>
          <w:r>
            <w:rPr>
              <w:rFonts w:ascii="Times New Roman" w:hAnsi="Times New Roman" w:cs="Times New Roman"/>
              <w:color w:val="000000" w:themeColor="text1"/>
              <w:sz w:val="24"/>
              <w:szCs w:val="24"/>
              <w:highlight w:val="none"/>
              <w14:textFill>
                <w14:solidFill>
                  <w14:schemeClr w14:val="tx1"/>
                </w14:solidFill>
              </w14:textFill>
            </w:rPr>
            <w:fldChar w:fldCharType="begin"/>
          </w:r>
          <w:r>
            <w:rPr>
              <w:rFonts w:ascii="Times New Roman" w:hAnsi="Times New Roman" w:cs="Times New Roman"/>
              <w:color w:val="000000" w:themeColor="text1"/>
              <w:sz w:val="24"/>
              <w:szCs w:val="24"/>
              <w:highlight w:val="none"/>
              <w14:textFill>
                <w14:solidFill>
                  <w14:schemeClr w14:val="tx1"/>
                </w14:solidFill>
              </w14:textFill>
            </w:rPr>
            <w:instrText xml:space="preserve"> PAGEREF _Toc44847229 \h </w:instrText>
          </w:r>
          <w:r>
            <w:rPr>
              <w:rFonts w:ascii="Times New Roman" w:hAnsi="Times New Roman" w:cs="Times New Roman"/>
              <w:color w:val="000000" w:themeColor="text1"/>
              <w:sz w:val="24"/>
              <w:szCs w:val="24"/>
              <w:highlight w:val="none"/>
              <w14:textFill>
                <w14:solidFill>
                  <w14:schemeClr w14:val="tx1"/>
                </w14:solidFill>
              </w14:textFill>
            </w:rPr>
            <w:fldChar w:fldCharType="separate"/>
          </w:r>
          <w:r>
            <w:rPr>
              <w:rFonts w:ascii="Times New Roman" w:hAnsi="Times New Roman" w:cs="Times New Roman"/>
              <w:color w:val="000000" w:themeColor="text1"/>
              <w:sz w:val="24"/>
              <w:szCs w:val="24"/>
              <w:highlight w:val="none"/>
              <w14:textFill>
                <w14:solidFill>
                  <w14:schemeClr w14:val="tx1"/>
                </w14:solidFill>
              </w14:textFill>
            </w:rPr>
            <w:t>6</w:t>
          </w:r>
          <w:r>
            <w:rPr>
              <w:rFonts w:ascii="Times New Roman" w:hAnsi="Times New Roman" w:cs="Times New Roman"/>
              <w:color w:val="000000" w:themeColor="text1"/>
              <w:sz w:val="24"/>
              <w:szCs w:val="24"/>
              <w:highlight w:val="none"/>
              <w14:textFill>
                <w14:solidFill>
                  <w14:schemeClr w14:val="tx1"/>
                </w14:solidFill>
              </w14:textFill>
            </w:rPr>
            <w:fldChar w:fldCharType="end"/>
          </w:r>
          <w:r>
            <w:rPr>
              <w:rFonts w:ascii="Times New Roman" w:hAnsi="Times New Roman" w:cs="Times New Roman"/>
              <w:color w:val="000000" w:themeColor="text1"/>
              <w:sz w:val="24"/>
              <w:szCs w:val="24"/>
              <w:highlight w:val="none"/>
              <w14:textFill>
                <w14:solidFill>
                  <w14:schemeClr w14:val="tx1"/>
                </w14:solidFill>
              </w14:textFill>
            </w:rPr>
            <w:fldChar w:fldCharType="end"/>
          </w:r>
        </w:p>
        <w:p>
          <w:pPr>
            <w:pStyle w:val="25"/>
            <w:tabs>
              <w:tab w:val="left" w:pos="420"/>
              <w:tab w:val="right" w:leader="dot" w:pos="8296"/>
            </w:tabs>
            <w:spacing w:line="360" w:lineRule="auto"/>
            <w:ind w:firstLine="240"/>
            <w:rPr>
              <w:rFonts w:ascii="Times New Roman" w:hAnsi="Times New Roman" w:cs="Times New Roman"/>
              <w:b/>
              <w:bCs/>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"_Toc44847230" </w:instrText>
          </w:r>
          <w:r>
            <w:rPr>
              <w:highlight w:val="none"/>
            </w:rPr>
            <w:fldChar w:fldCharType="separate"/>
          </w:r>
          <w:r>
            <w:rPr>
              <w:rStyle w:val="42"/>
              <w:rFonts w:ascii="Times New Roman" w:hAnsi="Times New Roman" w:cs="Times New Roman"/>
              <w:b/>
              <w:bCs/>
              <w:color w:val="000000" w:themeColor="text1"/>
              <w:sz w:val="24"/>
              <w:szCs w:val="24"/>
              <w:highlight w:val="none"/>
              <w:u w:val="none"/>
              <w14:textFill>
                <w14:solidFill>
                  <w14:schemeClr w14:val="tx1"/>
                </w14:solidFill>
              </w14:textFill>
            </w:rPr>
            <w:t>8</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t>　</w:t>
          </w:r>
          <w:r>
            <w:rPr>
              <w:rStyle w:val="42"/>
              <w:rFonts w:ascii="Times New Roman" w:hAnsi="Times New Roman" w:cs="Times New Roman"/>
              <w:b/>
              <w:bCs/>
              <w:color w:val="000000" w:themeColor="text1"/>
              <w:sz w:val="24"/>
              <w:szCs w:val="24"/>
              <w:highlight w:val="none"/>
              <w:u w:val="none"/>
              <w14:textFill>
                <w14:solidFill>
                  <w14:schemeClr w14:val="tx1"/>
                </w14:solidFill>
              </w14:textFill>
            </w:rPr>
            <w:t>检测与验收</w:t>
          </w:r>
          <w:r>
            <w:rPr>
              <w:rFonts w:ascii="Times New Roman" w:hAnsi="Times New Roman" w:cs="Times New Roman"/>
              <w:b/>
              <w:bCs/>
              <w:color w:val="000000" w:themeColor="text1"/>
              <w:sz w:val="24"/>
              <w:szCs w:val="24"/>
              <w:highlight w:val="none"/>
              <w14:textFill>
                <w14:solidFill>
                  <w14:schemeClr w14:val="tx1"/>
                </w14:solidFill>
              </w14:textFill>
            </w:rPr>
            <w:tab/>
          </w:r>
          <w:r>
            <w:rPr>
              <w:rFonts w:ascii="Times New Roman" w:hAnsi="Times New Roman" w:cs="Times New Roman"/>
              <w:b/>
              <w:bCs/>
              <w:color w:val="000000" w:themeColor="text1"/>
              <w:sz w:val="24"/>
              <w:szCs w:val="24"/>
              <w:highlight w:val="none"/>
              <w14:textFill>
                <w14:solidFill>
                  <w14:schemeClr w14:val="tx1"/>
                </w14:solidFill>
              </w14:textFill>
            </w:rPr>
            <w:fldChar w:fldCharType="begin"/>
          </w:r>
          <w:r>
            <w:rPr>
              <w:rFonts w:ascii="Times New Roman" w:hAnsi="Times New Roman" w:cs="Times New Roman"/>
              <w:b/>
              <w:bCs/>
              <w:color w:val="000000" w:themeColor="text1"/>
              <w:sz w:val="24"/>
              <w:szCs w:val="24"/>
              <w:highlight w:val="none"/>
              <w14:textFill>
                <w14:solidFill>
                  <w14:schemeClr w14:val="tx1"/>
                </w14:solidFill>
              </w14:textFill>
            </w:rPr>
            <w:instrText xml:space="preserve"> PAGEREF _Toc44847230 \h </w:instrText>
          </w:r>
          <w:r>
            <w:rPr>
              <w:rFonts w:ascii="Times New Roman" w:hAnsi="Times New Roman" w:cs="Times New Roman"/>
              <w:b/>
              <w:bCs/>
              <w:color w:val="000000" w:themeColor="text1"/>
              <w:sz w:val="24"/>
              <w:szCs w:val="24"/>
              <w:highlight w:val="none"/>
              <w14:textFill>
                <w14:solidFill>
                  <w14:schemeClr w14:val="tx1"/>
                </w14:solidFill>
              </w14:textFill>
            </w:rPr>
            <w:fldChar w:fldCharType="separate"/>
          </w:r>
          <w:r>
            <w:rPr>
              <w:rFonts w:hint="eastAsia" w:ascii="Times New Roman" w:hAnsi="Times New Roman" w:cs="Times New Roman"/>
              <w:b/>
              <w:bCs/>
              <w:color w:val="000000" w:themeColor="text1"/>
              <w:sz w:val="24"/>
              <w:szCs w:val="24"/>
              <w:highlight w:val="none"/>
              <w14:textFill>
                <w14:solidFill>
                  <w14:schemeClr w14:val="tx1"/>
                </w14:solidFill>
              </w14:textFill>
            </w:rPr>
            <w:t>58</w:t>
          </w:r>
          <w:r>
            <w:rPr>
              <w:rFonts w:ascii="Times New Roman" w:hAnsi="Times New Roman" w:cs="Times New Roman"/>
              <w:b/>
              <w:bCs/>
              <w:color w:val="000000" w:themeColor="text1"/>
              <w:sz w:val="24"/>
              <w:szCs w:val="24"/>
              <w:highlight w:val="none"/>
              <w14:textFill>
                <w14:solidFill>
                  <w14:schemeClr w14:val="tx1"/>
                </w14:solidFill>
              </w14:textFill>
            </w:rPr>
            <w:fldChar w:fldCharType="end"/>
          </w:r>
          <w:r>
            <w:rPr>
              <w:rFonts w:ascii="Times New Roman" w:hAnsi="Times New Roman" w:cs="Times New Roman"/>
              <w:b/>
              <w:bCs/>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"_Toc44847231"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8.1</w:t>
          </w:r>
          <w:r>
            <w:rPr>
              <w:rFonts w:ascii="Times New Roman" w:hAnsi="Times New Roman" w:cs="Times New Roman"/>
              <w:color w:val="000000" w:themeColor="text1"/>
              <w:sz w:val="24"/>
              <w:szCs w:val="24"/>
              <w:highlight w:val="none"/>
              <w14:textFill>
                <w14:solidFill>
                  <w14:schemeClr w14:val="tx1"/>
                </w14:solidFill>
              </w14:textFill>
            </w:rPr>
            <w:t>　</w:t>
          </w:r>
          <w:r>
            <w:rPr>
              <w:rStyle w:val="42"/>
              <w:rFonts w:ascii="Times New Roman" w:hAnsi="Times New Roman" w:cs="Times New Roman"/>
              <w:color w:val="000000" w:themeColor="text1"/>
              <w:sz w:val="24"/>
              <w:szCs w:val="24"/>
              <w:highlight w:val="none"/>
              <w:u w:val="none"/>
              <w14:textFill>
                <w14:solidFill>
                  <w14:schemeClr w14:val="tx1"/>
                </w14:solidFill>
              </w14:textFill>
            </w:rPr>
            <w:t>工程检测</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58</w:t>
          </w:r>
          <w:r>
            <w:rPr>
              <w:rFonts w:hint="eastAsia" w:ascii="Times New Roman" w:hAnsi="Times New Roman" w:cs="Times New Roman"/>
              <w:color w:val="000000" w:themeColor="text1"/>
              <w:sz w:val="24"/>
              <w:szCs w:val="24"/>
              <w:highlight w:val="none"/>
              <w14:textFill>
                <w14:solidFill>
                  <w14:schemeClr w14:val="tx1"/>
                </w14:solidFill>
              </w14:textFill>
            </w:rPr>
            <w:fldChar w:fldCharType="end"/>
          </w:r>
        </w:p>
        <w:p>
          <w:pPr>
            <w:pStyle w:val="30"/>
            <w:tabs>
              <w:tab w:val="left" w:pos="1260"/>
              <w:tab w:val="right" w:leader="dot" w:pos="8296"/>
            </w:tabs>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highlight w:val="none"/>
            </w:rPr>
            <w:fldChar w:fldCharType="begin"/>
          </w:r>
          <w:r>
            <w:rPr>
              <w:highlight w:val="none"/>
            </w:rPr>
            <w:instrText xml:space="preserve"> HYPERLINK \l "_Toc44847232" </w:instrText>
          </w:r>
          <w:r>
            <w:rPr>
              <w:highlight w:val="none"/>
            </w:rPr>
            <w:fldChar w:fldCharType="separate"/>
          </w:r>
          <w:r>
            <w:rPr>
              <w:rStyle w:val="42"/>
              <w:rFonts w:ascii="Times New Roman" w:hAnsi="Times New Roman" w:cs="Times New Roman"/>
              <w:color w:val="000000" w:themeColor="text1"/>
              <w:sz w:val="24"/>
              <w:szCs w:val="24"/>
              <w:highlight w:val="none"/>
              <w:u w:val="none"/>
              <w14:textFill>
                <w14:solidFill>
                  <w14:schemeClr w14:val="tx1"/>
                </w14:solidFill>
              </w14:textFill>
            </w:rPr>
            <w:t>8.2</w:t>
          </w:r>
          <w:r>
            <w:rPr>
              <w:rFonts w:ascii="Times New Roman" w:hAnsi="Times New Roman" w:cs="Times New Roman"/>
              <w:color w:val="000000" w:themeColor="text1"/>
              <w:sz w:val="24"/>
              <w:szCs w:val="24"/>
              <w:highlight w:val="none"/>
              <w14:textFill>
                <w14:solidFill>
                  <w14:schemeClr w14:val="tx1"/>
                </w14:solidFill>
              </w14:textFill>
            </w:rPr>
            <w:t>　</w:t>
          </w:r>
          <w:r>
            <w:rPr>
              <w:rStyle w:val="42"/>
              <w:rFonts w:ascii="Times New Roman" w:hAnsi="Times New Roman" w:cs="Times New Roman"/>
              <w:color w:val="000000" w:themeColor="text1"/>
              <w:sz w:val="24"/>
              <w:szCs w:val="24"/>
              <w:highlight w:val="none"/>
              <w:u w:val="none"/>
              <w14:textFill>
                <w14:solidFill>
                  <w14:schemeClr w14:val="tx1"/>
                </w14:solidFill>
              </w14:textFill>
            </w:rPr>
            <w:t>工程检测</w:t>
          </w:r>
          <w:r>
            <w:rPr>
              <w:rFonts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imes New Roman"/>
              <w:color w:val="000000" w:themeColor="text1"/>
              <w:sz w:val="24"/>
              <w:szCs w:val="24"/>
              <w:highlight w:val="none"/>
              <w14:textFill>
                <w14:solidFill>
                  <w14:schemeClr w14:val="tx1"/>
                </w14:solidFill>
              </w14:textFill>
            </w:rPr>
            <w:t>59</w:t>
          </w:r>
          <w:r>
            <w:rPr>
              <w:rFonts w:hint="eastAsia" w:ascii="Times New Roman" w:hAnsi="Times New Roman" w:cs="Times New Roman"/>
              <w:color w:val="000000" w:themeColor="text1"/>
              <w:sz w:val="24"/>
              <w:szCs w:val="24"/>
              <w:highlight w:val="none"/>
              <w14:textFill>
                <w14:solidFill>
                  <w14:schemeClr w14:val="tx1"/>
                </w14:solidFill>
              </w14:textFill>
            </w:rPr>
            <w:fldChar w:fldCharType="end"/>
          </w:r>
        </w:p>
        <w:p>
          <w:pPr>
            <w:pStyle w:val="25"/>
            <w:tabs>
              <w:tab w:val="left" w:pos="567"/>
              <w:tab w:val="right" w:leader="dot" w:pos="8296"/>
            </w:tabs>
            <w:spacing w:line="360" w:lineRule="auto"/>
            <w:ind w:left="426"/>
            <w:rPr>
              <w:rFonts w:ascii="Times New Roman" w:hAnsi="Times New Roman" w:eastAsia="宋体" w:cs="Times New Roman"/>
              <w:color w:val="000000" w:themeColor="text1"/>
              <w:szCs w:val="21"/>
              <w:highlight w:val="none"/>
              <w:lang w:val="zh-CN"/>
              <w14:textFill>
                <w14:solidFill>
                  <w14:schemeClr w14:val="tx1"/>
                </w14:solidFill>
              </w14:textFill>
            </w:rPr>
          </w:pPr>
        </w:p>
      </w:sdtContent>
    </w:sdt>
    <w:bookmarkEnd w:id="117"/>
    <w:p>
      <w:pPr>
        <w:widowControl/>
        <w:spacing w:line="360" w:lineRule="auto"/>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numPr>
          <w:ilvl w:val="0"/>
          <w:numId w:val="77"/>
        </w:numPr>
        <w:ind w:left="426" w:firstLine="0"/>
        <w:rPr>
          <w:highlight w:val="none"/>
        </w:rPr>
      </w:pPr>
      <w:bookmarkStart w:id="118" w:name="_Toc44847218"/>
      <w:bookmarkStart w:id="119" w:name="_Toc36633761"/>
      <w:r>
        <w:rPr>
          <w:highlight w:val="none"/>
        </w:rPr>
        <w:t>总</w:t>
      </w:r>
      <w:r>
        <w:rPr>
          <w:rFonts w:hint="eastAsia"/>
          <w:highlight w:val="none"/>
        </w:rPr>
        <w:t>　</w:t>
      </w:r>
      <w:r>
        <w:rPr>
          <w:highlight w:val="none"/>
        </w:rPr>
        <w:t>　则</w:t>
      </w:r>
      <w:bookmarkEnd w:id="118"/>
      <w:bookmarkEnd w:id="119"/>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b/>
          <w:bCs/>
          <w:color w:val="000000" w:themeColor="text1"/>
          <w:sz w:val="24"/>
          <w:szCs w:val="24"/>
          <w:highlight w:val="none"/>
          <w14:textFill>
            <w14:solidFill>
              <w14:schemeClr w14:val="tx1"/>
            </w14:solidFill>
          </w14:textFill>
        </w:rPr>
        <w:t xml:space="preserve">1.0.1 </w:t>
      </w:r>
      <w:r>
        <w:rPr>
          <w:rFonts w:ascii="Times New Roman" w:hAnsi="Times New Roman" w:cs="Times New Roman"/>
          <w:color w:val="000000" w:themeColor="text1"/>
          <w:sz w:val="24"/>
          <w:szCs w:val="24"/>
          <w:highlight w:val="none"/>
          <w14:textFill>
            <w14:solidFill>
              <w14:schemeClr w14:val="tx1"/>
            </w14:solidFill>
          </w14:textFill>
        </w:rPr>
        <w:t>几何量测量实验室是用来对物体的几何参量进行准确测量、量值比对与传递的专业实验室。几何参量包括物体尺寸、角度、轮廓、形貌和位姿等，是制造业最重要的基础控制参量。为了实现准确测量，就要通过几何量测量实验室进行量值传递，为各类零件、部件和整机产品生产组装提供准确、可溯源的几何量测量环境，从而保证制造和装配精度，保障产品质量。几何量测量实验室已成为现代制造业提高产品质量的必备基础条件，决定了高端装备的制造能力与水平。但是由于缺乏对几何量测量实验室设计与建设相应规范的约束，很多几何量测量实验室建设出现了较大的盲目性和不规范性，为了规范几何量测量实验室的规划、设计、施工、调试和验收，特制定本规程。</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b/>
          <w:bCs/>
          <w:color w:val="000000" w:themeColor="text1"/>
          <w:sz w:val="24"/>
          <w:szCs w:val="24"/>
          <w:highlight w:val="none"/>
          <w14:textFill>
            <w14:solidFill>
              <w14:schemeClr w14:val="tx1"/>
            </w14:solidFill>
          </w14:textFill>
        </w:rPr>
        <w:t xml:space="preserve">1.0.2 </w:t>
      </w:r>
      <w:r>
        <w:rPr>
          <w:rFonts w:ascii="Times New Roman" w:hAnsi="Times New Roman" w:cs="Times New Roman"/>
          <w:color w:val="000000" w:themeColor="text1"/>
          <w:sz w:val="24"/>
          <w:szCs w:val="24"/>
          <w:highlight w:val="none"/>
          <w14:textFill>
            <w14:solidFill>
              <w14:schemeClr w14:val="tx1"/>
            </w14:solidFill>
          </w14:textFill>
        </w:rPr>
        <w:t>本规程的规定是几何量测量实验室设计、施工和检测的最低标准。实际工程各项指标可高于本规程要求，但不得低于本规程要求。</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b/>
          <w:bCs/>
          <w:color w:val="000000" w:themeColor="text1"/>
          <w:sz w:val="24"/>
          <w:szCs w:val="24"/>
          <w:highlight w:val="none"/>
          <w14:textFill>
            <w14:solidFill>
              <w14:schemeClr w14:val="tx1"/>
            </w14:solidFill>
          </w14:textFill>
        </w:rPr>
        <w:t>1.0.3</w:t>
      </w:r>
      <w:r>
        <w:rPr>
          <w:rFonts w:ascii="Times New Roman" w:hAnsi="Times New Roman" w:cs="Times New Roman"/>
          <w:color w:val="000000" w:themeColor="text1"/>
          <w:sz w:val="24"/>
          <w:szCs w:val="24"/>
          <w:highlight w:val="none"/>
          <w14:textFill>
            <w14:solidFill>
              <w14:schemeClr w14:val="tx1"/>
            </w14:solidFill>
          </w14:textFill>
        </w:rPr>
        <w:t>根据国家主管部门有关编制和修订工程建设标准、规范、规程等的统一规定，为了精简规程内容，已有的相关国家和行业标准、规范等明确规定的内容，除确有必要明确说明的部分外，本规程均不再另设条文。本条文的目的是强调在执行本规程的同时，还应注意贯彻执行相关标准、规范等的有关规定。</w:t>
      </w:r>
    </w:p>
    <w:p>
      <w:pPr>
        <w:widowControl/>
        <w:spacing w:line="360" w:lineRule="auto"/>
        <w:jc w:val="left"/>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br w:type="page"/>
      </w:r>
    </w:p>
    <w:p>
      <w:pPr>
        <w:pStyle w:val="205"/>
        <w:rPr>
          <w:highlight w:val="none"/>
        </w:rPr>
      </w:pPr>
      <w:bookmarkStart w:id="120" w:name="_Toc46324322"/>
      <w:bookmarkStart w:id="121" w:name="_Toc52395658"/>
      <w:r>
        <w:rPr>
          <w:rFonts w:hint="eastAsia"/>
          <w:highlight w:val="none"/>
        </w:rPr>
        <w:t>术</w:t>
      </w:r>
      <w:r>
        <w:rPr>
          <w:rFonts w:hint="eastAsia" w:eastAsiaTheme="minorEastAsia"/>
          <w:highlight w:val="none"/>
        </w:rPr>
        <w:t>　</w:t>
      </w:r>
      <w:r>
        <w:rPr>
          <w:rFonts w:eastAsiaTheme="minorEastAsia"/>
          <w:highlight w:val="none"/>
        </w:rPr>
        <w:t>　</w:t>
      </w:r>
      <w:r>
        <w:rPr>
          <w:rFonts w:hint="eastAsia"/>
          <w:highlight w:val="none"/>
        </w:rPr>
        <w:t>语</w:t>
      </w:r>
      <w:bookmarkEnd w:id="120"/>
      <w:bookmarkEnd w:id="121"/>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b/>
          <w:color w:val="000000" w:themeColor="text1"/>
          <w:sz w:val="24"/>
          <w:szCs w:val="24"/>
          <w:highlight w:val="none"/>
          <w14:textFill>
            <w14:solidFill>
              <w14:schemeClr w14:val="tx1"/>
            </w14:solidFill>
          </w14:textFill>
        </w:rPr>
        <w:t>2.0.4　</w:t>
      </w:r>
      <w:r>
        <w:rPr>
          <w:rFonts w:ascii="Times New Roman" w:hAnsi="Times New Roman" w:eastAsia="宋体" w:cs="Times New Roman"/>
          <w:color w:val="000000" w:themeColor="text1"/>
          <w:sz w:val="24"/>
          <w:szCs w:val="24"/>
          <w:highlight w:val="none"/>
          <w14:textFill>
            <w14:solidFill>
              <w14:schemeClr w14:val="tx1"/>
            </w14:solidFill>
          </w14:textFill>
        </w:rPr>
        <w:t>一个标准单元尺寸通常是根据实验室结构类型，结合建筑模数或柱网确定。</w:t>
      </w:r>
    </w:p>
    <w:p>
      <w:pPr>
        <w:pStyle w:val="56"/>
        <w:spacing w:line="360" w:lineRule="auto"/>
        <w:ind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b/>
          <w:color w:val="000000" w:themeColor="text1"/>
          <w:sz w:val="24"/>
          <w:szCs w:val="24"/>
          <w:highlight w:val="none"/>
          <w14:textFill>
            <w14:solidFill>
              <w14:schemeClr w14:val="tx1"/>
            </w14:solidFill>
          </w14:textFill>
        </w:rPr>
        <w:t>2.0.5　</w:t>
      </w:r>
      <w:r>
        <w:rPr>
          <w:rFonts w:ascii="Times New Roman" w:hAnsi="Times New Roman" w:eastAsia="宋体" w:cs="Times New Roman"/>
          <w:color w:val="000000" w:themeColor="text1"/>
          <w:sz w:val="24"/>
          <w:szCs w:val="24"/>
          <w:highlight w:val="none"/>
          <w14:textFill>
            <w14:solidFill>
              <w14:schemeClr w14:val="tx1"/>
            </w14:solidFill>
          </w14:textFill>
        </w:rPr>
        <w:t>通常是指具有特定环境要求（如恒温、恒湿、洁净、防振等）放置精密、专业、特殊实验装置（如电子显微镜、激光干涉仪等）的几何量测量实验室。</w:t>
      </w:r>
    </w:p>
    <w:p>
      <w:pPr>
        <w:pStyle w:val="56"/>
        <w:spacing w:line="360" w:lineRule="auto"/>
        <w:ind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b/>
          <w:color w:val="000000" w:themeColor="text1"/>
          <w:sz w:val="24"/>
          <w:szCs w:val="24"/>
          <w:highlight w:val="none"/>
          <w14:textFill>
            <w14:solidFill>
              <w14:schemeClr w14:val="tx1"/>
            </w14:solidFill>
          </w14:textFill>
        </w:rPr>
        <w:t>2.0.6　</w:t>
      </w:r>
      <w:r>
        <w:rPr>
          <w:rFonts w:ascii="Times New Roman" w:hAnsi="Times New Roman" w:eastAsia="宋体" w:cs="Times New Roman"/>
          <w:color w:val="000000" w:themeColor="text1"/>
          <w:sz w:val="24"/>
          <w:szCs w:val="24"/>
          <w:highlight w:val="none"/>
          <w14:textFill>
            <w14:solidFill>
              <w14:schemeClr w14:val="tx1"/>
            </w14:solidFill>
          </w14:textFill>
        </w:rPr>
        <w:t>又可称为“实验室支持空间”，一般包括收发大厅、仪器库房及数据处理室等。</w:t>
      </w: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b/>
          <w:color w:val="000000" w:themeColor="text1"/>
          <w:sz w:val="24"/>
          <w:szCs w:val="24"/>
          <w:highlight w:val="none"/>
          <w14:textFill>
            <w14:solidFill>
              <w14:schemeClr w14:val="tx1"/>
            </w14:solidFill>
          </w14:textFill>
        </w:rPr>
        <w:t>2.0.7　</w:t>
      </w:r>
      <w:r>
        <w:rPr>
          <w:rFonts w:ascii="Times New Roman" w:hAnsi="Times New Roman" w:eastAsia="宋体" w:cs="Times New Roman"/>
          <w:color w:val="000000" w:themeColor="text1"/>
          <w:sz w:val="24"/>
          <w:szCs w:val="24"/>
          <w:highlight w:val="none"/>
          <w14:textFill>
            <w14:solidFill>
              <w14:schemeClr w14:val="tx1"/>
            </w14:solidFill>
          </w14:textFill>
        </w:rPr>
        <w:t>通常设有新风机房、空调机房及变配电间等。</w:t>
      </w:r>
    </w:p>
    <w:p>
      <w:pPr>
        <w:pStyle w:val="56"/>
        <w:spacing w:line="360" w:lineRule="auto"/>
        <w:ind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b/>
          <w:color w:val="000000" w:themeColor="text1"/>
          <w:sz w:val="24"/>
          <w:szCs w:val="24"/>
          <w:highlight w:val="none"/>
          <w14:textFill>
            <w14:solidFill>
              <w14:schemeClr w14:val="tx1"/>
            </w14:solidFill>
          </w14:textFill>
        </w:rPr>
        <w:t>2.0.8</w:t>
      </w:r>
      <w:r>
        <w:rPr>
          <w:rFonts w:ascii="Times New Roman" w:hAnsi="Times New Roman" w:eastAsia="宋体" w:cs="Times New Roman"/>
          <w:b/>
          <w:color w:val="000000" w:themeColor="text1"/>
          <w:sz w:val="24"/>
          <w:szCs w:val="24"/>
          <w:highlight w:val="none"/>
          <w14:textFill>
            <w14:solidFill>
              <w14:schemeClr w14:val="tx1"/>
            </w14:solidFill>
          </w14:textFill>
        </w:rPr>
        <w:t xml:space="preserve">  </w:t>
      </w:r>
      <w:r>
        <w:rPr>
          <w:rFonts w:ascii="Times New Roman" w:hAnsi="Times New Roman" w:eastAsia="宋体" w:cs="Times New Roman"/>
          <w:color w:val="000000" w:themeColor="text1"/>
          <w:sz w:val="24"/>
          <w:szCs w:val="24"/>
          <w:highlight w:val="none"/>
          <w14:textFill>
            <w14:solidFill>
              <w14:schemeClr w14:val="tx1"/>
            </w14:solidFill>
          </w14:textFill>
        </w:rPr>
        <w:t>又可称为“设备走廊”，一般是设置在实验区内的非受控环境空间。</w:t>
      </w: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p>
    <w:p>
      <w:pPr>
        <w:widowControl/>
        <w:spacing w:line="360" w:lineRule="auto"/>
        <w:jc w:val="left"/>
        <w:rPr>
          <w:rFonts w:ascii="Times New Roman" w:hAnsi="Times New Roman" w:cs="Times New Roman"/>
          <w:color w:val="000000" w:themeColor="text1"/>
          <w:highlight w:val="none"/>
          <w14:textFill>
            <w14:solidFill>
              <w14:schemeClr w14:val="tx1"/>
            </w14:solidFill>
          </w14:textFill>
        </w:rPr>
      </w:pPr>
    </w:p>
    <w:p>
      <w:pPr>
        <w:widowControl/>
        <w:spacing w:line="360" w:lineRule="auto"/>
        <w:jc w:val="left"/>
        <w:rPr>
          <w:rFonts w:ascii="Times New Roman" w:hAnsi="Times New Roman" w:cs="Times New Roman"/>
          <w:color w:val="000000" w:themeColor="text1"/>
          <w:highlight w:val="none"/>
          <w14:textFill>
            <w14:solidFill>
              <w14:schemeClr w14:val="tx1"/>
            </w14:solidFill>
          </w14:textFill>
        </w:rPr>
      </w:pPr>
    </w:p>
    <w:p>
      <w:pPr>
        <w:pStyle w:val="205"/>
        <w:rPr>
          <w:highlight w:val="none"/>
        </w:rPr>
      </w:pPr>
      <w:bookmarkStart w:id="122" w:name="_Toc44847219"/>
      <w:r>
        <w:rPr>
          <w:highlight w:val="none"/>
        </w:rPr>
        <w:t>基本规定</w:t>
      </w:r>
      <w:bookmarkEnd w:id="122"/>
    </w:p>
    <w:p>
      <w:pPr>
        <w:pStyle w:val="90"/>
        <w:numPr>
          <w:ilvl w:val="0"/>
          <w:numId w:val="78"/>
        </w:numPr>
        <w:spacing w:line="360" w:lineRule="auto"/>
        <w:ind w:left="0" w:firstLine="0"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实验室的噪声有来自外部的交通噪声、施工噪声、工业噪声等， 还有空调机、排风系统产生的室内噪声。根据国家标准《工业企业噪声控制设计规范》，办公室、会议室、设计室、一般实验室的室内最大允许噪声为65dB(A)，几何量测量实验室的噪声最低控制限制可以参考此标准。对于全站仪等高精度的测量仪器，电磁辐射会影响其精度。因此工程测量实验室需要控制电磁辐射，特别是在维修和校准操作区域，避免人为引入的电磁干扰危害操作结果。根据美国仪表学会 RP-52 中对次级校准实验室环境条件的建议，实验室电磁干扰应小于100μV/m。</w:t>
      </w:r>
    </w:p>
    <w:p>
      <w:pPr>
        <w:widowControl/>
        <w:spacing w:line="360" w:lineRule="auto"/>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rPr>
          <w:highlight w:val="none"/>
        </w:rPr>
      </w:pPr>
      <w:bookmarkStart w:id="123" w:name="_Toc44847220"/>
      <w:bookmarkStart w:id="124" w:name="_Toc36633766"/>
      <w:r>
        <w:rPr>
          <w:highlight w:val="none"/>
        </w:rPr>
        <w:t>规划选址</w:t>
      </w:r>
      <w:bookmarkEnd w:id="123"/>
      <w:bookmarkEnd w:id="124"/>
    </w:p>
    <w:p>
      <w:pPr>
        <w:numPr>
          <w:ilvl w:val="2"/>
          <w:numId w:val="79"/>
        </w:numPr>
        <w:spacing w:line="360" w:lineRule="auto"/>
        <w:ind w:left="0" w:firstLine="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场地环境的振动测试，主要调查拟建场地的环境振动参数，实验区周围公路、铁路等交通运输及附近厂矿生产所产生的振动影响，为场地选择及对其综合评估提供依据，并根据实测参数选择合理的实验楼结构形式，保证场地的环境振动在结构上不致增大。</w:t>
      </w:r>
    </w:p>
    <w:p>
      <w:pPr>
        <w:spacing w:line="360" w:lineRule="auto"/>
        <w:ind w:firstLine="480" w:firstLineChars="20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因此，几何量测量实验室位置选择时，应对场地或周边环境背景测试。在不具备测试条件时，如仅有单一振动源且该振动源未采取隔振措施，防振距离可参考《电子工业防微振工程技术规范》GB51076之5.2.1条确定，如振动源采取了振动措施，应由测试确定，如实验室周边有不同振动源，宜按综合振动叠加后的最大振动影响确定相应的防振距离。</w:t>
      </w:r>
    </w:p>
    <w:p>
      <w:pPr>
        <w:widowControl/>
        <w:spacing w:line="360" w:lineRule="auto"/>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rPr>
          <w:highlight w:val="none"/>
        </w:rPr>
      </w:pPr>
      <w:bookmarkStart w:id="125" w:name="_Toc44847221"/>
      <w:bookmarkStart w:id="126" w:name="_Toc36633771"/>
      <w:r>
        <w:rPr>
          <w:highlight w:val="none"/>
        </w:rPr>
        <w:t>工艺设计</w:t>
      </w:r>
      <w:bookmarkEnd w:id="125"/>
      <w:bookmarkEnd w:id="126"/>
    </w:p>
    <w:p>
      <w:pPr>
        <w:pStyle w:val="90"/>
        <w:keepNext/>
        <w:keepLines/>
        <w:numPr>
          <w:ilvl w:val="0"/>
          <w:numId w:val="79"/>
        </w:numPr>
        <w:spacing w:before="156" w:beforeLines="50" w:line="360" w:lineRule="auto"/>
        <w:ind w:firstLineChars="0"/>
        <w:jc w:val="center"/>
        <w:outlineLvl w:val="1"/>
        <w:rPr>
          <w:rFonts w:ascii="Times New Roman" w:hAnsi="Times New Roman" w:cs="Times New Roman"/>
          <w:b/>
          <w:vanish/>
          <w:color w:val="000000" w:themeColor="text1"/>
          <w:sz w:val="24"/>
          <w:szCs w:val="24"/>
          <w:highlight w:val="none"/>
          <w14:textFill>
            <w14:solidFill>
              <w14:schemeClr w14:val="tx1"/>
            </w14:solidFill>
          </w14:textFill>
        </w:rPr>
      </w:pPr>
      <w:bookmarkStart w:id="127" w:name="_Toc44847222"/>
    </w:p>
    <w:p>
      <w:pPr>
        <w:keepNext/>
        <w:keepLines/>
        <w:numPr>
          <w:ilvl w:val="1"/>
          <w:numId w:val="79"/>
        </w:numPr>
        <w:spacing w:before="156" w:beforeLines="50" w:line="360" w:lineRule="auto"/>
        <w:ind w:left="567"/>
        <w:jc w:val="center"/>
        <w:outlineLvl w:val="1"/>
        <w:rPr>
          <w:rFonts w:ascii="黑体" w:hAnsi="黑体" w:eastAsia="黑体" w:cs="Times New Roman"/>
          <w:bCs/>
          <w:color w:val="000000" w:themeColor="text1"/>
          <w:sz w:val="28"/>
          <w:szCs w:val="28"/>
          <w:highlight w:val="none"/>
          <w14:textFill>
            <w14:solidFill>
              <w14:schemeClr w14:val="tx1"/>
            </w14:solidFill>
          </w14:textFill>
        </w:rPr>
      </w:pPr>
      <w:r>
        <w:rPr>
          <w:rFonts w:ascii="黑体" w:hAnsi="黑体" w:eastAsia="黑体" w:cs="Times New Roman"/>
          <w:bCs/>
          <w:color w:val="000000" w:themeColor="text1"/>
          <w:sz w:val="28"/>
          <w:szCs w:val="28"/>
          <w:highlight w:val="none"/>
          <w14:textFill>
            <w14:solidFill>
              <w14:schemeClr w14:val="tx1"/>
            </w14:solidFill>
          </w14:textFill>
        </w:rPr>
        <w:t>实验室分类</w:t>
      </w:r>
      <w:bookmarkEnd w:id="127"/>
    </w:p>
    <w:p>
      <w:pPr>
        <w:numPr>
          <w:ilvl w:val="2"/>
          <w:numId w:val="80"/>
        </w:num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是由一系列专业实验室组成的，各实验室的设置、建设规模和受控环境要求，应结合该几何量测量实验室具体承担的工作任务的性质、实验内容及任务量的大小确定，可在估计工作量的基础上稍做些预留，务必要避免资源的不足或者闲置、浪费。</w:t>
      </w:r>
    </w:p>
    <w:p>
      <w:pPr>
        <w:numPr>
          <w:ilvl w:val="2"/>
          <w:numId w:val="80"/>
        </w:num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表5.1.2列出的几何量测量实验室各用房组成表，是通用且具有代表性的几何量测量实验室基本组成，在进行工程设计和建设时，可根据实际需要进行补充或调整，也可以再细分或合并。</w:t>
      </w:r>
    </w:p>
    <w:p>
      <w:pPr>
        <w:pStyle w:val="3"/>
        <w:spacing w:before="156" w:beforeLines="50" w:line="360" w:lineRule="auto"/>
        <w:jc w:val="center"/>
        <w:rPr>
          <w:rFonts w:ascii="黑体" w:hAnsi="黑体" w:eastAsia="黑体"/>
          <w:b w:val="0"/>
          <w:bCs w:val="0"/>
          <w:color w:val="000000" w:themeColor="text1"/>
          <w:sz w:val="28"/>
          <w:szCs w:val="28"/>
          <w:highlight w:val="none"/>
          <w14:textFill>
            <w14:solidFill>
              <w14:schemeClr w14:val="tx1"/>
            </w14:solidFill>
          </w14:textFill>
        </w:rPr>
      </w:pPr>
      <w:bookmarkStart w:id="128" w:name="_Toc36633773"/>
      <w:bookmarkStart w:id="129" w:name="_Toc44847223"/>
      <w:r>
        <w:rPr>
          <w:rFonts w:ascii="黑体" w:hAnsi="黑体" w:eastAsia="黑体"/>
          <w:b w:val="0"/>
          <w:bCs w:val="0"/>
          <w:color w:val="000000" w:themeColor="text1"/>
          <w:sz w:val="28"/>
          <w:szCs w:val="28"/>
          <w:highlight w:val="none"/>
          <w14:textFill>
            <w14:solidFill>
              <w14:schemeClr w14:val="tx1"/>
            </w14:solidFill>
          </w14:textFill>
        </w:rPr>
        <w:t xml:space="preserve">5.2 </w:t>
      </w:r>
      <w:bookmarkEnd w:id="128"/>
      <w:r>
        <w:rPr>
          <w:rFonts w:ascii="黑体" w:hAnsi="黑体" w:eastAsia="黑体"/>
          <w:b w:val="0"/>
          <w:bCs w:val="0"/>
          <w:color w:val="000000" w:themeColor="text1"/>
          <w:sz w:val="28"/>
          <w:szCs w:val="28"/>
          <w:highlight w:val="none"/>
          <w14:textFill>
            <w14:solidFill>
              <w14:schemeClr w14:val="tx1"/>
            </w14:solidFill>
          </w14:textFill>
        </w:rPr>
        <w:t>受控环境要求</w:t>
      </w:r>
      <w:bookmarkEnd w:id="129"/>
    </w:p>
    <w:p>
      <w:pPr>
        <w:numPr>
          <w:ilvl w:val="2"/>
          <w:numId w:val="81"/>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几何量测量实验室的受控环境要求，是指保证实验室设备正常工作的条件下，实验室应具有的实验环境要求限值，这三个条件应符合其中之一</w:t>
      </w:r>
      <w:r>
        <w:rPr>
          <w:rFonts w:ascii="Times New Roman" w:hAnsi="Times New Roman" w:eastAsia="宋体" w:cs="Times New Roman"/>
          <w:color w:val="000000" w:themeColor="text1"/>
          <w:sz w:val="24"/>
          <w:szCs w:val="24"/>
          <w:highlight w:val="none"/>
          <w14:textFill>
            <w14:solidFill>
              <w14:schemeClr w14:val="tx1"/>
            </w14:solidFill>
          </w14:textFill>
        </w:rPr>
        <w:t>。</w:t>
      </w:r>
    </w:p>
    <w:p>
      <w:pPr>
        <w:pStyle w:val="90"/>
        <w:numPr>
          <w:ilvl w:val="0"/>
          <w:numId w:val="82"/>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实验设备正常工作的受控环境容许值可通过以下两种途径确定：</w:t>
      </w:r>
    </w:p>
    <w:p>
      <w:pPr>
        <w:pStyle w:val="90"/>
        <w:numPr>
          <w:ilvl w:val="0"/>
          <w:numId w:val="83"/>
        </w:numPr>
        <w:spacing w:line="360" w:lineRule="auto"/>
        <w:ind w:left="1134"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制造商或供应商提供的精密设备及仪器的受控环境容许值；</w:t>
      </w:r>
    </w:p>
    <w:p>
      <w:pPr>
        <w:pStyle w:val="90"/>
        <w:numPr>
          <w:ilvl w:val="0"/>
          <w:numId w:val="83"/>
        </w:numPr>
        <w:spacing w:line="360" w:lineRule="auto"/>
        <w:ind w:left="1134"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使用方根据工艺要求及实践经验提出的设备及仪器对实验环境的要求限值；</w:t>
      </w:r>
    </w:p>
    <w:p>
      <w:pPr>
        <w:pStyle w:val="90"/>
        <w:numPr>
          <w:ilvl w:val="0"/>
          <w:numId w:val="82"/>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现有有效的检定规程或校准方法中规定的实验受控环境要求。</w:t>
      </w:r>
    </w:p>
    <w:p>
      <w:pPr>
        <w:pStyle w:val="90"/>
        <w:numPr>
          <w:ilvl w:val="0"/>
          <w:numId w:val="82"/>
        </w:numPr>
        <w:spacing w:line="360" w:lineRule="auto"/>
        <w:ind w:left="851" w:hanging="425"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本规程附录</w:t>
      </w:r>
      <w:r>
        <w:rPr>
          <w:rFonts w:ascii="Times New Roman" w:hAnsi="Times New Roman" w:eastAsia="宋体" w:cs="Times New Roman"/>
          <w:color w:val="000000" w:themeColor="text1"/>
          <w:sz w:val="24"/>
          <w:szCs w:val="24"/>
          <w:highlight w:val="none"/>
          <w14:textFill>
            <w14:solidFill>
              <w14:schemeClr w14:val="tx1"/>
            </w14:solidFill>
          </w14:textFill>
        </w:rPr>
        <w:t>A</w:t>
      </w:r>
      <w:r>
        <w:rPr>
          <w:rFonts w:hint="eastAsia" w:ascii="Times New Roman" w:hAnsi="Times New Roman" w:eastAsia="宋体" w:cs="Times New Roman"/>
          <w:color w:val="000000" w:themeColor="text1"/>
          <w:sz w:val="24"/>
          <w:szCs w:val="24"/>
          <w:highlight w:val="none"/>
          <w14:textFill>
            <w14:solidFill>
              <w14:schemeClr w14:val="tx1"/>
            </w14:solidFill>
          </w14:textFill>
        </w:rPr>
        <w:t>规定的几何量测量实验室实验用房受控环境容许值，该值是参考值，具体设计时可根据要求适当调整。应优先采用制造商或产品供应商或使用方提供的有关精密设备及仪器的受控环境容许值，当不具此类条件时，则应采用本规范或国内其他检测校准规程提供的数值。</w:t>
      </w:r>
    </w:p>
    <w:p>
      <w:pPr>
        <w:numPr>
          <w:ilvl w:val="2"/>
          <w:numId w:val="81"/>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由于几何量测量实验室受控环境要求不尽相同，当相邻的实验室受控环境要求不一致且需要统一考虑受控环境要求时，应按照较高标准设计。由于几何量测量实验室科研和检测校准技术发展较快，实验设备更新迅速，由此产生的对精密设备及仪器受控环境容许限值要求会更为严格，宜考虑未来需求采取较高标准设计</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81"/>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几何量测量实验室辅助用房和公共设施用房的室内环境要求，通常以满足工作人员舒适度来限定</w:t>
      </w:r>
      <w:r>
        <w:rPr>
          <w:rFonts w:ascii="Times New Roman" w:hAnsi="Times New Roman" w:cs="Times New Roman"/>
          <w:color w:val="000000" w:themeColor="text1"/>
          <w:sz w:val="24"/>
          <w:szCs w:val="24"/>
          <w:highlight w:val="none"/>
          <w14:textFill>
            <w14:solidFill>
              <w14:schemeClr w14:val="tx1"/>
            </w14:solidFill>
          </w14:textFill>
        </w:rPr>
        <w:t>。</w:t>
      </w:r>
    </w:p>
    <w:p>
      <w:pPr>
        <w:keepNext/>
        <w:keepLines/>
        <w:numPr>
          <w:ilvl w:val="1"/>
          <w:numId w:val="84"/>
        </w:numPr>
        <w:spacing w:before="156" w:beforeLines="50" w:line="360" w:lineRule="auto"/>
        <w:ind w:left="0" w:firstLine="0"/>
        <w:jc w:val="center"/>
        <w:outlineLvl w:val="1"/>
        <w:rPr>
          <w:rFonts w:ascii="黑体" w:hAnsi="黑体" w:eastAsia="黑体" w:cs="Times New Roman"/>
          <w:bCs/>
          <w:color w:val="000000" w:themeColor="text1"/>
          <w:sz w:val="28"/>
          <w:szCs w:val="28"/>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bookmarkStart w:id="130" w:name="_Toc44847224"/>
      <w:r>
        <w:rPr>
          <w:rFonts w:ascii="黑体" w:hAnsi="黑体" w:eastAsia="黑体" w:cs="Times New Roman"/>
          <w:bCs/>
          <w:color w:val="000000" w:themeColor="text1"/>
          <w:sz w:val="28"/>
          <w:szCs w:val="28"/>
          <w:highlight w:val="none"/>
          <w14:textFill>
            <w14:solidFill>
              <w14:schemeClr w14:val="tx1"/>
            </w14:solidFill>
          </w14:textFill>
        </w:rPr>
        <w:t>实验室布局</w:t>
      </w:r>
      <w:bookmarkEnd w:id="130"/>
    </w:p>
    <w:p>
      <w:pPr>
        <w:numPr>
          <w:ilvl w:val="2"/>
          <w:numId w:val="85"/>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bookmarkStart w:id="131" w:name="_Toc36633774"/>
      <w:r>
        <w:rPr>
          <w:rFonts w:hint="eastAsia" w:ascii="Times New Roman" w:hAnsi="Times New Roman" w:cs="Times New Roman"/>
          <w:color w:val="000000" w:themeColor="text1"/>
          <w:sz w:val="24"/>
          <w:szCs w:val="24"/>
          <w:highlight w:val="none"/>
          <w14:textFill>
            <w14:solidFill>
              <w14:schemeClr w14:val="tx1"/>
            </w14:solidFill>
          </w14:textFill>
        </w:rPr>
        <w:t>实验室工艺布局应结合各类专业实验室的使用功能、工艺特征和环境控制标准统筹规划，做到分布合理、功能分工明确、联系方便、互不干扰，避免交叉影响和干扰，以方便规划设计和未来使用管理</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86"/>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对于几何量测量实验室所需要的各类受控环境指标而言，振动容许值尤其是振动标准</w:t>
      </w:r>
      <w:r>
        <w:rPr>
          <w:rFonts w:ascii="Times New Roman" w:hAnsi="Times New Roman" w:cs="Times New Roman"/>
          <w:color w:val="000000" w:themeColor="text1"/>
          <w:sz w:val="24"/>
          <w:szCs w:val="24"/>
          <w:highlight w:val="none"/>
          <w14:textFill>
            <w14:solidFill>
              <w14:schemeClr w14:val="tx1"/>
            </w14:solidFill>
          </w14:textFill>
        </w:rPr>
        <w:t>NIM3</w:t>
      </w:r>
      <w:r>
        <w:rPr>
          <w:rFonts w:hint="eastAsia" w:ascii="Times New Roman" w:hAnsi="Times New Roman" w:cs="Times New Roman"/>
          <w:color w:val="000000" w:themeColor="text1"/>
          <w:sz w:val="24"/>
          <w:szCs w:val="24"/>
          <w:highlight w:val="none"/>
          <w14:textFill>
            <w14:solidFill>
              <w14:schemeClr w14:val="tx1"/>
            </w14:solidFill>
          </w14:textFill>
        </w:rPr>
        <w:t>及以上要求的实现是较为复杂的，一般需要采取较多的措施才能实现，需要结构、暖通、动力等各专业的布局配合并对其采取处理措施，因此，在实验室布局时，宜优先考虑布置对振动容许值较为严格精密仪器的实验室</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86"/>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对于</w:t>
      </w:r>
      <w:r>
        <w:rPr>
          <w:rFonts w:ascii="Times New Roman" w:hAnsi="Times New Roman" w:eastAsia="宋体" w:cs="Times New Roman"/>
          <w:color w:val="000000" w:themeColor="text1"/>
          <w:sz w:val="24"/>
          <w:szCs w:val="24"/>
          <w:highlight w:val="none"/>
          <w14:textFill>
            <w14:solidFill>
              <w14:schemeClr w14:val="tx1"/>
            </w14:solidFill>
          </w14:textFill>
        </w:rPr>
        <w:t>NIM3</w:t>
      </w:r>
      <w:r>
        <w:rPr>
          <w:rFonts w:hint="eastAsia" w:ascii="Times New Roman" w:hAnsi="Times New Roman" w:eastAsia="宋体" w:cs="Times New Roman"/>
          <w:color w:val="000000" w:themeColor="text1"/>
          <w:sz w:val="24"/>
          <w:szCs w:val="24"/>
          <w:highlight w:val="none"/>
          <w14:textFill>
            <w14:solidFill>
              <w14:schemeClr w14:val="tx1"/>
            </w14:solidFill>
          </w14:textFill>
        </w:rPr>
        <w:t>及以上要求振动标准的精密设备应采取被动隔振措施，做隔振设备基础，因此应与大地接触，不可放置在楼板上。供配电及空调机房等产生振动、噪声的动力设备，通常应集中布置且相对独立，一般布置在较低楼层或一层，当布置在楼板上时，如主体结构未采取措施，振动极有可能会通过梁板柱进行传递</w:t>
      </w:r>
      <w:r>
        <w:rPr>
          <w:rFonts w:ascii="Times New Roman" w:hAnsi="Times New Roman" w:eastAsia="宋体" w:cs="Times New Roman"/>
          <w:color w:val="000000" w:themeColor="text1"/>
          <w:sz w:val="24"/>
          <w:szCs w:val="24"/>
          <w:highlight w:val="none"/>
          <w14:textFill>
            <w14:solidFill>
              <w14:schemeClr w14:val="tx1"/>
            </w14:solidFill>
          </w14:textFill>
        </w:rPr>
        <w:t>。</w:t>
      </w:r>
    </w:p>
    <w:p>
      <w:pPr>
        <w:numPr>
          <w:ilvl w:val="2"/>
          <w:numId w:val="86"/>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温度、湿度、洁净度有较为严格要求的实验室布置在同一区域，当有地下室时布置在地下室、较低楼层和内区，这样会更加便于控制，尽可能的减少干扰；要求一致或相近的靠近布置，主要是基于便于空调系统布置和节能考虑；当采用标准单元设计时，可采用一个半污染区作为回风腔，洁净区作为送风腔设计</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86"/>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场强衰减与距离的三次方成正比，所以距离每增加一倍，场强将减弱至</w:t>
      </w:r>
      <w:r>
        <w:rPr>
          <w:rFonts w:ascii="Times New Roman" w:hAnsi="Times New Roman" w:cs="Times New Roman"/>
          <w:color w:val="000000" w:themeColor="text1"/>
          <w:sz w:val="24"/>
          <w:szCs w:val="24"/>
          <w:highlight w:val="none"/>
          <w14:textFill>
            <w14:solidFill>
              <w14:schemeClr w14:val="tx1"/>
            </w14:solidFill>
          </w14:textFill>
        </w:rPr>
        <w:t>1/8</w:t>
      </w:r>
      <w:r>
        <w:rPr>
          <w:rFonts w:hint="eastAsia" w:ascii="Times New Roman" w:hAnsi="Times New Roman" w:cs="Times New Roman"/>
          <w:color w:val="000000" w:themeColor="text1"/>
          <w:sz w:val="24"/>
          <w:szCs w:val="24"/>
          <w:highlight w:val="none"/>
          <w14:textFill>
            <w14:solidFill>
              <w14:schemeClr w14:val="tx1"/>
            </w14:solidFill>
          </w14:textFill>
        </w:rPr>
        <w:t>。降低电磁干扰对仪器设备不利影响的最有效办法，就是设置仪器设备时要尽量远离干扰源。当确实无法远离时，通常可以采用铝板或高导磁合金板的面层防护材料六面防护，或设置房套房的屏蔽隔间。这些技术方案将大大提升造价，因此仅限于在那些开展最敏感科研工作的实验室中采用。此外，部分仪器设备也可以采取自身对敏感性部件进行屏蔽防护</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87"/>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通常空间坐标、多传感器坐标测量、大齿轮螺纹精测等实验室对层高有一定的要求，宜布置在同一区域</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88"/>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样品接收室用于接收外来样品，一般应设在门厅入口处，以方便外来送样人员。房间应宽畅明亮，为了既方便样品接收登记，又防止样品相互混淆，收样人员与送样人员之间应通过工作台面相互隔离，这样也利于做好不同客户之间保密工作</w:t>
      </w:r>
      <w:r>
        <w:rPr>
          <w:rFonts w:ascii="Times New Roman" w:hAnsi="Times New Roman" w:cs="Times New Roman"/>
          <w:color w:val="000000" w:themeColor="text1"/>
          <w:sz w:val="24"/>
          <w:szCs w:val="24"/>
          <w:highlight w:val="none"/>
          <w14:textFill>
            <w14:solidFill>
              <w14:schemeClr w14:val="tx1"/>
            </w14:solidFill>
          </w14:textFill>
        </w:rPr>
        <w:t>。</w:t>
      </w:r>
    </w:p>
    <w:p>
      <w:pPr>
        <w:widowControl/>
        <w:numPr>
          <w:ilvl w:val="2"/>
          <w:numId w:val="88"/>
        </w:numPr>
        <w:spacing w:line="360" w:lineRule="auto"/>
        <w:jc w:val="left"/>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数据处理室、会议室、茶水间和卫生间一般应设在实验区域的外面，但宜尽量靠近实验室</w:t>
      </w:r>
      <w:r>
        <w:rPr>
          <w:rFonts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rPr>
          <w:highlight w:val="none"/>
        </w:rPr>
      </w:pPr>
      <w:bookmarkStart w:id="132" w:name="_Toc44847225"/>
      <w:r>
        <w:rPr>
          <w:highlight w:val="none"/>
        </w:rPr>
        <w:t>工程设计</w:t>
      </w:r>
      <w:bookmarkEnd w:id="131"/>
      <w:bookmarkEnd w:id="132"/>
    </w:p>
    <w:p>
      <w:pPr>
        <w:pStyle w:val="90"/>
        <w:keepNext/>
        <w:keepLines/>
        <w:numPr>
          <w:ilvl w:val="1"/>
          <w:numId w:val="89"/>
        </w:numPr>
        <w:spacing w:before="156" w:beforeLines="50" w:line="360" w:lineRule="auto"/>
        <w:ind w:firstLineChars="0"/>
        <w:jc w:val="center"/>
        <w:outlineLvl w:val="1"/>
        <w:rPr>
          <w:rFonts w:ascii="黑体" w:hAnsi="黑体" w:eastAsia="黑体" w:cs="Times New Roman"/>
          <w:bCs/>
          <w:color w:val="000000" w:themeColor="text1"/>
          <w:sz w:val="28"/>
          <w:szCs w:val="28"/>
          <w:highlight w:val="none"/>
          <w14:textFill>
            <w14:solidFill>
              <w14:schemeClr w14:val="tx1"/>
            </w14:solidFill>
          </w14:textFill>
        </w:rPr>
      </w:pPr>
      <w:bookmarkStart w:id="133" w:name="_Toc44847226"/>
      <w:r>
        <w:rPr>
          <w:rFonts w:ascii="黑体" w:hAnsi="黑体" w:eastAsia="黑体" w:cs="Times New Roman"/>
          <w:bCs/>
          <w:color w:val="000000" w:themeColor="text1"/>
          <w:sz w:val="28"/>
          <w:szCs w:val="28"/>
          <w:highlight w:val="none"/>
          <w14:textFill>
            <w14:solidFill>
              <w14:schemeClr w14:val="tx1"/>
            </w14:solidFill>
          </w14:textFill>
        </w:rPr>
        <w:t>建筑设计</w:t>
      </w:r>
      <w:bookmarkEnd w:id="133"/>
    </w:p>
    <w:p>
      <w:pPr>
        <w:numPr>
          <w:ilvl w:val="2"/>
          <w:numId w:val="90"/>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不同实验室所需要的灵活程度不同，检测实验室使用要求相对稳定，而研究性的实验室，则要求有较高程度的灵活性。因此，标准单元设计是在满足实验研究人员和辅助设施要求的基础上，能灵活调整房间布置，以适应实验发展变化的需求。几何量测量实验室可能遇到实验内容的变化或检测仪器与手段的进步而引发的改造，这些改造就要求实验室在保持原有结构与形体的情况下，可以快速的进行调整，减少由此带来的改造成本</w:t>
      </w:r>
      <w:r>
        <w:rPr>
          <w:rFonts w:ascii="Times New Roman" w:hAnsi="Times New Roman" w:eastAsia="宋体" w:cs="Times New Roman"/>
          <w:color w:val="000000" w:themeColor="text1"/>
          <w:sz w:val="24"/>
          <w:szCs w:val="24"/>
          <w:highlight w:val="none"/>
          <w14:textFill>
            <w14:solidFill>
              <w14:schemeClr w14:val="tx1"/>
            </w14:solidFill>
          </w14:textFill>
        </w:rPr>
        <w:t>。</w:t>
      </w:r>
    </w:p>
    <w:p>
      <w:pPr>
        <w:numPr>
          <w:ilvl w:val="2"/>
          <w:numId w:val="90"/>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本规程建议的标准单元尺寸在满足国内现行《科研建筑设计规范》的同时，也与发达国家大多实验室的设计类似。这种标准单元设计可以充分满足各类仪器的需求，大型的仪器可以占用两个或者三个模块。此外，实验室模块尺寸也与服务通道及实验室区域上方机电管道技术夹层的设置密切相关</w:t>
      </w:r>
      <w:r>
        <w:rPr>
          <w:rFonts w:ascii="Times New Roman" w:hAnsi="Times New Roman" w:eastAsia="宋体" w:cs="Times New Roman"/>
          <w:color w:val="000000" w:themeColor="text1"/>
          <w:sz w:val="24"/>
          <w:szCs w:val="24"/>
          <w:highlight w:val="none"/>
          <w14:textFill>
            <w14:solidFill>
              <w14:schemeClr w14:val="tx1"/>
            </w14:solidFill>
          </w14:textFill>
        </w:rPr>
        <w:t>。</w:t>
      </w:r>
    </w:p>
    <w:p>
      <w:pPr>
        <w:numPr>
          <w:ilvl w:val="2"/>
          <w:numId w:val="91"/>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前排的人员通道和后排的仪器及公用设施的服务通道是分离的。根据国际类似精密实验室建设经验，通过设置服务走廊可为实验室提供辅助设备安放空间、第二出入口、布置公用工程设施管线（无需穿越附近其他实验室），为物资和设备的运输提供了方便，并且隔离了保障实验室运行的仪器产生的热量和噪声。可以通过</w:t>
      </w:r>
      <w:r>
        <w:rPr>
          <w:rFonts w:ascii="Times New Roman" w:hAnsi="Times New Roman" w:cs="Times New Roman"/>
          <w:color w:val="000000" w:themeColor="text1"/>
          <w:sz w:val="24"/>
          <w:szCs w:val="24"/>
          <w:highlight w:val="none"/>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3</w:t>
      </w:r>
      <w:r>
        <w:rPr>
          <w:rFonts w:hint="eastAsia" w:ascii="Times New Roman" w:hAnsi="Times New Roman" w:cs="Times New Roman"/>
          <w:color w:val="000000" w:themeColor="text1"/>
          <w:sz w:val="24"/>
          <w:szCs w:val="24"/>
          <w:highlight w:val="none"/>
          <w14:textFill>
            <w14:solidFill>
              <w14:schemeClr w14:val="tx1"/>
            </w14:solidFill>
          </w14:textFill>
        </w:rPr>
        <w:t>个标准单元组合，为绝大部分大型仪器设备提供充足的用房空间。单元“前”侧供人员出入，“后”侧则满足设备进入及公用工程设施接入</w:t>
      </w:r>
      <w:r>
        <w:rPr>
          <w:rFonts w:ascii="Times New Roman" w:hAnsi="Times New Roman" w:eastAsia="宋体" w:cs="Times New Roman"/>
          <w:color w:val="000000" w:themeColor="text1"/>
          <w:sz w:val="24"/>
          <w:szCs w:val="24"/>
          <w:highlight w:val="none"/>
          <w14:textFill>
            <w14:solidFill>
              <w14:schemeClr w14:val="tx1"/>
            </w14:solidFill>
          </w14:textFill>
        </w:rPr>
        <w:t>。</w:t>
      </w:r>
    </w:p>
    <w:p>
      <w:pPr>
        <w:numPr>
          <w:ilvl w:val="2"/>
          <w:numId w:val="91"/>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具有较高受控环境要求的几何量测量实验室均需要大量高标准基础设施的支持才能实现其要求。研究表明，该类型实验室建筑物需要为人员和仪器设备流动提供足够空间，并须设置实验室公用设施的专门工艺系统部署空间以维持实验室密集化研究活动的正常开展，并切实保证实验室区域高水平的环境控制标准（如温度、湿度、洁净度等）。这就需要考虑设置或预留充足的空间以满足各类工艺设备摆放、系统管线排布乃至人员和仪器设备的流通的需要。为此，本规程在设计时推荐在实验室区域应设置专门的服务通道</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91"/>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通过设置设备管道技术层，并利用服务通道内竖井，有利于各类机械及工艺系统管道的简捷高效部署，可以把各类机械管道及相关设备引发的振动、噪声和电磁干扰对实验室环境的影响减小到最小，并可赋予实验室更大的灵活性，既为实验室维护和改造带来更大的可能，又为实验室适应未来实验工作发展变化创造条件</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91"/>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单个标准单元组成的实验室宜采用门宽</w:t>
      </w:r>
      <w:r>
        <w:rPr>
          <w:rFonts w:ascii="Times New Roman" w:hAnsi="Times New Roman" w:cs="Times New Roman"/>
          <w:color w:val="000000" w:themeColor="text1"/>
          <w:sz w:val="24"/>
          <w:szCs w:val="24"/>
          <w:highlight w:val="none"/>
          <w14:textFill>
            <w14:solidFill>
              <w14:schemeClr w14:val="tx1"/>
            </w14:solidFill>
          </w14:textFill>
        </w:rPr>
        <w:t>1.20</w:t>
      </w:r>
      <w:r>
        <w:rPr>
          <w:rFonts w:hint="eastAsia" w:ascii="Times New Roman" w:hAnsi="Times New Roman" w:cs="Times New Roman"/>
          <w:color w:val="000000" w:themeColor="text1"/>
          <w:sz w:val="24"/>
          <w:szCs w:val="24"/>
          <w:highlight w:val="none"/>
          <w14:textFill>
            <w14:solidFill>
              <w14:schemeClr w14:val="tx1"/>
            </w14:solidFill>
          </w14:textFill>
        </w:rPr>
        <w:t>米，门高</w:t>
      </w:r>
      <w:r>
        <w:rPr>
          <w:rFonts w:ascii="Times New Roman" w:hAnsi="Times New Roman" w:cs="Times New Roman"/>
          <w:color w:val="000000" w:themeColor="text1"/>
          <w:sz w:val="24"/>
          <w:szCs w:val="24"/>
          <w:highlight w:val="none"/>
          <w14:textFill>
            <w14:solidFill>
              <w14:schemeClr w14:val="tx1"/>
            </w14:solidFill>
          </w14:textFill>
        </w:rPr>
        <w:t>2.1/2.4/2.8</w:t>
      </w:r>
      <w:r>
        <w:rPr>
          <w:rFonts w:hint="eastAsia" w:ascii="Times New Roman" w:hAnsi="Times New Roman" w:cs="Times New Roman"/>
          <w:color w:val="000000" w:themeColor="text1"/>
          <w:sz w:val="24"/>
          <w:szCs w:val="24"/>
          <w:highlight w:val="none"/>
          <w14:textFill>
            <w14:solidFill>
              <w14:schemeClr w14:val="tx1"/>
            </w14:solidFill>
          </w14:textFill>
        </w:rPr>
        <w:t>米的模数。对于两个或两个以上标准单元组合的实验室可根据需要设置门宽</w:t>
      </w:r>
      <w:r>
        <w:rPr>
          <w:rFonts w:ascii="Times New Roman" w:hAnsi="Times New Roman" w:cs="Times New Roman"/>
          <w:color w:val="000000" w:themeColor="text1"/>
          <w:sz w:val="24"/>
          <w:szCs w:val="24"/>
          <w:highlight w:val="none"/>
          <w14:textFill>
            <w14:solidFill>
              <w14:schemeClr w14:val="tx1"/>
            </w14:solidFill>
          </w14:textFill>
        </w:rPr>
        <w:t>1.2</w:t>
      </w:r>
      <w:r>
        <w:rPr>
          <w:rFonts w:hint="eastAsia" w:ascii="Times New Roman" w:hAnsi="Times New Roman" w:cs="Times New Roman"/>
          <w:color w:val="000000" w:themeColor="text1"/>
          <w:sz w:val="24"/>
          <w:szCs w:val="24"/>
          <w:highlight w:val="none"/>
          <w14:textFill>
            <w14:solidFill>
              <w14:schemeClr w14:val="tx1"/>
            </w14:solidFill>
          </w14:textFill>
        </w:rPr>
        <w:t>米或</w:t>
      </w:r>
      <w:r>
        <w:rPr>
          <w:rFonts w:ascii="Times New Roman" w:hAnsi="Times New Roman" w:cs="Times New Roman"/>
          <w:color w:val="000000" w:themeColor="text1"/>
          <w:sz w:val="24"/>
          <w:szCs w:val="24"/>
          <w:highlight w:val="none"/>
          <w14:textFill>
            <w14:solidFill>
              <w14:schemeClr w14:val="tx1"/>
            </w14:solidFill>
          </w14:textFill>
        </w:rPr>
        <w:t>1.5</w:t>
      </w:r>
      <w:r>
        <w:rPr>
          <w:rFonts w:hint="eastAsia" w:ascii="Times New Roman" w:hAnsi="Times New Roman" w:cs="Times New Roman"/>
          <w:color w:val="000000" w:themeColor="text1"/>
          <w:sz w:val="24"/>
          <w:szCs w:val="24"/>
          <w:highlight w:val="none"/>
          <w14:textFill>
            <w14:solidFill>
              <w14:schemeClr w14:val="tx1"/>
            </w14:solidFill>
          </w14:textFill>
        </w:rPr>
        <w:t>米，门高</w:t>
      </w:r>
      <w:r>
        <w:rPr>
          <w:rFonts w:ascii="Times New Roman" w:hAnsi="Times New Roman" w:cs="Times New Roman"/>
          <w:color w:val="000000" w:themeColor="text1"/>
          <w:sz w:val="24"/>
          <w:szCs w:val="24"/>
          <w:highlight w:val="none"/>
          <w14:textFill>
            <w14:solidFill>
              <w14:schemeClr w14:val="tx1"/>
            </w14:solidFill>
          </w14:textFill>
        </w:rPr>
        <w:t>2.1/2.4/2.8</w:t>
      </w:r>
      <w:r>
        <w:rPr>
          <w:rFonts w:hint="eastAsia" w:ascii="Times New Roman" w:hAnsi="Times New Roman" w:cs="Times New Roman"/>
          <w:color w:val="000000" w:themeColor="text1"/>
          <w:sz w:val="24"/>
          <w:szCs w:val="24"/>
          <w:highlight w:val="none"/>
          <w14:textFill>
            <w14:solidFill>
              <w14:schemeClr w14:val="tx1"/>
            </w14:solidFill>
          </w14:textFill>
        </w:rPr>
        <w:t>米的模数</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92"/>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保温隔湿措施一般采取在实验室内侧墙面安装保温复合板，顶和地面采用保温板进行保温隔湿处理；当建筑物或实验室对耐火等级要求高时，应采用与耐火等级相适应的保温材料。在一些对温度最为敏感的实验室中甚至要采用房间套房间的做法，形成保温夹层，以实现内外温度隔绝</w:t>
      </w:r>
      <w:r>
        <w:rPr>
          <w:rFonts w:ascii="Times New Roman" w:hAnsi="Times New Roman" w:cs="Times New Roman"/>
          <w:color w:val="000000" w:themeColor="text1"/>
          <w:sz w:val="24"/>
          <w:szCs w:val="24"/>
          <w:highlight w:val="none"/>
          <w14:textFill>
            <w14:solidFill>
              <w14:schemeClr w14:val="tx1"/>
            </w14:solidFill>
          </w14:textFill>
        </w:rPr>
        <w:t>。</w:t>
      </w:r>
    </w:p>
    <w:p>
      <w:pPr>
        <w:numPr>
          <w:ilvl w:val="2"/>
          <w:numId w:val="93"/>
        </w:numPr>
        <w:spacing w:line="360" w:lineRule="auto"/>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实验室楼板做轻质混凝土垫层可提高楼板的空气隔声值，减少上下楼层间的相互影响，并为专业管线的敷设提供方便，垫层厚度宜为</w:t>
      </w:r>
      <w:r>
        <w:rPr>
          <w:rFonts w:ascii="Times New Roman" w:hAnsi="Times New Roman" w:cs="Times New Roman"/>
          <w:color w:val="000000" w:themeColor="text1"/>
          <w:sz w:val="24"/>
          <w:szCs w:val="24"/>
          <w:highlight w:val="none"/>
          <w14:textFill>
            <w14:solidFill>
              <w14:schemeClr w14:val="tx1"/>
            </w14:solidFill>
          </w14:textFill>
        </w:rPr>
        <w:t>60mm~120mm。</w:t>
      </w:r>
    </w:p>
    <w:p>
      <w:pPr>
        <w:pStyle w:val="90"/>
        <w:keepNext/>
        <w:keepLines/>
        <w:numPr>
          <w:ilvl w:val="1"/>
          <w:numId w:val="94"/>
        </w:numPr>
        <w:spacing w:before="156" w:beforeLines="50" w:line="360" w:lineRule="auto"/>
        <w:ind w:firstLineChars="0"/>
        <w:jc w:val="center"/>
        <w:outlineLvl w:val="1"/>
        <w:rPr>
          <w:rFonts w:ascii="黑体" w:hAnsi="黑体" w:eastAsia="黑体" w:cs="Times New Roman"/>
          <w:bCs/>
          <w:color w:val="000000" w:themeColor="text1"/>
          <w:sz w:val="28"/>
          <w:szCs w:val="28"/>
          <w:highlight w:val="none"/>
          <w14:textFill>
            <w14:solidFill>
              <w14:schemeClr w14:val="tx1"/>
            </w14:solidFill>
          </w14:textFill>
        </w:rPr>
      </w:pPr>
      <w:bookmarkStart w:id="134" w:name="_Toc36633776"/>
      <w:bookmarkStart w:id="135" w:name="_Toc44847227"/>
      <w:r>
        <w:rPr>
          <w:rFonts w:ascii="黑体" w:hAnsi="黑体" w:eastAsia="黑体" w:cs="Times New Roman"/>
          <w:bCs/>
          <w:color w:val="000000" w:themeColor="text1"/>
          <w:sz w:val="28"/>
          <w:szCs w:val="28"/>
          <w:highlight w:val="none"/>
          <w14:textFill>
            <w14:solidFill>
              <w14:schemeClr w14:val="tx1"/>
            </w14:solidFill>
          </w14:textFill>
        </w:rPr>
        <w:t>结构及防微振</w:t>
      </w:r>
      <w:bookmarkEnd w:id="134"/>
      <w:r>
        <w:rPr>
          <w:rFonts w:ascii="黑体" w:hAnsi="黑体" w:eastAsia="黑体" w:cs="Times New Roman"/>
          <w:bCs/>
          <w:color w:val="000000" w:themeColor="text1"/>
          <w:sz w:val="28"/>
          <w:szCs w:val="28"/>
          <w:highlight w:val="none"/>
          <w14:textFill>
            <w14:solidFill>
              <w14:schemeClr w14:val="tx1"/>
            </w14:solidFill>
          </w14:textFill>
        </w:rPr>
        <w:t>设计</w:t>
      </w:r>
      <w:bookmarkEnd w:id="135"/>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14:textFill>
            <w14:solidFill>
              <w14:schemeClr w14:val="tx1"/>
            </w14:solidFill>
          </w14:textFill>
        </w:rPr>
        <w:t>6.2.3</w:t>
      </w:r>
      <w:r>
        <w:rPr>
          <w:rFonts w:ascii="Times New Roman" w:hAnsi="Times New Roman" w:cs="Times New Roman"/>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参考《建筑工程抗震设防分类标准》</w:t>
      </w:r>
      <w:r>
        <w:rPr>
          <w:rFonts w:ascii="Times New Roman" w:hAnsi="Times New Roman" w:cs="Times New Roman"/>
          <w:color w:val="000000" w:themeColor="text1"/>
          <w:sz w:val="24"/>
          <w:szCs w:val="24"/>
          <w:highlight w:val="none"/>
          <w14:textFill>
            <w14:solidFill>
              <w14:schemeClr w14:val="tx1"/>
            </w14:solidFill>
          </w14:textFill>
        </w:rPr>
        <w:t>GB50223</w:t>
      </w:r>
      <w:r>
        <w:rPr>
          <w:rFonts w:hint="eastAsia" w:ascii="Times New Roman" w:hAnsi="Times New Roman" w:cs="Times New Roman"/>
          <w:color w:val="000000" w:themeColor="text1"/>
          <w:sz w:val="24"/>
          <w:szCs w:val="24"/>
          <w:highlight w:val="none"/>
          <w14:textFill>
            <w14:solidFill>
              <w14:schemeClr w14:val="tx1"/>
            </w14:solidFill>
          </w14:textFill>
        </w:rPr>
        <w:t>之</w:t>
      </w:r>
      <w:r>
        <w:rPr>
          <w:rFonts w:ascii="Times New Roman" w:hAnsi="Times New Roman" w:cs="Times New Roman"/>
          <w:color w:val="000000" w:themeColor="text1"/>
          <w:sz w:val="24"/>
          <w:szCs w:val="24"/>
          <w:highlight w:val="none"/>
          <w14:textFill>
            <w14:solidFill>
              <w14:schemeClr w14:val="tx1"/>
            </w14:solidFill>
          </w14:textFill>
        </w:rPr>
        <w:t>7.3</w:t>
      </w:r>
      <w:r>
        <w:rPr>
          <w:rFonts w:hint="eastAsia" w:ascii="Times New Roman" w:hAnsi="Times New Roman" w:cs="Times New Roman"/>
          <w:color w:val="000000" w:themeColor="text1"/>
          <w:sz w:val="24"/>
          <w:szCs w:val="24"/>
          <w:highlight w:val="none"/>
          <w14:textFill>
            <w14:solidFill>
              <w14:schemeClr w14:val="tx1"/>
            </w14:solidFill>
          </w14:textFill>
        </w:rPr>
        <w:t>条“加工制造工业建筑”，航空工业生产建筑中，“部级及部及以上的计量基准所所在的建筑”，抗震设防类别为“重点设防类”，即乙类建筑。</w:t>
      </w:r>
      <w:r>
        <w:rPr>
          <w:rFonts w:ascii="Times New Roman" w:hAnsi="Times New Roman" w:cs="Times New Roman"/>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参考以上条文，一些重点实验室涉及的相关建筑，至少划分为乙类建筑。是否划分为“特殊设防”（甲类）或部分划分为“特殊设防”，还需报省级地震局进行地震安全性评价。</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bookmarkStart w:id="136" w:name="_Hlk44840099"/>
      <w:r>
        <w:rPr>
          <w:rFonts w:hint="eastAsia" w:ascii="Times New Roman" w:hAnsi="Times New Roman" w:cs="Times New Roman"/>
          <w:b/>
          <w:bCs/>
          <w:color w:val="000000" w:themeColor="text1"/>
          <w:sz w:val="24"/>
          <w:szCs w:val="24"/>
          <w:highlight w:val="none"/>
          <w14:textFill>
            <w14:solidFill>
              <w14:schemeClr w14:val="tx1"/>
            </w14:solidFill>
          </w14:textFill>
        </w:rPr>
        <w:t>6.2.4</w:t>
      </w:r>
      <w:r>
        <w:rPr>
          <w:rFonts w:ascii="Times New Roman" w:hAnsi="Times New Roman" w:cs="Times New Roman"/>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目前，一般综合实验室楼面活荷载设计一般宜取</w:t>
      </w:r>
      <w:r>
        <w:rPr>
          <w:rFonts w:ascii="Times New Roman" w:hAnsi="Times New Roman" w:cs="Times New Roman"/>
          <w:color w:val="000000" w:themeColor="text1"/>
          <w:sz w:val="24"/>
          <w:szCs w:val="24"/>
          <w:highlight w:val="none"/>
          <w14:textFill>
            <w14:solidFill>
              <w14:schemeClr w14:val="tx1"/>
            </w14:solidFill>
          </w14:textFill>
        </w:rPr>
        <w:t>4kN/m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5kN/m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，这种</w:t>
      </w:r>
      <w:bookmarkEnd w:id="136"/>
      <w:r>
        <w:rPr>
          <w:rFonts w:hint="eastAsia" w:ascii="Times New Roman" w:hAnsi="Times New Roman" w:cs="Times New Roman"/>
          <w:color w:val="000000" w:themeColor="text1"/>
          <w:sz w:val="24"/>
          <w:szCs w:val="24"/>
          <w:highlight w:val="none"/>
          <w14:textFill>
            <w14:solidFill>
              <w14:schemeClr w14:val="tx1"/>
            </w14:solidFill>
          </w14:textFill>
        </w:rPr>
        <w:t>荷载标准对于一般的普通物理性实验室尚可满足，但通常几何量测量实验室所用设备均需要专用减振台架，基于此，本规程楼面活荷载设计推荐</w:t>
      </w:r>
      <w:r>
        <w:rPr>
          <w:rFonts w:ascii="Times New Roman" w:hAnsi="Times New Roman" w:cs="Times New Roman"/>
          <w:color w:val="000000" w:themeColor="text1"/>
          <w:sz w:val="24"/>
          <w:szCs w:val="24"/>
          <w:highlight w:val="none"/>
          <w14:textFill>
            <w14:solidFill>
              <w14:schemeClr w14:val="tx1"/>
            </w14:solidFill>
          </w14:textFill>
        </w:rPr>
        <w:t>5kN/m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7kN/ 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但当使用荷载较大，情况特殊或有专门要求时，应按实际情况采用</w:t>
      </w:r>
      <w:r>
        <w:rPr>
          <w:rFonts w:ascii="Times New Roman" w:hAnsi="Times New Roman" w:cs="Times New Roman"/>
          <w:color w:val="000000" w:themeColor="text1"/>
          <w:sz w:val="24"/>
          <w:szCs w:val="24"/>
          <w:highlight w:val="none"/>
          <w14:textFill>
            <w14:solidFill>
              <w14:schemeClr w14:val="tx1"/>
            </w14:solidFill>
          </w14:textFill>
        </w:rPr>
        <w:t>。</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14:textFill>
            <w14:solidFill>
              <w14:schemeClr w14:val="tx1"/>
            </w14:solidFill>
          </w14:textFill>
        </w:rPr>
        <w:t>6.2.8</w:t>
      </w:r>
      <w:r>
        <w:rPr>
          <w:rFonts w:ascii="Times New Roman" w:hAnsi="Times New Roman" w:cs="Times New Roman"/>
          <w:b/>
          <w:bCs/>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根据工程地质条件，视情况可对地基土进行有效处理，处理方式常采用碎石垫层、桩基或复合地基等措施，以提高地基刚度，改善地基土的变形性质。合理降低柱网跨度，采用钢筋混凝土楼盖，并结合实际需要设置钢筋混凝土防振墙。针对</w:t>
      </w:r>
      <w:r>
        <w:rPr>
          <w:rFonts w:ascii="Times New Roman" w:hAnsi="Times New Roman" w:cs="Times New Roman"/>
          <w:color w:val="000000" w:themeColor="text1"/>
          <w:sz w:val="24"/>
          <w:szCs w:val="24"/>
          <w:highlight w:val="none"/>
          <w14:textFill>
            <w14:solidFill>
              <w14:schemeClr w14:val="tx1"/>
            </w14:solidFill>
          </w14:textFill>
        </w:rPr>
        <w:t>NIM2</w:t>
      </w:r>
      <w:r>
        <w:rPr>
          <w:rFonts w:hint="eastAsia" w:ascii="Times New Roman" w:hAnsi="Times New Roman" w:cs="Times New Roman"/>
          <w:color w:val="000000" w:themeColor="text1"/>
          <w:sz w:val="24"/>
          <w:szCs w:val="24"/>
          <w:highlight w:val="none"/>
          <w14:textFill>
            <w14:solidFill>
              <w14:schemeClr w14:val="tx1"/>
            </w14:solidFill>
          </w14:textFill>
        </w:rPr>
        <w:t>级振动控制标准的实验室需设置与主体建筑结构脱开的且具有足够刚度的实验室底板。针对</w:t>
      </w:r>
      <w:r>
        <w:rPr>
          <w:rFonts w:ascii="Times New Roman" w:hAnsi="Times New Roman" w:cs="Times New Roman"/>
          <w:color w:val="000000" w:themeColor="text1"/>
          <w:sz w:val="24"/>
          <w:szCs w:val="24"/>
          <w:highlight w:val="none"/>
          <w14:textFill>
            <w14:solidFill>
              <w14:schemeClr w14:val="tx1"/>
            </w14:solidFill>
          </w14:textFill>
        </w:rPr>
        <w:t>NIM1</w:t>
      </w:r>
      <w:r>
        <w:rPr>
          <w:rFonts w:hint="eastAsia" w:ascii="Times New Roman" w:hAnsi="Times New Roman" w:cs="Times New Roman"/>
          <w:color w:val="000000" w:themeColor="text1"/>
          <w:sz w:val="24"/>
          <w:szCs w:val="24"/>
          <w:highlight w:val="none"/>
          <w14:textFill>
            <w14:solidFill>
              <w14:schemeClr w14:val="tx1"/>
            </w14:solidFill>
          </w14:textFill>
        </w:rPr>
        <w:t>级振动控制标准的实验室中的精密仪器设备，考虑设置大体积独立基础和采用专用空气弹簧支撑隔振台座</w:t>
      </w:r>
      <w:r>
        <w:rPr>
          <w:rFonts w:ascii="Times New Roman" w:hAnsi="Times New Roman" w:cs="Times New Roman"/>
          <w:color w:val="000000" w:themeColor="text1"/>
          <w:sz w:val="24"/>
          <w:szCs w:val="24"/>
          <w:highlight w:val="none"/>
          <w14:textFill>
            <w14:solidFill>
              <w14:schemeClr w14:val="tx1"/>
            </w14:solidFill>
          </w14:textFill>
        </w:rPr>
        <w:t>。</w:t>
      </w:r>
    </w:p>
    <w:p>
      <w:pPr>
        <w:pStyle w:val="90"/>
        <w:spacing w:line="360" w:lineRule="auto"/>
        <w:ind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
          <w:bCs/>
          <w:color w:val="000000" w:themeColor="text1"/>
          <w:sz w:val="24"/>
          <w:szCs w:val="24"/>
          <w:highlight w:val="none"/>
          <w14:textFill>
            <w14:solidFill>
              <w14:schemeClr w14:val="tx1"/>
            </w14:solidFill>
          </w14:textFill>
        </w:rPr>
        <w:t xml:space="preserve">6.2.9  </w:t>
      </w:r>
      <w:r>
        <w:rPr>
          <w:rFonts w:hint="eastAsia" w:ascii="Times New Roman" w:hAnsi="Times New Roman" w:cs="Times New Roman"/>
          <w:color w:val="000000" w:themeColor="text1"/>
          <w:sz w:val="24"/>
          <w:szCs w:val="24"/>
          <w:highlight w:val="none"/>
          <w14:textFill>
            <w14:solidFill>
              <w14:schemeClr w14:val="tx1"/>
            </w14:solidFill>
          </w14:textFill>
        </w:rPr>
        <w:t>有防微振要求的几何量测量实验室的建设施工阶段，环境振动测试一般分为如下四个阶段：</w:t>
      </w:r>
    </w:p>
    <w:p>
      <w:pPr>
        <w:spacing w:line="360" w:lineRule="auto"/>
        <w:ind w:firstLine="720" w:firstLineChars="30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第一阶段</w:t>
      </w:r>
      <w:r>
        <w:rPr>
          <w:rFonts w:ascii="Times New Roman" w:hAnsi="Times New Roman" w:cs="Times New Roman"/>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对于大型复杂、防微振要求较高（通常指防微振要求</w:t>
      </w:r>
      <w:r>
        <w:rPr>
          <w:rFonts w:ascii="Times New Roman" w:hAnsi="Times New Roman" w:cs="Times New Roman"/>
          <w:color w:val="000000" w:themeColor="text1"/>
          <w:sz w:val="24"/>
          <w:szCs w:val="24"/>
          <w:highlight w:val="none"/>
          <w14:textFill>
            <w14:solidFill>
              <w14:schemeClr w14:val="tx1"/>
            </w14:solidFill>
          </w14:textFill>
        </w:rPr>
        <w:t>NIM4</w:t>
      </w:r>
      <w:r>
        <w:rPr>
          <w:rFonts w:hint="eastAsia" w:ascii="Times New Roman" w:hAnsi="Times New Roman" w:cs="Times New Roman"/>
          <w:color w:val="000000" w:themeColor="text1"/>
          <w:sz w:val="24"/>
          <w:szCs w:val="24"/>
          <w:highlight w:val="none"/>
          <w14:textFill>
            <w14:solidFill>
              <w14:schemeClr w14:val="tx1"/>
            </w14:solidFill>
          </w14:textFill>
        </w:rPr>
        <w:t>及以上）的工程，应进行施工过程测试，即将防微振基础坑挖至基础外壳底标高，测基础坑底的振动频率及振幅；其次是在施工基础垫层及防微振基础外壳后，测试基础底板顶面的振动频率及振幅。</w:t>
      </w:r>
    </w:p>
    <w:p>
      <w:pPr>
        <w:spacing w:line="360" w:lineRule="auto"/>
        <w:ind w:firstLine="720" w:firstLineChars="30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第二阶段：工程主体结构竣工，实验室内各类设备尚未安装前的环境振动对主体结构影响的测试，主要测试建筑主体结构的动力特性</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固有振动频率、阻尼比等</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及主体结构在环境振动作用下的防微振性能，验证结构方案的合理性。必要时，可对现有结构进行部分改进，提高其防微振能力，并可作为实验室内各种振动设备的隔振设计技术依据。</w:t>
      </w:r>
    </w:p>
    <w:p>
      <w:pPr>
        <w:spacing w:line="360" w:lineRule="auto"/>
        <w:ind w:firstLine="720" w:firstLineChars="30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第三阶段：</w:t>
      </w:r>
      <w:r>
        <w:rPr>
          <w:rFonts w:ascii="Times New Roman" w:hAnsi="Times New Roman" w:cs="Times New Roman"/>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实验楼内除精密设备及仪器外其他空调、动力系统等设备和工艺附属设备联机调试或试运转时，在精密设备及仪器安装位置处的环境振动测试，以考核外界环境振动对该处的综合影响，评价是否满足精密设备及仪器的安装条件，为精密设备及仪器是否需进一步采取隔振措施提供依据。并对动力设备的振动影响进行评价，必要时可采取进一步减弱振动影响的措施。</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第四阶段：</w:t>
      </w:r>
      <w:r>
        <w:rPr>
          <w:rFonts w:ascii="Times New Roman" w:hAnsi="Times New Roman" w:cs="Times New Roman"/>
          <w:color w:val="000000" w:themeColor="text1"/>
          <w:sz w:val="24"/>
          <w:szCs w:val="24"/>
          <w:highlight w:val="none"/>
          <w14:textFill>
            <w14:solidFill>
              <w14:schemeClr w14:val="tx1"/>
            </w14:solidFill>
          </w14:textFill>
        </w:rPr>
        <w:t xml:space="preserve"> </w:t>
      </w:r>
      <w:r>
        <w:rPr>
          <w:rFonts w:hint="eastAsia" w:ascii="Times New Roman" w:hAnsi="Times New Roman" w:cs="Times New Roman"/>
          <w:color w:val="000000" w:themeColor="text1"/>
          <w:sz w:val="24"/>
          <w:szCs w:val="24"/>
          <w:highlight w:val="none"/>
          <w14:textFill>
            <w14:solidFill>
              <w14:schemeClr w14:val="tx1"/>
            </w14:solidFill>
          </w14:textFill>
        </w:rPr>
        <w:t>精密设备及仪器安装完毕，实验设备试运行时在精密设备及仪器安装位置处的环境振动测试，可以考核楼内所有可控动力设备均关闭、部分运转和全部运转多种工况下，外界环境及动力设备振动对这些位置的综合影响，这也是真正实验前的最终测试。测试分析结果可作为防微振工程验收的依据，亦可作为实验室制订实验、运行、实验区环境管理规定的依据。</w:t>
      </w:r>
    </w:p>
    <w:p>
      <w:pPr>
        <w:spacing w:line="360" w:lineRule="auto"/>
        <w:ind w:firstLine="720" w:firstLineChars="30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对于一般性的防微振工程（</w:t>
      </w:r>
      <w:r>
        <w:rPr>
          <w:rFonts w:ascii="Times New Roman" w:hAnsi="Times New Roman" w:cs="Times New Roman"/>
          <w:color w:val="000000" w:themeColor="text1"/>
          <w:sz w:val="24"/>
          <w:szCs w:val="24"/>
          <w:highlight w:val="none"/>
          <w14:textFill>
            <w14:solidFill>
              <w14:schemeClr w14:val="tx1"/>
            </w14:solidFill>
          </w14:textFill>
        </w:rPr>
        <w:t>NIM7~ NIM5</w:t>
      </w:r>
      <w:r>
        <w:rPr>
          <w:rFonts w:hint="eastAsia" w:ascii="Times New Roman" w:hAnsi="Times New Roman" w:cs="Times New Roman"/>
          <w:color w:val="000000" w:themeColor="text1"/>
          <w:sz w:val="24"/>
          <w:szCs w:val="24"/>
          <w:highlight w:val="none"/>
          <w14:textFill>
            <w14:solidFill>
              <w14:schemeClr w14:val="tx1"/>
            </w14:solidFill>
          </w14:textFill>
        </w:rPr>
        <w:t>）实施，程序可适当简化。</w:t>
      </w:r>
    </w:p>
    <w:p>
      <w:pPr>
        <w:pStyle w:val="90"/>
        <w:keepNext/>
        <w:keepLines/>
        <w:numPr>
          <w:ilvl w:val="1"/>
          <w:numId w:val="95"/>
        </w:numPr>
        <w:spacing w:before="156" w:beforeLines="50" w:line="360" w:lineRule="auto"/>
        <w:ind w:firstLineChars="0"/>
        <w:jc w:val="center"/>
        <w:outlineLvl w:val="1"/>
        <w:rPr>
          <w:rFonts w:ascii="黑体" w:hAnsi="黑体" w:eastAsia="黑体" w:cs="Times New Roman"/>
          <w:color w:val="000000" w:themeColor="text1"/>
          <w:sz w:val="28"/>
          <w:szCs w:val="28"/>
          <w:highlight w:val="none"/>
          <w14:textFill>
            <w14:solidFill>
              <w14:schemeClr w14:val="tx1"/>
            </w14:solidFill>
          </w14:textFill>
        </w:rPr>
      </w:pPr>
      <w:bookmarkStart w:id="137" w:name="_Toc44847228"/>
      <w:r>
        <w:rPr>
          <w:rFonts w:hint="eastAsia" w:ascii="黑体" w:hAnsi="黑体" w:eastAsia="黑体" w:cs="Times New Roman"/>
          <w:color w:val="000000" w:themeColor="text1"/>
          <w:sz w:val="28"/>
          <w:szCs w:val="28"/>
          <w:highlight w:val="none"/>
          <w14:textFill>
            <w14:solidFill>
              <w14:schemeClr w14:val="tx1"/>
            </w14:solidFill>
          </w14:textFill>
        </w:rPr>
        <w:t>公用系统</w:t>
      </w:r>
      <w:r>
        <w:rPr>
          <w:rFonts w:ascii="黑体" w:hAnsi="黑体" w:eastAsia="黑体" w:cs="Times New Roman"/>
          <w:color w:val="000000" w:themeColor="text1"/>
          <w:sz w:val="28"/>
          <w:szCs w:val="28"/>
          <w:highlight w:val="none"/>
          <w14:textFill>
            <w14:solidFill>
              <w14:schemeClr w14:val="tx1"/>
            </w14:solidFill>
          </w14:textFill>
        </w:rPr>
        <w:t>设计</w:t>
      </w:r>
      <w:bookmarkEnd w:id="137"/>
    </w:p>
    <w:p>
      <w:pPr>
        <w:pStyle w:val="90"/>
        <w:numPr>
          <w:ilvl w:val="0"/>
          <w:numId w:val="96"/>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几何量测量实验室内将容纳和部署大量贵重仪器设备和科研成果，设计时应严格执行现行防火和自动喷水灭火规范的相关规定。精密实验区域为防止误喷和误报，宜采用预作用喷淋灭火系统或气体灭火系统</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7"/>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温度控制要求±</w:t>
      </w:r>
      <w:r>
        <w:rPr>
          <w:rFonts w:ascii="Times New Roman" w:hAnsi="Times New Roman" w:cs="Times New Roman"/>
          <w:color w:val="000000" w:themeColor="text1"/>
          <w:sz w:val="24"/>
          <w:szCs w:val="24"/>
          <w:highlight w:val="none"/>
          <w14:textFill>
            <w14:solidFill>
              <w14:schemeClr w14:val="tx1"/>
            </w14:solidFill>
          </w14:textFill>
        </w:rPr>
        <w:t>0.1</w:t>
      </w:r>
      <w:r>
        <w:rPr>
          <w:rFonts w:hint="eastAsia" w:ascii="Times New Roman" w:hAnsi="Times New Roman" w:cs="Times New Roman"/>
          <w:color w:val="000000" w:themeColor="text1"/>
          <w:sz w:val="24"/>
          <w:szCs w:val="24"/>
          <w:highlight w:val="none"/>
          <w14:textFill>
            <w14:solidFill>
              <w14:schemeClr w14:val="tx1"/>
            </w14:solidFill>
          </w14:textFill>
        </w:rPr>
        <w:t>℃实验室的外围应设置±</w:t>
      </w:r>
      <w:r>
        <w:rPr>
          <w:rFonts w:ascii="Times New Roman" w:hAnsi="Times New Roman" w:cs="Times New Roman"/>
          <w:color w:val="000000" w:themeColor="text1"/>
          <w:sz w:val="24"/>
          <w:szCs w:val="24"/>
          <w:highlight w:val="none"/>
          <w14:textFill>
            <w14:solidFill>
              <w14:schemeClr w14:val="tx1"/>
            </w14:solidFill>
          </w14:textFill>
        </w:rPr>
        <w:t>0.25</w:t>
      </w:r>
      <w:r>
        <w:rPr>
          <w:rFonts w:hint="eastAsia" w:ascii="Times New Roman" w:hAnsi="Times New Roman" w:cs="Times New Roman"/>
          <w:color w:val="000000" w:themeColor="text1"/>
          <w:sz w:val="24"/>
          <w:szCs w:val="24"/>
          <w:highlight w:val="none"/>
          <w14:textFill>
            <w14:solidFill>
              <w14:schemeClr w14:val="tx1"/>
            </w14:solidFill>
          </w14:textFill>
        </w:rPr>
        <w:t>℃恒温恒湿走廊，在其外围再设置全年维持±</w:t>
      </w:r>
      <w:r>
        <w:rPr>
          <w:rFonts w:ascii="Times New Roman" w:hAnsi="Times New Roman" w:cs="Times New Roman"/>
          <w:color w:val="000000" w:themeColor="text1"/>
          <w:sz w:val="24"/>
          <w:szCs w:val="24"/>
          <w:highlight w:val="none"/>
          <w14:textFill>
            <w14:solidFill>
              <w14:schemeClr w14:val="tx1"/>
            </w14:solidFill>
          </w14:textFill>
        </w:rPr>
        <w:t>1.0</w:t>
      </w:r>
      <w:r>
        <w:rPr>
          <w:rFonts w:hint="eastAsia" w:ascii="Times New Roman" w:hAnsi="Times New Roman" w:cs="Times New Roman"/>
          <w:color w:val="000000" w:themeColor="text1"/>
          <w:sz w:val="24"/>
          <w:szCs w:val="24"/>
          <w:highlight w:val="none"/>
          <w14:textFill>
            <w14:solidFill>
              <w14:schemeClr w14:val="tx1"/>
            </w14:solidFill>
          </w14:textFill>
        </w:rPr>
        <w:t>℃的恒温恒湿走廊，外围±</w:t>
      </w:r>
      <w:r>
        <w:rPr>
          <w:rFonts w:ascii="Times New Roman" w:hAnsi="Times New Roman" w:cs="Times New Roman"/>
          <w:color w:val="000000" w:themeColor="text1"/>
          <w:sz w:val="24"/>
          <w:szCs w:val="24"/>
          <w:highlight w:val="none"/>
          <w14:textFill>
            <w14:solidFill>
              <w14:schemeClr w14:val="tx1"/>
            </w14:solidFill>
          </w14:textFill>
        </w:rPr>
        <w:t>1.0</w:t>
      </w:r>
      <w:r>
        <w:rPr>
          <w:rFonts w:hint="eastAsia" w:ascii="Times New Roman" w:hAnsi="Times New Roman" w:cs="Times New Roman"/>
          <w:color w:val="000000" w:themeColor="text1"/>
          <w:sz w:val="24"/>
          <w:szCs w:val="24"/>
          <w:highlight w:val="none"/>
          <w14:textFill>
            <w14:solidFill>
              <w14:schemeClr w14:val="tx1"/>
            </w14:solidFill>
          </w14:textFill>
        </w:rPr>
        <w:t>℃的恒温恒湿走廊采用顶送风、侧墙下回风的气流组织方式；温度控制要求±</w:t>
      </w:r>
      <w:r>
        <w:rPr>
          <w:rFonts w:ascii="Times New Roman" w:hAnsi="Times New Roman" w:cs="Times New Roman"/>
          <w:color w:val="000000" w:themeColor="text1"/>
          <w:sz w:val="24"/>
          <w:szCs w:val="24"/>
          <w:highlight w:val="none"/>
          <w14:textFill>
            <w14:solidFill>
              <w14:schemeClr w14:val="tx1"/>
            </w14:solidFill>
          </w14:textFill>
        </w:rPr>
        <w:t>0.2</w:t>
      </w:r>
      <w:r>
        <w:rPr>
          <w:rFonts w:hint="eastAsia" w:ascii="Times New Roman" w:hAnsi="Times New Roman" w:cs="Times New Roman"/>
          <w:color w:val="000000" w:themeColor="text1"/>
          <w:sz w:val="24"/>
          <w:szCs w:val="24"/>
          <w:highlight w:val="none"/>
          <w14:textFill>
            <w14:solidFill>
              <w14:schemeClr w14:val="tx1"/>
            </w14:solidFill>
          </w14:textFill>
        </w:rPr>
        <w:t>℃实验室的外围应设置±</w:t>
      </w:r>
      <w:r>
        <w:rPr>
          <w:rFonts w:ascii="Times New Roman" w:hAnsi="Times New Roman" w:cs="Times New Roman"/>
          <w:color w:val="000000" w:themeColor="text1"/>
          <w:sz w:val="24"/>
          <w:szCs w:val="24"/>
          <w:highlight w:val="none"/>
          <w14:textFill>
            <w14:solidFill>
              <w14:schemeClr w14:val="tx1"/>
            </w14:solidFill>
          </w14:textFill>
        </w:rPr>
        <w:t>0.5</w:t>
      </w:r>
      <w:r>
        <w:rPr>
          <w:rFonts w:hint="eastAsia" w:ascii="Times New Roman" w:hAnsi="Times New Roman" w:cs="Times New Roman"/>
          <w:color w:val="000000" w:themeColor="text1"/>
          <w:sz w:val="24"/>
          <w:szCs w:val="24"/>
          <w:highlight w:val="none"/>
          <w14:textFill>
            <w14:solidFill>
              <w14:schemeClr w14:val="tx1"/>
            </w14:solidFill>
          </w14:textFill>
        </w:rPr>
        <w:t>℃恒温恒湿走廊，在其外围宜再设置全年维持±</w:t>
      </w:r>
      <w:r>
        <w:rPr>
          <w:rFonts w:ascii="Times New Roman" w:hAnsi="Times New Roman" w:cs="Times New Roman"/>
          <w:color w:val="000000" w:themeColor="text1"/>
          <w:sz w:val="24"/>
          <w:szCs w:val="24"/>
          <w:highlight w:val="none"/>
          <w14:textFill>
            <w14:solidFill>
              <w14:schemeClr w14:val="tx1"/>
            </w14:solidFill>
          </w14:textFill>
        </w:rPr>
        <w:t>1.0</w:t>
      </w:r>
      <w:r>
        <w:rPr>
          <w:rFonts w:hint="eastAsia" w:ascii="Times New Roman" w:hAnsi="Times New Roman" w:cs="Times New Roman"/>
          <w:color w:val="000000" w:themeColor="text1"/>
          <w:sz w:val="24"/>
          <w:szCs w:val="24"/>
          <w:highlight w:val="none"/>
          <w14:textFill>
            <w14:solidFill>
              <w14:schemeClr w14:val="tx1"/>
            </w14:solidFill>
          </w14:textFill>
        </w:rPr>
        <w:t>℃的恒温恒湿走廊</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7"/>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温湿度控制较为严格的精密测量实验室送风温差很小，因此送风量很大，宜采用顶板静压箱孔板送风，格栅地板回风的气流组织形式，以实现精确控温。送风风管的保温厚度需要经过计算后确定，以使送风在风管中的温升小于</w:t>
      </w:r>
      <w:r>
        <w:rPr>
          <w:rFonts w:ascii="Times New Roman" w:hAnsi="Times New Roman" w:cs="Times New Roman"/>
          <w:color w:val="000000" w:themeColor="text1"/>
          <w:sz w:val="24"/>
          <w:szCs w:val="24"/>
          <w:highlight w:val="none"/>
          <w14:textFill>
            <w14:solidFill>
              <w14:schemeClr w14:val="tx1"/>
            </w14:solidFill>
          </w14:textFill>
        </w:rPr>
        <w:t>0.05</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/m</w:t>
      </w:r>
      <w:r>
        <w:rPr>
          <w:rFonts w:hint="eastAsia" w:ascii="Times New Roman" w:hAnsi="Times New Roman" w:cs="Times New Roman"/>
          <w:color w:val="000000" w:themeColor="text1"/>
          <w:sz w:val="24"/>
          <w:szCs w:val="24"/>
          <w:highlight w:val="none"/>
          <w14:textFill>
            <w14:solidFill>
              <w14:schemeClr w14:val="tx1"/>
            </w14:solidFill>
          </w14:textFill>
        </w:rPr>
        <w:t>。为了避免风管由于风速过高产生噪声、振动影响，风管的消声器需要经过详细的计算选型。风管的支吊架和风管之间采用多孔的海绵隔离，以防止风管的振动影响到主体结构的减震。空调设备应采用阻尼弹簧减震器，最大程度的隔离空调机组产生的振动传播到主体结构</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7"/>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内宜设置温度湿度等受控环境智能监控系统，通过监控屏幕实时监测、数字显示实验室受控环境状态，根据实验室内受控环境变化情况及设定值判断能否允许开展工作，在不满足条件时，可自动阻止检测设备开机；系统能够自动存储温湿度等受控环境数据，生成各类统计报表、曲线报表，便于数据的长期保存、分析</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电源管理系统对变电所及用电末端的实验室等电力系统的各种运行参数（电压、电流、功率、频率、谐波等）进行监测，并给出统计报表及评价。在主变配电室的两路高压进线电源处设专用计量柜</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装有有功电度表、无功电度表、峰谷表，并装有断相失压报警装置并可以自动记录失压时间，按供电局要求装设无线负荷控制装置。为便于内部成本核算及节能运行分析，变电所低压柜所有出线回路设有功计量表，由变电所监控后台自动抄表。变电所以外的区域计量采用指针式电度表，且与变电所的计量回路不重复</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电源宜采用洁净电源，根据市电具体条件采用相应的电源质量改善措施如滤波、屏蔽、隔离、稳压、稳频及不间断供电等措施。电磁干扰源来自客货电梯、主变配电房、卸货区、动力站等。实验室布置远离该部分区域并有一定控制距离。实验室布置的距离还需要用专用仪器测量确定</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普通实验室实验区域照度宜取</w:t>
      </w:r>
      <w:r>
        <w:rPr>
          <w:rFonts w:ascii="Times New Roman" w:hAnsi="Times New Roman" w:cs="Times New Roman"/>
          <w:color w:val="000000" w:themeColor="text1"/>
          <w:sz w:val="24"/>
          <w:szCs w:val="24"/>
          <w:highlight w:val="none"/>
          <w14:textFill>
            <w14:solidFill>
              <w14:schemeClr w14:val="tx1"/>
            </w14:solidFill>
          </w14:textFill>
        </w:rPr>
        <w:t>300 lx</w:t>
      </w:r>
      <w:r>
        <w:rPr>
          <w:rFonts w:hint="eastAsia" w:ascii="Times New Roman" w:hAnsi="Times New Roman" w:cs="Times New Roman"/>
          <w:color w:val="000000" w:themeColor="text1"/>
          <w:sz w:val="24"/>
          <w:szCs w:val="24"/>
          <w:highlight w:val="none"/>
          <w14:textFill>
            <w14:solidFill>
              <w14:schemeClr w14:val="tx1"/>
            </w14:solidFill>
          </w14:textFill>
        </w:rPr>
        <w:t>，照明功率密度</w:t>
      </w:r>
      <w:r>
        <w:rPr>
          <w:rFonts w:ascii="Times New Roman" w:hAnsi="Times New Roman" w:cs="Times New Roman"/>
          <w:color w:val="000000" w:themeColor="text1"/>
          <w:sz w:val="24"/>
          <w:szCs w:val="24"/>
          <w:highlight w:val="none"/>
          <w14:textFill>
            <w14:solidFill>
              <w14:schemeClr w14:val="tx1"/>
            </w14:solidFill>
          </w14:textFill>
        </w:rPr>
        <w:t>11W/m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。精密实验室实验区域照度宜取</w:t>
      </w:r>
      <w:r>
        <w:rPr>
          <w:rFonts w:ascii="Times New Roman" w:hAnsi="Times New Roman" w:cs="Times New Roman"/>
          <w:color w:val="000000" w:themeColor="text1"/>
          <w:sz w:val="24"/>
          <w:szCs w:val="24"/>
          <w:highlight w:val="none"/>
          <w14:textFill>
            <w14:solidFill>
              <w14:schemeClr w14:val="tx1"/>
            </w14:solidFill>
          </w14:textFill>
        </w:rPr>
        <w:t>500 lx</w:t>
      </w:r>
      <w:r>
        <w:rPr>
          <w:rFonts w:hint="eastAsia" w:ascii="Times New Roman" w:hAnsi="Times New Roman" w:cs="Times New Roman"/>
          <w:color w:val="000000" w:themeColor="text1"/>
          <w:sz w:val="24"/>
          <w:szCs w:val="24"/>
          <w:highlight w:val="none"/>
          <w14:textFill>
            <w14:solidFill>
              <w14:schemeClr w14:val="tx1"/>
            </w14:solidFill>
          </w14:textFill>
        </w:rPr>
        <w:t>，照明功率密度</w:t>
      </w:r>
      <w:r>
        <w:rPr>
          <w:rFonts w:ascii="Times New Roman" w:hAnsi="Times New Roman" w:cs="Times New Roman"/>
          <w:color w:val="000000" w:themeColor="text1"/>
          <w:sz w:val="24"/>
          <w:szCs w:val="24"/>
          <w:highlight w:val="none"/>
          <w14:textFill>
            <w14:solidFill>
              <w14:schemeClr w14:val="tx1"/>
            </w14:solidFill>
          </w14:textFill>
        </w:rPr>
        <w:t>18W/m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。超精密实验室实验区域照度宜取</w:t>
      </w:r>
      <w:r>
        <w:rPr>
          <w:rFonts w:ascii="Times New Roman" w:hAnsi="Times New Roman" w:cs="Times New Roman"/>
          <w:color w:val="000000" w:themeColor="text1"/>
          <w:sz w:val="24"/>
          <w:szCs w:val="24"/>
          <w:highlight w:val="none"/>
          <w14:textFill>
            <w14:solidFill>
              <w14:schemeClr w14:val="tx1"/>
            </w14:solidFill>
          </w14:textFill>
        </w:rPr>
        <w:t>700 lx</w:t>
      </w:r>
      <w:r>
        <w:rPr>
          <w:rFonts w:hint="eastAsia" w:ascii="Times New Roman" w:hAnsi="Times New Roman" w:cs="Times New Roman"/>
          <w:color w:val="000000" w:themeColor="text1"/>
          <w:sz w:val="24"/>
          <w:szCs w:val="24"/>
          <w:highlight w:val="none"/>
          <w14:textFill>
            <w14:solidFill>
              <w14:schemeClr w14:val="tx1"/>
            </w14:solidFill>
          </w14:textFill>
        </w:rPr>
        <w:t>，照明功率密度</w:t>
      </w:r>
      <w:r>
        <w:rPr>
          <w:rFonts w:ascii="Times New Roman" w:hAnsi="Times New Roman" w:cs="Times New Roman"/>
          <w:color w:val="000000" w:themeColor="text1"/>
          <w:sz w:val="24"/>
          <w:szCs w:val="24"/>
          <w:highlight w:val="none"/>
          <w14:textFill>
            <w14:solidFill>
              <w14:schemeClr w14:val="tx1"/>
            </w14:solidFill>
          </w14:textFill>
        </w:rPr>
        <w:t>25W/m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实验室的敏感设备仪器工作接地要和其他接地系统隔离，为防止工作接地电阻值随时间发生变化，宜采用电解离子接地系统。几何量测量实验室工作接地电阻的阻值一般小于</w:t>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Ω</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综合布线主要是对实验区的数据、语言进行综合布线，并与办公区的其他建筑进行网络连接。安全防范系统主要包括视频监控系统、保安报警系统、门禁管理系统、考勤系统、巡更系统、周界报警系统等。有线电视系统宜采用独立前端系统模式，全频双向传输，在办公、会议均设电视终端。有线广播系统作为业务及背景音乐服务性广播，火灾时切断正常广播，转为紧急广播，广播区域按功能划分，广播室可对每个区域或单独或全部播出。会议系统设置扩声、多媒体显示及同声传译和视频等会议系统。消防系统按控制中心报警系统设计。对建设标准较高的实验室，楼内将含大量机电设备，为有效提高物业管理水平和效率，节约能源，减少运行费用，宜设置建筑能耗测评系统，可按照《公共建筑节能设计规范》（</w:t>
      </w:r>
      <w:r>
        <w:rPr>
          <w:rFonts w:ascii="Times New Roman" w:hAnsi="Times New Roman" w:cs="Times New Roman"/>
          <w:color w:val="000000" w:themeColor="text1"/>
          <w:sz w:val="24"/>
          <w:szCs w:val="24"/>
          <w:highlight w:val="none"/>
          <w14:textFill>
            <w14:solidFill>
              <w14:schemeClr w14:val="tx1"/>
            </w14:solidFill>
          </w14:textFill>
        </w:rPr>
        <w:t>DB45/T 392-2007</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ascii="Times New Roman" w:hAnsi="Times New Roman" w:cs="Times New Roman"/>
          <w:color w:val="000000" w:themeColor="text1"/>
          <w:sz w:val="24"/>
          <w:szCs w:val="24"/>
          <w:highlight w:val="none"/>
          <w14:textFill>
            <w14:solidFill>
              <w14:schemeClr w14:val="tx1"/>
            </w14:solidFill>
          </w14:textFill>
        </w:rPr>
        <w:t>4.6</w:t>
      </w:r>
      <w:r>
        <w:rPr>
          <w:rFonts w:hint="eastAsia" w:ascii="Times New Roman" w:hAnsi="Times New Roman" w:cs="Times New Roman"/>
          <w:color w:val="000000" w:themeColor="text1"/>
          <w:sz w:val="24"/>
          <w:szCs w:val="24"/>
          <w:highlight w:val="none"/>
          <w14:textFill>
            <w14:solidFill>
              <w14:schemeClr w14:val="tx1"/>
            </w14:solidFill>
          </w14:textFill>
        </w:rPr>
        <w:t>节中相关条文及强制性条文的强制性要求执行</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98"/>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压缩空气主要用于为实验室区域的仪器设备或隔振用空气弹簧提供动力驱动，尤其是对防微振要求较高的实验室，单独设置空压站，并远离实验室区域，以有利于振动的控制</w:t>
      </w:r>
      <w:r>
        <w:rPr>
          <w:rFonts w:ascii="Times New Roman" w:hAnsi="Times New Roman" w:cs="Times New Roman"/>
          <w:color w:val="000000" w:themeColor="text1"/>
          <w:sz w:val="24"/>
          <w:szCs w:val="24"/>
          <w:highlight w:val="none"/>
          <w14:textFill>
            <w14:solidFill>
              <w14:schemeClr w14:val="tx1"/>
            </w14:solidFill>
          </w14:textFill>
        </w:rPr>
        <w:t>。</w:t>
      </w:r>
    </w:p>
    <w:p>
      <w:pPr>
        <w:pStyle w:val="90"/>
        <w:keepNext/>
        <w:keepLines/>
        <w:spacing w:before="156" w:beforeLines="50" w:line="360" w:lineRule="auto"/>
        <w:ind w:firstLine="0" w:firstLineChars="0"/>
        <w:jc w:val="center"/>
        <w:outlineLvl w:val="1"/>
        <w:rPr>
          <w:rFonts w:ascii="黑体" w:hAnsi="黑体" w:eastAsia="黑体" w:cs="Times New Roman"/>
          <w:color w:val="000000" w:themeColor="text1"/>
          <w:sz w:val="28"/>
          <w:szCs w:val="28"/>
          <w:highlight w:val="none"/>
          <w14:textFill>
            <w14:solidFill>
              <w14:schemeClr w14:val="tx1"/>
            </w14:solidFill>
          </w14:textFill>
        </w:rPr>
      </w:pPr>
      <w:bookmarkStart w:id="138" w:name="_Toc44847229"/>
      <w:r>
        <w:rPr>
          <w:rFonts w:ascii="黑体" w:hAnsi="黑体" w:eastAsia="黑体" w:cs="Times New Roman"/>
          <w:color w:val="000000" w:themeColor="text1"/>
          <w:sz w:val="28"/>
          <w:szCs w:val="28"/>
          <w:highlight w:val="none"/>
          <w14:textFill>
            <w14:solidFill>
              <w14:schemeClr w14:val="tx1"/>
            </w14:solidFill>
          </w14:textFill>
        </w:rPr>
        <w:t xml:space="preserve">6.4 </w:t>
      </w:r>
      <w:r>
        <w:rPr>
          <w:rFonts w:hint="eastAsia" w:ascii="黑体" w:hAnsi="黑体" w:eastAsia="黑体" w:cs="Times New Roman"/>
          <w:color w:val="000000" w:themeColor="text1"/>
          <w:sz w:val="28"/>
          <w:szCs w:val="28"/>
          <w:highlight w:val="none"/>
          <w14:textFill>
            <w14:solidFill>
              <w14:schemeClr w14:val="tx1"/>
            </w14:solidFill>
          </w14:textFill>
        </w:rPr>
        <w:t>公用系统</w:t>
      </w:r>
      <w:r>
        <w:rPr>
          <w:rFonts w:ascii="黑体" w:hAnsi="黑体" w:eastAsia="黑体" w:cs="Times New Roman"/>
          <w:color w:val="000000" w:themeColor="text1"/>
          <w:sz w:val="28"/>
          <w:szCs w:val="28"/>
          <w:highlight w:val="none"/>
          <w14:textFill>
            <w14:solidFill>
              <w14:schemeClr w14:val="tx1"/>
            </w14:solidFill>
          </w14:textFill>
        </w:rPr>
        <w:t>设计</w:t>
      </w:r>
      <w:bookmarkEnd w:id="138"/>
    </w:p>
    <w:p>
      <w:pPr>
        <w:pStyle w:val="90"/>
        <w:numPr>
          <w:ilvl w:val="0"/>
          <w:numId w:val="99"/>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实验台架布局除了考虑计量器具设备的摆放位置外，还应充分考虑实验室安全和人员流动与物品流动的方向是否符合相关要求和舒适性，主要考虑以下几个方面的因素</w:t>
      </w:r>
      <w:r>
        <w:rPr>
          <w:rFonts w:ascii="Times New Roman" w:hAnsi="Times New Roman" w:cs="Times New Roman"/>
          <w:color w:val="000000" w:themeColor="text1"/>
          <w:sz w:val="24"/>
          <w:szCs w:val="24"/>
          <w:highlight w:val="none"/>
          <w14:textFill>
            <w14:solidFill>
              <w14:schemeClr w14:val="tx1"/>
            </w14:solidFill>
          </w14:textFill>
        </w:rPr>
        <w:t>：</w:t>
      </w:r>
    </w:p>
    <w:p>
      <w:pPr>
        <w:pStyle w:val="90"/>
        <w:widowControl/>
        <w:numPr>
          <w:ilvl w:val="0"/>
          <w:numId w:val="100"/>
        </w:numPr>
        <w:spacing w:line="360" w:lineRule="auto"/>
        <w:ind w:left="851" w:firstLineChars="0"/>
        <w:jc w:val="left"/>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疏散、撤离、逃生顺畅无阻，一般实验室安全通道门向里开，但如设置有爆炸危险的房间，房门应朝外开，房门材质宜选择压力玻璃。</w:t>
      </w:r>
    </w:p>
    <w:p>
      <w:pPr>
        <w:pStyle w:val="90"/>
        <w:widowControl/>
        <w:numPr>
          <w:ilvl w:val="0"/>
          <w:numId w:val="100"/>
        </w:numPr>
        <w:spacing w:line="360" w:lineRule="auto"/>
        <w:ind w:left="851" w:firstLineChars="0"/>
        <w:jc w:val="left"/>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应满足人体工程学要求，实验台之间通道设计参数应遵照下列标准（通道间隔用</w:t>
      </w:r>
      <w:r>
        <w:rPr>
          <w:rFonts w:ascii="Times New Roman" w:hAnsi="Times New Roman" w:cs="Times New Roman"/>
          <w:color w:val="000000" w:themeColor="text1"/>
          <w:sz w:val="24"/>
          <w:szCs w:val="24"/>
          <w:highlight w:val="none"/>
          <w14:textFill>
            <w14:solidFill>
              <w14:schemeClr w14:val="tx1"/>
            </w14:solidFill>
          </w14:textFill>
        </w:rPr>
        <w:t>L</w:t>
      </w:r>
      <w:r>
        <w:rPr>
          <w:rFonts w:hint="eastAsia" w:ascii="Times New Roman" w:hAnsi="Times New Roman" w:cs="Times New Roman"/>
          <w:color w:val="000000" w:themeColor="text1"/>
          <w:sz w:val="24"/>
          <w:szCs w:val="24"/>
          <w:highlight w:val="none"/>
          <w14:textFill>
            <w14:solidFill>
              <w14:schemeClr w14:val="tx1"/>
            </w14:solidFill>
          </w14:textFill>
        </w:rPr>
        <w:t>表示）。</w:t>
      </w:r>
    </w:p>
    <w:p>
      <w:pPr>
        <w:pStyle w:val="90"/>
        <w:numPr>
          <w:ilvl w:val="0"/>
          <w:numId w:val="101"/>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 xml:space="preserve">L &gt;500mm </w:t>
      </w:r>
      <w:r>
        <w:rPr>
          <w:rFonts w:hint="eastAsia" w:ascii="Times New Roman" w:hAnsi="Times New Roman" w:cs="Times New Roman"/>
          <w:color w:val="000000" w:themeColor="text1"/>
          <w:sz w:val="24"/>
          <w:szCs w:val="24"/>
          <w:highlight w:val="none"/>
          <w14:textFill>
            <w14:solidFill>
              <w14:schemeClr w14:val="tx1"/>
            </w14:solidFill>
          </w14:textFill>
        </w:rPr>
        <w:t>时，一边可站人操作</w:t>
      </w:r>
      <w:r>
        <w:rPr>
          <w:rFonts w:ascii="Times New Roman" w:hAnsi="Times New Roman" w:cs="Times New Roman"/>
          <w:color w:val="000000" w:themeColor="text1"/>
          <w:sz w:val="24"/>
          <w:szCs w:val="24"/>
          <w:highlight w:val="none"/>
          <w14:textFill>
            <w14:solidFill>
              <w14:schemeClr w14:val="tx1"/>
            </w14:solidFill>
          </w14:textFill>
        </w:rPr>
        <w:t>；</w:t>
      </w:r>
    </w:p>
    <w:p>
      <w:pPr>
        <w:pStyle w:val="90"/>
        <w:widowControl/>
        <w:numPr>
          <w:ilvl w:val="0"/>
          <w:numId w:val="101"/>
        </w:numPr>
        <w:spacing w:line="360" w:lineRule="auto"/>
        <w:ind w:firstLineChars="0"/>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 xml:space="preserve">L &gt;800mm </w:t>
      </w:r>
      <w:r>
        <w:rPr>
          <w:rFonts w:hint="eastAsia" w:ascii="Times New Roman" w:hAnsi="Times New Roman" w:cs="Times New Roman"/>
          <w:color w:val="000000" w:themeColor="text1"/>
          <w:sz w:val="24"/>
          <w:szCs w:val="24"/>
          <w:highlight w:val="none"/>
          <w14:textFill>
            <w14:solidFill>
              <w14:schemeClr w14:val="tx1"/>
            </w14:solidFill>
          </w14:textFill>
        </w:rPr>
        <w:t>时，一边可坐人操作；</w:t>
      </w:r>
    </w:p>
    <w:p>
      <w:pPr>
        <w:pStyle w:val="90"/>
        <w:widowControl/>
        <w:numPr>
          <w:ilvl w:val="0"/>
          <w:numId w:val="101"/>
        </w:numPr>
        <w:spacing w:line="360" w:lineRule="auto"/>
        <w:ind w:firstLineChars="0"/>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 xml:space="preserve">L &gt;1200mm </w:t>
      </w:r>
      <w:r>
        <w:rPr>
          <w:rFonts w:hint="eastAsia" w:ascii="Times New Roman" w:hAnsi="Times New Roman" w:cs="Times New Roman"/>
          <w:color w:val="000000" w:themeColor="text1"/>
          <w:sz w:val="24"/>
          <w:szCs w:val="24"/>
          <w:highlight w:val="none"/>
          <w14:textFill>
            <w14:solidFill>
              <w14:schemeClr w14:val="tx1"/>
            </w14:solidFill>
          </w14:textFill>
        </w:rPr>
        <w:t>时，一边可坐人，一边可站人，中间不可过人</w:t>
      </w:r>
      <w:r>
        <w:rPr>
          <w:rFonts w:ascii="Times New Roman" w:hAnsi="Times New Roman" w:cs="Times New Roman"/>
          <w:color w:val="000000" w:themeColor="text1"/>
          <w:sz w:val="24"/>
          <w:szCs w:val="24"/>
          <w:highlight w:val="none"/>
          <w14:textFill>
            <w14:solidFill>
              <w14:schemeClr w14:val="tx1"/>
            </w14:solidFill>
          </w14:textFill>
        </w:rPr>
        <w:t xml:space="preserve"> ;</w:t>
      </w:r>
    </w:p>
    <w:p>
      <w:pPr>
        <w:pStyle w:val="90"/>
        <w:widowControl/>
        <w:numPr>
          <w:ilvl w:val="0"/>
          <w:numId w:val="101"/>
        </w:numPr>
        <w:spacing w:line="360" w:lineRule="auto"/>
        <w:ind w:firstLineChars="0"/>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 xml:space="preserve">L &gt;1500mm </w:t>
      </w:r>
      <w:r>
        <w:rPr>
          <w:rFonts w:hint="eastAsia" w:ascii="Times New Roman" w:hAnsi="Times New Roman" w:cs="Times New Roman"/>
          <w:color w:val="000000" w:themeColor="text1"/>
          <w:sz w:val="24"/>
          <w:szCs w:val="24"/>
          <w:highlight w:val="none"/>
          <w14:textFill>
            <w14:solidFill>
              <w14:schemeClr w14:val="tx1"/>
            </w14:solidFill>
          </w14:textFill>
        </w:rPr>
        <w:t>时，两边可坐人，中间可过人；</w:t>
      </w:r>
    </w:p>
    <w:p>
      <w:pPr>
        <w:pStyle w:val="90"/>
        <w:numPr>
          <w:ilvl w:val="0"/>
          <w:numId w:val="101"/>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 xml:space="preserve">L &gt;1800mm </w:t>
      </w:r>
      <w:r>
        <w:rPr>
          <w:rFonts w:hint="eastAsia" w:ascii="Times New Roman" w:hAnsi="Times New Roman" w:cs="Times New Roman"/>
          <w:color w:val="000000" w:themeColor="text1"/>
          <w:sz w:val="24"/>
          <w:szCs w:val="24"/>
          <w:highlight w:val="none"/>
          <w14:textFill>
            <w14:solidFill>
              <w14:schemeClr w14:val="tx1"/>
            </w14:solidFill>
          </w14:textFill>
        </w:rPr>
        <w:t>时，两边可坐人，中间可过人可过仪器</w:t>
      </w:r>
    </w:p>
    <w:p>
      <w:pPr>
        <w:pStyle w:val="90"/>
        <w:numPr>
          <w:ilvl w:val="0"/>
          <w:numId w:val="102"/>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实验室台柜的选择首先应考虑工作所需，主要涉及到台面材质、柜体结构与材质、颜色搭配等要素。台柜的结构一般分为钢木、全木、全钢三种，实验台的支架又可分为C形、回形，应根据需求而定。</w:t>
      </w:r>
    </w:p>
    <w:p>
      <w:pPr>
        <w:pStyle w:val="90"/>
        <w:numPr>
          <w:ilvl w:val="0"/>
          <w:numId w:val="103"/>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实验室台架的尺寸直接关系到使用的方便舒适程度，宜按以下标准选择：</w:t>
      </w:r>
    </w:p>
    <w:p>
      <w:pPr>
        <w:pStyle w:val="90"/>
        <w:numPr>
          <w:ilvl w:val="0"/>
          <w:numId w:val="10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坐式工作台的高度通常在750～850mmL之间，如果男性实验员占较高比率也可考虑900mm高；</w:t>
      </w:r>
    </w:p>
    <w:p>
      <w:pPr>
        <w:pStyle w:val="90"/>
        <w:numPr>
          <w:ilvl w:val="0"/>
          <w:numId w:val="10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站式工作台高度则在850～920mm之间；</w:t>
      </w:r>
    </w:p>
    <w:p>
      <w:pPr>
        <w:pStyle w:val="90"/>
        <w:numPr>
          <w:ilvl w:val="0"/>
          <w:numId w:val="10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工作台的长度通常宜考虑每人1200mm(最小不应小于1000mm)，高柜可达1800～2000mm；</w:t>
      </w:r>
    </w:p>
    <w:p>
      <w:pPr>
        <w:pStyle w:val="90"/>
        <w:numPr>
          <w:ilvl w:val="0"/>
          <w:numId w:val="104"/>
        </w:numPr>
        <w:spacing w:line="360" w:lineRule="auto"/>
        <w:ind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工作台的深度一般为750mm，双面工作台一般采用1500mm。若台面上需要安装的计量仪器设备比较多且面积大，可适当加宽，以便于操作。</w:t>
      </w:r>
    </w:p>
    <w:p>
      <w:pPr>
        <w:pStyle w:val="90"/>
        <w:numPr>
          <w:ilvl w:val="0"/>
          <w:numId w:val="103"/>
        </w:numPr>
        <w:spacing w:line="360" w:lineRule="auto"/>
        <w:ind w:left="851" w:firstLineChars="0"/>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放置计量器具的工作台一般要求坚固平整、无尘、耐腐蚀、远离磁场，且对测量精度无影响，而大理石台面特别适用于高精度的测量方面，适用于实验室的测量工作。其实无论选用哪种材质，其台面都应坚固平整、保持水平、无缝、不渗漏、耐磨、耐热、耐腐化，具有充足的硬度、强度及韧性，不易划伤及断裂。应根据不同实验室要求合理选择，目前使用较多的实验室台面材料有环氧树脂、耐蚀实心理化板、千思板以及耐蚀理化贴面板等。实验用房的用水、用电、用气、接地极点配置位置宜根据实验台架布置确定。</w:t>
      </w:r>
    </w:p>
    <w:p>
      <w:pPr>
        <w:pStyle w:val="90"/>
        <w:numPr>
          <w:ilvl w:val="0"/>
          <w:numId w:val="105"/>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几何量测量实验室设计时应合理利用天然采光、充分考虑周围绿化环境的影响、统一规划公用工程等实验支持系统，各种供应和排放管网设施考虑预留的无障碍接驳。在限定的建筑面积内适当打破常规，增加实验面积实际使用率，让项目产生出最大的效益。普通实验室可采用实验室通风加舒适性空调系统，也可采用全空气空调系统，确保工作环境舒适和科学实验稳定可靠地运行</w:t>
      </w:r>
      <w:r>
        <w:rPr>
          <w:rFonts w:ascii="Times New Roman" w:hAnsi="Times New Roman" w:cs="Times New Roman"/>
          <w:color w:val="000000" w:themeColor="text1"/>
          <w:sz w:val="24"/>
          <w:szCs w:val="24"/>
          <w:highlight w:val="none"/>
          <w14:textFill>
            <w14:solidFill>
              <w14:schemeClr w14:val="tx1"/>
            </w14:solidFill>
          </w14:textFill>
        </w:rPr>
        <w:t>。</w:t>
      </w:r>
    </w:p>
    <w:p>
      <w:pPr>
        <w:widowControl/>
        <w:spacing w:line="360" w:lineRule="auto"/>
        <w:jc w:val="left"/>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br w:type="page"/>
      </w:r>
    </w:p>
    <w:p>
      <w:pPr>
        <w:pStyle w:val="205"/>
        <w:numPr>
          <w:ilvl w:val="0"/>
          <w:numId w:val="106"/>
        </w:numPr>
        <w:ind w:left="0" w:firstLine="0"/>
        <w:rPr>
          <w:highlight w:val="none"/>
        </w:rPr>
      </w:pPr>
      <w:bookmarkStart w:id="139" w:name="_Toc44847230"/>
      <w:r>
        <w:rPr>
          <w:highlight w:val="none"/>
        </w:rPr>
        <w:t>检测与验收</w:t>
      </w:r>
      <w:bookmarkEnd w:id="139"/>
    </w:p>
    <w:p>
      <w:pPr>
        <w:pStyle w:val="90"/>
        <w:keepNext/>
        <w:keepLines/>
        <w:numPr>
          <w:ilvl w:val="1"/>
          <w:numId w:val="107"/>
        </w:numPr>
        <w:spacing w:before="156" w:beforeLines="50" w:line="360" w:lineRule="auto"/>
        <w:ind w:firstLineChars="0"/>
        <w:jc w:val="center"/>
        <w:outlineLvl w:val="1"/>
        <w:rPr>
          <w:rFonts w:ascii="黑体" w:hAnsi="黑体" w:eastAsia="黑体" w:cs="Times New Roman"/>
          <w:bCs/>
          <w:color w:val="000000" w:themeColor="text1"/>
          <w:sz w:val="28"/>
          <w:szCs w:val="28"/>
          <w:highlight w:val="none"/>
          <w14:textFill>
            <w14:solidFill>
              <w14:schemeClr w14:val="tx1"/>
            </w14:solidFill>
          </w14:textFill>
        </w:rPr>
      </w:pPr>
      <w:bookmarkStart w:id="140" w:name="_Toc44847231"/>
      <w:r>
        <w:rPr>
          <w:rFonts w:hint="eastAsia" w:ascii="黑体" w:hAnsi="黑体" w:eastAsia="黑体" w:cs="Times New Roman"/>
          <w:bCs/>
          <w:color w:val="000000" w:themeColor="text1"/>
          <w:sz w:val="28"/>
          <w:szCs w:val="28"/>
          <w:highlight w:val="none"/>
          <w14:textFill>
            <w14:solidFill>
              <w14:schemeClr w14:val="tx1"/>
            </w14:solidFill>
          </w14:textFill>
        </w:rPr>
        <w:t xml:space="preserve"> </w:t>
      </w:r>
      <w:r>
        <w:rPr>
          <w:rFonts w:ascii="黑体" w:hAnsi="黑体" w:eastAsia="黑体" w:cs="Times New Roman"/>
          <w:bCs/>
          <w:color w:val="000000" w:themeColor="text1"/>
          <w:sz w:val="28"/>
          <w:szCs w:val="28"/>
          <w:highlight w:val="none"/>
          <w14:textFill>
            <w14:solidFill>
              <w14:schemeClr w14:val="tx1"/>
            </w14:solidFill>
          </w14:textFill>
        </w:rPr>
        <w:t>工程检测</w:t>
      </w:r>
      <w:bookmarkEnd w:id="140"/>
    </w:p>
    <w:p>
      <w:pPr>
        <w:numPr>
          <w:ilvl w:val="2"/>
          <w:numId w:val="108"/>
        </w:num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几何量测量实验室在投入使用之前，必须进行综合性能全面检测和评定，应由建设方组织委托，施工方配合。检测前，施工方应提供合格的调试报告。</w:t>
      </w:r>
    </w:p>
    <w:p>
      <w:pPr>
        <w:numPr>
          <w:ilvl w:val="2"/>
          <w:numId w:val="109"/>
        </w:numPr>
        <w:spacing w:line="360" w:lineRule="auto"/>
        <w:ind w:left="850" w:leftChars="204" w:hanging="422" w:hangingChars="176"/>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由于综合性能检验是对工程整体质量的检验和验证，要求各专业系统紧密配合。因此，综合性能检验之前需要施工方对工程整体系统调试完成调试和自检后进行。</w:t>
      </w:r>
    </w:p>
    <w:p>
      <w:pPr>
        <w:numPr>
          <w:ilvl w:val="2"/>
          <w:numId w:val="109"/>
        </w:numPr>
        <w:spacing w:line="360" w:lineRule="auto"/>
        <w:ind w:left="850" w:leftChars="204" w:hanging="422" w:hangingChars="176"/>
        <w:rPr>
          <w:rFonts w:ascii="Times New Roman" w:hAnsi="Times New Roman" w:cs="Times New Roman"/>
          <w:color w:val="000000" w:themeColor="text1"/>
          <w:sz w:val="24"/>
          <w:szCs w:val="24"/>
          <w:highlight w:val="none"/>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检验工作需要在实验室机电设备和系统运行稳定和可靠之后进行。连续正常运行24h后，应已适应了周围环境对它的影响，可认为达到了稳定状态。</w:t>
      </w:r>
    </w:p>
    <w:p>
      <w:pPr>
        <w:pStyle w:val="90"/>
        <w:numPr>
          <w:ilvl w:val="0"/>
          <w:numId w:val="110"/>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在《洁净室及相关受控环境》</w:t>
      </w:r>
      <w:r>
        <w:rPr>
          <w:rFonts w:ascii="Times New Roman" w:hAnsi="Times New Roman" w:cs="Times New Roman"/>
          <w:color w:val="000000" w:themeColor="text1"/>
          <w:sz w:val="24"/>
          <w:szCs w:val="24"/>
          <w:highlight w:val="none"/>
          <w14:textFill>
            <w14:solidFill>
              <w14:schemeClr w14:val="tx1"/>
            </w14:solidFill>
          </w14:textFill>
        </w:rPr>
        <w:t>ISO 14644</w:t>
      </w:r>
      <w:r>
        <w:rPr>
          <w:rFonts w:hint="eastAsia" w:ascii="Times New Roman" w:hAnsi="Times New Roman" w:cs="Times New Roman"/>
          <w:color w:val="000000" w:themeColor="text1"/>
          <w:sz w:val="24"/>
          <w:szCs w:val="24"/>
          <w:highlight w:val="none"/>
          <w14:textFill>
            <w14:solidFill>
              <w14:schemeClr w14:val="tx1"/>
            </w14:solidFill>
          </w14:textFill>
        </w:rPr>
        <w:t>中，对于</w:t>
      </w:r>
      <w:r>
        <w:rPr>
          <w:rFonts w:ascii="Times New Roman" w:hAnsi="Times New Roman" w:cs="Times New Roman"/>
          <w:color w:val="000000" w:themeColor="text1"/>
          <w:sz w:val="24"/>
          <w:szCs w:val="24"/>
          <w:highlight w:val="none"/>
          <w14:textFill>
            <w14:solidFill>
              <w14:schemeClr w14:val="tx1"/>
            </w14:solidFill>
          </w14:textFill>
        </w:rPr>
        <w:t>7</w:t>
      </w:r>
      <w:r>
        <w:rPr>
          <w:rFonts w:hint="eastAsia" w:ascii="Times New Roman" w:hAnsi="Times New Roman" w:cs="Times New Roman"/>
          <w:color w:val="000000" w:themeColor="text1"/>
          <w:sz w:val="24"/>
          <w:szCs w:val="24"/>
          <w:highlight w:val="none"/>
          <w14:textFill>
            <w14:solidFill>
              <w14:schemeClr w14:val="tx1"/>
            </w14:solidFill>
          </w14:textFill>
        </w:rPr>
        <w:t>级、</w:t>
      </w:r>
      <w:r>
        <w:rPr>
          <w:rFonts w:ascii="Times New Roman" w:hAnsi="Times New Roman" w:cs="Times New Roman"/>
          <w:color w:val="000000" w:themeColor="text1"/>
          <w:sz w:val="24"/>
          <w:szCs w:val="24"/>
          <w:highlight w:val="none"/>
          <w14:textFill>
            <w14:solidFill>
              <w14:schemeClr w14:val="tx1"/>
            </w14:solidFill>
          </w14:textFill>
        </w:rPr>
        <w:t>8</w:t>
      </w:r>
      <w:r>
        <w:rPr>
          <w:rFonts w:hint="eastAsia" w:ascii="Times New Roman" w:hAnsi="Times New Roman" w:cs="Times New Roman"/>
          <w:color w:val="000000" w:themeColor="text1"/>
          <w:sz w:val="24"/>
          <w:szCs w:val="24"/>
          <w:highlight w:val="none"/>
          <w14:textFill>
            <w14:solidFill>
              <w14:schemeClr w14:val="tx1"/>
            </w14:solidFill>
          </w14:textFill>
        </w:rPr>
        <w:t>级洁净室的洁净度、风量、压差的最长检测时间间隔为</w:t>
      </w:r>
      <w:r>
        <w:rPr>
          <w:rFonts w:ascii="Times New Roman" w:hAnsi="Times New Roman" w:cs="Times New Roman"/>
          <w:color w:val="000000" w:themeColor="text1"/>
          <w:sz w:val="24"/>
          <w:szCs w:val="24"/>
          <w:highlight w:val="none"/>
          <w14:textFill>
            <w14:solidFill>
              <w14:schemeClr w14:val="tx1"/>
            </w14:solidFill>
          </w14:textFill>
        </w:rPr>
        <w:t>12</w:t>
      </w:r>
      <w:r>
        <w:rPr>
          <w:rFonts w:hint="eastAsia" w:ascii="Times New Roman" w:hAnsi="Times New Roman" w:cs="Times New Roman"/>
          <w:color w:val="000000" w:themeColor="text1"/>
          <w:sz w:val="24"/>
          <w:szCs w:val="24"/>
          <w:highlight w:val="none"/>
          <w14:textFill>
            <w14:solidFill>
              <w14:schemeClr w14:val="tx1"/>
            </w14:solidFill>
          </w14:textFill>
        </w:rPr>
        <w:t>个月，对于几何量测量实验室，由于大多实验室有较为严格的洁净度和温度湿度控制要求，每年至少进行一次各项综合性能的全面检测是有必要的。另外，进行大修和更换了主要设备后，由于系统阻力等参数可能会发生较大变化，会对房间风量、压差等主要参数产生影响，必须重新进行调整，经检测确认符合要求后，方可使用</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110"/>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非专业机构的检验报告不具有科学性和专业性，也不具有法律上的效力</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111"/>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静态的运行参数能够切实反映工程的质量，是验证在室内设备运行过程中实验室环境稳定性的主要依据。静态不达标，工程不能启用</w:t>
      </w:r>
      <w:r>
        <w:rPr>
          <w:rFonts w:ascii="Times New Roman" w:hAnsi="Times New Roman" w:cs="Times New Roman"/>
          <w:color w:val="000000" w:themeColor="text1"/>
          <w:sz w:val="24"/>
          <w:szCs w:val="24"/>
          <w:highlight w:val="none"/>
          <w14:textFill>
            <w14:solidFill>
              <w14:schemeClr w14:val="tx1"/>
            </w14:solidFill>
          </w14:textFill>
        </w:rPr>
        <w:t>。</w:t>
      </w:r>
    </w:p>
    <w:p>
      <w:pPr>
        <w:pStyle w:val="90"/>
        <w:numPr>
          <w:ilvl w:val="0"/>
          <w:numId w:val="111"/>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本规程必测项目主要考虑两个方面的内容，一是安全性，二是实验工艺功能性</w:t>
      </w:r>
      <w:r>
        <w:rPr>
          <w:rFonts w:ascii="Times New Roman" w:hAnsi="Times New Roman" w:cs="Times New Roman"/>
          <w:bCs/>
          <w:color w:val="000000" w:themeColor="text1"/>
          <w:sz w:val="24"/>
          <w:szCs w:val="24"/>
          <w:highlight w:val="none"/>
          <w14:textFill>
            <w14:solidFill>
              <w14:schemeClr w14:val="tx1"/>
            </w14:solidFill>
          </w14:textFill>
        </w:rPr>
        <w:t>。</w:t>
      </w:r>
    </w:p>
    <w:p>
      <w:pPr>
        <w:pStyle w:val="90"/>
        <w:numPr>
          <w:ilvl w:val="0"/>
          <w:numId w:val="111"/>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现行国家标准《洁净室施工及验收规范》</w:t>
      </w:r>
      <w:r>
        <w:rPr>
          <w:rFonts w:ascii="Times New Roman" w:hAnsi="Times New Roman" w:cs="Times New Roman"/>
          <w:bCs/>
          <w:color w:val="000000" w:themeColor="text1"/>
          <w:sz w:val="24"/>
          <w:szCs w:val="24"/>
          <w:highlight w:val="none"/>
          <w14:textFill>
            <w14:solidFill>
              <w14:schemeClr w14:val="tx1"/>
            </w14:solidFill>
          </w14:textFill>
        </w:rPr>
        <w:t>GB 50591</w:t>
      </w:r>
      <w:r>
        <w:rPr>
          <w:rFonts w:hint="eastAsia" w:ascii="Times New Roman" w:hAnsi="Times New Roman" w:cs="Times New Roman"/>
          <w:bCs/>
          <w:color w:val="000000" w:themeColor="text1"/>
          <w:sz w:val="24"/>
          <w:szCs w:val="24"/>
          <w:highlight w:val="none"/>
          <w14:textFill>
            <w14:solidFill>
              <w14:schemeClr w14:val="tx1"/>
            </w14:solidFill>
          </w14:textFill>
        </w:rPr>
        <w:t>中所针对的是洁净室通用性要求，而本规程是根据几何量测量实验室特有需求所作的规定。因此，洁净类几何量测量环境的综合性能检验应以本规程为主</w:t>
      </w:r>
      <w:r>
        <w:rPr>
          <w:rFonts w:ascii="Times New Roman" w:hAnsi="Times New Roman" w:cs="Times New Roman"/>
          <w:bCs/>
          <w:color w:val="000000" w:themeColor="text1"/>
          <w:sz w:val="24"/>
          <w:szCs w:val="24"/>
          <w:highlight w:val="none"/>
          <w14:textFill>
            <w14:solidFill>
              <w14:schemeClr w14:val="tx1"/>
            </w14:solidFill>
          </w14:textFill>
        </w:rPr>
        <w:t>。</w:t>
      </w:r>
    </w:p>
    <w:p>
      <w:pPr>
        <w:pStyle w:val="90"/>
        <w:numPr>
          <w:ilvl w:val="0"/>
          <w:numId w:val="111"/>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实验室工程在检验过程中涉及的各项指标相互之间存在一定程度的影响，如图</w:t>
      </w:r>
      <w:r>
        <w:rPr>
          <w:rFonts w:ascii="Times New Roman" w:hAnsi="Times New Roman" w:cs="Times New Roman"/>
          <w:color w:val="000000" w:themeColor="text1"/>
          <w:sz w:val="24"/>
          <w:szCs w:val="24"/>
          <w:highlight w:val="none"/>
          <w14:textFill>
            <w14:solidFill>
              <w14:schemeClr w14:val="tx1"/>
            </w14:solidFill>
          </w14:textFill>
        </w:rPr>
        <w:t>8.1.8</w:t>
      </w:r>
      <w:r>
        <w:rPr>
          <w:rFonts w:hint="eastAsia" w:ascii="Times New Roman" w:hAnsi="Times New Roman" w:cs="Times New Roman"/>
          <w:color w:val="000000" w:themeColor="text1"/>
          <w:sz w:val="24"/>
          <w:szCs w:val="24"/>
          <w:highlight w:val="none"/>
          <w14:textFill>
            <w14:solidFill>
              <w14:schemeClr w14:val="tx1"/>
            </w14:solidFill>
          </w14:textFill>
        </w:rPr>
        <w:t>所示，这些相互影响是指在系统在运行过程中，当某一参数发生变化较大时，可能对其他参数产生影响，例如当过滤器严重堵塞时，新风量大量减少、换气次数减少很多、静压差也随之减小；当排风量增大时，静压差会随之减小；当风速度过快时</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可能导致噪声的增加等。总之，各参数之间并不是独立存在的个体，因此，当某一参数由于调整产生变化时，其他相关参数也应进行重新测定</w:t>
      </w:r>
      <w:r>
        <w:rPr>
          <w:rFonts w:ascii="Times New Roman" w:hAnsi="Times New Roman" w:cs="Times New Roman"/>
          <w:color w:val="000000" w:themeColor="text1"/>
          <w:sz w:val="24"/>
          <w:szCs w:val="24"/>
          <w:highlight w:val="none"/>
          <w14:textFill>
            <w14:solidFill>
              <w14:schemeClr w14:val="tx1"/>
            </w14:solidFill>
          </w14:textFill>
        </w:rPr>
        <w:t>。</w:t>
      </w:r>
    </w:p>
    <w:p>
      <w:pPr>
        <w:adjustRightInd w:val="0"/>
        <w:snapToGrid w:val="0"/>
        <w:spacing w:line="360" w:lineRule="auto"/>
        <w:jc w:val="center"/>
        <w:rPr>
          <w:rFonts w:ascii="Times New Roman" w:hAnsi="Times New Roman" w:eastAsia="宋体" w:cs="Times New Roman"/>
          <w:color w:val="000000" w:themeColor="text1"/>
          <w:kern w:val="0"/>
          <w:sz w:val="24"/>
          <w:szCs w:val="24"/>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drawing>
          <wp:inline distT="0" distB="0" distL="0" distR="0">
            <wp:extent cx="4669790" cy="2101215"/>
            <wp:effectExtent l="0" t="0" r="0" b="0"/>
            <wp:docPr id="3" name="图片 3" descr="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2"/>
                    <pic:cNvPicPr>
                      <a:picLocks noChangeAspect="1" noChangeArrowheads="1"/>
                    </pic:cNvPicPr>
                  </pic:nvPicPr>
                  <pic:blipFill>
                    <a:blip r:embed="rId48" cstate="print">
                      <a:extLst>
                        <a:ext uri="{28A0092B-C50C-407E-A947-70E740481C1C}">
                          <a14:useLocalDpi xmlns:a14="http://schemas.microsoft.com/office/drawing/2010/main" val="0"/>
                        </a:ext>
                      </a:extLst>
                    </a:blip>
                    <a:srcRect l="39339" t="29572" r="14447" b="24626"/>
                    <a:stretch>
                      <a:fillRect/>
                    </a:stretch>
                  </pic:blipFill>
                  <pic:spPr>
                    <a:xfrm>
                      <a:off x="0" y="0"/>
                      <a:ext cx="4669790" cy="2101215"/>
                    </a:xfrm>
                    <a:prstGeom prst="rect">
                      <a:avLst/>
                    </a:prstGeom>
                    <a:noFill/>
                    <a:ln>
                      <a:noFill/>
                    </a:ln>
                  </pic:spPr>
                </pic:pic>
              </a:graphicData>
            </a:graphic>
          </wp:inline>
        </w:drawing>
      </w:r>
    </w:p>
    <w:p>
      <w:pPr>
        <w:adjustRightInd w:val="0"/>
        <w:snapToGrid w:val="0"/>
        <w:spacing w:line="360" w:lineRule="auto"/>
        <w:jc w:val="center"/>
        <w:rPr>
          <w:rFonts w:ascii="Times New Roman" w:hAnsi="Times New Roman" w:eastAsia="宋体" w:cs="Times New Roman"/>
          <w:bCs/>
          <w:color w:val="000000" w:themeColor="text1"/>
          <w:kern w:val="0"/>
          <w:szCs w:val="21"/>
          <w:highlight w:val="none"/>
          <w14:textFill>
            <w14:solidFill>
              <w14:schemeClr w14:val="tx1"/>
            </w14:solidFill>
          </w14:textFill>
        </w:rPr>
      </w:pPr>
      <w:r>
        <w:rPr>
          <w:rFonts w:hint="eastAsia" w:ascii="Times New Roman" w:hAnsi="Times New Roman" w:eastAsia="宋体" w:cs="Times New Roman"/>
          <w:bCs/>
          <w:color w:val="000000" w:themeColor="text1"/>
          <w:szCs w:val="21"/>
          <w:highlight w:val="none"/>
          <w14:textFill>
            <w14:solidFill>
              <w14:schemeClr w14:val="tx1"/>
            </w14:solidFill>
          </w14:textFill>
        </w:rPr>
        <w:t>图</w:t>
      </w:r>
      <w:r>
        <w:rPr>
          <w:rFonts w:ascii="Times New Roman" w:hAnsi="Times New Roman" w:cs="Times New Roman"/>
          <w:bCs/>
          <w:color w:val="000000" w:themeColor="text1"/>
          <w:szCs w:val="21"/>
          <w:highlight w:val="none"/>
          <w14:textFill>
            <w14:solidFill>
              <w14:schemeClr w14:val="tx1"/>
            </w14:solidFill>
          </w14:textFill>
        </w:rPr>
        <w:t>8</w:t>
      </w:r>
      <w:r>
        <w:rPr>
          <w:rFonts w:ascii="Times New Roman" w:hAnsi="Times New Roman" w:eastAsia="宋体" w:cs="Times New Roman"/>
          <w:bCs/>
          <w:color w:val="000000" w:themeColor="text1"/>
          <w:szCs w:val="21"/>
          <w:highlight w:val="none"/>
          <w14:textFill>
            <w14:solidFill>
              <w14:schemeClr w14:val="tx1"/>
            </w14:solidFill>
          </w14:textFill>
        </w:rPr>
        <w:t>.1.8</w:t>
      </w:r>
      <w:r>
        <w:rPr>
          <w:rFonts w:hint="eastAsia" w:ascii="Times New Roman" w:hAnsi="Times New Roman" w:eastAsia="宋体" w:cs="Times New Roman"/>
          <w:bCs/>
          <w:color w:val="000000" w:themeColor="text1"/>
          <w:szCs w:val="21"/>
          <w:highlight w:val="none"/>
          <w14:textFill>
            <w14:solidFill>
              <w14:schemeClr w14:val="tx1"/>
            </w14:solidFill>
          </w14:textFill>
        </w:rPr>
        <w:t>　参数变化的相互影响关系示意图</w:t>
      </w:r>
    </w:p>
    <w:p>
      <w:pPr>
        <w:pStyle w:val="90"/>
        <w:numPr>
          <w:ilvl w:val="0"/>
          <w:numId w:val="111"/>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由于使用方通常只注意个别是否达标，而不关心其性能和施工做法，往往运行一段时间后才发现问题，可能造成严重后果。如风量不足，会导致洁净类实验室环境的自净性能降低。所以要特别指出实验室环境是多功能综合整体，单项指标不能反映工程可以使用的整体性能</w:t>
      </w:r>
      <w:r>
        <w:rPr>
          <w:rFonts w:ascii="Times New Roman" w:hAnsi="Times New Roman" w:cs="Times New Roman"/>
          <w:bCs/>
          <w:color w:val="000000" w:themeColor="text1"/>
          <w:sz w:val="24"/>
          <w:szCs w:val="24"/>
          <w:highlight w:val="none"/>
          <w14:textFill>
            <w14:solidFill>
              <w14:schemeClr w14:val="tx1"/>
            </w14:solidFill>
          </w14:textFill>
        </w:rPr>
        <w:t>。</w:t>
      </w:r>
    </w:p>
    <w:p>
      <w:pPr>
        <w:pStyle w:val="90"/>
        <w:numPr>
          <w:ilvl w:val="0"/>
          <w:numId w:val="112"/>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考虑到设计或施工为了保险，往往取很大的风速或风量，虽然能够更好的保证实验室环境的抗干扰能力，但浪费了能量，因此，从节能角度出发制定了上限要求</w:t>
      </w:r>
      <w:r>
        <w:rPr>
          <w:rFonts w:ascii="Times New Roman" w:hAnsi="Times New Roman" w:cs="Times New Roman"/>
          <w:bCs/>
          <w:color w:val="000000" w:themeColor="text1"/>
          <w:sz w:val="24"/>
          <w:szCs w:val="24"/>
          <w:highlight w:val="none"/>
          <w14:textFill>
            <w14:solidFill>
              <w14:schemeClr w14:val="tx1"/>
            </w14:solidFill>
          </w14:textFill>
        </w:rPr>
        <w:t>。</w:t>
      </w:r>
    </w:p>
    <w:p>
      <w:pPr>
        <w:pStyle w:val="90"/>
        <w:numPr>
          <w:ilvl w:val="0"/>
          <w:numId w:val="113"/>
        </w:numPr>
        <w:spacing w:line="360" w:lineRule="auto"/>
        <w:ind w:left="0" w:firstLine="0" w:firstLineChars="0"/>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温湿度的理想测点情况应在最不利的冬季和夏季，以期充分验证空调系统在极端环境条件下的处理能力和稳定性</w:t>
      </w:r>
      <w:r>
        <w:rPr>
          <w:rFonts w:ascii="Times New Roman" w:hAnsi="Times New Roman" w:cs="Times New Roman"/>
          <w:color w:val="000000" w:themeColor="text1"/>
          <w:sz w:val="24"/>
          <w:szCs w:val="24"/>
          <w:highlight w:val="none"/>
          <w14:textFill>
            <w14:solidFill>
              <w14:schemeClr w14:val="tx1"/>
            </w14:solidFill>
          </w14:textFill>
        </w:rPr>
        <w:t>。</w:t>
      </w:r>
    </w:p>
    <w:p>
      <w:pPr>
        <w:spacing w:line="360" w:lineRule="auto"/>
        <w:rPr>
          <w:rFonts w:ascii="Times New Roman" w:hAnsi="Times New Roman" w:cs="Times New Roman"/>
          <w:bCs/>
          <w:color w:val="000000" w:themeColor="text1"/>
          <w:sz w:val="24"/>
          <w:szCs w:val="24"/>
          <w:highlight w:val="none"/>
          <w14:textFill>
            <w14:solidFill>
              <w14:schemeClr w14:val="tx1"/>
            </w14:solidFill>
          </w14:textFill>
        </w:rPr>
      </w:pPr>
      <w:r>
        <w:rPr>
          <w:rFonts w:hint="eastAsia" w:ascii="Times New Roman" w:hAnsi="Times New Roman" w:cs="Times New Roman"/>
          <w:b/>
          <w:color w:val="000000" w:themeColor="text1"/>
          <w:sz w:val="24"/>
          <w:szCs w:val="24"/>
          <w:highlight w:val="none"/>
          <w14:textFill>
            <w14:solidFill>
              <w14:schemeClr w14:val="tx1"/>
            </w14:solidFill>
          </w14:textFill>
        </w:rPr>
        <w:t>8.1.19</w:t>
      </w:r>
      <w:r>
        <w:rPr>
          <w:rFonts w:ascii="Times New Roman" w:hAnsi="Times New Roman" w:cs="Times New Roman"/>
          <w:bCs/>
          <w:color w:val="000000" w:themeColor="text1"/>
          <w:sz w:val="24"/>
          <w:szCs w:val="24"/>
          <w:highlight w:val="none"/>
          <w14:textFill>
            <w14:solidFill>
              <w14:schemeClr w14:val="tx1"/>
            </w14:solidFill>
          </w14:textFill>
        </w:rPr>
        <w:t xml:space="preserve"> </w:t>
      </w:r>
      <w:r>
        <w:rPr>
          <w:rFonts w:hint="eastAsia" w:ascii="Times New Roman" w:hAnsi="Times New Roman" w:cs="Times New Roman"/>
          <w:bCs/>
          <w:color w:val="000000" w:themeColor="text1"/>
          <w:sz w:val="24"/>
          <w:szCs w:val="24"/>
          <w:highlight w:val="none"/>
          <w14:textFill>
            <w14:solidFill>
              <w14:schemeClr w14:val="tx1"/>
            </w14:solidFill>
          </w14:textFill>
        </w:rPr>
        <w:t>测试室内外空气中</w:t>
      </w:r>
      <w:r>
        <w:rPr>
          <w:rFonts w:ascii="Times New Roman" w:hAnsi="Times New Roman" w:cs="Times New Roman"/>
          <w:bCs/>
          <w:color w:val="000000" w:themeColor="text1"/>
          <w:sz w:val="24"/>
          <w:szCs w:val="24"/>
          <w:highlight w:val="none"/>
          <w14:textFill>
            <w14:solidFill>
              <w14:schemeClr w14:val="tx1"/>
            </w14:solidFill>
          </w14:textFill>
        </w:rPr>
        <w:t>PM2.5</w:t>
      </w:r>
      <w:r>
        <w:rPr>
          <w:rFonts w:hint="eastAsia" w:ascii="Times New Roman" w:hAnsi="Times New Roman" w:cs="Times New Roman"/>
          <w:bCs/>
          <w:color w:val="000000" w:themeColor="text1"/>
          <w:sz w:val="24"/>
          <w:szCs w:val="24"/>
          <w:highlight w:val="none"/>
          <w14:textFill>
            <w14:solidFill>
              <w14:schemeClr w14:val="tx1"/>
            </w14:solidFill>
          </w14:textFill>
        </w:rPr>
        <w:t>浓度，计算</w:t>
      </w:r>
      <w:r>
        <w:rPr>
          <w:rFonts w:ascii="Times New Roman" w:hAnsi="Times New Roman" w:cs="Times New Roman"/>
          <w:bCs/>
          <w:color w:val="000000" w:themeColor="text1"/>
          <w:sz w:val="24"/>
          <w:szCs w:val="24"/>
          <w:highlight w:val="none"/>
          <w14:textFill>
            <w14:solidFill>
              <w14:schemeClr w14:val="tx1"/>
            </w14:solidFill>
          </w14:textFill>
        </w:rPr>
        <w:t>IO</w:t>
      </w:r>
      <w:r>
        <w:rPr>
          <w:rFonts w:hint="eastAsia" w:ascii="Times New Roman" w:hAnsi="Times New Roman" w:cs="Times New Roman"/>
          <w:bCs/>
          <w:color w:val="000000" w:themeColor="text1"/>
          <w:sz w:val="24"/>
          <w:szCs w:val="24"/>
          <w:highlight w:val="none"/>
          <w14:textFill>
            <w14:solidFill>
              <w14:schemeClr w14:val="tx1"/>
            </w14:solidFill>
          </w14:textFill>
        </w:rPr>
        <w:t>值，即室内空气中</w:t>
      </w:r>
      <w:r>
        <w:rPr>
          <w:rFonts w:ascii="Times New Roman" w:hAnsi="Times New Roman" w:cs="Times New Roman"/>
          <w:bCs/>
          <w:color w:val="000000" w:themeColor="text1"/>
          <w:sz w:val="24"/>
          <w:szCs w:val="24"/>
          <w:highlight w:val="none"/>
          <w14:textFill>
            <w14:solidFill>
              <w14:schemeClr w14:val="tx1"/>
            </w14:solidFill>
          </w14:textFill>
        </w:rPr>
        <w:t>PM2.5</w:t>
      </w:r>
      <w:r>
        <w:rPr>
          <w:rFonts w:hint="eastAsia" w:ascii="Times New Roman" w:hAnsi="Times New Roman" w:cs="Times New Roman"/>
          <w:bCs/>
          <w:color w:val="000000" w:themeColor="text1"/>
          <w:sz w:val="24"/>
          <w:szCs w:val="24"/>
          <w:highlight w:val="none"/>
          <w14:textFill>
            <w14:solidFill>
              <w14:schemeClr w14:val="tx1"/>
            </w14:solidFill>
          </w14:textFill>
        </w:rPr>
        <w:t>浓度除以室外空气中</w:t>
      </w:r>
      <w:r>
        <w:rPr>
          <w:rFonts w:ascii="Times New Roman" w:hAnsi="Times New Roman" w:cs="Times New Roman"/>
          <w:bCs/>
          <w:color w:val="000000" w:themeColor="text1"/>
          <w:sz w:val="24"/>
          <w:szCs w:val="24"/>
          <w:highlight w:val="none"/>
          <w14:textFill>
            <w14:solidFill>
              <w14:schemeClr w14:val="tx1"/>
            </w14:solidFill>
          </w14:textFill>
        </w:rPr>
        <w:t>PM2.5</w:t>
      </w:r>
      <w:r>
        <w:rPr>
          <w:rFonts w:hint="eastAsia" w:ascii="Times New Roman" w:hAnsi="Times New Roman" w:cs="Times New Roman"/>
          <w:bCs/>
          <w:color w:val="000000" w:themeColor="text1"/>
          <w:sz w:val="24"/>
          <w:szCs w:val="24"/>
          <w:highlight w:val="none"/>
          <w14:textFill>
            <w14:solidFill>
              <w14:schemeClr w14:val="tx1"/>
            </w14:solidFill>
          </w14:textFill>
        </w:rPr>
        <w:t>浓度。同时测量室内外温度及相对湿度，以体现室内外空气状态。</w:t>
      </w:r>
    </w:p>
    <w:p>
      <w:pPr>
        <w:spacing w:line="360" w:lineRule="auto"/>
        <w:ind w:firstLine="480" w:firstLineChars="200"/>
        <w:rPr>
          <w:rFonts w:ascii="Times New Roman" w:hAnsi="Times New Roman" w:cs="Times New Roman"/>
          <w:bCs/>
          <w:color w:val="000000" w:themeColor="text1"/>
          <w:sz w:val="24"/>
          <w:szCs w:val="24"/>
          <w:highlight w:val="none"/>
          <w14:textFill>
            <w14:solidFill>
              <w14:schemeClr w14:val="tx1"/>
            </w14:solidFill>
          </w14:textFill>
        </w:rPr>
      </w:pPr>
      <w:r>
        <w:rPr>
          <w:rFonts w:hint="eastAsia" w:ascii="Times New Roman" w:hAnsi="Times New Roman" w:cs="Times New Roman"/>
          <w:bCs/>
          <w:color w:val="000000" w:themeColor="text1"/>
          <w:sz w:val="24"/>
          <w:szCs w:val="24"/>
          <w:highlight w:val="none"/>
          <w14:textFill>
            <w14:solidFill>
              <w14:schemeClr w14:val="tx1"/>
            </w14:solidFill>
          </w14:textFill>
        </w:rPr>
        <w:t>室内</w:t>
      </w:r>
      <w:r>
        <w:rPr>
          <w:rFonts w:ascii="Times New Roman" w:hAnsi="Times New Roman" w:cs="Times New Roman"/>
          <w:bCs/>
          <w:color w:val="000000" w:themeColor="text1"/>
          <w:sz w:val="24"/>
          <w:szCs w:val="24"/>
          <w:highlight w:val="none"/>
          <w14:textFill>
            <w14:solidFill>
              <w14:schemeClr w14:val="tx1"/>
            </w14:solidFill>
          </w14:textFill>
        </w:rPr>
        <w:t>PM2.5</w:t>
      </w:r>
      <w:r>
        <w:rPr>
          <w:rFonts w:hint="eastAsia" w:ascii="Times New Roman" w:hAnsi="Times New Roman" w:cs="Times New Roman"/>
          <w:bCs/>
          <w:color w:val="000000" w:themeColor="text1"/>
          <w:sz w:val="24"/>
          <w:szCs w:val="24"/>
          <w:highlight w:val="none"/>
          <w14:textFill>
            <w14:solidFill>
              <w14:schemeClr w14:val="tx1"/>
            </w14:solidFill>
          </w14:textFill>
        </w:rPr>
        <w:t>污染控制效果现场检测抽检房间的数量，参照现行国家标准《通风系统用空气净化装置》</w:t>
      </w:r>
      <w:r>
        <w:rPr>
          <w:rFonts w:ascii="Times New Roman" w:hAnsi="Times New Roman" w:cs="Times New Roman"/>
          <w:bCs/>
          <w:color w:val="000000" w:themeColor="text1"/>
          <w:sz w:val="24"/>
          <w:szCs w:val="24"/>
          <w:highlight w:val="none"/>
          <w14:textFill>
            <w14:solidFill>
              <w14:schemeClr w14:val="tx1"/>
            </w14:solidFill>
          </w14:textFill>
        </w:rPr>
        <w:t>GB/T34012</w:t>
      </w:r>
      <w:r>
        <w:rPr>
          <w:rFonts w:hint="eastAsia" w:ascii="Times New Roman" w:hAnsi="Times New Roman" w:cs="Times New Roman"/>
          <w:bCs/>
          <w:color w:val="000000" w:themeColor="text1"/>
          <w:sz w:val="24"/>
          <w:szCs w:val="24"/>
          <w:highlight w:val="none"/>
          <w14:textFill>
            <w14:solidFill>
              <w14:schemeClr w14:val="tx1"/>
            </w14:solidFill>
          </w14:textFill>
        </w:rPr>
        <w:t>。条文中的房间指自然间，在概念上可以理解为建筑物内形成的独立封闭、使用中人们会在其中停留的空间单元。计算抽检房间数量时，指对一个单体建筑而言。</w:t>
      </w:r>
    </w:p>
    <w:p>
      <w:pPr>
        <w:pStyle w:val="90"/>
        <w:keepNext/>
        <w:keepLines/>
        <w:numPr>
          <w:ilvl w:val="1"/>
          <w:numId w:val="107"/>
        </w:numPr>
        <w:spacing w:before="156" w:beforeLines="50" w:line="360" w:lineRule="auto"/>
        <w:ind w:firstLineChars="0"/>
        <w:jc w:val="center"/>
        <w:outlineLvl w:val="1"/>
        <w:rPr>
          <w:rFonts w:ascii="黑体" w:hAnsi="黑体" w:eastAsia="黑体" w:cs="Times New Roman"/>
          <w:bCs/>
          <w:color w:val="000000" w:themeColor="text1"/>
          <w:sz w:val="28"/>
          <w:szCs w:val="28"/>
          <w:highlight w:val="none"/>
          <w14:textFill>
            <w14:solidFill>
              <w14:schemeClr w14:val="tx1"/>
            </w14:solidFill>
          </w14:textFill>
        </w:rPr>
      </w:pPr>
      <w:bookmarkStart w:id="141" w:name="_Toc44847232"/>
      <w:r>
        <w:rPr>
          <w:rFonts w:hint="eastAsia" w:ascii="黑体" w:hAnsi="黑体" w:eastAsia="黑体" w:cs="Times New Roman"/>
          <w:bCs/>
          <w:color w:val="000000" w:themeColor="text1"/>
          <w:sz w:val="28"/>
          <w:szCs w:val="28"/>
          <w:highlight w:val="none"/>
          <w14:textFill>
            <w14:solidFill>
              <w14:schemeClr w14:val="tx1"/>
            </w14:solidFill>
          </w14:textFill>
        </w:rPr>
        <w:t xml:space="preserve"> </w:t>
      </w:r>
      <w:r>
        <w:rPr>
          <w:rFonts w:ascii="黑体" w:hAnsi="黑体" w:eastAsia="黑体" w:cs="Times New Roman"/>
          <w:bCs/>
          <w:color w:val="000000" w:themeColor="text1"/>
          <w:sz w:val="28"/>
          <w:szCs w:val="28"/>
          <w:highlight w:val="none"/>
          <w14:textFill>
            <w14:solidFill>
              <w14:schemeClr w14:val="tx1"/>
            </w14:solidFill>
          </w14:textFill>
        </w:rPr>
        <w:t>工程检测</w:t>
      </w:r>
      <w:bookmarkEnd w:id="141"/>
    </w:p>
    <w:p>
      <w:pPr>
        <w:numPr>
          <w:ilvl w:val="2"/>
          <w:numId w:val="114"/>
        </w:numPr>
        <w:spacing w:line="360" w:lineRule="auto"/>
        <w:rPr>
          <w:rFonts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工程验收涉及的内容广泛，包括各个专业，综合性能的检验仅是其中一部分内容，还包括工程前期、施工过程中的相关文件和过程的审核验收</w:t>
      </w:r>
      <w:r>
        <w:rPr>
          <w:rFonts w:ascii="Times New Roman" w:hAnsi="Times New Roman" w:cs="Times New Roman"/>
          <w:color w:val="000000" w:themeColor="text1"/>
          <w:sz w:val="24"/>
          <w:szCs w:val="24"/>
          <w:highlight w:val="none"/>
          <w14:textFill>
            <w14:solidFill>
              <w14:schemeClr w14:val="tx1"/>
            </w14:solidFill>
          </w14:textFill>
        </w:rPr>
        <w:t>。</w:t>
      </w:r>
    </w:p>
    <w:p>
      <w:pPr>
        <w:spacing w:line="360" w:lineRule="auto"/>
        <w:rPr>
          <w:rFonts w:ascii="Times New Roman" w:hAnsi="Times New Roman" w:cs="Times New Roman"/>
          <w:color w:val="000000" w:themeColor="text1"/>
          <w:sz w:val="24"/>
          <w:szCs w:val="24"/>
          <w:highlight w:val="none"/>
          <w14:textFill>
            <w14:solidFill>
              <w14:schemeClr w14:val="tx1"/>
            </w14:solidFill>
          </w14:textFill>
        </w:rPr>
      </w:pPr>
    </w:p>
    <w:bookmarkEnd w:id="142"/>
    <w:sectPr>
      <w:pgSz w:w="11906" w:h="16838"/>
      <w:pgMar w:top="1440" w:right="1559" w:bottom="1418"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AdobeHeitiStd-Regular">
    <w:altName w:val="宋体"/>
    <w:panose1 w:val="020B0400000000000000"/>
    <w:charset w:val="86"/>
    <w:family w:val="auto"/>
    <w:pitch w:val="default"/>
    <w:sig w:usb0="00000000" w:usb1="00000000" w:usb2="00000016" w:usb3="00000000" w:csb0="00060007"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 PAGE   \* MERGEFORMAT </w:instrText>
    </w:r>
    <w:r>
      <w:fldChar w:fldCharType="separate"/>
    </w:r>
    <w:r>
      <w:rPr>
        <w:lang w:val="zh-CN"/>
      </w:rPr>
      <w:t>82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397F"/>
    <w:multiLevelType w:val="multilevel"/>
    <w:tmpl w:val="02CA397F"/>
    <w:lvl w:ilvl="0" w:tentative="0">
      <w:start w:val="1"/>
      <w:numFmt w:val="decimal"/>
      <w:lvlText w:val="%1）"/>
      <w:lvlJc w:val="left"/>
      <w:pPr>
        <w:ind w:left="1212" w:hanging="360"/>
      </w:pPr>
      <w:rPr>
        <w:rFonts w:ascii="Times New Roman" w:hAnsi="Times New Roman" w:eastAsia="宋体" w:cstheme="minorBidi"/>
        <w:sz w:val="24"/>
      </w:rPr>
    </w:lvl>
    <w:lvl w:ilvl="1" w:tentative="0">
      <w:start w:val="1"/>
      <w:numFmt w:val="lowerLetter"/>
      <w:lvlText w:val="%2)"/>
      <w:lvlJc w:val="left"/>
      <w:pPr>
        <w:ind w:left="837" w:hanging="420"/>
      </w:pPr>
    </w:lvl>
    <w:lvl w:ilvl="2" w:tentative="0">
      <w:start w:val="1"/>
      <w:numFmt w:val="lowerRoman"/>
      <w:lvlText w:val="%3."/>
      <w:lvlJc w:val="right"/>
      <w:pPr>
        <w:ind w:left="1257" w:hanging="420"/>
      </w:pPr>
    </w:lvl>
    <w:lvl w:ilvl="3" w:tentative="0">
      <w:start w:val="1"/>
      <w:numFmt w:val="decimal"/>
      <w:lvlText w:val="%4."/>
      <w:lvlJc w:val="left"/>
      <w:pPr>
        <w:ind w:left="1677" w:hanging="420"/>
      </w:pPr>
    </w:lvl>
    <w:lvl w:ilvl="4" w:tentative="0">
      <w:start w:val="1"/>
      <w:numFmt w:val="lowerLetter"/>
      <w:lvlText w:val="%5)"/>
      <w:lvlJc w:val="left"/>
      <w:pPr>
        <w:ind w:left="2097" w:hanging="420"/>
      </w:pPr>
    </w:lvl>
    <w:lvl w:ilvl="5" w:tentative="0">
      <w:start w:val="1"/>
      <w:numFmt w:val="lowerRoman"/>
      <w:lvlText w:val="%6."/>
      <w:lvlJc w:val="right"/>
      <w:pPr>
        <w:ind w:left="2517" w:hanging="420"/>
      </w:pPr>
    </w:lvl>
    <w:lvl w:ilvl="6" w:tentative="0">
      <w:start w:val="1"/>
      <w:numFmt w:val="decimal"/>
      <w:lvlText w:val="%7."/>
      <w:lvlJc w:val="left"/>
      <w:pPr>
        <w:ind w:left="2937" w:hanging="420"/>
      </w:pPr>
    </w:lvl>
    <w:lvl w:ilvl="7" w:tentative="0">
      <w:start w:val="1"/>
      <w:numFmt w:val="lowerLetter"/>
      <w:lvlText w:val="%8)"/>
      <w:lvlJc w:val="left"/>
      <w:pPr>
        <w:ind w:left="3357" w:hanging="420"/>
      </w:pPr>
    </w:lvl>
    <w:lvl w:ilvl="8" w:tentative="0">
      <w:start w:val="1"/>
      <w:numFmt w:val="lowerRoman"/>
      <w:lvlText w:val="%9."/>
      <w:lvlJc w:val="right"/>
      <w:pPr>
        <w:ind w:left="3777" w:hanging="420"/>
      </w:pPr>
    </w:lvl>
  </w:abstractNum>
  <w:abstractNum w:abstractNumId="1">
    <w:nsid w:val="02D003F4"/>
    <w:multiLevelType w:val="multilevel"/>
    <w:tmpl w:val="02D003F4"/>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4BC401D"/>
    <w:multiLevelType w:val="multilevel"/>
    <w:tmpl w:val="04BC401D"/>
    <w:lvl w:ilvl="0" w:tentative="0">
      <w:start w:val="1"/>
      <w:numFmt w:val="decimal"/>
      <w:lvlText w:val="B.6.%1"/>
      <w:lvlJc w:val="left"/>
      <w:pPr>
        <w:ind w:left="0" w:firstLine="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6300336"/>
    <w:multiLevelType w:val="multilevel"/>
    <w:tmpl w:val="06300336"/>
    <w:lvl w:ilvl="0" w:tentative="0">
      <w:start w:val="1"/>
      <w:numFmt w:val="decimal"/>
      <w:lvlText w:val="B.3.%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B3653B3"/>
    <w:multiLevelType w:val="multilevel"/>
    <w:tmpl w:val="0B3653B3"/>
    <w:lvl w:ilvl="0" w:tentative="0">
      <w:start w:val="5"/>
      <w:numFmt w:val="decimal"/>
      <w:lvlText w:val="%1"/>
      <w:lvlJc w:val="left"/>
      <w:pPr>
        <w:ind w:left="360" w:hanging="360"/>
      </w:pPr>
      <w:rPr>
        <w:rFonts w:hint="default"/>
      </w:rPr>
    </w:lvl>
    <w:lvl w:ilvl="1" w:tentative="0">
      <w:start w:val="4"/>
      <w:numFmt w:val="decimal"/>
      <w:isLgl/>
      <w:lvlText w:val="%1.%2"/>
      <w:lvlJc w:val="left"/>
      <w:pPr>
        <w:ind w:left="525" w:hanging="525"/>
      </w:pPr>
      <w:rPr>
        <w:rFonts w:hint="default"/>
      </w:rPr>
    </w:lvl>
    <w:lvl w:ilvl="2" w:tentative="0">
      <w:start w:val="9"/>
      <w:numFmt w:val="decimal"/>
      <w:lvlText w:val="5.3.%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5">
    <w:nsid w:val="0CC477ED"/>
    <w:multiLevelType w:val="multilevel"/>
    <w:tmpl w:val="0CC477ED"/>
    <w:lvl w:ilvl="0" w:tentative="0">
      <w:start w:val="5"/>
      <w:numFmt w:val="decimal"/>
      <w:lvlText w:val="8.1.%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CCE6240"/>
    <w:multiLevelType w:val="multilevel"/>
    <w:tmpl w:val="0CCE6240"/>
    <w:lvl w:ilvl="0" w:tentative="0">
      <w:start w:val="1"/>
      <w:numFmt w:val="decimal"/>
      <w:lvlText w:val="%1"/>
      <w:lvlJc w:val="left"/>
      <w:pPr>
        <w:ind w:left="4816"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D8B353D"/>
    <w:multiLevelType w:val="multilevel"/>
    <w:tmpl w:val="0D8B353D"/>
    <w:lvl w:ilvl="0" w:tentative="0">
      <w:start w:val="1"/>
      <w:numFmt w:val="decimal"/>
      <w:pStyle w:val="155"/>
      <w:lvlText w:val="（%1）"/>
      <w:lvlJc w:val="left"/>
      <w:pPr>
        <w:ind w:left="1283" w:hanging="720"/>
      </w:pPr>
      <w:rPr>
        <w:rFonts w:hint="default"/>
        <w:b w:val="0"/>
        <w:bCs/>
      </w:rPr>
    </w:lvl>
    <w:lvl w:ilvl="1" w:tentative="0">
      <w:start w:val="1"/>
      <w:numFmt w:val="lowerLetter"/>
      <w:pStyle w:val="144"/>
      <w:lvlText w:val="%2)"/>
      <w:lvlJc w:val="left"/>
      <w:pPr>
        <w:ind w:left="1403" w:hanging="420"/>
      </w:pPr>
    </w:lvl>
    <w:lvl w:ilvl="2" w:tentative="0">
      <w:start w:val="1"/>
      <w:numFmt w:val="lowerRoman"/>
      <w:pStyle w:val="136"/>
      <w:lvlText w:val="%3."/>
      <w:lvlJc w:val="right"/>
      <w:pPr>
        <w:ind w:left="1823" w:hanging="420"/>
      </w:pPr>
    </w:lvl>
    <w:lvl w:ilvl="3" w:tentative="0">
      <w:start w:val="1"/>
      <w:numFmt w:val="decimal"/>
      <w:lvlText w:val="%4."/>
      <w:lvlJc w:val="left"/>
      <w:pPr>
        <w:ind w:left="2243" w:hanging="420"/>
      </w:pPr>
    </w:lvl>
    <w:lvl w:ilvl="4" w:tentative="0">
      <w:start w:val="1"/>
      <w:numFmt w:val="lowerLetter"/>
      <w:lvlText w:val="%5)"/>
      <w:lvlJc w:val="left"/>
      <w:pPr>
        <w:ind w:left="2663" w:hanging="420"/>
      </w:pPr>
    </w:lvl>
    <w:lvl w:ilvl="5" w:tentative="0">
      <w:start w:val="1"/>
      <w:numFmt w:val="lowerRoman"/>
      <w:lvlText w:val="%6."/>
      <w:lvlJc w:val="right"/>
      <w:pPr>
        <w:ind w:left="3083" w:hanging="420"/>
      </w:pPr>
    </w:lvl>
    <w:lvl w:ilvl="6" w:tentative="0">
      <w:start w:val="1"/>
      <w:numFmt w:val="decimal"/>
      <w:lvlText w:val="%7."/>
      <w:lvlJc w:val="left"/>
      <w:pPr>
        <w:ind w:left="3503" w:hanging="420"/>
      </w:pPr>
    </w:lvl>
    <w:lvl w:ilvl="7" w:tentative="0">
      <w:start w:val="1"/>
      <w:numFmt w:val="lowerLetter"/>
      <w:lvlText w:val="%8)"/>
      <w:lvlJc w:val="left"/>
      <w:pPr>
        <w:ind w:left="3923" w:hanging="420"/>
      </w:pPr>
    </w:lvl>
    <w:lvl w:ilvl="8" w:tentative="0">
      <w:start w:val="1"/>
      <w:numFmt w:val="lowerRoman"/>
      <w:lvlText w:val="%9."/>
      <w:lvlJc w:val="right"/>
      <w:pPr>
        <w:ind w:left="4343" w:hanging="420"/>
      </w:pPr>
    </w:lvl>
  </w:abstractNum>
  <w:abstractNum w:abstractNumId="8">
    <w:nsid w:val="0E003871"/>
    <w:multiLevelType w:val="multilevel"/>
    <w:tmpl w:val="0E003871"/>
    <w:lvl w:ilvl="0" w:tentative="0">
      <w:start w:val="6"/>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9">
    <w:nsid w:val="0EB3202C"/>
    <w:multiLevelType w:val="multilevel"/>
    <w:tmpl w:val="0EB3202C"/>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07C2957"/>
    <w:multiLevelType w:val="multilevel"/>
    <w:tmpl w:val="107C2957"/>
    <w:lvl w:ilvl="0" w:tentative="0">
      <w:start w:val="5"/>
      <w:numFmt w:val="decimal"/>
      <w:lvlText w:val="%1"/>
      <w:lvlJc w:val="left"/>
      <w:pPr>
        <w:ind w:left="360" w:hanging="360"/>
      </w:pPr>
      <w:rPr>
        <w:rFonts w:hint="default"/>
      </w:rPr>
    </w:lvl>
    <w:lvl w:ilvl="1" w:tentative="0">
      <w:start w:val="4"/>
      <w:numFmt w:val="decimal"/>
      <w:isLgl/>
      <w:lvlText w:val="%1.%2"/>
      <w:lvlJc w:val="left"/>
      <w:pPr>
        <w:ind w:left="525" w:hanging="525"/>
      </w:pPr>
      <w:rPr>
        <w:rFonts w:hint="default"/>
      </w:rPr>
    </w:lvl>
    <w:lvl w:ilvl="2" w:tentative="0">
      <w:start w:val="1"/>
      <w:numFmt w:val="decimal"/>
      <w:lvlText w:val="5.3.%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11">
    <w:nsid w:val="114F4159"/>
    <w:multiLevelType w:val="multilevel"/>
    <w:tmpl w:val="114F4159"/>
    <w:lvl w:ilvl="0" w:tentative="0">
      <w:start w:val="7"/>
      <w:numFmt w:val="decimal"/>
      <w:lvlText w:val="%1"/>
      <w:lvlJc w:val="left"/>
      <w:pPr>
        <w:ind w:left="425" w:hanging="425"/>
      </w:pPr>
      <w:rPr>
        <w:rFonts w:hint="default"/>
      </w:rPr>
    </w:lvl>
    <w:lvl w:ilvl="1" w:tentative="0">
      <w:start w:val="1"/>
      <w:numFmt w:val="decimal"/>
      <w:lvlText w:val="%1.%2"/>
      <w:lvlJc w:val="left"/>
      <w:pPr>
        <w:ind w:left="992" w:hanging="567"/>
      </w:pPr>
      <w:rPr>
        <w:rFonts w:hint="default"/>
      </w:rPr>
    </w:lvl>
    <w:lvl w:ilvl="2" w:tentative="0">
      <w:start w:val="3"/>
      <w:numFmt w:val="decimal"/>
      <w:lvlText w:val="7.2.%3"/>
      <w:lvlJc w:val="left"/>
      <w:pPr>
        <w:ind w:left="1418" w:hanging="567"/>
      </w:pPr>
      <w:rPr>
        <w:rFonts w:hint="default" w:ascii="Times New Roman" w:hAnsi="Times New Roman" w:eastAsia="宋体"/>
        <w:b/>
        <w:bCs w:val="0"/>
        <w:i w:val="0"/>
        <w:sz w:val="24"/>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12">
    <w:nsid w:val="118E2F5F"/>
    <w:multiLevelType w:val="multilevel"/>
    <w:tmpl w:val="118E2F5F"/>
    <w:lvl w:ilvl="0" w:tentative="0">
      <w:start w:val="1"/>
      <w:numFmt w:val="decimal"/>
      <w:pStyle w:val="167"/>
      <w:lvlText w:val="%1"/>
      <w:lvlJc w:val="left"/>
      <w:pPr>
        <w:ind w:left="425" w:hanging="425"/>
      </w:pPr>
      <w:rPr>
        <w:rFonts w:hint="eastAsia"/>
        <w:b/>
      </w:rPr>
    </w:lvl>
    <w:lvl w:ilvl="1" w:tentative="0">
      <w:start w:val="1"/>
      <w:numFmt w:val="decimal"/>
      <w:lvlText w:val="%1.%2"/>
      <w:lvlJc w:val="left"/>
      <w:pPr>
        <w:ind w:left="992" w:hanging="567"/>
      </w:pPr>
      <w:rPr>
        <w:rFonts w:hint="eastAsia"/>
      </w:rPr>
    </w:lvl>
    <w:lvl w:ilvl="2" w:tentative="0">
      <w:start w:val="1"/>
      <w:numFmt w:val="decimal"/>
      <w:lvlText w:val="B.4.%3"/>
      <w:lvlJc w:val="left"/>
      <w:pPr>
        <w:ind w:left="1418" w:hanging="567"/>
      </w:pPr>
      <w:rPr>
        <w:rFonts w:hint="eastAsia"/>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3">
    <w:nsid w:val="13502AE2"/>
    <w:multiLevelType w:val="multilevel"/>
    <w:tmpl w:val="13502AE2"/>
    <w:lvl w:ilvl="0" w:tentative="0">
      <w:start w:val="1"/>
      <w:numFmt w:val="decimal"/>
      <w:lvlText w:val="2.0.%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35842C9"/>
    <w:multiLevelType w:val="multilevel"/>
    <w:tmpl w:val="135842C9"/>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3943B77"/>
    <w:multiLevelType w:val="multilevel"/>
    <w:tmpl w:val="13943B77"/>
    <w:lvl w:ilvl="0" w:tentative="0">
      <w:start w:val="1"/>
      <w:numFmt w:val="decimal"/>
      <w:pStyle w:val="111"/>
      <w:lvlText w:val="%1"/>
      <w:lvlJc w:val="left"/>
      <w:pPr>
        <w:ind w:left="425" w:hanging="425"/>
      </w:pPr>
      <w:rPr>
        <w:rFonts w:hint="eastAsia"/>
        <w:b/>
      </w:rPr>
    </w:lvl>
    <w:lvl w:ilvl="1" w:tentative="0">
      <w:start w:val="1"/>
      <w:numFmt w:val="decimal"/>
      <w:lvlText w:val="%1.%2"/>
      <w:lvlJc w:val="left"/>
      <w:pPr>
        <w:ind w:left="992" w:hanging="567"/>
      </w:pPr>
      <w:rPr>
        <w:rFonts w:hint="eastAsia"/>
      </w:rPr>
    </w:lvl>
    <w:lvl w:ilvl="2" w:tentative="0">
      <w:start w:val="1"/>
      <w:numFmt w:val="decimal"/>
      <w:lvlText w:val="B.%2.%3"/>
      <w:lvlJc w:val="left"/>
      <w:pPr>
        <w:ind w:left="1418" w:hanging="567"/>
      </w:pPr>
      <w:rPr>
        <w:rFonts w:hint="eastAsia"/>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6">
    <w:nsid w:val="13D5796B"/>
    <w:multiLevelType w:val="multilevel"/>
    <w:tmpl w:val="13D5796B"/>
    <w:lvl w:ilvl="0" w:tentative="0">
      <w:start w:val="1"/>
      <w:numFmt w:val="decimal"/>
      <w:lvlText w:val="%1"/>
      <w:lvlJc w:val="left"/>
      <w:pPr>
        <w:ind w:left="1215" w:hanging="360"/>
      </w:pPr>
      <w:rPr>
        <w:rFonts w:hint="eastAsia"/>
        <w:b/>
        <w:i w:val="0"/>
        <w:sz w:val="24"/>
      </w:rPr>
    </w:lvl>
    <w:lvl w:ilvl="1" w:tentative="0">
      <w:start w:val="1"/>
      <w:numFmt w:val="lowerLetter"/>
      <w:lvlText w:val="%2)"/>
      <w:lvlJc w:val="left"/>
      <w:pPr>
        <w:ind w:left="1695" w:hanging="420"/>
      </w:pPr>
    </w:lvl>
    <w:lvl w:ilvl="2" w:tentative="0">
      <w:start w:val="1"/>
      <w:numFmt w:val="lowerRoman"/>
      <w:lvlText w:val="%3."/>
      <w:lvlJc w:val="right"/>
      <w:pPr>
        <w:ind w:left="2115" w:hanging="420"/>
      </w:pPr>
    </w:lvl>
    <w:lvl w:ilvl="3" w:tentative="0">
      <w:start w:val="1"/>
      <w:numFmt w:val="decimal"/>
      <w:lvlText w:val="%4."/>
      <w:lvlJc w:val="left"/>
      <w:pPr>
        <w:ind w:left="2535" w:hanging="420"/>
      </w:pPr>
    </w:lvl>
    <w:lvl w:ilvl="4" w:tentative="0">
      <w:start w:val="1"/>
      <w:numFmt w:val="lowerLetter"/>
      <w:lvlText w:val="%5)"/>
      <w:lvlJc w:val="left"/>
      <w:pPr>
        <w:ind w:left="2955" w:hanging="420"/>
      </w:pPr>
    </w:lvl>
    <w:lvl w:ilvl="5" w:tentative="0">
      <w:start w:val="1"/>
      <w:numFmt w:val="lowerRoman"/>
      <w:lvlText w:val="%6."/>
      <w:lvlJc w:val="right"/>
      <w:pPr>
        <w:ind w:left="3375" w:hanging="420"/>
      </w:pPr>
    </w:lvl>
    <w:lvl w:ilvl="6" w:tentative="0">
      <w:start w:val="1"/>
      <w:numFmt w:val="decimal"/>
      <w:lvlText w:val="%7."/>
      <w:lvlJc w:val="left"/>
      <w:pPr>
        <w:ind w:left="3795" w:hanging="420"/>
      </w:pPr>
    </w:lvl>
    <w:lvl w:ilvl="7" w:tentative="0">
      <w:start w:val="1"/>
      <w:numFmt w:val="lowerLetter"/>
      <w:lvlText w:val="%8)"/>
      <w:lvlJc w:val="left"/>
      <w:pPr>
        <w:ind w:left="4215" w:hanging="420"/>
      </w:pPr>
    </w:lvl>
    <w:lvl w:ilvl="8" w:tentative="0">
      <w:start w:val="1"/>
      <w:numFmt w:val="lowerRoman"/>
      <w:lvlText w:val="%9."/>
      <w:lvlJc w:val="right"/>
      <w:pPr>
        <w:ind w:left="4635" w:hanging="420"/>
      </w:pPr>
    </w:lvl>
  </w:abstractNum>
  <w:abstractNum w:abstractNumId="17">
    <w:nsid w:val="162428CF"/>
    <w:multiLevelType w:val="multilevel"/>
    <w:tmpl w:val="162428CF"/>
    <w:lvl w:ilvl="0" w:tentative="0">
      <w:start w:val="7"/>
      <w:numFmt w:val="decimal"/>
      <w:lvlText w:val="6.4.%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680712D"/>
    <w:multiLevelType w:val="multilevel"/>
    <w:tmpl w:val="1680712D"/>
    <w:lvl w:ilvl="0" w:tentative="0">
      <w:start w:val="1"/>
      <w:numFmt w:val="decimal"/>
      <w:lvlText w:val="B.7.%1"/>
      <w:lvlJc w:val="left"/>
      <w:pPr>
        <w:ind w:left="0" w:firstLine="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6B8381C"/>
    <w:multiLevelType w:val="multilevel"/>
    <w:tmpl w:val="16B8381C"/>
    <w:lvl w:ilvl="0" w:tentative="0">
      <w:start w:val="5"/>
      <w:numFmt w:val="decimal"/>
      <w:lvlText w:val="%1"/>
      <w:lvlJc w:val="left"/>
      <w:pPr>
        <w:ind w:left="360" w:hanging="360"/>
      </w:pPr>
      <w:rPr>
        <w:rFonts w:hint="default"/>
      </w:rPr>
    </w:lvl>
    <w:lvl w:ilvl="1" w:tentative="0">
      <w:start w:val="4"/>
      <w:numFmt w:val="decimal"/>
      <w:isLgl/>
      <w:lvlText w:val="%1.%2"/>
      <w:lvlJc w:val="left"/>
      <w:pPr>
        <w:ind w:left="525" w:hanging="525"/>
      </w:pPr>
      <w:rPr>
        <w:rFonts w:hint="default"/>
      </w:rPr>
    </w:lvl>
    <w:lvl w:ilvl="2" w:tentative="0">
      <w:start w:val="1"/>
      <w:numFmt w:val="decimal"/>
      <w:lvlText w:val="5.2.%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20">
    <w:nsid w:val="16FB4C84"/>
    <w:multiLevelType w:val="multilevel"/>
    <w:tmpl w:val="16FB4C84"/>
    <w:lvl w:ilvl="0" w:tentative="0">
      <w:start w:val="12"/>
      <w:numFmt w:val="decimal"/>
      <w:lvlText w:val="8.1.%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7803091"/>
    <w:multiLevelType w:val="multilevel"/>
    <w:tmpl w:val="17803091"/>
    <w:lvl w:ilvl="0" w:tentative="0">
      <w:start w:val="1"/>
      <w:numFmt w:val="decimal"/>
      <w:lvlText w:val="%1"/>
      <w:lvlJc w:val="left"/>
      <w:pPr>
        <w:ind w:left="425" w:hanging="425"/>
      </w:pPr>
      <w:rPr>
        <w:rFonts w:hint="default"/>
      </w:rPr>
    </w:lvl>
    <w:lvl w:ilvl="1" w:tentative="0">
      <w:start w:val="1"/>
      <w:numFmt w:val="decimal"/>
      <w:lvlText w:val="%1.%2"/>
      <w:lvlJc w:val="left"/>
      <w:pPr>
        <w:ind w:left="992" w:hanging="567"/>
      </w:pPr>
      <w:rPr>
        <w:rFonts w:hint="default"/>
      </w:rPr>
    </w:lvl>
    <w:lvl w:ilvl="2" w:tentative="0">
      <w:start w:val="1"/>
      <w:numFmt w:val="decimal"/>
      <w:lvlText w:val="%1.%2.%3"/>
      <w:lvlJc w:val="left"/>
      <w:pPr>
        <w:ind w:left="1418" w:hanging="567"/>
      </w:pPr>
      <w:rPr>
        <w:rFonts w:hint="default"/>
        <w:b/>
        <w:bCs w:val="0"/>
        <w:i w:val="0"/>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22">
    <w:nsid w:val="19312CAC"/>
    <w:multiLevelType w:val="multilevel"/>
    <w:tmpl w:val="19312CAC"/>
    <w:lvl w:ilvl="0" w:tentative="0">
      <w:start w:val="1"/>
      <w:numFmt w:val="decimal"/>
      <w:lvlText w:val="B.5.%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93E080C"/>
    <w:multiLevelType w:val="multilevel"/>
    <w:tmpl w:val="193E080C"/>
    <w:lvl w:ilvl="0" w:tentative="0">
      <w:start w:val="11"/>
      <w:numFmt w:val="none"/>
      <w:pStyle w:val="145"/>
      <w:lvlText w:val="B.1.1"/>
      <w:lvlJc w:val="left"/>
      <w:pPr>
        <w:ind w:left="425" w:hanging="425"/>
      </w:pPr>
      <w:rPr>
        <w:rFonts w:hint="eastAsia"/>
        <w:b/>
      </w:rPr>
    </w:lvl>
    <w:lvl w:ilvl="1" w:tentative="0">
      <w:start w:val="1"/>
      <w:numFmt w:val="decimal"/>
      <w:lvlText w:val="%1.%2"/>
      <w:lvlJc w:val="left"/>
      <w:pPr>
        <w:ind w:left="992" w:hanging="567"/>
      </w:pPr>
      <w:rPr>
        <w:rFonts w:hint="eastAsia"/>
      </w:rPr>
    </w:lvl>
    <w:lvl w:ilvl="2" w:tentative="0">
      <w:start w:val="1"/>
      <w:numFmt w:val="none"/>
      <w:lvlText w:val="B.1.1"/>
      <w:lvlJc w:val="left"/>
      <w:pPr>
        <w:ind w:left="709" w:hanging="567"/>
      </w:pPr>
      <w:rPr>
        <w:rFonts w:hint="eastAsia"/>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4">
    <w:nsid w:val="1A0266D0"/>
    <w:multiLevelType w:val="multilevel"/>
    <w:tmpl w:val="1A0266D0"/>
    <w:lvl w:ilvl="0" w:tentative="0">
      <w:start w:val="1"/>
      <w:numFmt w:val="decimal"/>
      <w:pStyle w:val="174"/>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EA037C"/>
    <w:multiLevelType w:val="multilevel"/>
    <w:tmpl w:val="1BEA037C"/>
    <w:lvl w:ilvl="0" w:tentative="0">
      <w:start w:val="1"/>
      <w:numFmt w:val="decimal"/>
      <w:lvlText w:val="%1"/>
      <w:lvlJc w:val="left"/>
      <w:pPr>
        <w:ind w:left="420" w:hanging="420"/>
      </w:pPr>
      <w:rPr>
        <w:rFonts w:hint="eastAsia"/>
        <w:b/>
        <w:bCs/>
        <w:i w:val="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6">
    <w:nsid w:val="1CE9588F"/>
    <w:multiLevelType w:val="multilevel"/>
    <w:tmpl w:val="1CE9588F"/>
    <w:lvl w:ilvl="0" w:tentative="0">
      <w:start w:val="1"/>
      <w:numFmt w:val="decimal"/>
      <w:pStyle w:val="189"/>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B.7.%3."/>
      <w:lvlJc w:val="left"/>
      <w:pPr>
        <w:ind w:left="709" w:hanging="709"/>
      </w:pPr>
      <w:rPr>
        <w:rFonts w:hint="eastAsia"/>
        <w:b/>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1EFE2F5F"/>
    <w:multiLevelType w:val="multilevel"/>
    <w:tmpl w:val="1EFE2F5F"/>
    <w:lvl w:ilvl="0" w:tentative="0">
      <w:start w:val="1"/>
      <w:numFmt w:val="decimal"/>
      <w:lvlText w:val="%1）"/>
      <w:lvlJc w:val="left"/>
      <w:pPr>
        <w:ind w:left="1212" w:hanging="360"/>
      </w:pPr>
      <w:rPr>
        <w:rFonts w:ascii="Times New Roman" w:hAnsi="Times New Roman" w:eastAsia="宋体" w:cstheme="minorBidi"/>
        <w:sz w:val="24"/>
      </w:rPr>
    </w:lvl>
    <w:lvl w:ilvl="1" w:tentative="0">
      <w:start w:val="1"/>
      <w:numFmt w:val="lowerLetter"/>
      <w:lvlText w:val="%2)"/>
      <w:lvlJc w:val="left"/>
      <w:pPr>
        <w:ind w:left="837" w:hanging="420"/>
      </w:pPr>
    </w:lvl>
    <w:lvl w:ilvl="2" w:tentative="0">
      <w:start w:val="1"/>
      <w:numFmt w:val="lowerRoman"/>
      <w:lvlText w:val="%3."/>
      <w:lvlJc w:val="right"/>
      <w:pPr>
        <w:ind w:left="1257" w:hanging="420"/>
      </w:pPr>
    </w:lvl>
    <w:lvl w:ilvl="3" w:tentative="0">
      <w:start w:val="1"/>
      <w:numFmt w:val="decimal"/>
      <w:lvlText w:val="%4."/>
      <w:lvlJc w:val="left"/>
      <w:pPr>
        <w:ind w:left="1677" w:hanging="420"/>
      </w:pPr>
    </w:lvl>
    <w:lvl w:ilvl="4" w:tentative="0">
      <w:start w:val="1"/>
      <w:numFmt w:val="lowerLetter"/>
      <w:lvlText w:val="%5)"/>
      <w:lvlJc w:val="left"/>
      <w:pPr>
        <w:ind w:left="2097" w:hanging="420"/>
      </w:pPr>
    </w:lvl>
    <w:lvl w:ilvl="5" w:tentative="0">
      <w:start w:val="1"/>
      <w:numFmt w:val="lowerRoman"/>
      <w:lvlText w:val="%6."/>
      <w:lvlJc w:val="right"/>
      <w:pPr>
        <w:ind w:left="2517" w:hanging="420"/>
      </w:pPr>
    </w:lvl>
    <w:lvl w:ilvl="6" w:tentative="0">
      <w:start w:val="1"/>
      <w:numFmt w:val="decimal"/>
      <w:lvlText w:val="%7."/>
      <w:lvlJc w:val="left"/>
      <w:pPr>
        <w:ind w:left="2937" w:hanging="420"/>
      </w:pPr>
    </w:lvl>
    <w:lvl w:ilvl="7" w:tentative="0">
      <w:start w:val="1"/>
      <w:numFmt w:val="lowerLetter"/>
      <w:lvlText w:val="%8)"/>
      <w:lvlJc w:val="left"/>
      <w:pPr>
        <w:ind w:left="3357" w:hanging="420"/>
      </w:pPr>
    </w:lvl>
    <w:lvl w:ilvl="8" w:tentative="0">
      <w:start w:val="1"/>
      <w:numFmt w:val="lowerRoman"/>
      <w:lvlText w:val="%9."/>
      <w:lvlJc w:val="right"/>
      <w:pPr>
        <w:ind w:left="3777" w:hanging="420"/>
      </w:pPr>
    </w:lvl>
  </w:abstractNum>
  <w:abstractNum w:abstractNumId="28">
    <w:nsid w:val="1F843771"/>
    <w:multiLevelType w:val="multilevel"/>
    <w:tmpl w:val="1F843771"/>
    <w:lvl w:ilvl="0" w:tentative="0">
      <w:start w:val="4"/>
      <w:numFmt w:val="decimal"/>
      <w:lvlText w:val="%1"/>
      <w:lvlJc w:val="left"/>
      <w:pPr>
        <w:ind w:left="1215" w:hanging="360"/>
      </w:pPr>
      <w:rPr>
        <w:rFonts w:hint="eastAsia"/>
        <w:b/>
        <w:i w:val="0"/>
        <w:sz w:val="24"/>
      </w:rPr>
    </w:lvl>
    <w:lvl w:ilvl="1" w:tentative="0">
      <w:start w:val="1"/>
      <w:numFmt w:val="lowerLetter"/>
      <w:lvlText w:val="%2)"/>
      <w:lvlJc w:val="left"/>
      <w:pPr>
        <w:ind w:left="1695" w:hanging="420"/>
      </w:pPr>
      <w:rPr>
        <w:rFonts w:hint="eastAsia"/>
      </w:rPr>
    </w:lvl>
    <w:lvl w:ilvl="2" w:tentative="0">
      <w:start w:val="1"/>
      <w:numFmt w:val="lowerRoman"/>
      <w:lvlText w:val="%3."/>
      <w:lvlJc w:val="right"/>
      <w:pPr>
        <w:ind w:left="2115" w:hanging="420"/>
      </w:pPr>
      <w:rPr>
        <w:rFonts w:hint="eastAsia"/>
      </w:rPr>
    </w:lvl>
    <w:lvl w:ilvl="3" w:tentative="0">
      <w:start w:val="1"/>
      <w:numFmt w:val="decimal"/>
      <w:lvlText w:val="%4."/>
      <w:lvlJc w:val="left"/>
      <w:pPr>
        <w:ind w:left="2535" w:hanging="420"/>
      </w:pPr>
      <w:rPr>
        <w:rFonts w:hint="eastAsia"/>
      </w:rPr>
    </w:lvl>
    <w:lvl w:ilvl="4" w:tentative="0">
      <w:start w:val="1"/>
      <w:numFmt w:val="lowerLetter"/>
      <w:lvlText w:val="%5)"/>
      <w:lvlJc w:val="left"/>
      <w:pPr>
        <w:ind w:left="2955" w:hanging="420"/>
      </w:pPr>
      <w:rPr>
        <w:rFonts w:hint="eastAsia"/>
      </w:rPr>
    </w:lvl>
    <w:lvl w:ilvl="5" w:tentative="0">
      <w:start w:val="1"/>
      <w:numFmt w:val="lowerRoman"/>
      <w:lvlText w:val="%6."/>
      <w:lvlJc w:val="right"/>
      <w:pPr>
        <w:ind w:left="3375" w:hanging="420"/>
      </w:pPr>
      <w:rPr>
        <w:rFonts w:hint="eastAsia"/>
      </w:rPr>
    </w:lvl>
    <w:lvl w:ilvl="6" w:tentative="0">
      <w:start w:val="1"/>
      <w:numFmt w:val="decimal"/>
      <w:lvlText w:val="%7."/>
      <w:lvlJc w:val="left"/>
      <w:pPr>
        <w:ind w:left="3795" w:hanging="420"/>
      </w:pPr>
      <w:rPr>
        <w:rFonts w:hint="eastAsia"/>
      </w:rPr>
    </w:lvl>
    <w:lvl w:ilvl="7" w:tentative="0">
      <w:start w:val="1"/>
      <w:numFmt w:val="lowerLetter"/>
      <w:lvlText w:val="%8)"/>
      <w:lvlJc w:val="left"/>
      <w:pPr>
        <w:ind w:left="4215" w:hanging="420"/>
      </w:pPr>
      <w:rPr>
        <w:rFonts w:hint="eastAsia"/>
      </w:rPr>
    </w:lvl>
    <w:lvl w:ilvl="8" w:tentative="0">
      <w:start w:val="1"/>
      <w:numFmt w:val="lowerRoman"/>
      <w:lvlText w:val="%9."/>
      <w:lvlJc w:val="right"/>
      <w:pPr>
        <w:ind w:left="4635" w:hanging="420"/>
      </w:pPr>
      <w:rPr>
        <w:rFonts w:hint="eastAsia"/>
      </w:rPr>
    </w:lvl>
  </w:abstractNum>
  <w:abstractNum w:abstractNumId="29">
    <w:nsid w:val="212E13AA"/>
    <w:multiLevelType w:val="multilevel"/>
    <w:tmpl w:val="212E13AA"/>
    <w:lvl w:ilvl="0" w:tentative="0">
      <w:start w:val="8"/>
      <w:numFmt w:val="decimal"/>
      <w:lvlText w:val="6.3.%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24E4149"/>
    <w:multiLevelType w:val="multilevel"/>
    <w:tmpl w:val="224E4149"/>
    <w:lvl w:ilvl="0" w:tentative="0">
      <w:start w:val="5"/>
      <w:numFmt w:val="decimal"/>
      <w:lvlText w:val="%1"/>
      <w:lvlJc w:val="left"/>
      <w:pPr>
        <w:ind w:left="360" w:hanging="360"/>
      </w:pPr>
      <w:rPr>
        <w:rFonts w:hint="default"/>
      </w:rPr>
    </w:lvl>
    <w:lvl w:ilvl="1" w:tentative="0">
      <w:start w:val="4"/>
      <w:numFmt w:val="decimal"/>
      <w:isLgl/>
      <w:lvlText w:val="%1.%2"/>
      <w:lvlJc w:val="left"/>
      <w:pPr>
        <w:ind w:left="525" w:hanging="525"/>
      </w:pPr>
      <w:rPr>
        <w:rFonts w:hint="default"/>
      </w:rPr>
    </w:lvl>
    <w:lvl w:ilvl="2" w:tentative="0">
      <w:start w:val="11"/>
      <w:numFmt w:val="decimal"/>
      <w:lvlText w:val="5.3.%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31">
    <w:nsid w:val="25FE38EA"/>
    <w:multiLevelType w:val="multilevel"/>
    <w:tmpl w:val="25FE38EA"/>
    <w:lvl w:ilvl="0" w:tentative="0">
      <w:start w:val="7"/>
      <w:numFmt w:val="decimal"/>
      <w:lvlText w:val="%1"/>
      <w:lvlJc w:val="left"/>
      <w:pPr>
        <w:ind w:left="360" w:hanging="360"/>
      </w:pPr>
      <w:rPr>
        <w:rFonts w:hint="default"/>
      </w:rPr>
    </w:lvl>
    <w:lvl w:ilvl="1" w:tentative="0">
      <w:start w:val="1"/>
      <w:numFmt w:val="decimal"/>
      <w:lvlText w:val="8.%2"/>
      <w:lvlJc w:val="left"/>
      <w:pPr>
        <w:ind w:left="360" w:hanging="360"/>
      </w:pPr>
      <w:rPr>
        <w:rFonts w:hint="default" w:ascii="Times New Roman" w:hAnsi="Times New Roman" w:eastAsia="宋体"/>
        <w:b/>
        <w:i w:val="0"/>
        <w:sz w:val="24"/>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2">
    <w:nsid w:val="27064730"/>
    <w:multiLevelType w:val="multilevel"/>
    <w:tmpl w:val="27064730"/>
    <w:lvl w:ilvl="0" w:tentative="0">
      <w:start w:val="1"/>
      <w:numFmt w:val="decimal"/>
      <w:lvlText w:val="%1"/>
      <w:lvlJc w:val="left"/>
      <w:pPr>
        <w:ind w:left="420" w:hanging="420"/>
      </w:pPr>
      <w:rPr>
        <w:rFonts w:hint="eastAsia"/>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9764EAC"/>
    <w:multiLevelType w:val="multilevel"/>
    <w:tmpl w:val="29764EAC"/>
    <w:lvl w:ilvl="0" w:tentative="0">
      <w:start w:val="6"/>
      <w:numFmt w:val="decimal"/>
      <w:lvlText w:val="%1"/>
      <w:lvlJc w:val="left"/>
      <w:pPr>
        <w:ind w:left="425" w:hanging="425"/>
      </w:pPr>
      <w:rPr>
        <w:rFonts w:hint="eastAsia"/>
        <w:b/>
        <w:i w:val="0"/>
        <w:sz w:val="24"/>
      </w:rPr>
    </w:lvl>
    <w:lvl w:ilvl="1" w:tentative="0">
      <w:start w:val="1"/>
      <w:numFmt w:val="decimal"/>
      <w:lvlText w:val="%1.%2"/>
      <w:lvlJc w:val="left"/>
      <w:pPr>
        <w:ind w:left="992" w:hanging="567"/>
      </w:pPr>
      <w:rPr>
        <w:rFonts w:hint="default"/>
      </w:rPr>
    </w:lvl>
    <w:lvl w:ilvl="2" w:tentative="0">
      <w:start w:val="1"/>
      <w:numFmt w:val="decimal"/>
      <w:lvlText w:val="%1.%2.%3"/>
      <w:lvlJc w:val="left"/>
      <w:pPr>
        <w:ind w:left="1418" w:hanging="567"/>
      </w:pPr>
      <w:rPr>
        <w:rFonts w:hint="default"/>
        <w:b/>
        <w:bCs w:val="0"/>
        <w:i w:val="0"/>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34">
    <w:nsid w:val="29834887"/>
    <w:multiLevelType w:val="multilevel"/>
    <w:tmpl w:val="29834887"/>
    <w:lvl w:ilvl="0" w:tentative="0">
      <w:start w:val="1"/>
      <w:numFmt w:val="decimal"/>
      <w:lvlText w:val="6.4.%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DD74E99"/>
    <w:multiLevelType w:val="multilevel"/>
    <w:tmpl w:val="2DD74E99"/>
    <w:lvl w:ilvl="0" w:tentative="0">
      <w:start w:val="11"/>
      <w:numFmt w:val="none"/>
      <w:pStyle w:val="157"/>
      <w:lvlText w:val="B.1.1"/>
      <w:lvlJc w:val="left"/>
      <w:pPr>
        <w:ind w:left="420" w:hanging="420"/>
      </w:pPr>
      <w:rPr>
        <w:rFonts w:hint="eastAsia"/>
        <w:b/>
      </w:rPr>
    </w:lvl>
    <w:lvl w:ilvl="1" w:tentative="0">
      <w:start w:val="1"/>
      <w:numFmt w:val="lowerLetter"/>
      <w:pStyle w:val="113"/>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pStyle w:val="150"/>
      <w:lvlText w:val="%5)"/>
      <w:lvlJc w:val="left"/>
      <w:pPr>
        <w:ind w:left="2100" w:hanging="420"/>
      </w:pPr>
      <w:rPr>
        <w:rFonts w:hint="eastAsia"/>
      </w:rPr>
    </w:lvl>
    <w:lvl w:ilvl="5" w:tentative="0">
      <w:start w:val="1"/>
      <w:numFmt w:val="lowerRoman"/>
      <w:pStyle w:val="149"/>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6">
    <w:nsid w:val="2ED00E73"/>
    <w:multiLevelType w:val="multilevel"/>
    <w:tmpl w:val="2ED00E73"/>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F062523"/>
    <w:multiLevelType w:val="multilevel"/>
    <w:tmpl w:val="2F062523"/>
    <w:lvl w:ilvl="0" w:tentative="0">
      <w:start w:val="1"/>
      <w:numFmt w:val="decimal"/>
      <w:pStyle w:val="28"/>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B.5.%3."/>
      <w:lvlJc w:val="left"/>
      <w:pPr>
        <w:ind w:left="709" w:hanging="709"/>
      </w:pPr>
      <w:rPr>
        <w:rFonts w:hint="eastAsia"/>
        <w:b/>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8">
    <w:nsid w:val="2FBE39F9"/>
    <w:multiLevelType w:val="multilevel"/>
    <w:tmpl w:val="2FBE39F9"/>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1B11F39"/>
    <w:multiLevelType w:val="multilevel"/>
    <w:tmpl w:val="31B11F39"/>
    <w:lvl w:ilvl="0" w:tentative="0">
      <w:start w:val="1"/>
      <w:numFmt w:val="decimal"/>
      <w:lvlText w:val="%1"/>
      <w:lvlJc w:val="left"/>
      <w:pPr>
        <w:ind w:left="418" w:hanging="420"/>
      </w:pPr>
      <w:rPr>
        <w:rFonts w:hint="eastAsia"/>
        <w:b/>
        <w:i w:val="0"/>
      </w:rPr>
    </w:lvl>
    <w:lvl w:ilvl="1" w:tentative="0">
      <w:start w:val="1"/>
      <w:numFmt w:val="lowerLetter"/>
      <w:lvlText w:val="%2)"/>
      <w:lvlJc w:val="left"/>
      <w:pPr>
        <w:ind w:left="838" w:hanging="420"/>
      </w:p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40">
    <w:nsid w:val="31D60D50"/>
    <w:multiLevelType w:val="multilevel"/>
    <w:tmpl w:val="31D60D50"/>
    <w:lvl w:ilvl="0" w:tentative="0">
      <w:start w:val="1"/>
      <w:numFmt w:val="decimal"/>
      <w:lvlText w:val="%1"/>
      <w:lvlJc w:val="left"/>
      <w:pPr>
        <w:ind w:left="1095" w:hanging="420"/>
      </w:pPr>
      <w:rPr>
        <w:rFonts w:hint="eastAsia"/>
        <w:b/>
        <w:i w:val="0"/>
      </w:rPr>
    </w:lvl>
    <w:lvl w:ilvl="1" w:tentative="0">
      <w:start w:val="1"/>
      <w:numFmt w:val="lowerLetter"/>
      <w:lvlText w:val="%2)"/>
      <w:lvlJc w:val="left"/>
      <w:pPr>
        <w:ind w:left="1515" w:hanging="420"/>
      </w:pPr>
    </w:lvl>
    <w:lvl w:ilvl="2" w:tentative="0">
      <w:start w:val="1"/>
      <w:numFmt w:val="lowerRoman"/>
      <w:lvlText w:val="%3."/>
      <w:lvlJc w:val="right"/>
      <w:pPr>
        <w:ind w:left="1935" w:hanging="420"/>
      </w:pPr>
    </w:lvl>
    <w:lvl w:ilvl="3" w:tentative="0">
      <w:start w:val="1"/>
      <w:numFmt w:val="decimal"/>
      <w:lvlText w:val="%4."/>
      <w:lvlJc w:val="left"/>
      <w:pPr>
        <w:ind w:left="2355" w:hanging="420"/>
      </w:pPr>
    </w:lvl>
    <w:lvl w:ilvl="4" w:tentative="0">
      <w:start w:val="1"/>
      <w:numFmt w:val="lowerLetter"/>
      <w:lvlText w:val="%5)"/>
      <w:lvlJc w:val="left"/>
      <w:pPr>
        <w:ind w:left="2775" w:hanging="420"/>
      </w:pPr>
    </w:lvl>
    <w:lvl w:ilvl="5" w:tentative="0">
      <w:start w:val="1"/>
      <w:numFmt w:val="lowerRoman"/>
      <w:lvlText w:val="%6."/>
      <w:lvlJc w:val="right"/>
      <w:pPr>
        <w:ind w:left="3195" w:hanging="420"/>
      </w:pPr>
    </w:lvl>
    <w:lvl w:ilvl="6" w:tentative="0">
      <w:start w:val="1"/>
      <w:numFmt w:val="decimal"/>
      <w:lvlText w:val="%7."/>
      <w:lvlJc w:val="left"/>
      <w:pPr>
        <w:ind w:left="3615" w:hanging="420"/>
      </w:pPr>
    </w:lvl>
    <w:lvl w:ilvl="7" w:tentative="0">
      <w:start w:val="1"/>
      <w:numFmt w:val="lowerLetter"/>
      <w:lvlText w:val="%8)"/>
      <w:lvlJc w:val="left"/>
      <w:pPr>
        <w:ind w:left="4035" w:hanging="420"/>
      </w:pPr>
    </w:lvl>
    <w:lvl w:ilvl="8" w:tentative="0">
      <w:start w:val="1"/>
      <w:numFmt w:val="lowerRoman"/>
      <w:lvlText w:val="%9."/>
      <w:lvlJc w:val="right"/>
      <w:pPr>
        <w:ind w:left="4455" w:hanging="420"/>
      </w:pPr>
    </w:lvl>
  </w:abstractNum>
  <w:abstractNum w:abstractNumId="41">
    <w:nsid w:val="32342097"/>
    <w:multiLevelType w:val="multilevel"/>
    <w:tmpl w:val="32342097"/>
    <w:lvl w:ilvl="0" w:tentative="0">
      <w:start w:val="1"/>
      <w:numFmt w:val="decimal"/>
      <w:lvlText w:val="%1"/>
      <w:lvlJc w:val="left"/>
      <w:pPr>
        <w:ind w:left="846" w:hanging="420"/>
      </w:pPr>
      <w:rPr>
        <w:rFonts w:hint="eastAsia"/>
        <w:b/>
        <w:i w:val="0"/>
        <w:sz w:val="24"/>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2">
    <w:nsid w:val="32692CBE"/>
    <w:multiLevelType w:val="multilevel"/>
    <w:tmpl w:val="32692CBE"/>
    <w:lvl w:ilvl="0" w:tentative="0">
      <w:start w:val="1"/>
      <w:numFmt w:val="decimal"/>
      <w:lvlText w:val="%1"/>
      <w:lvlJc w:val="left"/>
      <w:pPr>
        <w:ind w:left="425" w:hanging="425"/>
      </w:pPr>
      <w:rPr>
        <w:rFonts w:hint="eastAsia"/>
        <w:b/>
        <w:i w:val="0"/>
        <w:sz w:val="24"/>
      </w:rPr>
    </w:lvl>
    <w:lvl w:ilvl="1" w:tentative="0">
      <w:start w:val="1"/>
      <w:numFmt w:val="decimal"/>
      <w:lvlText w:val="%1.%2"/>
      <w:lvlJc w:val="left"/>
      <w:pPr>
        <w:ind w:left="992" w:hanging="567"/>
      </w:pPr>
      <w:rPr>
        <w:rFonts w:hint="default"/>
      </w:rPr>
    </w:lvl>
    <w:lvl w:ilvl="2" w:tentative="0">
      <w:start w:val="1"/>
      <w:numFmt w:val="decimal"/>
      <w:lvlText w:val="%1.%2.%3"/>
      <w:lvlJc w:val="left"/>
      <w:pPr>
        <w:ind w:left="1418" w:hanging="567"/>
      </w:pPr>
      <w:rPr>
        <w:rFonts w:hint="default"/>
        <w:b/>
        <w:bCs w:val="0"/>
        <w:i w:val="0"/>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43">
    <w:nsid w:val="342409D7"/>
    <w:multiLevelType w:val="multilevel"/>
    <w:tmpl w:val="342409D7"/>
    <w:lvl w:ilvl="0" w:tentative="0">
      <w:start w:val="1"/>
      <w:numFmt w:val="decimal"/>
      <w:lvlText w:val="3.0.%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4403C90"/>
    <w:multiLevelType w:val="multilevel"/>
    <w:tmpl w:val="34403C90"/>
    <w:lvl w:ilvl="0" w:tentative="0">
      <w:start w:val="7"/>
      <w:numFmt w:val="decimal"/>
      <w:lvlText w:val="%1"/>
      <w:lvlJc w:val="left"/>
      <w:pPr>
        <w:ind w:left="425" w:hanging="425"/>
      </w:pPr>
      <w:rPr>
        <w:rFonts w:hint="default"/>
      </w:rPr>
    </w:lvl>
    <w:lvl w:ilvl="1" w:tentative="0">
      <w:start w:val="3"/>
      <w:numFmt w:val="decimal"/>
      <w:lvlText w:val="%1.%2"/>
      <w:lvlJc w:val="left"/>
      <w:pPr>
        <w:ind w:left="992" w:hanging="567"/>
      </w:pPr>
      <w:rPr>
        <w:rFonts w:hint="default"/>
      </w:rPr>
    </w:lvl>
    <w:lvl w:ilvl="2" w:tentative="0">
      <w:start w:val="3"/>
      <w:numFmt w:val="decimal"/>
      <w:lvlText w:val="7.2.%3"/>
      <w:lvlJc w:val="left"/>
      <w:pPr>
        <w:ind w:left="1418" w:hanging="567"/>
      </w:pPr>
      <w:rPr>
        <w:rFonts w:hint="default" w:ascii="Times New Roman" w:hAnsi="Times New Roman" w:eastAsia="宋体"/>
        <w:b/>
        <w:bCs w:val="0"/>
        <w:i w:val="0"/>
        <w:sz w:val="24"/>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45">
    <w:nsid w:val="348F033A"/>
    <w:multiLevelType w:val="multilevel"/>
    <w:tmpl w:val="348F033A"/>
    <w:lvl w:ilvl="0" w:tentative="0">
      <w:start w:val="1"/>
      <w:numFmt w:val="decimal"/>
      <w:lvlText w:val="%1."/>
      <w:lvlJc w:val="left"/>
      <w:pPr>
        <w:ind w:left="1140" w:hanging="420"/>
      </w:pPr>
    </w:lvl>
    <w:lvl w:ilvl="1" w:tentative="0">
      <w:start w:val="1"/>
      <w:numFmt w:val="lowerLetter"/>
      <w:lvlText w:val="%2)"/>
      <w:lvlJc w:val="left"/>
      <w:pPr>
        <w:ind w:left="1560" w:hanging="420"/>
      </w:pPr>
    </w:lvl>
    <w:lvl w:ilvl="2" w:tentative="0">
      <w:start w:val="1"/>
      <w:numFmt w:val="lowerRoman"/>
      <w:pStyle w:val="62"/>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6">
    <w:nsid w:val="35780ACE"/>
    <w:multiLevelType w:val="multilevel"/>
    <w:tmpl w:val="35780ACE"/>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63604EB"/>
    <w:multiLevelType w:val="multilevel"/>
    <w:tmpl w:val="363604EB"/>
    <w:lvl w:ilvl="0" w:tentative="0">
      <w:start w:val="6"/>
      <w:numFmt w:val="decimal"/>
      <w:lvlText w:val="%1"/>
      <w:lvlJc w:val="left"/>
      <w:pPr>
        <w:ind w:left="360" w:hanging="360"/>
      </w:pPr>
      <w:rPr>
        <w:rFonts w:hint="default"/>
      </w:rPr>
    </w:lvl>
    <w:lvl w:ilvl="1" w:tentative="0">
      <w:start w:val="3"/>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48">
    <w:nsid w:val="3649513D"/>
    <w:multiLevelType w:val="multilevel"/>
    <w:tmpl w:val="3649513D"/>
    <w:lvl w:ilvl="0" w:tentative="0">
      <w:start w:val="1"/>
      <w:numFmt w:val="decimal"/>
      <w:lvlText w:val="%1"/>
      <w:lvlJc w:val="left"/>
      <w:pPr>
        <w:ind w:left="2122" w:hanging="420"/>
      </w:pPr>
      <w:rPr>
        <w:rFonts w:hint="eastAsia"/>
        <w:b/>
        <w:i w:val="0"/>
        <w:sz w:val="24"/>
      </w:rPr>
    </w:lvl>
    <w:lvl w:ilvl="1" w:tentative="0">
      <w:start w:val="1"/>
      <w:numFmt w:val="lowerLetter"/>
      <w:lvlText w:val="%2)"/>
      <w:lvlJc w:val="left"/>
      <w:pPr>
        <w:ind w:left="840" w:hanging="420"/>
      </w:pPr>
    </w:lvl>
    <w:lvl w:ilvl="2" w:tentative="0">
      <w:start w:val="1"/>
      <w:numFmt w:val="decimal"/>
      <w:lvlText w:val="7.3.%3"/>
      <w:lvlJc w:val="left"/>
      <w:pPr>
        <w:ind w:left="1260" w:hanging="420"/>
      </w:pPr>
      <w:rPr>
        <w:rFonts w:hint="default" w:ascii="Times New Roman" w:hAnsi="Times New Roman" w:eastAsia="宋体"/>
        <w:b/>
        <w:i w:val="0"/>
        <w:sz w:val="24"/>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7C406ED"/>
    <w:multiLevelType w:val="multilevel"/>
    <w:tmpl w:val="37C406ED"/>
    <w:lvl w:ilvl="0" w:tentative="0">
      <w:start w:val="1"/>
      <w:numFmt w:val="decimal"/>
      <w:lvlText w:val="4.0.%1"/>
      <w:lvlJc w:val="left"/>
      <w:pPr>
        <w:ind w:left="3114" w:hanging="420"/>
      </w:pPr>
      <w:rPr>
        <w:rFonts w:hint="default" w:ascii="Times New Roman" w:hAnsi="Times New Roman" w:eastAsia="宋体"/>
        <w:b/>
        <w:bCs/>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A6A3ECA"/>
    <w:multiLevelType w:val="multilevel"/>
    <w:tmpl w:val="3A6A3ECA"/>
    <w:lvl w:ilvl="0" w:tentative="0">
      <w:start w:val="1"/>
      <w:numFmt w:val="decimal"/>
      <w:pStyle w:val="185"/>
      <w:lvlText w:val="%1."/>
      <w:lvlJc w:val="left"/>
      <w:pPr>
        <w:ind w:left="425" w:hanging="425"/>
      </w:pPr>
      <w:rPr>
        <w:rFonts w:hint="eastAsia"/>
      </w:rPr>
    </w:lvl>
    <w:lvl w:ilvl="1" w:tentative="0">
      <w:start w:val="1"/>
      <w:numFmt w:val="decimal"/>
      <w:pStyle w:val="186"/>
      <w:lvlText w:val="%1.%2."/>
      <w:lvlJc w:val="left"/>
      <w:pPr>
        <w:ind w:left="567" w:hanging="567"/>
      </w:pPr>
      <w:rPr>
        <w:rFonts w:hint="eastAsia"/>
      </w:rPr>
    </w:lvl>
    <w:lvl w:ilvl="2" w:tentative="0">
      <w:start w:val="1"/>
      <w:numFmt w:val="decimal"/>
      <w:lvlText w:val="B.6.%3."/>
      <w:lvlJc w:val="left"/>
      <w:pPr>
        <w:ind w:left="709" w:hanging="709"/>
      </w:pPr>
      <w:rPr>
        <w:rFonts w:hint="eastAsia"/>
        <w:b/>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1">
    <w:nsid w:val="3A6F6540"/>
    <w:multiLevelType w:val="multilevel"/>
    <w:tmpl w:val="3A6F6540"/>
    <w:lvl w:ilvl="0" w:tentative="0">
      <w:start w:val="1"/>
      <w:numFmt w:val="decimal"/>
      <w:lvlText w:val="%1）"/>
      <w:lvlJc w:val="left"/>
      <w:pPr>
        <w:ind w:left="1215" w:hanging="360"/>
      </w:pPr>
      <w:rPr>
        <w:rFonts w:ascii="Times New Roman" w:hAnsi="Times New Roman" w:eastAsia="宋体" w:cstheme="minorBidi"/>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AFB67B3"/>
    <w:multiLevelType w:val="multilevel"/>
    <w:tmpl w:val="3AFB67B3"/>
    <w:lvl w:ilvl="0" w:tentative="0">
      <w:start w:val="1"/>
      <w:numFmt w:val="decimal"/>
      <w:pStyle w:val="81"/>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C2524B0"/>
    <w:multiLevelType w:val="multilevel"/>
    <w:tmpl w:val="3C2524B0"/>
    <w:lvl w:ilvl="0" w:tentative="0">
      <w:start w:val="1"/>
      <w:numFmt w:val="decimal"/>
      <w:lvlText w:val="5.2.%1"/>
      <w:lvlJc w:val="left"/>
      <w:pPr>
        <w:ind w:left="420" w:hanging="420"/>
      </w:pPr>
      <w:rPr>
        <w:rFonts w:hint="eastAsia"/>
        <w:b/>
        <w:bC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4">
    <w:nsid w:val="3C4E41CB"/>
    <w:multiLevelType w:val="multilevel"/>
    <w:tmpl w:val="3C4E41CB"/>
    <w:lvl w:ilvl="0" w:tentative="0">
      <w:start w:val="7"/>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1"/>
      <w:numFmt w:val="decimal"/>
      <w:lvlText w:val="%3"/>
      <w:lvlJc w:val="left"/>
      <w:pPr>
        <w:ind w:left="0" w:firstLine="0"/>
      </w:pPr>
      <w:rPr>
        <w:rFonts w:hint="eastAsia"/>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55">
    <w:nsid w:val="3D9533DE"/>
    <w:multiLevelType w:val="multilevel"/>
    <w:tmpl w:val="3D9533DE"/>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410A4C7B"/>
    <w:multiLevelType w:val="multilevel"/>
    <w:tmpl w:val="410A4C7B"/>
    <w:lvl w:ilvl="0" w:tentative="0">
      <w:start w:val="1"/>
      <w:numFmt w:val="decimal"/>
      <w:lvlText w:val="%1"/>
      <w:lvlJc w:val="left"/>
      <w:pPr>
        <w:ind w:left="1215" w:hanging="360"/>
      </w:pPr>
      <w:rPr>
        <w:rFonts w:hint="eastAsia"/>
        <w:b/>
        <w:i w:val="0"/>
        <w:sz w:val="24"/>
      </w:rPr>
    </w:lvl>
    <w:lvl w:ilvl="1" w:tentative="0">
      <w:start w:val="1"/>
      <w:numFmt w:val="lowerLetter"/>
      <w:lvlText w:val="%2)"/>
      <w:lvlJc w:val="left"/>
      <w:pPr>
        <w:ind w:left="1695" w:hanging="420"/>
      </w:pPr>
    </w:lvl>
    <w:lvl w:ilvl="2" w:tentative="0">
      <w:start w:val="1"/>
      <w:numFmt w:val="lowerRoman"/>
      <w:lvlText w:val="%3."/>
      <w:lvlJc w:val="right"/>
      <w:pPr>
        <w:ind w:left="2115" w:hanging="420"/>
      </w:pPr>
    </w:lvl>
    <w:lvl w:ilvl="3" w:tentative="0">
      <w:start w:val="1"/>
      <w:numFmt w:val="decimal"/>
      <w:lvlText w:val="%4."/>
      <w:lvlJc w:val="left"/>
      <w:pPr>
        <w:ind w:left="2535" w:hanging="420"/>
      </w:pPr>
    </w:lvl>
    <w:lvl w:ilvl="4" w:tentative="0">
      <w:start w:val="1"/>
      <w:numFmt w:val="lowerLetter"/>
      <w:lvlText w:val="%5)"/>
      <w:lvlJc w:val="left"/>
      <w:pPr>
        <w:ind w:left="2955" w:hanging="420"/>
      </w:pPr>
    </w:lvl>
    <w:lvl w:ilvl="5" w:tentative="0">
      <w:start w:val="1"/>
      <w:numFmt w:val="lowerRoman"/>
      <w:lvlText w:val="%6."/>
      <w:lvlJc w:val="right"/>
      <w:pPr>
        <w:ind w:left="3375" w:hanging="420"/>
      </w:pPr>
    </w:lvl>
    <w:lvl w:ilvl="6" w:tentative="0">
      <w:start w:val="1"/>
      <w:numFmt w:val="decimal"/>
      <w:lvlText w:val="%7."/>
      <w:lvlJc w:val="left"/>
      <w:pPr>
        <w:ind w:left="3795" w:hanging="420"/>
      </w:pPr>
    </w:lvl>
    <w:lvl w:ilvl="7" w:tentative="0">
      <w:start w:val="1"/>
      <w:numFmt w:val="lowerLetter"/>
      <w:lvlText w:val="%8)"/>
      <w:lvlJc w:val="left"/>
      <w:pPr>
        <w:ind w:left="4215" w:hanging="420"/>
      </w:pPr>
    </w:lvl>
    <w:lvl w:ilvl="8" w:tentative="0">
      <w:start w:val="1"/>
      <w:numFmt w:val="lowerRoman"/>
      <w:lvlText w:val="%9."/>
      <w:lvlJc w:val="right"/>
      <w:pPr>
        <w:ind w:left="4635" w:hanging="420"/>
      </w:pPr>
    </w:lvl>
  </w:abstractNum>
  <w:abstractNum w:abstractNumId="57">
    <w:nsid w:val="42ED3BAB"/>
    <w:multiLevelType w:val="multilevel"/>
    <w:tmpl w:val="42ED3BAB"/>
    <w:lvl w:ilvl="0" w:tentative="0">
      <w:start w:val="1"/>
      <w:numFmt w:val="decimal"/>
      <w:lvlText w:val="8.1.%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433338D8"/>
    <w:multiLevelType w:val="multilevel"/>
    <w:tmpl w:val="433338D8"/>
    <w:lvl w:ilvl="0" w:tentative="0">
      <w:start w:val="3"/>
      <w:numFmt w:val="decimal"/>
      <w:lvlText w:val="6.4.%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45244F7"/>
    <w:multiLevelType w:val="multilevel"/>
    <w:tmpl w:val="445244F7"/>
    <w:lvl w:ilvl="0" w:tentative="0">
      <w:start w:val="1"/>
      <w:numFmt w:val="decimal"/>
      <w:lvlText w:val="%1）"/>
      <w:lvlJc w:val="left"/>
      <w:pPr>
        <w:ind w:left="1215" w:hanging="360"/>
      </w:pPr>
      <w:rPr>
        <w:rFonts w:ascii="Times New Roman" w:hAnsi="Times New Roman" w:eastAsia="宋体" w:cstheme="minorBidi"/>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59644C5"/>
    <w:multiLevelType w:val="multilevel"/>
    <w:tmpl w:val="459644C5"/>
    <w:lvl w:ilvl="0" w:tentative="0">
      <w:start w:val="5"/>
      <w:numFmt w:val="decimal"/>
      <w:lvlText w:val="%1"/>
      <w:lvlJc w:val="left"/>
      <w:pPr>
        <w:ind w:left="425" w:hanging="425"/>
      </w:pPr>
      <w:rPr>
        <w:rFonts w:hint="eastAsia"/>
      </w:rPr>
    </w:lvl>
    <w:lvl w:ilvl="1" w:tentative="0">
      <w:start w:val="3"/>
      <w:numFmt w:val="decimal"/>
      <w:lvlText w:val="%1.%2"/>
      <w:lvlJc w:val="left"/>
      <w:pPr>
        <w:ind w:left="992" w:hanging="567"/>
      </w:pPr>
      <w:rPr>
        <w:rFonts w:hint="eastAsia"/>
      </w:rPr>
    </w:lvl>
    <w:lvl w:ilvl="2" w:tentative="0">
      <w:start w:val="4"/>
      <w:numFmt w:val="decimal"/>
      <w:lvlText w:val="4.0.%3"/>
      <w:lvlJc w:val="left"/>
      <w:pPr>
        <w:ind w:left="1418" w:hanging="567"/>
      </w:pPr>
      <w:rPr>
        <w:rFonts w:hint="default" w:ascii="Times New Roman" w:hAnsi="Times New Roman" w:eastAsia="宋体"/>
        <w:b/>
        <w:bCs/>
        <w:i w:val="0"/>
        <w:sz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1">
    <w:nsid w:val="46557081"/>
    <w:multiLevelType w:val="multilevel"/>
    <w:tmpl w:val="46557081"/>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62">
    <w:nsid w:val="4955127C"/>
    <w:multiLevelType w:val="multilevel"/>
    <w:tmpl w:val="4955127C"/>
    <w:lvl w:ilvl="0" w:tentative="0">
      <w:start w:val="16"/>
      <w:numFmt w:val="decimal"/>
      <w:lvlText w:val="8.1.%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49CE2ED8"/>
    <w:multiLevelType w:val="multilevel"/>
    <w:tmpl w:val="49CE2ED8"/>
    <w:lvl w:ilvl="0" w:tentative="0">
      <w:start w:val="1"/>
      <w:numFmt w:val="decimal"/>
      <w:lvlText w:val="%1）"/>
      <w:lvlJc w:val="left"/>
      <w:pPr>
        <w:ind w:left="420" w:hanging="420"/>
      </w:pPr>
      <w:rPr>
        <w:rFonts w:ascii="Times New Roman" w:hAnsi="Times New Roman" w:eastAsia="宋体" w:cstheme="minorBidi"/>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4A93268D"/>
    <w:multiLevelType w:val="multilevel"/>
    <w:tmpl w:val="4A93268D"/>
    <w:lvl w:ilvl="0" w:tentative="0">
      <w:start w:val="1"/>
      <w:numFmt w:val="decimal"/>
      <w:lvlText w:val="%1."/>
      <w:lvlJc w:val="left"/>
      <w:pPr>
        <w:ind w:left="567" w:hanging="425"/>
      </w:pPr>
      <w:rPr>
        <w:rFonts w:hint="eastAsia"/>
        <w:b/>
      </w:rPr>
    </w:lvl>
    <w:lvl w:ilvl="1" w:tentative="0">
      <w:start w:val="1"/>
      <w:numFmt w:val="decimal"/>
      <w:pStyle w:val="147"/>
      <w:lvlText w:val="%1.%2"/>
      <w:lvlJc w:val="left"/>
      <w:pPr>
        <w:ind w:left="1134" w:hanging="567"/>
      </w:pPr>
      <w:rPr>
        <w:rFonts w:hint="eastAsia"/>
      </w:rPr>
    </w:lvl>
    <w:lvl w:ilvl="2" w:tentative="0">
      <w:start w:val="1"/>
      <w:numFmt w:val="none"/>
      <w:lvlText w:val="B.1.1"/>
      <w:lvlJc w:val="left"/>
      <w:pPr>
        <w:ind w:left="851" w:hanging="567"/>
      </w:pPr>
      <w:rPr>
        <w:rFonts w:hint="eastAsia"/>
        <w:b/>
      </w:rPr>
    </w:lvl>
    <w:lvl w:ilvl="3" w:tentative="0">
      <w:start w:val="1"/>
      <w:numFmt w:val="decimal"/>
      <w:lvlText w:val="%1.%2.%3.%4"/>
      <w:lvlJc w:val="left"/>
      <w:pPr>
        <w:ind w:left="2126" w:hanging="708"/>
      </w:pPr>
      <w:rPr>
        <w:rFonts w:hint="eastAsia"/>
      </w:rPr>
    </w:lvl>
    <w:lvl w:ilvl="4" w:tentative="0">
      <w:start w:val="1"/>
      <w:numFmt w:val="decimal"/>
      <w:lvlText w:val="%1.%2.%3.%4.%5"/>
      <w:lvlJc w:val="left"/>
      <w:pPr>
        <w:ind w:left="2693" w:hanging="850"/>
      </w:pPr>
      <w:rPr>
        <w:rFonts w:hint="eastAsia"/>
      </w:rPr>
    </w:lvl>
    <w:lvl w:ilvl="5" w:tentative="0">
      <w:start w:val="1"/>
      <w:numFmt w:val="decimal"/>
      <w:lvlText w:val="%1.%2.%3.%4.%5.%6"/>
      <w:lvlJc w:val="left"/>
      <w:pPr>
        <w:ind w:left="3402" w:hanging="1134"/>
      </w:pPr>
      <w:rPr>
        <w:rFonts w:hint="eastAsia"/>
      </w:rPr>
    </w:lvl>
    <w:lvl w:ilvl="6" w:tentative="0">
      <w:start w:val="1"/>
      <w:numFmt w:val="decimal"/>
      <w:lvlText w:val="%1.%2.%3.%4.%5.%6.%7"/>
      <w:lvlJc w:val="left"/>
      <w:pPr>
        <w:ind w:left="3969" w:hanging="1276"/>
      </w:pPr>
      <w:rPr>
        <w:rFonts w:hint="eastAsia"/>
      </w:rPr>
    </w:lvl>
    <w:lvl w:ilvl="7" w:tentative="0">
      <w:start w:val="1"/>
      <w:numFmt w:val="decimal"/>
      <w:lvlText w:val="%1.%2.%3.%4.%5.%6.%7.%8"/>
      <w:lvlJc w:val="left"/>
      <w:pPr>
        <w:ind w:left="4536" w:hanging="1418"/>
      </w:pPr>
      <w:rPr>
        <w:rFonts w:hint="eastAsia"/>
      </w:rPr>
    </w:lvl>
    <w:lvl w:ilvl="8" w:tentative="0">
      <w:start w:val="1"/>
      <w:numFmt w:val="decimal"/>
      <w:lvlText w:val="%1.%2.%3.%4.%5.%6.%7.%8.%9"/>
      <w:lvlJc w:val="left"/>
      <w:pPr>
        <w:ind w:left="5244" w:hanging="1700"/>
      </w:pPr>
      <w:rPr>
        <w:rFonts w:hint="eastAsia"/>
      </w:rPr>
    </w:lvl>
  </w:abstractNum>
  <w:abstractNum w:abstractNumId="65">
    <w:nsid w:val="4AA134AC"/>
    <w:multiLevelType w:val="multilevel"/>
    <w:tmpl w:val="4AA134AC"/>
    <w:lvl w:ilvl="0" w:tentative="0">
      <w:start w:val="6"/>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8"/>
      <w:numFmt w:val="decimal"/>
      <w:isLgl/>
      <w:lvlText w:val="%1.%2.%3"/>
      <w:lvlJc w:val="left"/>
      <w:pPr>
        <w:ind w:left="0" w:firstLine="0"/>
      </w:pPr>
      <w:rPr>
        <w:rFonts w:hint="default" w:ascii="Times New Roman" w:hAnsi="Times New Roman" w:cs="Times New Roman"/>
        <w:b/>
        <w:i w:val="0"/>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66">
    <w:nsid w:val="4C4409C8"/>
    <w:multiLevelType w:val="multilevel"/>
    <w:tmpl w:val="4C4409C8"/>
    <w:lvl w:ilvl="0" w:tentative="0">
      <w:start w:val="8"/>
      <w:numFmt w:val="decimal"/>
      <w:lvlText w:val="%1"/>
      <w:lvlJc w:val="left"/>
      <w:pPr>
        <w:ind w:left="425" w:hanging="425"/>
      </w:pPr>
      <w:rPr>
        <w:rFonts w:hint="default"/>
      </w:rPr>
    </w:lvl>
    <w:lvl w:ilvl="1" w:tentative="0">
      <w:start w:val="1"/>
      <w:numFmt w:val="decimal"/>
      <w:lvlText w:val="%1.%2"/>
      <w:lvlJc w:val="left"/>
      <w:pPr>
        <w:ind w:left="992" w:hanging="567"/>
      </w:pPr>
      <w:rPr>
        <w:rFonts w:hint="default"/>
      </w:rPr>
    </w:lvl>
    <w:lvl w:ilvl="2" w:tentative="0">
      <w:start w:val="8"/>
      <w:numFmt w:val="decimal"/>
      <w:lvlText w:val="8.2.%3"/>
      <w:lvlJc w:val="left"/>
      <w:pPr>
        <w:ind w:left="1418" w:hanging="567"/>
      </w:pPr>
      <w:rPr>
        <w:rFonts w:hint="default" w:ascii="Times New Roman" w:hAnsi="Times New Roman" w:eastAsia="宋体"/>
        <w:b/>
        <w:bCs w:val="0"/>
        <w:i w:val="0"/>
        <w:sz w:val="24"/>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67">
    <w:nsid w:val="4E1F31AA"/>
    <w:multiLevelType w:val="multilevel"/>
    <w:tmpl w:val="4E1F31AA"/>
    <w:lvl w:ilvl="0" w:tentative="0">
      <w:start w:val="11"/>
      <w:numFmt w:val="decimal"/>
      <w:pStyle w:val="148"/>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4E751BAF"/>
    <w:multiLevelType w:val="multilevel"/>
    <w:tmpl w:val="4E751BAF"/>
    <w:lvl w:ilvl="0" w:tentative="0">
      <w:start w:val="1"/>
      <w:numFmt w:val="decimal"/>
      <w:lvlText w:val="%1"/>
      <w:lvlJc w:val="left"/>
      <w:pPr>
        <w:ind w:left="425" w:hanging="425"/>
      </w:pPr>
      <w:rPr>
        <w:rFonts w:hint="eastAsia"/>
        <w:b/>
      </w:rPr>
    </w:lvl>
    <w:lvl w:ilvl="1" w:tentative="0">
      <w:start w:val="1"/>
      <w:numFmt w:val="decimal"/>
      <w:pStyle w:val="184"/>
      <w:lvlText w:val="%1.%2"/>
      <w:lvlJc w:val="left"/>
      <w:pPr>
        <w:ind w:left="992" w:hanging="567"/>
      </w:pPr>
      <w:rPr>
        <w:rFonts w:hint="eastAsia"/>
      </w:rPr>
    </w:lvl>
    <w:lvl w:ilvl="2" w:tentative="0">
      <w:start w:val="1"/>
      <w:numFmt w:val="decimal"/>
      <w:lvlText w:val="B.2.%3"/>
      <w:lvlJc w:val="left"/>
      <w:pPr>
        <w:ind w:left="1418" w:hanging="567"/>
      </w:pPr>
      <w:rPr>
        <w:rFonts w:hint="eastAsia"/>
        <w:b/>
      </w:rPr>
    </w:lvl>
    <w:lvl w:ilvl="3" w:tentative="0">
      <w:start w:val="1"/>
      <w:numFmt w:val="decimal"/>
      <w:lvlText w:val="%1.%2.%3.%4"/>
      <w:lvlJc w:val="left"/>
      <w:pPr>
        <w:ind w:left="1984" w:hanging="708"/>
      </w:pPr>
      <w:rPr>
        <w:rFonts w:hint="eastAsia"/>
      </w:rPr>
    </w:lvl>
    <w:lvl w:ilvl="4" w:tentative="0">
      <w:start w:val="1"/>
      <w:numFmt w:val="decimal"/>
      <w:pStyle w:val="159"/>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9">
    <w:nsid w:val="4E7D6115"/>
    <w:multiLevelType w:val="multilevel"/>
    <w:tmpl w:val="4E7D6115"/>
    <w:lvl w:ilvl="0" w:tentative="0">
      <w:start w:val="1"/>
      <w:numFmt w:val="decimal"/>
      <w:lvlText w:val="3.0.%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4F8C78BA"/>
    <w:multiLevelType w:val="multilevel"/>
    <w:tmpl w:val="4F8C78BA"/>
    <w:lvl w:ilvl="0" w:tentative="0">
      <w:start w:val="4"/>
      <w:numFmt w:val="decimal"/>
      <w:lvlText w:val="%1"/>
      <w:lvlJc w:val="left"/>
      <w:pPr>
        <w:ind w:left="786" w:hanging="360"/>
      </w:pPr>
      <w:rPr>
        <w:rFonts w:hint="eastAsia"/>
        <w:b/>
        <w:i w:val="0"/>
        <w:sz w:val="24"/>
      </w:rPr>
    </w:lvl>
    <w:lvl w:ilvl="1" w:tentative="0">
      <w:start w:val="1"/>
      <w:numFmt w:val="lowerLetter"/>
      <w:lvlText w:val="%2)"/>
      <w:lvlJc w:val="left"/>
      <w:pPr>
        <w:ind w:left="1266" w:hanging="420"/>
      </w:pPr>
      <w:rPr>
        <w:rFonts w:hint="eastAsia"/>
      </w:rPr>
    </w:lvl>
    <w:lvl w:ilvl="2" w:tentative="0">
      <w:start w:val="1"/>
      <w:numFmt w:val="lowerRoman"/>
      <w:lvlText w:val="%3."/>
      <w:lvlJc w:val="right"/>
      <w:pPr>
        <w:ind w:left="1686" w:hanging="420"/>
      </w:pPr>
      <w:rPr>
        <w:rFonts w:hint="eastAsia"/>
      </w:rPr>
    </w:lvl>
    <w:lvl w:ilvl="3" w:tentative="0">
      <w:start w:val="1"/>
      <w:numFmt w:val="decimal"/>
      <w:lvlText w:val="%4."/>
      <w:lvlJc w:val="left"/>
      <w:pPr>
        <w:ind w:left="2106" w:hanging="420"/>
      </w:pPr>
      <w:rPr>
        <w:rFonts w:hint="eastAsia"/>
      </w:rPr>
    </w:lvl>
    <w:lvl w:ilvl="4" w:tentative="0">
      <w:start w:val="1"/>
      <w:numFmt w:val="lowerLetter"/>
      <w:lvlText w:val="%5)"/>
      <w:lvlJc w:val="left"/>
      <w:pPr>
        <w:ind w:left="2526" w:hanging="420"/>
      </w:pPr>
      <w:rPr>
        <w:rFonts w:hint="eastAsia"/>
      </w:rPr>
    </w:lvl>
    <w:lvl w:ilvl="5" w:tentative="0">
      <w:start w:val="1"/>
      <w:numFmt w:val="lowerRoman"/>
      <w:lvlText w:val="%6."/>
      <w:lvlJc w:val="right"/>
      <w:pPr>
        <w:ind w:left="2946" w:hanging="420"/>
      </w:pPr>
      <w:rPr>
        <w:rFonts w:hint="eastAsia"/>
      </w:rPr>
    </w:lvl>
    <w:lvl w:ilvl="6" w:tentative="0">
      <w:start w:val="1"/>
      <w:numFmt w:val="decimal"/>
      <w:lvlText w:val="%7."/>
      <w:lvlJc w:val="left"/>
      <w:pPr>
        <w:ind w:left="3366" w:hanging="420"/>
      </w:pPr>
      <w:rPr>
        <w:rFonts w:hint="eastAsia"/>
      </w:rPr>
    </w:lvl>
    <w:lvl w:ilvl="7" w:tentative="0">
      <w:start w:val="1"/>
      <w:numFmt w:val="lowerLetter"/>
      <w:lvlText w:val="%8)"/>
      <w:lvlJc w:val="left"/>
      <w:pPr>
        <w:ind w:left="3786" w:hanging="420"/>
      </w:pPr>
      <w:rPr>
        <w:rFonts w:hint="eastAsia"/>
      </w:rPr>
    </w:lvl>
    <w:lvl w:ilvl="8" w:tentative="0">
      <w:start w:val="1"/>
      <w:numFmt w:val="lowerRoman"/>
      <w:lvlText w:val="%9."/>
      <w:lvlJc w:val="right"/>
      <w:pPr>
        <w:ind w:left="4206" w:hanging="420"/>
      </w:pPr>
      <w:rPr>
        <w:rFonts w:hint="eastAsia"/>
      </w:rPr>
    </w:lvl>
  </w:abstractNum>
  <w:abstractNum w:abstractNumId="71">
    <w:nsid w:val="513D4D0E"/>
    <w:multiLevelType w:val="multilevel"/>
    <w:tmpl w:val="513D4D0E"/>
    <w:lvl w:ilvl="0" w:tentative="0">
      <w:start w:val="6"/>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1"/>
      <w:numFmt w:val="decimal"/>
      <w:lvlText w:val="6.1.%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72">
    <w:nsid w:val="51492019"/>
    <w:multiLevelType w:val="multilevel"/>
    <w:tmpl w:val="51492019"/>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41E49E8"/>
    <w:multiLevelType w:val="multilevel"/>
    <w:tmpl w:val="541E49E8"/>
    <w:lvl w:ilvl="0" w:tentative="0">
      <w:start w:val="1"/>
      <w:numFmt w:val="decimal"/>
      <w:lvlText w:val="C.0.%1"/>
      <w:lvlJc w:val="left"/>
      <w:pPr>
        <w:ind w:left="0" w:firstLine="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48B10BD"/>
    <w:multiLevelType w:val="multilevel"/>
    <w:tmpl w:val="548B10BD"/>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7C03C2B"/>
    <w:multiLevelType w:val="multilevel"/>
    <w:tmpl w:val="57C03C2B"/>
    <w:lvl w:ilvl="0" w:tentative="0">
      <w:start w:val="1"/>
      <w:numFmt w:val="decimal"/>
      <w:pStyle w:val="205"/>
      <w:lvlText w:val="%1"/>
      <w:lvlJc w:val="left"/>
      <w:pPr>
        <w:ind w:left="4111" w:hanging="425"/>
      </w:pPr>
      <w:rPr>
        <w:rFonts w:hint="eastAsia"/>
        <w:b/>
        <w:bCs/>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6">
    <w:nsid w:val="580A479F"/>
    <w:multiLevelType w:val="multilevel"/>
    <w:tmpl w:val="580A479F"/>
    <w:lvl w:ilvl="0" w:tentative="0">
      <w:start w:val="1"/>
      <w:numFmt w:val="decimal"/>
      <w:lvlText w:val="B.1.%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590F5424"/>
    <w:multiLevelType w:val="multilevel"/>
    <w:tmpl w:val="590F5424"/>
    <w:lvl w:ilvl="0" w:tentative="0">
      <w:start w:val="1"/>
      <w:numFmt w:val="decimal"/>
      <w:lvlText w:val="%1"/>
      <w:lvlJc w:val="left"/>
      <w:pPr>
        <w:ind w:left="1215" w:hanging="360"/>
      </w:pPr>
      <w:rPr>
        <w:rFonts w:hint="eastAsia"/>
        <w:b/>
        <w:i w:val="0"/>
        <w:sz w:val="24"/>
      </w:rPr>
    </w:lvl>
    <w:lvl w:ilvl="1" w:tentative="0">
      <w:start w:val="1"/>
      <w:numFmt w:val="lowerLetter"/>
      <w:lvlText w:val="%2)"/>
      <w:lvlJc w:val="left"/>
      <w:pPr>
        <w:ind w:left="1695" w:hanging="420"/>
      </w:pPr>
    </w:lvl>
    <w:lvl w:ilvl="2" w:tentative="0">
      <w:start w:val="1"/>
      <w:numFmt w:val="lowerRoman"/>
      <w:lvlText w:val="%3."/>
      <w:lvlJc w:val="right"/>
      <w:pPr>
        <w:ind w:left="2115" w:hanging="420"/>
      </w:pPr>
    </w:lvl>
    <w:lvl w:ilvl="3" w:tentative="0">
      <w:start w:val="1"/>
      <w:numFmt w:val="decimal"/>
      <w:lvlText w:val="%4."/>
      <w:lvlJc w:val="left"/>
      <w:pPr>
        <w:ind w:left="2535" w:hanging="420"/>
      </w:pPr>
    </w:lvl>
    <w:lvl w:ilvl="4" w:tentative="0">
      <w:start w:val="1"/>
      <w:numFmt w:val="lowerLetter"/>
      <w:lvlText w:val="%5)"/>
      <w:lvlJc w:val="left"/>
      <w:pPr>
        <w:ind w:left="2955" w:hanging="420"/>
      </w:pPr>
    </w:lvl>
    <w:lvl w:ilvl="5" w:tentative="0">
      <w:start w:val="1"/>
      <w:numFmt w:val="lowerRoman"/>
      <w:lvlText w:val="%6."/>
      <w:lvlJc w:val="right"/>
      <w:pPr>
        <w:ind w:left="3375" w:hanging="420"/>
      </w:pPr>
    </w:lvl>
    <w:lvl w:ilvl="6" w:tentative="0">
      <w:start w:val="1"/>
      <w:numFmt w:val="decimal"/>
      <w:lvlText w:val="%7."/>
      <w:lvlJc w:val="left"/>
      <w:pPr>
        <w:ind w:left="3795" w:hanging="420"/>
      </w:pPr>
    </w:lvl>
    <w:lvl w:ilvl="7" w:tentative="0">
      <w:start w:val="1"/>
      <w:numFmt w:val="lowerLetter"/>
      <w:lvlText w:val="%8)"/>
      <w:lvlJc w:val="left"/>
      <w:pPr>
        <w:ind w:left="4215" w:hanging="420"/>
      </w:pPr>
    </w:lvl>
    <w:lvl w:ilvl="8" w:tentative="0">
      <w:start w:val="1"/>
      <w:numFmt w:val="lowerRoman"/>
      <w:lvlText w:val="%9."/>
      <w:lvlJc w:val="right"/>
      <w:pPr>
        <w:ind w:left="4635" w:hanging="420"/>
      </w:pPr>
    </w:lvl>
  </w:abstractNum>
  <w:abstractNum w:abstractNumId="78">
    <w:nsid w:val="59462DB6"/>
    <w:multiLevelType w:val="multilevel"/>
    <w:tmpl w:val="59462DB6"/>
    <w:lvl w:ilvl="0" w:tentative="0">
      <w:start w:val="1"/>
      <w:numFmt w:val="decimal"/>
      <w:lvlText w:val="%1"/>
      <w:lvlJc w:val="left"/>
      <w:pPr>
        <w:ind w:left="420" w:hanging="420"/>
      </w:pPr>
      <w:rPr>
        <w:rFonts w:hint="eastAsia"/>
        <w:b/>
        <w:bCs/>
        <w:i w:val="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9">
    <w:nsid w:val="59F2551C"/>
    <w:multiLevelType w:val="multilevel"/>
    <w:tmpl w:val="59F2551C"/>
    <w:lvl w:ilvl="0" w:tentative="0">
      <w:start w:val="1"/>
      <w:numFmt w:val="decimal"/>
      <w:lvlText w:val="B.8.%1"/>
      <w:lvlJc w:val="left"/>
      <w:pPr>
        <w:ind w:left="0" w:firstLine="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59FE2F86"/>
    <w:multiLevelType w:val="multilevel"/>
    <w:tmpl w:val="59FE2F86"/>
    <w:lvl w:ilvl="0" w:tentative="0">
      <w:start w:val="1"/>
      <w:numFmt w:val="decimal"/>
      <w:lvlText w:val="%1"/>
      <w:lvlJc w:val="left"/>
      <w:pPr>
        <w:ind w:left="425" w:hanging="425"/>
      </w:pPr>
      <w:rPr>
        <w:rFonts w:hint="eastAsia"/>
        <w:b/>
        <w:i w:val="0"/>
      </w:rPr>
    </w:lvl>
    <w:lvl w:ilvl="1" w:tentative="0">
      <w:start w:val="1"/>
      <w:numFmt w:val="decimal"/>
      <w:lvlText w:val="%1.%2"/>
      <w:lvlJc w:val="left"/>
      <w:pPr>
        <w:ind w:left="992" w:hanging="567"/>
      </w:pPr>
      <w:rPr>
        <w:rFonts w:hint="default"/>
      </w:rPr>
    </w:lvl>
    <w:lvl w:ilvl="2" w:tentative="0">
      <w:start w:val="1"/>
      <w:numFmt w:val="decimal"/>
      <w:lvlText w:val="7.2.%3"/>
      <w:lvlJc w:val="left"/>
      <w:pPr>
        <w:ind w:left="1418" w:hanging="567"/>
      </w:pPr>
      <w:rPr>
        <w:rFonts w:hint="default" w:ascii="Times New Roman" w:hAnsi="Times New Roman" w:eastAsia="宋体"/>
        <w:b/>
        <w:bCs w:val="0"/>
        <w:i w:val="0"/>
        <w:sz w:val="24"/>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81">
    <w:nsid w:val="5ABF0DF0"/>
    <w:multiLevelType w:val="multilevel"/>
    <w:tmpl w:val="5ABF0DF0"/>
    <w:lvl w:ilvl="0" w:tentative="0">
      <w:start w:val="13"/>
      <w:numFmt w:val="decimal"/>
      <w:lvlText w:val="6.3.%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5CD63B57"/>
    <w:multiLevelType w:val="multilevel"/>
    <w:tmpl w:val="5CD63B57"/>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5CDB115C"/>
    <w:multiLevelType w:val="multilevel"/>
    <w:tmpl w:val="5CDB115C"/>
    <w:lvl w:ilvl="0" w:tentative="0">
      <w:start w:val="7"/>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1"/>
      <w:numFmt w:val="decimal"/>
      <w:lvlText w:val="8.1.%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84">
    <w:nsid w:val="5DD20F80"/>
    <w:multiLevelType w:val="multilevel"/>
    <w:tmpl w:val="5DD20F80"/>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20B1294"/>
    <w:multiLevelType w:val="multilevel"/>
    <w:tmpl w:val="620B1294"/>
    <w:lvl w:ilvl="0" w:tentative="0">
      <w:start w:val="1"/>
      <w:numFmt w:val="decimal"/>
      <w:lvlText w:val="7.3.%1"/>
      <w:lvlJc w:val="left"/>
      <w:pPr>
        <w:ind w:left="2122"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decimal"/>
      <w:lvlText w:val="7.3.%3"/>
      <w:lvlJc w:val="left"/>
      <w:pPr>
        <w:ind w:left="1260" w:hanging="420"/>
      </w:pPr>
      <w:rPr>
        <w:rFonts w:hint="default" w:ascii="Times New Roman" w:hAnsi="Times New Roman" w:eastAsia="宋体"/>
        <w:b/>
        <w:i w:val="0"/>
        <w:sz w:val="24"/>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20E7391"/>
    <w:multiLevelType w:val="multilevel"/>
    <w:tmpl w:val="620E7391"/>
    <w:lvl w:ilvl="0" w:tentative="0">
      <w:start w:val="1"/>
      <w:numFmt w:val="decimal"/>
      <w:lvlText w:val="%1"/>
      <w:lvlJc w:val="left"/>
      <w:pPr>
        <w:ind w:left="420" w:hanging="420"/>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3266F68"/>
    <w:multiLevelType w:val="multilevel"/>
    <w:tmpl w:val="63266F68"/>
    <w:lvl w:ilvl="0" w:tentative="0">
      <w:start w:val="1"/>
      <w:numFmt w:val="decimal"/>
      <w:lvlText w:val="%1"/>
      <w:lvlJc w:val="left"/>
      <w:pPr>
        <w:ind w:left="420" w:hanging="420"/>
      </w:pPr>
      <w:rPr>
        <w:rFonts w:hint="eastAsia"/>
        <w:b/>
        <w:bCs/>
        <w:i w:val="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8">
    <w:nsid w:val="63C427D8"/>
    <w:multiLevelType w:val="multilevel"/>
    <w:tmpl w:val="63C427D8"/>
    <w:lvl w:ilvl="0" w:tentative="0">
      <w:start w:val="1"/>
      <w:numFmt w:val="decimal"/>
      <w:lvlText w:val="%1"/>
      <w:lvlJc w:val="left"/>
      <w:pPr>
        <w:ind w:left="1215" w:hanging="360"/>
      </w:pPr>
      <w:rPr>
        <w:rFonts w:hint="eastAsia"/>
        <w:b/>
        <w:i w:val="0"/>
        <w:sz w:val="24"/>
      </w:rPr>
    </w:lvl>
    <w:lvl w:ilvl="1" w:tentative="0">
      <w:start w:val="1"/>
      <w:numFmt w:val="lowerLetter"/>
      <w:lvlText w:val="%2)"/>
      <w:lvlJc w:val="left"/>
      <w:pPr>
        <w:ind w:left="1695" w:hanging="420"/>
      </w:pPr>
    </w:lvl>
    <w:lvl w:ilvl="2" w:tentative="0">
      <w:start w:val="1"/>
      <w:numFmt w:val="lowerRoman"/>
      <w:lvlText w:val="%3."/>
      <w:lvlJc w:val="right"/>
      <w:pPr>
        <w:ind w:left="2115" w:hanging="420"/>
      </w:pPr>
    </w:lvl>
    <w:lvl w:ilvl="3" w:tentative="0">
      <w:start w:val="1"/>
      <w:numFmt w:val="decimal"/>
      <w:lvlText w:val="%4."/>
      <w:lvlJc w:val="left"/>
      <w:pPr>
        <w:ind w:left="2535" w:hanging="420"/>
      </w:pPr>
    </w:lvl>
    <w:lvl w:ilvl="4" w:tentative="0">
      <w:start w:val="1"/>
      <w:numFmt w:val="lowerLetter"/>
      <w:lvlText w:val="%5)"/>
      <w:lvlJc w:val="left"/>
      <w:pPr>
        <w:ind w:left="2955" w:hanging="420"/>
      </w:pPr>
    </w:lvl>
    <w:lvl w:ilvl="5" w:tentative="0">
      <w:start w:val="1"/>
      <w:numFmt w:val="lowerRoman"/>
      <w:lvlText w:val="%6."/>
      <w:lvlJc w:val="right"/>
      <w:pPr>
        <w:ind w:left="3375" w:hanging="420"/>
      </w:pPr>
    </w:lvl>
    <w:lvl w:ilvl="6" w:tentative="0">
      <w:start w:val="1"/>
      <w:numFmt w:val="decimal"/>
      <w:lvlText w:val="%7."/>
      <w:lvlJc w:val="left"/>
      <w:pPr>
        <w:ind w:left="3795" w:hanging="420"/>
      </w:pPr>
    </w:lvl>
    <w:lvl w:ilvl="7" w:tentative="0">
      <w:start w:val="1"/>
      <w:numFmt w:val="lowerLetter"/>
      <w:lvlText w:val="%8)"/>
      <w:lvlJc w:val="left"/>
      <w:pPr>
        <w:ind w:left="4215" w:hanging="420"/>
      </w:pPr>
    </w:lvl>
    <w:lvl w:ilvl="8" w:tentative="0">
      <w:start w:val="1"/>
      <w:numFmt w:val="lowerRoman"/>
      <w:lvlText w:val="%9."/>
      <w:lvlJc w:val="right"/>
      <w:pPr>
        <w:ind w:left="4635" w:hanging="420"/>
      </w:pPr>
    </w:lvl>
  </w:abstractNum>
  <w:abstractNum w:abstractNumId="89">
    <w:nsid w:val="64803E41"/>
    <w:multiLevelType w:val="multilevel"/>
    <w:tmpl w:val="64803E41"/>
    <w:lvl w:ilvl="0" w:tentative="0">
      <w:start w:val="1"/>
      <w:numFmt w:val="decimal"/>
      <w:lvlText w:val="%1"/>
      <w:lvlJc w:val="left"/>
      <w:pPr>
        <w:ind w:left="1270" w:hanging="420"/>
      </w:pPr>
      <w:rPr>
        <w:rFonts w:hint="eastAsia"/>
        <w:b/>
        <w:i w:val="0"/>
        <w:sz w:val="24"/>
      </w:rPr>
    </w:lvl>
    <w:lvl w:ilvl="1" w:tentative="0">
      <w:start w:val="1"/>
      <w:numFmt w:val="lowerLetter"/>
      <w:lvlText w:val="%2)"/>
      <w:lvlJc w:val="left"/>
      <w:pPr>
        <w:ind w:left="1690" w:hanging="420"/>
      </w:pPr>
    </w:lvl>
    <w:lvl w:ilvl="2" w:tentative="0">
      <w:start w:val="1"/>
      <w:numFmt w:val="lowerRoman"/>
      <w:lvlText w:val="%3."/>
      <w:lvlJc w:val="right"/>
      <w:pPr>
        <w:ind w:left="2110" w:hanging="420"/>
      </w:pPr>
    </w:lvl>
    <w:lvl w:ilvl="3" w:tentative="0">
      <w:start w:val="1"/>
      <w:numFmt w:val="decimal"/>
      <w:lvlText w:val="%4."/>
      <w:lvlJc w:val="left"/>
      <w:pPr>
        <w:ind w:left="2530" w:hanging="420"/>
      </w:pPr>
    </w:lvl>
    <w:lvl w:ilvl="4" w:tentative="0">
      <w:start w:val="1"/>
      <w:numFmt w:val="lowerLetter"/>
      <w:lvlText w:val="%5)"/>
      <w:lvlJc w:val="left"/>
      <w:pPr>
        <w:ind w:left="2950" w:hanging="420"/>
      </w:pPr>
    </w:lvl>
    <w:lvl w:ilvl="5" w:tentative="0">
      <w:start w:val="1"/>
      <w:numFmt w:val="lowerRoman"/>
      <w:lvlText w:val="%6."/>
      <w:lvlJc w:val="right"/>
      <w:pPr>
        <w:ind w:left="3370" w:hanging="420"/>
      </w:pPr>
    </w:lvl>
    <w:lvl w:ilvl="6" w:tentative="0">
      <w:start w:val="1"/>
      <w:numFmt w:val="decimal"/>
      <w:lvlText w:val="%7."/>
      <w:lvlJc w:val="left"/>
      <w:pPr>
        <w:ind w:left="3790" w:hanging="420"/>
      </w:pPr>
    </w:lvl>
    <w:lvl w:ilvl="7" w:tentative="0">
      <w:start w:val="1"/>
      <w:numFmt w:val="lowerLetter"/>
      <w:lvlText w:val="%8)"/>
      <w:lvlJc w:val="left"/>
      <w:pPr>
        <w:ind w:left="4210" w:hanging="420"/>
      </w:pPr>
    </w:lvl>
    <w:lvl w:ilvl="8" w:tentative="0">
      <w:start w:val="1"/>
      <w:numFmt w:val="lowerRoman"/>
      <w:lvlText w:val="%9."/>
      <w:lvlJc w:val="right"/>
      <w:pPr>
        <w:ind w:left="4630" w:hanging="420"/>
      </w:pPr>
    </w:lvl>
  </w:abstractNum>
  <w:abstractNum w:abstractNumId="90">
    <w:nsid w:val="657D3FBC"/>
    <w:multiLevelType w:val="multilevel"/>
    <w:tmpl w:val="657D3FBC"/>
    <w:lvl w:ilvl="0" w:tentative="0">
      <w:start w:val="1"/>
      <w:numFmt w:val="upperLetter"/>
      <w:pStyle w:val="74"/>
      <w:suff w:val="nothing"/>
      <w:lvlText w:val="附　录　%1"/>
      <w:lvlJc w:val="left"/>
      <w:pPr>
        <w:ind w:left="3544" w:firstLine="0"/>
      </w:pPr>
      <w:rPr>
        <w:rFonts w:hint="eastAsia" w:ascii="黑体" w:hAnsi="Times New Roman" w:eastAsia="黑体"/>
        <w:b w:val="0"/>
        <w:i w:val="0"/>
        <w:spacing w:val="0"/>
        <w:w w:val="100"/>
        <w:sz w:val="21"/>
      </w:rPr>
    </w:lvl>
    <w:lvl w:ilvl="1" w:tentative="0">
      <w:start w:val="1"/>
      <w:numFmt w:val="decimal"/>
      <w:pStyle w:val="7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80"/>
      <w:suff w:val="nothing"/>
      <w:lvlText w:val="%1.%2.%3　"/>
      <w:lvlJc w:val="left"/>
      <w:pPr>
        <w:ind w:left="0" w:firstLine="0"/>
      </w:pPr>
      <w:rPr>
        <w:rFonts w:hint="eastAsia" w:ascii="黑体" w:hAnsi="Times New Roman" w:eastAsia="黑体"/>
        <w:b w:val="0"/>
        <w:i w:val="0"/>
        <w:sz w:val="21"/>
      </w:rPr>
    </w:lvl>
    <w:lvl w:ilvl="3" w:tentative="0">
      <w:start w:val="1"/>
      <w:numFmt w:val="decimal"/>
      <w:pStyle w:val="75"/>
      <w:suff w:val="nothing"/>
      <w:lvlText w:val="%1.%2.%3.%4　"/>
      <w:lvlJc w:val="left"/>
      <w:pPr>
        <w:ind w:left="0" w:firstLine="0"/>
      </w:pPr>
      <w:rPr>
        <w:rFonts w:hint="eastAsia" w:ascii="黑体" w:hAnsi="Times New Roman" w:eastAsia="黑体"/>
        <w:b w:val="0"/>
        <w:i w:val="0"/>
        <w:sz w:val="21"/>
      </w:rPr>
    </w:lvl>
    <w:lvl w:ilvl="4" w:tentative="0">
      <w:start w:val="1"/>
      <w:numFmt w:val="decimal"/>
      <w:pStyle w:val="76"/>
      <w:suff w:val="nothing"/>
      <w:lvlText w:val="%1.%2.%3.%4.%5　"/>
      <w:lvlJc w:val="left"/>
      <w:pPr>
        <w:ind w:left="0" w:firstLine="0"/>
      </w:pPr>
      <w:rPr>
        <w:rFonts w:hint="eastAsia" w:ascii="黑体" w:hAnsi="Times New Roman" w:eastAsia="黑体"/>
        <w:b w:val="0"/>
        <w:i w:val="0"/>
        <w:sz w:val="21"/>
      </w:rPr>
    </w:lvl>
    <w:lvl w:ilvl="5" w:tentative="0">
      <w:start w:val="1"/>
      <w:numFmt w:val="decimal"/>
      <w:pStyle w:val="77"/>
      <w:suff w:val="nothing"/>
      <w:lvlText w:val="%1.%2.%3.%4.%5.%6　"/>
      <w:lvlJc w:val="left"/>
      <w:pPr>
        <w:ind w:left="0" w:firstLine="0"/>
      </w:pPr>
      <w:rPr>
        <w:rFonts w:hint="eastAsia" w:ascii="黑体" w:hAnsi="Times New Roman" w:eastAsia="黑体"/>
        <w:b w:val="0"/>
        <w:i w:val="0"/>
        <w:sz w:val="21"/>
      </w:rPr>
    </w:lvl>
    <w:lvl w:ilvl="6" w:tentative="0">
      <w:start w:val="1"/>
      <w:numFmt w:val="decimal"/>
      <w:pStyle w:val="7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1">
    <w:nsid w:val="6617559A"/>
    <w:multiLevelType w:val="multilevel"/>
    <w:tmpl w:val="6617559A"/>
    <w:lvl w:ilvl="0" w:tentative="0">
      <w:start w:val="6"/>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13"/>
      <w:numFmt w:val="decimal"/>
      <w:lvlText w:val="6.1.%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92">
    <w:nsid w:val="69843238"/>
    <w:multiLevelType w:val="multilevel"/>
    <w:tmpl w:val="69843238"/>
    <w:lvl w:ilvl="0" w:tentative="0">
      <w:start w:val="1"/>
      <w:numFmt w:val="decimal"/>
      <w:lvlText w:val="%1"/>
      <w:lvlJc w:val="left"/>
      <w:pPr>
        <w:ind w:left="425" w:hanging="425"/>
      </w:pPr>
      <w:rPr>
        <w:rFonts w:hint="eastAsia"/>
        <w:b/>
      </w:rPr>
    </w:lvl>
    <w:lvl w:ilvl="1" w:tentative="0">
      <w:start w:val="1"/>
      <w:numFmt w:val="decimal"/>
      <w:pStyle w:val="165"/>
      <w:lvlText w:val="%1.%2"/>
      <w:lvlJc w:val="left"/>
      <w:pPr>
        <w:ind w:left="992" w:hanging="567"/>
      </w:pPr>
      <w:rPr>
        <w:rFonts w:hint="eastAsia"/>
      </w:rPr>
    </w:lvl>
    <w:lvl w:ilvl="2" w:tentative="0">
      <w:start w:val="1"/>
      <w:numFmt w:val="decimal"/>
      <w:lvlText w:val="B.3.%3"/>
      <w:lvlJc w:val="left"/>
      <w:pPr>
        <w:ind w:left="1418" w:hanging="567"/>
      </w:pPr>
      <w:rPr>
        <w:rFonts w:hint="eastAsia"/>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3">
    <w:nsid w:val="69BA62DF"/>
    <w:multiLevelType w:val="multilevel"/>
    <w:tmpl w:val="69BA62DF"/>
    <w:lvl w:ilvl="0" w:tentative="0">
      <w:start w:val="5"/>
      <w:numFmt w:val="decimal"/>
      <w:lvlText w:val="%1"/>
      <w:lvlJc w:val="left"/>
      <w:pPr>
        <w:ind w:left="360" w:hanging="360"/>
      </w:pPr>
      <w:rPr>
        <w:rFonts w:hint="default"/>
      </w:rPr>
    </w:lvl>
    <w:lvl w:ilvl="1" w:tentative="0">
      <w:start w:val="4"/>
      <w:numFmt w:val="decimal"/>
      <w:isLgl/>
      <w:lvlText w:val="%1.%2"/>
      <w:lvlJc w:val="left"/>
      <w:pPr>
        <w:ind w:left="525" w:hanging="525"/>
      </w:pPr>
      <w:rPr>
        <w:rFonts w:hint="default"/>
      </w:rPr>
    </w:lvl>
    <w:lvl w:ilvl="2" w:tentative="0">
      <w:start w:val="4"/>
      <w:numFmt w:val="decimal"/>
      <w:lvlText w:val="5.3.%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94">
    <w:nsid w:val="6A39638B"/>
    <w:multiLevelType w:val="multilevel"/>
    <w:tmpl w:val="6A39638B"/>
    <w:lvl w:ilvl="0" w:tentative="0">
      <w:start w:val="1"/>
      <w:numFmt w:val="decimal"/>
      <w:lvlText w:val="B.4.%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6ADE08D7"/>
    <w:multiLevelType w:val="multilevel"/>
    <w:tmpl w:val="6ADE08D7"/>
    <w:lvl w:ilvl="0" w:tentative="0">
      <w:start w:val="6"/>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11"/>
      <w:numFmt w:val="decimal"/>
      <w:lvlText w:val="6.1.%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96">
    <w:nsid w:val="6B026FBD"/>
    <w:multiLevelType w:val="multilevel"/>
    <w:tmpl w:val="6B026FBD"/>
    <w:lvl w:ilvl="0" w:tentative="0">
      <w:start w:val="1"/>
      <w:numFmt w:val="decimal"/>
      <w:pStyle w:val="171"/>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6B351033"/>
    <w:multiLevelType w:val="multilevel"/>
    <w:tmpl w:val="6B351033"/>
    <w:lvl w:ilvl="0" w:tentative="0">
      <w:start w:val="5"/>
      <w:numFmt w:val="decimal"/>
      <w:lvlText w:val="%1"/>
      <w:lvlJc w:val="left"/>
      <w:pPr>
        <w:ind w:left="360" w:hanging="360"/>
      </w:pPr>
      <w:rPr>
        <w:rFonts w:hint="default"/>
      </w:rPr>
    </w:lvl>
    <w:lvl w:ilvl="1" w:tentative="0">
      <w:start w:val="3"/>
      <w:numFmt w:val="decimal"/>
      <w:isLgl/>
      <w:lvlText w:val="%1.%2"/>
      <w:lvlJc w:val="left"/>
      <w:pPr>
        <w:ind w:left="525" w:hanging="525"/>
      </w:pPr>
      <w:rPr>
        <w:rFonts w:hint="default"/>
      </w:rPr>
    </w:lvl>
    <w:lvl w:ilvl="2" w:tentative="0">
      <w:start w:val="1"/>
      <w:numFmt w:val="decimal"/>
      <w:lvlText w:val="5.1.%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98">
    <w:nsid w:val="6BD80600"/>
    <w:multiLevelType w:val="multilevel"/>
    <w:tmpl w:val="6BD80600"/>
    <w:lvl w:ilvl="0" w:tentative="0">
      <w:start w:val="7"/>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2"/>
      <w:numFmt w:val="decimal"/>
      <w:lvlText w:val="8.2.%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99">
    <w:nsid w:val="6E6C6A3C"/>
    <w:multiLevelType w:val="multilevel"/>
    <w:tmpl w:val="6E6C6A3C"/>
    <w:lvl w:ilvl="0" w:tentative="0">
      <w:start w:val="11"/>
      <w:numFmt w:val="decimal"/>
      <w:pStyle w:val="146"/>
      <w:lvlText w:val="%1"/>
      <w:lvlJc w:val="left"/>
      <w:pPr>
        <w:ind w:left="425" w:hanging="425"/>
      </w:pPr>
    </w:lvl>
    <w:lvl w:ilvl="1" w:tentative="0">
      <w:start w:val="1"/>
      <w:numFmt w:val="decimal"/>
      <w:pStyle w:val="161"/>
      <w:lvlText w:val="%1.%2"/>
      <w:lvlJc w:val="left"/>
      <w:pPr>
        <w:ind w:left="992" w:hanging="567"/>
      </w:pPr>
    </w:lvl>
    <w:lvl w:ilvl="2" w:tentative="0">
      <w:start w:val="1"/>
      <w:numFmt w:val="decimal"/>
      <w:pStyle w:val="137"/>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00">
    <w:nsid w:val="6FCD64DE"/>
    <w:multiLevelType w:val="multilevel"/>
    <w:tmpl w:val="6FCD64DE"/>
    <w:lvl w:ilvl="0" w:tentative="0">
      <w:start w:val="1"/>
      <w:numFmt w:val="decimal"/>
      <w:lvlText w:val="%1"/>
      <w:lvlJc w:val="left"/>
      <w:pPr>
        <w:ind w:left="420" w:hanging="420"/>
      </w:pPr>
      <w:rPr>
        <w:rFonts w:hint="eastAsia"/>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70704F29"/>
    <w:multiLevelType w:val="multilevel"/>
    <w:tmpl w:val="70704F29"/>
    <w:lvl w:ilvl="0" w:tentative="0">
      <w:start w:val="1"/>
      <w:numFmt w:val="decimal"/>
      <w:lvlText w:val="5.3.%1"/>
      <w:lvlJc w:val="left"/>
      <w:pPr>
        <w:ind w:left="420" w:hanging="420"/>
      </w:pPr>
      <w:rPr>
        <w:rFonts w:hint="eastAsia"/>
        <w:b/>
        <w:bC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2">
    <w:nsid w:val="70AC3EA2"/>
    <w:multiLevelType w:val="multilevel"/>
    <w:tmpl w:val="70AC3EA2"/>
    <w:lvl w:ilvl="0" w:tentative="0">
      <w:start w:val="1"/>
      <w:numFmt w:val="decimal"/>
      <w:lvlText w:val="5.1.%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71F6284D"/>
    <w:multiLevelType w:val="multilevel"/>
    <w:tmpl w:val="71F6284D"/>
    <w:lvl w:ilvl="0" w:tentative="0">
      <w:start w:val="2"/>
      <w:numFmt w:val="decimal"/>
      <w:lvlText w:val="8.1.%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255717B"/>
    <w:multiLevelType w:val="multilevel"/>
    <w:tmpl w:val="7255717B"/>
    <w:lvl w:ilvl="0" w:tentative="0">
      <w:start w:val="4"/>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4"/>
      <w:numFmt w:val="decimal"/>
      <w:lvlText w:val="4.0.%3"/>
      <w:lvlJc w:val="left"/>
      <w:pPr>
        <w:ind w:left="1418" w:hanging="567"/>
      </w:pPr>
      <w:rPr>
        <w:rFonts w:hint="default" w:ascii="Times New Roman" w:hAnsi="Times New Roman" w:eastAsia="宋体"/>
        <w:b/>
        <w:bCs/>
        <w:i w:val="0"/>
        <w:sz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5">
    <w:nsid w:val="73556471"/>
    <w:multiLevelType w:val="multilevel"/>
    <w:tmpl w:val="73556471"/>
    <w:lvl w:ilvl="0" w:tentative="0">
      <w:start w:val="11"/>
      <w:numFmt w:val="decimal"/>
      <w:pStyle w:val="139"/>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709" w:hanging="567"/>
      </w:pPr>
      <w:rPr>
        <w:rFonts w:hint="eastAsia"/>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6">
    <w:nsid w:val="74775AFB"/>
    <w:multiLevelType w:val="multilevel"/>
    <w:tmpl w:val="74775AFB"/>
    <w:lvl w:ilvl="0" w:tentative="0">
      <w:start w:val="6"/>
      <w:numFmt w:val="decimal"/>
      <w:lvlText w:val="%1"/>
      <w:lvlJc w:val="left"/>
      <w:pPr>
        <w:ind w:left="360" w:hanging="360"/>
      </w:pPr>
      <w:rPr>
        <w:rFonts w:hint="default"/>
      </w:rPr>
    </w:lvl>
    <w:lvl w:ilvl="1" w:tentative="0">
      <w:start w:val="2"/>
      <w:numFmt w:val="decimal"/>
      <w:isLgl/>
      <w:lvlText w:val="%1.%2"/>
      <w:lvlJc w:val="left"/>
      <w:pPr>
        <w:ind w:left="525" w:hanging="525"/>
      </w:pPr>
      <w:rPr>
        <w:rFonts w:hint="default"/>
      </w:rPr>
    </w:lvl>
    <w:lvl w:ilvl="2" w:tentative="0">
      <w:start w:val="4"/>
      <w:numFmt w:val="decimal"/>
      <w:lvlText w:val="6.1.%3"/>
      <w:lvlJc w:val="left"/>
      <w:pPr>
        <w:ind w:left="0" w:firstLine="0"/>
      </w:pPr>
      <w:rPr>
        <w:rFonts w:hint="default" w:ascii="Times New Roman" w:hAnsi="Times New Roman" w:eastAsia="宋体"/>
        <w:b/>
        <w:i w:val="0"/>
        <w:sz w:val="24"/>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107">
    <w:nsid w:val="75713593"/>
    <w:multiLevelType w:val="multilevel"/>
    <w:tmpl w:val="75713593"/>
    <w:lvl w:ilvl="0" w:tentative="0">
      <w:start w:val="1"/>
      <w:numFmt w:val="decimal"/>
      <w:lvlText w:val="%1）"/>
      <w:lvlJc w:val="left"/>
      <w:pPr>
        <w:ind w:left="1215" w:hanging="360"/>
      </w:pPr>
      <w:rPr>
        <w:rFonts w:ascii="Times New Roman" w:hAnsi="Times New Roman" w:eastAsia="宋体" w:cstheme="minorBidi"/>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78AF15C2"/>
    <w:multiLevelType w:val="multilevel"/>
    <w:tmpl w:val="78AF15C2"/>
    <w:lvl w:ilvl="0" w:tentative="0">
      <w:start w:val="1"/>
      <w:numFmt w:val="decimal"/>
      <w:pStyle w:val="169"/>
      <w:lvlText w:val="%1"/>
      <w:lvlJc w:val="left"/>
      <w:pPr>
        <w:ind w:left="425" w:hanging="425"/>
      </w:pPr>
    </w:lvl>
    <w:lvl w:ilvl="1" w:tentative="0">
      <w:start w:val="1"/>
      <w:numFmt w:val="decimal"/>
      <w:pStyle w:val="138"/>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09">
    <w:nsid w:val="78F77B79"/>
    <w:multiLevelType w:val="multilevel"/>
    <w:tmpl w:val="78F77B79"/>
    <w:lvl w:ilvl="0" w:tentative="0">
      <w:start w:val="8"/>
      <w:numFmt w:val="decimal"/>
      <w:lvlText w:val="%1"/>
      <w:lvlJc w:val="left"/>
      <w:pPr>
        <w:ind w:left="425" w:hanging="425"/>
      </w:pPr>
      <w:rPr>
        <w:rFonts w:hint="default"/>
      </w:rPr>
    </w:lvl>
    <w:lvl w:ilvl="1" w:tentative="0">
      <w:start w:val="2"/>
      <w:numFmt w:val="decimal"/>
      <w:lvlText w:val="%1.%2"/>
      <w:lvlJc w:val="left"/>
      <w:pPr>
        <w:ind w:left="992" w:hanging="567"/>
      </w:pPr>
      <w:rPr>
        <w:rFonts w:hint="default"/>
      </w:rPr>
    </w:lvl>
    <w:lvl w:ilvl="2" w:tentative="0">
      <w:start w:val="1"/>
      <w:numFmt w:val="decimal"/>
      <w:lvlText w:val="8.2.%3"/>
      <w:lvlJc w:val="left"/>
      <w:pPr>
        <w:ind w:left="1418" w:hanging="567"/>
      </w:pPr>
      <w:rPr>
        <w:rFonts w:hint="default" w:ascii="Times New Roman" w:hAnsi="Times New Roman" w:eastAsia="宋体"/>
        <w:b/>
        <w:bCs w:val="0"/>
        <w:i w:val="0"/>
        <w:sz w:val="24"/>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110">
    <w:nsid w:val="7D020F69"/>
    <w:multiLevelType w:val="multilevel"/>
    <w:tmpl w:val="7D020F69"/>
    <w:lvl w:ilvl="0" w:tentative="0">
      <w:start w:val="4"/>
      <w:numFmt w:val="decimal"/>
      <w:lvlText w:val="6.3.%1"/>
      <w:lvlJc w:val="left"/>
      <w:pPr>
        <w:ind w:left="420" w:hanging="420"/>
      </w:pPr>
      <w:rPr>
        <w:rFonts w:hint="default" w:ascii="Times New Roman" w:hAnsi="Times New Roman"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7D364DD9"/>
    <w:multiLevelType w:val="multilevel"/>
    <w:tmpl w:val="7D364DD9"/>
    <w:lvl w:ilvl="0" w:tentative="0">
      <w:start w:val="1"/>
      <w:numFmt w:val="decimal"/>
      <w:lvlText w:val="B.2.%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7"/>
  </w:num>
  <w:num w:numId="2">
    <w:abstractNumId w:val="45"/>
  </w:num>
  <w:num w:numId="3">
    <w:abstractNumId w:val="90"/>
  </w:num>
  <w:num w:numId="4">
    <w:abstractNumId w:val="52"/>
  </w:num>
  <w:num w:numId="5">
    <w:abstractNumId w:val="15"/>
  </w:num>
  <w:num w:numId="6">
    <w:abstractNumId w:val="35"/>
  </w:num>
  <w:num w:numId="7">
    <w:abstractNumId w:val="7"/>
  </w:num>
  <w:num w:numId="8">
    <w:abstractNumId w:val="99"/>
  </w:num>
  <w:num w:numId="9">
    <w:abstractNumId w:val="108"/>
  </w:num>
  <w:num w:numId="10">
    <w:abstractNumId w:val="105"/>
  </w:num>
  <w:num w:numId="11">
    <w:abstractNumId w:val="23"/>
  </w:num>
  <w:num w:numId="12">
    <w:abstractNumId w:val="64"/>
  </w:num>
  <w:num w:numId="13">
    <w:abstractNumId w:val="67"/>
  </w:num>
  <w:num w:numId="14">
    <w:abstractNumId w:val="68"/>
  </w:num>
  <w:num w:numId="15">
    <w:abstractNumId w:val="92"/>
  </w:num>
  <w:num w:numId="16">
    <w:abstractNumId w:val="12"/>
  </w:num>
  <w:num w:numId="17">
    <w:abstractNumId w:val="96"/>
  </w:num>
  <w:num w:numId="18">
    <w:abstractNumId w:val="24"/>
  </w:num>
  <w:num w:numId="19">
    <w:abstractNumId w:val="50"/>
  </w:num>
  <w:num w:numId="20">
    <w:abstractNumId w:val="26"/>
  </w:num>
  <w:num w:numId="21">
    <w:abstractNumId w:val="75"/>
  </w:num>
  <w:num w:numId="22">
    <w:abstractNumId w:val="13"/>
  </w:num>
  <w:num w:numId="23">
    <w:abstractNumId w:val="69"/>
  </w:num>
  <w:num w:numId="24">
    <w:abstractNumId w:val="6"/>
  </w:num>
  <w:num w:numId="25">
    <w:abstractNumId w:val="89"/>
  </w:num>
  <w:num w:numId="26">
    <w:abstractNumId w:val="49"/>
  </w:num>
  <w:num w:numId="27">
    <w:abstractNumId w:val="41"/>
  </w:num>
  <w:num w:numId="28">
    <w:abstractNumId w:val="86"/>
  </w:num>
  <w:num w:numId="29">
    <w:abstractNumId w:val="9"/>
  </w:num>
  <w:num w:numId="30">
    <w:abstractNumId w:val="102"/>
  </w:num>
  <w:num w:numId="31">
    <w:abstractNumId w:val="53"/>
  </w:num>
  <w:num w:numId="32">
    <w:abstractNumId w:val="25"/>
  </w:num>
  <w:num w:numId="33">
    <w:abstractNumId w:val="101"/>
  </w:num>
  <w:num w:numId="34">
    <w:abstractNumId w:val="88"/>
  </w:num>
  <w:num w:numId="35">
    <w:abstractNumId w:val="78"/>
  </w:num>
  <w:num w:numId="36">
    <w:abstractNumId w:val="87"/>
  </w:num>
  <w:num w:numId="37">
    <w:abstractNumId w:val="61"/>
  </w:num>
  <w:num w:numId="38">
    <w:abstractNumId w:val="21"/>
  </w:num>
  <w:num w:numId="39">
    <w:abstractNumId w:val="39"/>
  </w:num>
  <w:num w:numId="40">
    <w:abstractNumId w:val="42"/>
  </w:num>
  <w:num w:numId="41">
    <w:abstractNumId w:val="33"/>
  </w:num>
  <w:num w:numId="42">
    <w:abstractNumId w:val="80"/>
  </w:num>
  <w:num w:numId="43">
    <w:abstractNumId w:val="11"/>
  </w:num>
  <w:num w:numId="44">
    <w:abstractNumId w:val="56"/>
  </w:num>
  <w:num w:numId="45">
    <w:abstractNumId w:val="44"/>
  </w:num>
  <w:num w:numId="46">
    <w:abstractNumId w:val="85"/>
  </w:num>
  <w:num w:numId="47">
    <w:abstractNumId w:val="48"/>
  </w:num>
  <w:num w:numId="48">
    <w:abstractNumId w:val="66"/>
  </w:num>
  <w:num w:numId="49">
    <w:abstractNumId w:val="57"/>
  </w:num>
  <w:num w:numId="50">
    <w:abstractNumId w:val="36"/>
  </w:num>
  <w:num w:numId="51">
    <w:abstractNumId w:val="74"/>
  </w:num>
  <w:num w:numId="52">
    <w:abstractNumId w:val="38"/>
  </w:num>
  <w:num w:numId="53">
    <w:abstractNumId w:val="46"/>
  </w:num>
  <w:num w:numId="54">
    <w:abstractNumId w:val="70"/>
  </w:num>
  <w:num w:numId="55">
    <w:abstractNumId w:val="72"/>
  </w:num>
  <w:num w:numId="56">
    <w:abstractNumId w:val="84"/>
  </w:num>
  <w:num w:numId="57">
    <w:abstractNumId w:val="14"/>
  </w:num>
  <w:num w:numId="58">
    <w:abstractNumId w:val="63"/>
  </w:num>
  <w:num w:numId="59">
    <w:abstractNumId w:val="82"/>
  </w:num>
  <w:num w:numId="60">
    <w:abstractNumId w:val="100"/>
  </w:num>
  <w:num w:numId="61">
    <w:abstractNumId w:val="59"/>
  </w:num>
  <w:num w:numId="62">
    <w:abstractNumId w:val="109"/>
  </w:num>
  <w:num w:numId="63">
    <w:abstractNumId w:val="76"/>
  </w:num>
  <w:num w:numId="64">
    <w:abstractNumId w:val="111"/>
  </w:num>
  <w:num w:numId="65">
    <w:abstractNumId w:val="3"/>
  </w:num>
  <w:num w:numId="66">
    <w:abstractNumId w:val="94"/>
  </w:num>
  <w:num w:numId="67">
    <w:abstractNumId w:val="16"/>
  </w:num>
  <w:num w:numId="68">
    <w:abstractNumId w:val="77"/>
  </w:num>
  <w:num w:numId="69">
    <w:abstractNumId w:val="28"/>
  </w:num>
  <w:num w:numId="70">
    <w:abstractNumId w:val="51"/>
  </w:num>
  <w:num w:numId="71">
    <w:abstractNumId w:val="22"/>
  </w:num>
  <w:num w:numId="72">
    <w:abstractNumId w:val="2"/>
  </w:num>
  <w:num w:numId="73">
    <w:abstractNumId w:val="18"/>
  </w:num>
  <w:num w:numId="74">
    <w:abstractNumId w:val="79"/>
  </w:num>
  <w:num w:numId="75">
    <w:abstractNumId w:val="73"/>
  </w:num>
  <w:num w:numId="76">
    <w:abstractNumId w:val="40"/>
  </w:num>
  <w:num w:numId="7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3"/>
  </w:num>
  <w:num w:numId="79">
    <w:abstractNumId w:val="104"/>
  </w:num>
  <w:num w:numId="80">
    <w:abstractNumId w:val="97"/>
  </w:num>
  <w:num w:numId="81">
    <w:abstractNumId w:val="19"/>
  </w:num>
  <w:num w:numId="82">
    <w:abstractNumId w:val="32"/>
  </w:num>
  <w:num w:numId="83">
    <w:abstractNumId w:val="107"/>
  </w:num>
  <w:num w:numId="84">
    <w:abstractNumId w:val="60"/>
  </w:num>
  <w:num w:numId="85">
    <w:abstractNumId w:val="10"/>
  </w:num>
  <w:num w:numId="86">
    <w:abstractNumId w:val="93"/>
  </w:num>
  <w:num w:numId="87">
    <w:abstractNumId w:val="4"/>
  </w:num>
  <w:num w:numId="88">
    <w:abstractNumId w:val="30"/>
  </w:num>
  <w:num w:numId="89">
    <w:abstractNumId w:val="8"/>
  </w:num>
  <w:num w:numId="90">
    <w:abstractNumId w:val="71"/>
  </w:num>
  <w:num w:numId="91">
    <w:abstractNumId w:val="106"/>
  </w:num>
  <w:num w:numId="92">
    <w:abstractNumId w:val="95"/>
  </w:num>
  <w:num w:numId="93">
    <w:abstractNumId w:val="91"/>
  </w:num>
  <w:num w:numId="94">
    <w:abstractNumId w:val="65"/>
  </w:num>
  <w:num w:numId="95">
    <w:abstractNumId w:val="47"/>
  </w:num>
  <w:num w:numId="96">
    <w:abstractNumId w:val="110"/>
  </w:num>
  <w:num w:numId="97">
    <w:abstractNumId w:val="29"/>
  </w:num>
  <w:num w:numId="98">
    <w:abstractNumId w:val="81"/>
  </w:num>
  <w:num w:numId="99">
    <w:abstractNumId w:val="34"/>
  </w:num>
  <w:num w:numId="100">
    <w:abstractNumId w:val="55"/>
  </w:num>
  <w:num w:numId="101">
    <w:abstractNumId w:val="0"/>
  </w:num>
  <w:num w:numId="102">
    <w:abstractNumId w:val="58"/>
  </w:num>
  <w:num w:numId="103">
    <w:abstractNumId w:val="1"/>
  </w:num>
  <w:num w:numId="104">
    <w:abstractNumId w:val="27"/>
  </w:num>
  <w:num w:numId="105">
    <w:abstractNumId w:val="17"/>
  </w:num>
  <w:num w:numId="106">
    <w:abstractNumId w:val="7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31"/>
  </w:num>
  <w:num w:numId="108">
    <w:abstractNumId w:val="83"/>
  </w:num>
  <w:num w:numId="109">
    <w:abstractNumId w:val="54"/>
  </w:num>
  <w:num w:numId="110">
    <w:abstractNumId w:val="103"/>
  </w:num>
  <w:num w:numId="111">
    <w:abstractNumId w:val="5"/>
  </w:num>
  <w:num w:numId="112">
    <w:abstractNumId w:val="20"/>
  </w:num>
  <w:num w:numId="113">
    <w:abstractNumId w:val="62"/>
  </w:num>
  <w:num w:numId="114">
    <w:abstractNumId w:val="9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E12"/>
    <w:rsid w:val="00000341"/>
    <w:rsid w:val="00000391"/>
    <w:rsid w:val="00001A99"/>
    <w:rsid w:val="00002008"/>
    <w:rsid w:val="00002150"/>
    <w:rsid w:val="000022FE"/>
    <w:rsid w:val="00002F3D"/>
    <w:rsid w:val="00003832"/>
    <w:rsid w:val="00003F53"/>
    <w:rsid w:val="0000453F"/>
    <w:rsid w:val="000047F0"/>
    <w:rsid w:val="00004922"/>
    <w:rsid w:val="0000494A"/>
    <w:rsid w:val="00004993"/>
    <w:rsid w:val="00004A28"/>
    <w:rsid w:val="00004A32"/>
    <w:rsid w:val="00004B02"/>
    <w:rsid w:val="00005182"/>
    <w:rsid w:val="0000619A"/>
    <w:rsid w:val="00006856"/>
    <w:rsid w:val="000070CA"/>
    <w:rsid w:val="00007412"/>
    <w:rsid w:val="00007C70"/>
    <w:rsid w:val="00011A18"/>
    <w:rsid w:val="00012258"/>
    <w:rsid w:val="000124E9"/>
    <w:rsid w:val="0001444F"/>
    <w:rsid w:val="00014B3E"/>
    <w:rsid w:val="00014DD4"/>
    <w:rsid w:val="00015F82"/>
    <w:rsid w:val="00016477"/>
    <w:rsid w:val="00016485"/>
    <w:rsid w:val="00016B02"/>
    <w:rsid w:val="000174A7"/>
    <w:rsid w:val="00017765"/>
    <w:rsid w:val="0002020F"/>
    <w:rsid w:val="0002128B"/>
    <w:rsid w:val="000212EF"/>
    <w:rsid w:val="00023897"/>
    <w:rsid w:val="00025C05"/>
    <w:rsid w:val="00026913"/>
    <w:rsid w:val="00026C50"/>
    <w:rsid w:val="00027B07"/>
    <w:rsid w:val="00027C1B"/>
    <w:rsid w:val="00027E81"/>
    <w:rsid w:val="00030298"/>
    <w:rsid w:val="00030405"/>
    <w:rsid w:val="00030891"/>
    <w:rsid w:val="0003091C"/>
    <w:rsid w:val="00030CF8"/>
    <w:rsid w:val="000314B5"/>
    <w:rsid w:val="00031606"/>
    <w:rsid w:val="00032B85"/>
    <w:rsid w:val="00032C2D"/>
    <w:rsid w:val="00033909"/>
    <w:rsid w:val="00034304"/>
    <w:rsid w:val="000344EE"/>
    <w:rsid w:val="000347E9"/>
    <w:rsid w:val="000354EB"/>
    <w:rsid w:val="00035E2A"/>
    <w:rsid w:val="000362B1"/>
    <w:rsid w:val="00037258"/>
    <w:rsid w:val="00037CF4"/>
    <w:rsid w:val="00037EE4"/>
    <w:rsid w:val="00037F5B"/>
    <w:rsid w:val="00040C57"/>
    <w:rsid w:val="00040D7B"/>
    <w:rsid w:val="000414FE"/>
    <w:rsid w:val="00041C37"/>
    <w:rsid w:val="0004249C"/>
    <w:rsid w:val="0004293B"/>
    <w:rsid w:val="00042BE6"/>
    <w:rsid w:val="00042C00"/>
    <w:rsid w:val="00042E1B"/>
    <w:rsid w:val="00042E69"/>
    <w:rsid w:val="00042ECC"/>
    <w:rsid w:val="00042F70"/>
    <w:rsid w:val="000435A3"/>
    <w:rsid w:val="00044B6F"/>
    <w:rsid w:val="00044F46"/>
    <w:rsid w:val="0004544E"/>
    <w:rsid w:val="00045BFC"/>
    <w:rsid w:val="00046516"/>
    <w:rsid w:val="0004655E"/>
    <w:rsid w:val="00046FF3"/>
    <w:rsid w:val="00047167"/>
    <w:rsid w:val="000474E2"/>
    <w:rsid w:val="000475C6"/>
    <w:rsid w:val="000502E5"/>
    <w:rsid w:val="00050F7F"/>
    <w:rsid w:val="00051B2D"/>
    <w:rsid w:val="00052DAA"/>
    <w:rsid w:val="00053057"/>
    <w:rsid w:val="000531FD"/>
    <w:rsid w:val="000536B6"/>
    <w:rsid w:val="000536C5"/>
    <w:rsid w:val="0005403F"/>
    <w:rsid w:val="000541F9"/>
    <w:rsid w:val="000548C3"/>
    <w:rsid w:val="00054FA0"/>
    <w:rsid w:val="00054FDC"/>
    <w:rsid w:val="00055583"/>
    <w:rsid w:val="000559B8"/>
    <w:rsid w:val="00056582"/>
    <w:rsid w:val="00057208"/>
    <w:rsid w:val="0005786B"/>
    <w:rsid w:val="00057CE5"/>
    <w:rsid w:val="00057FC5"/>
    <w:rsid w:val="000603B9"/>
    <w:rsid w:val="0006043D"/>
    <w:rsid w:val="00060813"/>
    <w:rsid w:val="00060F3F"/>
    <w:rsid w:val="0006139A"/>
    <w:rsid w:val="000621C7"/>
    <w:rsid w:val="00062252"/>
    <w:rsid w:val="000637E9"/>
    <w:rsid w:val="00064B13"/>
    <w:rsid w:val="00065128"/>
    <w:rsid w:val="00065F78"/>
    <w:rsid w:val="000662EE"/>
    <w:rsid w:val="00066510"/>
    <w:rsid w:val="00067145"/>
    <w:rsid w:val="000672E4"/>
    <w:rsid w:val="00067457"/>
    <w:rsid w:val="00070080"/>
    <w:rsid w:val="00070662"/>
    <w:rsid w:val="000711D6"/>
    <w:rsid w:val="00071767"/>
    <w:rsid w:val="00073BE7"/>
    <w:rsid w:val="00073F9C"/>
    <w:rsid w:val="000751FA"/>
    <w:rsid w:val="0007528B"/>
    <w:rsid w:val="00075396"/>
    <w:rsid w:val="00076032"/>
    <w:rsid w:val="0007748D"/>
    <w:rsid w:val="00077C4F"/>
    <w:rsid w:val="00077DAF"/>
    <w:rsid w:val="00077F50"/>
    <w:rsid w:val="000800A1"/>
    <w:rsid w:val="00080A23"/>
    <w:rsid w:val="00080A49"/>
    <w:rsid w:val="00080B10"/>
    <w:rsid w:val="00080D4C"/>
    <w:rsid w:val="000813CB"/>
    <w:rsid w:val="000815A3"/>
    <w:rsid w:val="00081BC9"/>
    <w:rsid w:val="00081E8B"/>
    <w:rsid w:val="000821B7"/>
    <w:rsid w:val="0008246D"/>
    <w:rsid w:val="0008287B"/>
    <w:rsid w:val="0008368C"/>
    <w:rsid w:val="000837F7"/>
    <w:rsid w:val="00083BD4"/>
    <w:rsid w:val="00084832"/>
    <w:rsid w:val="000849DE"/>
    <w:rsid w:val="00084D44"/>
    <w:rsid w:val="00084ED9"/>
    <w:rsid w:val="00086174"/>
    <w:rsid w:val="00086D9B"/>
    <w:rsid w:val="00087D54"/>
    <w:rsid w:val="0009045A"/>
    <w:rsid w:val="000913D2"/>
    <w:rsid w:val="0009195B"/>
    <w:rsid w:val="00091C6C"/>
    <w:rsid w:val="0009250D"/>
    <w:rsid w:val="00093809"/>
    <w:rsid w:val="00093960"/>
    <w:rsid w:val="00093BA6"/>
    <w:rsid w:val="00093E30"/>
    <w:rsid w:val="00094C97"/>
    <w:rsid w:val="00095516"/>
    <w:rsid w:val="00095659"/>
    <w:rsid w:val="00095B95"/>
    <w:rsid w:val="00095F44"/>
    <w:rsid w:val="000964CD"/>
    <w:rsid w:val="00097460"/>
    <w:rsid w:val="00097C15"/>
    <w:rsid w:val="000A0911"/>
    <w:rsid w:val="000A09E3"/>
    <w:rsid w:val="000A16F4"/>
    <w:rsid w:val="000A1C76"/>
    <w:rsid w:val="000A2B0D"/>
    <w:rsid w:val="000A2ED9"/>
    <w:rsid w:val="000A3781"/>
    <w:rsid w:val="000A4A11"/>
    <w:rsid w:val="000A51A1"/>
    <w:rsid w:val="000A582C"/>
    <w:rsid w:val="000A5871"/>
    <w:rsid w:val="000A5914"/>
    <w:rsid w:val="000A5D4F"/>
    <w:rsid w:val="000A5E40"/>
    <w:rsid w:val="000A5EC0"/>
    <w:rsid w:val="000A618E"/>
    <w:rsid w:val="000A6F46"/>
    <w:rsid w:val="000A726C"/>
    <w:rsid w:val="000A7293"/>
    <w:rsid w:val="000A740C"/>
    <w:rsid w:val="000A746E"/>
    <w:rsid w:val="000B0DB8"/>
    <w:rsid w:val="000B132E"/>
    <w:rsid w:val="000B17F7"/>
    <w:rsid w:val="000B187E"/>
    <w:rsid w:val="000B1BEA"/>
    <w:rsid w:val="000B1EC6"/>
    <w:rsid w:val="000B207D"/>
    <w:rsid w:val="000B251C"/>
    <w:rsid w:val="000B3A57"/>
    <w:rsid w:val="000B3BF7"/>
    <w:rsid w:val="000B427C"/>
    <w:rsid w:val="000B430A"/>
    <w:rsid w:val="000B4722"/>
    <w:rsid w:val="000B4F84"/>
    <w:rsid w:val="000B521C"/>
    <w:rsid w:val="000B5433"/>
    <w:rsid w:val="000B5BF4"/>
    <w:rsid w:val="000B6211"/>
    <w:rsid w:val="000B7899"/>
    <w:rsid w:val="000C0185"/>
    <w:rsid w:val="000C11A3"/>
    <w:rsid w:val="000C1F4E"/>
    <w:rsid w:val="000C24D7"/>
    <w:rsid w:val="000C28C9"/>
    <w:rsid w:val="000C3123"/>
    <w:rsid w:val="000C3175"/>
    <w:rsid w:val="000C3828"/>
    <w:rsid w:val="000C38B4"/>
    <w:rsid w:val="000C396D"/>
    <w:rsid w:val="000C4049"/>
    <w:rsid w:val="000C4186"/>
    <w:rsid w:val="000C43E7"/>
    <w:rsid w:val="000C5BE8"/>
    <w:rsid w:val="000C6B1C"/>
    <w:rsid w:val="000C7BC9"/>
    <w:rsid w:val="000C7C48"/>
    <w:rsid w:val="000C7FCD"/>
    <w:rsid w:val="000D0017"/>
    <w:rsid w:val="000D0D5E"/>
    <w:rsid w:val="000D0F35"/>
    <w:rsid w:val="000D11B1"/>
    <w:rsid w:val="000D1343"/>
    <w:rsid w:val="000D1DEB"/>
    <w:rsid w:val="000D26FA"/>
    <w:rsid w:val="000D3643"/>
    <w:rsid w:val="000D3C60"/>
    <w:rsid w:val="000D4F08"/>
    <w:rsid w:val="000D57F0"/>
    <w:rsid w:val="000D5B7B"/>
    <w:rsid w:val="000D610F"/>
    <w:rsid w:val="000D6126"/>
    <w:rsid w:val="000D6192"/>
    <w:rsid w:val="000D639E"/>
    <w:rsid w:val="000D6446"/>
    <w:rsid w:val="000D64DB"/>
    <w:rsid w:val="000D6D84"/>
    <w:rsid w:val="000D74DC"/>
    <w:rsid w:val="000D77EE"/>
    <w:rsid w:val="000D7B8D"/>
    <w:rsid w:val="000E09C0"/>
    <w:rsid w:val="000E1170"/>
    <w:rsid w:val="000E1405"/>
    <w:rsid w:val="000E1599"/>
    <w:rsid w:val="000E1F24"/>
    <w:rsid w:val="000E22F1"/>
    <w:rsid w:val="000E3194"/>
    <w:rsid w:val="000E3691"/>
    <w:rsid w:val="000E3A00"/>
    <w:rsid w:val="000E3F6C"/>
    <w:rsid w:val="000E40E7"/>
    <w:rsid w:val="000E4BD2"/>
    <w:rsid w:val="000E4E34"/>
    <w:rsid w:val="000E55B2"/>
    <w:rsid w:val="000E623D"/>
    <w:rsid w:val="000E6915"/>
    <w:rsid w:val="000E6D87"/>
    <w:rsid w:val="000E7423"/>
    <w:rsid w:val="000E7DE2"/>
    <w:rsid w:val="000E7DE9"/>
    <w:rsid w:val="000F0023"/>
    <w:rsid w:val="000F096B"/>
    <w:rsid w:val="000F0FF3"/>
    <w:rsid w:val="000F1045"/>
    <w:rsid w:val="000F1210"/>
    <w:rsid w:val="000F203E"/>
    <w:rsid w:val="000F2623"/>
    <w:rsid w:val="000F2FAE"/>
    <w:rsid w:val="000F3121"/>
    <w:rsid w:val="000F38C7"/>
    <w:rsid w:val="000F506B"/>
    <w:rsid w:val="000F509F"/>
    <w:rsid w:val="000F58CD"/>
    <w:rsid w:val="000F5F88"/>
    <w:rsid w:val="000F64B5"/>
    <w:rsid w:val="000F66E5"/>
    <w:rsid w:val="000F6780"/>
    <w:rsid w:val="000F6A6A"/>
    <w:rsid w:val="000F6CE2"/>
    <w:rsid w:val="000F6EBE"/>
    <w:rsid w:val="000F7701"/>
    <w:rsid w:val="000F793E"/>
    <w:rsid w:val="000F7CF8"/>
    <w:rsid w:val="000F7EDB"/>
    <w:rsid w:val="00101558"/>
    <w:rsid w:val="00101AE1"/>
    <w:rsid w:val="001024DC"/>
    <w:rsid w:val="0010317E"/>
    <w:rsid w:val="001037A9"/>
    <w:rsid w:val="00104611"/>
    <w:rsid w:val="00104805"/>
    <w:rsid w:val="00104836"/>
    <w:rsid w:val="00104BAD"/>
    <w:rsid w:val="00105025"/>
    <w:rsid w:val="00105E65"/>
    <w:rsid w:val="001061EB"/>
    <w:rsid w:val="00106390"/>
    <w:rsid w:val="00106817"/>
    <w:rsid w:val="00106A96"/>
    <w:rsid w:val="00106ECF"/>
    <w:rsid w:val="00107552"/>
    <w:rsid w:val="00110699"/>
    <w:rsid w:val="00110D86"/>
    <w:rsid w:val="00111160"/>
    <w:rsid w:val="00111177"/>
    <w:rsid w:val="00111C4E"/>
    <w:rsid w:val="00111FD2"/>
    <w:rsid w:val="00112573"/>
    <w:rsid w:val="00113407"/>
    <w:rsid w:val="00113656"/>
    <w:rsid w:val="001139C2"/>
    <w:rsid w:val="00113CF7"/>
    <w:rsid w:val="00114B3F"/>
    <w:rsid w:val="00114BB8"/>
    <w:rsid w:val="00114F49"/>
    <w:rsid w:val="00115484"/>
    <w:rsid w:val="00116F6B"/>
    <w:rsid w:val="00117941"/>
    <w:rsid w:val="00117B33"/>
    <w:rsid w:val="00117CA1"/>
    <w:rsid w:val="00117EDD"/>
    <w:rsid w:val="001206BE"/>
    <w:rsid w:val="0012073A"/>
    <w:rsid w:val="001214F3"/>
    <w:rsid w:val="00121AE3"/>
    <w:rsid w:val="0012241D"/>
    <w:rsid w:val="00122623"/>
    <w:rsid w:val="0012286F"/>
    <w:rsid w:val="00122C26"/>
    <w:rsid w:val="00123182"/>
    <w:rsid w:val="00123A09"/>
    <w:rsid w:val="0012466B"/>
    <w:rsid w:val="0012474C"/>
    <w:rsid w:val="00124906"/>
    <w:rsid w:val="00124E8B"/>
    <w:rsid w:val="00124FCF"/>
    <w:rsid w:val="00125C5B"/>
    <w:rsid w:val="00125D0B"/>
    <w:rsid w:val="00126914"/>
    <w:rsid w:val="00126D01"/>
    <w:rsid w:val="00127097"/>
    <w:rsid w:val="0012754C"/>
    <w:rsid w:val="001277CF"/>
    <w:rsid w:val="00127D71"/>
    <w:rsid w:val="001304B7"/>
    <w:rsid w:val="00130B20"/>
    <w:rsid w:val="0013120D"/>
    <w:rsid w:val="00131340"/>
    <w:rsid w:val="00131D43"/>
    <w:rsid w:val="00132586"/>
    <w:rsid w:val="0013294F"/>
    <w:rsid w:val="00132BA9"/>
    <w:rsid w:val="00132F21"/>
    <w:rsid w:val="0013313C"/>
    <w:rsid w:val="001333BD"/>
    <w:rsid w:val="001350F5"/>
    <w:rsid w:val="00135773"/>
    <w:rsid w:val="00135873"/>
    <w:rsid w:val="00135930"/>
    <w:rsid w:val="0013603C"/>
    <w:rsid w:val="0013622D"/>
    <w:rsid w:val="001364D1"/>
    <w:rsid w:val="00136829"/>
    <w:rsid w:val="00136D7C"/>
    <w:rsid w:val="001371CB"/>
    <w:rsid w:val="001373FF"/>
    <w:rsid w:val="0014039C"/>
    <w:rsid w:val="00140613"/>
    <w:rsid w:val="0014257B"/>
    <w:rsid w:val="00142F25"/>
    <w:rsid w:val="00143988"/>
    <w:rsid w:val="00143F8B"/>
    <w:rsid w:val="0014409A"/>
    <w:rsid w:val="001448CD"/>
    <w:rsid w:val="00144F6A"/>
    <w:rsid w:val="00145121"/>
    <w:rsid w:val="00145920"/>
    <w:rsid w:val="001463B6"/>
    <w:rsid w:val="001464F3"/>
    <w:rsid w:val="00146A94"/>
    <w:rsid w:val="00146DF3"/>
    <w:rsid w:val="001476FB"/>
    <w:rsid w:val="00147A8C"/>
    <w:rsid w:val="00147D51"/>
    <w:rsid w:val="00147F83"/>
    <w:rsid w:val="001507FC"/>
    <w:rsid w:val="001512A6"/>
    <w:rsid w:val="00151D88"/>
    <w:rsid w:val="0015269A"/>
    <w:rsid w:val="001529C0"/>
    <w:rsid w:val="00152CCE"/>
    <w:rsid w:val="00153848"/>
    <w:rsid w:val="0015394B"/>
    <w:rsid w:val="00153B94"/>
    <w:rsid w:val="0015498E"/>
    <w:rsid w:val="00154CB0"/>
    <w:rsid w:val="00154EE7"/>
    <w:rsid w:val="00155A65"/>
    <w:rsid w:val="00155D5D"/>
    <w:rsid w:val="00155F40"/>
    <w:rsid w:val="001561B6"/>
    <w:rsid w:val="00157454"/>
    <w:rsid w:val="00157654"/>
    <w:rsid w:val="0015791E"/>
    <w:rsid w:val="001619B8"/>
    <w:rsid w:val="00161EB1"/>
    <w:rsid w:val="0016223F"/>
    <w:rsid w:val="00162284"/>
    <w:rsid w:val="0016232A"/>
    <w:rsid w:val="0016245E"/>
    <w:rsid w:val="00162A56"/>
    <w:rsid w:val="00162A6D"/>
    <w:rsid w:val="00162EE9"/>
    <w:rsid w:val="001636A0"/>
    <w:rsid w:val="00163AB0"/>
    <w:rsid w:val="00163E0D"/>
    <w:rsid w:val="00163E98"/>
    <w:rsid w:val="001641E8"/>
    <w:rsid w:val="001646F5"/>
    <w:rsid w:val="00164AEC"/>
    <w:rsid w:val="00165709"/>
    <w:rsid w:val="001658C2"/>
    <w:rsid w:val="001659A7"/>
    <w:rsid w:val="00165F7A"/>
    <w:rsid w:val="001663A1"/>
    <w:rsid w:val="00166414"/>
    <w:rsid w:val="00166A77"/>
    <w:rsid w:val="00166F12"/>
    <w:rsid w:val="00167458"/>
    <w:rsid w:val="00167AF4"/>
    <w:rsid w:val="00170701"/>
    <w:rsid w:val="00171473"/>
    <w:rsid w:val="00171848"/>
    <w:rsid w:val="001719F6"/>
    <w:rsid w:val="00171B40"/>
    <w:rsid w:val="001729BA"/>
    <w:rsid w:val="001729DD"/>
    <w:rsid w:val="001731E2"/>
    <w:rsid w:val="001732DC"/>
    <w:rsid w:val="001733D1"/>
    <w:rsid w:val="001738C5"/>
    <w:rsid w:val="00173D25"/>
    <w:rsid w:val="00173D9B"/>
    <w:rsid w:val="001751A6"/>
    <w:rsid w:val="001753EE"/>
    <w:rsid w:val="001756F2"/>
    <w:rsid w:val="00176190"/>
    <w:rsid w:val="00176318"/>
    <w:rsid w:val="00176A40"/>
    <w:rsid w:val="00176B28"/>
    <w:rsid w:val="001776A7"/>
    <w:rsid w:val="00177CB1"/>
    <w:rsid w:val="00177D3F"/>
    <w:rsid w:val="00180662"/>
    <w:rsid w:val="00181E5D"/>
    <w:rsid w:val="0018261C"/>
    <w:rsid w:val="00182AB0"/>
    <w:rsid w:val="00182DBB"/>
    <w:rsid w:val="00182E89"/>
    <w:rsid w:val="0018318B"/>
    <w:rsid w:val="00184EDC"/>
    <w:rsid w:val="00185B1F"/>
    <w:rsid w:val="00185EAA"/>
    <w:rsid w:val="001860AF"/>
    <w:rsid w:val="00186306"/>
    <w:rsid w:val="001866A8"/>
    <w:rsid w:val="0018670A"/>
    <w:rsid w:val="00190190"/>
    <w:rsid w:val="001903CE"/>
    <w:rsid w:val="001905A7"/>
    <w:rsid w:val="00190AAB"/>
    <w:rsid w:val="00190CD4"/>
    <w:rsid w:val="0019107E"/>
    <w:rsid w:val="0019143B"/>
    <w:rsid w:val="001920B6"/>
    <w:rsid w:val="0019215D"/>
    <w:rsid w:val="00193501"/>
    <w:rsid w:val="00193D1F"/>
    <w:rsid w:val="00194565"/>
    <w:rsid w:val="0019485A"/>
    <w:rsid w:val="001949D5"/>
    <w:rsid w:val="00195E0C"/>
    <w:rsid w:val="00196297"/>
    <w:rsid w:val="00196F9D"/>
    <w:rsid w:val="00197006"/>
    <w:rsid w:val="001973BE"/>
    <w:rsid w:val="00197AAD"/>
    <w:rsid w:val="001A0093"/>
    <w:rsid w:val="001A1572"/>
    <w:rsid w:val="001A1637"/>
    <w:rsid w:val="001A19F1"/>
    <w:rsid w:val="001A217E"/>
    <w:rsid w:val="001A2217"/>
    <w:rsid w:val="001A24E2"/>
    <w:rsid w:val="001A28E9"/>
    <w:rsid w:val="001A2FBB"/>
    <w:rsid w:val="001A3342"/>
    <w:rsid w:val="001A3F17"/>
    <w:rsid w:val="001A3F22"/>
    <w:rsid w:val="001A3F3D"/>
    <w:rsid w:val="001A411E"/>
    <w:rsid w:val="001A4524"/>
    <w:rsid w:val="001A471A"/>
    <w:rsid w:val="001A4857"/>
    <w:rsid w:val="001A54F5"/>
    <w:rsid w:val="001A5A41"/>
    <w:rsid w:val="001A625C"/>
    <w:rsid w:val="001A6569"/>
    <w:rsid w:val="001A77B8"/>
    <w:rsid w:val="001A7948"/>
    <w:rsid w:val="001A797E"/>
    <w:rsid w:val="001B05D5"/>
    <w:rsid w:val="001B06B1"/>
    <w:rsid w:val="001B14B4"/>
    <w:rsid w:val="001B14E3"/>
    <w:rsid w:val="001B177D"/>
    <w:rsid w:val="001B44B3"/>
    <w:rsid w:val="001B593C"/>
    <w:rsid w:val="001B623A"/>
    <w:rsid w:val="001B6CB4"/>
    <w:rsid w:val="001B725B"/>
    <w:rsid w:val="001B7607"/>
    <w:rsid w:val="001B7B6B"/>
    <w:rsid w:val="001B7B93"/>
    <w:rsid w:val="001B7D7A"/>
    <w:rsid w:val="001C0375"/>
    <w:rsid w:val="001C0759"/>
    <w:rsid w:val="001C0CF0"/>
    <w:rsid w:val="001C0F5F"/>
    <w:rsid w:val="001C1109"/>
    <w:rsid w:val="001C1BB1"/>
    <w:rsid w:val="001C2D78"/>
    <w:rsid w:val="001C327A"/>
    <w:rsid w:val="001C346B"/>
    <w:rsid w:val="001C3A7B"/>
    <w:rsid w:val="001C3E01"/>
    <w:rsid w:val="001C3E98"/>
    <w:rsid w:val="001C413F"/>
    <w:rsid w:val="001C4145"/>
    <w:rsid w:val="001C4481"/>
    <w:rsid w:val="001C46D3"/>
    <w:rsid w:val="001C4B5C"/>
    <w:rsid w:val="001C5306"/>
    <w:rsid w:val="001C552C"/>
    <w:rsid w:val="001C59C4"/>
    <w:rsid w:val="001C59F6"/>
    <w:rsid w:val="001C698E"/>
    <w:rsid w:val="001C6EFB"/>
    <w:rsid w:val="001C7579"/>
    <w:rsid w:val="001D0FD6"/>
    <w:rsid w:val="001D1034"/>
    <w:rsid w:val="001D1BBA"/>
    <w:rsid w:val="001D276D"/>
    <w:rsid w:val="001D2B0E"/>
    <w:rsid w:val="001D2B36"/>
    <w:rsid w:val="001D317C"/>
    <w:rsid w:val="001D3D7F"/>
    <w:rsid w:val="001D3F7B"/>
    <w:rsid w:val="001D3FFC"/>
    <w:rsid w:val="001D4E26"/>
    <w:rsid w:val="001D5B2B"/>
    <w:rsid w:val="001D5D74"/>
    <w:rsid w:val="001D5E96"/>
    <w:rsid w:val="001D600E"/>
    <w:rsid w:val="001D63CA"/>
    <w:rsid w:val="001D6685"/>
    <w:rsid w:val="001D6C35"/>
    <w:rsid w:val="001D74D5"/>
    <w:rsid w:val="001D7812"/>
    <w:rsid w:val="001D7B28"/>
    <w:rsid w:val="001D7B9A"/>
    <w:rsid w:val="001E083E"/>
    <w:rsid w:val="001E0882"/>
    <w:rsid w:val="001E1023"/>
    <w:rsid w:val="001E17EE"/>
    <w:rsid w:val="001E1A45"/>
    <w:rsid w:val="001E1BAA"/>
    <w:rsid w:val="001E2057"/>
    <w:rsid w:val="001E238E"/>
    <w:rsid w:val="001E33E8"/>
    <w:rsid w:val="001E428E"/>
    <w:rsid w:val="001E431D"/>
    <w:rsid w:val="001E588F"/>
    <w:rsid w:val="001E5DAD"/>
    <w:rsid w:val="001E6085"/>
    <w:rsid w:val="001E64CB"/>
    <w:rsid w:val="001E6EBC"/>
    <w:rsid w:val="001E7DAA"/>
    <w:rsid w:val="001F0303"/>
    <w:rsid w:val="001F0D6E"/>
    <w:rsid w:val="001F1BB5"/>
    <w:rsid w:val="001F2B59"/>
    <w:rsid w:val="001F2F55"/>
    <w:rsid w:val="001F39B0"/>
    <w:rsid w:val="001F3B22"/>
    <w:rsid w:val="001F4F67"/>
    <w:rsid w:val="001F5055"/>
    <w:rsid w:val="001F51D4"/>
    <w:rsid w:val="001F51E4"/>
    <w:rsid w:val="001F5567"/>
    <w:rsid w:val="001F619C"/>
    <w:rsid w:val="001F65EE"/>
    <w:rsid w:val="001F6AF6"/>
    <w:rsid w:val="001F6E20"/>
    <w:rsid w:val="001F715B"/>
    <w:rsid w:val="00201B46"/>
    <w:rsid w:val="00201C30"/>
    <w:rsid w:val="00202C56"/>
    <w:rsid w:val="00202DAC"/>
    <w:rsid w:val="00205176"/>
    <w:rsid w:val="002055F7"/>
    <w:rsid w:val="00205839"/>
    <w:rsid w:val="00205D43"/>
    <w:rsid w:val="0020694D"/>
    <w:rsid w:val="00210253"/>
    <w:rsid w:val="00211BF7"/>
    <w:rsid w:val="002120D4"/>
    <w:rsid w:val="002131D5"/>
    <w:rsid w:val="00213A79"/>
    <w:rsid w:val="00215897"/>
    <w:rsid w:val="00215DE5"/>
    <w:rsid w:val="00215F6E"/>
    <w:rsid w:val="0021613C"/>
    <w:rsid w:val="0021619E"/>
    <w:rsid w:val="00220762"/>
    <w:rsid w:val="00221D81"/>
    <w:rsid w:val="00223BA5"/>
    <w:rsid w:val="00224166"/>
    <w:rsid w:val="00224239"/>
    <w:rsid w:val="0022432C"/>
    <w:rsid w:val="00224749"/>
    <w:rsid w:val="00224D2E"/>
    <w:rsid w:val="0022516A"/>
    <w:rsid w:val="00226D11"/>
    <w:rsid w:val="00226F9B"/>
    <w:rsid w:val="0022745B"/>
    <w:rsid w:val="00227922"/>
    <w:rsid w:val="0023044B"/>
    <w:rsid w:val="00230934"/>
    <w:rsid w:val="00230B1D"/>
    <w:rsid w:val="00230C74"/>
    <w:rsid w:val="0023122F"/>
    <w:rsid w:val="0023143E"/>
    <w:rsid w:val="002317CC"/>
    <w:rsid w:val="00232718"/>
    <w:rsid w:val="00232EFE"/>
    <w:rsid w:val="00232F5C"/>
    <w:rsid w:val="002335F4"/>
    <w:rsid w:val="0023385D"/>
    <w:rsid w:val="00234956"/>
    <w:rsid w:val="00234CFA"/>
    <w:rsid w:val="00234D61"/>
    <w:rsid w:val="00235BA8"/>
    <w:rsid w:val="00235E88"/>
    <w:rsid w:val="0023623E"/>
    <w:rsid w:val="002365C5"/>
    <w:rsid w:val="002369E2"/>
    <w:rsid w:val="00236A0D"/>
    <w:rsid w:val="00236A74"/>
    <w:rsid w:val="00237AC5"/>
    <w:rsid w:val="00237BE7"/>
    <w:rsid w:val="00237DCC"/>
    <w:rsid w:val="00237FBD"/>
    <w:rsid w:val="0024073B"/>
    <w:rsid w:val="002409F3"/>
    <w:rsid w:val="00240EE3"/>
    <w:rsid w:val="00241014"/>
    <w:rsid w:val="002412D4"/>
    <w:rsid w:val="00242A8F"/>
    <w:rsid w:val="00242BB1"/>
    <w:rsid w:val="00242CD9"/>
    <w:rsid w:val="00244775"/>
    <w:rsid w:val="00244FF6"/>
    <w:rsid w:val="00245558"/>
    <w:rsid w:val="00245579"/>
    <w:rsid w:val="002456A1"/>
    <w:rsid w:val="00245BCA"/>
    <w:rsid w:val="00245E27"/>
    <w:rsid w:val="00246B4C"/>
    <w:rsid w:val="00246CF5"/>
    <w:rsid w:val="00247706"/>
    <w:rsid w:val="0025071C"/>
    <w:rsid w:val="00251661"/>
    <w:rsid w:val="002516FA"/>
    <w:rsid w:val="00252C4B"/>
    <w:rsid w:val="00252ECE"/>
    <w:rsid w:val="002530E4"/>
    <w:rsid w:val="0025391C"/>
    <w:rsid w:val="0025461C"/>
    <w:rsid w:val="0025512A"/>
    <w:rsid w:val="00255B4A"/>
    <w:rsid w:val="00255E03"/>
    <w:rsid w:val="00255F5D"/>
    <w:rsid w:val="00256C0B"/>
    <w:rsid w:val="0025704F"/>
    <w:rsid w:val="00257576"/>
    <w:rsid w:val="0025795D"/>
    <w:rsid w:val="0026053C"/>
    <w:rsid w:val="00260A78"/>
    <w:rsid w:val="002615A1"/>
    <w:rsid w:val="00261C67"/>
    <w:rsid w:val="00262631"/>
    <w:rsid w:val="002639B1"/>
    <w:rsid w:val="002639F5"/>
    <w:rsid w:val="00263F2A"/>
    <w:rsid w:val="00264358"/>
    <w:rsid w:val="00264C3C"/>
    <w:rsid w:val="00264F1B"/>
    <w:rsid w:val="0026542A"/>
    <w:rsid w:val="00265EBB"/>
    <w:rsid w:val="00266179"/>
    <w:rsid w:val="0026648A"/>
    <w:rsid w:val="0026667A"/>
    <w:rsid w:val="00266950"/>
    <w:rsid w:val="00267046"/>
    <w:rsid w:val="00267374"/>
    <w:rsid w:val="00267C56"/>
    <w:rsid w:val="00267CC6"/>
    <w:rsid w:val="00270D3D"/>
    <w:rsid w:val="00270DE3"/>
    <w:rsid w:val="002718A9"/>
    <w:rsid w:val="00271F96"/>
    <w:rsid w:val="002721CD"/>
    <w:rsid w:val="00272B52"/>
    <w:rsid w:val="00272B53"/>
    <w:rsid w:val="002735DD"/>
    <w:rsid w:val="00273829"/>
    <w:rsid w:val="00273838"/>
    <w:rsid w:val="00273DC2"/>
    <w:rsid w:val="00273F4B"/>
    <w:rsid w:val="002748F1"/>
    <w:rsid w:val="00274CF2"/>
    <w:rsid w:val="00274DCD"/>
    <w:rsid w:val="00275018"/>
    <w:rsid w:val="002764CA"/>
    <w:rsid w:val="00276E3E"/>
    <w:rsid w:val="0027714F"/>
    <w:rsid w:val="002778BB"/>
    <w:rsid w:val="00277B46"/>
    <w:rsid w:val="00280A79"/>
    <w:rsid w:val="002810DF"/>
    <w:rsid w:val="00281250"/>
    <w:rsid w:val="00281527"/>
    <w:rsid w:val="00281646"/>
    <w:rsid w:val="002816FF"/>
    <w:rsid w:val="002829DE"/>
    <w:rsid w:val="00282B2B"/>
    <w:rsid w:val="00282B40"/>
    <w:rsid w:val="00282B84"/>
    <w:rsid w:val="00282BD6"/>
    <w:rsid w:val="002835DF"/>
    <w:rsid w:val="00283A45"/>
    <w:rsid w:val="00284044"/>
    <w:rsid w:val="002848E3"/>
    <w:rsid w:val="0028537D"/>
    <w:rsid w:val="0028649C"/>
    <w:rsid w:val="0028693C"/>
    <w:rsid w:val="00286A94"/>
    <w:rsid w:val="00286ACF"/>
    <w:rsid w:val="00286FE4"/>
    <w:rsid w:val="00287C8B"/>
    <w:rsid w:val="00290397"/>
    <w:rsid w:val="002905AA"/>
    <w:rsid w:val="00290AFF"/>
    <w:rsid w:val="002914CF"/>
    <w:rsid w:val="002918C7"/>
    <w:rsid w:val="00291AD4"/>
    <w:rsid w:val="00291FD5"/>
    <w:rsid w:val="00292D27"/>
    <w:rsid w:val="00292D5C"/>
    <w:rsid w:val="00292E79"/>
    <w:rsid w:val="002931E9"/>
    <w:rsid w:val="0029346B"/>
    <w:rsid w:val="0029353B"/>
    <w:rsid w:val="00293941"/>
    <w:rsid w:val="002939BC"/>
    <w:rsid w:val="00294348"/>
    <w:rsid w:val="0029446C"/>
    <w:rsid w:val="00294ADC"/>
    <w:rsid w:val="002952B9"/>
    <w:rsid w:val="0029546F"/>
    <w:rsid w:val="00296058"/>
    <w:rsid w:val="00296967"/>
    <w:rsid w:val="002977F9"/>
    <w:rsid w:val="002978F7"/>
    <w:rsid w:val="00297A0B"/>
    <w:rsid w:val="00297D5E"/>
    <w:rsid w:val="002A06EF"/>
    <w:rsid w:val="002A0944"/>
    <w:rsid w:val="002A0A84"/>
    <w:rsid w:val="002A170C"/>
    <w:rsid w:val="002A1812"/>
    <w:rsid w:val="002A1A0F"/>
    <w:rsid w:val="002A1B35"/>
    <w:rsid w:val="002A1F62"/>
    <w:rsid w:val="002A247A"/>
    <w:rsid w:val="002A2ACD"/>
    <w:rsid w:val="002A369B"/>
    <w:rsid w:val="002A3B00"/>
    <w:rsid w:val="002A3F13"/>
    <w:rsid w:val="002A433A"/>
    <w:rsid w:val="002A45A0"/>
    <w:rsid w:val="002A47DC"/>
    <w:rsid w:val="002A495E"/>
    <w:rsid w:val="002A495F"/>
    <w:rsid w:val="002A4975"/>
    <w:rsid w:val="002A49F7"/>
    <w:rsid w:val="002A509A"/>
    <w:rsid w:val="002A59C4"/>
    <w:rsid w:val="002A66DB"/>
    <w:rsid w:val="002A6730"/>
    <w:rsid w:val="002A69C3"/>
    <w:rsid w:val="002A6BD7"/>
    <w:rsid w:val="002A6E0E"/>
    <w:rsid w:val="002B0730"/>
    <w:rsid w:val="002B09BF"/>
    <w:rsid w:val="002B0BD0"/>
    <w:rsid w:val="002B0E1B"/>
    <w:rsid w:val="002B16FF"/>
    <w:rsid w:val="002B193A"/>
    <w:rsid w:val="002B2046"/>
    <w:rsid w:val="002B2624"/>
    <w:rsid w:val="002B4D5F"/>
    <w:rsid w:val="002B522D"/>
    <w:rsid w:val="002B5263"/>
    <w:rsid w:val="002B5AD2"/>
    <w:rsid w:val="002B5C8B"/>
    <w:rsid w:val="002B61F0"/>
    <w:rsid w:val="002B675D"/>
    <w:rsid w:val="002C0713"/>
    <w:rsid w:val="002C092A"/>
    <w:rsid w:val="002C0F20"/>
    <w:rsid w:val="002C1356"/>
    <w:rsid w:val="002C15ED"/>
    <w:rsid w:val="002C2F35"/>
    <w:rsid w:val="002C375D"/>
    <w:rsid w:val="002C37AD"/>
    <w:rsid w:val="002C37DE"/>
    <w:rsid w:val="002C3EA4"/>
    <w:rsid w:val="002C4885"/>
    <w:rsid w:val="002C586D"/>
    <w:rsid w:val="002C5CE0"/>
    <w:rsid w:val="002C6847"/>
    <w:rsid w:val="002C6D20"/>
    <w:rsid w:val="002C6F90"/>
    <w:rsid w:val="002C77B6"/>
    <w:rsid w:val="002C7F70"/>
    <w:rsid w:val="002C7FCB"/>
    <w:rsid w:val="002D0C6E"/>
    <w:rsid w:val="002D1841"/>
    <w:rsid w:val="002D1D4C"/>
    <w:rsid w:val="002D23E1"/>
    <w:rsid w:val="002D2D45"/>
    <w:rsid w:val="002D3BB7"/>
    <w:rsid w:val="002D4383"/>
    <w:rsid w:val="002D48A9"/>
    <w:rsid w:val="002D561C"/>
    <w:rsid w:val="002D5E55"/>
    <w:rsid w:val="002D5FE4"/>
    <w:rsid w:val="002D6195"/>
    <w:rsid w:val="002D6364"/>
    <w:rsid w:val="002D6A0C"/>
    <w:rsid w:val="002D6C52"/>
    <w:rsid w:val="002D76D7"/>
    <w:rsid w:val="002D7AE6"/>
    <w:rsid w:val="002E01E5"/>
    <w:rsid w:val="002E02D0"/>
    <w:rsid w:val="002E0E7E"/>
    <w:rsid w:val="002E1521"/>
    <w:rsid w:val="002E17DE"/>
    <w:rsid w:val="002E1CA0"/>
    <w:rsid w:val="002E1E5B"/>
    <w:rsid w:val="002E1E99"/>
    <w:rsid w:val="002E2161"/>
    <w:rsid w:val="002E27FF"/>
    <w:rsid w:val="002E2B32"/>
    <w:rsid w:val="002E2EAF"/>
    <w:rsid w:val="002E2F48"/>
    <w:rsid w:val="002E36BB"/>
    <w:rsid w:val="002E3D31"/>
    <w:rsid w:val="002E4D56"/>
    <w:rsid w:val="002E538D"/>
    <w:rsid w:val="002E582F"/>
    <w:rsid w:val="002E5DD1"/>
    <w:rsid w:val="002E612B"/>
    <w:rsid w:val="002F0636"/>
    <w:rsid w:val="002F06E6"/>
    <w:rsid w:val="002F0841"/>
    <w:rsid w:val="002F18C5"/>
    <w:rsid w:val="002F18EB"/>
    <w:rsid w:val="002F1F2B"/>
    <w:rsid w:val="002F24C4"/>
    <w:rsid w:val="002F2AEC"/>
    <w:rsid w:val="002F2EFF"/>
    <w:rsid w:val="002F3CD4"/>
    <w:rsid w:val="002F4125"/>
    <w:rsid w:val="002F4BAC"/>
    <w:rsid w:val="002F4EC8"/>
    <w:rsid w:val="002F5192"/>
    <w:rsid w:val="002F56AD"/>
    <w:rsid w:val="002F5BC0"/>
    <w:rsid w:val="002F5FD7"/>
    <w:rsid w:val="002F644D"/>
    <w:rsid w:val="002F64FB"/>
    <w:rsid w:val="002F661E"/>
    <w:rsid w:val="002F7303"/>
    <w:rsid w:val="003006E0"/>
    <w:rsid w:val="00301A6A"/>
    <w:rsid w:val="00301CE0"/>
    <w:rsid w:val="003022B0"/>
    <w:rsid w:val="00302B00"/>
    <w:rsid w:val="003033B9"/>
    <w:rsid w:val="00303AE3"/>
    <w:rsid w:val="0030477B"/>
    <w:rsid w:val="00304C53"/>
    <w:rsid w:val="0030554B"/>
    <w:rsid w:val="003059D6"/>
    <w:rsid w:val="0030699E"/>
    <w:rsid w:val="00310A6F"/>
    <w:rsid w:val="0031116C"/>
    <w:rsid w:val="003121FC"/>
    <w:rsid w:val="003123B3"/>
    <w:rsid w:val="00312B5B"/>
    <w:rsid w:val="00313053"/>
    <w:rsid w:val="00313D33"/>
    <w:rsid w:val="00314152"/>
    <w:rsid w:val="003144CB"/>
    <w:rsid w:val="00315449"/>
    <w:rsid w:val="003155CF"/>
    <w:rsid w:val="00315719"/>
    <w:rsid w:val="003158FA"/>
    <w:rsid w:val="00315D1C"/>
    <w:rsid w:val="00315F08"/>
    <w:rsid w:val="00315F43"/>
    <w:rsid w:val="00316441"/>
    <w:rsid w:val="00317805"/>
    <w:rsid w:val="003179DE"/>
    <w:rsid w:val="0032015A"/>
    <w:rsid w:val="003207FE"/>
    <w:rsid w:val="003211F5"/>
    <w:rsid w:val="003215B5"/>
    <w:rsid w:val="00322222"/>
    <w:rsid w:val="00322785"/>
    <w:rsid w:val="00322AF3"/>
    <w:rsid w:val="00323BBF"/>
    <w:rsid w:val="003253F8"/>
    <w:rsid w:val="00325A3F"/>
    <w:rsid w:val="00325E2B"/>
    <w:rsid w:val="003264C2"/>
    <w:rsid w:val="003265FA"/>
    <w:rsid w:val="003269D3"/>
    <w:rsid w:val="00330207"/>
    <w:rsid w:val="0033039F"/>
    <w:rsid w:val="003305C3"/>
    <w:rsid w:val="003307AC"/>
    <w:rsid w:val="00331E22"/>
    <w:rsid w:val="00332D87"/>
    <w:rsid w:val="00333372"/>
    <w:rsid w:val="00333407"/>
    <w:rsid w:val="00333734"/>
    <w:rsid w:val="00334278"/>
    <w:rsid w:val="0033460B"/>
    <w:rsid w:val="00335F77"/>
    <w:rsid w:val="00337752"/>
    <w:rsid w:val="003378B1"/>
    <w:rsid w:val="003411E0"/>
    <w:rsid w:val="00341216"/>
    <w:rsid w:val="00341438"/>
    <w:rsid w:val="003414FD"/>
    <w:rsid w:val="00341D56"/>
    <w:rsid w:val="00341E21"/>
    <w:rsid w:val="00341E43"/>
    <w:rsid w:val="00341F54"/>
    <w:rsid w:val="003421F4"/>
    <w:rsid w:val="0034345D"/>
    <w:rsid w:val="00343CE1"/>
    <w:rsid w:val="00343D27"/>
    <w:rsid w:val="00346614"/>
    <w:rsid w:val="003478B6"/>
    <w:rsid w:val="0035002C"/>
    <w:rsid w:val="00350520"/>
    <w:rsid w:val="00350B82"/>
    <w:rsid w:val="00351F6D"/>
    <w:rsid w:val="003522D6"/>
    <w:rsid w:val="003528DA"/>
    <w:rsid w:val="00352A3D"/>
    <w:rsid w:val="00353C7F"/>
    <w:rsid w:val="00354257"/>
    <w:rsid w:val="00354B02"/>
    <w:rsid w:val="00354DEF"/>
    <w:rsid w:val="00354F0A"/>
    <w:rsid w:val="00355170"/>
    <w:rsid w:val="003555C1"/>
    <w:rsid w:val="003559B9"/>
    <w:rsid w:val="0035675E"/>
    <w:rsid w:val="00356974"/>
    <w:rsid w:val="00356F34"/>
    <w:rsid w:val="003574BE"/>
    <w:rsid w:val="003579CB"/>
    <w:rsid w:val="00360453"/>
    <w:rsid w:val="0036128B"/>
    <w:rsid w:val="0036148A"/>
    <w:rsid w:val="00361605"/>
    <w:rsid w:val="00361786"/>
    <w:rsid w:val="0036301E"/>
    <w:rsid w:val="00363B2C"/>
    <w:rsid w:val="003640B8"/>
    <w:rsid w:val="003642C7"/>
    <w:rsid w:val="00364F08"/>
    <w:rsid w:val="003654DB"/>
    <w:rsid w:val="00366686"/>
    <w:rsid w:val="00366B4B"/>
    <w:rsid w:val="00366FAC"/>
    <w:rsid w:val="003670D3"/>
    <w:rsid w:val="00367840"/>
    <w:rsid w:val="003703E8"/>
    <w:rsid w:val="0037051D"/>
    <w:rsid w:val="0037054B"/>
    <w:rsid w:val="00370737"/>
    <w:rsid w:val="0037128B"/>
    <w:rsid w:val="00371584"/>
    <w:rsid w:val="00371846"/>
    <w:rsid w:val="00371877"/>
    <w:rsid w:val="00371BDA"/>
    <w:rsid w:val="00371BE5"/>
    <w:rsid w:val="00371D4D"/>
    <w:rsid w:val="00372384"/>
    <w:rsid w:val="00373668"/>
    <w:rsid w:val="00373BF1"/>
    <w:rsid w:val="003743A8"/>
    <w:rsid w:val="00374770"/>
    <w:rsid w:val="00374B02"/>
    <w:rsid w:val="003757E3"/>
    <w:rsid w:val="00375A28"/>
    <w:rsid w:val="00375B3A"/>
    <w:rsid w:val="00375B9E"/>
    <w:rsid w:val="00375CA1"/>
    <w:rsid w:val="00376DB3"/>
    <w:rsid w:val="003773A2"/>
    <w:rsid w:val="00377FD5"/>
    <w:rsid w:val="0038000C"/>
    <w:rsid w:val="00380971"/>
    <w:rsid w:val="00380A97"/>
    <w:rsid w:val="003816E0"/>
    <w:rsid w:val="0038194E"/>
    <w:rsid w:val="0038214E"/>
    <w:rsid w:val="003821EE"/>
    <w:rsid w:val="0038233E"/>
    <w:rsid w:val="00382AE0"/>
    <w:rsid w:val="003830D9"/>
    <w:rsid w:val="003835BD"/>
    <w:rsid w:val="00384184"/>
    <w:rsid w:val="003842D7"/>
    <w:rsid w:val="0038532E"/>
    <w:rsid w:val="00385C20"/>
    <w:rsid w:val="00385D9F"/>
    <w:rsid w:val="00386363"/>
    <w:rsid w:val="0038699D"/>
    <w:rsid w:val="00386CD3"/>
    <w:rsid w:val="00386CD6"/>
    <w:rsid w:val="003872E1"/>
    <w:rsid w:val="00390444"/>
    <w:rsid w:val="00390678"/>
    <w:rsid w:val="00390CC1"/>
    <w:rsid w:val="00390F66"/>
    <w:rsid w:val="00391C3E"/>
    <w:rsid w:val="00392620"/>
    <w:rsid w:val="00392667"/>
    <w:rsid w:val="00392747"/>
    <w:rsid w:val="00392CEC"/>
    <w:rsid w:val="00392E51"/>
    <w:rsid w:val="0039478C"/>
    <w:rsid w:val="00394D0B"/>
    <w:rsid w:val="00395FAB"/>
    <w:rsid w:val="00396D94"/>
    <w:rsid w:val="00396F13"/>
    <w:rsid w:val="00397A50"/>
    <w:rsid w:val="00397EF3"/>
    <w:rsid w:val="003A01D5"/>
    <w:rsid w:val="003A039E"/>
    <w:rsid w:val="003A066B"/>
    <w:rsid w:val="003A158B"/>
    <w:rsid w:val="003A1744"/>
    <w:rsid w:val="003A17A3"/>
    <w:rsid w:val="003A1BF1"/>
    <w:rsid w:val="003A1F7D"/>
    <w:rsid w:val="003A3498"/>
    <w:rsid w:val="003A3BD2"/>
    <w:rsid w:val="003A3F22"/>
    <w:rsid w:val="003A4A5B"/>
    <w:rsid w:val="003A626E"/>
    <w:rsid w:val="003A62DB"/>
    <w:rsid w:val="003A62EB"/>
    <w:rsid w:val="003A6683"/>
    <w:rsid w:val="003A6907"/>
    <w:rsid w:val="003A6AD6"/>
    <w:rsid w:val="003A71DE"/>
    <w:rsid w:val="003B05AE"/>
    <w:rsid w:val="003B09CB"/>
    <w:rsid w:val="003B0C55"/>
    <w:rsid w:val="003B1276"/>
    <w:rsid w:val="003B13FB"/>
    <w:rsid w:val="003B209F"/>
    <w:rsid w:val="003B235B"/>
    <w:rsid w:val="003B2983"/>
    <w:rsid w:val="003B2AD2"/>
    <w:rsid w:val="003B3C40"/>
    <w:rsid w:val="003B4F72"/>
    <w:rsid w:val="003B5A9D"/>
    <w:rsid w:val="003B6374"/>
    <w:rsid w:val="003B66FD"/>
    <w:rsid w:val="003B6B1B"/>
    <w:rsid w:val="003B6EF7"/>
    <w:rsid w:val="003B7147"/>
    <w:rsid w:val="003B79D7"/>
    <w:rsid w:val="003B7B33"/>
    <w:rsid w:val="003B7B38"/>
    <w:rsid w:val="003B7EF4"/>
    <w:rsid w:val="003C11D2"/>
    <w:rsid w:val="003C1BB1"/>
    <w:rsid w:val="003C1C84"/>
    <w:rsid w:val="003C1E2B"/>
    <w:rsid w:val="003C2F67"/>
    <w:rsid w:val="003C3535"/>
    <w:rsid w:val="003C40B6"/>
    <w:rsid w:val="003C4866"/>
    <w:rsid w:val="003C4ACE"/>
    <w:rsid w:val="003C5445"/>
    <w:rsid w:val="003C5727"/>
    <w:rsid w:val="003C5C77"/>
    <w:rsid w:val="003C64FF"/>
    <w:rsid w:val="003C68DD"/>
    <w:rsid w:val="003C695A"/>
    <w:rsid w:val="003C76AE"/>
    <w:rsid w:val="003C7E35"/>
    <w:rsid w:val="003C7F3B"/>
    <w:rsid w:val="003D11C5"/>
    <w:rsid w:val="003D1FDB"/>
    <w:rsid w:val="003D21C0"/>
    <w:rsid w:val="003D2D9B"/>
    <w:rsid w:val="003D3143"/>
    <w:rsid w:val="003D419D"/>
    <w:rsid w:val="003D4276"/>
    <w:rsid w:val="003D43F4"/>
    <w:rsid w:val="003D4660"/>
    <w:rsid w:val="003D48D0"/>
    <w:rsid w:val="003D4995"/>
    <w:rsid w:val="003D4C2A"/>
    <w:rsid w:val="003D579D"/>
    <w:rsid w:val="003D5940"/>
    <w:rsid w:val="003D631A"/>
    <w:rsid w:val="003D73A1"/>
    <w:rsid w:val="003D7762"/>
    <w:rsid w:val="003D7C76"/>
    <w:rsid w:val="003E12F3"/>
    <w:rsid w:val="003E3270"/>
    <w:rsid w:val="003E35BB"/>
    <w:rsid w:val="003E383B"/>
    <w:rsid w:val="003E3A57"/>
    <w:rsid w:val="003E3D7F"/>
    <w:rsid w:val="003E41B0"/>
    <w:rsid w:val="003E4388"/>
    <w:rsid w:val="003E5F80"/>
    <w:rsid w:val="003E60A2"/>
    <w:rsid w:val="003E6673"/>
    <w:rsid w:val="003E6C9C"/>
    <w:rsid w:val="003E7217"/>
    <w:rsid w:val="003E7D61"/>
    <w:rsid w:val="003F0B43"/>
    <w:rsid w:val="003F0DDA"/>
    <w:rsid w:val="003F107D"/>
    <w:rsid w:val="003F15C9"/>
    <w:rsid w:val="003F1681"/>
    <w:rsid w:val="003F16C5"/>
    <w:rsid w:val="003F1990"/>
    <w:rsid w:val="003F19D1"/>
    <w:rsid w:val="003F1D27"/>
    <w:rsid w:val="003F213B"/>
    <w:rsid w:val="003F2561"/>
    <w:rsid w:val="003F269F"/>
    <w:rsid w:val="003F2754"/>
    <w:rsid w:val="003F2D15"/>
    <w:rsid w:val="003F2E3F"/>
    <w:rsid w:val="003F352E"/>
    <w:rsid w:val="003F3DED"/>
    <w:rsid w:val="003F5714"/>
    <w:rsid w:val="003F5FC0"/>
    <w:rsid w:val="003F6556"/>
    <w:rsid w:val="003F66A6"/>
    <w:rsid w:val="003F694E"/>
    <w:rsid w:val="003F74F6"/>
    <w:rsid w:val="00400ECB"/>
    <w:rsid w:val="00400F7E"/>
    <w:rsid w:val="00401219"/>
    <w:rsid w:val="004014A9"/>
    <w:rsid w:val="0040225B"/>
    <w:rsid w:val="004025D7"/>
    <w:rsid w:val="00402DCF"/>
    <w:rsid w:val="00403295"/>
    <w:rsid w:val="0040354F"/>
    <w:rsid w:val="004038A9"/>
    <w:rsid w:val="00403FEB"/>
    <w:rsid w:val="00404289"/>
    <w:rsid w:val="004044C9"/>
    <w:rsid w:val="00404BBD"/>
    <w:rsid w:val="00404EAE"/>
    <w:rsid w:val="00406069"/>
    <w:rsid w:val="004062CD"/>
    <w:rsid w:val="00407AA0"/>
    <w:rsid w:val="00410266"/>
    <w:rsid w:val="004102B7"/>
    <w:rsid w:val="00410D08"/>
    <w:rsid w:val="00411410"/>
    <w:rsid w:val="004114D5"/>
    <w:rsid w:val="0041189C"/>
    <w:rsid w:val="00411B53"/>
    <w:rsid w:val="00411DD8"/>
    <w:rsid w:val="00412793"/>
    <w:rsid w:val="004127AC"/>
    <w:rsid w:val="00412B3C"/>
    <w:rsid w:val="00412C76"/>
    <w:rsid w:val="00413210"/>
    <w:rsid w:val="00413DFB"/>
    <w:rsid w:val="00414427"/>
    <w:rsid w:val="0041457B"/>
    <w:rsid w:val="00414829"/>
    <w:rsid w:val="004162A9"/>
    <w:rsid w:val="004165DB"/>
    <w:rsid w:val="0041679E"/>
    <w:rsid w:val="00416CA7"/>
    <w:rsid w:val="0041721E"/>
    <w:rsid w:val="00417548"/>
    <w:rsid w:val="004176B9"/>
    <w:rsid w:val="004179DE"/>
    <w:rsid w:val="004200BE"/>
    <w:rsid w:val="004205B9"/>
    <w:rsid w:val="004211CD"/>
    <w:rsid w:val="004213B6"/>
    <w:rsid w:val="00422583"/>
    <w:rsid w:val="00422A99"/>
    <w:rsid w:val="00422B0E"/>
    <w:rsid w:val="00422CA5"/>
    <w:rsid w:val="0042328E"/>
    <w:rsid w:val="0042374E"/>
    <w:rsid w:val="0042412C"/>
    <w:rsid w:val="0042483C"/>
    <w:rsid w:val="004250F3"/>
    <w:rsid w:val="004253B5"/>
    <w:rsid w:val="004256B9"/>
    <w:rsid w:val="00425727"/>
    <w:rsid w:val="00425728"/>
    <w:rsid w:val="00426501"/>
    <w:rsid w:val="004269C7"/>
    <w:rsid w:val="00426AF6"/>
    <w:rsid w:val="00426E9A"/>
    <w:rsid w:val="00427D1D"/>
    <w:rsid w:val="00427E56"/>
    <w:rsid w:val="00430047"/>
    <w:rsid w:val="00430940"/>
    <w:rsid w:val="00430F36"/>
    <w:rsid w:val="004316C4"/>
    <w:rsid w:val="00431CE6"/>
    <w:rsid w:val="004325B3"/>
    <w:rsid w:val="00432AA8"/>
    <w:rsid w:val="00432AA9"/>
    <w:rsid w:val="0043337A"/>
    <w:rsid w:val="00433728"/>
    <w:rsid w:val="00433B66"/>
    <w:rsid w:val="00433C71"/>
    <w:rsid w:val="00433DC1"/>
    <w:rsid w:val="0043422B"/>
    <w:rsid w:val="00434633"/>
    <w:rsid w:val="004353BB"/>
    <w:rsid w:val="00435520"/>
    <w:rsid w:val="00435E1D"/>
    <w:rsid w:val="00436444"/>
    <w:rsid w:val="004364DE"/>
    <w:rsid w:val="00436E08"/>
    <w:rsid w:val="0043758A"/>
    <w:rsid w:val="0043767D"/>
    <w:rsid w:val="00437D84"/>
    <w:rsid w:val="00437E25"/>
    <w:rsid w:val="00440303"/>
    <w:rsid w:val="00440AA4"/>
    <w:rsid w:val="00440D37"/>
    <w:rsid w:val="00440FCA"/>
    <w:rsid w:val="00441190"/>
    <w:rsid w:val="00441A48"/>
    <w:rsid w:val="00441E35"/>
    <w:rsid w:val="00442167"/>
    <w:rsid w:val="00442601"/>
    <w:rsid w:val="00442695"/>
    <w:rsid w:val="00442BFD"/>
    <w:rsid w:val="0044300D"/>
    <w:rsid w:val="00444559"/>
    <w:rsid w:val="00444825"/>
    <w:rsid w:val="0044498F"/>
    <w:rsid w:val="00444F86"/>
    <w:rsid w:val="004457CE"/>
    <w:rsid w:val="004465AB"/>
    <w:rsid w:val="00446725"/>
    <w:rsid w:val="004473F4"/>
    <w:rsid w:val="004475D7"/>
    <w:rsid w:val="0044767A"/>
    <w:rsid w:val="004478E6"/>
    <w:rsid w:val="0045049A"/>
    <w:rsid w:val="004509DA"/>
    <w:rsid w:val="00450C07"/>
    <w:rsid w:val="00451541"/>
    <w:rsid w:val="00451780"/>
    <w:rsid w:val="00451C1F"/>
    <w:rsid w:val="00451F87"/>
    <w:rsid w:val="00452321"/>
    <w:rsid w:val="00452CE0"/>
    <w:rsid w:val="00452D46"/>
    <w:rsid w:val="0045314C"/>
    <w:rsid w:val="0045326C"/>
    <w:rsid w:val="00453AFE"/>
    <w:rsid w:val="00453CCD"/>
    <w:rsid w:val="004546E0"/>
    <w:rsid w:val="00454CDB"/>
    <w:rsid w:val="00454F04"/>
    <w:rsid w:val="00456296"/>
    <w:rsid w:val="00457102"/>
    <w:rsid w:val="00457B5A"/>
    <w:rsid w:val="004613A0"/>
    <w:rsid w:val="00461897"/>
    <w:rsid w:val="00461AD9"/>
    <w:rsid w:val="00462751"/>
    <w:rsid w:val="00462ABC"/>
    <w:rsid w:val="00462D24"/>
    <w:rsid w:val="004632BB"/>
    <w:rsid w:val="00463B15"/>
    <w:rsid w:val="004648A2"/>
    <w:rsid w:val="0046531B"/>
    <w:rsid w:val="00466632"/>
    <w:rsid w:val="004678BA"/>
    <w:rsid w:val="00470FD3"/>
    <w:rsid w:val="00471265"/>
    <w:rsid w:val="00471721"/>
    <w:rsid w:val="004718E6"/>
    <w:rsid w:val="00471D30"/>
    <w:rsid w:val="00471E4D"/>
    <w:rsid w:val="00472005"/>
    <w:rsid w:val="00472921"/>
    <w:rsid w:val="00473446"/>
    <w:rsid w:val="00473601"/>
    <w:rsid w:val="004737DC"/>
    <w:rsid w:val="004738C0"/>
    <w:rsid w:val="00473D5F"/>
    <w:rsid w:val="004741F8"/>
    <w:rsid w:val="00474FE0"/>
    <w:rsid w:val="004753EF"/>
    <w:rsid w:val="004755D7"/>
    <w:rsid w:val="00475B01"/>
    <w:rsid w:val="00475E5F"/>
    <w:rsid w:val="0047691E"/>
    <w:rsid w:val="00477138"/>
    <w:rsid w:val="00477A2C"/>
    <w:rsid w:val="004800D0"/>
    <w:rsid w:val="0048027E"/>
    <w:rsid w:val="004804CD"/>
    <w:rsid w:val="004806CA"/>
    <w:rsid w:val="00480DFD"/>
    <w:rsid w:val="00481407"/>
    <w:rsid w:val="00481C49"/>
    <w:rsid w:val="00481FD1"/>
    <w:rsid w:val="0048262B"/>
    <w:rsid w:val="0048317F"/>
    <w:rsid w:val="00483274"/>
    <w:rsid w:val="0048444A"/>
    <w:rsid w:val="00486CD2"/>
    <w:rsid w:val="00486D06"/>
    <w:rsid w:val="004879E2"/>
    <w:rsid w:val="00487B21"/>
    <w:rsid w:val="00490D4D"/>
    <w:rsid w:val="00490F92"/>
    <w:rsid w:val="00491171"/>
    <w:rsid w:val="004913F2"/>
    <w:rsid w:val="004917F5"/>
    <w:rsid w:val="004923A8"/>
    <w:rsid w:val="00493427"/>
    <w:rsid w:val="0049481B"/>
    <w:rsid w:val="0049524D"/>
    <w:rsid w:val="0049582B"/>
    <w:rsid w:val="00495DDD"/>
    <w:rsid w:val="00496B92"/>
    <w:rsid w:val="00496CA8"/>
    <w:rsid w:val="004970A2"/>
    <w:rsid w:val="004974D2"/>
    <w:rsid w:val="00497B68"/>
    <w:rsid w:val="004A0E9C"/>
    <w:rsid w:val="004A19CE"/>
    <w:rsid w:val="004A1D63"/>
    <w:rsid w:val="004A35C7"/>
    <w:rsid w:val="004A3858"/>
    <w:rsid w:val="004A3984"/>
    <w:rsid w:val="004A5BCC"/>
    <w:rsid w:val="004A6F62"/>
    <w:rsid w:val="004A7354"/>
    <w:rsid w:val="004B0047"/>
    <w:rsid w:val="004B016E"/>
    <w:rsid w:val="004B0317"/>
    <w:rsid w:val="004B035C"/>
    <w:rsid w:val="004B0439"/>
    <w:rsid w:val="004B0E97"/>
    <w:rsid w:val="004B132A"/>
    <w:rsid w:val="004B1CE6"/>
    <w:rsid w:val="004B200D"/>
    <w:rsid w:val="004B2B91"/>
    <w:rsid w:val="004B3379"/>
    <w:rsid w:val="004B341B"/>
    <w:rsid w:val="004B3B23"/>
    <w:rsid w:val="004B3C44"/>
    <w:rsid w:val="004B3EC9"/>
    <w:rsid w:val="004B44E9"/>
    <w:rsid w:val="004B4931"/>
    <w:rsid w:val="004B564E"/>
    <w:rsid w:val="004B5779"/>
    <w:rsid w:val="004B57F4"/>
    <w:rsid w:val="004B63D1"/>
    <w:rsid w:val="004B6F2A"/>
    <w:rsid w:val="004B73E1"/>
    <w:rsid w:val="004B775B"/>
    <w:rsid w:val="004B7A02"/>
    <w:rsid w:val="004B7E9B"/>
    <w:rsid w:val="004C031D"/>
    <w:rsid w:val="004C0502"/>
    <w:rsid w:val="004C0BFC"/>
    <w:rsid w:val="004C0FA6"/>
    <w:rsid w:val="004C1E69"/>
    <w:rsid w:val="004C2189"/>
    <w:rsid w:val="004C275E"/>
    <w:rsid w:val="004C2B2E"/>
    <w:rsid w:val="004C2EA0"/>
    <w:rsid w:val="004C33DB"/>
    <w:rsid w:val="004C3E45"/>
    <w:rsid w:val="004C41E3"/>
    <w:rsid w:val="004C4504"/>
    <w:rsid w:val="004C49B7"/>
    <w:rsid w:val="004C503B"/>
    <w:rsid w:val="004C58EE"/>
    <w:rsid w:val="004C6C20"/>
    <w:rsid w:val="004C7160"/>
    <w:rsid w:val="004C739A"/>
    <w:rsid w:val="004C745C"/>
    <w:rsid w:val="004C76EE"/>
    <w:rsid w:val="004C7D05"/>
    <w:rsid w:val="004D04CE"/>
    <w:rsid w:val="004D0E09"/>
    <w:rsid w:val="004D2B0D"/>
    <w:rsid w:val="004D33D8"/>
    <w:rsid w:val="004D4342"/>
    <w:rsid w:val="004D4699"/>
    <w:rsid w:val="004D4A04"/>
    <w:rsid w:val="004D59C1"/>
    <w:rsid w:val="004D63D0"/>
    <w:rsid w:val="004D6A83"/>
    <w:rsid w:val="004D72D1"/>
    <w:rsid w:val="004D756A"/>
    <w:rsid w:val="004D7885"/>
    <w:rsid w:val="004D79F2"/>
    <w:rsid w:val="004D7DD4"/>
    <w:rsid w:val="004D7F2F"/>
    <w:rsid w:val="004E0963"/>
    <w:rsid w:val="004E0CFB"/>
    <w:rsid w:val="004E0F1E"/>
    <w:rsid w:val="004E100B"/>
    <w:rsid w:val="004E1ADC"/>
    <w:rsid w:val="004E1DB4"/>
    <w:rsid w:val="004E1E91"/>
    <w:rsid w:val="004E22A6"/>
    <w:rsid w:val="004E2D75"/>
    <w:rsid w:val="004E323D"/>
    <w:rsid w:val="004E3421"/>
    <w:rsid w:val="004E3422"/>
    <w:rsid w:val="004E3B64"/>
    <w:rsid w:val="004E4009"/>
    <w:rsid w:val="004E451E"/>
    <w:rsid w:val="004E4926"/>
    <w:rsid w:val="004E5801"/>
    <w:rsid w:val="004E5928"/>
    <w:rsid w:val="004E5C21"/>
    <w:rsid w:val="004E5C85"/>
    <w:rsid w:val="004E6346"/>
    <w:rsid w:val="004E678F"/>
    <w:rsid w:val="004E6D02"/>
    <w:rsid w:val="004E7127"/>
    <w:rsid w:val="004E7519"/>
    <w:rsid w:val="004E75A7"/>
    <w:rsid w:val="004E7DFD"/>
    <w:rsid w:val="004F012E"/>
    <w:rsid w:val="004F04B5"/>
    <w:rsid w:val="004F056C"/>
    <w:rsid w:val="004F0B21"/>
    <w:rsid w:val="004F0D9C"/>
    <w:rsid w:val="004F1083"/>
    <w:rsid w:val="004F113C"/>
    <w:rsid w:val="004F128F"/>
    <w:rsid w:val="004F168A"/>
    <w:rsid w:val="004F196D"/>
    <w:rsid w:val="004F1F25"/>
    <w:rsid w:val="004F3150"/>
    <w:rsid w:val="004F3340"/>
    <w:rsid w:val="004F3A01"/>
    <w:rsid w:val="004F3B18"/>
    <w:rsid w:val="004F3DAF"/>
    <w:rsid w:val="004F40C6"/>
    <w:rsid w:val="004F4BDB"/>
    <w:rsid w:val="004F509C"/>
    <w:rsid w:val="004F5361"/>
    <w:rsid w:val="004F5A26"/>
    <w:rsid w:val="004F5E36"/>
    <w:rsid w:val="004F6352"/>
    <w:rsid w:val="004F67A9"/>
    <w:rsid w:val="004F73AF"/>
    <w:rsid w:val="004F757D"/>
    <w:rsid w:val="004F761F"/>
    <w:rsid w:val="004F793B"/>
    <w:rsid w:val="004F7A9A"/>
    <w:rsid w:val="004F7CD9"/>
    <w:rsid w:val="004F7FD1"/>
    <w:rsid w:val="004F7FDB"/>
    <w:rsid w:val="00500724"/>
    <w:rsid w:val="005008F0"/>
    <w:rsid w:val="00501231"/>
    <w:rsid w:val="0050160B"/>
    <w:rsid w:val="005016F0"/>
    <w:rsid w:val="00502C42"/>
    <w:rsid w:val="00503728"/>
    <w:rsid w:val="00503758"/>
    <w:rsid w:val="00503860"/>
    <w:rsid w:val="00503ABE"/>
    <w:rsid w:val="005040B1"/>
    <w:rsid w:val="00504A85"/>
    <w:rsid w:val="005056E0"/>
    <w:rsid w:val="00505CF2"/>
    <w:rsid w:val="0050733A"/>
    <w:rsid w:val="0050755A"/>
    <w:rsid w:val="005077EA"/>
    <w:rsid w:val="0050791B"/>
    <w:rsid w:val="0051049B"/>
    <w:rsid w:val="00511097"/>
    <w:rsid w:val="005111A0"/>
    <w:rsid w:val="00511674"/>
    <w:rsid w:val="00512131"/>
    <w:rsid w:val="00512194"/>
    <w:rsid w:val="00512F0E"/>
    <w:rsid w:val="00513F07"/>
    <w:rsid w:val="005140A3"/>
    <w:rsid w:val="0051428D"/>
    <w:rsid w:val="005146F8"/>
    <w:rsid w:val="00514D7E"/>
    <w:rsid w:val="0051534C"/>
    <w:rsid w:val="0051546E"/>
    <w:rsid w:val="00515957"/>
    <w:rsid w:val="00515B04"/>
    <w:rsid w:val="00515CA8"/>
    <w:rsid w:val="005161F3"/>
    <w:rsid w:val="00517237"/>
    <w:rsid w:val="00517A4F"/>
    <w:rsid w:val="00517ADF"/>
    <w:rsid w:val="00517C9C"/>
    <w:rsid w:val="00517CFA"/>
    <w:rsid w:val="005205E9"/>
    <w:rsid w:val="00520E67"/>
    <w:rsid w:val="00521159"/>
    <w:rsid w:val="00521318"/>
    <w:rsid w:val="005219FB"/>
    <w:rsid w:val="00521E01"/>
    <w:rsid w:val="00521E65"/>
    <w:rsid w:val="0052229A"/>
    <w:rsid w:val="00522336"/>
    <w:rsid w:val="005234B4"/>
    <w:rsid w:val="00523ECF"/>
    <w:rsid w:val="0052412C"/>
    <w:rsid w:val="00525247"/>
    <w:rsid w:val="0052567F"/>
    <w:rsid w:val="0052573B"/>
    <w:rsid w:val="0052614E"/>
    <w:rsid w:val="00526752"/>
    <w:rsid w:val="005267AB"/>
    <w:rsid w:val="00526869"/>
    <w:rsid w:val="0052688C"/>
    <w:rsid w:val="00527108"/>
    <w:rsid w:val="0052796D"/>
    <w:rsid w:val="00527EC9"/>
    <w:rsid w:val="005308DF"/>
    <w:rsid w:val="00530CB6"/>
    <w:rsid w:val="00531049"/>
    <w:rsid w:val="0053155E"/>
    <w:rsid w:val="005319DD"/>
    <w:rsid w:val="00532490"/>
    <w:rsid w:val="00532B8C"/>
    <w:rsid w:val="00532C05"/>
    <w:rsid w:val="0053318F"/>
    <w:rsid w:val="00533ADC"/>
    <w:rsid w:val="0053404C"/>
    <w:rsid w:val="00534293"/>
    <w:rsid w:val="005355D2"/>
    <w:rsid w:val="005357B3"/>
    <w:rsid w:val="00535F36"/>
    <w:rsid w:val="00536E54"/>
    <w:rsid w:val="00537DA5"/>
    <w:rsid w:val="00540403"/>
    <w:rsid w:val="005405EE"/>
    <w:rsid w:val="00541088"/>
    <w:rsid w:val="005412F6"/>
    <w:rsid w:val="00541514"/>
    <w:rsid w:val="00541594"/>
    <w:rsid w:val="00541A18"/>
    <w:rsid w:val="00541CEF"/>
    <w:rsid w:val="00541DC0"/>
    <w:rsid w:val="005420F0"/>
    <w:rsid w:val="00542513"/>
    <w:rsid w:val="00542AD5"/>
    <w:rsid w:val="00542B0F"/>
    <w:rsid w:val="00543B86"/>
    <w:rsid w:val="00543BDC"/>
    <w:rsid w:val="00543E8D"/>
    <w:rsid w:val="005440BE"/>
    <w:rsid w:val="00544C9C"/>
    <w:rsid w:val="00544DBA"/>
    <w:rsid w:val="005455D4"/>
    <w:rsid w:val="00545875"/>
    <w:rsid w:val="005466F3"/>
    <w:rsid w:val="00547131"/>
    <w:rsid w:val="0054748A"/>
    <w:rsid w:val="00547A6C"/>
    <w:rsid w:val="005508CF"/>
    <w:rsid w:val="00550C16"/>
    <w:rsid w:val="00551AC4"/>
    <w:rsid w:val="00552164"/>
    <w:rsid w:val="00552FAE"/>
    <w:rsid w:val="0055311A"/>
    <w:rsid w:val="0055324A"/>
    <w:rsid w:val="00553A1A"/>
    <w:rsid w:val="00554592"/>
    <w:rsid w:val="00555C2D"/>
    <w:rsid w:val="00555E1D"/>
    <w:rsid w:val="00555F0C"/>
    <w:rsid w:val="005569C4"/>
    <w:rsid w:val="00556B1C"/>
    <w:rsid w:val="00556D9F"/>
    <w:rsid w:val="00557592"/>
    <w:rsid w:val="005579F1"/>
    <w:rsid w:val="00560D5F"/>
    <w:rsid w:val="00561FA8"/>
    <w:rsid w:val="00562267"/>
    <w:rsid w:val="005623A5"/>
    <w:rsid w:val="00562621"/>
    <w:rsid w:val="00563D99"/>
    <w:rsid w:val="00565DD6"/>
    <w:rsid w:val="00566371"/>
    <w:rsid w:val="005667C2"/>
    <w:rsid w:val="00566826"/>
    <w:rsid w:val="00567067"/>
    <w:rsid w:val="0056744F"/>
    <w:rsid w:val="00570526"/>
    <w:rsid w:val="005707CD"/>
    <w:rsid w:val="00570851"/>
    <w:rsid w:val="00570E62"/>
    <w:rsid w:val="005719D8"/>
    <w:rsid w:val="00571ED7"/>
    <w:rsid w:val="005722C8"/>
    <w:rsid w:val="00573917"/>
    <w:rsid w:val="00573A2E"/>
    <w:rsid w:val="00573E4E"/>
    <w:rsid w:val="0057408F"/>
    <w:rsid w:val="005745EB"/>
    <w:rsid w:val="00575A91"/>
    <w:rsid w:val="0057631E"/>
    <w:rsid w:val="00576687"/>
    <w:rsid w:val="0057763E"/>
    <w:rsid w:val="005778EC"/>
    <w:rsid w:val="00577A0B"/>
    <w:rsid w:val="00577DB0"/>
    <w:rsid w:val="0058058A"/>
    <w:rsid w:val="005812BA"/>
    <w:rsid w:val="005814EC"/>
    <w:rsid w:val="00581A72"/>
    <w:rsid w:val="005823DC"/>
    <w:rsid w:val="005829D5"/>
    <w:rsid w:val="00583389"/>
    <w:rsid w:val="005835B7"/>
    <w:rsid w:val="00583742"/>
    <w:rsid w:val="00583DB7"/>
    <w:rsid w:val="00583E07"/>
    <w:rsid w:val="00584107"/>
    <w:rsid w:val="00584161"/>
    <w:rsid w:val="00584334"/>
    <w:rsid w:val="00584466"/>
    <w:rsid w:val="00584583"/>
    <w:rsid w:val="005845DB"/>
    <w:rsid w:val="00584602"/>
    <w:rsid w:val="0058499F"/>
    <w:rsid w:val="0058516C"/>
    <w:rsid w:val="00585436"/>
    <w:rsid w:val="005859FE"/>
    <w:rsid w:val="00585CA6"/>
    <w:rsid w:val="0058618C"/>
    <w:rsid w:val="005864A3"/>
    <w:rsid w:val="00586A64"/>
    <w:rsid w:val="005879E7"/>
    <w:rsid w:val="00590ABD"/>
    <w:rsid w:val="00590EA7"/>
    <w:rsid w:val="0059117A"/>
    <w:rsid w:val="00591ABD"/>
    <w:rsid w:val="00591BBC"/>
    <w:rsid w:val="00591E21"/>
    <w:rsid w:val="005921F2"/>
    <w:rsid w:val="00592352"/>
    <w:rsid w:val="0059248D"/>
    <w:rsid w:val="00592B70"/>
    <w:rsid w:val="00592F39"/>
    <w:rsid w:val="00592FB1"/>
    <w:rsid w:val="00593395"/>
    <w:rsid w:val="00593BB6"/>
    <w:rsid w:val="00593BD1"/>
    <w:rsid w:val="0059451B"/>
    <w:rsid w:val="0059462E"/>
    <w:rsid w:val="005946FF"/>
    <w:rsid w:val="00594A9A"/>
    <w:rsid w:val="00595BFC"/>
    <w:rsid w:val="005960B1"/>
    <w:rsid w:val="00596CB9"/>
    <w:rsid w:val="005971AC"/>
    <w:rsid w:val="005973DD"/>
    <w:rsid w:val="00597A1C"/>
    <w:rsid w:val="005A051A"/>
    <w:rsid w:val="005A0535"/>
    <w:rsid w:val="005A0A84"/>
    <w:rsid w:val="005A1AE4"/>
    <w:rsid w:val="005A1EC8"/>
    <w:rsid w:val="005A32DE"/>
    <w:rsid w:val="005A3D71"/>
    <w:rsid w:val="005A43F2"/>
    <w:rsid w:val="005A4DEC"/>
    <w:rsid w:val="005A540C"/>
    <w:rsid w:val="005A5531"/>
    <w:rsid w:val="005A59A6"/>
    <w:rsid w:val="005A5BDC"/>
    <w:rsid w:val="005A6327"/>
    <w:rsid w:val="005A64AF"/>
    <w:rsid w:val="005A6A5D"/>
    <w:rsid w:val="005A7249"/>
    <w:rsid w:val="005A7461"/>
    <w:rsid w:val="005A7B9E"/>
    <w:rsid w:val="005A7C41"/>
    <w:rsid w:val="005A7E7E"/>
    <w:rsid w:val="005B0A08"/>
    <w:rsid w:val="005B1094"/>
    <w:rsid w:val="005B1D75"/>
    <w:rsid w:val="005B2BAA"/>
    <w:rsid w:val="005B2C01"/>
    <w:rsid w:val="005B34C8"/>
    <w:rsid w:val="005B3AF4"/>
    <w:rsid w:val="005B3F4C"/>
    <w:rsid w:val="005B4365"/>
    <w:rsid w:val="005B4400"/>
    <w:rsid w:val="005B4E68"/>
    <w:rsid w:val="005B4F49"/>
    <w:rsid w:val="005B50E1"/>
    <w:rsid w:val="005B5DED"/>
    <w:rsid w:val="005B604F"/>
    <w:rsid w:val="005B6665"/>
    <w:rsid w:val="005B6BFF"/>
    <w:rsid w:val="005B77A3"/>
    <w:rsid w:val="005B7DC2"/>
    <w:rsid w:val="005B7EEF"/>
    <w:rsid w:val="005B7FB9"/>
    <w:rsid w:val="005C083F"/>
    <w:rsid w:val="005C0F77"/>
    <w:rsid w:val="005C13A8"/>
    <w:rsid w:val="005C1CAB"/>
    <w:rsid w:val="005C2007"/>
    <w:rsid w:val="005C2B93"/>
    <w:rsid w:val="005C2C05"/>
    <w:rsid w:val="005C33D9"/>
    <w:rsid w:val="005C34CF"/>
    <w:rsid w:val="005C37A2"/>
    <w:rsid w:val="005C3ECC"/>
    <w:rsid w:val="005C4D9D"/>
    <w:rsid w:val="005C53C3"/>
    <w:rsid w:val="005C56CB"/>
    <w:rsid w:val="005C5762"/>
    <w:rsid w:val="005C70B9"/>
    <w:rsid w:val="005C7393"/>
    <w:rsid w:val="005C752F"/>
    <w:rsid w:val="005C7940"/>
    <w:rsid w:val="005D00E9"/>
    <w:rsid w:val="005D077A"/>
    <w:rsid w:val="005D1112"/>
    <w:rsid w:val="005D11D3"/>
    <w:rsid w:val="005D13B4"/>
    <w:rsid w:val="005D13CA"/>
    <w:rsid w:val="005D13DF"/>
    <w:rsid w:val="005D20DA"/>
    <w:rsid w:val="005D225F"/>
    <w:rsid w:val="005D232C"/>
    <w:rsid w:val="005D2611"/>
    <w:rsid w:val="005D2769"/>
    <w:rsid w:val="005D2BE7"/>
    <w:rsid w:val="005D3418"/>
    <w:rsid w:val="005D3A19"/>
    <w:rsid w:val="005D3E14"/>
    <w:rsid w:val="005D3EC1"/>
    <w:rsid w:val="005D413F"/>
    <w:rsid w:val="005D427E"/>
    <w:rsid w:val="005D46FD"/>
    <w:rsid w:val="005D5401"/>
    <w:rsid w:val="005D76EB"/>
    <w:rsid w:val="005D7886"/>
    <w:rsid w:val="005D7ED9"/>
    <w:rsid w:val="005E01A8"/>
    <w:rsid w:val="005E01F1"/>
    <w:rsid w:val="005E03FB"/>
    <w:rsid w:val="005E051D"/>
    <w:rsid w:val="005E077F"/>
    <w:rsid w:val="005E0821"/>
    <w:rsid w:val="005E0903"/>
    <w:rsid w:val="005E126E"/>
    <w:rsid w:val="005E1710"/>
    <w:rsid w:val="005E1D6D"/>
    <w:rsid w:val="005E2049"/>
    <w:rsid w:val="005E2152"/>
    <w:rsid w:val="005E23D1"/>
    <w:rsid w:val="005E2F37"/>
    <w:rsid w:val="005E3054"/>
    <w:rsid w:val="005E334A"/>
    <w:rsid w:val="005E3FE1"/>
    <w:rsid w:val="005E411A"/>
    <w:rsid w:val="005E476F"/>
    <w:rsid w:val="005E4A8A"/>
    <w:rsid w:val="005E4BC0"/>
    <w:rsid w:val="005E5753"/>
    <w:rsid w:val="005E59A1"/>
    <w:rsid w:val="005E5C87"/>
    <w:rsid w:val="005E5D79"/>
    <w:rsid w:val="005E6AB7"/>
    <w:rsid w:val="005E6F61"/>
    <w:rsid w:val="005E6FD9"/>
    <w:rsid w:val="005E7C1F"/>
    <w:rsid w:val="005F0794"/>
    <w:rsid w:val="005F0F93"/>
    <w:rsid w:val="005F1375"/>
    <w:rsid w:val="005F1389"/>
    <w:rsid w:val="005F1EF1"/>
    <w:rsid w:val="005F2D1F"/>
    <w:rsid w:val="005F2E17"/>
    <w:rsid w:val="005F30F6"/>
    <w:rsid w:val="005F3201"/>
    <w:rsid w:val="005F327B"/>
    <w:rsid w:val="005F39B1"/>
    <w:rsid w:val="005F3C07"/>
    <w:rsid w:val="005F4B09"/>
    <w:rsid w:val="005F4BA2"/>
    <w:rsid w:val="005F50BF"/>
    <w:rsid w:val="005F5332"/>
    <w:rsid w:val="005F542F"/>
    <w:rsid w:val="005F5575"/>
    <w:rsid w:val="005F58B6"/>
    <w:rsid w:val="005F6477"/>
    <w:rsid w:val="005F6AA8"/>
    <w:rsid w:val="005F6EE3"/>
    <w:rsid w:val="005F785B"/>
    <w:rsid w:val="00600339"/>
    <w:rsid w:val="006007DB"/>
    <w:rsid w:val="00600C1F"/>
    <w:rsid w:val="0060117C"/>
    <w:rsid w:val="00601271"/>
    <w:rsid w:val="00601DE8"/>
    <w:rsid w:val="006020F7"/>
    <w:rsid w:val="00602E7C"/>
    <w:rsid w:val="00603077"/>
    <w:rsid w:val="00603A21"/>
    <w:rsid w:val="006048AE"/>
    <w:rsid w:val="00604A14"/>
    <w:rsid w:val="0060571D"/>
    <w:rsid w:val="00605B8D"/>
    <w:rsid w:val="00605D5D"/>
    <w:rsid w:val="00605EC7"/>
    <w:rsid w:val="00606034"/>
    <w:rsid w:val="00606455"/>
    <w:rsid w:val="006064BB"/>
    <w:rsid w:val="0060662E"/>
    <w:rsid w:val="0060689F"/>
    <w:rsid w:val="00606AC1"/>
    <w:rsid w:val="00606B03"/>
    <w:rsid w:val="00606F44"/>
    <w:rsid w:val="00610288"/>
    <w:rsid w:val="00610C14"/>
    <w:rsid w:val="00610C80"/>
    <w:rsid w:val="00610DEA"/>
    <w:rsid w:val="0061116A"/>
    <w:rsid w:val="00611792"/>
    <w:rsid w:val="00611943"/>
    <w:rsid w:val="00612041"/>
    <w:rsid w:val="00612B2A"/>
    <w:rsid w:val="00612D76"/>
    <w:rsid w:val="006132FC"/>
    <w:rsid w:val="0061389F"/>
    <w:rsid w:val="00614229"/>
    <w:rsid w:val="006142E5"/>
    <w:rsid w:val="00614914"/>
    <w:rsid w:val="00614ADA"/>
    <w:rsid w:val="00615B65"/>
    <w:rsid w:val="00616338"/>
    <w:rsid w:val="00616393"/>
    <w:rsid w:val="006168B6"/>
    <w:rsid w:val="00616BCE"/>
    <w:rsid w:val="00616CB6"/>
    <w:rsid w:val="00616D61"/>
    <w:rsid w:val="006173B6"/>
    <w:rsid w:val="006176FF"/>
    <w:rsid w:val="00620165"/>
    <w:rsid w:val="006201FC"/>
    <w:rsid w:val="00620643"/>
    <w:rsid w:val="00620D73"/>
    <w:rsid w:val="00620F70"/>
    <w:rsid w:val="00621CBE"/>
    <w:rsid w:val="00622541"/>
    <w:rsid w:val="00622B86"/>
    <w:rsid w:val="00624125"/>
    <w:rsid w:val="00624C15"/>
    <w:rsid w:val="00624CC2"/>
    <w:rsid w:val="0062507A"/>
    <w:rsid w:val="00625889"/>
    <w:rsid w:val="00626B6E"/>
    <w:rsid w:val="0062757B"/>
    <w:rsid w:val="00627EA6"/>
    <w:rsid w:val="006300D3"/>
    <w:rsid w:val="00630120"/>
    <w:rsid w:val="00630257"/>
    <w:rsid w:val="006309FF"/>
    <w:rsid w:val="00630A39"/>
    <w:rsid w:val="00630C91"/>
    <w:rsid w:val="006313C1"/>
    <w:rsid w:val="00631977"/>
    <w:rsid w:val="00631E93"/>
    <w:rsid w:val="0063258A"/>
    <w:rsid w:val="006326A7"/>
    <w:rsid w:val="00633602"/>
    <w:rsid w:val="00633FB8"/>
    <w:rsid w:val="006347BB"/>
    <w:rsid w:val="00634806"/>
    <w:rsid w:val="006349D7"/>
    <w:rsid w:val="00634A1E"/>
    <w:rsid w:val="0063503C"/>
    <w:rsid w:val="00635291"/>
    <w:rsid w:val="00635592"/>
    <w:rsid w:val="00635727"/>
    <w:rsid w:val="00635D5D"/>
    <w:rsid w:val="00635E97"/>
    <w:rsid w:val="00636509"/>
    <w:rsid w:val="0063686F"/>
    <w:rsid w:val="00637842"/>
    <w:rsid w:val="00637B44"/>
    <w:rsid w:val="00640180"/>
    <w:rsid w:val="00640B51"/>
    <w:rsid w:val="006411C2"/>
    <w:rsid w:val="006413D1"/>
    <w:rsid w:val="00641B86"/>
    <w:rsid w:val="006422B5"/>
    <w:rsid w:val="0064317D"/>
    <w:rsid w:val="006432CE"/>
    <w:rsid w:val="0064333A"/>
    <w:rsid w:val="006435EB"/>
    <w:rsid w:val="00643BC7"/>
    <w:rsid w:val="00644597"/>
    <w:rsid w:val="00645114"/>
    <w:rsid w:val="006456DC"/>
    <w:rsid w:val="00646B65"/>
    <w:rsid w:val="00647354"/>
    <w:rsid w:val="00647F9F"/>
    <w:rsid w:val="00650487"/>
    <w:rsid w:val="006507AC"/>
    <w:rsid w:val="006511D9"/>
    <w:rsid w:val="00651204"/>
    <w:rsid w:val="0065161C"/>
    <w:rsid w:val="0065164C"/>
    <w:rsid w:val="006518B7"/>
    <w:rsid w:val="006518E0"/>
    <w:rsid w:val="00651963"/>
    <w:rsid w:val="00652010"/>
    <w:rsid w:val="00652279"/>
    <w:rsid w:val="00652B81"/>
    <w:rsid w:val="00653010"/>
    <w:rsid w:val="00653D74"/>
    <w:rsid w:val="00653DD9"/>
    <w:rsid w:val="0065419D"/>
    <w:rsid w:val="006548AC"/>
    <w:rsid w:val="00654966"/>
    <w:rsid w:val="00654ABB"/>
    <w:rsid w:val="006554EE"/>
    <w:rsid w:val="00655853"/>
    <w:rsid w:val="0065621A"/>
    <w:rsid w:val="00656D08"/>
    <w:rsid w:val="00656FFB"/>
    <w:rsid w:val="00657395"/>
    <w:rsid w:val="00657750"/>
    <w:rsid w:val="00657CF9"/>
    <w:rsid w:val="0066089C"/>
    <w:rsid w:val="00660A9F"/>
    <w:rsid w:val="00661481"/>
    <w:rsid w:val="006616C1"/>
    <w:rsid w:val="00661AF1"/>
    <w:rsid w:val="00661B0C"/>
    <w:rsid w:val="00661D87"/>
    <w:rsid w:val="00662490"/>
    <w:rsid w:val="00662F0F"/>
    <w:rsid w:val="006631C4"/>
    <w:rsid w:val="006637FA"/>
    <w:rsid w:val="00663A03"/>
    <w:rsid w:val="00663C37"/>
    <w:rsid w:val="00663FAF"/>
    <w:rsid w:val="00663FC1"/>
    <w:rsid w:val="00664151"/>
    <w:rsid w:val="00664688"/>
    <w:rsid w:val="00664D4D"/>
    <w:rsid w:val="00664EC9"/>
    <w:rsid w:val="00665069"/>
    <w:rsid w:val="00665377"/>
    <w:rsid w:val="006661A2"/>
    <w:rsid w:val="006670A9"/>
    <w:rsid w:val="00667409"/>
    <w:rsid w:val="00670347"/>
    <w:rsid w:val="0067050B"/>
    <w:rsid w:val="00670C86"/>
    <w:rsid w:val="00670D54"/>
    <w:rsid w:val="00671083"/>
    <w:rsid w:val="0067112C"/>
    <w:rsid w:val="00671956"/>
    <w:rsid w:val="0067260F"/>
    <w:rsid w:val="00673B9E"/>
    <w:rsid w:val="006749CB"/>
    <w:rsid w:val="00675C10"/>
    <w:rsid w:val="0067678A"/>
    <w:rsid w:val="0067693A"/>
    <w:rsid w:val="00676942"/>
    <w:rsid w:val="00676949"/>
    <w:rsid w:val="00676B00"/>
    <w:rsid w:val="00676D82"/>
    <w:rsid w:val="00676ECF"/>
    <w:rsid w:val="00677048"/>
    <w:rsid w:val="00677163"/>
    <w:rsid w:val="0067732A"/>
    <w:rsid w:val="00677630"/>
    <w:rsid w:val="0067764B"/>
    <w:rsid w:val="00680635"/>
    <w:rsid w:val="00680CAA"/>
    <w:rsid w:val="00680D7B"/>
    <w:rsid w:val="00680D84"/>
    <w:rsid w:val="00681266"/>
    <w:rsid w:val="00682B1D"/>
    <w:rsid w:val="00682F94"/>
    <w:rsid w:val="00683308"/>
    <w:rsid w:val="00683A4D"/>
    <w:rsid w:val="00683AD0"/>
    <w:rsid w:val="00684620"/>
    <w:rsid w:val="00684C62"/>
    <w:rsid w:val="00685213"/>
    <w:rsid w:val="00685353"/>
    <w:rsid w:val="00685852"/>
    <w:rsid w:val="00685BAE"/>
    <w:rsid w:val="00685E82"/>
    <w:rsid w:val="00685F68"/>
    <w:rsid w:val="00685F75"/>
    <w:rsid w:val="006861F6"/>
    <w:rsid w:val="006867B0"/>
    <w:rsid w:val="00686E67"/>
    <w:rsid w:val="00687380"/>
    <w:rsid w:val="006876EE"/>
    <w:rsid w:val="0068784E"/>
    <w:rsid w:val="00687C74"/>
    <w:rsid w:val="00687DE0"/>
    <w:rsid w:val="00687E52"/>
    <w:rsid w:val="0069019E"/>
    <w:rsid w:val="006901D0"/>
    <w:rsid w:val="006904F8"/>
    <w:rsid w:val="006908AA"/>
    <w:rsid w:val="006908F0"/>
    <w:rsid w:val="006909A6"/>
    <w:rsid w:val="00690B14"/>
    <w:rsid w:val="00690D50"/>
    <w:rsid w:val="0069107D"/>
    <w:rsid w:val="0069121C"/>
    <w:rsid w:val="006919FF"/>
    <w:rsid w:val="00691A27"/>
    <w:rsid w:val="00692034"/>
    <w:rsid w:val="006920F2"/>
    <w:rsid w:val="00692233"/>
    <w:rsid w:val="00692715"/>
    <w:rsid w:val="006929A5"/>
    <w:rsid w:val="00692C05"/>
    <w:rsid w:val="006932E0"/>
    <w:rsid w:val="00693516"/>
    <w:rsid w:val="0069361F"/>
    <w:rsid w:val="00693E6D"/>
    <w:rsid w:val="00694B2E"/>
    <w:rsid w:val="00694C26"/>
    <w:rsid w:val="0069622A"/>
    <w:rsid w:val="00696DEB"/>
    <w:rsid w:val="00697004"/>
    <w:rsid w:val="00697689"/>
    <w:rsid w:val="0069785E"/>
    <w:rsid w:val="00697ED8"/>
    <w:rsid w:val="006A0DD0"/>
    <w:rsid w:val="006A0E1B"/>
    <w:rsid w:val="006A0EA3"/>
    <w:rsid w:val="006A1F09"/>
    <w:rsid w:val="006A2355"/>
    <w:rsid w:val="006A23F8"/>
    <w:rsid w:val="006A4461"/>
    <w:rsid w:val="006A4E5B"/>
    <w:rsid w:val="006A6146"/>
    <w:rsid w:val="006A6826"/>
    <w:rsid w:val="006A6B22"/>
    <w:rsid w:val="006A6D14"/>
    <w:rsid w:val="006A71A9"/>
    <w:rsid w:val="006A762D"/>
    <w:rsid w:val="006B01E4"/>
    <w:rsid w:val="006B0B6A"/>
    <w:rsid w:val="006B10BF"/>
    <w:rsid w:val="006B1578"/>
    <w:rsid w:val="006B2292"/>
    <w:rsid w:val="006B2393"/>
    <w:rsid w:val="006B2614"/>
    <w:rsid w:val="006B2B2F"/>
    <w:rsid w:val="006B3528"/>
    <w:rsid w:val="006B35E1"/>
    <w:rsid w:val="006B360B"/>
    <w:rsid w:val="006B3A56"/>
    <w:rsid w:val="006B3B01"/>
    <w:rsid w:val="006B432D"/>
    <w:rsid w:val="006B500D"/>
    <w:rsid w:val="006B597B"/>
    <w:rsid w:val="006B5D8F"/>
    <w:rsid w:val="006B5ED6"/>
    <w:rsid w:val="006B62F4"/>
    <w:rsid w:val="006B6A32"/>
    <w:rsid w:val="006B6D7C"/>
    <w:rsid w:val="006B6DFD"/>
    <w:rsid w:val="006B6EBF"/>
    <w:rsid w:val="006B727D"/>
    <w:rsid w:val="006B75D9"/>
    <w:rsid w:val="006B7848"/>
    <w:rsid w:val="006B78E0"/>
    <w:rsid w:val="006B7D6E"/>
    <w:rsid w:val="006C04F2"/>
    <w:rsid w:val="006C05D2"/>
    <w:rsid w:val="006C0CDC"/>
    <w:rsid w:val="006C10C5"/>
    <w:rsid w:val="006C1668"/>
    <w:rsid w:val="006C1E8D"/>
    <w:rsid w:val="006C1ED1"/>
    <w:rsid w:val="006C252D"/>
    <w:rsid w:val="006C2770"/>
    <w:rsid w:val="006C2873"/>
    <w:rsid w:val="006C2F8C"/>
    <w:rsid w:val="006C3006"/>
    <w:rsid w:val="006C394A"/>
    <w:rsid w:val="006C3DA5"/>
    <w:rsid w:val="006C3E5C"/>
    <w:rsid w:val="006C46AE"/>
    <w:rsid w:val="006C4D0B"/>
    <w:rsid w:val="006C4E06"/>
    <w:rsid w:val="006C51B2"/>
    <w:rsid w:val="006C51DA"/>
    <w:rsid w:val="006C5D37"/>
    <w:rsid w:val="006C5F53"/>
    <w:rsid w:val="006C65E6"/>
    <w:rsid w:val="006C6653"/>
    <w:rsid w:val="006C669F"/>
    <w:rsid w:val="006C6D36"/>
    <w:rsid w:val="006C7281"/>
    <w:rsid w:val="006C7A90"/>
    <w:rsid w:val="006C7C62"/>
    <w:rsid w:val="006D0058"/>
    <w:rsid w:val="006D0152"/>
    <w:rsid w:val="006D0C18"/>
    <w:rsid w:val="006D1182"/>
    <w:rsid w:val="006D17B2"/>
    <w:rsid w:val="006D1A87"/>
    <w:rsid w:val="006D1B0E"/>
    <w:rsid w:val="006D1E64"/>
    <w:rsid w:val="006D2055"/>
    <w:rsid w:val="006D23D9"/>
    <w:rsid w:val="006D29FA"/>
    <w:rsid w:val="006D30A8"/>
    <w:rsid w:val="006D30C0"/>
    <w:rsid w:val="006D383A"/>
    <w:rsid w:val="006D40F4"/>
    <w:rsid w:val="006D444E"/>
    <w:rsid w:val="006D4A52"/>
    <w:rsid w:val="006D5358"/>
    <w:rsid w:val="006D61E3"/>
    <w:rsid w:val="006D649F"/>
    <w:rsid w:val="006D6829"/>
    <w:rsid w:val="006D6AE6"/>
    <w:rsid w:val="006D6C29"/>
    <w:rsid w:val="006D73F7"/>
    <w:rsid w:val="006D7925"/>
    <w:rsid w:val="006E0751"/>
    <w:rsid w:val="006E0D7D"/>
    <w:rsid w:val="006E0F61"/>
    <w:rsid w:val="006E13B4"/>
    <w:rsid w:val="006E1511"/>
    <w:rsid w:val="006E1A1F"/>
    <w:rsid w:val="006E31D6"/>
    <w:rsid w:val="006E3D9C"/>
    <w:rsid w:val="006E5014"/>
    <w:rsid w:val="006E61B8"/>
    <w:rsid w:val="006E61BE"/>
    <w:rsid w:val="006E65AE"/>
    <w:rsid w:val="006E6615"/>
    <w:rsid w:val="006E66DB"/>
    <w:rsid w:val="006E67BB"/>
    <w:rsid w:val="006E68A7"/>
    <w:rsid w:val="006E6FCC"/>
    <w:rsid w:val="006E74DE"/>
    <w:rsid w:val="006E76C5"/>
    <w:rsid w:val="006F0206"/>
    <w:rsid w:val="006F05EF"/>
    <w:rsid w:val="006F0D9F"/>
    <w:rsid w:val="006F2300"/>
    <w:rsid w:val="006F294E"/>
    <w:rsid w:val="006F2C81"/>
    <w:rsid w:val="006F2D5D"/>
    <w:rsid w:val="006F3445"/>
    <w:rsid w:val="006F4187"/>
    <w:rsid w:val="006F484D"/>
    <w:rsid w:val="006F4DFD"/>
    <w:rsid w:val="006F52F0"/>
    <w:rsid w:val="006F5608"/>
    <w:rsid w:val="006F5629"/>
    <w:rsid w:val="006F5B6D"/>
    <w:rsid w:val="006F5B9F"/>
    <w:rsid w:val="00700BD7"/>
    <w:rsid w:val="00700C01"/>
    <w:rsid w:val="00701718"/>
    <w:rsid w:val="007023CF"/>
    <w:rsid w:val="00702AAE"/>
    <w:rsid w:val="0070305E"/>
    <w:rsid w:val="007039C1"/>
    <w:rsid w:val="00704CF9"/>
    <w:rsid w:val="00704DC2"/>
    <w:rsid w:val="00704FB6"/>
    <w:rsid w:val="00705677"/>
    <w:rsid w:val="0070584E"/>
    <w:rsid w:val="00705E47"/>
    <w:rsid w:val="0070655B"/>
    <w:rsid w:val="00707488"/>
    <w:rsid w:val="00707BA8"/>
    <w:rsid w:val="00707CE9"/>
    <w:rsid w:val="00707D2E"/>
    <w:rsid w:val="007105DC"/>
    <w:rsid w:val="00710B0D"/>
    <w:rsid w:val="0071116D"/>
    <w:rsid w:val="0071136C"/>
    <w:rsid w:val="00711597"/>
    <w:rsid w:val="00711A29"/>
    <w:rsid w:val="00711B4F"/>
    <w:rsid w:val="00711F3A"/>
    <w:rsid w:val="00712338"/>
    <w:rsid w:val="00713260"/>
    <w:rsid w:val="00713411"/>
    <w:rsid w:val="007135CD"/>
    <w:rsid w:val="00714A4D"/>
    <w:rsid w:val="00714D5C"/>
    <w:rsid w:val="00714EBA"/>
    <w:rsid w:val="007152F4"/>
    <w:rsid w:val="007154CF"/>
    <w:rsid w:val="0071557A"/>
    <w:rsid w:val="007157B7"/>
    <w:rsid w:val="00715974"/>
    <w:rsid w:val="00715E95"/>
    <w:rsid w:val="007164D4"/>
    <w:rsid w:val="00716554"/>
    <w:rsid w:val="00716621"/>
    <w:rsid w:val="0071734F"/>
    <w:rsid w:val="0072008B"/>
    <w:rsid w:val="00721BD9"/>
    <w:rsid w:val="00721D08"/>
    <w:rsid w:val="00721DB1"/>
    <w:rsid w:val="00721E52"/>
    <w:rsid w:val="0072284D"/>
    <w:rsid w:val="00723512"/>
    <w:rsid w:val="00723ED3"/>
    <w:rsid w:val="00724397"/>
    <w:rsid w:val="007245E3"/>
    <w:rsid w:val="00724624"/>
    <w:rsid w:val="007246F7"/>
    <w:rsid w:val="007249D5"/>
    <w:rsid w:val="00724AA1"/>
    <w:rsid w:val="00726032"/>
    <w:rsid w:val="00726DE2"/>
    <w:rsid w:val="00727244"/>
    <w:rsid w:val="007275FF"/>
    <w:rsid w:val="0072761E"/>
    <w:rsid w:val="00730ACE"/>
    <w:rsid w:val="00730CAE"/>
    <w:rsid w:val="00731270"/>
    <w:rsid w:val="007326DA"/>
    <w:rsid w:val="00733A27"/>
    <w:rsid w:val="00734777"/>
    <w:rsid w:val="00735C8A"/>
    <w:rsid w:val="00736988"/>
    <w:rsid w:val="00736AF7"/>
    <w:rsid w:val="007375CB"/>
    <w:rsid w:val="007400FC"/>
    <w:rsid w:val="007405A6"/>
    <w:rsid w:val="007408C7"/>
    <w:rsid w:val="00740E5B"/>
    <w:rsid w:val="00741E21"/>
    <w:rsid w:val="00741EB0"/>
    <w:rsid w:val="0074291B"/>
    <w:rsid w:val="00742A65"/>
    <w:rsid w:val="00742BBC"/>
    <w:rsid w:val="00743138"/>
    <w:rsid w:val="00743300"/>
    <w:rsid w:val="00743C01"/>
    <w:rsid w:val="00743DAF"/>
    <w:rsid w:val="00744D59"/>
    <w:rsid w:val="00745403"/>
    <w:rsid w:val="00745D74"/>
    <w:rsid w:val="00746065"/>
    <w:rsid w:val="00746AE2"/>
    <w:rsid w:val="00746C98"/>
    <w:rsid w:val="00747025"/>
    <w:rsid w:val="0074728A"/>
    <w:rsid w:val="007474EB"/>
    <w:rsid w:val="007476F9"/>
    <w:rsid w:val="0074799F"/>
    <w:rsid w:val="00747A49"/>
    <w:rsid w:val="00747B04"/>
    <w:rsid w:val="00747BA5"/>
    <w:rsid w:val="007504B7"/>
    <w:rsid w:val="007504EC"/>
    <w:rsid w:val="00751454"/>
    <w:rsid w:val="007524EF"/>
    <w:rsid w:val="007525DE"/>
    <w:rsid w:val="00752737"/>
    <w:rsid w:val="00752C3F"/>
    <w:rsid w:val="00753390"/>
    <w:rsid w:val="007534D6"/>
    <w:rsid w:val="00753525"/>
    <w:rsid w:val="00753D4F"/>
    <w:rsid w:val="00753F4C"/>
    <w:rsid w:val="00754285"/>
    <w:rsid w:val="00754B0A"/>
    <w:rsid w:val="0075500D"/>
    <w:rsid w:val="007554BD"/>
    <w:rsid w:val="0075556A"/>
    <w:rsid w:val="0075688A"/>
    <w:rsid w:val="00756900"/>
    <w:rsid w:val="00756BD9"/>
    <w:rsid w:val="007572CA"/>
    <w:rsid w:val="0075739A"/>
    <w:rsid w:val="00757A51"/>
    <w:rsid w:val="007608EC"/>
    <w:rsid w:val="00760A53"/>
    <w:rsid w:val="00760C86"/>
    <w:rsid w:val="00762510"/>
    <w:rsid w:val="007633F0"/>
    <w:rsid w:val="0076357D"/>
    <w:rsid w:val="0076378F"/>
    <w:rsid w:val="00764CC2"/>
    <w:rsid w:val="00764F89"/>
    <w:rsid w:val="00765024"/>
    <w:rsid w:val="007659D7"/>
    <w:rsid w:val="00765DC1"/>
    <w:rsid w:val="00766CD3"/>
    <w:rsid w:val="0076739D"/>
    <w:rsid w:val="007675E4"/>
    <w:rsid w:val="0077028B"/>
    <w:rsid w:val="0077071D"/>
    <w:rsid w:val="00770BE5"/>
    <w:rsid w:val="0077161B"/>
    <w:rsid w:val="00771B0E"/>
    <w:rsid w:val="00771BF4"/>
    <w:rsid w:val="00772803"/>
    <w:rsid w:val="00772A6E"/>
    <w:rsid w:val="00772ABE"/>
    <w:rsid w:val="0077350F"/>
    <w:rsid w:val="0077358F"/>
    <w:rsid w:val="0077512D"/>
    <w:rsid w:val="00775317"/>
    <w:rsid w:val="007757A5"/>
    <w:rsid w:val="00775C33"/>
    <w:rsid w:val="00775CF0"/>
    <w:rsid w:val="00775FEF"/>
    <w:rsid w:val="00776891"/>
    <w:rsid w:val="00777168"/>
    <w:rsid w:val="00777230"/>
    <w:rsid w:val="00777F11"/>
    <w:rsid w:val="00780997"/>
    <w:rsid w:val="00781788"/>
    <w:rsid w:val="007823EA"/>
    <w:rsid w:val="00782420"/>
    <w:rsid w:val="00782A9F"/>
    <w:rsid w:val="007831EC"/>
    <w:rsid w:val="007844FC"/>
    <w:rsid w:val="007853EA"/>
    <w:rsid w:val="007858EE"/>
    <w:rsid w:val="00786665"/>
    <w:rsid w:val="00787C6C"/>
    <w:rsid w:val="00787D53"/>
    <w:rsid w:val="00787E42"/>
    <w:rsid w:val="0079032A"/>
    <w:rsid w:val="0079067E"/>
    <w:rsid w:val="0079087B"/>
    <w:rsid w:val="00792365"/>
    <w:rsid w:val="007928CB"/>
    <w:rsid w:val="00793638"/>
    <w:rsid w:val="007942B4"/>
    <w:rsid w:val="0079462A"/>
    <w:rsid w:val="007948CB"/>
    <w:rsid w:val="00794AB5"/>
    <w:rsid w:val="00795B06"/>
    <w:rsid w:val="007971C1"/>
    <w:rsid w:val="007972F2"/>
    <w:rsid w:val="0079731F"/>
    <w:rsid w:val="00797667"/>
    <w:rsid w:val="00797702"/>
    <w:rsid w:val="00797AC0"/>
    <w:rsid w:val="00797E2C"/>
    <w:rsid w:val="00797F1F"/>
    <w:rsid w:val="007A0E43"/>
    <w:rsid w:val="007A1360"/>
    <w:rsid w:val="007A1AA4"/>
    <w:rsid w:val="007A2BB3"/>
    <w:rsid w:val="007A336B"/>
    <w:rsid w:val="007A36FB"/>
    <w:rsid w:val="007A3C40"/>
    <w:rsid w:val="007A3D5C"/>
    <w:rsid w:val="007A4143"/>
    <w:rsid w:val="007A43B8"/>
    <w:rsid w:val="007A52E7"/>
    <w:rsid w:val="007A58D4"/>
    <w:rsid w:val="007A59DA"/>
    <w:rsid w:val="007A5CE5"/>
    <w:rsid w:val="007A6A87"/>
    <w:rsid w:val="007A6B4E"/>
    <w:rsid w:val="007A71DE"/>
    <w:rsid w:val="007A7463"/>
    <w:rsid w:val="007B0AC1"/>
    <w:rsid w:val="007B102C"/>
    <w:rsid w:val="007B13FD"/>
    <w:rsid w:val="007B1C6A"/>
    <w:rsid w:val="007B1CB4"/>
    <w:rsid w:val="007B2033"/>
    <w:rsid w:val="007B22D8"/>
    <w:rsid w:val="007B3B90"/>
    <w:rsid w:val="007B3E39"/>
    <w:rsid w:val="007B4E19"/>
    <w:rsid w:val="007B4FC8"/>
    <w:rsid w:val="007B52A7"/>
    <w:rsid w:val="007B52EA"/>
    <w:rsid w:val="007B5BD1"/>
    <w:rsid w:val="007B63CC"/>
    <w:rsid w:val="007B6760"/>
    <w:rsid w:val="007B6C07"/>
    <w:rsid w:val="007B6E3B"/>
    <w:rsid w:val="007B6E84"/>
    <w:rsid w:val="007B6FBE"/>
    <w:rsid w:val="007B74A8"/>
    <w:rsid w:val="007B7C0F"/>
    <w:rsid w:val="007B7CEA"/>
    <w:rsid w:val="007C0123"/>
    <w:rsid w:val="007C028D"/>
    <w:rsid w:val="007C0A44"/>
    <w:rsid w:val="007C1268"/>
    <w:rsid w:val="007C161C"/>
    <w:rsid w:val="007C177D"/>
    <w:rsid w:val="007C17C5"/>
    <w:rsid w:val="007C1EAD"/>
    <w:rsid w:val="007C2089"/>
    <w:rsid w:val="007C275F"/>
    <w:rsid w:val="007C28B4"/>
    <w:rsid w:val="007C3937"/>
    <w:rsid w:val="007C4290"/>
    <w:rsid w:val="007C4F2C"/>
    <w:rsid w:val="007C5187"/>
    <w:rsid w:val="007C5788"/>
    <w:rsid w:val="007C57BC"/>
    <w:rsid w:val="007C72A7"/>
    <w:rsid w:val="007C73EC"/>
    <w:rsid w:val="007C7777"/>
    <w:rsid w:val="007C79FD"/>
    <w:rsid w:val="007C7A14"/>
    <w:rsid w:val="007D05FD"/>
    <w:rsid w:val="007D0D78"/>
    <w:rsid w:val="007D1060"/>
    <w:rsid w:val="007D1A4D"/>
    <w:rsid w:val="007D213F"/>
    <w:rsid w:val="007D214B"/>
    <w:rsid w:val="007D2E3D"/>
    <w:rsid w:val="007D2E7D"/>
    <w:rsid w:val="007D33A4"/>
    <w:rsid w:val="007D3601"/>
    <w:rsid w:val="007D3654"/>
    <w:rsid w:val="007D3A1F"/>
    <w:rsid w:val="007D487E"/>
    <w:rsid w:val="007D4DAF"/>
    <w:rsid w:val="007D4F7E"/>
    <w:rsid w:val="007D5083"/>
    <w:rsid w:val="007D578F"/>
    <w:rsid w:val="007D57B5"/>
    <w:rsid w:val="007D59B9"/>
    <w:rsid w:val="007D6550"/>
    <w:rsid w:val="007D673D"/>
    <w:rsid w:val="007D7AA3"/>
    <w:rsid w:val="007D7AB1"/>
    <w:rsid w:val="007D7FD4"/>
    <w:rsid w:val="007E0134"/>
    <w:rsid w:val="007E0F6B"/>
    <w:rsid w:val="007E1938"/>
    <w:rsid w:val="007E1E8F"/>
    <w:rsid w:val="007E28EF"/>
    <w:rsid w:val="007E37C5"/>
    <w:rsid w:val="007E38A7"/>
    <w:rsid w:val="007E3CC4"/>
    <w:rsid w:val="007E3F63"/>
    <w:rsid w:val="007E4414"/>
    <w:rsid w:val="007E45E3"/>
    <w:rsid w:val="007E5136"/>
    <w:rsid w:val="007E5606"/>
    <w:rsid w:val="007E5882"/>
    <w:rsid w:val="007E5CF8"/>
    <w:rsid w:val="007E5F08"/>
    <w:rsid w:val="007E6DFA"/>
    <w:rsid w:val="007E7724"/>
    <w:rsid w:val="007F0BB5"/>
    <w:rsid w:val="007F1A26"/>
    <w:rsid w:val="007F1FEB"/>
    <w:rsid w:val="007F2F46"/>
    <w:rsid w:val="007F2F59"/>
    <w:rsid w:val="007F3369"/>
    <w:rsid w:val="007F3BEB"/>
    <w:rsid w:val="007F44DD"/>
    <w:rsid w:val="007F476C"/>
    <w:rsid w:val="007F49C3"/>
    <w:rsid w:val="007F4DC4"/>
    <w:rsid w:val="007F59DD"/>
    <w:rsid w:val="007F5AED"/>
    <w:rsid w:val="007F5C18"/>
    <w:rsid w:val="007F6660"/>
    <w:rsid w:val="007F6E65"/>
    <w:rsid w:val="007F70AE"/>
    <w:rsid w:val="007F732C"/>
    <w:rsid w:val="007F7CD5"/>
    <w:rsid w:val="00800480"/>
    <w:rsid w:val="00800D9E"/>
    <w:rsid w:val="00800E85"/>
    <w:rsid w:val="008010AB"/>
    <w:rsid w:val="008012A7"/>
    <w:rsid w:val="008019AF"/>
    <w:rsid w:val="00802D4C"/>
    <w:rsid w:val="00804014"/>
    <w:rsid w:val="008045C1"/>
    <w:rsid w:val="008059DA"/>
    <w:rsid w:val="00805D5E"/>
    <w:rsid w:val="00807023"/>
    <w:rsid w:val="00807D18"/>
    <w:rsid w:val="00810218"/>
    <w:rsid w:val="008102A0"/>
    <w:rsid w:val="00810B29"/>
    <w:rsid w:val="00811ECC"/>
    <w:rsid w:val="008122E2"/>
    <w:rsid w:val="008133C3"/>
    <w:rsid w:val="008137CA"/>
    <w:rsid w:val="00813C4F"/>
    <w:rsid w:val="008150E9"/>
    <w:rsid w:val="008161D7"/>
    <w:rsid w:val="008168E7"/>
    <w:rsid w:val="00816A7C"/>
    <w:rsid w:val="008174F1"/>
    <w:rsid w:val="008175EE"/>
    <w:rsid w:val="00817947"/>
    <w:rsid w:val="00817A05"/>
    <w:rsid w:val="00820266"/>
    <w:rsid w:val="00820513"/>
    <w:rsid w:val="008217FA"/>
    <w:rsid w:val="00821835"/>
    <w:rsid w:val="00821FFC"/>
    <w:rsid w:val="0082205C"/>
    <w:rsid w:val="008229EB"/>
    <w:rsid w:val="00822F72"/>
    <w:rsid w:val="00823243"/>
    <w:rsid w:val="00823A86"/>
    <w:rsid w:val="008240E0"/>
    <w:rsid w:val="00824A60"/>
    <w:rsid w:val="00824D00"/>
    <w:rsid w:val="0082514D"/>
    <w:rsid w:val="00825601"/>
    <w:rsid w:val="00825D0F"/>
    <w:rsid w:val="00825D6E"/>
    <w:rsid w:val="00825EEA"/>
    <w:rsid w:val="00826973"/>
    <w:rsid w:val="008269B2"/>
    <w:rsid w:val="00826FA0"/>
    <w:rsid w:val="00827CAE"/>
    <w:rsid w:val="00827F22"/>
    <w:rsid w:val="00827F4D"/>
    <w:rsid w:val="008308D6"/>
    <w:rsid w:val="008311EE"/>
    <w:rsid w:val="00831C34"/>
    <w:rsid w:val="0083211E"/>
    <w:rsid w:val="0083292E"/>
    <w:rsid w:val="00832C17"/>
    <w:rsid w:val="00832D56"/>
    <w:rsid w:val="008330A6"/>
    <w:rsid w:val="008333D5"/>
    <w:rsid w:val="00833736"/>
    <w:rsid w:val="00833820"/>
    <w:rsid w:val="00834132"/>
    <w:rsid w:val="00834729"/>
    <w:rsid w:val="00834B51"/>
    <w:rsid w:val="008359A5"/>
    <w:rsid w:val="0083638C"/>
    <w:rsid w:val="008374CE"/>
    <w:rsid w:val="0083789A"/>
    <w:rsid w:val="00840680"/>
    <w:rsid w:val="00840911"/>
    <w:rsid w:val="008415D8"/>
    <w:rsid w:val="00841BCB"/>
    <w:rsid w:val="00842075"/>
    <w:rsid w:val="008424C1"/>
    <w:rsid w:val="008426C3"/>
    <w:rsid w:val="00842A01"/>
    <w:rsid w:val="00842C37"/>
    <w:rsid w:val="0084302C"/>
    <w:rsid w:val="00843305"/>
    <w:rsid w:val="00843517"/>
    <w:rsid w:val="00843CB3"/>
    <w:rsid w:val="00845B26"/>
    <w:rsid w:val="00845F65"/>
    <w:rsid w:val="00845F9A"/>
    <w:rsid w:val="00846975"/>
    <w:rsid w:val="00846A20"/>
    <w:rsid w:val="00846DBC"/>
    <w:rsid w:val="008471B2"/>
    <w:rsid w:val="008471D5"/>
    <w:rsid w:val="00847499"/>
    <w:rsid w:val="00847A5C"/>
    <w:rsid w:val="00850E15"/>
    <w:rsid w:val="008516A0"/>
    <w:rsid w:val="008528A3"/>
    <w:rsid w:val="00852B3A"/>
    <w:rsid w:val="00852D74"/>
    <w:rsid w:val="008536B0"/>
    <w:rsid w:val="008547BA"/>
    <w:rsid w:val="00854A4E"/>
    <w:rsid w:val="00854ABE"/>
    <w:rsid w:val="00854B83"/>
    <w:rsid w:val="00855A21"/>
    <w:rsid w:val="0085698B"/>
    <w:rsid w:val="00856F9B"/>
    <w:rsid w:val="00856FD5"/>
    <w:rsid w:val="00857065"/>
    <w:rsid w:val="00857B7A"/>
    <w:rsid w:val="008601E5"/>
    <w:rsid w:val="0086023E"/>
    <w:rsid w:val="0086029F"/>
    <w:rsid w:val="0086081B"/>
    <w:rsid w:val="00860C29"/>
    <w:rsid w:val="00860E03"/>
    <w:rsid w:val="00860FF8"/>
    <w:rsid w:val="00861270"/>
    <w:rsid w:val="008625B6"/>
    <w:rsid w:val="00862AA8"/>
    <w:rsid w:val="00863034"/>
    <w:rsid w:val="00863421"/>
    <w:rsid w:val="008634A4"/>
    <w:rsid w:val="008636E6"/>
    <w:rsid w:val="008637FA"/>
    <w:rsid w:val="008639E7"/>
    <w:rsid w:val="00864303"/>
    <w:rsid w:val="00865008"/>
    <w:rsid w:val="0086503B"/>
    <w:rsid w:val="0086548E"/>
    <w:rsid w:val="008657A5"/>
    <w:rsid w:val="00865930"/>
    <w:rsid w:val="00866110"/>
    <w:rsid w:val="00866813"/>
    <w:rsid w:val="008670AC"/>
    <w:rsid w:val="008670DF"/>
    <w:rsid w:val="008674D4"/>
    <w:rsid w:val="0086760A"/>
    <w:rsid w:val="00867846"/>
    <w:rsid w:val="00867A93"/>
    <w:rsid w:val="00867D78"/>
    <w:rsid w:val="00870354"/>
    <w:rsid w:val="0087134F"/>
    <w:rsid w:val="0087174B"/>
    <w:rsid w:val="00871F35"/>
    <w:rsid w:val="00872CB9"/>
    <w:rsid w:val="00873100"/>
    <w:rsid w:val="00873654"/>
    <w:rsid w:val="008737E2"/>
    <w:rsid w:val="00873D80"/>
    <w:rsid w:val="00874351"/>
    <w:rsid w:val="00875235"/>
    <w:rsid w:val="00875587"/>
    <w:rsid w:val="00875B13"/>
    <w:rsid w:val="00875C2B"/>
    <w:rsid w:val="00875E80"/>
    <w:rsid w:val="008764CF"/>
    <w:rsid w:val="00876A1A"/>
    <w:rsid w:val="00876D98"/>
    <w:rsid w:val="00876DFD"/>
    <w:rsid w:val="00876F69"/>
    <w:rsid w:val="008773FF"/>
    <w:rsid w:val="00877820"/>
    <w:rsid w:val="008778FB"/>
    <w:rsid w:val="00877A91"/>
    <w:rsid w:val="00877E45"/>
    <w:rsid w:val="0088037D"/>
    <w:rsid w:val="008808BE"/>
    <w:rsid w:val="00880CDD"/>
    <w:rsid w:val="00881641"/>
    <w:rsid w:val="00881ACA"/>
    <w:rsid w:val="008831EB"/>
    <w:rsid w:val="008833F2"/>
    <w:rsid w:val="00883F15"/>
    <w:rsid w:val="00884245"/>
    <w:rsid w:val="0088439B"/>
    <w:rsid w:val="00884BBC"/>
    <w:rsid w:val="00884BE3"/>
    <w:rsid w:val="00884E88"/>
    <w:rsid w:val="00885D69"/>
    <w:rsid w:val="00886073"/>
    <w:rsid w:val="008868C1"/>
    <w:rsid w:val="00886CDD"/>
    <w:rsid w:val="00890077"/>
    <w:rsid w:val="00890379"/>
    <w:rsid w:val="008903D3"/>
    <w:rsid w:val="00890AA3"/>
    <w:rsid w:val="0089108D"/>
    <w:rsid w:val="00891466"/>
    <w:rsid w:val="008917ED"/>
    <w:rsid w:val="00891C9D"/>
    <w:rsid w:val="00891E55"/>
    <w:rsid w:val="008930A3"/>
    <w:rsid w:val="008938EB"/>
    <w:rsid w:val="00893BCF"/>
    <w:rsid w:val="00893C1E"/>
    <w:rsid w:val="00893F12"/>
    <w:rsid w:val="0089450C"/>
    <w:rsid w:val="008957EB"/>
    <w:rsid w:val="00896C1C"/>
    <w:rsid w:val="0089767A"/>
    <w:rsid w:val="00897A60"/>
    <w:rsid w:val="00897C30"/>
    <w:rsid w:val="008A0412"/>
    <w:rsid w:val="008A07B4"/>
    <w:rsid w:val="008A13A6"/>
    <w:rsid w:val="008A19CD"/>
    <w:rsid w:val="008A1A7B"/>
    <w:rsid w:val="008A210E"/>
    <w:rsid w:val="008A31FA"/>
    <w:rsid w:val="008A34BD"/>
    <w:rsid w:val="008A35C3"/>
    <w:rsid w:val="008A35FF"/>
    <w:rsid w:val="008A3BDE"/>
    <w:rsid w:val="008A4544"/>
    <w:rsid w:val="008A4FB6"/>
    <w:rsid w:val="008A5A23"/>
    <w:rsid w:val="008A5C27"/>
    <w:rsid w:val="008A6240"/>
    <w:rsid w:val="008A6387"/>
    <w:rsid w:val="008A6C25"/>
    <w:rsid w:val="008A76CB"/>
    <w:rsid w:val="008B050D"/>
    <w:rsid w:val="008B052F"/>
    <w:rsid w:val="008B083F"/>
    <w:rsid w:val="008B0EA5"/>
    <w:rsid w:val="008B148A"/>
    <w:rsid w:val="008B274A"/>
    <w:rsid w:val="008B2808"/>
    <w:rsid w:val="008B29FD"/>
    <w:rsid w:val="008B2F8A"/>
    <w:rsid w:val="008B3718"/>
    <w:rsid w:val="008B3D4B"/>
    <w:rsid w:val="008B4780"/>
    <w:rsid w:val="008B4CC2"/>
    <w:rsid w:val="008B55F9"/>
    <w:rsid w:val="008B6177"/>
    <w:rsid w:val="008B66E7"/>
    <w:rsid w:val="008B6D3F"/>
    <w:rsid w:val="008B73BA"/>
    <w:rsid w:val="008B7B35"/>
    <w:rsid w:val="008C052E"/>
    <w:rsid w:val="008C0E40"/>
    <w:rsid w:val="008C1725"/>
    <w:rsid w:val="008C1F37"/>
    <w:rsid w:val="008C1F9B"/>
    <w:rsid w:val="008C2558"/>
    <w:rsid w:val="008C2559"/>
    <w:rsid w:val="008C29DD"/>
    <w:rsid w:val="008C2CA5"/>
    <w:rsid w:val="008C2E48"/>
    <w:rsid w:val="008C2F60"/>
    <w:rsid w:val="008C2FB0"/>
    <w:rsid w:val="008C3070"/>
    <w:rsid w:val="008C3CC3"/>
    <w:rsid w:val="008C430C"/>
    <w:rsid w:val="008C4E87"/>
    <w:rsid w:val="008C5F4E"/>
    <w:rsid w:val="008C5FA0"/>
    <w:rsid w:val="008C6666"/>
    <w:rsid w:val="008C6E78"/>
    <w:rsid w:val="008C7968"/>
    <w:rsid w:val="008C7C45"/>
    <w:rsid w:val="008C7D0F"/>
    <w:rsid w:val="008C7FA6"/>
    <w:rsid w:val="008D0193"/>
    <w:rsid w:val="008D1218"/>
    <w:rsid w:val="008D1C12"/>
    <w:rsid w:val="008D2320"/>
    <w:rsid w:val="008D25DA"/>
    <w:rsid w:val="008D3B5B"/>
    <w:rsid w:val="008D4237"/>
    <w:rsid w:val="008D4CB4"/>
    <w:rsid w:val="008D4EFE"/>
    <w:rsid w:val="008D555D"/>
    <w:rsid w:val="008D5604"/>
    <w:rsid w:val="008D5A96"/>
    <w:rsid w:val="008D66D1"/>
    <w:rsid w:val="008D68E9"/>
    <w:rsid w:val="008D6E41"/>
    <w:rsid w:val="008D7A48"/>
    <w:rsid w:val="008E080C"/>
    <w:rsid w:val="008E0936"/>
    <w:rsid w:val="008E11A8"/>
    <w:rsid w:val="008E11C0"/>
    <w:rsid w:val="008E1297"/>
    <w:rsid w:val="008E16B8"/>
    <w:rsid w:val="008E16FD"/>
    <w:rsid w:val="008E2F32"/>
    <w:rsid w:val="008E3637"/>
    <w:rsid w:val="008E382A"/>
    <w:rsid w:val="008E3DDF"/>
    <w:rsid w:val="008E4254"/>
    <w:rsid w:val="008E449E"/>
    <w:rsid w:val="008E4B75"/>
    <w:rsid w:val="008E4D3E"/>
    <w:rsid w:val="008E52E2"/>
    <w:rsid w:val="008E53E6"/>
    <w:rsid w:val="008E5541"/>
    <w:rsid w:val="008E59B6"/>
    <w:rsid w:val="008E5CAC"/>
    <w:rsid w:val="008E6ED8"/>
    <w:rsid w:val="008E6F45"/>
    <w:rsid w:val="008E700F"/>
    <w:rsid w:val="008F0703"/>
    <w:rsid w:val="008F0E5C"/>
    <w:rsid w:val="008F140B"/>
    <w:rsid w:val="008F2450"/>
    <w:rsid w:val="008F25B0"/>
    <w:rsid w:val="008F2843"/>
    <w:rsid w:val="008F29E8"/>
    <w:rsid w:val="008F2D6F"/>
    <w:rsid w:val="008F2FEE"/>
    <w:rsid w:val="008F3895"/>
    <w:rsid w:val="008F3CCE"/>
    <w:rsid w:val="008F4149"/>
    <w:rsid w:val="008F4152"/>
    <w:rsid w:val="008F4950"/>
    <w:rsid w:val="008F4D45"/>
    <w:rsid w:val="008F6899"/>
    <w:rsid w:val="008F6B1B"/>
    <w:rsid w:val="008F7638"/>
    <w:rsid w:val="008F77DD"/>
    <w:rsid w:val="009001CD"/>
    <w:rsid w:val="00900366"/>
    <w:rsid w:val="009003A1"/>
    <w:rsid w:val="0090088A"/>
    <w:rsid w:val="00901E40"/>
    <w:rsid w:val="009026DF"/>
    <w:rsid w:val="00903760"/>
    <w:rsid w:val="00903A1B"/>
    <w:rsid w:val="00903B19"/>
    <w:rsid w:val="00904476"/>
    <w:rsid w:val="009044AC"/>
    <w:rsid w:val="00904EDC"/>
    <w:rsid w:val="0090577D"/>
    <w:rsid w:val="00905B58"/>
    <w:rsid w:val="00905E74"/>
    <w:rsid w:val="00906A73"/>
    <w:rsid w:val="00906E78"/>
    <w:rsid w:val="00906FF8"/>
    <w:rsid w:val="00907266"/>
    <w:rsid w:val="0091007E"/>
    <w:rsid w:val="00910650"/>
    <w:rsid w:val="00911851"/>
    <w:rsid w:val="00911AEC"/>
    <w:rsid w:val="00911EB2"/>
    <w:rsid w:val="00911EC9"/>
    <w:rsid w:val="0091342F"/>
    <w:rsid w:val="00913A40"/>
    <w:rsid w:val="00913C6C"/>
    <w:rsid w:val="00914564"/>
    <w:rsid w:val="00914B8C"/>
    <w:rsid w:val="009153BD"/>
    <w:rsid w:val="00915EE6"/>
    <w:rsid w:val="00916A06"/>
    <w:rsid w:val="00916A4B"/>
    <w:rsid w:val="00916F19"/>
    <w:rsid w:val="00917DB5"/>
    <w:rsid w:val="00920EA7"/>
    <w:rsid w:val="0092254B"/>
    <w:rsid w:val="00922AD1"/>
    <w:rsid w:val="00922C1E"/>
    <w:rsid w:val="00922CDF"/>
    <w:rsid w:val="00922E21"/>
    <w:rsid w:val="00922F5A"/>
    <w:rsid w:val="00922F91"/>
    <w:rsid w:val="009230A4"/>
    <w:rsid w:val="0092403C"/>
    <w:rsid w:val="009243F0"/>
    <w:rsid w:val="009244FE"/>
    <w:rsid w:val="00925102"/>
    <w:rsid w:val="009259F0"/>
    <w:rsid w:val="00925D01"/>
    <w:rsid w:val="00925E69"/>
    <w:rsid w:val="009266DF"/>
    <w:rsid w:val="00926CE9"/>
    <w:rsid w:val="0092759C"/>
    <w:rsid w:val="00927BF6"/>
    <w:rsid w:val="00930269"/>
    <w:rsid w:val="009308CC"/>
    <w:rsid w:val="0093141C"/>
    <w:rsid w:val="00931ADC"/>
    <w:rsid w:val="00931B89"/>
    <w:rsid w:val="00931DA6"/>
    <w:rsid w:val="00931F0C"/>
    <w:rsid w:val="00932431"/>
    <w:rsid w:val="00932DFA"/>
    <w:rsid w:val="009349F7"/>
    <w:rsid w:val="00935462"/>
    <w:rsid w:val="0093595F"/>
    <w:rsid w:val="00935D01"/>
    <w:rsid w:val="00936303"/>
    <w:rsid w:val="0093637D"/>
    <w:rsid w:val="0093643B"/>
    <w:rsid w:val="00936643"/>
    <w:rsid w:val="00937449"/>
    <w:rsid w:val="00937A8B"/>
    <w:rsid w:val="00937EFA"/>
    <w:rsid w:val="00941226"/>
    <w:rsid w:val="00941CAB"/>
    <w:rsid w:val="0094217B"/>
    <w:rsid w:val="0094255D"/>
    <w:rsid w:val="00942777"/>
    <w:rsid w:val="00943553"/>
    <w:rsid w:val="0094398D"/>
    <w:rsid w:val="00943E8E"/>
    <w:rsid w:val="00943F5F"/>
    <w:rsid w:val="00944F00"/>
    <w:rsid w:val="00945058"/>
    <w:rsid w:val="00945292"/>
    <w:rsid w:val="009458CE"/>
    <w:rsid w:val="00946242"/>
    <w:rsid w:val="00946DC2"/>
    <w:rsid w:val="009479AA"/>
    <w:rsid w:val="00947E3D"/>
    <w:rsid w:val="00947EEB"/>
    <w:rsid w:val="009503F9"/>
    <w:rsid w:val="009509B0"/>
    <w:rsid w:val="00950F25"/>
    <w:rsid w:val="00952025"/>
    <w:rsid w:val="0095271D"/>
    <w:rsid w:val="00952E2D"/>
    <w:rsid w:val="009537BD"/>
    <w:rsid w:val="009539CA"/>
    <w:rsid w:val="00953E6C"/>
    <w:rsid w:val="00954188"/>
    <w:rsid w:val="009545B5"/>
    <w:rsid w:val="009558B7"/>
    <w:rsid w:val="00955A8A"/>
    <w:rsid w:val="00955AB4"/>
    <w:rsid w:val="00956A6B"/>
    <w:rsid w:val="00956FAB"/>
    <w:rsid w:val="00957584"/>
    <w:rsid w:val="00957825"/>
    <w:rsid w:val="009578FA"/>
    <w:rsid w:val="009579BA"/>
    <w:rsid w:val="00957CE6"/>
    <w:rsid w:val="00957ED4"/>
    <w:rsid w:val="00960132"/>
    <w:rsid w:val="009604F1"/>
    <w:rsid w:val="00962243"/>
    <w:rsid w:val="0096226E"/>
    <w:rsid w:val="009626B7"/>
    <w:rsid w:val="009634CC"/>
    <w:rsid w:val="009637A3"/>
    <w:rsid w:val="009637BE"/>
    <w:rsid w:val="00964085"/>
    <w:rsid w:val="009640B8"/>
    <w:rsid w:val="00964451"/>
    <w:rsid w:val="0096465E"/>
    <w:rsid w:val="00965337"/>
    <w:rsid w:val="00965900"/>
    <w:rsid w:val="00965D3F"/>
    <w:rsid w:val="00966C0B"/>
    <w:rsid w:val="0096763F"/>
    <w:rsid w:val="00967FA8"/>
    <w:rsid w:val="00970B9B"/>
    <w:rsid w:val="00970BB7"/>
    <w:rsid w:val="00970E25"/>
    <w:rsid w:val="00970ED7"/>
    <w:rsid w:val="00971575"/>
    <w:rsid w:val="0097192F"/>
    <w:rsid w:val="0097229B"/>
    <w:rsid w:val="00973065"/>
    <w:rsid w:val="009732B6"/>
    <w:rsid w:val="009734B3"/>
    <w:rsid w:val="00973A81"/>
    <w:rsid w:val="00973AF7"/>
    <w:rsid w:val="00973CD5"/>
    <w:rsid w:val="00973FC6"/>
    <w:rsid w:val="009740F9"/>
    <w:rsid w:val="00974420"/>
    <w:rsid w:val="00974944"/>
    <w:rsid w:val="00974B87"/>
    <w:rsid w:val="0097511A"/>
    <w:rsid w:val="009754FB"/>
    <w:rsid w:val="009756BE"/>
    <w:rsid w:val="00975A82"/>
    <w:rsid w:val="00975B10"/>
    <w:rsid w:val="00976093"/>
    <w:rsid w:val="00976601"/>
    <w:rsid w:val="00976DA7"/>
    <w:rsid w:val="00977E1F"/>
    <w:rsid w:val="00980003"/>
    <w:rsid w:val="009806D4"/>
    <w:rsid w:val="00980759"/>
    <w:rsid w:val="00981005"/>
    <w:rsid w:val="009811FF"/>
    <w:rsid w:val="009814F1"/>
    <w:rsid w:val="00981573"/>
    <w:rsid w:val="009817BD"/>
    <w:rsid w:val="00981824"/>
    <w:rsid w:val="00981A5F"/>
    <w:rsid w:val="00981F9C"/>
    <w:rsid w:val="00983AFE"/>
    <w:rsid w:val="00984CAC"/>
    <w:rsid w:val="00984E34"/>
    <w:rsid w:val="0098503C"/>
    <w:rsid w:val="0098516A"/>
    <w:rsid w:val="00985301"/>
    <w:rsid w:val="009856C9"/>
    <w:rsid w:val="00985724"/>
    <w:rsid w:val="009860CA"/>
    <w:rsid w:val="009862E3"/>
    <w:rsid w:val="00986469"/>
    <w:rsid w:val="00986981"/>
    <w:rsid w:val="00987CFB"/>
    <w:rsid w:val="00987D9E"/>
    <w:rsid w:val="00990593"/>
    <w:rsid w:val="00990CEF"/>
    <w:rsid w:val="00991340"/>
    <w:rsid w:val="00991878"/>
    <w:rsid w:val="00992449"/>
    <w:rsid w:val="00992901"/>
    <w:rsid w:val="00992C09"/>
    <w:rsid w:val="00993447"/>
    <w:rsid w:val="0099387C"/>
    <w:rsid w:val="00993916"/>
    <w:rsid w:val="00993BB9"/>
    <w:rsid w:val="00993D10"/>
    <w:rsid w:val="00994671"/>
    <w:rsid w:val="00994A5F"/>
    <w:rsid w:val="00994F23"/>
    <w:rsid w:val="00995251"/>
    <w:rsid w:val="00995645"/>
    <w:rsid w:val="00996644"/>
    <w:rsid w:val="00996F5F"/>
    <w:rsid w:val="0099736E"/>
    <w:rsid w:val="009974B3"/>
    <w:rsid w:val="009A0146"/>
    <w:rsid w:val="009A030C"/>
    <w:rsid w:val="009A0AC7"/>
    <w:rsid w:val="009A1AAF"/>
    <w:rsid w:val="009A24AE"/>
    <w:rsid w:val="009A2C90"/>
    <w:rsid w:val="009A2CA2"/>
    <w:rsid w:val="009A3219"/>
    <w:rsid w:val="009A337E"/>
    <w:rsid w:val="009A34FA"/>
    <w:rsid w:val="009A3712"/>
    <w:rsid w:val="009A39D3"/>
    <w:rsid w:val="009A46D9"/>
    <w:rsid w:val="009A4ECD"/>
    <w:rsid w:val="009A56DE"/>
    <w:rsid w:val="009A5C3D"/>
    <w:rsid w:val="009A60BB"/>
    <w:rsid w:val="009A6105"/>
    <w:rsid w:val="009A6980"/>
    <w:rsid w:val="009A6A08"/>
    <w:rsid w:val="009A6DEF"/>
    <w:rsid w:val="009A7903"/>
    <w:rsid w:val="009B02F8"/>
    <w:rsid w:val="009B09E3"/>
    <w:rsid w:val="009B1B93"/>
    <w:rsid w:val="009B2052"/>
    <w:rsid w:val="009B2415"/>
    <w:rsid w:val="009B3026"/>
    <w:rsid w:val="009B45F1"/>
    <w:rsid w:val="009B49A5"/>
    <w:rsid w:val="009B5E34"/>
    <w:rsid w:val="009B67CE"/>
    <w:rsid w:val="009B684B"/>
    <w:rsid w:val="009B6AE9"/>
    <w:rsid w:val="009B6C2E"/>
    <w:rsid w:val="009B6FA6"/>
    <w:rsid w:val="009B6FC1"/>
    <w:rsid w:val="009B7054"/>
    <w:rsid w:val="009B7342"/>
    <w:rsid w:val="009B7A14"/>
    <w:rsid w:val="009B7CB1"/>
    <w:rsid w:val="009B7F3E"/>
    <w:rsid w:val="009C0AA3"/>
    <w:rsid w:val="009C1A03"/>
    <w:rsid w:val="009C2B14"/>
    <w:rsid w:val="009C2C0B"/>
    <w:rsid w:val="009C3831"/>
    <w:rsid w:val="009C3CE2"/>
    <w:rsid w:val="009C41BF"/>
    <w:rsid w:val="009C4AFD"/>
    <w:rsid w:val="009C4B5C"/>
    <w:rsid w:val="009C562D"/>
    <w:rsid w:val="009C6AA9"/>
    <w:rsid w:val="009C6B4D"/>
    <w:rsid w:val="009C6BCF"/>
    <w:rsid w:val="009C714B"/>
    <w:rsid w:val="009C7B24"/>
    <w:rsid w:val="009D058D"/>
    <w:rsid w:val="009D0709"/>
    <w:rsid w:val="009D182E"/>
    <w:rsid w:val="009D19F1"/>
    <w:rsid w:val="009D1BF6"/>
    <w:rsid w:val="009D1D08"/>
    <w:rsid w:val="009D2232"/>
    <w:rsid w:val="009D2A31"/>
    <w:rsid w:val="009D3612"/>
    <w:rsid w:val="009D3A68"/>
    <w:rsid w:val="009D3F88"/>
    <w:rsid w:val="009D4365"/>
    <w:rsid w:val="009D4CDF"/>
    <w:rsid w:val="009D4D94"/>
    <w:rsid w:val="009D613D"/>
    <w:rsid w:val="009D6721"/>
    <w:rsid w:val="009D69F8"/>
    <w:rsid w:val="009D6F5F"/>
    <w:rsid w:val="009D6FFF"/>
    <w:rsid w:val="009D74ED"/>
    <w:rsid w:val="009D7735"/>
    <w:rsid w:val="009D7AB1"/>
    <w:rsid w:val="009E0252"/>
    <w:rsid w:val="009E033D"/>
    <w:rsid w:val="009E0C14"/>
    <w:rsid w:val="009E0D59"/>
    <w:rsid w:val="009E0E92"/>
    <w:rsid w:val="009E1286"/>
    <w:rsid w:val="009E1AA4"/>
    <w:rsid w:val="009E21A2"/>
    <w:rsid w:val="009E21F5"/>
    <w:rsid w:val="009E26D6"/>
    <w:rsid w:val="009E2707"/>
    <w:rsid w:val="009E28A2"/>
    <w:rsid w:val="009E2B01"/>
    <w:rsid w:val="009E2ED0"/>
    <w:rsid w:val="009E3023"/>
    <w:rsid w:val="009E31B5"/>
    <w:rsid w:val="009E38D9"/>
    <w:rsid w:val="009E3B30"/>
    <w:rsid w:val="009E4178"/>
    <w:rsid w:val="009E4BF8"/>
    <w:rsid w:val="009E4E01"/>
    <w:rsid w:val="009E510C"/>
    <w:rsid w:val="009E57B9"/>
    <w:rsid w:val="009E5B8C"/>
    <w:rsid w:val="009E6806"/>
    <w:rsid w:val="009E6B92"/>
    <w:rsid w:val="009E6EEE"/>
    <w:rsid w:val="009F01EF"/>
    <w:rsid w:val="009F0F42"/>
    <w:rsid w:val="009F19E9"/>
    <w:rsid w:val="009F1A10"/>
    <w:rsid w:val="009F27A7"/>
    <w:rsid w:val="009F2C4F"/>
    <w:rsid w:val="009F2D00"/>
    <w:rsid w:val="009F3B8D"/>
    <w:rsid w:val="009F3EE5"/>
    <w:rsid w:val="009F4006"/>
    <w:rsid w:val="009F612C"/>
    <w:rsid w:val="009F661E"/>
    <w:rsid w:val="009F67D3"/>
    <w:rsid w:val="009F6B85"/>
    <w:rsid w:val="009F6BF9"/>
    <w:rsid w:val="009F6D46"/>
    <w:rsid w:val="009F6EC9"/>
    <w:rsid w:val="009F70DD"/>
    <w:rsid w:val="009F760E"/>
    <w:rsid w:val="009F761B"/>
    <w:rsid w:val="009F776F"/>
    <w:rsid w:val="009F78B1"/>
    <w:rsid w:val="009F793E"/>
    <w:rsid w:val="009F7C31"/>
    <w:rsid w:val="009F7FA0"/>
    <w:rsid w:val="009F7FF5"/>
    <w:rsid w:val="00A0055C"/>
    <w:rsid w:val="00A00880"/>
    <w:rsid w:val="00A0091F"/>
    <w:rsid w:val="00A00DB1"/>
    <w:rsid w:val="00A0196F"/>
    <w:rsid w:val="00A01A1F"/>
    <w:rsid w:val="00A02A53"/>
    <w:rsid w:val="00A02B70"/>
    <w:rsid w:val="00A039EB"/>
    <w:rsid w:val="00A03AC9"/>
    <w:rsid w:val="00A049AB"/>
    <w:rsid w:val="00A04BC3"/>
    <w:rsid w:val="00A053F3"/>
    <w:rsid w:val="00A05F5A"/>
    <w:rsid w:val="00A06E86"/>
    <w:rsid w:val="00A100F5"/>
    <w:rsid w:val="00A1095D"/>
    <w:rsid w:val="00A10C2B"/>
    <w:rsid w:val="00A10F4C"/>
    <w:rsid w:val="00A112D7"/>
    <w:rsid w:val="00A114B2"/>
    <w:rsid w:val="00A115CA"/>
    <w:rsid w:val="00A115DA"/>
    <w:rsid w:val="00A11889"/>
    <w:rsid w:val="00A11B90"/>
    <w:rsid w:val="00A11C93"/>
    <w:rsid w:val="00A124B8"/>
    <w:rsid w:val="00A128B5"/>
    <w:rsid w:val="00A128E5"/>
    <w:rsid w:val="00A13B2B"/>
    <w:rsid w:val="00A13FFA"/>
    <w:rsid w:val="00A14131"/>
    <w:rsid w:val="00A14B13"/>
    <w:rsid w:val="00A14F49"/>
    <w:rsid w:val="00A15770"/>
    <w:rsid w:val="00A15DE3"/>
    <w:rsid w:val="00A161BA"/>
    <w:rsid w:val="00A16213"/>
    <w:rsid w:val="00A16939"/>
    <w:rsid w:val="00A17DE8"/>
    <w:rsid w:val="00A2044F"/>
    <w:rsid w:val="00A204F1"/>
    <w:rsid w:val="00A20998"/>
    <w:rsid w:val="00A2128E"/>
    <w:rsid w:val="00A21B3D"/>
    <w:rsid w:val="00A21C6B"/>
    <w:rsid w:val="00A22906"/>
    <w:rsid w:val="00A2301A"/>
    <w:rsid w:val="00A2304A"/>
    <w:rsid w:val="00A234E2"/>
    <w:rsid w:val="00A2368E"/>
    <w:rsid w:val="00A23766"/>
    <w:rsid w:val="00A23B0E"/>
    <w:rsid w:val="00A2464B"/>
    <w:rsid w:val="00A24D5A"/>
    <w:rsid w:val="00A25FEB"/>
    <w:rsid w:val="00A26532"/>
    <w:rsid w:val="00A26573"/>
    <w:rsid w:val="00A269D9"/>
    <w:rsid w:val="00A27544"/>
    <w:rsid w:val="00A2788E"/>
    <w:rsid w:val="00A27E71"/>
    <w:rsid w:val="00A30209"/>
    <w:rsid w:val="00A30499"/>
    <w:rsid w:val="00A312CE"/>
    <w:rsid w:val="00A318F5"/>
    <w:rsid w:val="00A31CBC"/>
    <w:rsid w:val="00A31D5A"/>
    <w:rsid w:val="00A32511"/>
    <w:rsid w:val="00A32792"/>
    <w:rsid w:val="00A32EF2"/>
    <w:rsid w:val="00A330EE"/>
    <w:rsid w:val="00A33237"/>
    <w:rsid w:val="00A33FFD"/>
    <w:rsid w:val="00A347DC"/>
    <w:rsid w:val="00A34DFA"/>
    <w:rsid w:val="00A3544A"/>
    <w:rsid w:val="00A35BB1"/>
    <w:rsid w:val="00A35C79"/>
    <w:rsid w:val="00A368AE"/>
    <w:rsid w:val="00A369F0"/>
    <w:rsid w:val="00A3702C"/>
    <w:rsid w:val="00A37CD4"/>
    <w:rsid w:val="00A40034"/>
    <w:rsid w:val="00A401F5"/>
    <w:rsid w:val="00A40447"/>
    <w:rsid w:val="00A409BA"/>
    <w:rsid w:val="00A40C63"/>
    <w:rsid w:val="00A40F7F"/>
    <w:rsid w:val="00A412F9"/>
    <w:rsid w:val="00A417B3"/>
    <w:rsid w:val="00A4188B"/>
    <w:rsid w:val="00A41DB6"/>
    <w:rsid w:val="00A4201F"/>
    <w:rsid w:val="00A425DE"/>
    <w:rsid w:val="00A42B8F"/>
    <w:rsid w:val="00A42CE6"/>
    <w:rsid w:val="00A42E0F"/>
    <w:rsid w:val="00A43001"/>
    <w:rsid w:val="00A43846"/>
    <w:rsid w:val="00A43A7A"/>
    <w:rsid w:val="00A4413A"/>
    <w:rsid w:val="00A4448D"/>
    <w:rsid w:val="00A4516E"/>
    <w:rsid w:val="00A45783"/>
    <w:rsid w:val="00A457C3"/>
    <w:rsid w:val="00A4687D"/>
    <w:rsid w:val="00A47031"/>
    <w:rsid w:val="00A47395"/>
    <w:rsid w:val="00A50064"/>
    <w:rsid w:val="00A50615"/>
    <w:rsid w:val="00A50FC9"/>
    <w:rsid w:val="00A513A9"/>
    <w:rsid w:val="00A51F40"/>
    <w:rsid w:val="00A52DC6"/>
    <w:rsid w:val="00A5364F"/>
    <w:rsid w:val="00A53BEC"/>
    <w:rsid w:val="00A53D3B"/>
    <w:rsid w:val="00A54202"/>
    <w:rsid w:val="00A5430D"/>
    <w:rsid w:val="00A5499F"/>
    <w:rsid w:val="00A55503"/>
    <w:rsid w:val="00A55CCB"/>
    <w:rsid w:val="00A55E46"/>
    <w:rsid w:val="00A55EC5"/>
    <w:rsid w:val="00A56EDF"/>
    <w:rsid w:val="00A57277"/>
    <w:rsid w:val="00A57C63"/>
    <w:rsid w:val="00A605A3"/>
    <w:rsid w:val="00A60F94"/>
    <w:rsid w:val="00A61157"/>
    <w:rsid w:val="00A611B6"/>
    <w:rsid w:val="00A6127C"/>
    <w:rsid w:val="00A61AFE"/>
    <w:rsid w:val="00A61B94"/>
    <w:rsid w:val="00A622FB"/>
    <w:rsid w:val="00A62570"/>
    <w:rsid w:val="00A6259B"/>
    <w:rsid w:val="00A62CA0"/>
    <w:rsid w:val="00A62F06"/>
    <w:rsid w:val="00A63193"/>
    <w:rsid w:val="00A64257"/>
    <w:rsid w:val="00A65747"/>
    <w:rsid w:val="00A65CA4"/>
    <w:rsid w:val="00A65DBF"/>
    <w:rsid w:val="00A66235"/>
    <w:rsid w:val="00A662C4"/>
    <w:rsid w:val="00A662F0"/>
    <w:rsid w:val="00A6682A"/>
    <w:rsid w:val="00A668A1"/>
    <w:rsid w:val="00A66AEE"/>
    <w:rsid w:val="00A66B01"/>
    <w:rsid w:val="00A675D9"/>
    <w:rsid w:val="00A70351"/>
    <w:rsid w:val="00A7050F"/>
    <w:rsid w:val="00A71EA0"/>
    <w:rsid w:val="00A72578"/>
    <w:rsid w:val="00A72989"/>
    <w:rsid w:val="00A72A12"/>
    <w:rsid w:val="00A73206"/>
    <w:rsid w:val="00A73658"/>
    <w:rsid w:val="00A7376D"/>
    <w:rsid w:val="00A73B21"/>
    <w:rsid w:val="00A73DB9"/>
    <w:rsid w:val="00A74171"/>
    <w:rsid w:val="00A74592"/>
    <w:rsid w:val="00A758D1"/>
    <w:rsid w:val="00A75F78"/>
    <w:rsid w:val="00A7606B"/>
    <w:rsid w:val="00A76285"/>
    <w:rsid w:val="00A7656D"/>
    <w:rsid w:val="00A767EC"/>
    <w:rsid w:val="00A768B0"/>
    <w:rsid w:val="00A76F1D"/>
    <w:rsid w:val="00A77F53"/>
    <w:rsid w:val="00A80581"/>
    <w:rsid w:val="00A80C82"/>
    <w:rsid w:val="00A80F4A"/>
    <w:rsid w:val="00A815D4"/>
    <w:rsid w:val="00A823C4"/>
    <w:rsid w:val="00A82CD8"/>
    <w:rsid w:val="00A8325F"/>
    <w:rsid w:val="00A8433F"/>
    <w:rsid w:val="00A84659"/>
    <w:rsid w:val="00A84694"/>
    <w:rsid w:val="00A847DB"/>
    <w:rsid w:val="00A84A33"/>
    <w:rsid w:val="00A84DF6"/>
    <w:rsid w:val="00A857DF"/>
    <w:rsid w:val="00A85949"/>
    <w:rsid w:val="00A85E5C"/>
    <w:rsid w:val="00A86036"/>
    <w:rsid w:val="00A866A1"/>
    <w:rsid w:val="00A87470"/>
    <w:rsid w:val="00A876A3"/>
    <w:rsid w:val="00A90271"/>
    <w:rsid w:val="00A90E5B"/>
    <w:rsid w:val="00A90F18"/>
    <w:rsid w:val="00A9251B"/>
    <w:rsid w:val="00A92A8C"/>
    <w:rsid w:val="00A93504"/>
    <w:rsid w:val="00A93558"/>
    <w:rsid w:val="00A93A25"/>
    <w:rsid w:val="00A94306"/>
    <w:rsid w:val="00A943DF"/>
    <w:rsid w:val="00A94C86"/>
    <w:rsid w:val="00A94CD4"/>
    <w:rsid w:val="00A950B6"/>
    <w:rsid w:val="00A9511A"/>
    <w:rsid w:val="00A952A4"/>
    <w:rsid w:val="00A9530F"/>
    <w:rsid w:val="00A9553F"/>
    <w:rsid w:val="00A956D4"/>
    <w:rsid w:val="00A95AE4"/>
    <w:rsid w:val="00A95D0B"/>
    <w:rsid w:val="00A95E84"/>
    <w:rsid w:val="00A96241"/>
    <w:rsid w:val="00A96E89"/>
    <w:rsid w:val="00A9706F"/>
    <w:rsid w:val="00A97070"/>
    <w:rsid w:val="00A97090"/>
    <w:rsid w:val="00A97AF7"/>
    <w:rsid w:val="00A97C9A"/>
    <w:rsid w:val="00A97D02"/>
    <w:rsid w:val="00AA06D9"/>
    <w:rsid w:val="00AA13B4"/>
    <w:rsid w:val="00AA154A"/>
    <w:rsid w:val="00AA1D15"/>
    <w:rsid w:val="00AA21F6"/>
    <w:rsid w:val="00AA224B"/>
    <w:rsid w:val="00AA47D1"/>
    <w:rsid w:val="00AA4973"/>
    <w:rsid w:val="00AA5543"/>
    <w:rsid w:val="00AA560D"/>
    <w:rsid w:val="00AA658C"/>
    <w:rsid w:val="00AA69EF"/>
    <w:rsid w:val="00AA6A16"/>
    <w:rsid w:val="00AA6F6E"/>
    <w:rsid w:val="00AA773A"/>
    <w:rsid w:val="00AA799B"/>
    <w:rsid w:val="00AB038C"/>
    <w:rsid w:val="00AB045F"/>
    <w:rsid w:val="00AB0B94"/>
    <w:rsid w:val="00AB23BF"/>
    <w:rsid w:val="00AB2861"/>
    <w:rsid w:val="00AB2999"/>
    <w:rsid w:val="00AB2DC1"/>
    <w:rsid w:val="00AB2FD8"/>
    <w:rsid w:val="00AB31F7"/>
    <w:rsid w:val="00AB330F"/>
    <w:rsid w:val="00AB3428"/>
    <w:rsid w:val="00AB3C73"/>
    <w:rsid w:val="00AB41FE"/>
    <w:rsid w:val="00AB4555"/>
    <w:rsid w:val="00AB45FC"/>
    <w:rsid w:val="00AB5F8F"/>
    <w:rsid w:val="00AB61D4"/>
    <w:rsid w:val="00AB6628"/>
    <w:rsid w:val="00AB6E7F"/>
    <w:rsid w:val="00AB7292"/>
    <w:rsid w:val="00AC0098"/>
    <w:rsid w:val="00AC0221"/>
    <w:rsid w:val="00AC077C"/>
    <w:rsid w:val="00AC08DA"/>
    <w:rsid w:val="00AC0B40"/>
    <w:rsid w:val="00AC0E7D"/>
    <w:rsid w:val="00AC0EBD"/>
    <w:rsid w:val="00AC14C9"/>
    <w:rsid w:val="00AC1943"/>
    <w:rsid w:val="00AC1F1D"/>
    <w:rsid w:val="00AC23D0"/>
    <w:rsid w:val="00AC28A6"/>
    <w:rsid w:val="00AC2E12"/>
    <w:rsid w:val="00AC2F6F"/>
    <w:rsid w:val="00AC402F"/>
    <w:rsid w:val="00AC40C5"/>
    <w:rsid w:val="00AC44C3"/>
    <w:rsid w:val="00AC4833"/>
    <w:rsid w:val="00AC4C9E"/>
    <w:rsid w:val="00AC5D40"/>
    <w:rsid w:val="00AC5FE8"/>
    <w:rsid w:val="00AC6AAC"/>
    <w:rsid w:val="00AC6E3C"/>
    <w:rsid w:val="00AD134A"/>
    <w:rsid w:val="00AD1A07"/>
    <w:rsid w:val="00AD1E99"/>
    <w:rsid w:val="00AD2C13"/>
    <w:rsid w:val="00AD2F3B"/>
    <w:rsid w:val="00AD30B6"/>
    <w:rsid w:val="00AD4574"/>
    <w:rsid w:val="00AD47A9"/>
    <w:rsid w:val="00AD49E4"/>
    <w:rsid w:val="00AD5A51"/>
    <w:rsid w:val="00AD5F35"/>
    <w:rsid w:val="00AD676B"/>
    <w:rsid w:val="00AD67F3"/>
    <w:rsid w:val="00AD7078"/>
    <w:rsid w:val="00AD716B"/>
    <w:rsid w:val="00AD7EEA"/>
    <w:rsid w:val="00AE0293"/>
    <w:rsid w:val="00AE02DF"/>
    <w:rsid w:val="00AE10FE"/>
    <w:rsid w:val="00AE19F3"/>
    <w:rsid w:val="00AE22D8"/>
    <w:rsid w:val="00AE23B1"/>
    <w:rsid w:val="00AE25E4"/>
    <w:rsid w:val="00AE27EC"/>
    <w:rsid w:val="00AE30EF"/>
    <w:rsid w:val="00AE3611"/>
    <w:rsid w:val="00AE3ABB"/>
    <w:rsid w:val="00AE44C6"/>
    <w:rsid w:val="00AE49C2"/>
    <w:rsid w:val="00AE4B48"/>
    <w:rsid w:val="00AE4BE2"/>
    <w:rsid w:val="00AE556D"/>
    <w:rsid w:val="00AE59A9"/>
    <w:rsid w:val="00AE5B32"/>
    <w:rsid w:val="00AE6EAF"/>
    <w:rsid w:val="00AE6FF2"/>
    <w:rsid w:val="00AE760E"/>
    <w:rsid w:val="00AE7ABD"/>
    <w:rsid w:val="00AE7C0C"/>
    <w:rsid w:val="00AF0086"/>
    <w:rsid w:val="00AF0B0A"/>
    <w:rsid w:val="00AF13AB"/>
    <w:rsid w:val="00AF262C"/>
    <w:rsid w:val="00AF2E21"/>
    <w:rsid w:val="00AF30A9"/>
    <w:rsid w:val="00AF3452"/>
    <w:rsid w:val="00AF356C"/>
    <w:rsid w:val="00AF452A"/>
    <w:rsid w:val="00AF46F2"/>
    <w:rsid w:val="00AF4765"/>
    <w:rsid w:val="00AF4BB4"/>
    <w:rsid w:val="00AF4D22"/>
    <w:rsid w:val="00AF5380"/>
    <w:rsid w:val="00AF5D41"/>
    <w:rsid w:val="00AF60AD"/>
    <w:rsid w:val="00AF6685"/>
    <w:rsid w:val="00AF6816"/>
    <w:rsid w:val="00AF6C63"/>
    <w:rsid w:val="00AF7458"/>
    <w:rsid w:val="00AF7843"/>
    <w:rsid w:val="00AF7AFE"/>
    <w:rsid w:val="00AF7B78"/>
    <w:rsid w:val="00B00846"/>
    <w:rsid w:val="00B00E00"/>
    <w:rsid w:val="00B0118F"/>
    <w:rsid w:val="00B01887"/>
    <w:rsid w:val="00B01CA2"/>
    <w:rsid w:val="00B0245F"/>
    <w:rsid w:val="00B02DB6"/>
    <w:rsid w:val="00B0392D"/>
    <w:rsid w:val="00B039C1"/>
    <w:rsid w:val="00B04893"/>
    <w:rsid w:val="00B056AA"/>
    <w:rsid w:val="00B05E0D"/>
    <w:rsid w:val="00B05ED9"/>
    <w:rsid w:val="00B06264"/>
    <w:rsid w:val="00B068FE"/>
    <w:rsid w:val="00B06CF2"/>
    <w:rsid w:val="00B07B23"/>
    <w:rsid w:val="00B1005D"/>
    <w:rsid w:val="00B10303"/>
    <w:rsid w:val="00B108D5"/>
    <w:rsid w:val="00B112BE"/>
    <w:rsid w:val="00B11D95"/>
    <w:rsid w:val="00B12578"/>
    <w:rsid w:val="00B12DF9"/>
    <w:rsid w:val="00B13781"/>
    <w:rsid w:val="00B14D71"/>
    <w:rsid w:val="00B14EC2"/>
    <w:rsid w:val="00B158A0"/>
    <w:rsid w:val="00B15A28"/>
    <w:rsid w:val="00B15AAA"/>
    <w:rsid w:val="00B15E7F"/>
    <w:rsid w:val="00B16043"/>
    <w:rsid w:val="00B164DC"/>
    <w:rsid w:val="00B168E5"/>
    <w:rsid w:val="00B16AA9"/>
    <w:rsid w:val="00B16C84"/>
    <w:rsid w:val="00B16EBB"/>
    <w:rsid w:val="00B16F08"/>
    <w:rsid w:val="00B17333"/>
    <w:rsid w:val="00B1757E"/>
    <w:rsid w:val="00B17909"/>
    <w:rsid w:val="00B17D9E"/>
    <w:rsid w:val="00B17E4F"/>
    <w:rsid w:val="00B20AFF"/>
    <w:rsid w:val="00B2145F"/>
    <w:rsid w:val="00B219CA"/>
    <w:rsid w:val="00B21D15"/>
    <w:rsid w:val="00B21D36"/>
    <w:rsid w:val="00B21E98"/>
    <w:rsid w:val="00B2209D"/>
    <w:rsid w:val="00B2220B"/>
    <w:rsid w:val="00B224AC"/>
    <w:rsid w:val="00B234E1"/>
    <w:rsid w:val="00B239F6"/>
    <w:rsid w:val="00B23A04"/>
    <w:rsid w:val="00B23A30"/>
    <w:rsid w:val="00B23E98"/>
    <w:rsid w:val="00B23EB1"/>
    <w:rsid w:val="00B242D4"/>
    <w:rsid w:val="00B24694"/>
    <w:rsid w:val="00B249A7"/>
    <w:rsid w:val="00B251DD"/>
    <w:rsid w:val="00B2530E"/>
    <w:rsid w:val="00B255EC"/>
    <w:rsid w:val="00B25C69"/>
    <w:rsid w:val="00B26357"/>
    <w:rsid w:val="00B263C3"/>
    <w:rsid w:val="00B303EA"/>
    <w:rsid w:val="00B305F3"/>
    <w:rsid w:val="00B306DF"/>
    <w:rsid w:val="00B30B8C"/>
    <w:rsid w:val="00B31802"/>
    <w:rsid w:val="00B31A8E"/>
    <w:rsid w:val="00B31DF0"/>
    <w:rsid w:val="00B32990"/>
    <w:rsid w:val="00B33434"/>
    <w:rsid w:val="00B33CD7"/>
    <w:rsid w:val="00B34B0B"/>
    <w:rsid w:val="00B355AC"/>
    <w:rsid w:val="00B35833"/>
    <w:rsid w:val="00B35C9A"/>
    <w:rsid w:val="00B3617F"/>
    <w:rsid w:val="00B363CE"/>
    <w:rsid w:val="00B36562"/>
    <w:rsid w:val="00B36692"/>
    <w:rsid w:val="00B36B2C"/>
    <w:rsid w:val="00B3702B"/>
    <w:rsid w:val="00B37461"/>
    <w:rsid w:val="00B4050A"/>
    <w:rsid w:val="00B409BA"/>
    <w:rsid w:val="00B40CB9"/>
    <w:rsid w:val="00B40EEF"/>
    <w:rsid w:val="00B41C7B"/>
    <w:rsid w:val="00B4281F"/>
    <w:rsid w:val="00B42CA3"/>
    <w:rsid w:val="00B430EF"/>
    <w:rsid w:val="00B436E3"/>
    <w:rsid w:val="00B43924"/>
    <w:rsid w:val="00B43A14"/>
    <w:rsid w:val="00B4404F"/>
    <w:rsid w:val="00B440B7"/>
    <w:rsid w:val="00B445A7"/>
    <w:rsid w:val="00B45718"/>
    <w:rsid w:val="00B45B3B"/>
    <w:rsid w:val="00B4669C"/>
    <w:rsid w:val="00B46915"/>
    <w:rsid w:val="00B47261"/>
    <w:rsid w:val="00B477C6"/>
    <w:rsid w:val="00B478B1"/>
    <w:rsid w:val="00B47D12"/>
    <w:rsid w:val="00B47EE7"/>
    <w:rsid w:val="00B501D7"/>
    <w:rsid w:val="00B50751"/>
    <w:rsid w:val="00B509C5"/>
    <w:rsid w:val="00B509FE"/>
    <w:rsid w:val="00B518B2"/>
    <w:rsid w:val="00B51AC2"/>
    <w:rsid w:val="00B52BA3"/>
    <w:rsid w:val="00B53257"/>
    <w:rsid w:val="00B5394C"/>
    <w:rsid w:val="00B54297"/>
    <w:rsid w:val="00B554A3"/>
    <w:rsid w:val="00B55CCA"/>
    <w:rsid w:val="00B55D5B"/>
    <w:rsid w:val="00B56256"/>
    <w:rsid w:val="00B5647B"/>
    <w:rsid w:val="00B572DA"/>
    <w:rsid w:val="00B60355"/>
    <w:rsid w:val="00B603BE"/>
    <w:rsid w:val="00B606BF"/>
    <w:rsid w:val="00B60E9C"/>
    <w:rsid w:val="00B615DA"/>
    <w:rsid w:val="00B61FE5"/>
    <w:rsid w:val="00B62DFC"/>
    <w:rsid w:val="00B62F18"/>
    <w:rsid w:val="00B633EC"/>
    <w:rsid w:val="00B633F0"/>
    <w:rsid w:val="00B637B3"/>
    <w:rsid w:val="00B63C38"/>
    <w:rsid w:val="00B63D2E"/>
    <w:rsid w:val="00B63D99"/>
    <w:rsid w:val="00B6452A"/>
    <w:rsid w:val="00B64A55"/>
    <w:rsid w:val="00B64C5E"/>
    <w:rsid w:val="00B650F1"/>
    <w:rsid w:val="00B6516C"/>
    <w:rsid w:val="00B6646D"/>
    <w:rsid w:val="00B66988"/>
    <w:rsid w:val="00B66A20"/>
    <w:rsid w:val="00B67D58"/>
    <w:rsid w:val="00B70876"/>
    <w:rsid w:val="00B70BEA"/>
    <w:rsid w:val="00B70C3E"/>
    <w:rsid w:val="00B713EE"/>
    <w:rsid w:val="00B7261D"/>
    <w:rsid w:val="00B72C79"/>
    <w:rsid w:val="00B72D24"/>
    <w:rsid w:val="00B74604"/>
    <w:rsid w:val="00B74E63"/>
    <w:rsid w:val="00B750F7"/>
    <w:rsid w:val="00B75148"/>
    <w:rsid w:val="00B75646"/>
    <w:rsid w:val="00B758D3"/>
    <w:rsid w:val="00B75912"/>
    <w:rsid w:val="00B765B9"/>
    <w:rsid w:val="00B765C8"/>
    <w:rsid w:val="00B7724B"/>
    <w:rsid w:val="00B7741B"/>
    <w:rsid w:val="00B77B1D"/>
    <w:rsid w:val="00B77EC6"/>
    <w:rsid w:val="00B81481"/>
    <w:rsid w:val="00B81C88"/>
    <w:rsid w:val="00B81CDF"/>
    <w:rsid w:val="00B828E4"/>
    <w:rsid w:val="00B836E4"/>
    <w:rsid w:val="00B8400E"/>
    <w:rsid w:val="00B84880"/>
    <w:rsid w:val="00B84E3E"/>
    <w:rsid w:val="00B853C7"/>
    <w:rsid w:val="00B85571"/>
    <w:rsid w:val="00B85CAB"/>
    <w:rsid w:val="00B861D3"/>
    <w:rsid w:val="00B8634D"/>
    <w:rsid w:val="00B86696"/>
    <w:rsid w:val="00B8730A"/>
    <w:rsid w:val="00B873AF"/>
    <w:rsid w:val="00B9018B"/>
    <w:rsid w:val="00B9045D"/>
    <w:rsid w:val="00B904EF"/>
    <w:rsid w:val="00B907A1"/>
    <w:rsid w:val="00B90C9E"/>
    <w:rsid w:val="00B91226"/>
    <w:rsid w:val="00B912D3"/>
    <w:rsid w:val="00B91AC4"/>
    <w:rsid w:val="00B91EC9"/>
    <w:rsid w:val="00B91F66"/>
    <w:rsid w:val="00B92066"/>
    <w:rsid w:val="00B9267A"/>
    <w:rsid w:val="00B92FD4"/>
    <w:rsid w:val="00B92FE4"/>
    <w:rsid w:val="00B93272"/>
    <w:rsid w:val="00B932FF"/>
    <w:rsid w:val="00B93C81"/>
    <w:rsid w:val="00B94D75"/>
    <w:rsid w:val="00B952EC"/>
    <w:rsid w:val="00B95CE8"/>
    <w:rsid w:val="00B9670C"/>
    <w:rsid w:val="00B967BB"/>
    <w:rsid w:val="00B96899"/>
    <w:rsid w:val="00B96924"/>
    <w:rsid w:val="00B96A24"/>
    <w:rsid w:val="00B96A48"/>
    <w:rsid w:val="00B96BAC"/>
    <w:rsid w:val="00B97C65"/>
    <w:rsid w:val="00B97CBE"/>
    <w:rsid w:val="00B97E3A"/>
    <w:rsid w:val="00BA0217"/>
    <w:rsid w:val="00BA2B8D"/>
    <w:rsid w:val="00BA3246"/>
    <w:rsid w:val="00BA3605"/>
    <w:rsid w:val="00BA4914"/>
    <w:rsid w:val="00BA608A"/>
    <w:rsid w:val="00BA63F1"/>
    <w:rsid w:val="00BA6401"/>
    <w:rsid w:val="00BA6821"/>
    <w:rsid w:val="00BA6EFE"/>
    <w:rsid w:val="00BA73A6"/>
    <w:rsid w:val="00BA77ED"/>
    <w:rsid w:val="00BA7A44"/>
    <w:rsid w:val="00BB049E"/>
    <w:rsid w:val="00BB0A4C"/>
    <w:rsid w:val="00BB0AF4"/>
    <w:rsid w:val="00BB2CC4"/>
    <w:rsid w:val="00BB2E95"/>
    <w:rsid w:val="00BB36F6"/>
    <w:rsid w:val="00BB4371"/>
    <w:rsid w:val="00BB4A4A"/>
    <w:rsid w:val="00BB51CB"/>
    <w:rsid w:val="00BB58D7"/>
    <w:rsid w:val="00BB59B4"/>
    <w:rsid w:val="00BB6172"/>
    <w:rsid w:val="00BB6F48"/>
    <w:rsid w:val="00BB7153"/>
    <w:rsid w:val="00BB72C9"/>
    <w:rsid w:val="00BB736B"/>
    <w:rsid w:val="00BB794F"/>
    <w:rsid w:val="00BB7AF4"/>
    <w:rsid w:val="00BC018B"/>
    <w:rsid w:val="00BC0278"/>
    <w:rsid w:val="00BC04AD"/>
    <w:rsid w:val="00BC0879"/>
    <w:rsid w:val="00BC08D9"/>
    <w:rsid w:val="00BC0ABA"/>
    <w:rsid w:val="00BC160E"/>
    <w:rsid w:val="00BC16B9"/>
    <w:rsid w:val="00BC172F"/>
    <w:rsid w:val="00BC19EB"/>
    <w:rsid w:val="00BC1DFA"/>
    <w:rsid w:val="00BC239F"/>
    <w:rsid w:val="00BC2413"/>
    <w:rsid w:val="00BC27A6"/>
    <w:rsid w:val="00BC2C26"/>
    <w:rsid w:val="00BC3260"/>
    <w:rsid w:val="00BC378C"/>
    <w:rsid w:val="00BC3EAE"/>
    <w:rsid w:val="00BC3EC5"/>
    <w:rsid w:val="00BC56CD"/>
    <w:rsid w:val="00BC59F1"/>
    <w:rsid w:val="00BC6518"/>
    <w:rsid w:val="00BC6750"/>
    <w:rsid w:val="00BC6A4E"/>
    <w:rsid w:val="00BC76A5"/>
    <w:rsid w:val="00BC7ECC"/>
    <w:rsid w:val="00BD0725"/>
    <w:rsid w:val="00BD0A09"/>
    <w:rsid w:val="00BD0E42"/>
    <w:rsid w:val="00BD1C0F"/>
    <w:rsid w:val="00BD3D55"/>
    <w:rsid w:val="00BD41B9"/>
    <w:rsid w:val="00BD4B1F"/>
    <w:rsid w:val="00BD4D6B"/>
    <w:rsid w:val="00BD5431"/>
    <w:rsid w:val="00BD5A07"/>
    <w:rsid w:val="00BD5A76"/>
    <w:rsid w:val="00BD5AD5"/>
    <w:rsid w:val="00BD61F4"/>
    <w:rsid w:val="00BD6E04"/>
    <w:rsid w:val="00BD7301"/>
    <w:rsid w:val="00BE0745"/>
    <w:rsid w:val="00BE0A00"/>
    <w:rsid w:val="00BE172A"/>
    <w:rsid w:val="00BE243E"/>
    <w:rsid w:val="00BE255A"/>
    <w:rsid w:val="00BE27AD"/>
    <w:rsid w:val="00BE2FE0"/>
    <w:rsid w:val="00BE38C3"/>
    <w:rsid w:val="00BE40CB"/>
    <w:rsid w:val="00BE436D"/>
    <w:rsid w:val="00BE4958"/>
    <w:rsid w:val="00BE4DE5"/>
    <w:rsid w:val="00BE5327"/>
    <w:rsid w:val="00BE55C9"/>
    <w:rsid w:val="00BE5E4A"/>
    <w:rsid w:val="00BE62D3"/>
    <w:rsid w:val="00BE6B5E"/>
    <w:rsid w:val="00BE72F7"/>
    <w:rsid w:val="00BE76A0"/>
    <w:rsid w:val="00BF0360"/>
    <w:rsid w:val="00BF0543"/>
    <w:rsid w:val="00BF0A43"/>
    <w:rsid w:val="00BF0A9A"/>
    <w:rsid w:val="00BF191C"/>
    <w:rsid w:val="00BF2481"/>
    <w:rsid w:val="00BF287B"/>
    <w:rsid w:val="00BF28A3"/>
    <w:rsid w:val="00BF2C9E"/>
    <w:rsid w:val="00BF350D"/>
    <w:rsid w:val="00BF3A56"/>
    <w:rsid w:val="00BF4355"/>
    <w:rsid w:val="00BF435F"/>
    <w:rsid w:val="00BF497A"/>
    <w:rsid w:val="00BF5104"/>
    <w:rsid w:val="00BF5554"/>
    <w:rsid w:val="00BF59F1"/>
    <w:rsid w:val="00BF5CB9"/>
    <w:rsid w:val="00BF5E08"/>
    <w:rsid w:val="00BF67C1"/>
    <w:rsid w:val="00BF6962"/>
    <w:rsid w:val="00BF6C99"/>
    <w:rsid w:val="00BF7445"/>
    <w:rsid w:val="00BF74CA"/>
    <w:rsid w:val="00BF7B0B"/>
    <w:rsid w:val="00BF7D6E"/>
    <w:rsid w:val="00C003F2"/>
    <w:rsid w:val="00C005F0"/>
    <w:rsid w:val="00C00795"/>
    <w:rsid w:val="00C008FB"/>
    <w:rsid w:val="00C00E5A"/>
    <w:rsid w:val="00C019D8"/>
    <w:rsid w:val="00C01D0F"/>
    <w:rsid w:val="00C01F5D"/>
    <w:rsid w:val="00C02299"/>
    <w:rsid w:val="00C02EE4"/>
    <w:rsid w:val="00C037F4"/>
    <w:rsid w:val="00C03C44"/>
    <w:rsid w:val="00C03EA9"/>
    <w:rsid w:val="00C04031"/>
    <w:rsid w:val="00C045D5"/>
    <w:rsid w:val="00C0498A"/>
    <w:rsid w:val="00C0537D"/>
    <w:rsid w:val="00C05EA8"/>
    <w:rsid w:val="00C063B0"/>
    <w:rsid w:val="00C065D5"/>
    <w:rsid w:val="00C06808"/>
    <w:rsid w:val="00C0763E"/>
    <w:rsid w:val="00C1087F"/>
    <w:rsid w:val="00C10983"/>
    <w:rsid w:val="00C116AB"/>
    <w:rsid w:val="00C11A1F"/>
    <w:rsid w:val="00C129DC"/>
    <w:rsid w:val="00C12BAE"/>
    <w:rsid w:val="00C153B5"/>
    <w:rsid w:val="00C1546D"/>
    <w:rsid w:val="00C1575E"/>
    <w:rsid w:val="00C1591B"/>
    <w:rsid w:val="00C159E8"/>
    <w:rsid w:val="00C15C79"/>
    <w:rsid w:val="00C15D2D"/>
    <w:rsid w:val="00C1630A"/>
    <w:rsid w:val="00C165D9"/>
    <w:rsid w:val="00C16904"/>
    <w:rsid w:val="00C16BDC"/>
    <w:rsid w:val="00C177FE"/>
    <w:rsid w:val="00C17959"/>
    <w:rsid w:val="00C17A8B"/>
    <w:rsid w:val="00C17AA2"/>
    <w:rsid w:val="00C17B20"/>
    <w:rsid w:val="00C20227"/>
    <w:rsid w:val="00C205C4"/>
    <w:rsid w:val="00C205ED"/>
    <w:rsid w:val="00C207E5"/>
    <w:rsid w:val="00C20D6D"/>
    <w:rsid w:val="00C20FC7"/>
    <w:rsid w:val="00C21B2B"/>
    <w:rsid w:val="00C21EDA"/>
    <w:rsid w:val="00C21F60"/>
    <w:rsid w:val="00C226BF"/>
    <w:rsid w:val="00C22F15"/>
    <w:rsid w:val="00C23466"/>
    <w:rsid w:val="00C240CC"/>
    <w:rsid w:val="00C2451A"/>
    <w:rsid w:val="00C2507B"/>
    <w:rsid w:val="00C2513A"/>
    <w:rsid w:val="00C25E97"/>
    <w:rsid w:val="00C25EF6"/>
    <w:rsid w:val="00C26474"/>
    <w:rsid w:val="00C26BD4"/>
    <w:rsid w:val="00C26F6C"/>
    <w:rsid w:val="00C2721A"/>
    <w:rsid w:val="00C273EF"/>
    <w:rsid w:val="00C3016A"/>
    <w:rsid w:val="00C30205"/>
    <w:rsid w:val="00C30D2E"/>
    <w:rsid w:val="00C311E2"/>
    <w:rsid w:val="00C31259"/>
    <w:rsid w:val="00C316B4"/>
    <w:rsid w:val="00C31A5E"/>
    <w:rsid w:val="00C31B1B"/>
    <w:rsid w:val="00C31C97"/>
    <w:rsid w:val="00C329C8"/>
    <w:rsid w:val="00C331C5"/>
    <w:rsid w:val="00C3367E"/>
    <w:rsid w:val="00C3369B"/>
    <w:rsid w:val="00C33747"/>
    <w:rsid w:val="00C33DA8"/>
    <w:rsid w:val="00C33F2A"/>
    <w:rsid w:val="00C34134"/>
    <w:rsid w:val="00C34E1F"/>
    <w:rsid w:val="00C34E64"/>
    <w:rsid w:val="00C35442"/>
    <w:rsid w:val="00C35F3D"/>
    <w:rsid w:val="00C368F8"/>
    <w:rsid w:val="00C37139"/>
    <w:rsid w:val="00C37191"/>
    <w:rsid w:val="00C3727A"/>
    <w:rsid w:val="00C37317"/>
    <w:rsid w:val="00C37B0F"/>
    <w:rsid w:val="00C405B0"/>
    <w:rsid w:val="00C4091B"/>
    <w:rsid w:val="00C409F9"/>
    <w:rsid w:val="00C41465"/>
    <w:rsid w:val="00C418D2"/>
    <w:rsid w:val="00C41981"/>
    <w:rsid w:val="00C41E7B"/>
    <w:rsid w:val="00C425C3"/>
    <w:rsid w:val="00C4269B"/>
    <w:rsid w:val="00C42E9C"/>
    <w:rsid w:val="00C4377C"/>
    <w:rsid w:val="00C4392D"/>
    <w:rsid w:val="00C43A56"/>
    <w:rsid w:val="00C43C58"/>
    <w:rsid w:val="00C44047"/>
    <w:rsid w:val="00C4443C"/>
    <w:rsid w:val="00C45141"/>
    <w:rsid w:val="00C45334"/>
    <w:rsid w:val="00C45949"/>
    <w:rsid w:val="00C45A82"/>
    <w:rsid w:val="00C45AD7"/>
    <w:rsid w:val="00C468F3"/>
    <w:rsid w:val="00C46B74"/>
    <w:rsid w:val="00C46D2D"/>
    <w:rsid w:val="00C47254"/>
    <w:rsid w:val="00C47290"/>
    <w:rsid w:val="00C47876"/>
    <w:rsid w:val="00C47B46"/>
    <w:rsid w:val="00C47F0A"/>
    <w:rsid w:val="00C50AAB"/>
    <w:rsid w:val="00C51E0A"/>
    <w:rsid w:val="00C51E64"/>
    <w:rsid w:val="00C523E2"/>
    <w:rsid w:val="00C52613"/>
    <w:rsid w:val="00C52ED4"/>
    <w:rsid w:val="00C53121"/>
    <w:rsid w:val="00C539A3"/>
    <w:rsid w:val="00C53BD2"/>
    <w:rsid w:val="00C5403C"/>
    <w:rsid w:val="00C54137"/>
    <w:rsid w:val="00C54550"/>
    <w:rsid w:val="00C56F3B"/>
    <w:rsid w:val="00C5708B"/>
    <w:rsid w:val="00C5753A"/>
    <w:rsid w:val="00C57CB0"/>
    <w:rsid w:val="00C6098E"/>
    <w:rsid w:val="00C615BD"/>
    <w:rsid w:val="00C62423"/>
    <w:rsid w:val="00C625EE"/>
    <w:rsid w:val="00C62AC0"/>
    <w:rsid w:val="00C63447"/>
    <w:rsid w:val="00C635C7"/>
    <w:rsid w:val="00C636A3"/>
    <w:rsid w:val="00C63EDC"/>
    <w:rsid w:val="00C6442A"/>
    <w:rsid w:val="00C6475D"/>
    <w:rsid w:val="00C64788"/>
    <w:rsid w:val="00C64946"/>
    <w:rsid w:val="00C649D7"/>
    <w:rsid w:val="00C64A49"/>
    <w:rsid w:val="00C64B83"/>
    <w:rsid w:val="00C64BE2"/>
    <w:rsid w:val="00C650EB"/>
    <w:rsid w:val="00C6548C"/>
    <w:rsid w:val="00C6570A"/>
    <w:rsid w:val="00C6589A"/>
    <w:rsid w:val="00C65F19"/>
    <w:rsid w:val="00C665C8"/>
    <w:rsid w:val="00C67565"/>
    <w:rsid w:val="00C6781E"/>
    <w:rsid w:val="00C67AE9"/>
    <w:rsid w:val="00C67B76"/>
    <w:rsid w:val="00C7055F"/>
    <w:rsid w:val="00C70BFE"/>
    <w:rsid w:val="00C70D85"/>
    <w:rsid w:val="00C71529"/>
    <w:rsid w:val="00C72726"/>
    <w:rsid w:val="00C72F93"/>
    <w:rsid w:val="00C73281"/>
    <w:rsid w:val="00C7344E"/>
    <w:rsid w:val="00C73F8D"/>
    <w:rsid w:val="00C7409F"/>
    <w:rsid w:val="00C740CE"/>
    <w:rsid w:val="00C74A06"/>
    <w:rsid w:val="00C74FF7"/>
    <w:rsid w:val="00C75177"/>
    <w:rsid w:val="00C76001"/>
    <w:rsid w:val="00C769C7"/>
    <w:rsid w:val="00C76ED7"/>
    <w:rsid w:val="00C7715C"/>
    <w:rsid w:val="00C774B8"/>
    <w:rsid w:val="00C77F1B"/>
    <w:rsid w:val="00C808D4"/>
    <w:rsid w:val="00C80A97"/>
    <w:rsid w:val="00C8102E"/>
    <w:rsid w:val="00C813BC"/>
    <w:rsid w:val="00C8176C"/>
    <w:rsid w:val="00C81DF8"/>
    <w:rsid w:val="00C82621"/>
    <w:rsid w:val="00C838AB"/>
    <w:rsid w:val="00C83DBE"/>
    <w:rsid w:val="00C84B8C"/>
    <w:rsid w:val="00C84DB7"/>
    <w:rsid w:val="00C869ED"/>
    <w:rsid w:val="00C86D7E"/>
    <w:rsid w:val="00C86F6A"/>
    <w:rsid w:val="00C870AC"/>
    <w:rsid w:val="00C877E0"/>
    <w:rsid w:val="00C90F77"/>
    <w:rsid w:val="00C9149E"/>
    <w:rsid w:val="00C916CA"/>
    <w:rsid w:val="00C925FE"/>
    <w:rsid w:val="00C937F7"/>
    <w:rsid w:val="00C94399"/>
    <w:rsid w:val="00C9460C"/>
    <w:rsid w:val="00C948E4"/>
    <w:rsid w:val="00C9492A"/>
    <w:rsid w:val="00C951E9"/>
    <w:rsid w:val="00C95775"/>
    <w:rsid w:val="00C97243"/>
    <w:rsid w:val="00C97BCB"/>
    <w:rsid w:val="00CA0017"/>
    <w:rsid w:val="00CA1080"/>
    <w:rsid w:val="00CA1239"/>
    <w:rsid w:val="00CA139C"/>
    <w:rsid w:val="00CA162F"/>
    <w:rsid w:val="00CA1687"/>
    <w:rsid w:val="00CA1874"/>
    <w:rsid w:val="00CA2167"/>
    <w:rsid w:val="00CA2689"/>
    <w:rsid w:val="00CA27FC"/>
    <w:rsid w:val="00CA2E00"/>
    <w:rsid w:val="00CA2F27"/>
    <w:rsid w:val="00CA35A7"/>
    <w:rsid w:val="00CA4123"/>
    <w:rsid w:val="00CA45B0"/>
    <w:rsid w:val="00CA4875"/>
    <w:rsid w:val="00CA4D23"/>
    <w:rsid w:val="00CA5271"/>
    <w:rsid w:val="00CA53F6"/>
    <w:rsid w:val="00CA5CEE"/>
    <w:rsid w:val="00CA6A86"/>
    <w:rsid w:val="00CA6BE3"/>
    <w:rsid w:val="00CA6C2D"/>
    <w:rsid w:val="00CA72DE"/>
    <w:rsid w:val="00CA7514"/>
    <w:rsid w:val="00CA775D"/>
    <w:rsid w:val="00CA7EE0"/>
    <w:rsid w:val="00CB05AB"/>
    <w:rsid w:val="00CB0771"/>
    <w:rsid w:val="00CB1123"/>
    <w:rsid w:val="00CB1538"/>
    <w:rsid w:val="00CB169D"/>
    <w:rsid w:val="00CB17C4"/>
    <w:rsid w:val="00CB1BA2"/>
    <w:rsid w:val="00CB1DD5"/>
    <w:rsid w:val="00CB22DE"/>
    <w:rsid w:val="00CB264F"/>
    <w:rsid w:val="00CB2784"/>
    <w:rsid w:val="00CB2DE3"/>
    <w:rsid w:val="00CB36E3"/>
    <w:rsid w:val="00CB3831"/>
    <w:rsid w:val="00CB3B9A"/>
    <w:rsid w:val="00CB3CEC"/>
    <w:rsid w:val="00CB3CF6"/>
    <w:rsid w:val="00CB441D"/>
    <w:rsid w:val="00CB4596"/>
    <w:rsid w:val="00CB484E"/>
    <w:rsid w:val="00CB52E9"/>
    <w:rsid w:val="00CB5632"/>
    <w:rsid w:val="00CB5A02"/>
    <w:rsid w:val="00CB5BC5"/>
    <w:rsid w:val="00CB6200"/>
    <w:rsid w:val="00CB678E"/>
    <w:rsid w:val="00CB6BEA"/>
    <w:rsid w:val="00CB6C90"/>
    <w:rsid w:val="00CB78C3"/>
    <w:rsid w:val="00CB793F"/>
    <w:rsid w:val="00CB7A65"/>
    <w:rsid w:val="00CB7CF3"/>
    <w:rsid w:val="00CC01CB"/>
    <w:rsid w:val="00CC04DE"/>
    <w:rsid w:val="00CC0CE5"/>
    <w:rsid w:val="00CC16D0"/>
    <w:rsid w:val="00CC19D5"/>
    <w:rsid w:val="00CC1BBB"/>
    <w:rsid w:val="00CC23B0"/>
    <w:rsid w:val="00CC2712"/>
    <w:rsid w:val="00CC271F"/>
    <w:rsid w:val="00CC2EE0"/>
    <w:rsid w:val="00CC3464"/>
    <w:rsid w:val="00CC4D89"/>
    <w:rsid w:val="00CC51F4"/>
    <w:rsid w:val="00CC6285"/>
    <w:rsid w:val="00CC65D0"/>
    <w:rsid w:val="00CC69EB"/>
    <w:rsid w:val="00CC6ADF"/>
    <w:rsid w:val="00CC6B22"/>
    <w:rsid w:val="00CC6F28"/>
    <w:rsid w:val="00CC7E4C"/>
    <w:rsid w:val="00CD021F"/>
    <w:rsid w:val="00CD029D"/>
    <w:rsid w:val="00CD07A0"/>
    <w:rsid w:val="00CD0918"/>
    <w:rsid w:val="00CD0E3A"/>
    <w:rsid w:val="00CD1001"/>
    <w:rsid w:val="00CD1E3D"/>
    <w:rsid w:val="00CD2216"/>
    <w:rsid w:val="00CD233F"/>
    <w:rsid w:val="00CD255B"/>
    <w:rsid w:val="00CD25C9"/>
    <w:rsid w:val="00CD2D65"/>
    <w:rsid w:val="00CD2FF8"/>
    <w:rsid w:val="00CD3692"/>
    <w:rsid w:val="00CD3D11"/>
    <w:rsid w:val="00CD4191"/>
    <w:rsid w:val="00CD5D1C"/>
    <w:rsid w:val="00CD5D26"/>
    <w:rsid w:val="00CD6AFC"/>
    <w:rsid w:val="00CD6BBF"/>
    <w:rsid w:val="00CD7153"/>
    <w:rsid w:val="00CD792A"/>
    <w:rsid w:val="00CE0729"/>
    <w:rsid w:val="00CE0B03"/>
    <w:rsid w:val="00CE2660"/>
    <w:rsid w:val="00CE27F4"/>
    <w:rsid w:val="00CE2FC8"/>
    <w:rsid w:val="00CE358F"/>
    <w:rsid w:val="00CE395A"/>
    <w:rsid w:val="00CE3C73"/>
    <w:rsid w:val="00CE5271"/>
    <w:rsid w:val="00CE5336"/>
    <w:rsid w:val="00CE5460"/>
    <w:rsid w:val="00CE5536"/>
    <w:rsid w:val="00CE6095"/>
    <w:rsid w:val="00CE6985"/>
    <w:rsid w:val="00CE722C"/>
    <w:rsid w:val="00CE74CD"/>
    <w:rsid w:val="00CF02DE"/>
    <w:rsid w:val="00CF0916"/>
    <w:rsid w:val="00CF0D1C"/>
    <w:rsid w:val="00CF1BAC"/>
    <w:rsid w:val="00CF222F"/>
    <w:rsid w:val="00CF25B4"/>
    <w:rsid w:val="00CF2B1F"/>
    <w:rsid w:val="00CF37BA"/>
    <w:rsid w:val="00CF40C5"/>
    <w:rsid w:val="00CF41AC"/>
    <w:rsid w:val="00CF4351"/>
    <w:rsid w:val="00CF460E"/>
    <w:rsid w:val="00CF53AD"/>
    <w:rsid w:val="00CF56D1"/>
    <w:rsid w:val="00CF5BC5"/>
    <w:rsid w:val="00CF680D"/>
    <w:rsid w:val="00CF7156"/>
    <w:rsid w:val="00CF7196"/>
    <w:rsid w:val="00CF77BC"/>
    <w:rsid w:val="00CF7D33"/>
    <w:rsid w:val="00CF7E65"/>
    <w:rsid w:val="00CF7ED5"/>
    <w:rsid w:val="00D01278"/>
    <w:rsid w:val="00D0141F"/>
    <w:rsid w:val="00D01994"/>
    <w:rsid w:val="00D01C54"/>
    <w:rsid w:val="00D0204E"/>
    <w:rsid w:val="00D029CF"/>
    <w:rsid w:val="00D03022"/>
    <w:rsid w:val="00D030DE"/>
    <w:rsid w:val="00D03626"/>
    <w:rsid w:val="00D03BAA"/>
    <w:rsid w:val="00D03F49"/>
    <w:rsid w:val="00D0400E"/>
    <w:rsid w:val="00D05081"/>
    <w:rsid w:val="00D06D76"/>
    <w:rsid w:val="00D06FB3"/>
    <w:rsid w:val="00D0713A"/>
    <w:rsid w:val="00D0717A"/>
    <w:rsid w:val="00D07326"/>
    <w:rsid w:val="00D075EF"/>
    <w:rsid w:val="00D079E3"/>
    <w:rsid w:val="00D079EC"/>
    <w:rsid w:val="00D07CE9"/>
    <w:rsid w:val="00D1001C"/>
    <w:rsid w:val="00D1041C"/>
    <w:rsid w:val="00D105AE"/>
    <w:rsid w:val="00D106FB"/>
    <w:rsid w:val="00D10B9F"/>
    <w:rsid w:val="00D10E6C"/>
    <w:rsid w:val="00D10F4A"/>
    <w:rsid w:val="00D10F85"/>
    <w:rsid w:val="00D10FAB"/>
    <w:rsid w:val="00D11204"/>
    <w:rsid w:val="00D12847"/>
    <w:rsid w:val="00D13572"/>
    <w:rsid w:val="00D1373F"/>
    <w:rsid w:val="00D13B1B"/>
    <w:rsid w:val="00D13DA8"/>
    <w:rsid w:val="00D155ED"/>
    <w:rsid w:val="00D156D0"/>
    <w:rsid w:val="00D158C5"/>
    <w:rsid w:val="00D15D20"/>
    <w:rsid w:val="00D16070"/>
    <w:rsid w:val="00D16657"/>
    <w:rsid w:val="00D16B01"/>
    <w:rsid w:val="00D17C5D"/>
    <w:rsid w:val="00D207E1"/>
    <w:rsid w:val="00D20A7A"/>
    <w:rsid w:val="00D210C0"/>
    <w:rsid w:val="00D2137E"/>
    <w:rsid w:val="00D21C30"/>
    <w:rsid w:val="00D21E83"/>
    <w:rsid w:val="00D21E93"/>
    <w:rsid w:val="00D22B73"/>
    <w:rsid w:val="00D23256"/>
    <w:rsid w:val="00D23B33"/>
    <w:rsid w:val="00D23C63"/>
    <w:rsid w:val="00D2401A"/>
    <w:rsid w:val="00D24796"/>
    <w:rsid w:val="00D24A6F"/>
    <w:rsid w:val="00D25225"/>
    <w:rsid w:val="00D25911"/>
    <w:rsid w:val="00D2607C"/>
    <w:rsid w:val="00D264B2"/>
    <w:rsid w:val="00D264B9"/>
    <w:rsid w:val="00D268C4"/>
    <w:rsid w:val="00D272BA"/>
    <w:rsid w:val="00D27516"/>
    <w:rsid w:val="00D3089E"/>
    <w:rsid w:val="00D3173E"/>
    <w:rsid w:val="00D320FF"/>
    <w:rsid w:val="00D327B8"/>
    <w:rsid w:val="00D327EC"/>
    <w:rsid w:val="00D34C0A"/>
    <w:rsid w:val="00D35236"/>
    <w:rsid w:val="00D35FCC"/>
    <w:rsid w:val="00D36A20"/>
    <w:rsid w:val="00D3749D"/>
    <w:rsid w:val="00D3750D"/>
    <w:rsid w:val="00D3770D"/>
    <w:rsid w:val="00D37A43"/>
    <w:rsid w:val="00D401BB"/>
    <w:rsid w:val="00D40698"/>
    <w:rsid w:val="00D40B7D"/>
    <w:rsid w:val="00D40D54"/>
    <w:rsid w:val="00D41A58"/>
    <w:rsid w:val="00D41DD0"/>
    <w:rsid w:val="00D42498"/>
    <w:rsid w:val="00D42DA0"/>
    <w:rsid w:val="00D43992"/>
    <w:rsid w:val="00D43D81"/>
    <w:rsid w:val="00D44A2E"/>
    <w:rsid w:val="00D4548D"/>
    <w:rsid w:val="00D458BF"/>
    <w:rsid w:val="00D45BEF"/>
    <w:rsid w:val="00D46BE4"/>
    <w:rsid w:val="00D472F3"/>
    <w:rsid w:val="00D47983"/>
    <w:rsid w:val="00D50615"/>
    <w:rsid w:val="00D509C7"/>
    <w:rsid w:val="00D51FB7"/>
    <w:rsid w:val="00D52196"/>
    <w:rsid w:val="00D524B5"/>
    <w:rsid w:val="00D52DEC"/>
    <w:rsid w:val="00D531E3"/>
    <w:rsid w:val="00D53BAF"/>
    <w:rsid w:val="00D54B13"/>
    <w:rsid w:val="00D55138"/>
    <w:rsid w:val="00D55CEC"/>
    <w:rsid w:val="00D55F21"/>
    <w:rsid w:val="00D562AD"/>
    <w:rsid w:val="00D5652E"/>
    <w:rsid w:val="00D56624"/>
    <w:rsid w:val="00D56E2A"/>
    <w:rsid w:val="00D56EF2"/>
    <w:rsid w:val="00D57536"/>
    <w:rsid w:val="00D57D54"/>
    <w:rsid w:val="00D602E6"/>
    <w:rsid w:val="00D6185D"/>
    <w:rsid w:val="00D61C5B"/>
    <w:rsid w:val="00D61F3F"/>
    <w:rsid w:val="00D620BC"/>
    <w:rsid w:val="00D62193"/>
    <w:rsid w:val="00D6244A"/>
    <w:rsid w:val="00D62829"/>
    <w:rsid w:val="00D62AC8"/>
    <w:rsid w:val="00D62DEC"/>
    <w:rsid w:val="00D63CE8"/>
    <w:rsid w:val="00D644E1"/>
    <w:rsid w:val="00D64A50"/>
    <w:rsid w:val="00D64C3E"/>
    <w:rsid w:val="00D64D38"/>
    <w:rsid w:val="00D6542D"/>
    <w:rsid w:val="00D67132"/>
    <w:rsid w:val="00D67F85"/>
    <w:rsid w:val="00D7034A"/>
    <w:rsid w:val="00D70B73"/>
    <w:rsid w:val="00D71A65"/>
    <w:rsid w:val="00D7256F"/>
    <w:rsid w:val="00D72C27"/>
    <w:rsid w:val="00D72C36"/>
    <w:rsid w:val="00D72D75"/>
    <w:rsid w:val="00D72DDC"/>
    <w:rsid w:val="00D72F69"/>
    <w:rsid w:val="00D731B1"/>
    <w:rsid w:val="00D7360B"/>
    <w:rsid w:val="00D73A31"/>
    <w:rsid w:val="00D74D07"/>
    <w:rsid w:val="00D755EB"/>
    <w:rsid w:val="00D769E8"/>
    <w:rsid w:val="00D76E2F"/>
    <w:rsid w:val="00D7756E"/>
    <w:rsid w:val="00D77CCE"/>
    <w:rsid w:val="00D77D3C"/>
    <w:rsid w:val="00D803B4"/>
    <w:rsid w:val="00D80435"/>
    <w:rsid w:val="00D812C5"/>
    <w:rsid w:val="00D81B66"/>
    <w:rsid w:val="00D81C4A"/>
    <w:rsid w:val="00D8259B"/>
    <w:rsid w:val="00D8268E"/>
    <w:rsid w:val="00D82DA3"/>
    <w:rsid w:val="00D82F02"/>
    <w:rsid w:val="00D833CA"/>
    <w:rsid w:val="00D84A86"/>
    <w:rsid w:val="00D84AAF"/>
    <w:rsid w:val="00D84E29"/>
    <w:rsid w:val="00D85451"/>
    <w:rsid w:val="00D85684"/>
    <w:rsid w:val="00D85B9E"/>
    <w:rsid w:val="00D85C71"/>
    <w:rsid w:val="00D8643C"/>
    <w:rsid w:val="00D867F2"/>
    <w:rsid w:val="00D868E0"/>
    <w:rsid w:val="00D87805"/>
    <w:rsid w:val="00D87E48"/>
    <w:rsid w:val="00D90175"/>
    <w:rsid w:val="00D9064C"/>
    <w:rsid w:val="00D90DFB"/>
    <w:rsid w:val="00D912C0"/>
    <w:rsid w:val="00D91A41"/>
    <w:rsid w:val="00D91C03"/>
    <w:rsid w:val="00D92AD8"/>
    <w:rsid w:val="00D930C6"/>
    <w:rsid w:val="00D933E8"/>
    <w:rsid w:val="00D93839"/>
    <w:rsid w:val="00D946E3"/>
    <w:rsid w:val="00D94CE6"/>
    <w:rsid w:val="00D95B5D"/>
    <w:rsid w:val="00D95C06"/>
    <w:rsid w:val="00D95D31"/>
    <w:rsid w:val="00D95FF7"/>
    <w:rsid w:val="00D960C2"/>
    <w:rsid w:val="00D9697F"/>
    <w:rsid w:val="00D97707"/>
    <w:rsid w:val="00D9777E"/>
    <w:rsid w:val="00D979DA"/>
    <w:rsid w:val="00D979FB"/>
    <w:rsid w:val="00D97EFF"/>
    <w:rsid w:val="00DA010F"/>
    <w:rsid w:val="00DA03F2"/>
    <w:rsid w:val="00DA0463"/>
    <w:rsid w:val="00DA102C"/>
    <w:rsid w:val="00DA242A"/>
    <w:rsid w:val="00DA2749"/>
    <w:rsid w:val="00DA2D2D"/>
    <w:rsid w:val="00DA3938"/>
    <w:rsid w:val="00DA39F5"/>
    <w:rsid w:val="00DA424C"/>
    <w:rsid w:val="00DA4AF6"/>
    <w:rsid w:val="00DA5A15"/>
    <w:rsid w:val="00DA5A84"/>
    <w:rsid w:val="00DA5B2F"/>
    <w:rsid w:val="00DA5EF1"/>
    <w:rsid w:val="00DA6C74"/>
    <w:rsid w:val="00DA7781"/>
    <w:rsid w:val="00DA77EC"/>
    <w:rsid w:val="00DB018C"/>
    <w:rsid w:val="00DB07CE"/>
    <w:rsid w:val="00DB0DB9"/>
    <w:rsid w:val="00DB0FD0"/>
    <w:rsid w:val="00DB1030"/>
    <w:rsid w:val="00DB160D"/>
    <w:rsid w:val="00DB175C"/>
    <w:rsid w:val="00DB203B"/>
    <w:rsid w:val="00DB2461"/>
    <w:rsid w:val="00DB2763"/>
    <w:rsid w:val="00DB363E"/>
    <w:rsid w:val="00DB39F1"/>
    <w:rsid w:val="00DB3B97"/>
    <w:rsid w:val="00DB3ECD"/>
    <w:rsid w:val="00DB41EE"/>
    <w:rsid w:val="00DB4361"/>
    <w:rsid w:val="00DB4442"/>
    <w:rsid w:val="00DB4903"/>
    <w:rsid w:val="00DB5093"/>
    <w:rsid w:val="00DB5AAA"/>
    <w:rsid w:val="00DB6215"/>
    <w:rsid w:val="00DB6B7F"/>
    <w:rsid w:val="00DB723A"/>
    <w:rsid w:val="00DB7315"/>
    <w:rsid w:val="00DB738D"/>
    <w:rsid w:val="00DB761C"/>
    <w:rsid w:val="00DB7E16"/>
    <w:rsid w:val="00DB7EFC"/>
    <w:rsid w:val="00DC022A"/>
    <w:rsid w:val="00DC0901"/>
    <w:rsid w:val="00DC0AEB"/>
    <w:rsid w:val="00DC188B"/>
    <w:rsid w:val="00DC1C45"/>
    <w:rsid w:val="00DC20E3"/>
    <w:rsid w:val="00DC2415"/>
    <w:rsid w:val="00DC2516"/>
    <w:rsid w:val="00DC2C8C"/>
    <w:rsid w:val="00DC36B3"/>
    <w:rsid w:val="00DC36C2"/>
    <w:rsid w:val="00DC36C4"/>
    <w:rsid w:val="00DC3AC1"/>
    <w:rsid w:val="00DC41A6"/>
    <w:rsid w:val="00DC42C4"/>
    <w:rsid w:val="00DC4DFB"/>
    <w:rsid w:val="00DC53F7"/>
    <w:rsid w:val="00DC5946"/>
    <w:rsid w:val="00DC5E80"/>
    <w:rsid w:val="00DC63BF"/>
    <w:rsid w:val="00DC63D9"/>
    <w:rsid w:val="00DC64DB"/>
    <w:rsid w:val="00DC64FB"/>
    <w:rsid w:val="00DC76EF"/>
    <w:rsid w:val="00DC7928"/>
    <w:rsid w:val="00DC7942"/>
    <w:rsid w:val="00DC7A10"/>
    <w:rsid w:val="00DD0349"/>
    <w:rsid w:val="00DD03F4"/>
    <w:rsid w:val="00DD0622"/>
    <w:rsid w:val="00DD132C"/>
    <w:rsid w:val="00DD18E3"/>
    <w:rsid w:val="00DD1E2D"/>
    <w:rsid w:val="00DD2305"/>
    <w:rsid w:val="00DD2561"/>
    <w:rsid w:val="00DD260B"/>
    <w:rsid w:val="00DD2FBF"/>
    <w:rsid w:val="00DD3181"/>
    <w:rsid w:val="00DD354E"/>
    <w:rsid w:val="00DD35F4"/>
    <w:rsid w:val="00DD3E88"/>
    <w:rsid w:val="00DD4663"/>
    <w:rsid w:val="00DD4886"/>
    <w:rsid w:val="00DD630F"/>
    <w:rsid w:val="00DD70F7"/>
    <w:rsid w:val="00DE001B"/>
    <w:rsid w:val="00DE0AB5"/>
    <w:rsid w:val="00DE1B4F"/>
    <w:rsid w:val="00DE39C8"/>
    <w:rsid w:val="00DE4F27"/>
    <w:rsid w:val="00DE4F38"/>
    <w:rsid w:val="00DE586D"/>
    <w:rsid w:val="00DE5B9C"/>
    <w:rsid w:val="00DE5DF1"/>
    <w:rsid w:val="00DE6530"/>
    <w:rsid w:val="00DE678F"/>
    <w:rsid w:val="00DE6E55"/>
    <w:rsid w:val="00DE7102"/>
    <w:rsid w:val="00DE7542"/>
    <w:rsid w:val="00DE7FC2"/>
    <w:rsid w:val="00DF06AF"/>
    <w:rsid w:val="00DF099C"/>
    <w:rsid w:val="00DF0AB8"/>
    <w:rsid w:val="00DF1316"/>
    <w:rsid w:val="00DF16B0"/>
    <w:rsid w:val="00DF1FD9"/>
    <w:rsid w:val="00DF2A5E"/>
    <w:rsid w:val="00DF36BF"/>
    <w:rsid w:val="00DF379D"/>
    <w:rsid w:val="00DF3DF0"/>
    <w:rsid w:val="00DF3FAC"/>
    <w:rsid w:val="00DF45DC"/>
    <w:rsid w:val="00DF478B"/>
    <w:rsid w:val="00DF47AD"/>
    <w:rsid w:val="00DF584C"/>
    <w:rsid w:val="00DF5B94"/>
    <w:rsid w:val="00DF5FA9"/>
    <w:rsid w:val="00DF5FCE"/>
    <w:rsid w:val="00DF6C40"/>
    <w:rsid w:val="00DF6FA6"/>
    <w:rsid w:val="00DF75DA"/>
    <w:rsid w:val="00DF7A11"/>
    <w:rsid w:val="00DF7ECC"/>
    <w:rsid w:val="00E00B86"/>
    <w:rsid w:val="00E0170C"/>
    <w:rsid w:val="00E01783"/>
    <w:rsid w:val="00E01E04"/>
    <w:rsid w:val="00E02707"/>
    <w:rsid w:val="00E03692"/>
    <w:rsid w:val="00E043EE"/>
    <w:rsid w:val="00E04966"/>
    <w:rsid w:val="00E04B18"/>
    <w:rsid w:val="00E05415"/>
    <w:rsid w:val="00E05BA8"/>
    <w:rsid w:val="00E05C1C"/>
    <w:rsid w:val="00E0613B"/>
    <w:rsid w:val="00E06540"/>
    <w:rsid w:val="00E066DF"/>
    <w:rsid w:val="00E067EE"/>
    <w:rsid w:val="00E077EC"/>
    <w:rsid w:val="00E07BB1"/>
    <w:rsid w:val="00E10769"/>
    <w:rsid w:val="00E10DB1"/>
    <w:rsid w:val="00E10F7E"/>
    <w:rsid w:val="00E1104C"/>
    <w:rsid w:val="00E1157E"/>
    <w:rsid w:val="00E1226F"/>
    <w:rsid w:val="00E1298E"/>
    <w:rsid w:val="00E1378C"/>
    <w:rsid w:val="00E138C8"/>
    <w:rsid w:val="00E13988"/>
    <w:rsid w:val="00E13D13"/>
    <w:rsid w:val="00E13EE7"/>
    <w:rsid w:val="00E13FC1"/>
    <w:rsid w:val="00E145B4"/>
    <w:rsid w:val="00E150CA"/>
    <w:rsid w:val="00E15343"/>
    <w:rsid w:val="00E159C5"/>
    <w:rsid w:val="00E164CF"/>
    <w:rsid w:val="00E16AB5"/>
    <w:rsid w:val="00E16B3B"/>
    <w:rsid w:val="00E16F3F"/>
    <w:rsid w:val="00E170CD"/>
    <w:rsid w:val="00E2045D"/>
    <w:rsid w:val="00E205D9"/>
    <w:rsid w:val="00E2060F"/>
    <w:rsid w:val="00E207F5"/>
    <w:rsid w:val="00E214A6"/>
    <w:rsid w:val="00E219BA"/>
    <w:rsid w:val="00E220C1"/>
    <w:rsid w:val="00E220C4"/>
    <w:rsid w:val="00E227BA"/>
    <w:rsid w:val="00E22968"/>
    <w:rsid w:val="00E22ADB"/>
    <w:rsid w:val="00E23B1B"/>
    <w:rsid w:val="00E24485"/>
    <w:rsid w:val="00E245E7"/>
    <w:rsid w:val="00E247EA"/>
    <w:rsid w:val="00E24BE3"/>
    <w:rsid w:val="00E24BE5"/>
    <w:rsid w:val="00E24F6A"/>
    <w:rsid w:val="00E250E7"/>
    <w:rsid w:val="00E25238"/>
    <w:rsid w:val="00E262E3"/>
    <w:rsid w:val="00E26B68"/>
    <w:rsid w:val="00E26CA5"/>
    <w:rsid w:val="00E2746E"/>
    <w:rsid w:val="00E27A70"/>
    <w:rsid w:val="00E27C72"/>
    <w:rsid w:val="00E305B7"/>
    <w:rsid w:val="00E30D1D"/>
    <w:rsid w:val="00E30FE0"/>
    <w:rsid w:val="00E31BAC"/>
    <w:rsid w:val="00E31CF6"/>
    <w:rsid w:val="00E32CBB"/>
    <w:rsid w:val="00E33FE9"/>
    <w:rsid w:val="00E344E1"/>
    <w:rsid w:val="00E350E5"/>
    <w:rsid w:val="00E355FD"/>
    <w:rsid w:val="00E35732"/>
    <w:rsid w:val="00E3593B"/>
    <w:rsid w:val="00E364AE"/>
    <w:rsid w:val="00E365A4"/>
    <w:rsid w:val="00E366EF"/>
    <w:rsid w:val="00E36BD1"/>
    <w:rsid w:val="00E3704C"/>
    <w:rsid w:val="00E414A8"/>
    <w:rsid w:val="00E4225E"/>
    <w:rsid w:val="00E425CD"/>
    <w:rsid w:val="00E431A7"/>
    <w:rsid w:val="00E431D8"/>
    <w:rsid w:val="00E43943"/>
    <w:rsid w:val="00E43A29"/>
    <w:rsid w:val="00E43C9C"/>
    <w:rsid w:val="00E4404D"/>
    <w:rsid w:val="00E448F1"/>
    <w:rsid w:val="00E45C80"/>
    <w:rsid w:val="00E46C9C"/>
    <w:rsid w:val="00E46CCD"/>
    <w:rsid w:val="00E47390"/>
    <w:rsid w:val="00E4770C"/>
    <w:rsid w:val="00E47874"/>
    <w:rsid w:val="00E47A1E"/>
    <w:rsid w:val="00E5007A"/>
    <w:rsid w:val="00E50462"/>
    <w:rsid w:val="00E50A2E"/>
    <w:rsid w:val="00E50C2B"/>
    <w:rsid w:val="00E50F89"/>
    <w:rsid w:val="00E512EB"/>
    <w:rsid w:val="00E51679"/>
    <w:rsid w:val="00E5175C"/>
    <w:rsid w:val="00E52FEF"/>
    <w:rsid w:val="00E53689"/>
    <w:rsid w:val="00E53857"/>
    <w:rsid w:val="00E540DF"/>
    <w:rsid w:val="00E541D4"/>
    <w:rsid w:val="00E54A4A"/>
    <w:rsid w:val="00E54AD3"/>
    <w:rsid w:val="00E5547E"/>
    <w:rsid w:val="00E55488"/>
    <w:rsid w:val="00E558E8"/>
    <w:rsid w:val="00E561AB"/>
    <w:rsid w:val="00E569EB"/>
    <w:rsid w:val="00E569F4"/>
    <w:rsid w:val="00E5711B"/>
    <w:rsid w:val="00E5776D"/>
    <w:rsid w:val="00E57B56"/>
    <w:rsid w:val="00E60378"/>
    <w:rsid w:val="00E603F5"/>
    <w:rsid w:val="00E60845"/>
    <w:rsid w:val="00E60B85"/>
    <w:rsid w:val="00E60D51"/>
    <w:rsid w:val="00E60DC6"/>
    <w:rsid w:val="00E6106A"/>
    <w:rsid w:val="00E61344"/>
    <w:rsid w:val="00E62107"/>
    <w:rsid w:val="00E63DB9"/>
    <w:rsid w:val="00E64206"/>
    <w:rsid w:val="00E64448"/>
    <w:rsid w:val="00E64ACE"/>
    <w:rsid w:val="00E64D96"/>
    <w:rsid w:val="00E656F5"/>
    <w:rsid w:val="00E65B6D"/>
    <w:rsid w:val="00E6666E"/>
    <w:rsid w:val="00E66E66"/>
    <w:rsid w:val="00E6700B"/>
    <w:rsid w:val="00E67763"/>
    <w:rsid w:val="00E67F35"/>
    <w:rsid w:val="00E702B8"/>
    <w:rsid w:val="00E704C5"/>
    <w:rsid w:val="00E70866"/>
    <w:rsid w:val="00E70BF1"/>
    <w:rsid w:val="00E70CDB"/>
    <w:rsid w:val="00E718F7"/>
    <w:rsid w:val="00E72283"/>
    <w:rsid w:val="00E72C13"/>
    <w:rsid w:val="00E72CE7"/>
    <w:rsid w:val="00E72EAF"/>
    <w:rsid w:val="00E734F1"/>
    <w:rsid w:val="00E7373A"/>
    <w:rsid w:val="00E73C8E"/>
    <w:rsid w:val="00E73C9B"/>
    <w:rsid w:val="00E74765"/>
    <w:rsid w:val="00E75445"/>
    <w:rsid w:val="00E75BD0"/>
    <w:rsid w:val="00E75EF2"/>
    <w:rsid w:val="00E764DB"/>
    <w:rsid w:val="00E7694C"/>
    <w:rsid w:val="00E76B96"/>
    <w:rsid w:val="00E77468"/>
    <w:rsid w:val="00E7747F"/>
    <w:rsid w:val="00E80165"/>
    <w:rsid w:val="00E80C4E"/>
    <w:rsid w:val="00E82195"/>
    <w:rsid w:val="00E826C0"/>
    <w:rsid w:val="00E82BBA"/>
    <w:rsid w:val="00E839EF"/>
    <w:rsid w:val="00E83CF7"/>
    <w:rsid w:val="00E83FD3"/>
    <w:rsid w:val="00E84BF1"/>
    <w:rsid w:val="00E84CEA"/>
    <w:rsid w:val="00E84EB4"/>
    <w:rsid w:val="00E84F52"/>
    <w:rsid w:val="00E85084"/>
    <w:rsid w:val="00E85604"/>
    <w:rsid w:val="00E85ABC"/>
    <w:rsid w:val="00E85D33"/>
    <w:rsid w:val="00E864C7"/>
    <w:rsid w:val="00E8670B"/>
    <w:rsid w:val="00E86C94"/>
    <w:rsid w:val="00E87796"/>
    <w:rsid w:val="00E879EE"/>
    <w:rsid w:val="00E907A7"/>
    <w:rsid w:val="00E90C94"/>
    <w:rsid w:val="00E917D1"/>
    <w:rsid w:val="00E91A99"/>
    <w:rsid w:val="00E91D5F"/>
    <w:rsid w:val="00E92150"/>
    <w:rsid w:val="00E92184"/>
    <w:rsid w:val="00E9267B"/>
    <w:rsid w:val="00E928B2"/>
    <w:rsid w:val="00E92BF9"/>
    <w:rsid w:val="00E92DDC"/>
    <w:rsid w:val="00E9330A"/>
    <w:rsid w:val="00E936D2"/>
    <w:rsid w:val="00E93CA7"/>
    <w:rsid w:val="00E953A9"/>
    <w:rsid w:val="00E9575C"/>
    <w:rsid w:val="00E96511"/>
    <w:rsid w:val="00E96A25"/>
    <w:rsid w:val="00E974B7"/>
    <w:rsid w:val="00E97843"/>
    <w:rsid w:val="00E97CE1"/>
    <w:rsid w:val="00E97F15"/>
    <w:rsid w:val="00EA02B2"/>
    <w:rsid w:val="00EA0AD1"/>
    <w:rsid w:val="00EA1DEF"/>
    <w:rsid w:val="00EA2995"/>
    <w:rsid w:val="00EA2B8D"/>
    <w:rsid w:val="00EA3378"/>
    <w:rsid w:val="00EA366E"/>
    <w:rsid w:val="00EA3690"/>
    <w:rsid w:val="00EA3F60"/>
    <w:rsid w:val="00EA46E5"/>
    <w:rsid w:val="00EA4807"/>
    <w:rsid w:val="00EA6218"/>
    <w:rsid w:val="00EA63AC"/>
    <w:rsid w:val="00EA65DC"/>
    <w:rsid w:val="00EA7441"/>
    <w:rsid w:val="00EA7EB0"/>
    <w:rsid w:val="00EB043C"/>
    <w:rsid w:val="00EB1224"/>
    <w:rsid w:val="00EB12FF"/>
    <w:rsid w:val="00EB24A1"/>
    <w:rsid w:val="00EB260F"/>
    <w:rsid w:val="00EB29C8"/>
    <w:rsid w:val="00EB29F8"/>
    <w:rsid w:val="00EB3A10"/>
    <w:rsid w:val="00EB5342"/>
    <w:rsid w:val="00EB5493"/>
    <w:rsid w:val="00EB54F4"/>
    <w:rsid w:val="00EB582B"/>
    <w:rsid w:val="00EB5C88"/>
    <w:rsid w:val="00EB604E"/>
    <w:rsid w:val="00EB61A1"/>
    <w:rsid w:val="00EB6D80"/>
    <w:rsid w:val="00EC0A37"/>
    <w:rsid w:val="00EC15C9"/>
    <w:rsid w:val="00EC1827"/>
    <w:rsid w:val="00EC187B"/>
    <w:rsid w:val="00EC1A6A"/>
    <w:rsid w:val="00EC1C33"/>
    <w:rsid w:val="00EC2676"/>
    <w:rsid w:val="00EC2834"/>
    <w:rsid w:val="00EC370F"/>
    <w:rsid w:val="00EC3BA9"/>
    <w:rsid w:val="00EC3FDC"/>
    <w:rsid w:val="00EC4CF2"/>
    <w:rsid w:val="00EC63B6"/>
    <w:rsid w:val="00EC6C52"/>
    <w:rsid w:val="00EC6FC0"/>
    <w:rsid w:val="00EC755F"/>
    <w:rsid w:val="00EC7981"/>
    <w:rsid w:val="00EC7B84"/>
    <w:rsid w:val="00EC7FE8"/>
    <w:rsid w:val="00ED05AE"/>
    <w:rsid w:val="00ED05BA"/>
    <w:rsid w:val="00ED0960"/>
    <w:rsid w:val="00ED14BD"/>
    <w:rsid w:val="00ED159C"/>
    <w:rsid w:val="00ED15D7"/>
    <w:rsid w:val="00ED1E88"/>
    <w:rsid w:val="00ED22DC"/>
    <w:rsid w:val="00ED44B6"/>
    <w:rsid w:val="00ED479A"/>
    <w:rsid w:val="00ED4DE4"/>
    <w:rsid w:val="00ED539A"/>
    <w:rsid w:val="00ED5900"/>
    <w:rsid w:val="00ED5941"/>
    <w:rsid w:val="00ED5D34"/>
    <w:rsid w:val="00ED7780"/>
    <w:rsid w:val="00ED7BF6"/>
    <w:rsid w:val="00EE12BE"/>
    <w:rsid w:val="00EE155A"/>
    <w:rsid w:val="00EE1BC2"/>
    <w:rsid w:val="00EE26A0"/>
    <w:rsid w:val="00EE313E"/>
    <w:rsid w:val="00EE3B2F"/>
    <w:rsid w:val="00EE3CCC"/>
    <w:rsid w:val="00EE42A2"/>
    <w:rsid w:val="00EE4545"/>
    <w:rsid w:val="00EE505C"/>
    <w:rsid w:val="00EE532F"/>
    <w:rsid w:val="00EE544A"/>
    <w:rsid w:val="00EE56B9"/>
    <w:rsid w:val="00EE5A66"/>
    <w:rsid w:val="00EE653B"/>
    <w:rsid w:val="00EE69B6"/>
    <w:rsid w:val="00EE6EA0"/>
    <w:rsid w:val="00EE6FA2"/>
    <w:rsid w:val="00EF0B33"/>
    <w:rsid w:val="00EF10D0"/>
    <w:rsid w:val="00EF10F3"/>
    <w:rsid w:val="00EF1314"/>
    <w:rsid w:val="00EF21D4"/>
    <w:rsid w:val="00EF3061"/>
    <w:rsid w:val="00EF3709"/>
    <w:rsid w:val="00EF3BB6"/>
    <w:rsid w:val="00EF4144"/>
    <w:rsid w:val="00EF4353"/>
    <w:rsid w:val="00EF45D2"/>
    <w:rsid w:val="00EF49F4"/>
    <w:rsid w:val="00EF4A21"/>
    <w:rsid w:val="00EF4BDB"/>
    <w:rsid w:val="00EF54BB"/>
    <w:rsid w:val="00EF54E3"/>
    <w:rsid w:val="00EF5B9E"/>
    <w:rsid w:val="00EF5E92"/>
    <w:rsid w:val="00EF60F6"/>
    <w:rsid w:val="00EF610B"/>
    <w:rsid w:val="00EF622B"/>
    <w:rsid w:val="00EF6ACB"/>
    <w:rsid w:val="00EF6DDC"/>
    <w:rsid w:val="00EF6FB4"/>
    <w:rsid w:val="00EF71AF"/>
    <w:rsid w:val="00EF793D"/>
    <w:rsid w:val="00EF7CA3"/>
    <w:rsid w:val="00F001D0"/>
    <w:rsid w:val="00F00233"/>
    <w:rsid w:val="00F00C38"/>
    <w:rsid w:val="00F010A4"/>
    <w:rsid w:val="00F0110C"/>
    <w:rsid w:val="00F01395"/>
    <w:rsid w:val="00F01D5A"/>
    <w:rsid w:val="00F030F6"/>
    <w:rsid w:val="00F04132"/>
    <w:rsid w:val="00F05040"/>
    <w:rsid w:val="00F054B9"/>
    <w:rsid w:val="00F05BAB"/>
    <w:rsid w:val="00F0659A"/>
    <w:rsid w:val="00F068D8"/>
    <w:rsid w:val="00F06FB7"/>
    <w:rsid w:val="00F07DEC"/>
    <w:rsid w:val="00F07EDC"/>
    <w:rsid w:val="00F118AE"/>
    <w:rsid w:val="00F119C5"/>
    <w:rsid w:val="00F122BB"/>
    <w:rsid w:val="00F124A0"/>
    <w:rsid w:val="00F1285D"/>
    <w:rsid w:val="00F13215"/>
    <w:rsid w:val="00F13BB3"/>
    <w:rsid w:val="00F14102"/>
    <w:rsid w:val="00F14689"/>
    <w:rsid w:val="00F14950"/>
    <w:rsid w:val="00F14B3A"/>
    <w:rsid w:val="00F15690"/>
    <w:rsid w:val="00F159FB"/>
    <w:rsid w:val="00F15D60"/>
    <w:rsid w:val="00F162D2"/>
    <w:rsid w:val="00F16A08"/>
    <w:rsid w:val="00F16A4F"/>
    <w:rsid w:val="00F16B42"/>
    <w:rsid w:val="00F1703B"/>
    <w:rsid w:val="00F2044E"/>
    <w:rsid w:val="00F2149B"/>
    <w:rsid w:val="00F216C6"/>
    <w:rsid w:val="00F21B2C"/>
    <w:rsid w:val="00F21F51"/>
    <w:rsid w:val="00F223C6"/>
    <w:rsid w:val="00F225C1"/>
    <w:rsid w:val="00F236D4"/>
    <w:rsid w:val="00F23D3F"/>
    <w:rsid w:val="00F24118"/>
    <w:rsid w:val="00F245B2"/>
    <w:rsid w:val="00F24E9E"/>
    <w:rsid w:val="00F258E6"/>
    <w:rsid w:val="00F25C98"/>
    <w:rsid w:val="00F26766"/>
    <w:rsid w:val="00F26F2E"/>
    <w:rsid w:val="00F2707B"/>
    <w:rsid w:val="00F27A6D"/>
    <w:rsid w:val="00F30282"/>
    <w:rsid w:val="00F308E3"/>
    <w:rsid w:val="00F30B1E"/>
    <w:rsid w:val="00F30CA5"/>
    <w:rsid w:val="00F31076"/>
    <w:rsid w:val="00F3107C"/>
    <w:rsid w:val="00F31209"/>
    <w:rsid w:val="00F31DF8"/>
    <w:rsid w:val="00F3200D"/>
    <w:rsid w:val="00F32154"/>
    <w:rsid w:val="00F32868"/>
    <w:rsid w:val="00F32F72"/>
    <w:rsid w:val="00F330C6"/>
    <w:rsid w:val="00F336E0"/>
    <w:rsid w:val="00F36577"/>
    <w:rsid w:val="00F368AC"/>
    <w:rsid w:val="00F36A2F"/>
    <w:rsid w:val="00F4011F"/>
    <w:rsid w:val="00F4092F"/>
    <w:rsid w:val="00F4097A"/>
    <w:rsid w:val="00F40EDA"/>
    <w:rsid w:val="00F4129E"/>
    <w:rsid w:val="00F4157B"/>
    <w:rsid w:val="00F41E35"/>
    <w:rsid w:val="00F4248B"/>
    <w:rsid w:val="00F42AED"/>
    <w:rsid w:val="00F42EE2"/>
    <w:rsid w:val="00F4404E"/>
    <w:rsid w:val="00F44ED8"/>
    <w:rsid w:val="00F4538C"/>
    <w:rsid w:val="00F45673"/>
    <w:rsid w:val="00F45C97"/>
    <w:rsid w:val="00F4696A"/>
    <w:rsid w:val="00F479DB"/>
    <w:rsid w:val="00F47F56"/>
    <w:rsid w:val="00F50BDD"/>
    <w:rsid w:val="00F5144C"/>
    <w:rsid w:val="00F5175D"/>
    <w:rsid w:val="00F517B1"/>
    <w:rsid w:val="00F51B17"/>
    <w:rsid w:val="00F52EE0"/>
    <w:rsid w:val="00F53E7A"/>
    <w:rsid w:val="00F54C22"/>
    <w:rsid w:val="00F55590"/>
    <w:rsid w:val="00F55A7C"/>
    <w:rsid w:val="00F560A2"/>
    <w:rsid w:val="00F5659B"/>
    <w:rsid w:val="00F56AF0"/>
    <w:rsid w:val="00F56B27"/>
    <w:rsid w:val="00F572F3"/>
    <w:rsid w:val="00F57677"/>
    <w:rsid w:val="00F57A05"/>
    <w:rsid w:val="00F60397"/>
    <w:rsid w:val="00F603B7"/>
    <w:rsid w:val="00F606E7"/>
    <w:rsid w:val="00F60770"/>
    <w:rsid w:val="00F60AA7"/>
    <w:rsid w:val="00F61505"/>
    <w:rsid w:val="00F62478"/>
    <w:rsid w:val="00F625F4"/>
    <w:rsid w:val="00F62A70"/>
    <w:rsid w:val="00F62B5D"/>
    <w:rsid w:val="00F62D25"/>
    <w:rsid w:val="00F62F3D"/>
    <w:rsid w:val="00F638EB"/>
    <w:rsid w:val="00F63D9B"/>
    <w:rsid w:val="00F645C8"/>
    <w:rsid w:val="00F64B06"/>
    <w:rsid w:val="00F6517F"/>
    <w:rsid w:val="00F65B55"/>
    <w:rsid w:val="00F65C8C"/>
    <w:rsid w:val="00F6611C"/>
    <w:rsid w:val="00F6683B"/>
    <w:rsid w:val="00F67162"/>
    <w:rsid w:val="00F672C6"/>
    <w:rsid w:val="00F67631"/>
    <w:rsid w:val="00F67A34"/>
    <w:rsid w:val="00F67DF6"/>
    <w:rsid w:val="00F67EB7"/>
    <w:rsid w:val="00F703BE"/>
    <w:rsid w:val="00F70495"/>
    <w:rsid w:val="00F704F9"/>
    <w:rsid w:val="00F707C9"/>
    <w:rsid w:val="00F7094D"/>
    <w:rsid w:val="00F7103A"/>
    <w:rsid w:val="00F715B2"/>
    <w:rsid w:val="00F7217C"/>
    <w:rsid w:val="00F72611"/>
    <w:rsid w:val="00F726CD"/>
    <w:rsid w:val="00F72FC3"/>
    <w:rsid w:val="00F7326F"/>
    <w:rsid w:val="00F73DD2"/>
    <w:rsid w:val="00F74C3D"/>
    <w:rsid w:val="00F74DA4"/>
    <w:rsid w:val="00F74F93"/>
    <w:rsid w:val="00F75599"/>
    <w:rsid w:val="00F75DE0"/>
    <w:rsid w:val="00F75FD7"/>
    <w:rsid w:val="00F76C22"/>
    <w:rsid w:val="00F77077"/>
    <w:rsid w:val="00F775B7"/>
    <w:rsid w:val="00F779DF"/>
    <w:rsid w:val="00F81BAD"/>
    <w:rsid w:val="00F82612"/>
    <w:rsid w:val="00F8278C"/>
    <w:rsid w:val="00F82DDE"/>
    <w:rsid w:val="00F832E4"/>
    <w:rsid w:val="00F83502"/>
    <w:rsid w:val="00F83D22"/>
    <w:rsid w:val="00F84320"/>
    <w:rsid w:val="00F844C7"/>
    <w:rsid w:val="00F84737"/>
    <w:rsid w:val="00F847D9"/>
    <w:rsid w:val="00F84A77"/>
    <w:rsid w:val="00F857A9"/>
    <w:rsid w:val="00F85C9D"/>
    <w:rsid w:val="00F85E6E"/>
    <w:rsid w:val="00F87EA5"/>
    <w:rsid w:val="00F87EE1"/>
    <w:rsid w:val="00F90905"/>
    <w:rsid w:val="00F91099"/>
    <w:rsid w:val="00F913F8"/>
    <w:rsid w:val="00F92012"/>
    <w:rsid w:val="00F924AB"/>
    <w:rsid w:val="00F925F5"/>
    <w:rsid w:val="00F92894"/>
    <w:rsid w:val="00F93014"/>
    <w:rsid w:val="00F9305C"/>
    <w:rsid w:val="00F9346E"/>
    <w:rsid w:val="00F93612"/>
    <w:rsid w:val="00F937E6"/>
    <w:rsid w:val="00F93E28"/>
    <w:rsid w:val="00F952BE"/>
    <w:rsid w:val="00F95B94"/>
    <w:rsid w:val="00F95F0D"/>
    <w:rsid w:val="00F97010"/>
    <w:rsid w:val="00F979EA"/>
    <w:rsid w:val="00F97AB5"/>
    <w:rsid w:val="00FA1325"/>
    <w:rsid w:val="00FA1A29"/>
    <w:rsid w:val="00FA1B2B"/>
    <w:rsid w:val="00FA3904"/>
    <w:rsid w:val="00FA424C"/>
    <w:rsid w:val="00FA47E2"/>
    <w:rsid w:val="00FA4D0F"/>
    <w:rsid w:val="00FA502F"/>
    <w:rsid w:val="00FA5064"/>
    <w:rsid w:val="00FA5065"/>
    <w:rsid w:val="00FA61CC"/>
    <w:rsid w:val="00FA66ED"/>
    <w:rsid w:val="00FA7F52"/>
    <w:rsid w:val="00FB016C"/>
    <w:rsid w:val="00FB017B"/>
    <w:rsid w:val="00FB0519"/>
    <w:rsid w:val="00FB0A2D"/>
    <w:rsid w:val="00FB0CFF"/>
    <w:rsid w:val="00FB0D29"/>
    <w:rsid w:val="00FB2321"/>
    <w:rsid w:val="00FB25E2"/>
    <w:rsid w:val="00FB3160"/>
    <w:rsid w:val="00FB37E5"/>
    <w:rsid w:val="00FB40B4"/>
    <w:rsid w:val="00FB49AE"/>
    <w:rsid w:val="00FB4E33"/>
    <w:rsid w:val="00FB521F"/>
    <w:rsid w:val="00FB7661"/>
    <w:rsid w:val="00FC010B"/>
    <w:rsid w:val="00FC02DE"/>
    <w:rsid w:val="00FC11D9"/>
    <w:rsid w:val="00FC1390"/>
    <w:rsid w:val="00FC167C"/>
    <w:rsid w:val="00FC1905"/>
    <w:rsid w:val="00FC2C60"/>
    <w:rsid w:val="00FC3772"/>
    <w:rsid w:val="00FC38CD"/>
    <w:rsid w:val="00FC39DC"/>
    <w:rsid w:val="00FC4407"/>
    <w:rsid w:val="00FC443D"/>
    <w:rsid w:val="00FC48D4"/>
    <w:rsid w:val="00FC5089"/>
    <w:rsid w:val="00FC50EC"/>
    <w:rsid w:val="00FC52F3"/>
    <w:rsid w:val="00FC5AF2"/>
    <w:rsid w:val="00FC6169"/>
    <w:rsid w:val="00FC65E4"/>
    <w:rsid w:val="00FC67E5"/>
    <w:rsid w:val="00FC736D"/>
    <w:rsid w:val="00FC7404"/>
    <w:rsid w:val="00FC77DC"/>
    <w:rsid w:val="00FC7A23"/>
    <w:rsid w:val="00FD03DF"/>
    <w:rsid w:val="00FD0607"/>
    <w:rsid w:val="00FD1383"/>
    <w:rsid w:val="00FD1C4C"/>
    <w:rsid w:val="00FD1D04"/>
    <w:rsid w:val="00FD24CF"/>
    <w:rsid w:val="00FD280C"/>
    <w:rsid w:val="00FD2BBB"/>
    <w:rsid w:val="00FD39B8"/>
    <w:rsid w:val="00FD3F0A"/>
    <w:rsid w:val="00FD5003"/>
    <w:rsid w:val="00FD5015"/>
    <w:rsid w:val="00FD5886"/>
    <w:rsid w:val="00FD60BF"/>
    <w:rsid w:val="00FD6521"/>
    <w:rsid w:val="00FD65FA"/>
    <w:rsid w:val="00FD6AF0"/>
    <w:rsid w:val="00FD71F5"/>
    <w:rsid w:val="00FD73C2"/>
    <w:rsid w:val="00FD75A8"/>
    <w:rsid w:val="00FD7B56"/>
    <w:rsid w:val="00FD7EAE"/>
    <w:rsid w:val="00FE0E0D"/>
    <w:rsid w:val="00FE0FEB"/>
    <w:rsid w:val="00FE1BA1"/>
    <w:rsid w:val="00FE1DFC"/>
    <w:rsid w:val="00FE2571"/>
    <w:rsid w:val="00FE2574"/>
    <w:rsid w:val="00FE383E"/>
    <w:rsid w:val="00FE3B11"/>
    <w:rsid w:val="00FE3D4C"/>
    <w:rsid w:val="00FE4654"/>
    <w:rsid w:val="00FE46B7"/>
    <w:rsid w:val="00FE4826"/>
    <w:rsid w:val="00FE4AEE"/>
    <w:rsid w:val="00FE641E"/>
    <w:rsid w:val="00FE6802"/>
    <w:rsid w:val="00FE6BEB"/>
    <w:rsid w:val="00FE7EFE"/>
    <w:rsid w:val="00FE7FDC"/>
    <w:rsid w:val="00FE7FE3"/>
    <w:rsid w:val="00FF0847"/>
    <w:rsid w:val="00FF11F6"/>
    <w:rsid w:val="00FF1AD3"/>
    <w:rsid w:val="00FF1FDF"/>
    <w:rsid w:val="00FF2837"/>
    <w:rsid w:val="00FF3AB7"/>
    <w:rsid w:val="00FF3BDE"/>
    <w:rsid w:val="00FF4448"/>
    <w:rsid w:val="00FF4C73"/>
    <w:rsid w:val="00FF5536"/>
    <w:rsid w:val="00FF64DE"/>
    <w:rsid w:val="00FF6885"/>
    <w:rsid w:val="00FF6E0D"/>
    <w:rsid w:val="00FF726A"/>
    <w:rsid w:val="00FF73E1"/>
    <w:rsid w:val="00FF7E6B"/>
    <w:rsid w:val="024678C3"/>
    <w:rsid w:val="036B751F"/>
    <w:rsid w:val="03E8150C"/>
    <w:rsid w:val="07051CC6"/>
    <w:rsid w:val="089C0A1D"/>
    <w:rsid w:val="0A9E403D"/>
    <w:rsid w:val="0B8C0620"/>
    <w:rsid w:val="0CA013EE"/>
    <w:rsid w:val="0CC13D3D"/>
    <w:rsid w:val="0D045855"/>
    <w:rsid w:val="0D1E3C6F"/>
    <w:rsid w:val="0D717692"/>
    <w:rsid w:val="0E006992"/>
    <w:rsid w:val="1154349E"/>
    <w:rsid w:val="137B656B"/>
    <w:rsid w:val="143B145C"/>
    <w:rsid w:val="14BA51BD"/>
    <w:rsid w:val="15A05336"/>
    <w:rsid w:val="15B2567E"/>
    <w:rsid w:val="1D27403F"/>
    <w:rsid w:val="1D757914"/>
    <w:rsid w:val="1E0219EB"/>
    <w:rsid w:val="1E315D2A"/>
    <w:rsid w:val="1F5140FD"/>
    <w:rsid w:val="20C75CFD"/>
    <w:rsid w:val="21910059"/>
    <w:rsid w:val="21945D82"/>
    <w:rsid w:val="242A7F35"/>
    <w:rsid w:val="24AD60E6"/>
    <w:rsid w:val="255620BA"/>
    <w:rsid w:val="2B6878F8"/>
    <w:rsid w:val="2BE377D8"/>
    <w:rsid w:val="2C414BB4"/>
    <w:rsid w:val="2D5E2204"/>
    <w:rsid w:val="2F6B3D4E"/>
    <w:rsid w:val="307E7897"/>
    <w:rsid w:val="33EA63C7"/>
    <w:rsid w:val="3698514F"/>
    <w:rsid w:val="38BB4459"/>
    <w:rsid w:val="3C5D33C6"/>
    <w:rsid w:val="3D0F49BE"/>
    <w:rsid w:val="3EB56415"/>
    <w:rsid w:val="41E35951"/>
    <w:rsid w:val="43E7302D"/>
    <w:rsid w:val="4470036A"/>
    <w:rsid w:val="45D124CE"/>
    <w:rsid w:val="4D9E5346"/>
    <w:rsid w:val="50DA747D"/>
    <w:rsid w:val="50F74ED1"/>
    <w:rsid w:val="51BE4ACB"/>
    <w:rsid w:val="52016802"/>
    <w:rsid w:val="52396B82"/>
    <w:rsid w:val="536B290A"/>
    <w:rsid w:val="54B035FC"/>
    <w:rsid w:val="589C3B0A"/>
    <w:rsid w:val="58E51454"/>
    <w:rsid w:val="5C5E3F5F"/>
    <w:rsid w:val="5D623320"/>
    <w:rsid w:val="5E682CCE"/>
    <w:rsid w:val="61EB2095"/>
    <w:rsid w:val="62BB0C27"/>
    <w:rsid w:val="678B4709"/>
    <w:rsid w:val="67A32390"/>
    <w:rsid w:val="690C410A"/>
    <w:rsid w:val="698F5857"/>
    <w:rsid w:val="6A4406C6"/>
    <w:rsid w:val="6B0E0FAD"/>
    <w:rsid w:val="6C1802BD"/>
    <w:rsid w:val="6CF046AA"/>
    <w:rsid w:val="6E12391A"/>
    <w:rsid w:val="71030884"/>
    <w:rsid w:val="79E83BF7"/>
    <w:rsid w:val="7A337410"/>
    <w:rsid w:val="7AE970AD"/>
    <w:rsid w:val="7CBF686A"/>
    <w:rsid w:val="7E0E15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nhideWhenUsed="0" w:uiPriority="0" w:semiHidden="0"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72"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5"/>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46"/>
    <w:qFormat/>
    <w:uiPriority w:val="9"/>
    <w:pPr>
      <w:keepNext/>
      <w:keepLines/>
      <w:spacing w:beforeLines="100" w:line="300" w:lineRule="auto"/>
      <w:jc w:val="left"/>
      <w:outlineLvl w:val="1"/>
    </w:pPr>
    <w:rPr>
      <w:rFonts w:ascii="Times New Roman" w:hAnsi="Times New Roman" w:eastAsia="宋体" w:cs="Times New Roman"/>
      <w:b/>
      <w:bCs/>
      <w:sz w:val="24"/>
      <w:szCs w:val="24"/>
    </w:rPr>
  </w:style>
  <w:style w:type="paragraph" w:styleId="4">
    <w:name w:val="heading 3"/>
    <w:basedOn w:val="1"/>
    <w:next w:val="5"/>
    <w:link w:val="49"/>
    <w:qFormat/>
    <w:uiPriority w:val="9"/>
    <w:pPr>
      <w:adjustRightInd w:val="0"/>
      <w:spacing w:line="360" w:lineRule="auto"/>
      <w:outlineLvl w:val="2"/>
    </w:pPr>
    <w:rPr>
      <w:rFonts w:ascii="Times New Roman" w:hAnsi="Times New Roman" w:eastAsia="宋体" w:cs="Times New Roman"/>
      <w:sz w:val="24"/>
      <w:szCs w:val="20"/>
    </w:rPr>
  </w:style>
  <w:style w:type="paragraph" w:styleId="7">
    <w:name w:val="heading 4"/>
    <w:basedOn w:val="1"/>
    <w:next w:val="5"/>
    <w:link w:val="50"/>
    <w:qFormat/>
    <w:uiPriority w:val="9"/>
    <w:pPr>
      <w:spacing w:line="360" w:lineRule="auto"/>
      <w:outlineLvl w:val="3"/>
    </w:pPr>
    <w:rPr>
      <w:rFonts w:ascii="Times New Roman" w:hAnsi="Times New Roman" w:eastAsia="宋体" w:cs="Times New Roman"/>
      <w:sz w:val="24"/>
      <w:szCs w:val="20"/>
    </w:rPr>
  </w:style>
  <w:style w:type="paragraph" w:styleId="8">
    <w:name w:val="heading 5"/>
    <w:basedOn w:val="1"/>
    <w:next w:val="1"/>
    <w:link w:val="98"/>
    <w:qFormat/>
    <w:uiPriority w:val="9"/>
    <w:pPr>
      <w:widowControl/>
      <w:spacing w:before="320" w:after="120" w:line="252" w:lineRule="auto"/>
      <w:jc w:val="center"/>
      <w:outlineLvl w:val="4"/>
    </w:pPr>
    <w:rPr>
      <w:rFonts w:ascii="Cambria" w:hAnsi="Cambria" w:eastAsia="宋体" w:cs="Times New Roman"/>
      <w:caps/>
      <w:color w:val="622423"/>
      <w:spacing w:val="10"/>
      <w:kern w:val="0"/>
      <w:sz w:val="22"/>
      <w:szCs w:val="20"/>
      <w:lang w:eastAsia="en-US" w:bidi="en-US"/>
    </w:rPr>
  </w:style>
  <w:style w:type="paragraph" w:styleId="9">
    <w:name w:val="heading 6"/>
    <w:basedOn w:val="1"/>
    <w:next w:val="1"/>
    <w:link w:val="99"/>
    <w:qFormat/>
    <w:uiPriority w:val="9"/>
    <w:pPr>
      <w:widowControl/>
      <w:spacing w:after="120" w:line="252" w:lineRule="auto"/>
      <w:jc w:val="center"/>
      <w:outlineLvl w:val="5"/>
    </w:pPr>
    <w:rPr>
      <w:rFonts w:ascii="Cambria" w:hAnsi="Cambria" w:eastAsia="宋体" w:cs="Times New Roman"/>
      <w:caps/>
      <w:color w:val="943634"/>
      <w:spacing w:val="10"/>
      <w:kern w:val="0"/>
      <w:sz w:val="22"/>
      <w:szCs w:val="20"/>
      <w:lang w:eastAsia="en-US" w:bidi="en-US"/>
    </w:rPr>
  </w:style>
  <w:style w:type="paragraph" w:styleId="10">
    <w:name w:val="heading 7"/>
    <w:basedOn w:val="1"/>
    <w:next w:val="1"/>
    <w:link w:val="51"/>
    <w:unhideWhenUsed/>
    <w:qFormat/>
    <w:uiPriority w:val="9"/>
    <w:pPr>
      <w:keepNext/>
      <w:keepLines/>
      <w:spacing w:before="240" w:after="64" w:line="320" w:lineRule="auto"/>
      <w:outlineLvl w:val="6"/>
    </w:pPr>
    <w:rPr>
      <w:b/>
      <w:bCs/>
      <w:sz w:val="24"/>
      <w:szCs w:val="24"/>
    </w:rPr>
  </w:style>
  <w:style w:type="paragraph" w:styleId="11">
    <w:name w:val="heading 8"/>
    <w:basedOn w:val="1"/>
    <w:next w:val="1"/>
    <w:link w:val="100"/>
    <w:qFormat/>
    <w:uiPriority w:val="9"/>
    <w:pPr>
      <w:widowControl/>
      <w:spacing w:after="120" w:line="252" w:lineRule="auto"/>
      <w:jc w:val="center"/>
      <w:outlineLvl w:val="7"/>
    </w:pPr>
    <w:rPr>
      <w:rFonts w:ascii="Cambria" w:hAnsi="Cambria" w:eastAsia="宋体" w:cs="Times New Roman"/>
      <w:caps/>
      <w:spacing w:val="10"/>
      <w:kern w:val="0"/>
      <w:sz w:val="20"/>
      <w:szCs w:val="20"/>
      <w:lang w:eastAsia="en-US" w:bidi="en-US"/>
    </w:rPr>
  </w:style>
  <w:style w:type="paragraph" w:styleId="12">
    <w:name w:val="heading 9"/>
    <w:basedOn w:val="1"/>
    <w:next w:val="1"/>
    <w:link w:val="101"/>
    <w:qFormat/>
    <w:uiPriority w:val="9"/>
    <w:pPr>
      <w:widowControl/>
      <w:spacing w:after="120" w:line="252" w:lineRule="auto"/>
      <w:jc w:val="center"/>
      <w:outlineLvl w:val="8"/>
    </w:pPr>
    <w:rPr>
      <w:rFonts w:ascii="Cambria" w:hAnsi="Cambria" w:eastAsia="宋体" w:cs="Times New Roman"/>
      <w:i/>
      <w:iCs/>
      <w:caps/>
      <w:spacing w:val="10"/>
      <w:kern w:val="0"/>
      <w:sz w:val="20"/>
      <w:szCs w:val="20"/>
      <w:lang w:eastAsia="en-US" w:bidi="en-US"/>
    </w:rPr>
  </w:style>
  <w:style w:type="character" w:default="1" w:styleId="37">
    <w:name w:val="Default Paragraph Font"/>
    <w:unhideWhenUsed/>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5">
    <w:name w:val="Body Text First Indent"/>
    <w:basedOn w:val="6"/>
    <w:link w:val="48"/>
    <w:unhideWhenUsed/>
    <w:qFormat/>
    <w:uiPriority w:val="99"/>
    <w:pPr>
      <w:ind w:firstLine="420" w:firstLineChars="100"/>
    </w:pPr>
  </w:style>
  <w:style w:type="paragraph" w:styleId="6">
    <w:name w:val="Body Text"/>
    <w:basedOn w:val="1"/>
    <w:link w:val="47"/>
    <w:unhideWhenUsed/>
    <w:qFormat/>
    <w:uiPriority w:val="99"/>
    <w:pPr>
      <w:spacing w:after="120"/>
    </w:pPr>
  </w:style>
  <w:style w:type="paragraph" w:styleId="13">
    <w:name w:val="toc 7"/>
    <w:basedOn w:val="1"/>
    <w:next w:val="1"/>
    <w:unhideWhenUsed/>
    <w:qFormat/>
    <w:uiPriority w:val="39"/>
    <w:pPr>
      <w:ind w:left="2520" w:leftChars="1200"/>
    </w:pPr>
  </w:style>
  <w:style w:type="paragraph" w:styleId="14">
    <w:name w:val="caption"/>
    <w:basedOn w:val="1"/>
    <w:next w:val="1"/>
    <w:qFormat/>
    <w:uiPriority w:val="35"/>
    <w:pPr>
      <w:widowControl/>
      <w:spacing w:after="200" w:line="252" w:lineRule="auto"/>
      <w:jc w:val="left"/>
    </w:pPr>
    <w:rPr>
      <w:rFonts w:ascii="Cambria" w:hAnsi="Cambria" w:eastAsia="宋体" w:cs="Times New Roman"/>
      <w:caps/>
      <w:spacing w:val="10"/>
      <w:kern w:val="0"/>
      <w:sz w:val="18"/>
      <w:szCs w:val="18"/>
      <w:lang w:eastAsia="en-US" w:bidi="en-US"/>
    </w:rPr>
  </w:style>
  <w:style w:type="paragraph" w:styleId="15">
    <w:name w:val="Document Map"/>
    <w:basedOn w:val="1"/>
    <w:link w:val="59"/>
    <w:unhideWhenUsed/>
    <w:qFormat/>
    <w:uiPriority w:val="0"/>
    <w:rPr>
      <w:rFonts w:ascii="宋体" w:eastAsia="宋体"/>
      <w:sz w:val="18"/>
      <w:szCs w:val="18"/>
    </w:rPr>
  </w:style>
  <w:style w:type="paragraph" w:styleId="16">
    <w:name w:val="annotation text"/>
    <w:basedOn w:val="1"/>
    <w:link w:val="66"/>
    <w:unhideWhenUsed/>
    <w:qFormat/>
    <w:uiPriority w:val="0"/>
    <w:pPr>
      <w:jc w:val="left"/>
    </w:pPr>
  </w:style>
  <w:style w:type="paragraph" w:styleId="17">
    <w:name w:val="toc 5"/>
    <w:basedOn w:val="1"/>
    <w:next w:val="1"/>
    <w:unhideWhenUsed/>
    <w:qFormat/>
    <w:uiPriority w:val="39"/>
    <w:pPr>
      <w:ind w:left="1680" w:leftChars="800"/>
    </w:pPr>
  </w:style>
  <w:style w:type="paragraph" w:styleId="18">
    <w:name w:val="toc 3"/>
    <w:basedOn w:val="1"/>
    <w:next w:val="1"/>
    <w:unhideWhenUsed/>
    <w:qFormat/>
    <w:uiPriority w:val="39"/>
    <w:pPr>
      <w:ind w:left="840" w:leftChars="400"/>
    </w:pPr>
  </w:style>
  <w:style w:type="paragraph" w:styleId="19">
    <w:name w:val="Plain Text"/>
    <w:basedOn w:val="1"/>
    <w:link w:val="61"/>
    <w:qFormat/>
    <w:uiPriority w:val="0"/>
    <w:rPr>
      <w:rFonts w:ascii="宋体" w:hAnsi="Courier New" w:eastAsia="宋体" w:cs="Times New Roman"/>
      <w:szCs w:val="20"/>
    </w:rPr>
  </w:style>
  <w:style w:type="paragraph" w:styleId="20">
    <w:name w:val="toc 8"/>
    <w:basedOn w:val="1"/>
    <w:next w:val="1"/>
    <w:unhideWhenUsed/>
    <w:qFormat/>
    <w:uiPriority w:val="39"/>
    <w:pPr>
      <w:ind w:left="2940" w:leftChars="1400"/>
    </w:pPr>
  </w:style>
  <w:style w:type="paragraph" w:styleId="21">
    <w:name w:val="Date"/>
    <w:basedOn w:val="1"/>
    <w:next w:val="1"/>
    <w:link w:val="65"/>
    <w:unhideWhenUsed/>
    <w:qFormat/>
    <w:uiPriority w:val="99"/>
    <w:pPr>
      <w:ind w:left="100" w:leftChars="2500"/>
    </w:pPr>
  </w:style>
  <w:style w:type="paragraph" w:styleId="22">
    <w:name w:val="Balloon Text"/>
    <w:basedOn w:val="1"/>
    <w:link w:val="60"/>
    <w:unhideWhenUsed/>
    <w:qFormat/>
    <w:uiPriority w:val="0"/>
    <w:rPr>
      <w:sz w:val="18"/>
      <w:szCs w:val="18"/>
    </w:rPr>
  </w:style>
  <w:style w:type="paragraph" w:styleId="23">
    <w:name w:val="footer"/>
    <w:basedOn w:val="1"/>
    <w:link w:val="58"/>
    <w:unhideWhenUsed/>
    <w:qFormat/>
    <w:uiPriority w:val="99"/>
    <w:pPr>
      <w:tabs>
        <w:tab w:val="center" w:pos="4153"/>
        <w:tab w:val="right" w:pos="8306"/>
      </w:tabs>
      <w:snapToGrid w:val="0"/>
      <w:jc w:val="left"/>
    </w:pPr>
    <w:rPr>
      <w:sz w:val="18"/>
      <w:szCs w:val="18"/>
    </w:rPr>
  </w:style>
  <w:style w:type="paragraph" w:styleId="24">
    <w:name w:val="header"/>
    <w:basedOn w:val="1"/>
    <w:link w:val="57"/>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link w:val="118"/>
    <w:unhideWhenUsed/>
    <w:qFormat/>
    <w:uiPriority w:val="39"/>
  </w:style>
  <w:style w:type="paragraph" w:styleId="26">
    <w:name w:val="toc 4"/>
    <w:basedOn w:val="1"/>
    <w:next w:val="1"/>
    <w:unhideWhenUsed/>
    <w:qFormat/>
    <w:uiPriority w:val="39"/>
    <w:pPr>
      <w:ind w:left="1260" w:leftChars="600"/>
    </w:pPr>
  </w:style>
  <w:style w:type="paragraph" w:styleId="27">
    <w:name w:val="Subtitle"/>
    <w:basedOn w:val="1"/>
    <w:next w:val="1"/>
    <w:link w:val="119"/>
    <w:qFormat/>
    <w:uiPriority w:val="11"/>
    <w:pPr>
      <w:widowControl/>
      <w:spacing w:after="560"/>
      <w:jc w:val="center"/>
    </w:pPr>
    <w:rPr>
      <w:rFonts w:ascii="Cambria" w:hAnsi="Cambria" w:eastAsia="宋体" w:cs="Times New Roman"/>
      <w:caps/>
      <w:spacing w:val="20"/>
      <w:kern w:val="0"/>
      <w:sz w:val="18"/>
      <w:szCs w:val="18"/>
      <w:lang w:eastAsia="en-US" w:bidi="en-US"/>
    </w:rPr>
  </w:style>
  <w:style w:type="paragraph" w:styleId="28">
    <w:name w:val="footnote text"/>
    <w:basedOn w:val="1"/>
    <w:link w:val="117"/>
    <w:qFormat/>
    <w:uiPriority w:val="0"/>
    <w:pPr>
      <w:widowControl/>
      <w:numPr>
        <w:ilvl w:val="0"/>
        <w:numId w:val="1"/>
      </w:numPr>
      <w:tabs>
        <w:tab w:val="left" w:pos="0"/>
      </w:tabs>
      <w:snapToGrid w:val="0"/>
      <w:spacing w:after="200" w:line="252" w:lineRule="auto"/>
      <w:ind w:firstLine="0"/>
      <w:jc w:val="left"/>
    </w:pPr>
    <w:rPr>
      <w:rFonts w:ascii="宋体" w:hAnsi="Cambria"/>
      <w:kern w:val="0"/>
      <w:sz w:val="18"/>
      <w:szCs w:val="18"/>
      <w:lang w:eastAsia="en-US" w:bidi="en-US"/>
    </w:rPr>
  </w:style>
  <w:style w:type="paragraph" w:styleId="29">
    <w:name w:val="toc 6"/>
    <w:basedOn w:val="1"/>
    <w:next w:val="1"/>
    <w:unhideWhenUsed/>
    <w:qFormat/>
    <w:uiPriority w:val="39"/>
    <w:pPr>
      <w:ind w:left="2100" w:leftChars="1000"/>
    </w:pPr>
  </w:style>
  <w:style w:type="paragraph" w:styleId="30">
    <w:name w:val="toc 2"/>
    <w:basedOn w:val="1"/>
    <w:next w:val="1"/>
    <w:unhideWhenUsed/>
    <w:qFormat/>
    <w:uiPriority w:val="39"/>
    <w:pPr>
      <w:ind w:left="420" w:leftChars="200"/>
    </w:pPr>
  </w:style>
  <w:style w:type="paragraph" w:styleId="31">
    <w:name w:val="toc 9"/>
    <w:basedOn w:val="1"/>
    <w:next w:val="1"/>
    <w:unhideWhenUsed/>
    <w:qFormat/>
    <w:uiPriority w:val="39"/>
    <w:pPr>
      <w:ind w:left="3360" w:leftChars="1600"/>
    </w:pPr>
  </w:style>
  <w:style w:type="paragraph" w:styleId="32">
    <w:name w:val="Normal (Web)"/>
    <w:basedOn w:val="1"/>
    <w:unhideWhenUsed/>
    <w:qFormat/>
    <w:uiPriority w:val="99"/>
    <w:pPr>
      <w:widowControl/>
      <w:spacing w:before="100" w:beforeAutospacing="1" w:after="100" w:afterAutospacing="1"/>
      <w:jc w:val="left"/>
    </w:pPr>
    <w:rPr>
      <w:rFonts w:ascii="宋体" w:hAnsi="宋体" w:eastAsia="宋体" w:cs="宋体"/>
      <w:color w:val="000000"/>
      <w:kern w:val="0"/>
      <w:sz w:val="24"/>
      <w:szCs w:val="24"/>
    </w:rPr>
  </w:style>
  <w:style w:type="paragraph" w:styleId="33">
    <w:name w:val="Title"/>
    <w:basedOn w:val="1"/>
    <w:next w:val="1"/>
    <w:link w:val="107"/>
    <w:qFormat/>
    <w:uiPriority w:val="10"/>
    <w:pPr>
      <w:widowControl/>
      <w:pBdr>
        <w:top w:val="dotted" w:color="632423" w:sz="2" w:space="1"/>
        <w:bottom w:val="dotted" w:color="632423" w:sz="2" w:space="6"/>
      </w:pBdr>
      <w:spacing w:before="500" w:after="300"/>
      <w:jc w:val="center"/>
    </w:pPr>
    <w:rPr>
      <w:rFonts w:ascii="Cambria" w:hAnsi="Cambria" w:eastAsia="宋体" w:cs="Times New Roman"/>
      <w:caps/>
      <w:color w:val="632423"/>
      <w:spacing w:val="50"/>
      <w:kern w:val="0"/>
      <w:sz w:val="44"/>
      <w:szCs w:val="44"/>
      <w:lang w:eastAsia="en-US" w:bidi="en-US"/>
    </w:rPr>
  </w:style>
  <w:style w:type="paragraph" w:styleId="34">
    <w:name w:val="annotation subject"/>
    <w:basedOn w:val="16"/>
    <w:next w:val="16"/>
    <w:link w:val="67"/>
    <w:unhideWhenUsed/>
    <w:qFormat/>
    <w:uiPriority w:val="0"/>
    <w:rPr>
      <w:b/>
      <w:bCs/>
    </w:rPr>
  </w:style>
  <w:style w:type="table" w:styleId="36">
    <w:name w:val="Table Grid"/>
    <w:basedOn w:val="3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qFormat/>
    <w:uiPriority w:val="22"/>
    <w:rPr>
      <w:b/>
      <w:bCs/>
      <w:color w:val="943634"/>
      <w:spacing w:val="5"/>
    </w:rPr>
  </w:style>
  <w:style w:type="character" w:styleId="39">
    <w:name w:val="page number"/>
    <w:qFormat/>
    <w:uiPriority w:val="0"/>
    <w:rPr>
      <w:rFonts w:ascii="Times New Roman" w:hAnsi="Times New Roman" w:eastAsia="宋体"/>
      <w:sz w:val="18"/>
    </w:rPr>
  </w:style>
  <w:style w:type="character" w:styleId="40">
    <w:name w:val="FollowedHyperlink"/>
    <w:unhideWhenUsed/>
    <w:qFormat/>
    <w:uiPriority w:val="99"/>
    <w:rPr>
      <w:color w:val="800080"/>
      <w:u w:val="single"/>
    </w:rPr>
  </w:style>
  <w:style w:type="character" w:styleId="41">
    <w:name w:val="Emphasis"/>
    <w:qFormat/>
    <w:uiPriority w:val="20"/>
    <w:rPr>
      <w:caps/>
      <w:spacing w:val="5"/>
      <w:sz w:val="20"/>
      <w:szCs w:val="20"/>
    </w:rPr>
  </w:style>
  <w:style w:type="character" w:styleId="42">
    <w:name w:val="Hyperlink"/>
    <w:basedOn w:val="37"/>
    <w:unhideWhenUsed/>
    <w:qFormat/>
    <w:uiPriority w:val="99"/>
    <w:rPr>
      <w:color w:val="0000FF" w:themeColor="hyperlink"/>
      <w:u w:val="single"/>
      <w14:textFill>
        <w14:solidFill>
          <w14:schemeClr w14:val="hlink"/>
        </w14:solidFill>
      </w14:textFill>
    </w:rPr>
  </w:style>
  <w:style w:type="character" w:styleId="43">
    <w:name w:val="annotation reference"/>
    <w:basedOn w:val="37"/>
    <w:unhideWhenUsed/>
    <w:qFormat/>
    <w:uiPriority w:val="0"/>
    <w:rPr>
      <w:sz w:val="21"/>
      <w:szCs w:val="21"/>
    </w:rPr>
  </w:style>
  <w:style w:type="character" w:styleId="44">
    <w:name w:val="footnote reference"/>
    <w:qFormat/>
    <w:uiPriority w:val="0"/>
    <w:rPr>
      <w:vertAlign w:val="superscript"/>
    </w:rPr>
  </w:style>
  <w:style w:type="character" w:customStyle="1" w:styleId="45">
    <w:name w:val="标题 1 字符"/>
    <w:basedOn w:val="37"/>
    <w:link w:val="2"/>
    <w:qFormat/>
    <w:uiPriority w:val="9"/>
    <w:rPr>
      <w:rFonts w:ascii="Calibri" w:hAnsi="Calibri" w:eastAsia="宋体" w:cs="Times New Roman"/>
      <w:b/>
      <w:bCs/>
      <w:kern w:val="44"/>
      <w:sz w:val="44"/>
      <w:szCs w:val="44"/>
    </w:rPr>
  </w:style>
  <w:style w:type="character" w:customStyle="1" w:styleId="46">
    <w:name w:val="标题 2 字符"/>
    <w:basedOn w:val="37"/>
    <w:link w:val="3"/>
    <w:qFormat/>
    <w:uiPriority w:val="9"/>
    <w:rPr>
      <w:rFonts w:ascii="Times New Roman" w:hAnsi="Times New Roman" w:eastAsia="宋体" w:cs="Times New Roman"/>
      <w:b/>
      <w:bCs/>
      <w:sz w:val="24"/>
      <w:szCs w:val="24"/>
    </w:rPr>
  </w:style>
  <w:style w:type="character" w:customStyle="1" w:styleId="47">
    <w:name w:val="正文文本 字符"/>
    <w:basedOn w:val="37"/>
    <w:link w:val="6"/>
    <w:semiHidden/>
    <w:qFormat/>
    <w:uiPriority w:val="99"/>
  </w:style>
  <w:style w:type="character" w:customStyle="1" w:styleId="48">
    <w:name w:val="正文文本首行缩进 字符"/>
    <w:basedOn w:val="47"/>
    <w:link w:val="5"/>
    <w:qFormat/>
    <w:uiPriority w:val="99"/>
  </w:style>
  <w:style w:type="character" w:customStyle="1" w:styleId="49">
    <w:name w:val="标题 3 字符"/>
    <w:basedOn w:val="37"/>
    <w:link w:val="4"/>
    <w:qFormat/>
    <w:uiPriority w:val="9"/>
    <w:rPr>
      <w:rFonts w:ascii="Times New Roman" w:hAnsi="Times New Roman" w:eastAsia="宋体" w:cs="Times New Roman"/>
      <w:sz w:val="24"/>
      <w:szCs w:val="20"/>
    </w:rPr>
  </w:style>
  <w:style w:type="character" w:customStyle="1" w:styleId="50">
    <w:name w:val="标题 4 字符"/>
    <w:basedOn w:val="37"/>
    <w:link w:val="7"/>
    <w:qFormat/>
    <w:uiPriority w:val="9"/>
    <w:rPr>
      <w:rFonts w:ascii="Times New Roman" w:hAnsi="Times New Roman" w:eastAsia="宋体" w:cs="Times New Roman"/>
      <w:sz w:val="24"/>
      <w:szCs w:val="20"/>
    </w:rPr>
  </w:style>
  <w:style w:type="character" w:customStyle="1" w:styleId="51">
    <w:name w:val="标题 7 字符"/>
    <w:basedOn w:val="37"/>
    <w:link w:val="10"/>
    <w:qFormat/>
    <w:uiPriority w:val="9"/>
    <w:rPr>
      <w:b/>
      <w:bCs/>
      <w:sz w:val="24"/>
      <w:szCs w:val="24"/>
    </w:rPr>
  </w:style>
  <w:style w:type="paragraph" w:customStyle="1" w:styleId="52">
    <w:name w:val="条文说明和评价办法"/>
    <w:basedOn w:val="1"/>
    <w:link w:val="53"/>
    <w:qFormat/>
    <w:uiPriority w:val="0"/>
    <w:pPr>
      <w:spacing w:line="360" w:lineRule="auto"/>
    </w:pPr>
    <w:rPr>
      <w:rFonts w:ascii="Times New Roman" w:hAnsi="Times New Roman" w:eastAsia="仿宋_GB2312" w:cs="仿宋_GB2312"/>
      <w:b/>
      <w:bCs/>
      <w:sz w:val="24"/>
      <w:szCs w:val="24"/>
    </w:rPr>
  </w:style>
  <w:style w:type="character" w:customStyle="1" w:styleId="53">
    <w:name w:val="条文说明和评价办法 Char"/>
    <w:link w:val="52"/>
    <w:qFormat/>
    <w:uiPriority w:val="0"/>
    <w:rPr>
      <w:rFonts w:ascii="Times New Roman" w:hAnsi="Times New Roman" w:eastAsia="仿宋_GB2312" w:cs="仿宋_GB2312"/>
      <w:b/>
      <w:bCs/>
      <w:sz w:val="24"/>
      <w:szCs w:val="24"/>
    </w:rPr>
  </w:style>
  <w:style w:type="paragraph" w:customStyle="1" w:styleId="54">
    <w:name w:val="条文"/>
    <w:basedOn w:val="1"/>
    <w:qFormat/>
    <w:uiPriority w:val="0"/>
    <w:pPr>
      <w:spacing w:line="300" w:lineRule="auto"/>
      <w:outlineLvl w:val="2"/>
    </w:pPr>
    <w:rPr>
      <w:rFonts w:ascii="Times New Roman" w:hAnsi="Times New Roman" w:eastAsia="宋体" w:cs="Times New Roman"/>
      <w:sz w:val="24"/>
      <w:szCs w:val="24"/>
    </w:rPr>
  </w:style>
  <w:style w:type="paragraph" w:customStyle="1" w:styleId="55">
    <w:name w:val="Char Char Char Char Char Char 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56">
    <w:name w:val="列表段落1"/>
    <w:basedOn w:val="1"/>
    <w:qFormat/>
    <w:uiPriority w:val="0"/>
    <w:pPr>
      <w:ind w:firstLine="420" w:firstLineChars="200"/>
    </w:pPr>
  </w:style>
  <w:style w:type="character" w:customStyle="1" w:styleId="57">
    <w:name w:val="页眉 字符"/>
    <w:basedOn w:val="37"/>
    <w:link w:val="24"/>
    <w:qFormat/>
    <w:uiPriority w:val="0"/>
    <w:rPr>
      <w:sz w:val="18"/>
      <w:szCs w:val="18"/>
    </w:rPr>
  </w:style>
  <w:style w:type="character" w:customStyle="1" w:styleId="58">
    <w:name w:val="页脚 字符"/>
    <w:basedOn w:val="37"/>
    <w:link w:val="23"/>
    <w:qFormat/>
    <w:uiPriority w:val="99"/>
    <w:rPr>
      <w:sz w:val="18"/>
      <w:szCs w:val="18"/>
    </w:rPr>
  </w:style>
  <w:style w:type="character" w:customStyle="1" w:styleId="59">
    <w:name w:val="文档结构图 字符"/>
    <w:basedOn w:val="37"/>
    <w:link w:val="15"/>
    <w:qFormat/>
    <w:uiPriority w:val="0"/>
    <w:rPr>
      <w:rFonts w:ascii="宋体" w:eastAsia="宋体"/>
      <w:sz w:val="18"/>
      <w:szCs w:val="18"/>
    </w:rPr>
  </w:style>
  <w:style w:type="character" w:customStyle="1" w:styleId="60">
    <w:name w:val="批注框文本 字符"/>
    <w:basedOn w:val="37"/>
    <w:link w:val="22"/>
    <w:qFormat/>
    <w:uiPriority w:val="0"/>
    <w:rPr>
      <w:sz w:val="18"/>
      <w:szCs w:val="18"/>
    </w:rPr>
  </w:style>
  <w:style w:type="character" w:customStyle="1" w:styleId="61">
    <w:name w:val="纯文本 字符"/>
    <w:basedOn w:val="37"/>
    <w:link w:val="19"/>
    <w:qFormat/>
    <w:uiPriority w:val="0"/>
    <w:rPr>
      <w:rFonts w:ascii="宋体" w:hAnsi="Courier New" w:eastAsia="宋体" w:cs="Times New Roman"/>
      <w:szCs w:val="20"/>
    </w:rPr>
  </w:style>
  <w:style w:type="paragraph" w:customStyle="1" w:styleId="62">
    <w:name w:val="标准文件_一级条标题"/>
    <w:basedOn w:val="1"/>
    <w:next w:val="1"/>
    <w:qFormat/>
    <w:uiPriority w:val="0"/>
    <w:pPr>
      <w:widowControl/>
      <w:numPr>
        <w:ilvl w:val="2"/>
        <w:numId w:val="2"/>
      </w:numPr>
      <w:ind w:right="-50" w:rightChars="-50"/>
      <w:outlineLvl w:val="2"/>
    </w:pPr>
    <w:rPr>
      <w:rFonts w:ascii="黑体" w:hAnsi="Times New Roman" w:eastAsia="黑体" w:cs="Times New Roman"/>
      <w:spacing w:val="2"/>
      <w:kern w:val="0"/>
      <w:szCs w:val="20"/>
    </w:rPr>
  </w:style>
  <w:style w:type="paragraph" w:customStyle="1" w:styleId="6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5">
    <w:name w:val="日期 字符"/>
    <w:basedOn w:val="37"/>
    <w:link w:val="21"/>
    <w:qFormat/>
    <w:uiPriority w:val="99"/>
  </w:style>
  <w:style w:type="character" w:customStyle="1" w:styleId="66">
    <w:name w:val="批注文字 字符"/>
    <w:basedOn w:val="37"/>
    <w:link w:val="16"/>
    <w:qFormat/>
    <w:uiPriority w:val="0"/>
  </w:style>
  <w:style w:type="character" w:customStyle="1" w:styleId="67">
    <w:name w:val="批注主题 字符"/>
    <w:basedOn w:val="66"/>
    <w:link w:val="34"/>
    <w:qFormat/>
    <w:uiPriority w:val="0"/>
    <w:rPr>
      <w:b/>
      <w:bCs/>
    </w:rPr>
  </w:style>
  <w:style w:type="paragraph" w:customStyle="1" w:styleId="68">
    <w:name w:val="Char Char Char Char Char Char Char1"/>
    <w:basedOn w:val="1"/>
    <w:qFormat/>
    <w:uiPriority w:val="0"/>
    <w:pPr>
      <w:widowControl/>
      <w:spacing w:after="160" w:line="240" w:lineRule="exact"/>
      <w:jc w:val="left"/>
    </w:pPr>
    <w:rPr>
      <w:rFonts w:ascii="Arial" w:hAnsi="Arial" w:eastAsia="Times New Roman" w:cs="Verdana"/>
      <w:b/>
      <w:kern w:val="0"/>
      <w:sz w:val="24"/>
      <w:szCs w:val="24"/>
      <w:lang w:eastAsia="en-US"/>
    </w:rPr>
  </w:style>
  <w:style w:type="character" w:customStyle="1" w:styleId="69">
    <w:name w:val="占位符文本1"/>
    <w:basedOn w:val="37"/>
    <w:semiHidden/>
    <w:qFormat/>
    <w:uiPriority w:val="99"/>
    <w:rPr>
      <w:color w:val="808080"/>
    </w:rPr>
  </w:style>
  <w:style w:type="character" w:customStyle="1" w:styleId="70">
    <w:name w:val="占位符文本11"/>
    <w:basedOn w:val="37"/>
    <w:qFormat/>
    <w:uiPriority w:val="0"/>
    <w:rPr>
      <w:color w:val="808080"/>
    </w:rPr>
  </w:style>
  <w:style w:type="paragraph" w:customStyle="1" w:styleId="71">
    <w:name w:val="列出段落1"/>
    <w:basedOn w:val="1"/>
    <w:qFormat/>
    <w:uiPriority w:val="0"/>
    <w:pPr>
      <w:ind w:firstLine="420" w:firstLineChars="200"/>
    </w:pPr>
    <w:rPr>
      <w:rFonts w:ascii="Calibri" w:hAnsi="Calibri" w:eastAsia="宋体" w:cs="Times New Roman"/>
    </w:rPr>
  </w:style>
  <w:style w:type="paragraph" w:customStyle="1" w:styleId="72">
    <w:name w:val="段"/>
    <w:link w:val="73"/>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73">
    <w:name w:val="段 Char"/>
    <w:link w:val="72"/>
    <w:qFormat/>
    <w:uiPriority w:val="0"/>
    <w:rPr>
      <w:rFonts w:ascii="宋体" w:hAnsi="Times New Roman" w:eastAsia="宋体" w:cs="Times New Roman"/>
      <w:kern w:val="0"/>
      <w:szCs w:val="20"/>
    </w:rPr>
  </w:style>
  <w:style w:type="paragraph" w:customStyle="1" w:styleId="74">
    <w:name w:val="附录标识"/>
    <w:basedOn w:val="1"/>
    <w:next w:val="72"/>
    <w:qFormat/>
    <w:uiPriority w:val="0"/>
    <w:pPr>
      <w:keepNext/>
      <w:widowControl/>
      <w:numPr>
        <w:ilvl w:val="0"/>
        <w:numId w:val="3"/>
      </w:numPr>
      <w:shd w:val="clear" w:color="FFFFFF" w:fill="FFFFFF"/>
      <w:tabs>
        <w:tab w:val="left" w:pos="6405"/>
      </w:tabs>
      <w:spacing w:before="640" w:after="280"/>
      <w:jc w:val="center"/>
      <w:outlineLvl w:val="0"/>
    </w:pPr>
    <w:rPr>
      <w:rFonts w:ascii="黑体" w:hAnsi="Times New Roman" w:eastAsia="黑体" w:cs="Times New Roman"/>
      <w:kern w:val="0"/>
      <w:szCs w:val="20"/>
    </w:rPr>
  </w:style>
  <w:style w:type="paragraph" w:customStyle="1" w:styleId="75">
    <w:name w:val="附录二级条标题"/>
    <w:basedOn w:val="1"/>
    <w:next w:val="72"/>
    <w:qFormat/>
    <w:uiPriority w:val="0"/>
    <w:pPr>
      <w:widowControl/>
      <w:numPr>
        <w:ilvl w:val="3"/>
        <w:numId w:val="3"/>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76">
    <w:name w:val="附录三级条标题"/>
    <w:basedOn w:val="75"/>
    <w:next w:val="72"/>
    <w:qFormat/>
    <w:uiPriority w:val="0"/>
    <w:pPr>
      <w:numPr>
        <w:ilvl w:val="4"/>
      </w:numPr>
      <w:outlineLvl w:val="4"/>
    </w:pPr>
  </w:style>
  <w:style w:type="paragraph" w:customStyle="1" w:styleId="77">
    <w:name w:val="附录四级条标题"/>
    <w:basedOn w:val="76"/>
    <w:next w:val="72"/>
    <w:qFormat/>
    <w:uiPriority w:val="0"/>
    <w:pPr>
      <w:numPr>
        <w:ilvl w:val="5"/>
      </w:numPr>
      <w:outlineLvl w:val="5"/>
    </w:pPr>
  </w:style>
  <w:style w:type="paragraph" w:customStyle="1" w:styleId="78">
    <w:name w:val="附录五级条标题"/>
    <w:basedOn w:val="77"/>
    <w:next w:val="72"/>
    <w:qFormat/>
    <w:uiPriority w:val="0"/>
    <w:pPr>
      <w:numPr>
        <w:ilvl w:val="6"/>
      </w:numPr>
      <w:outlineLvl w:val="6"/>
    </w:pPr>
  </w:style>
  <w:style w:type="paragraph" w:customStyle="1" w:styleId="79">
    <w:name w:val="附录章标题"/>
    <w:next w:val="72"/>
    <w:qFormat/>
    <w:uiPriority w:val="0"/>
    <w:pPr>
      <w:numPr>
        <w:ilvl w:val="1"/>
        <w:numId w:val="3"/>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0">
    <w:name w:val="附录一级条标题"/>
    <w:basedOn w:val="79"/>
    <w:next w:val="72"/>
    <w:qFormat/>
    <w:uiPriority w:val="0"/>
    <w:pPr>
      <w:numPr>
        <w:ilvl w:val="2"/>
      </w:numPr>
      <w:tabs>
        <w:tab w:val="left" w:pos="360"/>
      </w:tabs>
      <w:autoSpaceDN w:val="0"/>
      <w:spacing w:beforeLines="50" w:afterLines="50"/>
      <w:outlineLvl w:val="2"/>
    </w:pPr>
  </w:style>
  <w:style w:type="paragraph" w:customStyle="1" w:styleId="81">
    <w:name w:val="正文表标题"/>
    <w:next w:val="72"/>
    <w:qFormat/>
    <w:uiPriority w:val="0"/>
    <w:pPr>
      <w:numPr>
        <w:ilvl w:val="0"/>
        <w:numId w:val="4"/>
      </w:numPr>
      <w:tabs>
        <w:tab w:val="left" w:pos="360"/>
      </w:tabs>
      <w:spacing w:beforeLines="50" w:afterLines="50"/>
      <w:ind w:left="0"/>
      <w:jc w:val="center"/>
    </w:pPr>
    <w:rPr>
      <w:rFonts w:ascii="黑体" w:hAnsi="Times New Roman" w:eastAsia="黑体" w:cs="Times New Roman"/>
      <w:sz w:val="21"/>
      <w:lang w:val="en-US" w:eastAsia="zh-CN" w:bidi="ar-SA"/>
    </w:rPr>
  </w:style>
  <w:style w:type="paragraph" w:customStyle="1" w:styleId="82">
    <w:name w:val="列表段落11"/>
    <w:basedOn w:val="1"/>
    <w:qFormat/>
    <w:uiPriority w:val="0"/>
    <w:pPr>
      <w:ind w:firstLine="420" w:firstLineChars="200"/>
    </w:pPr>
    <w:rPr>
      <w:rFonts w:ascii="Calibri" w:hAnsi="Calibri" w:eastAsia="宋体" w:cs="Calibri"/>
      <w:szCs w:val="21"/>
    </w:rPr>
  </w:style>
  <w:style w:type="paragraph" w:customStyle="1" w:styleId="83">
    <w:name w:val="规程英文名称（封面）"/>
    <w:basedOn w:val="19"/>
    <w:qFormat/>
    <w:uiPriority w:val="0"/>
    <w:pPr>
      <w:widowControl/>
      <w:snapToGrid w:val="0"/>
      <w:spacing w:line="360" w:lineRule="auto"/>
      <w:ind w:left="178" w:leftChars="85"/>
      <w:jc w:val="center"/>
    </w:pPr>
    <w:rPr>
      <w:rFonts w:ascii="Times New Roman" w:hAnsi="Times New Roman" w:eastAsia="黑体"/>
      <w:kern w:val="0"/>
      <w:sz w:val="44"/>
      <w:szCs w:val="44"/>
    </w:rPr>
  </w:style>
  <w:style w:type="paragraph" w:customStyle="1" w:styleId="84">
    <w:name w:val="标准扉页（福建省工程建设地方标准）"/>
    <w:basedOn w:val="1"/>
    <w:qFormat/>
    <w:uiPriority w:val="0"/>
    <w:pPr>
      <w:spacing w:line="360" w:lineRule="auto"/>
      <w:jc w:val="center"/>
    </w:pPr>
    <w:rPr>
      <w:rFonts w:ascii="Times New Roman" w:hAnsi="Times New Roman" w:eastAsia="黑体" w:cs="Times New Roman"/>
      <w:sz w:val="28"/>
      <w:szCs w:val="20"/>
    </w:rPr>
  </w:style>
  <w:style w:type="paragraph" w:customStyle="1" w:styleId="85">
    <w:name w:val="标准扉页（标准名称）"/>
    <w:basedOn w:val="1"/>
    <w:qFormat/>
    <w:uiPriority w:val="0"/>
    <w:pPr>
      <w:spacing w:line="360" w:lineRule="auto"/>
      <w:jc w:val="center"/>
    </w:pPr>
    <w:rPr>
      <w:rFonts w:ascii="Times New Roman" w:hAnsi="Times New Roman" w:eastAsia="黑体" w:cs="Times New Roman"/>
      <w:sz w:val="30"/>
      <w:szCs w:val="20"/>
    </w:rPr>
  </w:style>
  <w:style w:type="paragraph" w:customStyle="1" w:styleId="86">
    <w:name w:val="扉页（出版时间地点）"/>
    <w:basedOn w:val="1"/>
    <w:qFormat/>
    <w:uiPriority w:val="0"/>
    <w:pPr>
      <w:spacing w:line="360" w:lineRule="auto"/>
      <w:jc w:val="center"/>
    </w:pPr>
    <w:rPr>
      <w:rFonts w:ascii="Times New Roman" w:hAnsi="Times New Roman" w:eastAsia="黑体" w:cs="宋体"/>
      <w:szCs w:val="20"/>
    </w:rPr>
  </w:style>
  <w:style w:type="paragraph" w:customStyle="1" w:styleId="87">
    <w:name w:val="样式 标题 1 + 宋体"/>
    <w:basedOn w:val="2"/>
    <w:link w:val="88"/>
    <w:qFormat/>
    <w:uiPriority w:val="0"/>
    <w:pPr>
      <w:spacing w:before="0" w:after="0" w:line="360" w:lineRule="auto"/>
      <w:jc w:val="center"/>
    </w:pPr>
    <w:rPr>
      <w:rFonts w:ascii="宋体" w:hAnsi="宋体" w:cs="Arial"/>
      <w:sz w:val="32"/>
    </w:rPr>
  </w:style>
  <w:style w:type="character" w:customStyle="1" w:styleId="88">
    <w:name w:val="样式 标题 1 + 宋体 Char"/>
    <w:link w:val="87"/>
    <w:qFormat/>
    <w:uiPriority w:val="0"/>
    <w:rPr>
      <w:rFonts w:ascii="宋体" w:hAnsi="宋体" w:eastAsia="宋体" w:cs="Arial"/>
      <w:b/>
      <w:bCs/>
      <w:kern w:val="44"/>
      <w:sz w:val="32"/>
      <w:szCs w:val="44"/>
    </w:rPr>
  </w:style>
  <w:style w:type="character" w:customStyle="1" w:styleId="89">
    <w:name w:val="批注文字 Char"/>
    <w:qFormat/>
    <w:uiPriority w:val="0"/>
    <w:rPr>
      <w:kern w:val="2"/>
      <w:sz w:val="24"/>
      <w:szCs w:val="24"/>
    </w:rPr>
  </w:style>
  <w:style w:type="paragraph" w:styleId="90">
    <w:name w:val="List Paragraph"/>
    <w:basedOn w:val="1"/>
    <w:qFormat/>
    <w:uiPriority w:val="72"/>
    <w:pPr>
      <w:ind w:firstLine="420" w:firstLineChars="200"/>
    </w:pPr>
  </w:style>
  <w:style w:type="character" w:customStyle="1" w:styleId="91">
    <w:name w:val="纯文本 Char"/>
    <w:qFormat/>
    <w:uiPriority w:val="99"/>
    <w:rPr>
      <w:rFonts w:ascii="宋体" w:hAnsi="Courier New"/>
      <w:kern w:val="2"/>
      <w:sz w:val="21"/>
    </w:rPr>
  </w:style>
  <w:style w:type="character" w:customStyle="1" w:styleId="92">
    <w:name w:val="high-light-bg"/>
    <w:basedOn w:val="37"/>
    <w:qFormat/>
    <w:uiPriority w:val="0"/>
  </w:style>
  <w:style w:type="character" w:customStyle="1" w:styleId="93">
    <w:name w:val="网格表 1 浅色1"/>
    <w:qFormat/>
    <w:uiPriority w:val="33"/>
    <w:rPr>
      <w:caps/>
      <w:color w:val="622423"/>
      <w:spacing w:val="5"/>
      <w:u w:color="622423"/>
    </w:rPr>
  </w:style>
  <w:style w:type="character" w:customStyle="1" w:styleId="94">
    <w:name w:val="浅色底纹 - 着色 2 Char"/>
    <w:link w:val="95"/>
    <w:qFormat/>
    <w:uiPriority w:val="30"/>
    <w:rPr>
      <w:rFonts w:ascii="Cambria" w:hAnsi="Cambria" w:eastAsia="宋体" w:cs="Times New Roman"/>
      <w:caps/>
      <w:color w:val="622423"/>
      <w:spacing w:val="5"/>
      <w:lang w:eastAsia="en-US" w:bidi="en-US"/>
    </w:rPr>
  </w:style>
  <w:style w:type="paragraph" w:customStyle="1" w:styleId="95">
    <w:name w:val="浅色底纹 - 着色 21"/>
    <w:basedOn w:val="1"/>
    <w:next w:val="1"/>
    <w:link w:val="94"/>
    <w:qFormat/>
    <w:uiPriority w:val="30"/>
    <w:pPr>
      <w:widowControl/>
      <w:pBdr>
        <w:top w:val="dotted" w:color="632423" w:sz="2" w:space="10"/>
        <w:bottom w:val="dotted" w:color="632423" w:sz="2" w:space="4"/>
      </w:pBdr>
      <w:spacing w:before="160" w:after="200" w:line="300" w:lineRule="auto"/>
      <w:ind w:left="1440" w:right="1440"/>
      <w:jc w:val="left"/>
    </w:pPr>
    <w:rPr>
      <w:rFonts w:ascii="Cambria" w:hAnsi="Cambria" w:eastAsia="宋体" w:cs="Times New Roman"/>
      <w:caps/>
      <w:color w:val="622423"/>
      <w:spacing w:val="5"/>
      <w:kern w:val="0"/>
      <w:sz w:val="20"/>
      <w:szCs w:val="20"/>
      <w:lang w:eastAsia="en-US" w:bidi="en-US"/>
    </w:rPr>
  </w:style>
  <w:style w:type="paragraph" w:customStyle="1" w:styleId="96">
    <w:name w:val="彩色列表 - 着色 11"/>
    <w:basedOn w:val="1"/>
    <w:qFormat/>
    <w:uiPriority w:val="34"/>
    <w:pPr>
      <w:widowControl/>
      <w:ind w:firstLine="420" w:firstLineChars="200"/>
      <w:jc w:val="left"/>
    </w:pPr>
    <w:rPr>
      <w:rFonts w:ascii="Calibri" w:hAnsi="Calibri" w:eastAsia="宋体" w:cs="Times New Roman"/>
      <w:szCs w:val="24"/>
    </w:rPr>
  </w:style>
  <w:style w:type="paragraph" w:customStyle="1" w:styleId="97">
    <w:name w:val="Default"/>
    <w:qFormat/>
    <w:uiPriority w:val="0"/>
    <w:pPr>
      <w:widowControl w:val="0"/>
      <w:autoSpaceDE w:val="0"/>
      <w:autoSpaceDN w:val="0"/>
      <w:adjustRightInd w:val="0"/>
      <w:spacing w:after="200" w:line="252" w:lineRule="auto"/>
    </w:pPr>
    <w:rPr>
      <w:rFonts w:ascii="Cambria" w:hAnsi="Cambria" w:eastAsia="宋体" w:cs="Times New Roman"/>
      <w:color w:val="000000"/>
      <w:sz w:val="24"/>
      <w:szCs w:val="24"/>
      <w:lang w:val="en-US" w:eastAsia="zh-CN" w:bidi="ar-SA"/>
    </w:rPr>
  </w:style>
  <w:style w:type="character" w:customStyle="1" w:styleId="98">
    <w:name w:val="标题 5 字符"/>
    <w:basedOn w:val="37"/>
    <w:link w:val="8"/>
    <w:qFormat/>
    <w:uiPriority w:val="9"/>
    <w:rPr>
      <w:rFonts w:ascii="Cambria" w:hAnsi="Cambria" w:eastAsia="宋体" w:cs="Times New Roman"/>
      <w:caps/>
      <w:color w:val="622423"/>
      <w:spacing w:val="10"/>
      <w:sz w:val="22"/>
      <w:lang w:eastAsia="en-US" w:bidi="en-US"/>
    </w:rPr>
  </w:style>
  <w:style w:type="character" w:customStyle="1" w:styleId="99">
    <w:name w:val="标题 6 字符"/>
    <w:basedOn w:val="37"/>
    <w:link w:val="9"/>
    <w:qFormat/>
    <w:uiPriority w:val="9"/>
    <w:rPr>
      <w:rFonts w:ascii="Cambria" w:hAnsi="Cambria" w:eastAsia="宋体" w:cs="Times New Roman"/>
      <w:caps/>
      <w:color w:val="943634"/>
      <w:spacing w:val="10"/>
      <w:sz w:val="22"/>
      <w:lang w:eastAsia="en-US" w:bidi="en-US"/>
    </w:rPr>
  </w:style>
  <w:style w:type="character" w:customStyle="1" w:styleId="100">
    <w:name w:val="标题 8 字符"/>
    <w:basedOn w:val="37"/>
    <w:link w:val="11"/>
    <w:qFormat/>
    <w:uiPriority w:val="9"/>
    <w:rPr>
      <w:rFonts w:ascii="Cambria" w:hAnsi="Cambria" w:eastAsia="宋体" w:cs="Times New Roman"/>
      <w:caps/>
      <w:spacing w:val="10"/>
      <w:lang w:eastAsia="en-US" w:bidi="en-US"/>
    </w:rPr>
  </w:style>
  <w:style w:type="character" w:customStyle="1" w:styleId="101">
    <w:name w:val="标题 9 字符"/>
    <w:basedOn w:val="37"/>
    <w:link w:val="12"/>
    <w:qFormat/>
    <w:uiPriority w:val="9"/>
    <w:rPr>
      <w:rFonts w:ascii="Cambria" w:hAnsi="Cambria" w:eastAsia="宋体" w:cs="Times New Roman"/>
      <w:i/>
      <w:iCs/>
      <w:caps/>
      <w:spacing w:val="10"/>
      <w:lang w:eastAsia="en-US" w:bidi="en-US"/>
    </w:rPr>
  </w:style>
  <w:style w:type="character" w:styleId="102">
    <w:name w:val="Placeholder Text"/>
    <w:basedOn w:val="37"/>
    <w:semiHidden/>
    <w:qFormat/>
    <w:uiPriority w:val="99"/>
    <w:rPr>
      <w:color w:val="808080"/>
    </w:rPr>
  </w:style>
  <w:style w:type="paragraph" w:customStyle="1" w:styleId="103">
    <w:name w:val="TOC 标题2"/>
    <w:basedOn w:val="2"/>
    <w:next w:val="1"/>
    <w:unhideWhenUsed/>
    <w:qFormat/>
    <w:uiPriority w:val="39"/>
    <w:pPr>
      <w:widowControl/>
      <w:spacing w:beforeLines="20" w:afterLines="20" w:line="259" w:lineRule="auto"/>
      <w:ind w:firstLine="200" w:firstLineChars="200"/>
      <w:jc w:val="left"/>
      <w:outlineLvl w:val="9"/>
    </w:pPr>
    <w:rPr>
      <w:rFonts w:asciiTheme="majorHAnsi" w:hAnsiTheme="majorHAnsi" w:eastAsiaTheme="majorEastAsia" w:cstheme="majorBidi"/>
      <w:b w:val="0"/>
      <w:bCs w:val="0"/>
      <w:color w:val="376092" w:themeColor="accent1" w:themeShade="BF"/>
      <w:kern w:val="0"/>
      <w:sz w:val="21"/>
      <w:szCs w:val="32"/>
    </w:rPr>
  </w:style>
  <w:style w:type="character" w:customStyle="1" w:styleId="104">
    <w:name w:val="标题 1 字符1"/>
    <w:qFormat/>
    <w:uiPriority w:val="9"/>
    <w:rPr>
      <w:rFonts w:ascii="Times New Roman" w:hAnsi="Times New Roman" w:eastAsia="宋体" w:cs="Times New Roman"/>
      <w:color w:val="000000"/>
      <w:kern w:val="0"/>
      <w:sz w:val="44"/>
      <w:szCs w:val="44"/>
      <w:lang w:val="zh-CN" w:bidi="he-IL"/>
    </w:rPr>
  </w:style>
  <w:style w:type="character" w:customStyle="1" w:styleId="105">
    <w:name w:val="批注文字 字符1"/>
    <w:qFormat/>
    <w:uiPriority w:val="0"/>
    <w:rPr>
      <w:szCs w:val="24"/>
    </w:rPr>
  </w:style>
  <w:style w:type="paragraph" w:customStyle="1" w:styleId="106">
    <w:name w:val="节"/>
    <w:basedOn w:val="1"/>
    <w:qFormat/>
    <w:uiPriority w:val="0"/>
    <w:pPr>
      <w:widowControl/>
      <w:spacing w:beforeLines="100" w:afterLines="100" w:line="300" w:lineRule="auto"/>
      <w:jc w:val="center"/>
      <w:outlineLvl w:val="1"/>
    </w:pPr>
    <w:rPr>
      <w:rFonts w:ascii="Times New Roman" w:hAnsi="Times New Roman" w:eastAsia="宋体" w:cs="Times New Roman"/>
      <w:b/>
      <w:bCs/>
      <w:sz w:val="24"/>
      <w:szCs w:val="24"/>
    </w:rPr>
  </w:style>
  <w:style w:type="character" w:customStyle="1" w:styleId="107">
    <w:name w:val="标题 字符1"/>
    <w:link w:val="33"/>
    <w:qFormat/>
    <w:uiPriority w:val="10"/>
    <w:rPr>
      <w:rFonts w:ascii="Cambria" w:hAnsi="Cambria" w:eastAsia="宋体" w:cs="Times New Roman"/>
      <w:caps/>
      <w:color w:val="632423"/>
      <w:spacing w:val="50"/>
      <w:sz w:val="44"/>
      <w:szCs w:val="44"/>
      <w:lang w:eastAsia="en-US" w:bidi="en-US"/>
    </w:rPr>
  </w:style>
  <w:style w:type="character" w:customStyle="1" w:styleId="108">
    <w:name w:val="标题 1 Char"/>
    <w:qFormat/>
    <w:uiPriority w:val="9"/>
    <w:rPr>
      <w:rFonts w:ascii="Times New Roman" w:hAnsi="Times New Roman" w:eastAsia="宋体" w:cs="Times New Roman"/>
      <w:color w:val="000000"/>
      <w:kern w:val="0"/>
      <w:sz w:val="44"/>
      <w:szCs w:val="44"/>
      <w:lang w:val="zh-CN" w:bidi="he-IL"/>
    </w:rPr>
  </w:style>
  <w:style w:type="character" w:customStyle="1" w:styleId="109">
    <w:name w:val="标题 字符"/>
    <w:basedOn w:val="37"/>
    <w:qFormat/>
    <w:uiPriority w:val="10"/>
    <w:rPr>
      <w:rFonts w:asciiTheme="majorHAnsi" w:hAnsiTheme="majorHAnsi" w:eastAsiaTheme="majorEastAsia" w:cstheme="majorBidi"/>
      <w:b/>
      <w:bCs/>
      <w:kern w:val="2"/>
      <w:sz w:val="32"/>
      <w:szCs w:val="32"/>
    </w:rPr>
  </w:style>
  <w:style w:type="character" w:customStyle="1" w:styleId="110">
    <w:name w:val="首示例 Char"/>
    <w:link w:val="111"/>
    <w:qFormat/>
    <w:uiPriority w:val="0"/>
    <w:rPr>
      <w:rFonts w:ascii="宋体" w:hAnsi="宋体"/>
      <w:sz w:val="18"/>
      <w:szCs w:val="18"/>
    </w:rPr>
  </w:style>
  <w:style w:type="paragraph" w:customStyle="1" w:styleId="111">
    <w:name w:val="首示例"/>
    <w:next w:val="72"/>
    <w:link w:val="110"/>
    <w:qFormat/>
    <w:uiPriority w:val="0"/>
    <w:pPr>
      <w:numPr>
        <w:ilvl w:val="0"/>
        <w:numId w:val="5"/>
      </w:numPr>
      <w:tabs>
        <w:tab w:val="left" w:pos="360"/>
      </w:tabs>
      <w:spacing w:after="200" w:line="252" w:lineRule="auto"/>
      <w:ind w:firstLine="0"/>
    </w:pPr>
    <w:rPr>
      <w:rFonts w:ascii="宋体" w:hAnsi="宋体" w:eastAsiaTheme="minorEastAsia" w:cstheme="minorBidi"/>
      <w:sz w:val="18"/>
      <w:szCs w:val="18"/>
      <w:lang w:val="en-US" w:eastAsia="zh-CN" w:bidi="ar-SA"/>
    </w:rPr>
  </w:style>
  <w:style w:type="character" w:customStyle="1" w:styleId="112">
    <w:name w:val="一级条标题 Char"/>
    <w:link w:val="113"/>
    <w:qFormat/>
    <w:uiPriority w:val="0"/>
    <w:rPr>
      <w:rFonts w:ascii="黑体" w:eastAsia="黑体"/>
      <w:szCs w:val="21"/>
    </w:rPr>
  </w:style>
  <w:style w:type="paragraph" w:customStyle="1" w:styleId="113">
    <w:name w:val="一级条标题"/>
    <w:next w:val="72"/>
    <w:link w:val="112"/>
    <w:qFormat/>
    <w:uiPriority w:val="0"/>
    <w:pPr>
      <w:numPr>
        <w:ilvl w:val="1"/>
        <w:numId w:val="6"/>
      </w:numPr>
      <w:spacing w:beforeLines="50" w:afterLines="50"/>
      <w:outlineLvl w:val="2"/>
    </w:pPr>
    <w:rPr>
      <w:rFonts w:ascii="黑体" w:eastAsia="黑体" w:hAnsiTheme="minorHAnsi" w:cstheme="minorBidi"/>
      <w:szCs w:val="21"/>
      <w:lang w:val="en-US" w:eastAsia="zh-CN" w:bidi="ar-SA"/>
    </w:rPr>
  </w:style>
  <w:style w:type="character" w:customStyle="1" w:styleId="114">
    <w:name w:val="网格型浅色1"/>
    <w:qFormat/>
    <w:uiPriority w:val="32"/>
    <w:rPr>
      <w:rFonts w:ascii="Calibri" w:hAnsi="Calibri" w:eastAsia="宋体" w:cs="Times New Roman"/>
      <w:b/>
      <w:bCs/>
      <w:i/>
      <w:iCs/>
      <w:color w:val="622423"/>
    </w:rPr>
  </w:style>
  <w:style w:type="character" w:customStyle="1" w:styleId="115">
    <w:name w:val="Body text|2_"/>
    <w:link w:val="116"/>
    <w:qFormat/>
    <w:locked/>
    <w:uiPriority w:val="99"/>
    <w:rPr>
      <w:rFonts w:ascii="PMingLiU" w:hAnsi="PMingLiU" w:eastAsia="PMingLiU" w:cs="PMingLiU"/>
      <w:sz w:val="40"/>
      <w:szCs w:val="40"/>
      <w:shd w:val="clear" w:color="auto" w:fill="FFFFFF"/>
    </w:rPr>
  </w:style>
  <w:style w:type="paragraph" w:customStyle="1" w:styleId="116">
    <w:name w:val="Body text|241"/>
    <w:basedOn w:val="1"/>
    <w:link w:val="115"/>
    <w:qFormat/>
    <w:uiPriority w:val="99"/>
    <w:pPr>
      <w:widowControl/>
      <w:shd w:val="clear" w:color="auto" w:fill="FFFFFF"/>
      <w:spacing w:before="500" w:after="800" w:line="400" w:lineRule="exact"/>
      <w:ind w:hanging="920"/>
      <w:jc w:val="center"/>
    </w:pPr>
    <w:rPr>
      <w:rFonts w:ascii="PMingLiU" w:hAnsi="PMingLiU" w:eastAsia="PMingLiU" w:cs="PMingLiU"/>
      <w:kern w:val="0"/>
      <w:sz w:val="40"/>
      <w:szCs w:val="40"/>
    </w:rPr>
  </w:style>
  <w:style w:type="character" w:customStyle="1" w:styleId="117">
    <w:name w:val="脚注文本 字符"/>
    <w:link w:val="28"/>
    <w:qFormat/>
    <w:uiPriority w:val="0"/>
    <w:rPr>
      <w:rFonts w:ascii="宋体" w:hAnsi="Cambria"/>
      <w:sz w:val="18"/>
      <w:szCs w:val="18"/>
      <w:lang w:eastAsia="en-US" w:bidi="en-US"/>
    </w:rPr>
  </w:style>
  <w:style w:type="character" w:customStyle="1" w:styleId="118">
    <w:name w:val="TOC 1 字符"/>
    <w:link w:val="25"/>
    <w:qFormat/>
    <w:uiPriority w:val="39"/>
    <w:rPr>
      <w:kern w:val="2"/>
      <w:sz w:val="21"/>
      <w:szCs w:val="22"/>
    </w:rPr>
  </w:style>
  <w:style w:type="character" w:customStyle="1" w:styleId="119">
    <w:name w:val="副标题 字符"/>
    <w:link w:val="27"/>
    <w:qFormat/>
    <w:uiPriority w:val="11"/>
    <w:rPr>
      <w:rFonts w:ascii="Cambria" w:hAnsi="Cambria" w:eastAsia="宋体" w:cs="Times New Roman"/>
      <w:caps/>
      <w:spacing w:val="20"/>
      <w:sz w:val="18"/>
      <w:szCs w:val="18"/>
      <w:lang w:eastAsia="en-US" w:bidi="en-US"/>
    </w:rPr>
  </w:style>
  <w:style w:type="character" w:customStyle="1" w:styleId="120">
    <w:name w:val="附录公式 Char"/>
    <w:link w:val="121"/>
    <w:qFormat/>
    <w:uiPriority w:val="0"/>
    <w:rPr>
      <w:rFonts w:ascii="宋体" w:hAnsi="Times New Roman" w:eastAsia="宋体" w:cs="Times New Roman"/>
    </w:rPr>
  </w:style>
  <w:style w:type="paragraph" w:customStyle="1" w:styleId="121">
    <w:name w:val="附录公式"/>
    <w:basedOn w:val="72"/>
    <w:next w:val="72"/>
    <w:link w:val="120"/>
    <w:qFormat/>
    <w:uiPriority w:val="0"/>
    <w:pPr>
      <w:tabs>
        <w:tab w:val="center" w:pos="4201"/>
        <w:tab w:val="right" w:leader="dot" w:pos="9298"/>
      </w:tabs>
      <w:ind w:firstLine="420"/>
    </w:pPr>
    <w:rPr>
      <w:sz w:val="20"/>
    </w:rPr>
  </w:style>
  <w:style w:type="character" w:customStyle="1" w:styleId="122">
    <w:name w:val="中等深浅网格 2 Char"/>
    <w:link w:val="123"/>
    <w:qFormat/>
    <w:uiPriority w:val="1"/>
    <w:rPr>
      <w:rFonts w:ascii="Cambria" w:hAnsi="Cambria" w:eastAsia="宋体" w:cs="Times New Roman"/>
      <w:sz w:val="22"/>
      <w:lang w:eastAsia="en-US" w:bidi="en-US"/>
    </w:rPr>
  </w:style>
  <w:style w:type="paragraph" w:customStyle="1" w:styleId="123">
    <w:name w:val="中等深浅网格 21"/>
    <w:basedOn w:val="1"/>
    <w:link w:val="122"/>
    <w:qFormat/>
    <w:uiPriority w:val="1"/>
    <w:pPr>
      <w:widowControl/>
      <w:jc w:val="left"/>
    </w:pPr>
    <w:rPr>
      <w:rFonts w:ascii="Cambria" w:hAnsi="Cambria" w:eastAsia="宋体" w:cs="Times New Roman"/>
      <w:kern w:val="0"/>
      <w:sz w:val="22"/>
      <w:szCs w:val="20"/>
      <w:lang w:eastAsia="en-US" w:bidi="en-US"/>
    </w:rPr>
  </w:style>
  <w:style w:type="character" w:customStyle="1" w:styleId="124">
    <w:name w:val="批注文字 Char1"/>
    <w:semiHidden/>
    <w:qFormat/>
    <w:uiPriority w:val="99"/>
    <w:rPr>
      <w:rFonts w:ascii="Times New Roman" w:hAnsi="Times New Roman" w:eastAsia="宋体" w:cs="Times New Roman"/>
      <w:szCs w:val="20"/>
    </w:rPr>
  </w:style>
  <w:style w:type="character" w:customStyle="1" w:styleId="125">
    <w:name w:val="中等深浅网格 11"/>
    <w:semiHidden/>
    <w:qFormat/>
    <w:uiPriority w:val="99"/>
    <w:rPr>
      <w:color w:val="808080"/>
    </w:rPr>
  </w:style>
  <w:style w:type="character" w:customStyle="1" w:styleId="126">
    <w:name w:val="无格式表格 41"/>
    <w:qFormat/>
    <w:uiPriority w:val="21"/>
    <w:rPr>
      <w:i/>
      <w:iCs/>
      <w:caps/>
      <w:spacing w:val="10"/>
      <w:sz w:val="20"/>
      <w:szCs w:val="20"/>
    </w:rPr>
  </w:style>
  <w:style w:type="character" w:customStyle="1" w:styleId="127">
    <w:name w:val="彩色网格 - 着色 1 Char"/>
    <w:link w:val="128"/>
    <w:qFormat/>
    <w:uiPriority w:val="29"/>
    <w:rPr>
      <w:rFonts w:ascii="Cambria" w:hAnsi="Cambria" w:eastAsia="宋体" w:cs="Times New Roman"/>
      <w:i/>
      <w:iCs/>
      <w:sz w:val="22"/>
      <w:lang w:eastAsia="en-US" w:bidi="en-US"/>
    </w:rPr>
  </w:style>
  <w:style w:type="paragraph" w:customStyle="1" w:styleId="128">
    <w:name w:val="彩色网格 - 着色 11"/>
    <w:basedOn w:val="1"/>
    <w:next w:val="1"/>
    <w:link w:val="127"/>
    <w:qFormat/>
    <w:uiPriority w:val="29"/>
    <w:pPr>
      <w:widowControl/>
      <w:spacing w:after="200" w:line="252" w:lineRule="auto"/>
      <w:jc w:val="left"/>
    </w:pPr>
    <w:rPr>
      <w:rFonts w:ascii="Cambria" w:hAnsi="Cambria" w:eastAsia="宋体" w:cs="Times New Roman"/>
      <w:i/>
      <w:iCs/>
      <w:kern w:val="0"/>
      <w:sz w:val="22"/>
      <w:szCs w:val="20"/>
      <w:lang w:eastAsia="en-US" w:bidi="en-US"/>
    </w:rPr>
  </w:style>
  <w:style w:type="character" w:customStyle="1" w:styleId="129">
    <w:name w:val="编号 Char Char"/>
    <w:link w:val="130"/>
    <w:qFormat/>
    <w:uiPriority w:val="0"/>
    <w:rPr>
      <w:rFonts w:eastAsia="黑体"/>
      <w:b/>
    </w:rPr>
  </w:style>
  <w:style w:type="paragraph" w:customStyle="1" w:styleId="130">
    <w:name w:val="编号"/>
    <w:basedOn w:val="1"/>
    <w:link w:val="129"/>
    <w:qFormat/>
    <w:uiPriority w:val="0"/>
    <w:pPr>
      <w:widowControl/>
      <w:jc w:val="left"/>
    </w:pPr>
    <w:rPr>
      <w:rFonts w:eastAsia="黑体"/>
      <w:b/>
      <w:kern w:val="0"/>
      <w:sz w:val="20"/>
      <w:szCs w:val="20"/>
    </w:rPr>
  </w:style>
  <w:style w:type="character" w:customStyle="1" w:styleId="131">
    <w:name w:val="Body text|2 + Bold"/>
    <w:semiHidden/>
    <w:qFormat/>
    <w:uiPriority w:val="99"/>
    <w:rPr>
      <w:rFonts w:ascii="PMingLiU" w:hAnsi="PMingLiU" w:eastAsia="PMingLiU" w:cs="PMingLiU"/>
      <w:b/>
      <w:bCs/>
      <w:color w:val="000000"/>
      <w:spacing w:val="0"/>
      <w:w w:val="100"/>
      <w:position w:val="0"/>
      <w:sz w:val="40"/>
      <w:szCs w:val="40"/>
      <w:u w:val="none"/>
      <w:shd w:val="clear" w:color="auto" w:fill="FFFFFF"/>
      <w:lang w:val="en-US" w:eastAsia="en-US"/>
    </w:rPr>
  </w:style>
  <w:style w:type="character" w:customStyle="1" w:styleId="132">
    <w:name w:val="无格式表格 51"/>
    <w:qFormat/>
    <w:uiPriority w:val="31"/>
    <w:rPr>
      <w:rFonts w:ascii="Calibri" w:hAnsi="Calibri" w:eastAsia="宋体" w:cs="Times New Roman"/>
      <w:i/>
      <w:iCs/>
      <w:color w:val="622423"/>
    </w:rPr>
  </w:style>
  <w:style w:type="character" w:customStyle="1" w:styleId="133">
    <w:name w:val="无格式表格 31"/>
    <w:qFormat/>
    <w:uiPriority w:val="19"/>
    <w:rPr>
      <w:i/>
      <w:iCs/>
    </w:rPr>
  </w:style>
  <w:style w:type="character" w:customStyle="1" w:styleId="134">
    <w:name w:val="Body text|5_"/>
    <w:link w:val="135"/>
    <w:qFormat/>
    <w:locked/>
    <w:uiPriority w:val="99"/>
    <w:rPr>
      <w:rFonts w:ascii="PMingLiU" w:hAnsi="PMingLiU" w:eastAsia="PMingLiU" w:cs="PMingLiU"/>
      <w:b/>
      <w:bCs/>
      <w:sz w:val="32"/>
      <w:szCs w:val="32"/>
      <w:shd w:val="clear" w:color="auto" w:fill="FFFFFF"/>
    </w:rPr>
  </w:style>
  <w:style w:type="paragraph" w:customStyle="1" w:styleId="135">
    <w:name w:val="Body text|5"/>
    <w:basedOn w:val="1"/>
    <w:link w:val="134"/>
    <w:qFormat/>
    <w:uiPriority w:val="99"/>
    <w:pPr>
      <w:widowControl/>
      <w:shd w:val="clear" w:color="auto" w:fill="FFFFFF"/>
      <w:spacing w:after="200" w:line="490" w:lineRule="exact"/>
      <w:jc w:val="distribute"/>
    </w:pPr>
    <w:rPr>
      <w:rFonts w:ascii="PMingLiU" w:hAnsi="PMingLiU" w:eastAsia="PMingLiU" w:cs="PMingLiU"/>
      <w:b/>
      <w:bCs/>
      <w:kern w:val="0"/>
      <w:sz w:val="32"/>
      <w:szCs w:val="32"/>
    </w:rPr>
  </w:style>
  <w:style w:type="paragraph" w:customStyle="1" w:styleId="136">
    <w:name w:val="列项◆（三级）"/>
    <w:basedOn w:val="1"/>
    <w:qFormat/>
    <w:uiPriority w:val="0"/>
    <w:pPr>
      <w:widowControl/>
      <w:numPr>
        <w:ilvl w:val="2"/>
        <w:numId w:val="7"/>
      </w:numPr>
      <w:tabs>
        <w:tab w:val="left" w:pos="1678"/>
      </w:tabs>
      <w:spacing w:after="200" w:line="252" w:lineRule="auto"/>
      <w:ind w:firstLine="0"/>
      <w:jc w:val="left"/>
    </w:pPr>
    <w:rPr>
      <w:rFonts w:ascii="宋体" w:hAnsi="Cambria" w:eastAsia="宋体" w:cs="Times New Roman"/>
      <w:kern w:val="0"/>
      <w:sz w:val="22"/>
      <w:szCs w:val="21"/>
      <w:lang w:eastAsia="en-US" w:bidi="en-US"/>
    </w:rPr>
  </w:style>
  <w:style w:type="paragraph" w:customStyle="1" w:styleId="137">
    <w:name w:val="编号列项（三级）"/>
    <w:qFormat/>
    <w:uiPriority w:val="0"/>
    <w:pPr>
      <w:numPr>
        <w:ilvl w:val="2"/>
        <w:numId w:val="8"/>
      </w:numPr>
      <w:tabs>
        <w:tab w:val="left" w:pos="0"/>
      </w:tabs>
      <w:spacing w:after="200" w:line="252" w:lineRule="auto"/>
    </w:pPr>
    <w:rPr>
      <w:rFonts w:ascii="宋体" w:hAnsi="Cambria" w:eastAsia="宋体" w:cs="Times New Roman"/>
      <w:sz w:val="21"/>
      <w:szCs w:val="21"/>
      <w:lang w:val="en-US" w:eastAsia="zh-CN" w:bidi="ar-SA"/>
    </w:rPr>
  </w:style>
  <w:style w:type="paragraph" w:customStyle="1" w:styleId="138">
    <w:name w:val="附录图标题"/>
    <w:basedOn w:val="1"/>
    <w:next w:val="72"/>
    <w:qFormat/>
    <w:uiPriority w:val="0"/>
    <w:pPr>
      <w:widowControl/>
      <w:numPr>
        <w:ilvl w:val="1"/>
        <w:numId w:val="9"/>
      </w:numPr>
      <w:tabs>
        <w:tab w:val="left" w:pos="363"/>
      </w:tabs>
      <w:spacing w:beforeLines="50" w:afterLines="50" w:line="252" w:lineRule="auto"/>
      <w:ind w:left="0" w:firstLine="0"/>
      <w:jc w:val="center"/>
    </w:pPr>
    <w:rPr>
      <w:rFonts w:ascii="黑体" w:hAnsi="Cambria" w:eastAsia="黑体" w:cs="Times New Roman"/>
      <w:kern w:val="0"/>
      <w:sz w:val="22"/>
      <w:szCs w:val="21"/>
      <w:lang w:eastAsia="en-US" w:bidi="en-US"/>
    </w:rPr>
  </w:style>
  <w:style w:type="paragraph" w:customStyle="1" w:styleId="139">
    <w:name w:val="注×：（正文）"/>
    <w:qFormat/>
    <w:uiPriority w:val="0"/>
    <w:pPr>
      <w:numPr>
        <w:ilvl w:val="0"/>
        <w:numId w:val="10"/>
      </w:numPr>
      <w:spacing w:after="200" w:line="252" w:lineRule="auto"/>
      <w:jc w:val="both"/>
    </w:pPr>
    <w:rPr>
      <w:rFonts w:ascii="宋体" w:hAnsi="Cambria" w:eastAsia="宋体" w:cs="Times New Roman"/>
      <w:sz w:val="18"/>
      <w:szCs w:val="18"/>
      <w:lang w:val="en-US" w:eastAsia="zh-CN" w:bidi="ar-SA"/>
    </w:rPr>
  </w:style>
  <w:style w:type="paragraph" w:customStyle="1" w:styleId="140">
    <w:name w:val="样式15"/>
    <w:basedOn w:val="141"/>
    <w:qFormat/>
    <w:uiPriority w:val="0"/>
    <w:pPr>
      <w:tabs>
        <w:tab w:val="left" w:pos="363"/>
        <w:tab w:val="left" w:pos="540"/>
      </w:tabs>
    </w:pPr>
    <w:rPr>
      <w:caps/>
    </w:rPr>
  </w:style>
  <w:style w:type="paragraph" w:customStyle="1" w:styleId="141">
    <w:name w:val="样式9"/>
    <w:basedOn w:val="142"/>
    <w:qFormat/>
    <w:uiPriority w:val="0"/>
    <w:pPr>
      <w:tabs>
        <w:tab w:val="left" w:pos="363"/>
        <w:tab w:val="left" w:pos="540"/>
      </w:tabs>
      <w:ind w:left="0" w:firstLine="363"/>
    </w:pPr>
  </w:style>
  <w:style w:type="paragraph" w:customStyle="1" w:styleId="142">
    <w:name w:val="样式6"/>
    <w:basedOn w:val="143"/>
    <w:qFormat/>
    <w:uiPriority w:val="0"/>
  </w:style>
  <w:style w:type="paragraph" w:customStyle="1" w:styleId="143">
    <w:name w:val="样式5"/>
    <w:basedOn w:val="113"/>
    <w:qFormat/>
    <w:uiPriority w:val="0"/>
    <w:pPr>
      <w:numPr>
        <w:ilvl w:val="0"/>
        <w:numId w:val="0"/>
      </w:numPr>
      <w:spacing w:before="156" w:after="156" w:line="252" w:lineRule="auto"/>
      <w:ind w:left="950" w:hanging="525"/>
      <w:jc w:val="center"/>
    </w:pPr>
    <w:rPr>
      <w:rFonts w:hAnsi="Cambria" w:eastAsia="宋体"/>
    </w:rPr>
  </w:style>
  <w:style w:type="paragraph" w:customStyle="1" w:styleId="144">
    <w:name w:val="列项●（二级）"/>
    <w:qFormat/>
    <w:uiPriority w:val="0"/>
    <w:pPr>
      <w:numPr>
        <w:ilvl w:val="1"/>
        <w:numId w:val="7"/>
      </w:numPr>
      <w:tabs>
        <w:tab w:val="left" w:pos="760"/>
        <w:tab w:val="left" w:pos="840"/>
      </w:tabs>
      <w:spacing w:after="200" w:line="252" w:lineRule="auto"/>
      <w:jc w:val="both"/>
    </w:pPr>
    <w:rPr>
      <w:rFonts w:ascii="宋体" w:hAnsi="Cambria" w:eastAsia="宋体" w:cs="Times New Roman"/>
      <w:sz w:val="21"/>
      <w:szCs w:val="21"/>
      <w:lang w:val="en-US" w:eastAsia="zh-CN" w:bidi="ar-SA"/>
    </w:rPr>
  </w:style>
  <w:style w:type="paragraph" w:customStyle="1" w:styleId="145">
    <w:name w:val="样式12"/>
    <w:qFormat/>
    <w:uiPriority w:val="0"/>
    <w:pPr>
      <w:numPr>
        <w:ilvl w:val="0"/>
        <w:numId w:val="11"/>
      </w:numPr>
      <w:spacing w:beforeLines="100" w:afterLines="100" w:line="252" w:lineRule="auto"/>
      <w:jc w:val="center"/>
      <w:outlineLvl w:val="1"/>
    </w:pPr>
    <w:rPr>
      <w:rFonts w:ascii="黑体" w:hAnsi="Cambria" w:eastAsiaTheme="minorEastAsia" w:cstheme="minorBidi"/>
      <w:kern w:val="2"/>
      <w:sz w:val="32"/>
      <w:szCs w:val="22"/>
      <w:lang w:val="en-US" w:eastAsia="zh-CN" w:bidi="ar-SA"/>
    </w:rPr>
  </w:style>
  <w:style w:type="paragraph" w:customStyle="1" w:styleId="146">
    <w:name w:val="字母编号列项（一级）"/>
    <w:qFormat/>
    <w:uiPriority w:val="0"/>
    <w:pPr>
      <w:numPr>
        <w:ilvl w:val="0"/>
        <w:numId w:val="8"/>
      </w:numPr>
      <w:tabs>
        <w:tab w:val="left" w:pos="840"/>
      </w:tabs>
      <w:spacing w:after="200" w:line="252" w:lineRule="auto"/>
      <w:jc w:val="both"/>
    </w:pPr>
    <w:rPr>
      <w:rFonts w:ascii="宋体" w:hAnsi="Cambria" w:eastAsia="宋体" w:cs="Times New Roman"/>
      <w:sz w:val="21"/>
      <w:szCs w:val="21"/>
      <w:lang w:val="en-US" w:eastAsia="zh-CN" w:bidi="ar-SA"/>
    </w:rPr>
  </w:style>
  <w:style w:type="paragraph" w:customStyle="1" w:styleId="147">
    <w:name w:val="样式10"/>
    <w:basedOn w:val="113"/>
    <w:qFormat/>
    <w:uiPriority w:val="0"/>
    <w:pPr>
      <w:numPr>
        <w:numId w:val="12"/>
      </w:numPr>
      <w:tabs>
        <w:tab w:val="left" w:pos="760"/>
      </w:tabs>
      <w:spacing w:before="156" w:after="156" w:line="252" w:lineRule="auto"/>
      <w:ind w:left="1264" w:hanging="413"/>
      <w:jc w:val="center"/>
    </w:pPr>
    <w:rPr>
      <w:rFonts w:hAnsi="Cambria" w:eastAsia="宋体"/>
    </w:rPr>
  </w:style>
  <w:style w:type="paragraph" w:customStyle="1" w:styleId="148">
    <w:name w:val="注："/>
    <w:next w:val="72"/>
    <w:qFormat/>
    <w:uiPriority w:val="0"/>
    <w:pPr>
      <w:widowControl w:val="0"/>
      <w:numPr>
        <w:ilvl w:val="0"/>
        <w:numId w:val="13"/>
      </w:numPr>
      <w:autoSpaceDE w:val="0"/>
      <w:autoSpaceDN w:val="0"/>
      <w:spacing w:after="200" w:line="252" w:lineRule="auto"/>
      <w:ind w:left="726" w:hanging="363"/>
      <w:jc w:val="both"/>
    </w:pPr>
    <w:rPr>
      <w:rFonts w:ascii="宋体" w:hAnsi="Cambria" w:eastAsia="宋体" w:cs="Times New Roman"/>
      <w:sz w:val="18"/>
      <w:szCs w:val="18"/>
      <w:lang w:val="en-US" w:eastAsia="zh-CN" w:bidi="ar-SA"/>
    </w:rPr>
  </w:style>
  <w:style w:type="paragraph" w:customStyle="1" w:styleId="149">
    <w:name w:val="五级条标题"/>
    <w:basedOn w:val="150"/>
    <w:next w:val="72"/>
    <w:qFormat/>
    <w:uiPriority w:val="0"/>
    <w:pPr>
      <w:numPr>
        <w:ilvl w:val="5"/>
      </w:numPr>
      <w:ind w:left="3375"/>
      <w:outlineLvl w:val="6"/>
    </w:pPr>
  </w:style>
  <w:style w:type="paragraph" w:customStyle="1" w:styleId="150">
    <w:name w:val="四级条标题"/>
    <w:basedOn w:val="151"/>
    <w:next w:val="72"/>
    <w:qFormat/>
    <w:uiPriority w:val="0"/>
    <w:pPr>
      <w:numPr>
        <w:ilvl w:val="4"/>
        <w:numId w:val="6"/>
      </w:numPr>
      <w:ind w:left="2955"/>
      <w:outlineLvl w:val="5"/>
    </w:pPr>
  </w:style>
  <w:style w:type="paragraph" w:customStyle="1" w:styleId="151">
    <w:name w:val="三级条标题"/>
    <w:basedOn w:val="152"/>
    <w:next w:val="72"/>
    <w:qFormat/>
    <w:uiPriority w:val="0"/>
    <w:pPr>
      <w:ind w:left="0"/>
      <w:outlineLvl w:val="4"/>
    </w:pPr>
  </w:style>
  <w:style w:type="paragraph" w:customStyle="1" w:styleId="152">
    <w:name w:val="二级条标题"/>
    <w:basedOn w:val="113"/>
    <w:next w:val="72"/>
    <w:qFormat/>
    <w:uiPriority w:val="0"/>
    <w:pPr>
      <w:numPr>
        <w:ilvl w:val="0"/>
        <w:numId w:val="0"/>
      </w:numPr>
      <w:spacing w:before="50" w:after="50"/>
      <w:ind w:left="851"/>
      <w:outlineLvl w:val="3"/>
    </w:pPr>
  </w:style>
  <w:style w:type="paragraph" w:customStyle="1" w:styleId="153">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52" w:lineRule="auto"/>
      <w:jc w:val="center"/>
    </w:pPr>
    <w:rPr>
      <w:rFonts w:ascii="宋体" w:hAnsi="宋体" w:eastAsia="宋体" w:cs="宋体"/>
      <w:kern w:val="0"/>
      <w:sz w:val="24"/>
      <w:lang w:eastAsia="en-US" w:bidi="en-US"/>
    </w:rPr>
  </w:style>
  <w:style w:type="paragraph" w:customStyle="1" w:styleId="154">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155">
    <w:name w:val="列项——（一级）"/>
    <w:qFormat/>
    <w:uiPriority w:val="0"/>
    <w:pPr>
      <w:widowControl w:val="0"/>
      <w:numPr>
        <w:ilvl w:val="0"/>
        <w:numId w:val="7"/>
      </w:numPr>
      <w:spacing w:after="200" w:line="252" w:lineRule="auto"/>
      <w:jc w:val="both"/>
    </w:pPr>
    <w:rPr>
      <w:rFonts w:ascii="宋体" w:hAnsi="Cambria" w:eastAsia="宋体" w:cs="Times New Roman"/>
      <w:sz w:val="21"/>
      <w:szCs w:val="21"/>
      <w:lang w:val="en-US" w:eastAsia="zh-CN" w:bidi="ar-SA"/>
    </w:rPr>
  </w:style>
  <w:style w:type="paragraph" w:customStyle="1" w:styleId="156">
    <w:name w:val="样式4"/>
    <w:basedOn w:val="113"/>
    <w:qFormat/>
    <w:uiPriority w:val="0"/>
    <w:pPr>
      <w:numPr>
        <w:ilvl w:val="0"/>
        <w:numId w:val="0"/>
      </w:numPr>
      <w:tabs>
        <w:tab w:val="left" w:pos="0"/>
      </w:tabs>
      <w:spacing w:before="156" w:after="156" w:line="252" w:lineRule="auto"/>
      <w:ind w:left="1695" w:hanging="629"/>
      <w:jc w:val="center"/>
    </w:pPr>
    <w:rPr>
      <w:rFonts w:hAnsi="Cambria" w:eastAsia="宋体"/>
    </w:rPr>
  </w:style>
  <w:style w:type="paragraph" w:customStyle="1" w:styleId="157">
    <w:name w:val="章标题"/>
    <w:next w:val="72"/>
    <w:qFormat/>
    <w:uiPriority w:val="0"/>
    <w:pPr>
      <w:numPr>
        <w:ilvl w:val="0"/>
        <w:numId w:val="6"/>
      </w:numPr>
      <w:spacing w:beforeLines="100" w:afterLines="100"/>
      <w:jc w:val="both"/>
      <w:outlineLvl w:val="1"/>
    </w:pPr>
    <w:rPr>
      <w:rFonts w:ascii="黑体" w:hAnsi="Times New Roman" w:eastAsia="黑体" w:cs="Times New Roman"/>
      <w:sz w:val="21"/>
      <w:lang w:val="en-US" w:eastAsia="zh-CN" w:bidi="ar-SA"/>
    </w:rPr>
  </w:style>
  <w:style w:type="paragraph" w:customStyle="1" w:styleId="158">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59">
    <w:name w:val="目次、标准名称标题"/>
    <w:basedOn w:val="1"/>
    <w:next w:val="72"/>
    <w:qFormat/>
    <w:uiPriority w:val="0"/>
    <w:pPr>
      <w:keepNext/>
      <w:pageBreakBefore/>
      <w:widowControl/>
      <w:numPr>
        <w:ilvl w:val="4"/>
        <w:numId w:val="14"/>
      </w:numPr>
      <w:shd w:val="clear" w:color="FFFFFF" w:fill="FFFFFF"/>
      <w:spacing w:before="640" w:after="560" w:line="460" w:lineRule="exact"/>
      <w:ind w:firstLine="0"/>
      <w:jc w:val="center"/>
      <w:outlineLvl w:val="0"/>
    </w:pPr>
    <w:rPr>
      <w:rFonts w:ascii="黑体" w:hAnsi="Cambria" w:eastAsia="黑体" w:cs="Times New Roman"/>
      <w:kern w:val="0"/>
      <w:sz w:val="32"/>
      <w:szCs w:val="21"/>
      <w:lang w:eastAsia="en-US" w:bidi="en-US"/>
    </w:rPr>
  </w:style>
  <w:style w:type="paragraph" w:customStyle="1" w:styleId="16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52" w:lineRule="auto"/>
      <w:jc w:val="center"/>
    </w:pPr>
    <w:rPr>
      <w:rFonts w:ascii="宋体" w:hAnsi="宋体" w:eastAsia="宋体" w:cs="宋体"/>
      <w:kern w:val="0"/>
      <w:sz w:val="24"/>
      <w:lang w:eastAsia="en-US" w:bidi="en-US"/>
    </w:rPr>
  </w:style>
  <w:style w:type="paragraph" w:customStyle="1" w:styleId="161">
    <w:name w:val="数字编号列项（二级）"/>
    <w:qFormat/>
    <w:uiPriority w:val="0"/>
    <w:pPr>
      <w:numPr>
        <w:ilvl w:val="1"/>
        <w:numId w:val="8"/>
      </w:numPr>
      <w:tabs>
        <w:tab w:val="left" w:pos="1260"/>
      </w:tabs>
      <w:spacing w:after="200" w:line="252" w:lineRule="auto"/>
      <w:jc w:val="both"/>
    </w:pPr>
    <w:rPr>
      <w:rFonts w:ascii="宋体" w:hAnsi="Cambria" w:eastAsia="宋体" w:cs="Times New Roman"/>
      <w:sz w:val="21"/>
      <w:szCs w:val="21"/>
      <w:lang w:val="en-US" w:eastAsia="zh-CN" w:bidi="ar-SA"/>
    </w:rPr>
  </w:style>
  <w:style w:type="paragraph" w:customStyle="1" w:styleId="162">
    <w:name w:val="Char Char Char Char"/>
    <w:basedOn w:val="1"/>
    <w:qFormat/>
    <w:uiPriority w:val="0"/>
    <w:pPr>
      <w:widowControl/>
      <w:spacing w:after="160" w:line="240" w:lineRule="exact"/>
      <w:ind w:firstLine="200" w:firstLineChars="200"/>
      <w:jc w:val="left"/>
    </w:pPr>
    <w:rPr>
      <w:rFonts w:ascii="Times New Roman" w:hAnsi="Times New Roman" w:eastAsia="宋体" w:cs="Times New Roman"/>
      <w:szCs w:val="21"/>
    </w:rPr>
  </w:style>
  <w:style w:type="paragraph" w:customStyle="1" w:styleId="163">
    <w:name w:val="Body text|2"/>
    <w:basedOn w:val="1"/>
    <w:qFormat/>
    <w:uiPriority w:val="99"/>
    <w:pPr>
      <w:widowControl/>
      <w:shd w:val="clear" w:color="auto" w:fill="FFFFFF"/>
      <w:spacing w:before="520" w:after="400" w:line="320" w:lineRule="exact"/>
      <w:jc w:val="center"/>
    </w:pPr>
    <w:rPr>
      <w:rFonts w:ascii="PMingLiU" w:hAnsi="PMingLiU" w:eastAsia="PMingLiU" w:cs="PMingLiU"/>
      <w:sz w:val="32"/>
      <w:szCs w:val="32"/>
    </w:rPr>
  </w:style>
  <w:style w:type="paragraph" w:customStyle="1" w:styleId="164">
    <w:name w:val="Char Char Char Char1"/>
    <w:basedOn w:val="1"/>
    <w:qFormat/>
    <w:uiPriority w:val="0"/>
    <w:pPr>
      <w:widowControl/>
      <w:spacing w:after="160" w:line="240" w:lineRule="exact"/>
      <w:ind w:firstLine="200" w:firstLineChars="200"/>
      <w:jc w:val="left"/>
    </w:pPr>
    <w:rPr>
      <w:rFonts w:ascii="Times New Roman" w:hAnsi="Times New Roman" w:eastAsia="宋体" w:cs="Times New Roman"/>
      <w:szCs w:val="20"/>
    </w:rPr>
  </w:style>
  <w:style w:type="paragraph" w:customStyle="1" w:styleId="165">
    <w:name w:val="附录数字编号列项（二级）"/>
    <w:qFormat/>
    <w:uiPriority w:val="0"/>
    <w:pPr>
      <w:numPr>
        <w:ilvl w:val="1"/>
        <w:numId w:val="15"/>
      </w:numPr>
      <w:tabs>
        <w:tab w:val="left" w:pos="840"/>
      </w:tabs>
      <w:spacing w:after="200" w:line="252" w:lineRule="auto"/>
    </w:pPr>
    <w:rPr>
      <w:rFonts w:ascii="宋体" w:hAnsi="Cambria" w:eastAsia="宋体" w:cs="Times New Roman"/>
      <w:sz w:val="21"/>
      <w:szCs w:val="21"/>
      <w:lang w:val="en-US" w:eastAsia="zh-CN" w:bidi="ar-SA"/>
    </w:rPr>
  </w:style>
  <w:style w:type="paragraph" w:customStyle="1" w:styleId="166">
    <w:name w:val="彩色底纹 - 着色 11"/>
    <w:semiHidden/>
    <w:qFormat/>
    <w:uiPriority w:val="99"/>
    <w:rPr>
      <w:rFonts w:ascii="Cambria" w:hAnsi="Cambria" w:eastAsia="宋体" w:cs="Times New Roman"/>
      <w:sz w:val="22"/>
      <w:szCs w:val="21"/>
      <w:lang w:val="en-US" w:eastAsia="en-US" w:bidi="en-US"/>
    </w:rPr>
  </w:style>
  <w:style w:type="paragraph" w:customStyle="1" w:styleId="167">
    <w:name w:val="其他发布日期"/>
    <w:basedOn w:val="168"/>
    <w:qFormat/>
    <w:uiPriority w:val="0"/>
    <w:pPr>
      <w:framePr w:vAnchor="page" w:hAnchor="text" w:x="1419"/>
      <w:numPr>
        <w:ilvl w:val="0"/>
        <w:numId w:val="16"/>
      </w:numPr>
    </w:pPr>
  </w:style>
  <w:style w:type="paragraph" w:customStyle="1" w:styleId="168">
    <w:name w:val="发布日期"/>
    <w:qFormat/>
    <w:uiPriority w:val="0"/>
    <w:pPr>
      <w:framePr w:w="3997" w:h="471" w:hRule="exact" w:vSpace="181" w:wrap="around" w:vAnchor="margin" w:hAnchor="page" w:x="7089" w:y="14097" w:anchorLock="1"/>
      <w:spacing w:after="200" w:line="252" w:lineRule="auto"/>
    </w:pPr>
    <w:rPr>
      <w:rFonts w:ascii="Cambria" w:hAnsi="Cambria" w:eastAsia="黑体" w:cs="Times New Roman"/>
      <w:sz w:val="28"/>
      <w:szCs w:val="21"/>
      <w:lang w:val="en-US" w:eastAsia="zh-CN" w:bidi="ar-SA"/>
    </w:rPr>
  </w:style>
  <w:style w:type="paragraph" w:customStyle="1" w:styleId="169">
    <w:name w:val="附录图标号"/>
    <w:basedOn w:val="1"/>
    <w:qFormat/>
    <w:uiPriority w:val="0"/>
    <w:pPr>
      <w:keepNext/>
      <w:pageBreakBefore/>
      <w:widowControl/>
      <w:numPr>
        <w:ilvl w:val="0"/>
        <w:numId w:val="9"/>
      </w:numPr>
      <w:spacing w:after="200" w:line="14" w:lineRule="exact"/>
      <w:ind w:left="0" w:firstLine="363"/>
      <w:jc w:val="center"/>
      <w:outlineLvl w:val="0"/>
    </w:pPr>
    <w:rPr>
      <w:rFonts w:ascii="Cambria" w:hAnsi="Cambria" w:eastAsia="宋体" w:cs="Times New Roman"/>
      <w:color w:val="FFFFFF"/>
      <w:kern w:val="0"/>
      <w:sz w:val="22"/>
      <w:lang w:eastAsia="en-US" w:bidi="en-US"/>
    </w:rPr>
  </w:style>
  <w:style w:type="paragraph" w:customStyle="1" w:styleId="17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52" w:lineRule="auto"/>
      <w:jc w:val="center"/>
    </w:pPr>
    <w:rPr>
      <w:rFonts w:ascii="宋体" w:hAnsi="宋体" w:eastAsia="宋体" w:cs="宋体"/>
      <w:kern w:val="0"/>
      <w:sz w:val="24"/>
      <w:lang w:eastAsia="en-US" w:bidi="en-US"/>
    </w:rPr>
  </w:style>
  <w:style w:type="paragraph" w:customStyle="1" w:styleId="171">
    <w:name w:val="二级无"/>
    <w:basedOn w:val="152"/>
    <w:qFormat/>
    <w:uiPriority w:val="0"/>
    <w:pPr>
      <w:numPr>
        <w:numId w:val="17"/>
      </w:numPr>
      <w:tabs>
        <w:tab w:val="left" w:pos="720"/>
      </w:tabs>
      <w:spacing w:beforeLines="0" w:afterLines="0" w:line="252" w:lineRule="auto"/>
      <w:ind w:left="2252" w:hanging="360"/>
    </w:pPr>
    <w:rPr>
      <w:rFonts w:ascii="宋体" w:hAnsi="Cambria" w:eastAsia="宋体"/>
    </w:rPr>
  </w:style>
  <w:style w:type="paragraph" w:customStyle="1" w:styleId="172">
    <w:name w:val="样式13"/>
    <w:basedOn w:val="145"/>
    <w:qFormat/>
    <w:uiPriority w:val="0"/>
  </w:style>
  <w:style w:type="paragraph" w:customStyle="1" w:styleId="173">
    <w:name w:val="四级无"/>
    <w:basedOn w:val="150"/>
    <w:qFormat/>
    <w:uiPriority w:val="0"/>
    <w:pPr>
      <w:numPr>
        <w:ilvl w:val="0"/>
        <w:numId w:val="0"/>
      </w:numPr>
      <w:tabs>
        <w:tab w:val="left" w:pos="2551"/>
      </w:tabs>
      <w:spacing w:beforeLines="0" w:afterLines="0" w:line="252" w:lineRule="auto"/>
    </w:pPr>
    <w:rPr>
      <w:rFonts w:ascii="宋体" w:hAnsi="Cambria" w:eastAsia="宋体"/>
    </w:rPr>
  </w:style>
  <w:style w:type="paragraph" w:customStyle="1" w:styleId="174">
    <w:name w:val="示例"/>
    <w:next w:val="1"/>
    <w:qFormat/>
    <w:uiPriority w:val="0"/>
    <w:pPr>
      <w:widowControl w:val="0"/>
      <w:numPr>
        <w:ilvl w:val="0"/>
        <w:numId w:val="18"/>
      </w:numPr>
      <w:jc w:val="both"/>
    </w:pPr>
    <w:rPr>
      <w:rFonts w:ascii="宋体" w:hAnsi="Times New Roman" w:eastAsia="宋体" w:cs="Times New Roman"/>
      <w:sz w:val="18"/>
      <w:szCs w:val="18"/>
      <w:lang w:val="en-US" w:eastAsia="zh-CN" w:bidi="ar-SA"/>
    </w:rPr>
  </w:style>
  <w:style w:type="paragraph" w:customStyle="1" w:styleId="175">
    <w:name w:val="样式8"/>
    <w:basedOn w:val="113"/>
    <w:qFormat/>
    <w:uiPriority w:val="0"/>
    <w:pPr>
      <w:numPr>
        <w:ilvl w:val="0"/>
        <w:numId w:val="0"/>
      </w:numPr>
      <w:spacing w:before="156" w:after="156" w:line="252" w:lineRule="auto"/>
      <w:ind w:left="425"/>
      <w:jc w:val="center"/>
    </w:pPr>
    <w:rPr>
      <w:rFonts w:hAnsi="Cambria" w:eastAsia="宋体"/>
    </w:rPr>
  </w:style>
  <w:style w:type="paragraph" w:customStyle="1" w:styleId="176">
    <w:name w:val="网格表 31"/>
    <w:basedOn w:val="2"/>
    <w:next w:val="1"/>
    <w:unhideWhenUsed/>
    <w:qFormat/>
    <w:uiPriority w:val="39"/>
    <w:pPr>
      <w:keepNext w:val="0"/>
      <w:keepLines w:val="0"/>
      <w:widowControl/>
      <w:pBdr>
        <w:bottom w:val="thinThickSmallGap" w:color="943634" w:sz="12" w:space="1"/>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customStyle="1" w:styleId="177">
    <w:name w:val="脚注文本 字符1"/>
    <w:basedOn w:val="37"/>
    <w:semiHidden/>
    <w:qFormat/>
    <w:uiPriority w:val="99"/>
    <w:rPr>
      <w:kern w:val="2"/>
      <w:sz w:val="18"/>
      <w:szCs w:val="18"/>
    </w:rPr>
  </w:style>
  <w:style w:type="character" w:customStyle="1" w:styleId="178">
    <w:name w:val="脚注文本 Char1"/>
    <w:basedOn w:val="37"/>
    <w:semiHidden/>
    <w:qFormat/>
    <w:uiPriority w:val="99"/>
    <w:rPr>
      <w:rFonts w:ascii="Times New Roman" w:hAnsi="Times New Roman" w:eastAsia="宋体" w:cs="Times New Roman"/>
      <w:sz w:val="18"/>
      <w:szCs w:val="18"/>
    </w:rPr>
  </w:style>
  <w:style w:type="character" w:customStyle="1" w:styleId="179">
    <w:name w:val="纯文本 字符1"/>
    <w:basedOn w:val="37"/>
    <w:semiHidden/>
    <w:qFormat/>
    <w:uiPriority w:val="99"/>
    <w:rPr>
      <w:rFonts w:hAnsi="Courier New" w:cs="Courier New" w:asciiTheme="minorEastAsia"/>
    </w:rPr>
  </w:style>
  <w:style w:type="character" w:customStyle="1" w:styleId="180">
    <w:name w:val="纯文本 Char1"/>
    <w:basedOn w:val="37"/>
    <w:semiHidden/>
    <w:qFormat/>
    <w:uiPriority w:val="99"/>
    <w:rPr>
      <w:rFonts w:ascii="宋体" w:hAnsi="Courier New" w:eastAsia="宋体" w:cs="Courier New"/>
      <w:szCs w:val="21"/>
    </w:rPr>
  </w:style>
  <w:style w:type="character" w:customStyle="1" w:styleId="181">
    <w:name w:val="副标题 字符1"/>
    <w:basedOn w:val="37"/>
    <w:qFormat/>
    <w:uiPriority w:val="11"/>
    <w:rPr>
      <w:b/>
      <w:bCs/>
      <w:kern w:val="28"/>
      <w:sz w:val="32"/>
      <w:szCs w:val="32"/>
    </w:rPr>
  </w:style>
  <w:style w:type="character" w:customStyle="1" w:styleId="182">
    <w:name w:val="副标题 Char1"/>
    <w:basedOn w:val="37"/>
    <w:qFormat/>
    <w:uiPriority w:val="11"/>
    <w:rPr>
      <w:rFonts w:eastAsia="宋体" w:asciiTheme="majorHAnsi" w:hAnsiTheme="majorHAnsi" w:cstheme="majorBidi"/>
      <w:b/>
      <w:bCs/>
      <w:kern w:val="28"/>
      <w:sz w:val="32"/>
      <w:szCs w:val="32"/>
    </w:rPr>
  </w:style>
  <w:style w:type="paragraph" w:customStyle="1" w:styleId="183">
    <w:name w:val="普通 (Web)"/>
    <w:basedOn w:val="97"/>
    <w:next w:val="97"/>
    <w:qFormat/>
    <w:uiPriority w:val="99"/>
    <w:rPr>
      <w:color w:val="auto"/>
    </w:rPr>
  </w:style>
  <w:style w:type="paragraph" w:customStyle="1" w:styleId="184">
    <w:name w:val="标准书眉_奇数页"/>
    <w:next w:val="1"/>
    <w:qFormat/>
    <w:uiPriority w:val="0"/>
    <w:pPr>
      <w:numPr>
        <w:ilvl w:val="1"/>
        <w:numId w:val="14"/>
      </w:numPr>
      <w:tabs>
        <w:tab w:val="center" w:pos="4154"/>
        <w:tab w:val="right" w:pos="8306"/>
      </w:tabs>
      <w:spacing w:after="220" w:line="252" w:lineRule="auto"/>
      <w:jc w:val="right"/>
    </w:pPr>
    <w:rPr>
      <w:rFonts w:ascii="黑体" w:hAnsi="Cambria" w:eastAsia="黑体" w:cs="Times New Roman"/>
      <w:sz w:val="21"/>
      <w:szCs w:val="21"/>
      <w:lang w:val="en-US" w:eastAsia="zh-CN" w:bidi="ar-SA"/>
    </w:rPr>
  </w:style>
  <w:style w:type="paragraph" w:customStyle="1" w:styleId="185">
    <w:name w:val="附录表标号"/>
    <w:basedOn w:val="1"/>
    <w:next w:val="72"/>
    <w:qFormat/>
    <w:uiPriority w:val="0"/>
    <w:pPr>
      <w:widowControl/>
      <w:numPr>
        <w:ilvl w:val="0"/>
        <w:numId w:val="19"/>
      </w:numPr>
      <w:spacing w:after="200" w:line="14" w:lineRule="exact"/>
      <w:ind w:left="811" w:hanging="448"/>
      <w:jc w:val="center"/>
      <w:outlineLvl w:val="0"/>
    </w:pPr>
    <w:rPr>
      <w:rFonts w:ascii="Cambria" w:hAnsi="Cambria" w:eastAsia="宋体" w:cs="Times New Roman"/>
      <w:color w:val="FFFFFF"/>
      <w:kern w:val="0"/>
      <w:sz w:val="22"/>
      <w:lang w:eastAsia="en-US" w:bidi="en-US"/>
    </w:rPr>
  </w:style>
  <w:style w:type="paragraph" w:customStyle="1" w:styleId="186">
    <w:name w:val="附录表标题"/>
    <w:basedOn w:val="1"/>
    <w:next w:val="72"/>
    <w:qFormat/>
    <w:uiPriority w:val="0"/>
    <w:pPr>
      <w:widowControl/>
      <w:numPr>
        <w:ilvl w:val="1"/>
        <w:numId w:val="19"/>
      </w:numPr>
      <w:tabs>
        <w:tab w:val="left" w:pos="180"/>
      </w:tabs>
      <w:spacing w:beforeLines="50" w:afterLines="50" w:line="252" w:lineRule="auto"/>
      <w:ind w:left="0" w:firstLine="0"/>
      <w:jc w:val="center"/>
    </w:pPr>
    <w:rPr>
      <w:rFonts w:ascii="黑体" w:hAnsi="Cambria" w:eastAsia="黑体" w:cs="Times New Roman"/>
      <w:kern w:val="0"/>
      <w:sz w:val="22"/>
      <w:szCs w:val="21"/>
      <w:lang w:eastAsia="en-US" w:bidi="en-US"/>
    </w:rPr>
  </w:style>
  <w:style w:type="paragraph" w:customStyle="1" w:styleId="187">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after="200" w:line="0" w:lineRule="atLeast"/>
      <w:jc w:val="distribute"/>
    </w:pPr>
    <w:rPr>
      <w:rFonts w:ascii="宋体" w:hAnsi="Cambria" w:eastAsia="宋体" w:cs="Times New Roman"/>
      <w:b/>
      <w:bCs/>
      <w:spacing w:val="20"/>
      <w:w w:val="148"/>
      <w:sz w:val="52"/>
      <w:szCs w:val="21"/>
      <w:lang w:val="en-US" w:eastAsia="zh-CN" w:bidi="ar-SA"/>
    </w:rPr>
  </w:style>
  <w:style w:type="paragraph" w:customStyle="1" w:styleId="188">
    <w:name w:val="附录字母编号列项（一级）"/>
    <w:qFormat/>
    <w:uiPriority w:val="0"/>
    <w:pPr>
      <w:tabs>
        <w:tab w:val="left" w:pos="839"/>
      </w:tabs>
      <w:spacing w:after="200" w:line="252" w:lineRule="auto"/>
      <w:ind w:left="839" w:hanging="419"/>
    </w:pPr>
    <w:rPr>
      <w:rFonts w:ascii="宋体" w:hAnsi="Cambria" w:eastAsia="宋体" w:cs="Times New Roman"/>
      <w:sz w:val="21"/>
      <w:szCs w:val="21"/>
      <w:lang w:val="en-US" w:eastAsia="zh-CN" w:bidi="ar-SA"/>
    </w:rPr>
  </w:style>
  <w:style w:type="paragraph" w:customStyle="1" w:styleId="189">
    <w:name w:val="正文图标题"/>
    <w:next w:val="72"/>
    <w:qFormat/>
    <w:uiPriority w:val="0"/>
    <w:pPr>
      <w:numPr>
        <w:ilvl w:val="0"/>
        <w:numId w:val="20"/>
      </w:numPr>
      <w:tabs>
        <w:tab w:val="left" w:pos="360"/>
      </w:tabs>
      <w:spacing w:beforeLines="50" w:afterLines="50" w:line="252" w:lineRule="auto"/>
      <w:jc w:val="center"/>
    </w:pPr>
    <w:rPr>
      <w:rFonts w:ascii="黑体" w:hAnsi="Cambria" w:eastAsia="黑体" w:cs="Times New Roman"/>
      <w:sz w:val="21"/>
      <w:szCs w:val="21"/>
      <w:lang w:val="en-US" w:eastAsia="zh-CN" w:bidi="ar-SA"/>
    </w:rPr>
  </w:style>
  <w:style w:type="paragraph" w:customStyle="1" w:styleId="190">
    <w:name w:val="font5"/>
    <w:basedOn w:val="1"/>
    <w:qFormat/>
    <w:uiPriority w:val="0"/>
    <w:pPr>
      <w:widowControl/>
      <w:spacing w:before="100" w:beforeAutospacing="1" w:after="100" w:afterAutospacing="1" w:line="252" w:lineRule="auto"/>
      <w:jc w:val="left"/>
    </w:pPr>
    <w:rPr>
      <w:rFonts w:ascii="宋体" w:hAnsi="宋体" w:eastAsia="宋体" w:cs="宋体"/>
      <w:kern w:val="0"/>
      <w:sz w:val="18"/>
      <w:szCs w:val="18"/>
      <w:lang w:eastAsia="en-US" w:bidi="en-US"/>
    </w:rPr>
  </w:style>
  <w:style w:type="paragraph" w:customStyle="1" w:styleId="191">
    <w:name w:val="font6"/>
    <w:basedOn w:val="1"/>
    <w:qFormat/>
    <w:uiPriority w:val="0"/>
    <w:pPr>
      <w:widowControl/>
      <w:spacing w:before="100" w:beforeAutospacing="1" w:after="100" w:afterAutospacing="1" w:line="252" w:lineRule="auto"/>
      <w:jc w:val="left"/>
    </w:pPr>
    <w:rPr>
      <w:rFonts w:ascii="宋体" w:hAnsi="宋体" w:eastAsia="宋体" w:cs="宋体"/>
      <w:kern w:val="0"/>
      <w:sz w:val="24"/>
      <w:lang w:eastAsia="en-US" w:bidi="en-US"/>
    </w:rPr>
  </w:style>
  <w:style w:type="paragraph" w:customStyle="1" w:styleId="192">
    <w:name w:val="font7"/>
    <w:basedOn w:val="1"/>
    <w:qFormat/>
    <w:uiPriority w:val="0"/>
    <w:pPr>
      <w:widowControl/>
      <w:spacing w:before="100" w:beforeAutospacing="1" w:after="100" w:afterAutospacing="1" w:line="252" w:lineRule="auto"/>
      <w:jc w:val="left"/>
    </w:pPr>
    <w:rPr>
      <w:rFonts w:ascii="宋体" w:hAnsi="宋体" w:eastAsia="宋体" w:cs="宋体"/>
      <w:kern w:val="0"/>
      <w:sz w:val="24"/>
      <w:lang w:eastAsia="en-US" w:bidi="en-US"/>
    </w:rPr>
  </w:style>
  <w:style w:type="paragraph" w:customStyle="1" w:styleId="19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52" w:lineRule="auto"/>
      <w:jc w:val="center"/>
    </w:pPr>
    <w:rPr>
      <w:rFonts w:ascii="宋体" w:hAnsi="宋体" w:eastAsia="宋体" w:cs="宋体"/>
      <w:kern w:val="0"/>
      <w:sz w:val="24"/>
      <w:lang w:eastAsia="en-US" w:bidi="en-US"/>
    </w:rPr>
  </w:style>
  <w:style w:type="paragraph" w:customStyle="1" w:styleId="19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52" w:lineRule="auto"/>
      <w:jc w:val="center"/>
    </w:pPr>
    <w:rPr>
      <w:rFonts w:ascii="宋体" w:hAnsi="宋体" w:eastAsia="宋体" w:cs="宋体"/>
      <w:b/>
      <w:bCs/>
      <w:kern w:val="0"/>
      <w:sz w:val="32"/>
      <w:szCs w:val="32"/>
      <w:lang w:eastAsia="en-US" w:bidi="en-US"/>
    </w:rPr>
  </w:style>
  <w:style w:type="paragraph" w:customStyle="1" w:styleId="195">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52" w:lineRule="auto"/>
      <w:jc w:val="center"/>
    </w:pPr>
    <w:rPr>
      <w:rFonts w:ascii="宋体" w:hAnsi="宋体" w:eastAsia="宋体" w:cs="宋体"/>
      <w:kern w:val="0"/>
      <w:sz w:val="24"/>
      <w:lang w:eastAsia="en-US" w:bidi="en-US"/>
    </w:rPr>
  </w:style>
  <w:style w:type="paragraph" w:customStyle="1" w:styleId="196">
    <w:name w:val="xl71"/>
    <w:basedOn w:val="1"/>
    <w:qFormat/>
    <w:uiPriority w:val="0"/>
    <w:pPr>
      <w:widowControl/>
      <w:spacing w:before="100" w:beforeAutospacing="1" w:after="100" w:afterAutospacing="1" w:line="252" w:lineRule="auto"/>
      <w:jc w:val="center"/>
    </w:pPr>
    <w:rPr>
      <w:rFonts w:ascii="宋体" w:hAnsi="宋体" w:eastAsia="宋体" w:cs="宋体"/>
      <w:kern w:val="0"/>
      <w:sz w:val="32"/>
      <w:szCs w:val="32"/>
      <w:lang w:eastAsia="en-US" w:bidi="en-US"/>
    </w:rPr>
  </w:style>
  <w:style w:type="paragraph" w:customStyle="1" w:styleId="197">
    <w:name w:val="封面标准号1"/>
    <w:qFormat/>
    <w:uiPriority w:val="0"/>
    <w:pPr>
      <w:widowControl w:val="0"/>
      <w:kinsoku w:val="0"/>
      <w:overflowPunct w:val="0"/>
      <w:autoSpaceDE w:val="0"/>
      <w:autoSpaceDN w:val="0"/>
      <w:spacing w:before="308" w:after="200" w:line="252" w:lineRule="auto"/>
      <w:jc w:val="right"/>
      <w:textAlignment w:val="center"/>
    </w:pPr>
    <w:rPr>
      <w:rFonts w:ascii="Cambria" w:hAnsi="Cambria" w:eastAsia="宋体" w:cs="Times New Roman"/>
      <w:sz w:val="28"/>
      <w:szCs w:val="21"/>
      <w:lang w:val="en-US" w:eastAsia="zh-CN" w:bidi="ar-SA"/>
    </w:rPr>
  </w:style>
  <w:style w:type="paragraph" w:customStyle="1" w:styleId="198">
    <w:name w:val="样式7"/>
    <w:basedOn w:val="113"/>
    <w:qFormat/>
    <w:uiPriority w:val="0"/>
    <w:pPr>
      <w:numPr>
        <w:ilvl w:val="0"/>
        <w:numId w:val="0"/>
      </w:numPr>
      <w:spacing w:before="156" w:after="156" w:line="252" w:lineRule="auto"/>
      <w:ind w:left="950" w:hanging="525"/>
      <w:jc w:val="center"/>
    </w:pPr>
    <w:rPr>
      <w:rFonts w:hAnsi="Cambria" w:eastAsia="宋体"/>
    </w:rPr>
  </w:style>
  <w:style w:type="paragraph" w:customStyle="1" w:styleId="199">
    <w:name w:val="样式11"/>
    <w:basedOn w:val="2"/>
    <w:qFormat/>
    <w:uiPriority w:val="0"/>
    <w:pPr>
      <w:keepNext w:val="0"/>
      <w:keepLines w:val="0"/>
      <w:widowControl/>
      <w:pBdr>
        <w:bottom w:val="thinThickSmallGap" w:color="943634" w:sz="12" w:space="1"/>
      </w:pBdr>
      <w:spacing w:before="400" w:after="200" w:line="252" w:lineRule="auto"/>
      <w:jc w:val="center"/>
    </w:pPr>
    <w:rPr>
      <w:rFonts w:ascii="宋体" w:hAnsi="宋体"/>
      <w:b w:val="0"/>
      <w:bCs w:val="0"/>
      <w:caps/>
      <w:color w:val="000000"/>
      <w:spacing w:val="20"/>
      <w:kern w:val="0"/>
      <w:sz w:val="32"/>
      <w:szCs w:val="32"/>
      <w:lang w:eastAsia="en-US" w:bidi="en-US"/>
    </w:rPr>
  </w:style>
  <w:style w:type="paragraph" w:customStyle="1" w:styleId="200">
    <w:name w:val="样式14"/>
    <w:next w:val="145"/>
    <w:qFormat/>
    <w:uiPriority w:val="0"/>
    <w:pPr>
      <w:spacing w:beforeLines="100" w:afterLines="100" w:line="252" w:lineRule="auto"/>
      <w:ind w:left="425" w:hanging="425"/>
      <w:jc w:val="center"/>
      <w:outlineLvl w:val="1"/>
    </w:pPr>
    <w:rPr>
      <w:rFonts w:ascii="宋体" w:hAnsi="宋体" w:cs="AdobeHeitiStd-Regular" w:eastAsiaTheme="minorEastAsia"/>
      <w:kern w:val="2"/>
      <w:sz w:val="32"/>
      <w:szCs w:val="32"/>
      <w:lang w:val="en-US" w:eastAsia="zh-CN" w:bidi="ar-SA"/>
    </w:rPr>
  </w:style>
  <w:style w:type="paragraph" w:customStyle="1" w:styleId="201">
    <w:name w:val="样式16"/>
    <w:basedOn w:val="141"/>
    <w:qFormat/>
    <w:uiPriority w:val="0"/>
    <w:rPr>
      <w:rFonts w:ascii="宋体" w:hAnsi="宋体"/>
      <w:sz w:val="28"/>
      <w:szCs w:val="28"/>
    </w:rPr>
  </w:style>
  <w:style w:type="paragraph" w:customStyle="1" w:styleId="202">
    <w:name w:val="修订2"/>
    <w:hidden/>
    <w:unhideWhenUsed/>
    <w:qFormat/>
    <w:uiPriority w:val="99"/>
    <w:rPr>
      <w:rFonts w:ascii="Times New Roman" w:hAnsi="Times New Roman" w:eastAsia="宋体" w:cs="Times New Roman"/>
      <w:kern w:val="2"/>
      <w:sz w:val="21"/>
      <w:szCs w:val="21"/>
      <w:lang w:val="en-US" w:eastAsia="zh-CN" w:bidi="ar-SA"/>
    </w:rPr>
  </w:style>
  <w:style w:type="character" w:customStyle="1" w:styleId="203">
    <w:name w:val="未处理的提及1"/>
    <w:basedOn w:val="37"/>
    <w:semiHidden/>
    <w:unhideWhenUsed/>
    <w:qFormat/>
    <w:uiPriority w:val="99"/>
    <w:rPr>
      <w:color w:val="605E5C"/>
      <w:shd w:val="clear" w:color="auto" w:fill="E1DFDD"/>
    </w:rPr>
  </w:style>
  <w:style w:type="character" w:customStyle="1" w:styleId="204">
    <w:name w:val="标题 Char1"/>
    <w:basedOn w:val="37"/>
    <w:qFormat/>
    <w:uiPriority w:val="10"/>
    <w:rPr>
      <w:rFonts w:eastAsia="宋体" w:asciiTheme="majorHAnsi" w:hAnsiTheme="majorHAnsi" w:cstheme="majorBidi"/>
      <w:b/>
      <w:bCs/>
      <w:sz w:val="32"/>
      <w:szCs w:val="32"/>
    </w:rPr>
  </w:style>
  <w:style w:type="paragraph" w:customStyle="1" w:styleId="205">
    <w:name w:val="大标题"/>
    <w:basedOn w:val="2"/>
    <w:link w:val="207"/>
    <w:qFormat/>
    <w:uiPriority w:val="0"/>
    <w:pPr>
      <w:numPr>
        <w:ilvl w:val="0"/>
        <w:numId w:val="21"/>
      </w:numPr>
      <w:ind w:left="0" w:firstLine="0"/>
      <w:jc w:val="center"/>
    </w:pPr>
    <w:rPr>
      <w:rFonts w:asciiTheme="minorEastAsia" w:hAnsiTheme="minorEastAsia"/>
      <w:color w:val="000000" w:themeColor="text1"/>
      <w:sz w:val="32"/>
      <w:szCs w:val="28"/>
      <w14:textFill>
        <w14:solidFill>
          <w14:schemeClr w14:val="tx1"/>
        </w14:solidFill>
      </w14:textFill>
    </w:rPr>
  </w:style>
  <w:style w:type="paragraph" w:customStyle="1" w:styleId="206">
    <w:name w:val="二标题"/>
    <w:basedOn w:val="3"/>
    <w:link w:val="208"/>
    <w:qFormat/>
    <w:uiPriority w:val="0"/>
    <w:pPr>
      <w:spacing w:before="50" w:beforeLines="50" w:line="360" w:lineRule="auto"/>
      <w:jc w:val="center"/>
    </w:pPr>
    <w:rPr>
      <w:rFonts w:ascii="黑体" w:hAnsi="黑体" w:eastAsia="黑体"/>
      <w:b w:val="0"/>
      <w:color w:val="000000" w:themeColor="text1"/>
      <w:sz w:val="28"/>
      <w14:textFill>
        <w14:solidFill>
          <w14:schemeClr w14:val="tx1"/>
        </w14:solidFill>
      </w14:textFill>
    </w:rPr>
  </w:style>
  <w:style w:type="character" w:customStyle="1" w:styleId="207">
    <w:name w:val="大标题 字符"/>
    <w:basedOn w:val="45"/>
    <w:link w:val="205"/>
    <w:qFormat/>
    <w:uiPriority w:val="0"/>
    <w:rPr>
      <w:rFonts w:eastAsia="宋体" w:cs="Times New Roman" w:asciiTheme="minorEastAsia" w:hAnsiTheme="minorEastAsia"/>
      <w:color w:val="000000" w:themeColor="text1"/>
      <w:kern w:val="44"/>
      <w:sz w:val="32"/>
      <w:szCs w:val="28"/>
      <w14:textFill>
        <w14:solidFill>
          <w14:schemeClr w14:val="tx1"/>
        </w14:solidFill>
      </w14:textFill>
    </w:rPr>
  </w:style>
  <w:style w:type="character" w:customStyle="1" w:styleId="208">
    <w:name w:val="二标题 字符"/>
    <w:basedOn w:val="46"/>
    <w:link w:val="206"/>
    <w:qFormat/>
    <w:uiPriority w:val="0"/>
    <w:rPr>
      <w:rFonts w:ascii="黑体" w:hAnsi="黑体" w:eastAsia="黑体" w:cs="Times New Roman"/>
      <w:b w:val="0"/>
      <w:color w:val="000000" w:themeColor="text1"/>
      <w:kern w:val="2"/>
      <w:sz w:val="28"/>
      <w:szCs w:val="24"/>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1.xml"/><Relationship Id="rId52" Type="http://schemas.openxmlformats.org/officeDocument/2006/relationships/fontTable" Target="fontTable.xml"/><Relationship Id="rId51" Type="http://schemas.openxmlformats.org/officeDocument/2006/relationships/customXml" Target="../customXml/item2.xml"/><Relationship Id="rId50" Type="http://schemas.openxmlformats.org/officeDocument/2006/relationships/numbering" Target="numbering.xml"/><Relationship Id="rId5" Type="http://schemas.openxmlformats.org/officeDocument/2006/relationships/header" Target="header3.xml"/><Relationship Id="rId49" Type="http://schemas.openxmlformats.org/officeDocument/2006/relationships/customXml" Target="../customXml/item1.xml"/><Relationship Id="rId48" Type="http://schemas.openxmlformats.org/officeDocument/2006/relationships/image" Target="media/image21.wmf"/><Relationship Id="rId47" Type="http://schemas.openxmlformats.org/officeDocument/2006/relationships/image" Target="media/image20.wmf"/><Relationship Id="rId46" Type="http://schemas.openxmlformats.org/officeDocument/2006/relationships/oleObject" Target="embeddings/oleObject20.bin"/><Relationship Id="rId45" Type="http://schemas.openxmlformats.org/officeDocument/2006/relationships/image" Target="media/image19.wmf"/><Relationship Id="rId44" Type="http://schemas.openxmlformats.org/officeDocument/2006/relationships/oleObject" Target="embeddings/oleObject19.bin"/><Relationship Id="rId43" Type="http://schemas.openxmlformats.org/officeDocument/2006/relationships/image" Target="media/image18.wmf"/><Relationship Id="rId42" Type="http://schemas.openxmlformats.org/officeDocument/2006/relationships/oleObject" Target="embeddings/oleObject18.bin"/><Relationship Id="rId41" Type="http://schemas.openxmlformats.org/officeDocument/2006/relationships/image" Target="media/image17.wmf"/><Relationship Id="rId40" Type="http://schemas.openxmlformats.org/officeDocument/2006/relationships/oleObject" Target="embeddings/oleObject17.bin"/><Relationship Id="rId4" Type="http://schemas.openxmlformats.org/officeDocument/2006/relationships/header" Target="header2.xml"/><Relationship Id="rId39" Type="http://schemas.openxmlformats.org/officeDocument/2006/relationships/image" Target="media/image16.wmf"/><Relationship Id="rId38" Type="http://schemas.openxmlformats.org/officeDocument/2006/relationships/oleObject" Target="embeddings/oleObject16.bin"/><Relationship Id="rId37" Type="http://schemas.openxmlformats.org/officeDocument/2006/relationships/image" Target="media/image15.wmf"/><Relationship Id="rId36" Type="http://schemas.openxmlformats.org/officeDocument/2006/relationships/oleObject" Target="embeddings/oleObject15.bin"/><Relationship Id="rId35" Type="http://schemas.openxmlformats.org/officeDocument/2006/relationships/image" Target="media/image14.wmf"/><Relationship Id="rId34" Type="http://schemas.openxmlformats.org/officeDocument/2006/relationships/oleObject" Target="embeddings/oleObject14.bin"/><Relationship Id="rId33" Type="http://schemas.openxmlformats.org/officeDocument/2006/relationships/image" Target="media/image13.wmf"/><Relationship Id="rId32" Type="http://schemas.openxmlformats.org/officeDocument/2006/relationships/oleObject" Target="embeddings/oleObject13.bin"/><Relationship Id="rId31" Type="http://schemas.openxmlformats.org/officeDocument/2006/relationships/image" Target="media/image12.wmf"/><Relationship Id="rId30" Type="http://schemas.openxmlformats.org/officeDocument/2006/relationships/oleObject" Target="embeddings/oleObject12.bin"/><Relationship Id="rId3" Type="http://schemas.openxmlformats.org/officeDocument/2006/relationships/header" Target="header1.xml"/><Relationship Id="rId29" Type="http://schemas.openxmlformats.org/officeDocument/2006/relationships/image" Target="media/image11.wmf"/><Relationship Id="rId28" Type="http://schemas.openxmlformats.org/officeDocument/2006/relationships/oleObject" Target="embeddings/oleObject11.bin"/><Relationship Id="rId27" Type="http://schemas.openxmlformats.org/officeDocument/2006/relationships/image" Target="media/image10.wmf"/><Relationship Id="rId26" Type="http://schemas.openxmlformats.org/officeDocument/2006/relationships/oleObject" Target="embeddings/oleObject10.bin"/><Relationship Id="rId25" Type="http://schemas.openxmlformats.org/officeDocument/2006/relationships/image" Target="media/image9.wmf"/><Relationship Id="rId24" Type="http://schemas.openxmlformats.org/officeDocument/2006/relationships/oleObject" Target="embeddings/oleObject9.bin"/><Relationship Id="rId23" Type="http://schemas.openxmlformats.org/officeDocument/2006/relationships/image" Target="media/image8.wmf"/><Relationship Id="rId22" Type="http://schemas.openxmlformats.org/officeDocument/2006/relationships/oleObject" Target="embeddings/oleObject8.bin"/><Relationship Id="rId21" Type="http://schemas.openxmlformats.org/officeDocument/2006/relationships/image" Target="media/image7.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6.bin"/><Relationship Id="rId17" Type="http://schemas.openxmlformats.org/officeDocument/2006/relationships/image" Target="media/image5.wmf"/><Relationship Id="rId16" Type="http://schemas.openxmlformats.org/officeDocument/2006/relationships/oleObject" Target="embeddings/oleObject5.bin"/><Relationship Id="rId15" Type="http://schemas.openxmlformats.org/officeDocument/2006/relationships/image" Target="media/image4.wmf"/><Relationship Id="rId14" Type="http://schemas.openxmlformats.org/officeDocument/2006/relationships/oleObject" Target="embeddings/oleObject4.bin"/><Relationship Id="rId13" Type="http://schemas.openxmlformats.org/officeDocument/2006/relationships/image" Target="media/image3.wmf"/><Relationship Id="rId12" Type="http://schemas.openxmlformats.org/officeDocument/2006/relationships/oleObject" Target="embeddings/oleObject3.bin"/><Relationship Id="rId11" Type="http://schemas.openxmlformats.org/officeDocument/2006/relationships/image" Target="media/image2.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E09FB9-9A30-47D3-94B0-70E02FDFF905}">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64</Pages>
  <Words>6044</Words>
  <Characters>34455</Characters>
  <Lines>287</Lines>
  <Paragraphs>80</Paragraphs>
  <TotalTime>17</TotalTime>
  <ScaleCrop>false</ScaleCrop>
  <LinksUpToDate>false</LinksUpToDate>
  <CharactersWithSpaces>40419</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2020-11-01T05:06:00Z</dcterms:created>
  <dc:creator>l</dc:creator>
  <cp:lastModifiedBy>卓儿</cp:lastModifiedBy>
  <cp:lastPrinted>2020-04-01T07:15:00Z</cp:lastPrinted>
  <dcterms:modified xsi:type="dcterms:W3CDTF">2020-11-03T06:03:03Z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