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wordWrap w:val="0"/>
        <w:spacing w:beforeLines="50"/>
        <w:jc w:val="right"/>
        <w:rPr>
          <w:rFonts w:ascii="Times New Roman" w:hAnsi="Times New Roman" w:eastAsia="宋体" w:cs="Times New Roman"/>
          <w:color w:val="auto"/>
          <w:shd w:val="clear" w:color="auto" w:fill="auto"/>
        </w:rPr>
      </w:pPr>
      <w:r>
        <w:rPr>
          <w:rFonts w:ascii="Times New Roman" w:hAnsi="Times New Roman" w:eastAsia="宋体" w:cs="Times New Roman"/>
          <w:color w:val="auto"/>
          <w:shd w:val="clear" w:color="auto" w:fill="auto"/>
        </w:rPr>
        <w:drawing>
          <wp:anchor distT="0" distB="0" distL="114300" distR="114300" simplePos="0" relativeHeight="251660288" behindDoc="0" locked="0" layoutInCell="1" allowOverlap="1">
            <wp:simplePos x="0" y="0"/>
            <wp:positionH relativeFrom="column">
              <wp:posOffset>123825</wp:posOffset>
            </wp:positionH>
            <wp:positionV relativeFrom="paragraph">
              <wp:posOffset>-103505</wp:posOffset>
            </wp:positionV>
            <wp:extent cx="1724025" cy="1104900"/>
            <wp:effectExtent l="0" t="0" r="9525"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1724025" cy="1104900"/>
                    </a:xfrm>
                    <a:prstGeom prst="rect">
                      <a:avLst/>
                    </a:prstGeom>
                    <a:noFill/>
                    <a:ln>
                      <a:noFill/>
                    </a:ln>
                  </pic:spPr>
                </pic:pic>
              </a:graphicData>
            </a:graphic>
          </wp:anchor>
        </w:drawing>
      </w:r>
      <w:r>
        <w:rPr>
          <w:rFonts w:ascii="Times New Roman" w:hAnsi="Times New Roman" w:eastAsia="宋体" w:cs="Times New Roman"/>
          <w:color w:val="auto"/>
          <w:shd w:val="clear" w:color="auto" w:fill="auto"/>
        </w:rPr>
        <w:t xml:space="preserve"> </w:t>
      </w:r>
    </w:p>
    <w:p>
      <w:pPr>
        <w:pStyle w:val="11"/>
        <w:spacing w:beforeLines="50"/>
        <w:jc w:val="right"/>
        <w:rPr>
          <w:rFonts w:ascii="Times New Roman" w:hAnsi="Times New Roman" w:eastAsia="宋体" w:cs="Times New Roman"/>
          <w:color w:val="auto"/>
          <w:shd w:val="clear" w:color="auto" w:fill="auto"/>
        </w:rPr>
      </w:pPr>
      <w:r>
        <w:rPr>
          <w:rFonts w:ascii="Times New Roman" w:hAnsi="Times New Roman" w:eastAsia="宋体" w:cs="Times New Roman"/>
          <w:color w:val="auto"/>
          <w:shd w:val="clear" w:color="auto" w:fill="auto"/>
        </w:rPr>
        <w:t xml:space="preserve">   </w:t>
      </w:r>
      <w:r>
        <w:rPr>
          <w:rFonts w:ascii="Times New Roman" w:hAnsi="Times New Roman" w:eastAsia="宋体" w:cs="Times New Roman"/>
          <w:color w:val="auto"/>
          <w:sz w:val="30"/>
          <w:szCs w:val="30"/>
          <w:shd w:val="clear" w:color="auto" w:fill="auto"/>
        </w:rPr>
        <w:t>T/CECS XXX-2021</w:t>
      </w:r>
    </w:p>
    <w:p>
      <w:pPr>
        <w:pStyle w:val="11"/>
        <w:spacing w:beforeLines="50"/>
        <w:jc w:val="center"/>
        <w:rPr>
          <w:rFonts w:ascii="Times New Roman" w:hAnsi="Times New Roman" w:eastAsia="宋体" w:cs="Times New Roman"/>
          <w:color w:val="auto"/>
          <w:shd w:val="clear" w:color="auto" w:fill="auto"/>
        </w:rPr>
      </w:pPr>
    </w:p>
    <w:p>
      <w:pPr>
        <w:pStyle w:val="11"/>
        <w:spacing w:beforeLines="50"/>
        <w:jc w:val="center"/>
        <w:rPr>
          <w:rFonts w:ascii="Times New Roman" w:hAnsi="Times New Roman" w:eastAsia="宋体" w:cs="Times New Roman"/>
          <w:color w:val="auto"/>
          <w:shd w:val="clear" w:color="auto" w:fill="auto"/>
        </w:rPr>
      </w:pPr>
      <w:r>
        <w:rPr>
          <w:rFonts w:ascii="Times New Roman" w:hAnsi="Times New Roman" w:eastAsia="宋体" w:cs="Times New Roman"/>
          <w:color w:val="auto"/>
          <w:shd w:val="clear" w:color="auto" w:fill="auto"/>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514340" cy="0"/>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34.2pt;z-index:251659264;mso-width-relative:page;mso-height-relative:page;" filled="f" stroked="t" coordsize="21600,21600" o:gfxdata="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t0CrZ9IAAAAC&#10;AQAADwAAAAAAAAABACAAAAAiAAAAZHJzL2Rvd25yZXYueG1sUEsBAhQAFAAAAAgAh07iQGKBgNfp&#10;AQAAuAMAAA4AAAAAAAAAAQAgAAAAIQEAAGRycy9lMm9Eb2MueG1sUEsFBgAAAAAGAAYAWQEAAHwF&#10;AAAAAA==&#10;">
                <v:fill on="f" focussize="0,0"/>
                <v:stroke color="#000000" joinstyle="round"/>
                <v:imagedata o:title=""/>
                <o:lock v:ext="edit" aspectratio="f"/>
              </v:line>
            </w:pict>
          </mc:Fallback>
        </mc:AlternateContent>
      </w:r>
    </w:p>
    <w:p>
      <w:pPr>
        <w:pStyle w:val="11"/>
        <w:spacing w:beforeLines="50"/>
        <w:jc w:val="center"/>
        <w:rPr>
          <w:rFonts w:ascii="Times New Roman" w:hAnsi="Times New Roman" w:eastAsia="宋体" w:cs="Times New Roman"/>
          <w:color w:val="auto"/>
          <w:shd w:val="clear" w:color="auto" w:fill="auto"/>
        </w:rPr>
      </w:pPr>
    </w:p>
    <w:p>
      <w:pPr>
        <w:pStyle w:val="11"/>
        <w:spacing w:beforeLines="50"/>
        <w:jc w:val="center"/>
        <w:rPr>
          <w:rFonts w:ascii="Times New Roman" w:hAnsi="Times New Roman" w:eastAsia="宋体" w:cs="Times New Roman"/>
          <w:color w:val="auto"/>
          <w:sz w:val="28"/>
          <w:szCs w:val="28"/>
          <w:shd w:val="clear" w:color="auto" w:fill="auto"/>
        </w:rPr>
      </w:pPr>
      <w:r>
        <w:rPr>
          <w:rFonts w:ascii="Times New Roman" w:hAnsi="宋体" w:eastAsia="宋体" w:cs="Times New Roman"/>
          <w:color w:val="auto"/>
          <w:sz w:val="28"/>
          <w:szCs w:val="28"/>
          <w:shd w:val="clear" w:color="auto" w:fill="auto"/>
        </w:rPr>
        <w:t>中国工程建设标准化协会标准</w:t>
      </w:r>
    </w:p>
    <w:p>
      <w:pPr>
        <w:pStyle w:val="11"/>
        <w:spacing w:beforeLines="50"/>
        <w:jc w:val="center"/>
        <w:rPr>
          <w:rFonts w:ascii="Times New Roman" w:hAnsi="Times New Roman" w:eastAsia="宋体" w:cs="Times New Roman"/>
          <w:color w:val="auto"/>
          <w:shd w:val="clear" w:color="auto" w:fill="auto"/>
        </w:rPr>
      </w:pPr>
    </w:p>
    <w:p>
      <w:pPr>
        <w:spacing w:line="360" w:lineRule="auto"/>
        <w:jc w:val="center"/>
        <w:rPr>
          <w:color w:val="auto"/>
          <w:sz w:val="44"/>
          <w:szCs w:val="44"/>
          <w:shd w:val="clear" w:color="auto" w:fill="auto"/>
        </w:rPr>
      </w:pPr>
      <w:r>
        <w:rPr>
          <w:rFonts w:hAnsi="宋体"/>
          <w:color w:val="auto"/>
          <w:sz w:val="44"/>
          <w:szCs w:val="44"/>
          <w:shd w:val="clear" w:color="auto" w:fill="auto"/>
        </w:rPr>
        <w:t>民用建筑数据采集标准</w:t>
      </w:r>
    </w:p>
    <w:p>
      <w:pPr>
        <w:pStyle w:val="11"/>
        <w:spacing w:beforeLines="50"/>
        <w:jc w:val="center"/>
        <w:rPr>
          <w:rFonts w:ascii="Times New Roman" w:hAnsi="Times New Roman" w:eastAsia="宋体" w:cs="Times New Roman"/>
          <w:color w:val="auto"/>
          <w:kern w:val="0"/>
          <w:sz w:val="28"/>
          <w:szCs w:val="28"/>
          <w:shd w:val="clear" w:color="auto" w:fill="auto"/>
        </w:rPr>
      </w:pPr>
      <w:r>
        <w:rPr>
          <w:rFonts w:ascii="Times New Roman" w:hAnsi="Times New Roman" w:eastAsia="宋体" w:cs="Times New Roman"/>
          <w:color w:val="auto"/>
          <w:kern w:val="0"/>
          <w:sz w:val="28"/>
          <w:szCs w:val="28"/>
          <w:shd w:val="clear" w:color="auto" w:fill="auto"/>
        </w:rPr>
        <w:t>Standard for Data acquisition in civil buildings</w:t>
      </w:r>
    </w:p>
    <w:p>
      <w:pPr>
        <w:autoSpaceDE w:val="0"/>
        <w:autoSpaceDN w:val="0"/>
        <w:snapToGrid w:val="0"/>
        <w:spacing w:line="300" w:lineRule="auto"/>
        <w:jc w:val="center"/>
        <w:textAlignment w:val="bottom"/>
        <w:rPr>
          <w:color w:val="auto"/>
          <w:sz w:val="32"/>
          <w:szCs w:val="72"/>
          <w:shd w:val="clear" w:color="auto" w:fill="auto"/>
        </w:rPr>
      </w:pPr>
    </w:p>
    <w:p>
      <w:pPr>
        <w:autoSpaceDE w:val="0"/>
        <w:autoSpaceDN w:val="0"/>
        <w:snapToGrid w:val="0"/>
        <w:spacing w:line="300" w:lineRule="auto"/>
        <w:jc w:val="center"/>
        <w:textAlignment w:val="bottom"/>
        <w:rPr>
          <w:color w:val="auto"/>
          <w:kern w:val="2"/>
          <w:sz w:val="32"/>
          <w:szCs w:val="72"/>
          <w:shd w:val="clear" w:color="auto" w:fill="auto"/>
        </w:rPr>
      </w:pPr>
      <w:r>
        <w:rPr>
          <w:rFonts w:hAnsi="宋体"/>
          <w:color w:val="auto"/>
          <w:kern w:val="2"/>
          <w:sz w:val="32"/>
          <w:szCs w:val="72"/>
          <w:shd w:val="clear" w:color="auto" w:fill="auto"/>
        </w:rPr>
        <w:t>（征求意见稿）</w:t>
      </w:r>
    </w:p>
    <w:p>
      <w:pPr>
        <w:pStyle w:val="11"/>
        <w:spacing w:beforeLines="50"/>
        <w:ind w:left="1751" w:leftChars="258" w:hanging="1209" w:hangingChars="576"/>
        <w:rPr>
          <w:rFonts w:ascii="Times New Roman" w:hAnsi="Times New Roman" w:eastAsia="宋体" w:cs="Times New Roman"/>
          <w:color w:val="auto"/>
          <w:shd w:val="clear" w:color="auto" w:fill="auto"/>
        </w:rPr>
      </w:pPr>
    </w:p>
    <w:p>
      <w:pPr>
        <w:pStyle w:val="11"/>
        <w:spacing w:beforeLines="50"/>
        <w:jc w:val="center"/>
        <w:rPr>
          <w:rFonts w:ascii="Times New Roman" w:hAnsi="Times New Roman" w:eastAsia="宋体" w:cs="Times New Roman"/>
          <w:color w:val="auto"/>
          <w:shd w:val="clear" w:color="auto" w:fill="auto"/>
        </w:rPr>
      </w:pPr>
    </w:p>
    <w:p>
      <w:pPr>
        <w:pStyle w:val="11"/>
        <w:spacing w:beforeLines="50"/>
        <w:jc w:val="center"/>
        <w:rPr>
          <w:rFonts w:ascii="Times New Roman" w:hAnsi="Times New Roman" w:eastAsia="宋体" w:cs="Times New Roman"/>
          <w:color w:val="auto"/>
          <w:shd w:val="clear" w:color="auto" w:fill="auto"/>
        </w:rPr>
      </w:pPr>
      <w:r>
        <w:rPr>
          <w:rFonts w:ascii="Times New Roman" w:hAnsi="Times New Roman" w:eastAsia="宋体" w:cs="Times New Roman"/>
          <w:color w:val="auto"/>
          <w:shd w:val="clear" w:color="auto" w:fill="auto"/>
        </w:rPr>
        <w:t xml:space="preserve"> </w:t>
      </w:r>
    </w:p>
    <w:p>
      <w:pPr>
        <w:pStyle w:val="11"/>
        <w:spacing w:beforeLines="50"/>
        <w:jc w:val="center"/>
        <w:rPr>
          <w:rFonts w:ascii="Times New Roman" w:hAnsi="Times New Roman" w:eastAsia="宋体" w:cs="Times New Roman"/>
          <w:color w:val="auto"/>
          <w:shd w:val="clear" w:color="auto" w:fill="auto"/>
        </w:rPr>
      </w:pPr>
    </w:p>
    <w:p>
      <w:pPr>
        <w:pStyle w:val="11"/>
        <w:spacing w:beforeLines="50"/>
        <w:jc w:val="center"/>
        <w:rPr>
          <w:rFonts w:ascii="Times New Roman" w:hAnsi="Times New Roman" w:eastAsia="宋体" w:cs="Times New Roman"/>
          <w:color w:val="auto"/>
          <w:shd w:val="clear" w:color="auto" w:fill="auto"/>
        </w:rPr>
      </w:pPr>
    </w:p>
    <w:p>
      <w:pPr>
        <w:pStyle w:val="11"/>
        <w:spacing w:beforeLines="50"/>
        <w:jc w:val="center"/>
        <w:rPr>
          <w:rFonts w:ascii="Times New Roman" w:hAnsi="Times New Roman" w:eastAsia="宋体" w:cs="Times New Roman"/>
          <w:color w:val="auto"/>
          <w:shd w:val="clear" w:color="auto" w:fill="auto"/>
        </w:rPr>
      </w:pPr>
    </w:p>
    <w:p>
      <w:pPr>
        <w:pStyle w:val="11"/>
        <w:spacing w:beforeLines="50"/>
        <w:jc w:val="center"/>
        <w:rPr>
          <w:rFonts w:ascii="Times New Roman" w:hAnsi="Times New Roman" w:eastAsia="宋体" w:cs="Times New Roman"/>
          <w:color w:val="auto"/>
          <w:shd w:val="clear" w:color="auto" w:fill="auto"/>
        </w:rPr>
      </w:pPr>
    </w:p>
    <w:p>
      <w:pPr>
        <w:pStyle w:val="11"/>
        <w:spacing w:beforeLines="50"/>
        <w:jc w:val="center"/>
        <w:rPr>
          <w:rFonts w:ascii="Times New Roman" w:hAnsi="Times New Roman" w:eastAsia="宋体" w:cs="Times New Roman"/>
          <w:color w:val="auto"/>
          <w:shd w:val="clear" w:color="auto" w:fill="auto"/>
        </w:rPr>
      </w:pPr>
    </w:p>
    <w:p>
      <w:pPr>
        <w:pStyle w:val="11"/>
        <w:spacing w:beforeLines="50"/>
        <w:jc w:val="center"/>
        <w:rPr>
          <w:rFonts w:ascii="Times New Roman" w:hAnsi="Times New Roman" w:eastAsia="宋体" w:cs="Times New Roman"/>
          <w:color w:val="auto"/>
          <w:shd w:val="clear" w:color="auto" w:fill="auto"/>
        </w:rPr>
      </w:pPr>
    </w:p>
    <w:p>
      <w:pPr>
        <w:pStyle w:val="11"/>
        <w:spacing w:beforeLines="50"/>
        <w:jc w:val="center"/>
        <w:rPr>
          <w:rFonts w:ascii="Times New Roman" w:hAnsi="Times New Roman" w:eastAsia="宋体" w:cs="Times New Roman"/>
          <w:color w:val="auto"/>
          <w:shd w:val="clear" w:color="auto" w:fill="auto"/>
        </w:rPr>
      </w:pPr>
    </w:p>
    <w:p>
      <w:pPr>
        <w:pStyle w:val="11"/>
        <w:spacing w:beforeLines="50"/>
        <w:jc w:val="center"/>
        <w:rPr>
          <w:rFonts w:ascii="Times New Roman" w:hAnsi="Times New Roman" w:eastAsia="宋体" w:cs="Times New Roman"/>
          <w:color w:val="auto"/>
          <w:shd w:val="clear" w:color="auto" w:fill="auto"/>
        </w:rPr>
      </w:pPr>
    </w:p>
    <w:p>
      <w:pPr>
        <w:pStyle w:val="11"/>
        <w:spacing w:beforeLines="50"/>
        <w:jc w:val="center"/>
        <w:rPr>
          <w:rFonts w:ascii="Times New Roman" w:hAnsi="Times New Roman" w:eastAsia="宋体" w:cs="Times New Roman"/>
          <w:color w:val="auto"/>
          <w:shd w:val="clear" w:color="auto" w:fill="auto"/>
        </w:rPr>
      </w:pPr>
    </w:p>
    <w:p>
      <w:pPr>
        <w:pStyle w:val="11"/>
        <w:spacing w:beforeLines="50"/>
        <w:rPr>
          <w:rFonts w:ascii="Times New Roman" w:hAnsi="Times New Roman" w:eastAsia="宋体" w:cs="Times New Roman"/>
          <w:color w:val="auto"/>
          <w:shd w:val="clear" w:color="auto" w:fill="auto"/>
        </w:rPr>
      </w:pPr>
    </w:p>
    <w:p>
      <w:pPr>
        <w:pStyle w:val="11"/>
        <w:spacing w:beforeLines="50"/>
        <w:jc w:val="center"/>
        <w:rPr>
          <w:rFonts w:ascii="Times New Roman" w:hAnsi="Times New Roman" w:eastAsia="宋体" w:cs="Times New Roman"/>
          <w:color w:val="auto"/>
          <w:sz w:val="28"/>
          <w:szCs w:val="28"/>
          <w:shd w:val="clear" w:color="auto" w:fill="auto"/>
        </w:rPr>
        <w:sectPr>
          <w:headerReference r:id="rId3" w:type="default"/>
          <w:footerReference r:id="rId4" w:type="even"/>
          <w:pgSz w:w="11906" w:h="16838"/>
          <w:pgMar w:top="1440" w:right="1418" w:bottom="1440" w:left="1418" w:header="851" w:footer="992" w:gutter="0"/>
          <w:pgNumType w:fmt="upperRoman" w:start="1"/>
          <w:cols w:space="720" w:num="1"/>
          <w:docGrid w:type="lines" w:linePitch="312" w:charSpace="0"/>
        </w:sectPr>
      </w:pPr>
      <w:r>
        <w:rPr>
          <w:rFonts w:ascii="Times New Roman" w:hAnsi="Times New Roman" w:eastAsia="宋体" w:cs="Times New Roman"/>
          <w:color w:val="auto"/>
          <w:sz w:val="28"/>
          <w:szCs w:val="28"/>
          <w:shd w:val="clear" w:color="auto" w:fill="auto"/>
        </w:rPr>
        <w:t>2021</w:t>
      </w:r>
      <w:r>
        <w:rPr>
          <w:rFonts w:hint="eastAsia" w:ascii="Times New Roman" w:hAnsi="Times New Roman" w:eastAsia="宋体" w:cs="Times New Roman"/>
          <w:color w:val="auto"/>
          <w:sz w:val="28"/>
          <w:szCs w:val="28"/>
          <w:shd w:val="clear" w:color="auto" w:fill="auto"/>
        </w:rPr>
        <w:t>年11月</w:t>
      </w:r>
    </w:p>
    <w:p>
      <w:pPr>
        <w:pStyle w:val="11"/>
        <w:spacing w:beforeLines="50"/>
        <w:jc w:val="center"/>
        <w:rPr>
          <w:rFonts w:ascii="Times New Roman" w:hAnsi="宋体" w:eastAsia="宋体" w:cs="Times New Roman"/>
          <w:b/>
          <w:bCs/>
          <w:color w:val="auto"/>
          <w:sz w:val="28"/>
          <w:szCs w:val="28"/>
          <w:shd w:val="clear" w:color="auto" w:fill="auto"/>
        </w:rPr>
      </w:pPr>
    </w:p>
    <w:p>
      <w:pPr>
        <w:pStyle w:val="11"/>
        <w:spacing w:beforeLines="50"/>
        <w:jc w:val="center"/>
        <w:rPr>
          <w:rFonts w:ascii="Times New Roman" w:hAnsi="宋体" w:eastAsia="宋体" w:cs="Times New Roman"/>
          <w:b/>
          <w:bCs/>
          <w:color w:val="auto"/>
          <w:sz w:val="28"/>
          <w:szCs w:val="28"/>
          <w:shd w:val="clear" w:color="auto" w:fill="auto"/>
        </w:rPr>
      </w:pPr>
    </w:p>
    <w:p>
      <w:pPr>
        <w:pStyle w:val="11"/>
        <w:spacing w:beforeLines="50"/>
        <w:jc w:val="center"/>
        <w:rPr>
          <w:rFonts w:ascii="Times New Roman" w:hAnsi="宋体" w:eastAsia="宋体" w:cs="Times New Roman"/>
          <w:b/>
          <w:bCs/>
          <w:color w:val="auto"/>
          <w:sz w:val="28"/>
          <w:szCs w:val="28"/>
          <w:shd w:val="clear" w:color="auto" w:fill="auto"/>
        </w:rPr>
      </w:pPr>
    </w:p>
    <w:p>
      <w:pPr>
        <w:pStyle w:val="11"/>
        <w:spacing w:beforeLines="50"/>
        <w:jc w:val="center"/>
        <w:rPr>
          <w:rFonts w:ascii="Times New Roman" w:hAnsi="Times New Roman" w:eastAsia="宋体" w:cs="Times New Roman"/>
          <w:b/>
          <w:bCs/>
          <w:color w:val="auto"/>
          <w:sz w:val="28"/>
          <w:szCs w:val="28"/>
          <w:shd w:val="clear" w:color="auto" w:fill="auto"/>
        </w:rPr>
      </w:pPr>
      <w:r>
        <w:rPr>
          <w:rFonts w:ascii="Times New Roman" w:hAnsi="宋体" w:eastAsia="宋体" w:cs="Times New Roman"/>
          <w:b/>
          <w:bCs/>
          <w:color w:val="auto"/>
          <w:sz w:val="28"/>
          <w:szCs w:val="28"/>
          <w:shd w:val="clear" w:color="auto" w:fill="auto"/>
        </w:rPr>
        <w:t>中国工程建设标准化协会标准</w:t>
      </w:r>
    </w:p>
    <w:p>
      <w:pPr>
        <w:jc w:val="center"/>
        <w:rPr>
          <w:color w:val="auto"/>
          <w:sz w:val="44"/>
          <w:szCs w:val="44"/>
          <w:shd w:val="clear" w:color="auto" w:fill="auto"/>
        </w:rPr>
      </w:pPr>
    </w:p>
    <w:p>
      <w:pPr>
        <w:spacing w:line="360" w:lineRule="auto"/>
        <w:jc w:val="center"/>
        <w:rPr>
          <w:color w:val="auto"/>
          <w:kern w:val="2"/>
          <w:sz w:val="44"/>
          <w:szCs w:val="44"/>
          <w:shd w:val="clear" w:color="auto" w:fill="auto"/>
        </w:rPr>
      </w:pPr>
      <w:r>
        <w:rPr>
          <w:rFonts w:hAnsi="宋体"/>
          <w:color w:val="auto"/>
          <w:kern w:val="2"/>
          <w:sz w:val="44"/>
          <w:szCs w:val="44"/>
          <w:shd w:val="clear" w:color="auto" w:fill="auto"/>
        </w:rPr>
        <w:t>民用建筑数据采集标准</w:t>
      </w:r>
    </w:p>
    <w:p>
      <w:pPr>
        <w:jc w:val="center"/>
        <w:rPr>
          <w:color w:val="auto"/>
          <w:kern w:val="2"/>
          <w:sz w:val="28"/>
          <w:szCs w:val="28"/>
          <w:shd w:val="clear" w:color="auto" w:fill="auto"/>
        </w:rPr>
      </w:pPr>
      <w:r>
        <w:rPr>
          <w:color w:val="auto"/>
          <w:kern w:val="2"/>
          <w:sz w:val="28"/>
          <w:szCs w:val="28"/>
          <w:shd w:val="clear" w:color="auto" w:fill="auto"/>
        </w:rPr>
        <w:t>Standard for Data acquisition in civil buildings</w:t>
      </w:r>
    </w:p>
    <w:p>
      <w:pPr>
        <w:jc w:val="center"/>
        <w:rPr>
          <w:color w:val="auto"/>
          <w:shd w:val="clear" w:color="auto" w:fill="auto"/>
        </w:rPr>
      </w:pPr>
    </w:p>
    <w:p>
      <w:pPr>
        <w:jc w:val="center"/>
        <w:rPr>
          <w:color w:val="auto"/>
          <w:sz w:val="28"/>
          <w:szCs w:val="28"/>
          <w:shd w:val="clear" w:color="auto" w:fill="auto"/>
        </w:rPr>
      </w:pPr>
      <w:r>
        <w:rPr>
          <w:rFonts w:hint="eastAsia"/>
          <w:color w:val="auto"/>
          <w:sz w:val="28"/>
          <w:szCs w:val="28"/>
          <w:shd w:val="clear" w:color="auto" w:fill="auto"/>
        </w:rPr>
        <w:t>CECS XXX：202X</w:t>
      </w:r>
    </w:p>
    <w:p>
      <w:pPr>
        <w:ind w:firstLine="1400" w:firstLineChars="500"/>
        <w:rPr>
          <w:color w:val="auto"/>
          <w:sz w:val="28"/>
          <w:szCs w:val="28"/>
          <w:shd w:val="clear" w:color="auto" w:fill="auto"/>
        </w:rPr>
      </w:pPr>
    </w:p>
    <w:p>
      <w:pPr>
        <w:ind w:firstLine="1400" w:firstLineChars="500"/>
        <w:rPr>
          <w:color w:val="auto"/>
          <w:sz w:val="28"/>
          <w:szCs w:val="28"/>
          <w:shd w:val="clear" w:color="auto" w:fill="auto"/>
        </w:rPr>
      </w:pPr>
    </w:p>
    <w:p>
      <w:pPr>
        <w:ind w:firstLine="1400" w:firstLineChars="500"/>
        <w:rPr>
          <w:rFonts w:hAnsi="宋体"/>
          <w:color w:val="auto"/>
          <w:sz w:val="28"/>
          <w:szCs w:val="28"/>
          <w:shd w:val="clear" w:color="auto" w:fill="auto"/>
        </w:rPr>
      </w:pPr>
      <w:r>
        <w:rPr>
          <w:rFonts w:hAnsi="宋体"/>
          <w:color w:val="auto"/>
          <w:sz w:val="28"/>
          <w:szCs w:val="28"/>
          <w:shd w:val="clear" w:color="auto" w:fill="auto"/>
        </w:rPr>
        <w:t>主编单位：住房和城乡建设部科技与产业化发展中心</w:t>
      </w:r>
    </w:p>
    <w:p>
      <w:pPr>
        <w:ind w:firstLine="1400" w:firstLineChars="500"/>
        <w:rPr>
          <w:rFonts w:hAnsi="宋体"/>
          <w:color w:val="auto"/>
          <w:sz w:val="28"/>
          <w:szCs w:val="28"/>
          <w:shd w:val="clear" w:color="auto" w:fill="auto"/>
        </w:rPr>
      </w:pPr>
      <w:r>
        <w:rPr>
          <w:rFonts w:hint="eastAsia" w:hAnsi="宋体"/>
          <w:color w:val="auto"/>
          <w:sz w:val="28"/>
          <w:szCs w:val="28"/>
          <w:shd w:val="clear" w:color="auto" w:fill="auto"/>
        </w:rPr>
        <w:t xml:space="preserve">          自然资源部城乡规划管理中心</w:t>
      </w:r>
    </w:p>
    <w:p>
      <w:pPr>
        <w:ind w:firstLine="1400" w:firstLineChars="500"/>
        <w:rPr>
          <w:color w:val="auto"/>
          <w:sz w:val="28"/>
          <w:szCs w:val="28"/>
          <w:shd w:val="clear" w:color="auto" w:fill="auto"/>
        </w:rPr>
      </w:pPr>
      <w:r>
        <w:rPr>
          <w:rFonts w:hAnsi="宋体"/>
          <w:color w:val="auto"/>
          <w:sz w:val="28"/>
          <w:szCs w:val="28"/>
          <w:shd w:val="clear" w:color="auto" w:fill="auto"/>
        </w:rPr>
        <w:t>批准单位：中国工程建设标准化协会</w:t>
      </w:r>
    </w:p>
    <w:p>
      <w:pPr>
        <w:ind w:firstLine="1400" w:firstLineChars="500"/>
        <w:rPr>
          <w:color w:val="auto"/>
          <w:sz w:val="28"/>
          <w:szCs w:val="28"/>
          <w:shd w:val="clear" w:color="auto" w:fill="auto"/>
        </w:rPr>
      </w:pPr>
      <w:r>
        <w:rPr>
          <w:rFonts w:hAnsi="宋体"/>
          <w:color w:val="auto"/>
          <w:sz w:val="28"/>
          <w:szCs w:val="28"/>
          <w:shd w:val="clear" w:color="auto" w:fill="auto"/>
        </w:rPr>
        <w:t>施行日期：</w:t>
      </w:r>
      <w:r>
        <w:rPr>
          <w:color w:val="auto"/>
          <w:sz w:val="28"/>
          <w:szCs w:val="28"/>
          <w:shd w:val="clear" w:color="auto" w:fill="auto"/>
        </w:rPr>
        <w:t xml:space="preserve"> </w:t>
      </w:r>
    </w:p>
    <w:p>
      <w:pPr>
        <w:rPr>
          <w:color w:val="auto"/>
          <w:sz w:val="28"/>
          <w:szCs w:val="28"/>
          <w:shd w:val="clear" w:color="auto" w:fill="auto"/>
        </w:rPr>
      </w:pPr>
    </w:p>
    <w:p>
      <w:pPr>
        <w:rPr>
          <w:color w:val="auto"/>
          <w:sz w:val="28"/>
          <w:szCs w:val="28"/>
          <w:shd w:val="clear" w:color="auto" w:fill="auto"/>
        </w:rPr>
      </w:pPr>
    </w:p>
    <w:p>
      <w:pPr>
        <w:rPr>
          <w:color w:val="auto"/>
          <w:sz w:val="28"/>
          <w:szCs w:val="28"/>
          <w:shd w:val="clear" w:color="auto" w:fill="auto"/>
        </w:rPr>
      </w:pPr>
    </w:p>
    <w:p>
      <w:pPr>
        <w:rPr>
          <w:color w:val="auto"/>
          <w:sz w:val="28"/>
          <w:szCs w:val="28"/>
          <w:shd w:val="clear" w:color="auto" w:fill="auto"/>
        </w:rPr>
      </w:pPr>
    </w:p>
    <w:p>
      <w:pPr>
        <w:jc w:val="center"/>
        <w:rPr>
          <w:rFonts w:eastAsia="仿宋_GB2312"/>
          <w:color w:val="auto"/>
          <w:sz w:val="24"/>
          <w:shd w:val="clear" w:color="auto" w:fill="auto"/>
        </w:rPr>
      </w:pPr>
      <w:r>
        <w:rPr>
          <w:rFonts w:hint="eastAsia" w:eastAsia="黑体"/>
          <w:color w:val="auto"/>
          <w:shd w:val="clear" w:color="auto" w:fill="auto"/>
        </w:rPr>
        <w:t>×××出版社</w:t>
      </w:r>
    </w:p>
    <w:p>
      <w:pPr>
        <w:jc w:val="center"/>
        <w:rPr>
          <w:rFonts w:eastAsia="黑体"/>
          <w:color w:val="auto"/>
          <w:shd w:val="clear" w:color="auto" w:fill="auto"/>
        </w:rPr>
      </w:pPr>
    </w:p>
    <w:p>
      <w:pPr>
        <w:jc w:val="center"/>
        <w:rPr>
          <w:color w:val="auto"/>
          <w:sz w:val="28"/>
          <w:szCs w:val="28"/>
          <w:shd w:val="clear" w:color="auto" w:fill="auto"/>
        </w:rPr>
      </w:pPr>
      <w:r>
        <w:rPr>
          <w:rFonts w:hint="eastAsia" w:eastAsia="黑体"/>
          <w:color w:val="auto"/>
          <w:shd w:val="clear" w:color="auto" w:fill="auto"/>
        </w:rPr>
        <w:t>202×  北  京</w:t>
      </w:r>
    </w:p>
    <w:p>
      <w:pPr>
        <w:widowControl/>
        <w:jc w:val="left"/>
        <w:rPr>
          <w:color w:val="auto"/>
          <w:kern w:val="2"/>
          <w:sz w:val="32"/>
          <w:szCs w:val="32"/>
          <w:shd w:val="clear" w:color="auto" w:fill="auto"/>
        </w:rPr>
      </w:pPr>
      <w:r>
        <w:rPr>
          <w:color w:val="auto"/>
          <w:kern w:val="2"/>
          <w:sz w:val="32"/>
          <w:szCs w:val="32"/>
          <w:shd w:val="clear" w:color="auto" w:fill="auto"/>
        </w:rPr>
        <w:br w:type="page"/>
      </w:r>
    </w:p>
    <w:p>
      <w:pPr>
        <w:tabs>
          <w:tab w:val="center" w:pos="4156"/>
        </w:tabs>
        <w:rPr>
          <w:color w:val="auto"/>
          <w:sz w:val="28"/>
          <w:szCs w:val="28"/>
          <w:shd w:val="clear" w:color="auto" w:fill="auto"/>
        </w:rPr>
        <w:sectPr>
          <w:footerReference r:id="rId5" w:type="default"/>
          <w:footerReference r:id="rId6" w:type="even"/>
          <w:pgSz w:w="11907" w:h="16840"/>
          <w:pgMar w:top="1440" w:right="1797" w:bottom="1440" w:left="1797" w:header="851" w:footer="992" w:gutter="0"/>
          <w:pgNumType w:fmt="upperRoman" w:start="1"/>
          <w:cols w:space="720" w:num="1"/>
          <w:docGrid w:type="lines" w:linePitch="312" w:charSpace="0"/>
        </w:sectPr>
      </w:pPr>
    </w:p>
    <w:p>
      <w:pPr>
        <w:spacing w:line="360" w:lineRule="auto"/>
        <w:jc w:val="center"/>
        <w:rPr>
          <w:rFonts w:ascii="宋体" w:hAnsi="宋体"/>
          <w:b/>
          <w:color w:val="auto"/>
          <w:kern w:val="2"/>
          <w:sz w:val="32"/>
          <w:szCs w:val="32"/>
          <w:shd w:val="clear" w:color="auto" w:fill="auto"/>
        </w:rPr>
      </w:pPr>
      <w:r>
        <w:rPr>
          <w:rFonts w:ascii="宋体" w:hAnsi="宋体"/>
          <w:b/>
          <w:color w:val="auto"/>
          <w:kern w:val="2"/>
          <w:sz w:val="32"/>
          <w:szCs w:val="32"/>
          <w:shd w:val="clear" w:color="auto" w:fill="auto"/>
        </w:rPr>
        <w:t>前  言</w:t>
      </w:r>
    </w:p>
    <w:p>
      <w:pPr>
        <w:spacing w:line="360" w:lineRule="auto"/>
        <w:ind w:firstLine="480" w:firstLineChars="200"/>
        <w:rPr>
          <w:bCs/>
          <w:color w:val="auto"/>
          <w:sz w:val="24"/>
          <w:szCs w:val="24"/>
          <w:shd w:val="clear" w:color="auto" w:fill="auto"/>
        </w:rPr>
      </w:pPr>
      <w:r>
        <w:rPr>
          <w:rFonts w:hAnsi="宋体"/>
          <w:bCs/>
          <w:color w:val="auto"/>
          <w:sz w:val="24"/>
          <w:szCs w:val="24"/>
          <w:shd w:val="clear" w:color="auto" w:fill="auto"/>
        </w:rPr>
        <w:t>根据中国工程建设标准化协会《关于印发</w:t>
      </w:r>
      <w:r>
        <w:rPr>
          <w:bCs/>
          <w:color w:val="auto"/>
          <w:sz w:val="24"/>
          <w:szCs w:val="24"/>
          <w:shd w:val="clear" w:color="auto" w:fill="auto"/>
        </w:rPr>
        <w:t>&lt;2019</w:t>
      </w:r>
      <w:r>
        <w:rPr>
          <w:rFonts w:hAnsi="宋体"/>
          <w:bCs/>
          <w:color w:val="auto"/>
          <w:sz w:val="24"/>
          <w:szCs w:val="24"/>
          <w:shd w:val="clear" w:color="auto" w:fill="auto"/>
        </w:rPr>
        <w:t>年第一批协会标准制订、修订计划</w:t>
      </w:r>
      <w:r>
        <w:rPr>
          <w:bCs/>
          <w:color w:val="auto"/>
          <w:sz w:val="24"/>
          <w:szCs w:val="24"/>
          <w:shd w:val="clear" w:color="auto" w:fill="auto"/>
        </w:rPr>
        <w:t>&gt;</w:t>
      </w:r>
      <w:r>
        <w:rPr>
          <w:rFonts w:hAnsi="宋体"/>
          <w:bCs/>
          <w:color w:val="auto"/>
          <w:sz w:val="24"/>
          <w:szCs w:val="24"/>
          <w:shd w:val="clear" w:color="auto" w:fill="auto"/>
        </w:rPr>
        <w:t>的通知》（建标协字</w:t>
      </w:r>
      <w:r>
        <w:rPr>
          <w:bCs/>
          <w:color w:val="auto"/>
          <w:sz w:val="24"/>
          <w:szCs w:val="24"/>
          <w:shd w:val="clear" w:color="auto" w:fill="auto"/>
        </w:rPr>
        <w:t>[2019]012</w:t>
      </w:r>
      <w:r>
        <w:rPr>
          <w:rFonts w:hAnsi="宋体"/>
          <w:bCs/>
          <w:color w:val="auto"/>
          <w:sz w:val="24"/>
          <w:szCs w:val="24"/>
          <w:shd w:val="clear" w:color="auto" w:fill="auto"/>
        </w:rPr>
        <w:t>号）的要求，本标准编制组经深入调查研究、广泛收集资料、认真总结经验，参考国内外有关标准，并在广泛征求意见的基础上，制定本标准。</w:t>
      </w:r>
    </w:p>
    <w:p>
      <w:pPr>
        <w:spacing w:line="360" w:lineRule="auto"/>
        <w:ind w:firstLine="480" w:firstLineChars="200"/>
        <w:rPr>
          <w:bCs/>
          <w:color w:val="auto"/>
          <w:sz w:val="24"/>
          <w:szCs w:val="24"/>
          <w:shd w:val="clear" w:color="auto" w:fill="auto"/>
        </w:rPr>
      </w:pPr>
      <w:r>
        <w:rPr>
          <w:rFonts w:hAnsi="宋体"/>
          <w:bCs/>
          <w:color w:val="auto"/>
          <w:sz w:val="24"/>
          <w:szCs w:val="24"/>
          <w:shd w:val="clear" w:color="auto" w:fill="auto"/>
        </w:rPr>
        <w:t>本标准的主要技术内容包括：</w:t>
      </w:r>
      <w:r>
        <w:rPr>
          <w:bCs/>
          <w:color w:val="auto"/>
          <w:sz w:val="24"/>
          <w:szCs w:val="24"/>
          <w:shd w:val="clear" w:color="auto" w:fill="auto"/>
        </w:rPr>
        <w:t xml:space="preserve"> </w:t>
      </w:r>
      <w:r>
        <w:rPr>
          <w:rFonts w:hAnsi="宋体"/>
          <w:bCs/>
          <w:color w:val="auto"/>
          <w:sz w:val="24"/>
          <w:szCs w:val="24"/>
          <w:shd w:val="clear" w:color="auto" w:fill="auto"/>
        </w:rPr>
        <w:t>总则、术语、采集渠道和来源、采集内容、采集过程、数据采集手段和数据处理要求。</w:t>
      </w:r>
    </w:p>
    <w:p>
      <w:pPr>
        <w:spacing w:line="360" w:lineRule="auto"/>
        <w:ind w:firstLine="480" w:firstLineChars="200"/>
        <w:rPr>
          <w:bCs/>
          <w:color w:val="auto"/>
          <w:sz w:val="24"/>
          <w:szCs w:val="24"/>
          <w:shd w:val="clear" w:color="auto" w:fill="auto"/>
        </w:rPr>
      </w:pPr>
      <w:r>
        <w:rPr>
          <w:rFonts w:hAnsi="宋体"/>
          <w:bCs/>
          <w:color w:val="auto"/>
          <w:sz w:val="24"/>
          <w:szCs w:val="24"/>
          <w:shd w:val="clear" w:color="auto" w:fill="auto"/>
        </w:rPr>
        <w:t>本标准由中国工程建设标准化协会绿色建筑与生态城区分会归口管理，由住房和城乡建设部科技与产业化发展中心负责具体技术内容的解释。执行过程中如有意见或建议，请寄送住房和城乡建设部科技与产业化发展中心（地址：北京市海淀区三里河路</w:t>
      </w:r>
      <w:r>
        <w:rPr>
          <w:bCs/>
          <w:color w:val="auto"/>
          <w:sz w:val="24"/>
          <w:szCs w:val="24"/>
          <w:shd w:val="clear" w:color="auto" w:fill="auto"/>
        </w:rPr>
        <w:t>9</w:t>
      </w:r>
      <w:r>
        <w:rPr>
          <w:rFonts w:hAnsi="宋体"/>
          <w:bCs/>
          <w:color w:val="auto"/>
          <w:sz w:val="24"/>
          <w:szCs w:val="24"/>
          <w:shd w:val="clear" w:color="auto" w:fill="auto"/>
        </w:rPr>
        <w:t>号，邮政编码：</w:t>
      </w:r>
      <w:r>
        <w:rPr>
          <w:bCs/>
          <w:color w:val="auto"/>
          <w:sz w:val="24"/>
          <w:szCs w:val="24"/>
          <w:shd w:val="clear" w:color="auto" w:fill="auto"/>
        </w:rPr>
        <w:t>100013</w:t>
      </w:r>
      <w:r>
        <w:rPr>
          <w:rFonts w:hAnsi="宋体"/>
          <w:bCs/>
          <w:color w:val="auto"/>
          <w:sz w:val="24"/>
          <w:szCs w:val="24"/>
          <w:shd w:val="clear" w:color="auto" w:fill="auto"/>
        </w:rPr>
        <w:t>）</w:t>
      </w:r>
    </w:p>
    <w:p>
      <w:pPr>
        <w:spacing w:line="360" w:lineRule="auto"/>
        <w:ind w:firstLine="480" w:firstLineChars="200"/>
        <w:rPr>
          <w:rFonts w:hAnsi="宋体"/>
          <w:color w:val="auto"/>
          <w:sz w:val="24"/>
          <w:szCs w:val="24"/>
          <w:shd w:val="clear" w:color="auto" w:fill="auto"/>
        </w:rPr>
      </w:pPr>
      <w:r>
        <w:rPr>
          <w:rFonts w:hAnsi="宋体"/>
          <w:color w:val="auto"/>
          <w:sz w:val="24"/>
          <w:szCs w:val="24"/>
          <w:shd w:val="clear" w:color="auto" w:fill="auto"/>
        </w:rPr>
        <w:t>主编单位：住房和城乡建设部科技与产业化发展中心</w:t>
      </w:r>
    </w:p>
    <w:p>
      <w:pPr>
        <w:spacing w:line="360" w:lineRule="auto"/>
        <w:ind w:firstLine="1680" w:firstLineChars="700"/>
        <w:rPr>
          <w:rFonts w:hAnsi="宋体"/>
          <w:color w:val="auto"/>
          <w:sz w:val="24"/>
          <w:szCs w:val="24"/>
          <w:shd w:val="clear" w:color="auto" w:fill="auto"/>
        </w:rPr>
      </w:pPr>
      <w:r>
        <w:rPr>
          <w:rFonts w:hint="eastAsia" w:hAnsi="宋体"/>
          <w:color w:val="auto"/>
          <w:sz w:val="24"/>
          <w:szCs w:val="24"/>
          <w:shd w:val="clear" w:color="auto" w:fill="auto"/>
        </w:rPr>
        <w:t>自然资源部城乡规划管理中心</w:t>
      </w:r>
    </w:p>
    <w:p>
      <w:pPr>
        <w:spacing w:line="360" w:lineRule="auto"/>
        <w:ind w:firstLine="480" w:firstLineChars="200"/>
        <w:rPr>
          <w:bCs/>
          <w:color w:val="auto"/>
          <w:sz w:val="24"/>
          <w:szCs w:val="24"/>
          <w:shd w:val="clear" w:color="auto" w:fill="auto"/>
        </w:rPr>
      </w:pPr>
      <w:r>
        <w:rPr>
          <w:rFonts w:hAnsi="宋体"/>
          <w:bCs/>
          <w:color w:val="auto"/>
          <w:sz w:val="24"/>
          <w:szCs w:val="24"/>
          <w:shd w:val="clear" w:color="auto" w:fill="auto"/>
        </w:rPr>
        <w:t>参编单位：</w:t>
      </w:r>
      <w:r>
        <w:rPr>
          <w:bCs/>
          <w:color w:val="auto"/>
          <w:sz w:val="24"/>
          <w:szCs w:val="24"/>
          <w:shd w:val="clear" w:color="auto" w:fill="auto"/>
        </w:rPr>
        <w:t xml:space="preserve"> </w:t>
      </w:r>
    </w:p>
    <w:p>
      <w:pPr>
        <w:spacing w:line="360" w:lineRule="auto"/>
        <w:ind w:firstLine="480" w:firstLineChars="200"/>
        <w:rPr>
          <w:color w:val="auto"/>
          <w:sz w:val="24"/>
          <w:szCs w:val="24"/>
          <w:shd w:val="clear" w:color="auto" w:fill="auto"/>
        </w:rPr>
      </w:pPr>
      <w:r>
        <w:rPr>
          <w:rFonts w:hAnsi="宋体"/>
          <w:color w:val="auto"/>
          <w:sz w:val="24"/>
          <w:szCs w:val="24"/>
          <w:shd w:val="clear" w:color="auto" w:fill="auto"/>
        </w:rPr>
        <w:t>主要起草人员：</w:t>
      </w:r>
    </w:p>
    <w:p>
      <w:pPr>
        <w:spacing w:before="80" w:after="80" w:line="360" w:lineRule="auto"/>
        <w:ind w:right="210" w:firstLine="480" w:firstLineChars="200"/>
        <w:rPr>
          <w:rFonts w:hAnsi="宋体"/>
          <w:caps/>
          <w:color w:val="auto"/>
          <w:sz w:val="24"/>
          <w:szCs w:val="24"/>
          <w:shd w:val="clear" w:color="auto" w:fill="auto"/>
        </w:rPr>
        <w:sectPr>
          <w:footerReference r:id="rId7" w:type="default"/>
          <w:pgSz w:w="11906" w:h="16838"/>
          <w:pgMar w:top="1440" w:right="1800" w:bottom="1440" w:left="1800" w:header="851" w:footer="992" w:gutter="0"/>
          <w:pgNumType w:fmt="upperRoman" w:start="1"/>
          <w:cols w:space="425" w:num="1"/>
          <w:docGrid w:type="lines" w:linePitch="312" w:charSpace="0"/>
        </w:sectPr>
      </w:pPr>
      <w:r>
        <w:rPr>
          <w:rFonts w:hAnsi="宋体"/>
          <w:caps/>
          <w:color w:val="auto"/>
          <w:sz w:val="24"/>
          <w:szCs w:val="24"/>
          <w:shd w:val="clear" w:color="auto" w:fill="auto"/>
        </w:rPr>
        <w:t>主要审查人员：</w:t>
      </w:r>
    </w:p>
    <w:sdt>
      <w:sdtPr>
        <w:rPr>
          <w:rFonts w:ascii="宋体" w:hAnsi="宋体" w:eastAsiaTheme="minorEastAsia" w:cstheme="minorBidi"/>
          <w:color w:val="auto"/>
          <w:sz w:val="20"/>
          <w:szCs w:val="20"/>
          <w:shd w:val="clear" w:color="auto" w:fill="auto"/>
        </w:rPr>
        <w:id w:val="147451451"/>
        <w:docPartObj>
          <w:docPartGallery w:val="Table of Contents"/>
          <w:docPartUnique/>
        </w:docPartObj>
      </w:sdtPr>
      <w:sdtEndPr>
        <w:rPr>
          <w:rFonts w:ascii="宋体" w:hAnsi="宋体" w:eastAsiaTheme="minorEastAsia" w:cstheme="minorBidi"/>
          <w:b/>
          <w:color w:val="auto"/>
          <w:sz w:val="20"/>
          <w:szCs w:val="20"/>
          <w:shd w:val="clear" w:color="auto" w:fill="auto"/>
        </w:rPr>
      </w:sdtEndPr>
      <w:sdtContent>
        <w:p>
          <w:pPr>
            <w:jc w:val="center"/>
            <w:rPr>
              <w:color w:val="auto"/>
              <w:shd w:val="clear" w:color="auto" w:fill="auto"/>
            </w:rPr>
          </w:pPr>
          <w:r>
            <w:rPr>
              <w:rFonts w:ascii="宋体" w:hAnsi="宋体"/>
              <w:color w:val="auto"/>
              <w:shd w:val="clear" w:color="auto" w:fill="auto"/>
            </w:rPr>
            <w:t>目</w:t>
          </w:r>
          <w:r>
            <w:rPr>
              <w:rFonts w:hint="eastAsia" w:ascii="宋体" w:hAnsi="宋体"/>
              <w:color w:val="auto"/>
              <w:shd w:val="clear" w:color="auto" w:fill="auto"/>
            </w:rPr>
            <w:t xml:space="preserve">  次</w:t>
          </w:r>
        </w:p>
        <w:p>
          <w:pPr>
            <w:pStyle w:val="17"/>
            <w:tabs>
              <w:tab w:val="right" w:leader="dot" w:pos="8306"/>
              <w:tab w:val="clear" w:pos="630"/>
              <w:tab w:val="clear" w:pos="8296"/>
            </w:tabs>
            <w:rPr>
              <w:color w:val="auto"/>
            </w:rPr>
          </w:pPr>
          <w:r>
            <w:rPr>
              <w:color w:val="auto"/>
              <w:shd w:val="clear" w:color="auto" w:fill="auto"/>
            </w:rPr>
            <w:fldChar w:fldCharType="begin"/>
          </w:r>
          <w:r>
            <w:rPr>
              <w:color w:val="auto"/>
              <w:shd w:val="clear" w:color="auto" w:fill="auto"/>
            </w:rPr>
            <w:instrText xml:space="preserve">TOC \o "1-2" \h \u </w:instrText>
          </w:r>
          <w:r>
            <w:rPr>
              <w:color w:val="auto"/>
              <w:shd w:val="clear" w:color="auto" w:fill="auto"/>
            </w:rPr>
            <w:fldChar w:fldCharType="separate"/>
          </w:r>
          <w:r>
            <w:rPr>
              <w:color w:val="auto"/>
              <w:shd w:val="clear" w:color="auto" w:fill="auto"/>
            </w:rPr>
            <w:fldChar w:fldCharType="begin"/>
          </w:r>
          <w:r>
            <w:rPr>
              <w:color w:val="auto"/>
              <w:shd w:val="clear" w:color="auto" w:fill="auto"/>
            </w:rPr>
            <w:instrText xml:space="preserve"> HYPERLINK \l _Toc29572 </w:instrText>
          </w:r>
          <w:r>
            <w:rPr>
              <w:color w:val="auto"/>
              <w:shd w:val="clear" w:color="auto" w:fill="auto"/>
            </w:rPr>
            <w:fldChar w:fldCharType="separate"/>
          </w:r>
          <w:r>
            <w:rPr>
              <w:rFonts w:hint="default" w:ascii="Times New Roman" w:hAnsi="Times New Roman" w:eastAsia="宋体" w:cs="Times New Roman"/>
              <w:color w:val="auto"/>
              <w:szCs w:val="32"/>
              <w:shd w:val="clear" w:fill="auto"/>
            </w:rPr>
            <w:t xml:space="preserve">1 </w:t>
          </w:r>
          <w:r>
            <w:rPr>
              <w:rFonts w:hAnsi="宋体" w:eastAsia="宋体"/>
              <w:color w:val="auto"/>
              <w:szCs w:val="32"/>
              <w:shd w:val="clear" w:color="auto" w:fill="auto"/>
            </w:rPr>
            <w:t>总</w:t>
          </w:r>
          <w:r>
            <w:rPr>
              <w:rFonts w:eastAsia="宋体"/>
              <w:color w:val="auto"/>
              <w:szCs w:val="32"/>
              <w:shd w:val="clear" w:color="auto" w:fill="auto"/>
            </w:rPr>
            <w:t xml:space="preserve">  </w:t>
          </w:r>
          <w:r>
            <w:rPr>
              <w:rFonts w:hAnsi="宋体" w:eastAsia="宋体"/>
              <w:color w:val="auto"/>
              <w:szCs w:val="32"/>
              <w:shd w:val="clear" w:color="auto" w:fill="auto"/>
            </w:rPr>
            <w:t>则</w:t>
          </w:r>
          <w:r>
            <w:rPr>
              <w:color w:val="auto"/>
            </w:rPr>
            <w:tab/>
          </w:r>
          <w:r>
            <w:rPr>
              <w:color w:val="auto"/>
            </w:rPr>
            <w:fldChar w:fldCharType="begin"/>
          </w:r>
          <w:r>
            <w:rPr>
              <w:color w:val="auto"/>
            </w:rPr>
            <w:instrText xml:space="preserve"> PAGEREF _Toc29572 \h </w:instrText>
          </w:r>
          <w:r>
            <w:rPr>
              <w:color w:val="auto"/>
            </w:rPr>
            <w:fldChar w:fldCharType="separate"/>
          </w:r>
          <w:r>
            <w:rPr>
              <w:color w:val="auto"/>
            </w:rPr>
            <w:t>1</w:t>
          </w:r>
          <w:r>
            <w:rPr>
              <w:color w:val="auto"/>
            </w:rPr>
            <w:fldChar w:fldCharType="end"/>
          </w:r>
          <w:r>
            <w:rPr>
              <w:color w:val="auto"/>
              <w:shd w:val="clear" w:color="auto" w:fill="auto"/>
            </w:rPr>
            <w:fldChar w:fldCharType="end"/>
          </w:r>
        </w:p>
        <w:p>
          <w:pPr>
            <w:pStyle w:val="17"/>
            <w:tabs>
              <w:tab w:val="right" w:leader="dot" w:pos="8306"/>
              <w:tab w:val="clear" w:pos="630"/>
              <w:tab w:val="clear" w:pos="8296"/>
            </w:tabs>
            <w:rPr>
              <w:color w:val="auto"/>
            </w:rPr>
          </w:pPr>
          <w:r>
            <w:rPr>
              <w:color w:val="auto"/>
              <w:shd w:val="clear" w:color="auto" w:fill="auto"/>
            </w:rPr>
            <w:fldChar w:fldCharType="begin"/>
          </w:r>
          <w:r>
            <w:rPr>
              <w:color w:val="auto"/>
              <w:shd w:val="clear" w:color="auto" w:fill="auto"/>
            </w:rPr>
            <w:instrText xml:space="preserve"> HYPERLINK \l _Toc9464 </w:instrText>
          </w:r>
          <w:r>
            <w:rPr>
              <w:color w:val="auto"/>
              <w:shd w:val="clear" w:color="auto" w:fill="auto"/>
            </w:rPr>
            <w:fldChar w:fldCharType="separate"/>
          </w:r>
          <w:r>
            <w:rPr>
              <w:rFonts w:hint="default" w:ascii="Times New Roman" w:hAnsi="Times New Roman" w:eastAsia="宋体" w:cs="Times New Roman"/>
              <w:color w:val="auto"/>
              <w:szCs w:val="32"/>
              <w:shd w:val="clear" w:fill="auto"/>
            </w:rPr>
            <w:t xml:space="preserve">2 </w:t>
          </w:r>
          <w:r>
            <w:rPr>
              <w:rFonts w:hAnsi="宋体" w:eastAsia="宋体"/>
              <w:color w:val="auto"/>
              <w:szCs w:val="32"/>
              <w:shd w:val="clear" w:color="auto" w:fill="auto"/>
            </w:rPr>
            <w:t>术</w:t>
          </w:r>
          <w:r>
            <w:rPr>
              <w:rFonts w:hint="eastAsia" w:hAnsi="宋体" w:eastAsia="宋体"/>
              <w:color w:val="auto"/>
              <w:szCs w:val="32"/>
              <w:shd w:val="clear" w:color="auto" w:fill="auto"/>
              <w:lang w:val="en-US" w:eastAsia="zh-CN"/>
            </w:rPr>
            <w:t xml:space="preserve">  </w:t>
          </w:r>
          <w:r>
            <w:rPr>
              <w:rFonts w:hAnsi="宋体" w:eastAsia="宋体"/>
              <w:color w:val="auto"/>
              <w:szCs w:val="32"/>
              <w:shd w:val="clear" w:color="auto" w:fill="auto"/>
            </w:rPr>
            <w:t>语</w:t>
          </w:r>
          <w:r>
            <w:rPr>
              <w:color w:val="auto"/>
            </w:rPr>
            <w:tab/>
          </w:r>
          <w:r>
            <w:rPr>
              <w:color w:val="auto"/>
            </w:rPr>
            <w:fldChar w:fldCharType="begin"/>
          </w:r>
          <w:r>
            <w:rPr>
              <w:color w:val="auto"/>
            </w:rPr>
            <w:instrText xml:space="preserve"> PAGEREF _Toc9464 \h </w:instrText>
          </w:r>
          <w:r>
            <w:rPr>
              <w:color w:val="auto"/>
            </w:rPr>
            <w:fldChar w:fldCharType="separate"/>
          </w:r>
          <w:r>
            <w:rPr>
              <w:color w:val="auto"/>
            </w:rPr>
            <w:t>3</w:t>
          </w:r>
          <w:r>
            <w:rPr>
              <w:color w:val="auto"/>
            </w:rPr>
            <w:fldChar w:fldCharType="end"/>
          </w:r>
          <w:r>
            <w:rPr>
              <w:color w:val="auto"/>
              <w:shd w:val="clear" w:color="auto" w:fill="auto"/>
            </w:rPr>
            <w:fldChar w:fldCharType="end"/>
          </w:r>
        </w:p>
        <w:p>
          <w:pPr>
            <w:pStyle w:val="17"/>
            <w:tabs>
              <w:tab w:val="right" w:leader="dot" w:pos="8306"/>
              <w:tab w:val="clear" w:pos="630"/>
              <w:tab w:val="clear" w:pos="8296"/>
            </w:tabs>
            <w:rPr>
              <w:color w:val="auto"/>
            </w:rPr>
          </w:pPr>
          <w:r>
            <w:rPr>
              <w:color w:val="auto"/>
              <w:shd w:val="clear" w:color="auto" w:fill="auto"/>
            </w:rPr>
            <w:fldChar w:fldCharType="begin"/>
          </w:r>
          <w:r>
            <w:rPr>
              <w:color w:val="auto"/>
              <w:shd w:val="clear" w:color="auto" w:fill="auto"/>
            </w:rPr>
            <w:instrText xml:space="preserve"> HYPERLINK \l _Toc1998 </w:instrText>
          </w:r>
          <w:r>
            <w:rPr>
              <w:color w:val="auto"/>
              <w:shd w:val="clear" w:color="auto" w:fill="auto"/>
            </w:rPr>
            <w:fldChar w:fldCharType="separate"/>
          </w:r>
          <w:r>
            <w:rPr>
              <w:rFonts w:hint="default" w:ascii="Times New Roman" w:hAnsi="Times New Roman" w:eastAsia="宋体" w:cs="Times New Roman"/>
              <w:color w:val="auto"/>
              <w:szCs w:val="32"/>
              <w:shd w:val="clear" w:fill="auto"/>
            </w:rPr>
            <w:t xml:space="preserve">3 </w:t>
          </w:r>
          <w:r>
            <w:rPr>
              <w:rFonts w:hAnsi="宋体" w:eastAsia="宋体"/>
              <w:color w:val="auto"/>
              <w:szCs w:val="32"/>
              <w:shd w:val="clear" w:color="auto" w:fill="auto"/>
            </w:rPr>
            <w:t>采集渠道和来源</w:t>
          </w:r>
          <w:r>
            <w:rPr>
              <w:color w:val="auto"/>
            </w:rPr>
            <w:tab/>
          </w:r>
          <w:r>
            <w:rPr>
              <w:color w:val="auto"/>
            </w:rPr>
            <w:fldChar w:fldCharType="begin"/>
          </w:r>
          <w:r>
            <w:rPr>
              <w:color w:val="auto"/>
            </w:rPr>
            <w:instrText xml:space="preserve"> PAGEREF _Toc1998 \h </w:instrText>
          </w:r>
          <w:r>
            <w:rPr>
              <w:color w:val="auto"/>
            </w:rPr>
            <w:fldChar w:fldCharType="separate"/>
          </w:r>
          <w:r>
            <w:rPr>
              <w:color w:val="auto"/>
            </w:rPr>
            <w:t>4</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_Toc2789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 xml:space="preserve">3.1 </w:t>
          </w:r>
          <w:r>
            <w:rPr>
              <w:rFonts w:ascii="Times New Roman" w:hAnsi="宋体" w:eastAsia="宋体" w:cs="Times New Roman"/>
              <w:color w:val="auto"/>
              <w:szCs w:val="24"/>
              <w:shd w:val="clear" w:color="auto" w:fill="auto"/>
            </w:rPr>
            <w:t>一般规定</w:t>
          </w:r>
          <w:r>
            <w:rPr>
              <w:color w:val="auto"/>
            </w:rPr>
            <w:tab/>
          </w:r>
          <w:r>
            <w:rPr>
              <w:color w:val="auto"/>
            </w:rPr>
            <w:fldChar w:fldCharType="begin"/>
          </w:r>
          <w:r>
            <w:rPr>
              <w:color w:val="auto"/>
            </w:rPr>
            <w:instrText xml:space="preserve"> PAGEREF _Toc2789 \h </w:instrText>
          </w:r>
          <w:r>
            <w:rPr>
              <w:color w:val="auto"/>
            </w:rPr>
            <w:fldChar w:fldCharType="separate"/>
          </w:r>
          <w:r>
            <w:rPr>
              <w:color w:val="auto"/>
            </w:rPr>
            <w:t>4</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_Toc2888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 xml:space="preserve">3.2 </w:t>
          </w:r>
          <w:r>
            <w:rPr>
              <w:rFonts w:ascii="Times New Roman" w:hAnsi="宋体" w:eastAsia="宋体" w:cs="Times New Roman"/>
              <w:color w:val="auto"/>
              <w:szCs w:val="24"/>
              <w:shd w:val="clear" w:color="auto" w:fill="auto"/>
            </w:rPr>
            <w:t>统计年鉴类</w:t>
          </w:r>
          <w:r>
            <w:rPr>
              <w:color w:val="auto"/>
            </w:rPr>
            <w:tab/>
          </w:r>
          <w:r>
            <w:rPr>
              <w:color w:val="auto"/>
            </w:rPr>
            <w:fldChar w:fldCharType="begin"/>
          </w:r>
          <w:r>
            <w:rPr>
              <w:color w:val="auto"/>
            </w:rPr>
            <w:instrText xml:space="preserve"> PAGEREF _Toc2888 \h </w:instrText>
          </w:r>
          <w:r>
            <w:rPr>
              <w:color w:val="auto"/>
            </w:rPr>
            <w:fldChar w:fldCharType="separate"/>
          </w:r>
          <w:r>
            <w:rPr>
              <w:color w:val="auto"/>
            </w:rPr>
            <w:t>4</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_Toc2009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 xml:space="preserve">3.3 </w:t>
          </w:r>
          <w:r>
            <w:rPr>
              <w:rFonts w:ascii="Times New Roman" w:hAnsi="宋体" w:eastAsia="宋体" w:cs="Times New Roman"/>
              <w:color w:val="auto"/>
              <w:szCs w:val="24"/>
              <w:shd w:val="clear" w:color="auto" w:fill="auto"/>
            </w:rPr>
            <w:t>监测平台和数据库类</w:t>
          </w:r>
          <w:r>
            <w:rPr>
              <w:color w:val="auto"/>
            </w:rPr>
            <w:tab/>
          </w:r>
          <w:r>
            <w:rPr>
              <w:color w:val="auto"/>
            </w:rPr>
            <w:fldChar w:fldCharType="begin"/>
          </w:r>
          <w:r>
            <w:rPr>
              <w:color w:val="auto"/>
            </w:rPr>
            <w:instrText xml:space="preserve"> PAGEREF _Toc2009 \h </w:instrText>
          </w:r>
          <w:r>
            <w:rPr>
              <w:color w:val="auto"/>
            </w:rPr>
            <w:fldChar w:fldCharType="separate"/>
          </w:r>
          <w:r>
            <w:rPr>
              <w:color w:val="auto"/>
            </w:rPr>
            <w:t>5</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_Toc2276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 xml:space="preserve">3.4 </w:t>
          </w:r>
          <w:r>
            <w:rPr>
              <w:rFonts w:ascii="Times New Roman" w:hAnsi="宋体" w:eastAsia="宋体" w:cs="Times New Roman"/>
              <w:color w:val="auto"/>
              <w:szCs w:val="24"/>
              <w:shd w:val="clear" w:color="auto" w:fill="auto"/>
            </w:rPr>
            <w:t>公开文献类</w:t>
          </w:r>
          <w:r>
            <w:rPr>
              <w:color w:val="auto"/>
            </w:rPr>
            <w:tab/>
          </w:r>
          <w:r>
            <w:rPr>
              <w:color w:val="auto"/>
            </w:rPr>
            <w:fldChar w:fldCharType="begin"/>
          </w:r>
          <w:r>
            <w:rPr>
              <w:color w:val="auto"/>
            </w:rPr>
            <w:instrText xml:space="preserve"> PAGEREF _Toc2276 \h </w:instrText>
          </w:r>
          <w:r>
            <w:rPr>
              <w:color w:val="auto"/>
            </w:rPr>
            <w:fldChar w:fldCharType="separate"/>
          </w:r>
          <w:r>
            <w:rPr>
              <w:color w:val="auto"/>
            </w:rPr>
            <w:t>6</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_Toc4537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3.5</w:t>
          </w:r>
          <w:r>
            <w:rPr>
              <w:rFonts w:ascii="Times New Roman" w:hAnsi="宋体" w:eastAsia="宋体" w:cs="Times New Roman"/>
              <w:color w:val="auto"/>
              <w:szCs w:val="24"/>
              <w:shd w:val="clear" w:color="auto" w:fill="auto"/>
            </w:rPr>
            <w:t>互联网和物联网设备类</w:t>
          </w:r>
          <w:r>
            <w:rPr>
              <w:color w:val="auto"/>
            </w:rPr>
            <w:tab/>
          </w:r>
          <w:r>
            <w:rPr>
              <w:color w:val="auto"/>
            </w:rPr>
            <w:fldChar w:fldCharType="begin"/>
          </w:r>
          <w:r>
            <w:rPr>
              <w:color w:val="auto"/>
            </w:rPr>
            <w:instrText xml:space="preserve"> PAGEREF _Toc4537 \h </w:instrText>
          </w:r>
          <w:r>
            <w:rPr>
              <w:color w:val="auto"/>
            </w:rPr>
            <w:fldChar w:fldCharType="separate"/>
          </w:r>
          <w:r>
            <w:rPr>
              <w:color w:val="auto"/>
            </w:rPr>
            <w:t>6</w:t>
          </w:r>
          <w:r>
            <w:rPr>
              <w:color w:val="auto"/>
            </w:rPr>
            <w:fldChar w:fldCharType="end"/>
          </w:r>
          <w:r>
            <w:rPr>
              <w:color w:val="auto"/>
              <w:shd w:val="clear" w:color="auto" w:fill="auto"/>
            </w:rPr>
            <w:fldChar w:fldCharType="end"/>
          </w:r>
        </w:p>
        <w:p>
          <w:pPr>
            <w:pStyle w:val="17"/>
            <w:tabs>
              <w:tab w:val="right" w:leader="dot" w:pos="8306"/>
              <w:tab w:val="clear" w:pos="630"/>
              <w:tab w:val="clear" w:pos="8296"/>
            </w:tabs>
            <w:rPr>
              <w:color w:val="auto"/>
            </w:rPr>
          </w:pPr>
          <w:r>
            <w:rPr>
              <w:color w:val="auto"/>
              <w:shd w:val="clear" w:color="auto" w:fill="auto"/>
            </w:rPr>
            <w:fldChar w:fldCharType="begin"/>
          </w:r>
          <w:r>
            <w:rPr>
              <w:color w:val="auto"/>
              <w:shd w:val="clear" w:color="auto" w:fill="auto"/>
            </w:rPr>
            <w:instrText xml:space="preserve"> HYPERLINK \l _Toc17100 </w:instrText>
          </w:r>
          <w:r>
            <w:rPr>
              <w:color w:val="auto"/>
              <w:shd w:val="clear" w:color="auto" w:fill="auto"/>
            </w:rPr>
            <w:fldChar w:fldCharType="separate"/>
          </w:r>
          <w:r>
            <w:rPr>
              <w:rFonts w:hint="default" w:ascii="Times New Roman" w:hAnsi="Times New Roman" w:eastAsia="宋体" w:cs="Times New Roman"/>
              <w:color w:val="auto"/>
              <w:szCs w:val="32"/>
              <w:shd w:val="clear" w:fill="auto"/>
            </w:rPr>
            <w:t xml:space="preserve">4 </w:t>
          </w:r>
          <w:r>
            <w:rPr>
              <w:rFonts w:hAnsi="宋体" w:eastAsia="宋体"/>
              <w:color w:val="auto"/>
              <w:szCs w:val="32"/>
              <w:shd w:val="clear" w:color="auto" w:fill="auto"/>
            </w:rPr>
            <w:t>采集内容</w:t>
          </w:r>
          <w:r>
            <w:rPr>
              <w:color w:val="auto"/>
            </w:rPr>
            <w:tab/>
          </w:r>
          <w:r>
            <w:rPr>
              <w:color w:val="auto"/>
            </w:rPr>
            <w:fldChar w:fldCharType="begin"/>
          </w:r>
          <w:r>
            <w:rPr>
              <w:color w:val="auto"/>
            </w:rPr>
            <w:instrText xml:space="preserve"> PAGEREF _Toc17100 \h </w:instrText>
          </w:r>
          <w:r>
            <w:rPr>
              <w:color w:val="auto"/>
            </w:rPr>
            <w:fldChar w:fldCharType="separate"/>
          </w:r>
          <w:r>
            <w:rPr>
              <w:color w:val="auto"/>
            </w:rPr>
            <w:t>8</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_Toc16016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 xml:space="preserve">4.1 </w:t>
          </w:r>
          <w:r>
            <w:rPr>
              <w:rFonts w:ascii="Times New Roman" w:hAnsi="宋体" w:eastAsia="宋体" w:cs="Times New Roman"/>
              <w:color w:val="auto"/>
              <w:szCs w:val="24"/>
              <w:shd w:val="clear" w:color="auto" w:fill="auto"/>
            </w:rPr>
            <w:t>一般规定</w:t>
          </w:r>
          <w:r>
            <w:rPr>
              <w:color w:val="auto"/>
            </w:rPr>
            <w:tab/>
          </w:r>
          <w:r>
            <w:rPr>
              <w:color w:val="auto"/>
            </w:rPr>
            <w:fldChar w:fldCharType="begin"/>
          </w:r>
          <w:r>
            <w:rPr>
              <w:color w:val="auto"/>
            </w:rPr>
            <w:instrText xml:space="preserve"> PAGEREF _Toc16016 \h </w:instrText>
          </w:r>
          <w:r>
            <w:rPr>
              <w:color w:val="auto"/>
            </w:rPr>
            <w:fldChar w:fldCharType="separate"/>
          </w:r>
          <w:r>
            <w:rPr>
              <w:color w:val="auto"/>
            </w:rPr>
            <w:t>8</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_Toc2362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 xml:space="preserve">4.2 </w:t>
          </w:r>
          <w:r>
            <w:rPr>
              <w:rFonts w:ascii="Times New Roman" w:hAnsi="宋体" w:eastAsia="宋体" w:cs="Times New Roman"/>
              <w:color w:val="auto"/>
              <w:szCs w:val="24"/>
              <w:shd w:val="clear" w:color="auto" w:fill="auto"/>
            </w:rPr>
            <w:t>基础数据</w:t>
          </w:r>
          <w:r>
            <w:rPr>
              <w:color w:val="auto"/>
            </w:rPr>
            <w:tab/>
          </w:r>
          <w:r>
            <w:rPr>
              <w:color w:val="auto"/>
            </w:rPr>
            <w:fldChar w:fldCharType="begin"/>
          </w:r>
          <w:r>
            <w:rPr>
              <w:color w:val="auto"/>
            </w:rPr>
            <w:instrText xml:space="preserve"> PAGEREF _Toc2362 \h </w:instrText>
          </w:r>
          <w:r>
            <w:rPr>
              <w:color w:val="auto"/>
            </w:rPr>
            <w:fldChar w:fldCharType="separate"/>
          </w:r>
          <w:r>
            <w:rPr>
              <w:color w:val="auto"/>
            </w:rPr>
            <w:t>8</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_Toc28298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 xml:space="preserve">4.3 </w:t>
          </w:r>
          <w:r>
            <w:rPr>
              <w:rFonts w:ascii="Times New Roman" w:hAnsi="宋体" w:eastAsia="宋体" w:cs="Times New Roman"/>
              <w:color w:val="auto"/>
              <w:szCs w:val="24"/>
              <w:shd w:val="clear" w:color="auto" w:fill="auto"/>
            </w:rPr>
            <w:t>专题数据</w:t>
          </w:r>
          <w:r>
            <w:rPr>
              <w:color w:val="auto"/>
            </w:rPr>
            <w:tab/>
          </w:r>
          <w:r>
            <w:rPr>
              <w:color w:val="auto"/>
            </w:rPr>
            <w:fldChar w:fldCharType="begin"/>
          </w:r>
          <w:r>
            <w:rPr>
              <w:color w:val="auto"/>
            </w:rPr>
            <w:instrText xml:space="preserve"> PAGEREF _Toc28298 \h </w:instrText>
          </w:r>
          <w:r>
            <w:rPr>
              <w:color w:val="auto"/>
            </w:rPr>
            <w:fldChar w:fldCharType="separate"/>
          </w:r>
          <w:r>
            <w:rPr>
              <w:color w:val="auto"/>
            </w:rPr>
            <w:t>9</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_Toc12576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4.4</w:t>
          </w:r>
          <w:r>
            <w:rPr>
              <w:rFonts w:ascii="Times New Roman" w:hAnsi="宋体" w:eastAsia="宋体" w:cs="Times New Roman"/>
              <w:color w:val="auto"/>
              <w:szCs w:val="24"/>
              <w:shd w:val="clear" w:color="auto" w:fill="auto"/>
            </w:rPr>
            <w:t>其他数据</w:t>
          </w:r>
          <w:r>
            <w:rPr>
              <w:color w:val="auto"/>
            </w:rPr>
            <w:tab/>
          </w:r>
          <w:r>
            <w:rPr>
              <w:color w:val="auto"/>
            </w:rPr>
            <w:fldChar w:fldCharType="begin"/>
          </w:r>
          <w:r>
            <w:rPr>
              <w:color w:val="auto"/>
            </w:rPr>
            <w:instrText xml:space="preserve"> PAGEREF _Toc12576 \h </w:instrText>
          </w:r>
          <w:r>
            <w:rPr>
              <w:color w:val="auto"/>
            </w:rPr>
            <w:fldChar w:fldCharType="separate"/>
          </w:r>
          <w:r>
            <w:rPr>
              <w:color w:val="auto"/>
            </w:rPr>
            <w:t>11</w:t>
          </w:r>
          <w:r>
            <w:rPr>
              <w:color w:val="auto"/>
            </w:rPr>
            <w:fldChar w:fldCharType="end"/>
          </w:r>
          <w:r>
            <w:rPr>
              <w:color w:val="auto"/>
              <w:shd w:val="clear" w:color="auto" w:fill="auto"/>
            </w:rPr>
            <w:fldChar w:fldCharType="end"/>
          </w:r>
        </w:p>
        <w:p>
          <w:pPr>
            <w:pStyle w:val="17"/>
            <w:tabs>
              <w:tab w:val="right" w:leader="dot" w:pos="8306"/>
              <w:tab w:val="clear" w:pos="630"/>
              <w:tab w:val="clear" w:pos="8296"/>
            </w:tabs>
            <w:rPr>
              <w:color w:val="auto"/>
            </w:rPr>
          </w:pPr>
          <w:r>
            <w:rPr>
              <w:color w:val="auto"/>
              <w:shd w:val="clear" w:color="auto" w:fill="auto"/>
            </w:rPr>
            <w:fldChar w:fldCharType="begin"/>
          </w:r>
          <w:r>
            <w:rPr>
              <w:color w:val="auto"/>
              <w:shd w:val="clear" w:color="auto" w:fill="auto"/>
            </w:rPr>
            <w:instrText xml:space="preserve"> HYPERLINK \l _Toc2683 </w:instrText>
          </w:r>
          <w:r>
            <w:rPr>
              <w:color w:val="auto"/>
              <w:shd w:val="clear" w:color="auto" w:fill="auto"/>
            </w:rPr>
            <w:fldChar w:fldCharType="separate"/>
          </w:r>
          <w:r>
            <w:rPr>
              <w:rFonts w:hint="default" w:ascii="Times New Roman" w:hAnsi="Times New Roman" w:eastAsia="宋体" w:cs="Times New Roman"/>
              <w:color w:val="auto"/>
              <w:szCs w:val="32"/>
              <w:shd w:val="clear" w:fill="auto"/>
            </w:rPr>
            <w:t xml:space="preserve">5 </w:t>
          </w:r>
          <w:r>
            <w:rPr>
              <w:rFonts w:hAnsi="宋体" w:eastAsia="宋体"/>
              <w:color w:val="auto"/>
              <w:szCs w:val="32"/>
              <w:shd w:val="clear" w:color="auto" w:fill="auto"/>
            </w:rPr>
            <w:t>采集过程</w:t>
          </w:r>
          <w:r>
            <w:rPr>
              <w:color w:val="auto"/>
            </w:rPr>
            <w:tab/>
          </w:r>
          <w:r>
            <w:rPr>
              <w:color w:val="auto"/>
            </w:rPr>
            <w:fldChar w:fldCharType="begin"/>
          </w:r>
          <w:r>
            <w:rPr>
              <w:color w:val="auto"/>
            </w:rPr>
            <w:instrText xml:space="preserve"> PAGEREF _Toc2683 \h </w:instrText>
          </w:r>
          <w:r>
            <w:rPr>
              <w:color w:val="auto"/>
            </w:rPr>
            <w:fldChar w:fldCharType="separate"/>
          </w:r>
          <w:r>
            <w:rPr>
              <w:color w:val="auto"/>
            </w:rPr>
            <w:t>12</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_Toc28931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5.1</w:t>
          </w:r>
          <w:r>
            <w:rPr>
              <w:rFonts w:ascii="Times New Roman" w:hAnsi="宋体" w:eastAsia="宋体" w:cs="Times New Roman"/>
              <w:color w:val="auto"/>
              <w:szCs w:val="24"/>
              <w:shd w:val="clear" w:color="auto" w:fill="auto"/>
            </w:rPr>
            <w:t>前期准备</w:t>
          </w:r>
          <w:r>
            <w:rPr>
              <w:color w:val="auto"/>
            </w:rPr>
            <w:tab/>
          </w:r>
          <w:r>
            <w:rPr>
              <w:color w:val="auto"/>
            </w:rPr>
            <w:fldChar w:fldCharType="begin"/>
          </w:r>
          <w:r>
            <w:rPr>
              <w:color w:val="auto"/>
            </w:rPr>
            <w:instrText xml:space="preserve"> PAGEREF _Toc28931 \h </w:instrText>
          </w:r>
          <w:r>
            <w:rPr>
              <w:color w:val="auto"/>
            </w:rPr>
            <w:fldChar w:fldCharType="separate"/>
          </w:r>
          <w:r>
            <w:rPr>
              <w:color w:val="auto"/>
            </w:rPr>
            <w:t>12</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_Toc9167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5.2</w:t>
          </w:r>
          <w:r>
            <w:rPr>
              <w:rFonts w:ascii="Times New Roman" w:hAnsi="宋体" w:eastAsia="宋体" w:cs="Times New Roman"/>
              <w:color w:val="auto"/>
              <w:szCs w:val="24"/>
              <w:shd w:val="clear" w:color="auto" w:fill="auto"/>
            </w:rPr>
            <w:t>数据采集</w:t>
          </w:r>
          <w:r>
            <w:rPr>
              <w:color w:val="auto"/>
            </w:rPr>
            <w:tab/>
          </w:r>
          <w:r>
            <w:rPr>
              <w:color w:val="auto"/>
            </w:rPr>
            <w:fldChar w:fldCharType="begin"/>
          </w:r>
          <w:r>
            <w:rPr>
              <w:color w:val="auto"/>
            </w:rPr>
            <w:instrText xml:space="preserve"> PAGEREF _Toc9167 \h </w:instrText>
          </w:r>
          <w:r>
            <w:rPr>
              <w:color w:val="auto"/>
            </w:rPr>
            <w:fldChar w:fldCharType="separate"/>
          </w:r>
          <w:r>
            <w:rPr>
              <w:color w:val="auto"/>
            </w:rPr>
            <w:t>12</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_Toc23988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5.3</w:t>
          </w:r>
          <w:r>
            <w:rPr>
              <w:rFonts w:ascii="Times New Roman" w:hAnsi="宋体" w:eastAsia="宋体" w:cs="Times New Roman"/>
              <w:color w:val="auto"/>
              <w:szCs w:val="24"/>
              <w:shd w:val="clear" w:color="auto" w:fill="auto"/>
            </w:rPr>
            <w:t>数据处理</w:t>
          </w:r>
          <w:r>
            <w:rPr>
              <w:color w:val="auto"/>
            </w:rPr>
            <w:tab/>
          </w:r>
          <w:r>
            <w:rPr>
              <w:color w:val="auto"/>
            </w:rPr>
            <w:fldChar w:fldCharType="begin"/>
          </w:r>
          <w:r>
            <w:rPr>
              <w:color w:val="auto"/>
            </w:rPr>
            <w:instrText xml:space="preserve"> PAGEREF _Toc23988 \h </w:instrText>
          </w:r>
          <w:r>
            <w:rPr>
              <w:color w:val="auto"/>
            </w:rPr>
            <w:fldChar w:fldCharType="separate"/>
          </w:r>
          <w:r>
            <w:rPr>
              <w:color w:val="auto"/>
            </w:rPr>
            <w:t>12</w:t>
          </w:r>
          <w:r>
            <w:rPr>
              <w:color w:val="auto"/>
            </w:rPr>
            <w:fldChar w:fldCharType="end"/>
          </w:r>
          <w:r>
            <w:rPr>
              <w:color w:val="auto"/>
              <w:shd w:val="clear" w:color="auto" w:fill="auto"/>
            </w:rPr>
            <w:fldChar w:fldCharType="end"/>
          </w:r>
        </w:p>
        <w:p>
          <w:pPr>
            <w:pStyle w:val="17"/>
            <w:tabs>
              <w:tab w:val="right" w:leader="dot" w:pos="8306"/>
              <w:tab w:val="clear" w:pos="630"/>
              <w:tab w:val="clear" w:pos="8296"/>
            </w:tabs>
            <w:rPr>
              <w:color w:val="auto"/>
            </w:rPr>
          </w:pPr>
          <w:r>
            <w:rPr>
              <w:color w:val="auto"/>
              <w:shd w:val="clear" w:color="auto" w:fill="auto"/>
            </w:rPr>
            <w:fldChar w:fldCharType="begin"/>
          </w:r>
          <w:r>
            <w:rPr>
              <w:color w:val="auto"/>
              <w:shd w:val="clear" w:color="auto" w:fill="auto"/>
            </w:rPr>
            <w:instrText xml:space="preserve"> HYPERLINK \l _Toc26844 </w:instrText>
          </w:r>
          <w:r>
            <w:rPr>
              <w:color w:val="auto"/>
              <w:shd w:val="clear" w:color="auto" w:fill="auto"/>
            </w:rPr>
            <w:fldChar w:fldCharType="separate"/>
          </w:r>
          <w:r>
            <w:rPr>
              <w:rFonts w:hint="default" w:ascii="Times New Roman" w:hAnsi="Times New Roman" w:eastAsia="宋体" w:cs="Times New Roman"/>
              <w:color w:val="auto"/>
              <w:szCs w:val="32"/>
              <w:shd w:val="clear" w:fill="auto"/>
            </w:rPr>
            <w:t xml:space="preserve">6 </w:t>
          </w:r>
          <w:r>
            <w:rPr>
              <w:rFonts w:hAnsi="宋体" w:eastAsia="宋体"/>
              <w:color w:val="auto"/>
              <w:szCs w:val="32"/>
              <w:shd w:val="clear" w:color="auto" w:fill="auto"/>
            </w:rPr>
            <w:t>数据采集手段</w:t>
          </w:r>
          <w:r>
            <w:rPr>
              <w:color w:val="auto"/>
            </w:rPr>
            <w:tab/>
          </w:r>
          <w:r>
            <w:rPr>
              <w:color w:val="auto"/>
            </w:rPr>
            <w:fldChar w:fldCharType="begin"/>
          </w:r>
          <w:r>
            <w:rPr>
              <w:color w:val="auto"/>
            </w:rPr>
            <w:instrText xml:space="preserve"> PAGEREF _Toc26844 \h </w:instrText>
          </w:r>
          <w:r>
            <w:rPr>
              <w:color w:val="auto"/>
            </w:rPr>
            <w:fldChar w:fldCharType="separate"/>
          </w:r>
          <w:r>
            <w:rPr>
              <w:color w:val="auto"/>
            </w:rPr>
            <w:t>13</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_Toc19916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6.1</w:t>
          </w:r>
          <w:r>
            <w:rPr>
              <w:rFonts w:ascii="Times New Roman" w:hAnsi="宋体" w:eastAsia="宋体" w:cs="Times New Roman"/>
              <w:color w:val="auto"/>
              <w:szCs w:val="24"/>
              <w:shd w:val="clear" w:color="auto" w:fill="auto"/>
            </w:rPr>
            <w:t>行政报送报表采集</w:t>
          </w:r>
          <w:r>
            <w:rPr>
              <w:color w:val="auto"/>
            </w:rPr>
            <w:tab/>
          </w:r>
          <w:r>
            <w:rPr>
              <w:color w:val="auto"/>
            </w:rPr>
            <w:fldChar w:fldCharType="begin"/>
          </w:r>
          <w:r>
            <w:rPr>
              <w:color w:val="auto"/>
            </w:rPr>
            <w:instrText xml:space="preserve"> PAGEREF _Toc19916 \h </w:instrText>
          </w:r>
          <w:r>
            <w:rPr>
              <w:color w:val="auto"/>
            </w:rPr>
            <w:fldChar w:fldCharType="separate"/>
          </w:r>
          <w:r>
            <w:rPr>
              <w:color w:val="auto"/>
            </w:rPr>
            <w:t>13</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_Toc14576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6.2</w:t>
          </w:r>
          <w:r>
            <w:rPr>
              <w:rFonts w:ascii="Times New Roman" w:hAnsi="宋体" w:eastAsia="宋体" w:cs="Times New Roman"/>
              <w:color w:val="auto"/>
              <w:szCs w:val="24"/>
              <w:shd w:val="clear" w:color="auto" w:fill="auto"/>
            </w:rPr>
            <w:t>行业监测数据采集</w:t>
          </w:r>
          <w:r>
            <w:rPr>
              <w:color w:val="auto"/>
            </w:rPr>
            <w:tab/>
          </w:r>
          <w:r>
            <w:rPr>
              <w:color w:val="auto"/>
            </w:rPr>
            <w:fldChar w:fldCharType="begin"/>
          </w:r>
          <w:r>
            <w:rPr>
              <w:color w:val="auto"/>
            </w:rPr>
            <w:instrText xml:space="preserve"> PAGEREF _Toc14576 \h </w:instrText>
          </w:r>
          <w:r>
            <w:rPr>
              <w:color w:val="auto"/>
            </w:rPr>
            <w:fldChar w:fldCharType="separate"/>
          </w:r>
          <w:r>
            <w:rPr>
              <w:color w:val="auto"/>
            </w:rPr>
            <w:t>13</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_Toc25114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6.3</w:t>
          </w:r>
          <w:r>
            <w:rPr>
              <w:rFonts w:ascii="Times New Roman" w:hAnsi="宋体" w:eastAsia="宋体" w:cs="Times New Roman"/>
              <w:color w:val="auto"/>
              <w:szCs w:val="24"/>
              <w:shd w:val="clear" w:color="auto" w:fill="auto"/>
            </w:rPr>
            <w:t>实地调查数据采集</w:t>
          </w:r>
          <w:r>
            <w:rPr>
              <w:color w:val="auto"/>
            </w:rPr>
            <w:tab/>
          </w:r>
          <w:r>
            <w:rPr>
              <w:color w:val="auto"/>
            </w:rPr>
            <w:fldChar w:fldCharType="begin"/>
          </w:r>
          <w:r>
            <w:rPr>
              <w:color w:val="auto"/>
            </w:rPr>
            <w:instrText xml:space="preserve"> PAGEREF _Toc25114 \h </w:instrText>
          </w:r>
          <w:r>
            <w:rPr>
              <w:color w:val="auto"/>
            </w:rPr>
            <w:fldChar w:fldCharType="separate"/>
          </w:r>
          <w:r>
            <w:rPr>
              <w:color w:val="auto"/>
            </w:rPr>
            <w:t>13</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_Toc15754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6.4</w:t>
          </w:r>
          <w:r>
            <w:rPr>
              <w:rFonts w:ascii="Times New Roman" w:hAnsi="宋体" w:eastAsia="宋体" w:cs="Times New Roman"/>
              <w:color w:val="auto"/>
              <w:szCs w:val="24"/>
              <w:shd w:val="clear" w:color="auto" w:fill="auto"/>
            </w:rPr>
            <w:t>问卷调查和访谈采集</w:t>
          </w:r>
          <w:r>
            <w:rPr>
              <w:color w:val="auto"/>
            </w:rPr>
            <w:tab/>
          </w:r>
          <w:r>
            <w:rPr>
              <w:color w:val="auto"/>
            </w:rPr>
            <w:fldChar w:fldCharType="begin"/>
          </w:r>
          <w:r>
            <w:rPr>
              <w:color w:val="auto"/>
            </w:rPr>
            <w:instrText xml:space="preserve"> PAGEREF _Toc15754 \h </w:instrText>
          </w:r>
          <w:r>
            <w:rPr>
              <w:color w:val="auto"/>
            </w:rPr>
            <w:fldChar w:fldCharType="separate"/>
          </w:r>
          <w:r>
            <w:rPr>
              <w:color w:val="auto"/>
            </w:rPr>
            <w:t>14</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_Toc8799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6.5</w:t>
          </w:r>
          <w:r>
            <w:rPr>
              <w:rFonts w:ascii="Times New Roman" w:hAnsi="宋体" w:eastAsia="宋体" w:cs="Times New Roman"/>
              <w:color w:val="auto"/>
              <w:szCs w:val="24"/>
              <w:shd w:val="clear" w:color="auto" w:fill="auto"/>
            </w:rPr>
            <w:t>物联网和传感器采集</w:t>
          </w:r>
          <w:r>
            <w:rPr>
              <w:color w:val="auto"/>
            </w:rPr>
            <w:tab/>
          </w:r>
          <w:r>
            <w:rPr>
              <w:color w:val="auto"/>
            </w:rPr>
            <w:fldChar w:fldCharType="begin"/>
          </w:r>
          <w:r>
            <w:rPr>
              <w:color w:val="auto"/>
            </w:rPr>
            <w:instrText xml:space="preserve"> PAGEREF _Toc8799 \h </w:instrText>
          </w:r>
          <w:r>
            <w:rPr>
              <w:color w:val="auto"/>
            </w:rPr>
            <w:fldChar w:fldCharType="separate"/>
          </w:r>
          <w:r>
            <w:rPr>
              <w:color w:val="auto"/>
            </w:rPr>
            <w:t>14</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_Toc23200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6.6</w:t>
          </w:r>
          <w:r>
            <w:rPr>
              <w:rFonts w:ascii="Times New Roman" w:hAnsi="宋体" w:eastAsia="宋体" w:cs="Times New Roman"/>
              <w:color w:val="auto"/>
              <w:szCs w:val="24"/>
              <w:shd w:val="clear" w:color="auto" w:fill="auto"/>
            </w:rPr>
            <w:t>互联网数据采集</w:t>
          </w:r>
          <w:r>
            <w:rPr>
              <w:color w:val="auto"/>
            </w:rPr>
            <w:tab/>
          </w:r>
          <w:r>
            <w:rPr>
              <w:color w:val="auto"/>
            </w:rPr>
            <w:fldChar w:fldCharType="begin"/>
          </w:r>
          <w:r>
            <w:rPr>
              <w:color w:val="auto"/>
            </w:rPr>
            <w:instrText xml:space="preserve"> PAGEREF _Toc23200 \h </w:instrText>
          </w:r>
          <w:r>
            <w:rPr>
              <w:color w:val="auto"/>
            </w:rPr>
            <w:fldChar w:fldCharType="separate"/>
          </w:r>
          <w:r>
            <w:rPr>
              <w:color w:val="auto"/>
            </w:rPr>
            <w:t>15</w:t>
          </w:r>
          <w:r>
            <w:rPr>
              <w:color w:val="auto"/>
            </w:rPr>
            <w:fldChar w:fldCharType="end"/>
          </w:r>
          <w:r>
            <w:rPr>
              <w:color w:val="auto"/>
              <w:shd w:val="clear" w:color="auto" w:fill="auto"/>
            </w:rPr>
            <w:fldChar w:fldCharType="end"/>
          </w:r>
        </w:p>
        <w:p>
          <w:pPr>
            <w:pStyle w:val="17"/>
            <w:tabs>
              <w:tab w:val="right" w:leader="dot" w:pos="8306"/>
              <w:tab w:val="clear" w:pos="630"/>
              <w:tab w:val="clear" w:pos="8296"/>
            </w:tabs>
            <w:rPr>
              <w:color w:val="auto"/>
            </w:rPr>
          </w:pPr>
          <w:r>
            <w:rPr>
              <w:color w:val="auto"/>
              <w:shd w:val="clear" w:color="auto" w:fill="auto"/>
            </w:rPr>
            <w:fldChar w:fldCharType="begin"/>
          </w:r>
          <w:r>
            <w:rPr>
              <w:color w:val="auto"/>
              <w:shd w:val="clear" w:color="auto" w:fill="auto"/>
            </w:rPr>
            <w:instrText xml:space="preserve"> HYPERLINK \l _Toc22797 </w:instrText>
          </w:r>
          <w:r>
            <w:rPr>
              <w:color w:val="auto"/>
              <w:shd w:val="clear" w:color="auto" w:fill="auto"/>
            </w:rPr>
            <w:fldChar w:fldCharType="separate"/>
          </w:r>
          <w:r>
            <w:rPr>
              <w:rFonts w:hint="default" w:ascii="Times New Roman" w:hAnsi="Times New Roman" w:eastAsia="宋体" w:cs="Times New Roman"/>
              <w:color w:val="auto"/>
              <w:szCs w:val="32"/>
              <w:shd w:val="clear" w:fill="auto"/>
            </w:rPr>
            <w:t xml:space="preserve">7 </w:t>
          </w:r>
          <w:r>
            <w:rPr>
              <w:rFonts w:hAnsi="宋体" w:eastAsia="宋体"/>
              <w:color w:val="auto"/>
              <w:szCs w:val="32"/>
              <w:shd w:val="clear" w:color="auto" w:fill="auto"/>
            </w:rPr>
            <w:t>数据处理要求</w:t>
          </w:r>
          <w:r>
            <w:rPr>
              <w:color w:val="auto"/>
            </w:rPr>
            <w:tab/>
          </w:r>
          <w:r>
            <w:rPr>
              <w:color w:val="auto"/>
            </w:rPr>
            <w:fldChar w:fldCharType="begin"/>
          </w:r>
          <w:r>
            <w:rPr>
              <w:color w:val="auto"/>
            </w:rPr>
            <w:instrText xml:space="preserve"> PAGEREF _Toc22797 \h </w:instrText>
          </w:r>
          <w:r>
            <w:rPr>
              <w:color w:val="auto"/>
            </w:rPr>
            <w:fldChar w:fldCharType="separate"/>
          </w:r>
          <w:r>
            <w:rPr>
              <w:color w:val="auto"/>
            </w:rPr>
            <w:t>16</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_Toc5607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7.1</w:t>
          </w:r>
          <w:r>
            <w:rPr>
              <w:rFonts w:ascii="Times New Roman" w:hAnsi="宋体" w:eastAsia="宋体" w:cs="Times New Roman"/>
              <w:color w:val="auto"/>
              <w:szCs w:val="24"/>
              <w:shd w:val="clear" w:color="auto" w:fill="auto"/>
            </w:rPr>
            <w:t>数据分类和编目</w:t>
          </w:r>
          <w:r>
            <w:rPr>
              <w:color w:val="auto"/>
            </w:rPr>
            <w:tab/>
          </w:r>
          <w:r>
            <w:rPr>
              <w:color w:val="auto"/>
            </w:rPr>
            <w:fldChar w:fldCharType="begin"/>
          </w:r>
          <w:r>
            <w:rPr>
              <w:color w:val="auto"/>
            </w:rPr>
            <w:instrText xml:space="preserve"> PAGEREF _Toc5607 \h </w:instrText>
          </w:r>
          <w:r>
            <w:rPr>
              <w:color w:val="auto"/>
            </w:rPr>
            <w:fldChar w:fldCharType="separate"/>
          </w:r>
          <w:r>
            <w:rPr>
              <w:color w:val="auto"/>
            </w:rPr>
            <w:t>16</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_Toc28136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7.2</w:t>
          </w:r>
          <w:r>
            <w:rPr>
              <w:rFonts w:ascii="Times New Roman" w:hAnsi="宋体" w:eastAsia="宋体" w:cs="Times New Roman"/>
              <w:color w:val="auto"/>
              <w:szCs w:val="24"/>
              <w:shd w:val="clear" w:color="auto" w:fill="auto"/>
            </w:rPr>
            <w:t>基础数据处理</w:t>
          </w:r>
          <w:r>
            <w:rPr>
              <w:color w:val="auto"/>
            </w:rPr>
            <w:tab/>
          </w:r>
          <w:r>
            <w:rPr>
              <w:color w:val="auto"/>
            </w:rPr>
            <w:fldChar w:fldCharType="begin"/>
          </w:r>
          <w:r>
            <w:rPr>
              <w:color w:val="auto"/>
            </w:rPr>
            <w:instrText xml:space="preserve"> PAGEREF _Toc28136 \h </w:instrText>
          </w:r>
          <w:r>
            <w:rPr>
              <w:color w:val="auto"/>
            </w:rPr>
            <w:fldChar w:fldCharType="separate"/>
          </w:r>
          <w:r>
            <w:rPr>
              <w:color w:val="auto"/>
            </w:rPr>
            <w:t>16</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_Toc21869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7.3</w:t>
          </w:r>
          <w:r>
            <w:rPr>
              <w:rFonts w:ascii="Times New Roman" w:hAnsi="宋体" w:eastAsia="宋体" w:cs="Times New Roman"/>
              <w:color w:val="auto"/>
              <w:szCs w:val="24"/>
              <w:shd w:val="clear" w:color="auto" w:fill="auto"/>
            </w:rPr>
            <w:t>专题数据处理</w:t>
          </w:r>
          <w:r>
            <w:rPr>
              <w:color w:val="auto"/>
            </w:rPr>
            <w:tab/>
          </w:r>
          <w:r>
            <w:rPr>
              <w:color w:val="auto"/>
            </w:rPr>
            <w:fldChar w:fldCharType="begin"/>
          </w:r>
          <w:r>
            <w:rPr>
              <w:color w:val="auto"/>
            </w:rPr>
            <w:instrText xml:space="preserve"> PAGEREF _Toc21869 \h </w:instrText>
          </w:r>
          <w:r>
            <w:rPr>
              <w:color w:val="auto"/>
            </w:rPr>
            <w:fldChar w:fldCharType="separate"/>
          </w:r>
          <w:r>
            <w:rPr>
              <w:color w:val="auto"/>
            </w:rPr>
            <w:t>16</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_Toc16051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7.4</w:t>
          </w:r>
          <w:r>
            <w:rPr>
              <w:rFonts w:ascii="Times New Roman" w:hAnsi="宋体" w:eastAsia="宋体" w:cs="Times New Roman"/>
              <w:color w:val="auto"/>
              <w:szCs w:val="24"/>
              <w:shd w:val="clear" w:color="auto" w:fill="auto"/>
            </w:rPr>
            <w:t>数据质量</w:t>
          </w:r>
          <w:r>
            <w:rPr>
              <w:color w:val="auto"/>
            </w:rPr>
            <w:tab/>
          </w:r>
          <w:r>
            <w:rPr>
              <w:color w:val="auto"/>
            </w:rPr>
            <w:fldChar w:fldCharType="begin"/>
          </w:r>
          <w:r>
            <w:rPr>
              <w:color w:val="auto"/>
            </w:rPr>
            <w:instrText xml:space="preserve"> PAGEREF _Toc16051 \h </w:instrText>
          </w:r>
          <w:r>
            <w:rPr>
              <w:color w:val="auto"/>
            </w:rPr>
            <w:fldChar w:fldCharType="separate"/>
          </w:r>
          <w:r>
            <w:rPr>
              <w:color w:val="auto"/>
            </w:rPr>
            <w:t>17</w:t>
          </w:r>
          <w:r>
            <w:rPr>
              <w:color w:val="auto"/>
            </w:rPr>
            <w:fldChar w:fldCharType="end"/>
          </w:r>
          <w:r>
            <w:rPr>
              <w:color w:val="auto"/>
              <w:shd w:val="clear" w:color="auto" w:fill="auto"/>
            </w:rPr>
            <w:fldChar w:fldCharType="end"/>
          </w:r>
        </w:p>
        <w:p>
          <w:pPr>
            <w:pStyle w:val="20"/>
            <w:tabs>
              <w:tab w:val="right" w:leader="dot" w:pos="8306"/>
            </w:tabs>
            <w:rPr>
              <w:color w:val="auto"/>
            </w:rPr>
          </w:pPr>
          <w:r>
            <w:rPr>
              <w:color w:val="auto"/>
              <w:shd w:val="clear" w:color="auto" w:fill="auto"/>
            </w:rPr>
            <w:fldChar w:fldCharType="begin"/>
          </w:r>
          <w:r>
            <w:rPr>
              <w:color w:val="auto"/>
              <w:shd w:val="clear" w:color="auto" w:fill="auto"/>
            </w:rPr>
            <w:instrText xml:space="preserve"> HYPERLINK \l _Toc6161 </w:instrText>
          </w:r>
          <w:r>
            <w:rPr>
              <w:color w:val="auto"/>
              <w:shd w:val="clear" w:color="auto" w:fill="auto"/>
            </w:rPr>
            <w:fldChar w:fldCharType="separate"/>
          </w:r>
          <w:r>
            <w:rPr>
              <w:rFonts w:ascii="Times New Roman" w:hAnsi="Times New Roman" w:eastAsia="宋体" w:cs="Times New Roman"/>
              <w:color w:val="auto"/>
              <w:szCs w:val="24"/>
              <w:shd w:val="clear" w:color="auto" w:fill="auto"/>
            </w:rPr>
            <w:t>7.5</w:t>
          </w:r>
          <w:r>
            <w:rPr>
              <w:rFonts w:ascii="Times New Roman" w:hAnsi="宋体" w:eastAsia="宋体" w:cs="Times New Roman"/>
              <w:color w:val="auto"/>
              <w:szCs w:val="24"/>
              <w:shd w:val="clear" w:color="auto" w:fill="auto"/>
            </w:rPr>
            <w:t>数据发布</w:t>
          </w:r>
          <w:r>
            <w:rPr>
              <w:color w:val="auto"/>
            </w:rPr>
            <w:tab/>
          </w:r>
          <w:r>
            <w:rPr>
              <w:color w:val="auto"/>
            </w:rPr>
            <w:fldChar w:fldCharType="begin"/>
          </w:r>
          <w:r>
            <w:rPr>
              <w:color w:val="auto"/>
            </w:rPr>
            <w:instrText xml:space="preserve"> PAGEREF _Toc6161 \h </w:instrText>
          </w:r>
          <w:r>
            <w:rPr>
              <w:color w:val="auto"/>
            </w:rPr>
            <w:fldChar w:fldCharType="separate"/>
          </w:r>
          <w:r>
            <w:rPr>
              <w:color w:val="auto"/>
            </w:rPr>
            <w:t>17</w:t>
          </w:r>
          <w:r>
            <w:rPr>
              <w:color w:val="auto"/>
            </w:rPr>
            <w:fldChar w:fldCharType="end"/>
          </w:r>
          <w:r>
            <w:rPr>
              <w:color w:val="auto"/>
              <w:shd w:val="clear" w:color="auto" w:fill="auto"/>
            </w:rPr>
            <w:fldChar w:fldCharType="end"/>
          </w:r>
        </w:p>
        <w:p>
          <w:pPr>
            <w:pStyle w:val="17"/>
            <w:tabs>
              <w:tab w:val="right" w:leader="dot" w:pos="8306"/>
              <w:tab w:val="clear" w:pos="630"/>
              <w:tab w:val="clear" w:pos="8296"/>
            </w:tabs>
            <w:rPr>
              <w:color w:val="auto"/>
            </w:rPr>
          </w:pPr>
          <w:r>
            <w:rPr>
              <w:color w:val="auto"/>
              <w:shd w:val="clear" w:color="auto" w:fill="auto"/>
            </w:rPr>
            <w:fldChar w:fldCharType="begin"/>
          </w:r>
          <w:r>
            <w:rPr>
              <w:color w:val="auto"/>
              <w:shd w:val="clear" w:color="auto" w:fill="auto"/>
            </w:rPr>
            <w:instrText xml:space="preserve"> HYPERLINK \l _Toc11862 </w:instrText>
          </w:r>
          <w:r>
            <w:rPr>
              <w:color w:val="auto"/>
              <w:shd w:val="clear" w:color="auto" w:fill="auto"/>
            </w:rPr>
            <w:fldChar w:fldCharType="separate"/>
          </w:r>
          <w:r>
            <w:rPr>
              <w:rFonts w:hAnsi="宋体"/>
              <w:color w:val="auto"/>
              <w:szCs w:val="28"/>
              <w:shd w:val="clear" w:color="auto" w:fill="auto"/>
            </w:rPr>
            <w:t>本标准用词说明</w:t>
          </w:r>
          <w:r>
            <w:rPr>
              <w:color w:val="auto"/>
            </w:rPr>
            <w:tab/>
          </w:r>
          <w:r>
            <w:rPr>
              <w:color w:val="auto"/>
            </w:rPr>
            <w:fldChar w:fldCharType="begin"/>
          </w:r>
          <w:r>
            <w:rPr>
              <w:color w:val="auto"/>
            </w:rPr>
            <w:instrText xml:space="preserve"> PAGEREF _Toc11862 \h </w:instrText>
          </w:r>
          <w:r>
            <w:rPr>
              <w:color w:val="auto"/>
            </w:rPr>
            <w:fldChar w:fldCharType="separate"/>
          </w:r>
          <w:r>
            <w:rPr>
              <w:color w:val="auto"/>
            </w:rPr>
            <w:t>18</w:t>
          </w:r>
          <w:r>
            <w:rPr>
              <w:color w:val="auto"/>
            </w:rPr>
            <w:fldChar w:fldCharType="end"/>
          </w:r>
          <w:r>
            <w:rPr>
              <w:color w:val="auto"/>
              <w:shd w:val="clear" w:color="auto" w:fill="auto"/>
            </w:rPr>
            <w:fldChar w:fldCharType="end"/>
          </w:r>
        </w:p>
        <w:p>
          <w:pPr>
            <w:pStyle w:val="17"/>
            <w:tabs>
              <w:tab w:val="right" w:leader="dot" w:pos="8306"/>
              <w:tab w:val="clear" w:pos="630"/>
              <w:tab w:val="clear" w:pos="8296"/>
            </w:tabs>
            <w:rPr>
              <w:color w:val="auto"/>
            </w:rPr>
          </w:pPr>
          <w:r>
            <w:rPr>
              <w:color w:val="auto"/>
              <w:shd w:val="clear" w:color="auto" w:fill="auto"/>
            </w:rPr>
            <w:fldChar w:fldCharType="begin"/>
          </w:r>
          <w:r>
            <w:rPr>
              <w:color w:val="auto"/>
              <w:shd w:val="clear" w:color="auto" w:fill="auto"/>
            </w:rPr>
            <w:instrText xml:space="preserve"> HYPERLINK \l _Toc7829 </w:instrText>
          </w:r>
          <w:r>
            <w:rPr>
              <w:color w:val="auto"/>
              <w:shd w:val="clear" w:color="auto" w:fill="auto"/>
            </w:rPr>
            <w:fldChar w:fldCharType="separate"/>
          </w:r>
          <w:r>
            <w:rPr>
              <w:rFonts w:hAnsi="宋体"/>
              <w:color w:val="auto"/>
              <w:szCs w:val="28"/>
              <w:shd w:val="clear" w:color="auto" w:fill="auto"/>
            </w:rPr>
            <w:t>引用标准名录</w:t>
          </w:r>
          <w:r>
            <w:rPr>
              <w:color w:val="auto"/>
            </w:rPr>
            <w:tab/>
          </w:r>
          <w:r>
            <w:rPr>
              <w:color w:val="auto"/>
            </w:rPr>
            <w:fldChar w:fldCharType="begin"/>
          </w:r>
          <w:r>
            <w:rPr>
              <w:color w:val="auto"/>
            </w:rPr>
            <w:instrText xml:space="preserve"> PAGEREF _Toc7829 \h </w:instrText>
          </w:r>
          <w:r>
            <w:rPr>
              <w:color w:val="auto"/>
            </w:rPr>
            <w:fldChar w:fldCharType="separate"/>
          </w:r>
          <w:r>
            <w:rPr>
              <w:color w:val="auto"/>
            </w:rPr>
            <w:t>19</w:t>
          </w:r>
          <w:r>
            <w:rPr>
              <w:color w:val="auto"/>
            </w:rPr>
            <w:fldChar w:fldCharType="end"/>
          </w:r>
          <w:r>
            <w:rPr>
              <w:color w:val="auto"/>
              <w:shd w:val="clear" w:color="auto" w:fill="auto"/>
            </w:rPr>
            <w:fldChar w:fldCharType="end"/>
          </w:r>
        </w:p>
        <w:p>
          <w:pPr>
            <w:pStyle w:val="64"/>
            <w:tabs>
              <w:tab w:val="right" w:leader="dot" w:pos="8306"/>
            </w:tabs>
            <w:snapToGrid w:val="0"/>
            <w:rPr>
              <w:color w:val="auto"/>
              <w:shd w:val="clear" w:color="auto" w:fill="auto"/>
            </w:rPr>
          </w:pPr>
          <w:r>
            <w:rPr>
              <w:color w:val="auto"/>
              <w:shd w:val="clear" w:color="auto" w:fill="auto"/>
            </w:rPr>
            <w:fldChar w:fldCharType="end"/>
          </w:r>
        </w:p>
      </w:sdtContent>
    </w:sdt>
    <w:p>
      <w:pPr>
        <w:pStyle w:val="38"/>
        <w:jc w:val="center"/>
        <w:rPr>
          <w:b/>
          <w:color w:val="auto"/>
          <w:sz w:val="28"/>
          <w:szCs w:val="28"/>
          <w:shd w:val="clear" w:color="auto" w:fill="auto"/>
        </w:rPr>
      </w:pPr>
      <w:r>
        <w:rPr>
          <w:b/>
          <w:color w:val="auto"/>
          <w:sz w:val="28"/>
          <w:szCs w:val="28"/>
          <w:shd w:val="clear" w:color="auto" w:fill="auto"/>
        </w:rPr>
        <w:br w:type="page"/>
      </w:r>
    </w:p>
    <w:sdt>
      <w:sdtPr>
        <w:rPr>
          <w:rFonts w:ascii="Times New Roman" w:hAnsi="Times New Roman" w:eastAsia="宋体" w:cs="Times New Roman"/>
          <w:color w:val="auto"/>
          <w:sz w:val="21"/>
          <w:szCs w:val="21"/>
          <w:shd w:val="clear" w:color="auto" w:fill="auto"/>
          <w:lang w:val="zh-CN"/>
        </w:rPr>
        <w:id w:val="592137905"/>
        <w:docPartObj>
          <w:docPartGallery w:val="Table of Contents"/>
          <w:docPartUnique/>
        </w:docPartObj>
      </w:sdtPr>
      <w:sdtEndPr>
        <w:rPr>
          <w:rFonts w:ascii="Times New Roman" w:hAnsi="Times New Roman" w:eastAsia="宋体" w:cs="Times New Roman"/>
          <w:b/>
          <w:bCs/>
          <w:color w:val="auto"/>
          <w:sz w:val="21"/>
          <w:szCs w:val="21"/>
          <w:shd w:val="clear" w:color="auto" w:fill="auto"/>
          <w:lang w:val="zh-CN"/>
        </w:rPr>
      </w:sdtEndPr>
      <w:sdtContent>
        <w:p>
          <w:pPr>
            <w:pStyle w:val="38"/>
            <w:jc w:val="center"/>
            <w:rPr>
              <w:rFonts w:ascii="Times New Roman" w:hAnsi="Times New Roman" w:eastAsia="宋体" w:cs="Times New Roman"/>
              <w:color w:val="auto"/>
              <w:shd w:val="clear" w:color="auto" w:fill="auto"/>
            </w:rPr>
          </w:pPr>
          <w:r>
            <w:rPr>
              <w:rFonts w:hint="eastAsia" w:ascii="Times New Roman" w:hAnsi="宋体" w:eastAsia="宋体" w:cs="Times New Roman"/>
              <w:color w:val="auto"/>
              <w:shd w:val="clear" w:color="auto" w:fill="auto"/>
              <w:lang w:val="zh-CN"/>
            </w:rPr>
            <w:t>Contents</w:t>
          </w:r>
        </w:p>
        <w:p>
          <w:pPr>
            <w:pStyle w:val="17"/>
            <w:rPr>
              <w:rFonts w:ascii="Times New Roman" w:hAnsi="Times New Roman" w:eastAsiaTheme="minorEastAsia"/>
              <w:color w:val="auto"/>
              <w:kern w:val="2"/>
              <w:sz w:val="21"/>
              <w:szCs w:val="21"/>
              <w:shd w:val="clear" w:color="auto" w:fill="auto"/>
            </w:rPr>
          </w:pPr>
          <w:r>
            <w:rPr>
              <w:rFonts w:ascii="Times New Roman" w:hAnsi="Times New Roman"/>
              <w:color w:val="auto"/>
              <w:shd w:val="clear" w:color="auto" w:fill="auto"/>
            </w:rPr>
            <w:fldChar w:fldCharType="begin"/>
          </w:r>
          <w:r>
            <w:rPr>
              <w:rFonts w:ascii="Times New Roman" w:hAnsi="Times New Roman"/>
              <w:color w:val="auto"/>
              <w:shd w:val="clear" w:color="auto" w:fill="auto"/>
            </w:rPr>
            <w:instrText xml:space="preserve"> TOC \o "1-2" \h \z \u </w:instrText>
          </w:r>
          <w:r>
            <w:rPr>
              <w:rFonts w:ascii="Times New Roman" w:hAnsi="Times New Roman"/>
              <w:color w:val="auto"/>
              <w:shd w:val="clear" w:color="auto" w:fill="auto"/>
            </w:rPr>
            <w:fldChar w:fldCharType="separate"/>
          </w:r>
          <w:r>
            <w:rPr>
              <w:color w:val="auto"/>
              <w:shd w:val="clear" w:color="auto" w:fill="auto"/>
            </w:rPr>
            <w:fldChar w:fldCharType="begin"/>
          </w:r>
          <w:r>
            <w:rPr>
              <w:color w:val="auto"/>
              <w:shd w:val="clear" w:color="auto" w:fill="auto"/>
            </w:rPr>
            <w:instrText xml:space="preserve"> HYPERLINK \l "_Toc87419452" </w:instrText>
          </w:r>
          <w:r>
            <w:rPr>
              <w:color w:val="auto"/>
              <w:shd w:val="clear" w:color="auto" w:fill="auto"/>
            </w:rPr>
            <w:fldChar w:fldCharType="separate"/>
          </w:r>
          <w:r>
            <w:rPr>
              <w:rStyle w:val="29"/>
              <w:rFonts w:ascii="Times New Roman" w:hAnsi="Times New Roman"/>
              <w:b/>
              <w:color w:val="auto"/>
              <w:sz w:val="21"/>
              <w:szCs w:val="21"/>
              <w:shd w:val="clear" w:color="auto" w:fill="auto"/>
            </w:rPr>
            <w:t xml:space="preserve">1 </w:t>
          </w:r>
          <w:r>
            <w:rPr>
              <w:rStyle w:val="29"/>
              <w:rFonts w:ascii="Times New Roman" w:hAnsi="Times New Roman" w:eastAsiaTheme="minorEastAsia"/>
              <w:color w:val="auto"/>
              <w:sz w:val="21"/>
              <w:szCs w:val="21"/>
              <w:shd w:val="clear" w:color="auto" w:fill="auto"/>
            </w:rPr>
            <w:t>General provisions</w:t>
          </w:r>
          <w:r>
            <w:rPr>
              <w:rFonts w:ascii="Times New Roman" w:hAnsi="Times New Roman"/>
              <w:color w:val="auto"/>
              <w:sz w:val="21"/>
              <w:szCs w:val="21"/>
              <w:shd w:val="clear" w:color="auto" w:fill="auto"/>
            </w:rPr>
            <w:tab/>
          </w:r>
          <w:r>
            <w:rPr>
              <w:rFonts w:ascii="Times New Roman" w:hAnsi="Times New Roman"/>
              <w:color w:val="auto"/>
              <w:sz w:val="21"/>
              <w:szCs w:val="21"/>
              <w:shd w:val="clear" w:color="auto" w:fill="auto"/>
            </w:rPr>
            <w:t>1</w:t>
          </w:r>
          <w:r>
            <w:rPr>
              <w:rFonts w:ascii="Times New Roman" w:hAnsi="Times New Roman"/>
              <w:color w:val="auto"/>
              <w:sz w:val="21"/>
              <w:szCs w:val="21"/>
              <w:shd w:val="clear" w:color="auto" w:fill="auto"/>
            </w:rPr>
            <w:fldChar w:fldCharType="end"/>
          </w:r>
        </w:p>
        <w:p>
          <w:pPr>
            <w:pStyle w:val="17"/>
            <w:rPr>
              <w:rFonts w:ascii="Times New Roman" w:hAnsi="Times New Roman" w:eastAsiaTheme="minorEastAsia"/>
              <w:color w:val="auto"/>
              <w:kern w:val="2"/>
              <w:sz w:val="21"/>
              <w:szCs w:val="21"/>
              <w:shd w:val="clear" w:color="auto" w:fill="auto"/>
            </w:rPr>
          </w:pPr>
          <w:r>
            <w:rPr>
              <w:color w:val="auto"/>
              <w:shd w:val="clear" w:color="auto" w:fill="auto"/>
            </w:rPr>
            <w:fldChar w:fldCharType="begin"/>
          </w:r>
          <w:r>
            <w:rPr>
              <w:color w:val="auto"/>
              <w:shd w:val="clear" w:color="auto" w:fill="auto"/>
            </w:rPr>
            <w:instrText xml:space="preserve"> HYPERLINK \l "_Toc87419453" </w:instrText>
          </w:r>
          <w:r>
            <w:rPr>
              <w:color w:val="auto"/>
              <w:shd w:val="clear" w:color="auto" w:fill="auto"/>
            </w:rPr>
            <w:fldChar w:fldCharType="separate"/>
          </w:r>
          <w:r>
            <w:rPr>
              <w:rStyle w:val="29"/>
              <w:rFonts w:ascii="Times New Roman" w:hAnsi="Times New Roman"/>
              <w:b/>
              <w:color w:val="auto"/>
              <w:sz w:val="21"/>
              <w:szCs w:val="21"/>
              <w:shd w:val="clear" w:color="auto" w:fill="auto"/>
            </w:rPr>
            <w:t xml:space="preserve">2 </w:t>
          </w:r>
          <w:r>
            <w:rPr>
              <w:rStyle w:val="29"/>
              <w:rFonts w:ascii="Times New Roman" w:hAnsi="Times New Roman" w:eastAsiaTheme="minorEastAsia"/>
              <w:color w:val="auto"/>
              <w:sz w:val="21"/>
              <w:szCs w:val="21"/>
              <w:shd w:val="clear" w:color="auto" w:fill="auto"/>
            </w:rPr>
            <w:t>Terms</w:t>
          </w:r>
          <w:r>
            <w:rPr>
              <w:rFonts w:ascii="Times New Roman" w:hAnsi="Times New Roman"/>
              <w:color w:val="auto"/>
              <w:sz w:val="21"/>
              <w:szCs w:val="21"/>
              <w:shd w:val="clear" w:color="auto" w:fill="auto"/>
            </w:rPr>
            <w:tab/>
          </w:r>
          <w:r>
            <w:rPr>
              <w:rFonts w:hint="eastAsia" w:ascii="Times New Roman" w:hAnsi="Times New Roman"/>
              <w:color w:val="auto"/>
              <w:sz w:val="21"/>
              <w:szCs w:val="21"/>
              <w:shd w:val="clear" w:color="auto" w:fill="auto"/>
              <w:lang w:val="en-US" w:eastAsia="zh-CN"/>
            </w:rPr>
            <w:t>3</w:t>
          </w:r>
          <w:r>
            <w:rPr>
              <w:rFonts w:ascii="Times New Roman" w:hAnsi="Times New Roman"/>
              <w:color w:val="auto"/>
              <w:sz w:val="21"/>
              <w:szCs w:val="21"/>
              <w:shd w:val="clear" w:color="auto" w:fill="auto"/>
            </w:rPr>
            <w:fldChar w:fldCharType="end"/>
          </w:r>
        </w:p>
        <w:p>
          <w:pPr>
            <w:pStyle w:val="17"/>
            <w:rPr>
              <w:rFonts w:ascii="Times New Roman" w:hAnsi="Times New Roman" w:eastAsiaTheme="minorEastAsia"/>
              <w:color w:val="auto"/>
              <w:kern w:val="2"/>
              <w:sz w:val="21"/>
              <w:szCs w:val="21"/>
              <w:shd w:val="clear" w:color="auto" w:fill="auto"/>
            </w:rPr>
          </w:pPr>
          <w:r>
            <w:rPr>
              <w:color w:val="auto"/>
              <w:shd w:val="clear" w:color="auto" w:fill="auto"/>
            </w:rPr>
            <w:fldChar w:fldCharType="begin"/>
          </w:r>
          <w:r>
            <w:rPr>
              <w:color w:val="auto"/>
              <w:shd w:val="clear" w:color="auto" w:fill="auto"/>
            </w:rPr>
            <w:instrText xml:space="preserve"> HYPERLINK \l "_Toc87419454" </w:instrText>
          </w:r>
          <w:r>
            <w:rPr>
              <w:color w:val="auto"/>
              <w:shd w:val="clear" w:color="auto" w:fill="auto"/>
            </w:rPr>
            <w:fldChar w:fldCharType="separate"/>
          </w:r>
          <w:r>
            <w:rPr>
              <w:rStyle w:val="29"/>
              <w:rFonts w:ascii="Times New Roman" w:hAnsi="Times New Roman"/>
              <w:b/>
              <w:color w:val="auto"/>
              <w:sz w:val="21"/>
              <w:szCs w:val="21"/>
              <w:shd w:val="clear" w:color="auto" w:fill="auto"/>
            </w:rPr>
            <w:t xml:space="preserve">3 </w:t>
          </w:r>
          <w:r>
            <w:rPr>
              <w:rStyle w:val="29"/>
              <w:rFonts w:ascii="Times New Roman" w:hAnsi="Times New Roman" w:eastAsiaTheme="minorEastAsia"/>
              <w:color w:val="auto"/>
              <w:kern w:val="2"/>
              <w:sz w:val="21"/>
              <w:szCs w:val="21"/>
              <w:shd w:val="clear" w:color="auto" w:fill="auto"/>
            </w:rPr>
            <w:t>Collection channels and sources</w:t>
          </w:r>
          <w:r>
            <w:rPr>
              <w:rFonts w:ascii="Times New Roman" w:hAnsi="Times New Roman"/>
              <w:color w:val="auto"/>
              <w:sz w:val="21"/>
              <w:szCs w:val="21"/>
              <w:shd w:val="clear" w:color="auto" w:fill="auto"/>
            </w:rPr>
            <w:tab/>
          </w:r>
          <w:r>
            <w:rPr>
              <w:rFonts w:hint="eastAsia" w:ascii="Times New Roman" w:hAnsi="Times New Roman"/>
              <w:color w:val="auto"/>
              <w:sz w:val="21"/>
              <w:szCs w:val="21"/>
              <w:shd w:val="clear" w:color="auto" w:fill="auto"/>
              <w:lang w:val="en-US" w:eastAsia="zh-CN"/>
            </w:rPr>
            <w:t>4</w:t>
          </w:r>
          <w:r>
            <w:rPr>
              <w:rFonts w:ascii="Times New Roman" w:hAnsi="Times New Roman"/>
              <w:color w:val="auto"/>
              <w:sz w:val="21"/>
              <w:szCs w:val="21"/>
              <w:shd w:val="clear" w:color="auto" w:fill="auto"/>
            </w:rPr>
            <w:fldChar w:fldCharType="end"/>
          </w:r>
        </w:p>
        <w:p>
          <w:pPr>
            <w:pStyle w:val="20"/>
            <w:tabs>
              <w:tab w:val="right" w:leader="dot" w:pos="8296"/>
            </w:tabs>
            <w:rPr>
              <w:rFonts w:eastAsiaTheme="minorEastAsia"/>
              <w:color w:val="auto"/>
              <w:kern w:val="2"/>
              <w:shd w:val="clear" w:color="auto" w:fill="auto"/>
            </w:rPr>
          </w:pPr>
          <w:r>
            <w:rPr>
              <w:color w:val="auto"/>
              <w:shd w:val="clear" w:color="auto" w:fill="auto"/>
            </w:rPr>
            <w:fldChar w:fldCharType="begin"/>
          </w:r>
          <w:r>
            <w:rPr>
              <w:color w:val="auto"/>
              <w:shd w:val="clear" w:color="auto" w:fill="auto"/>
            </w:rPr>
            <w:instrText xml:space="preserve"> HYPERLINK \l "_Toc87419455" </w:instrText>
          </w:r>
          <w:r>
            <w:rPr>
              <w:color w:val="auto"/>
              <w:shd w:val="clear" w:color="auto" w:fill="auto"/>
            </w:rPr>
            <w:fldChar w:fldCharType="separate"/>
          </w:r>
          <w:r>
            <w:rPr>
              <w:rStyle w:val="29"/>
              <w:color w:val="auto"/>
              <w:shd w:val="clear" w:color="auto" w:fill="auto"/>
            </w:rPr>
            <w:t>3.1 General provisions</w:t>
          </w:r>
          <w:r>
            <w:rPr>
              <w:color w:val="auto"/>
              <w:shd w:val="clear" w:color="auto" w:fill="auto"/>
            </w:rPr>
            <w:tab/>
          </w:r>
          <w:r>
            <w:rPr>
              <w:rFonts w:hint="eastAsia"/>
              <w:color w:val="auto"/>
              <w:shd w:val="clear" w:color="auto" w:fill="auto"/>
              <w:lang w:val="en-US" w:eastAsia="zh-CN"/>
            </w:rPr>
            <w:t>4</w:t>
          </w:r>
          <w:r>
            <w:rPr>
              <w:color w:val="auto"/>
              <w:shd w:val="clear" w:color="auto" w:fill="auto"/>
            </w:rPr>
            <w:fldChar w:fldCharType="end"/>
          </w:r>
        </w:p>
        <w:p>
          <w:pPr>
            <w:pStyle w:val="20"/>
            <w:tabs>
              <w:tab w:val="right" w:leader="dot" w:pos="8296"/>
            </w:tabs>
            <w:rPr>
              <w:rFonts w:hint="eastAsia" w:eastAsia="宋体"/>
              <w:color w:val="auto"/>
              <w:kern w:val="2"/>
              <w:shd w:val="clear" w:color="auto" w:fill="auto"/>
              <w:lang w:val="en-US" w:eastAsia="zh-CN"/>
            </w:rPr>
          </w:pPr>
          <w:r>
            <w:rPr>
              <w:color w:val="auto"/>
              <w:shd w:val="clear" w:color="auto" w:fill="auto"/>
            </w:rPr>
            <w:fldChar w:fldCharType="begin"/>
          </w:r>
          <w:r>
            <w:rPr>
              <w:color w:val="auto"/>
              <w:shd w:val="clear" w:color="auto" w:fill="auto"/>
            </w:rPr>
            <w:instrText xml:space="preserve"> HYPERLINK \l "_Toc87419456" </w:instrText>
          </w:r>
          <w:r>
            <w:rPr>
              <w:color w:val="auto"/>
              <w:shd w:val="clear" w:color="auto" w:fill="auto"/>
            </w:rPr>
            <w:fldChar w:fldCharType="separate"/>
          </w:r>
          <w:r>
            <w:rPr>
              <w:rStyle w:val="29"/>
              <w:color w:val="auto"/>
              <w:shd w:val="clear" w:color="auto" w:fill="auto"/>
            </w:rPr>
            <w:t>3.2 Statistical yearbook</w:t>
          </w:r>
          <w:r>
            <w:rPr>
              <w:color w:val="auto"/>
              <w:shd w:val="clear" w:color="auto" w:fill="auto"/>
            </w:rPr>
            <w:tab/>
          </w:r>
          <w:r>
            <w:rPr>
              <w:color w:val="auto"/>
              <w:shd w:val="clear" w:color="auto" w:fill="auto"/>
            </w:rPr>
            <w:fldChar w:fldCharType="end"/>
          </w:r>
          <w:r>
            <w:rPr>
              <w:rFonts w:hint="eastAsia"/>
              <w:color w:val="auto"/>
              <w:shd w:val="clear" w:color="auto" w:fill="auto"/>
              <w:lang w:val="en-US" w:eastAsia="zh-CN"/>
            </w:rPr>
            <w:t>4</w:t>
          </w:r>
        </w:p>
        <w:p>
          <w:pPr>
            <w:pStyle w:val="20"/>
            <w:tabs>
              <w:tab w:val="right" w:leader="dot" w:pos="8296"/>
            </w:tabs>
            <w:rPr>
              <w:rFonts w:eastAsiaTheme="minorEastAsia"/>
              <w:color w:val="auto"/>
              <w:kern w:val="2"/>
              <w:shd w:val="clear" w:color="auto" w:fill="auto"/>
            </w:rPr>
          </w:pPr>
          <w:r>
            <w:rPr>
              <w:color w:val="auto"/>
              <w:shd w:val="clear" w:color="auto" w:fill="auto"/>
            </w:rPr>
            <w:fldChar w:fldCharType="begin"/>
          </w:r>
          <w:r>
            <w:rPr>
              <w:color w:val="auto"/>
              <w:shd w:val="clear" w:color="auto" w:fill="auto"/>
            </w:rPr>
            <w:instrText xml:space="preserve"> HYPERLINK \l "_Toc87419457" </w:instrText>
          </w:r>
          <w:r>
            <w:rPr>
              <w:color w:val="auto"/>
              <w:shd w:val="clear" w:color="auto" w:fill="auto"/>
            </w:rPr>
            <w:fldChar w:fldCharType="separate"/>
          </w:r>
          <w:r>
            <w:rPr>
              <w:rStyle w:val="29"/>
              <w:color w:val="auto"/>
              <w:shd w:val="clear" w:color="auto" w:fill="auto"/>
            </w:rPr>
            <w:t>3.3 Monitoring platform and database</w:t>
          </w:r>
          <w:r>
            <w:rPr>
              <w:color w:val="auto"/>
              <w:shd w:val="clear" w:color="auto" w:fill="auto"/>
            </w:rPr>
            <w:tab/>
          </w:r>
          <w:r>
            <w:rPr>
              <w:rFonts w:hint="eastAsia"/>
              <w:color w:val="auto"/>
              <w:shd w:val="clear" w:color="auto" w:fill="auto"/>
              <w:lang w:val="en-US" w:eastAsia="zh-CN"/>
            </w:rPr>
            <w:t>5</w:t>
          </w:r>
          <w:r>
            <w:rPr>
              <w:color w:val="auto"/>
              <w:shd w:val="clear" w:color="auto" w:fill="auto"/>
            </w:rPr>
            <w:fldChar w:fldCharType="end"/>
          </w:r>
        </w:p>
        <w:p>
          <w:pPr>
            <w:pStyle w:val="20"/>
            <w:tabs>
              <w:tab w:val="right" w:leader="dot" w:pos="8296"/>
            </w:tabs>
            <w:rPr>
              <w:rFonts w:eastAsiaTheme="minorEastAsia"/>
              <w:color w:val="auto"/>
              <w:kern w:val="2"/>
              <w:shd w:val="clear" w:color="auto" w:fill="auto"/>
            </w:rPr>
          </w:pPr>
          <w:r>
            <w:rPr>
              <w:color w:val="auto"/>
              <w:shd w:val="clear" w:color="auto" w:fill="auto"/>
            </w:rPr>
            <w:fldChar w:fldCharType="begin"/>
          </w:r>
          <w:r>
            <w:rPr>
              <w:color w:val="auto"/>
              <w:shd w:val="clear" w:color="auto" w:fill="auto"/>
            </w:rPr>
            <w:instrText xml:space="preserve"> HYPERLINK \l "_Toc87419458" </w:instrText>
          </w:r>
          <w:r>
            <w:rPr>
              <w:color w:val="auto"/>
              <w:shd w:val="clear" w:color="auto" w:fill="auto"/>
            </w:rPr>
            <w:fldChar w:fldCharType="separate"/>
          </w:r>
          <w:r>
            <w:rPr>
              <w:rStyle w:val="29"/>
              <w:color w:val="auto"/>
              <w:shd w:val="clear" w:color="auto" w:fill="auto"/>
            </w:rPr>
            <w:t>3.4 Public documents</w:t>
          </w:r>
          <w:r>
            <w:rPr>
              <w:color w:val="auto"/>
              <w:shd w:val="clear" w:color="auto" w:fill="auto"/>
            </w:rPr>
            <w:tab/>
          </w:r>
          <w:r>
            <w:rPr>
              <w:rFonts w:hint="eastAsia"/>
              <w:color w:val="auto"/>
              <w:shd w:val="clear" w:color="auto" w:fill="auto"/>
              <w:lang w:val="en-US" w:eastAsia="zh-CN"/>
            </w:rPr>
            <w:t>6</w:t>
          </w:r>
          <w:r>
            <w:rPr>
              <w:color w:val="auto"/>
              <w:shd w:val="clear" w:color="auto" w:fill="auto"/>
            </w:rPr>
            <w:fldChar w:fldCharType="end"/>
          </w:r>
        </w:p>
        <w:p>
          <w:pPr>
            <w:pStyle w:val="20"/>
            <w:tabs>
              <w:tab w:val="right" w:leader="dot" w:pos="8296"/>
            </w:tabs>
            <w:rPr>
              <w:rFonts w:eastAsiaTheme="minorEastAsia"/>
              <w:color w:val="auto"/>
              <w:kern w:val="2"/>
              <w:shd w:val="clear" w:color="auto" w:fill="auto"/>
            </w:rPr>
          </w:pPr>
          <w:r>
            <w:rPr>
              <w:color w:val="auto"/>
              <w:shd w:val="clear" w:color="auto" w:fill="auto"/>
            </w:rPr>
            <w:fldChar w:fldCharType="begin"/>
          </w:r>
          <w:r>
            <w:rPr>
              <w:color w:val="auto"/>
              <w:shd w:val="clear" w:color="auto" w:fill="auto"/>
            </w:rPr>
            <w:instrText xml:space="preserve"> HYPERLINK \l "_Toc87419459" </w:instrText>
          </w:r>
          <w:r>
            <w:rPr>
              <w:color w:val="auto"/>
              <w:shd w:val="clear" w:color="auto" w:fill="auto"/>
            </w:rPr>
            <w:fldChar w:fldCharType="separate"/>
          </w:r>
          <w:r>
            <w:rPr>
              <w:rStyle w:val="29"/>
              <w:color w:val="auto"/>
              <w:shd w:val="clear" w:color="auto" w:fill="auto"/>
            </w:rPr>
            <w:t>3.5 Internet and Internet of things equipment</w:t>
          </w:r>
          <w:r>
            <w:rPr>
              <w:color w:val="auto"/>
              <w:shd w:val="clear" w:color="auto" w:fill="auto"/>
            </w:rPr>
            <w:tab/>
          </w:r>
          <w:r>
            <w:rPr>
              <w:rFonts w:hint="eastAsia"/>
              <w:color w:val="auto"/>
              <w:shd w:val="clear" w:color="auto" w:fill="auto"/>
              <w:lang w:val="en-US" w:eastAsia="zh-CN"/>
            </w:rPr>
            <w:t>6</w:t>
          </w:r>
          <w:r>
            <w:rPr>
              <w:color w:val="auto"/>
              <w:shd w:val="clear" w:color="auto" w:fill="auto"/>
            </w:rPr>
            <w:fldChar w:fldCharType="end"/>
          </w:r>
        </w:p>
        <w:p>
          <w:pPr>
            <w:pStyle w:val="17"/>
            <w:rPr>
              <w:rFonts w:ascii="Times New Roman" w:hAnsi="Times New Roman" w:eastAsiaTheme="minorEastAsia"/>
              <w:color w:val="auto"/>
              <w:kern w:val="2"/>
              <w:sz w:val="21"/>
              <w:szCs w:val="21"/>
              <w:shd w:val="clear" w:color="auto" w:fill="auto"/>
            </w:rPr>
          </w:pPr>
          <w:r>
            <w:rPr>
              <w:color w:val="auto"/>
              <w:shd w:val="clear" w:color="auto" w:fill="auto"/>
            </w:rPr>
            <w:fldChar w:fldCharType="begin"/>
          </w:r>
          <w:r>
            <w:rPr>
              <w:color w:val="auto"/>
              <w:shd w:val="clear" w:color="auto" w:fill="auto"/>
            </w:rPr>
            <w:instrText xml:space="preserve"> HYPERLINK \l "_Toc87419460" </w:instrText>
          </w:r>
          <w:r>
            <w:rPr>
              <w:color w:val="auto"/>
              <w:shd w:val="clear" w:color="auto" w:fill="auto"/>
            </w:rPr>
            <w:fldChar w:fldCharType="separate"/>
          </w:r>
          <w:r>
            <w:rPr>
              <w:rStyle w:val="29"/>
              <w:rFonts w:ascii="Times New Roman" w:hAnsi="Times New Roman"/>
              <w:b/>
              <w:color w:val="auto"/>
              <w:sz w:val="21"/>
              <w:szCs w:val="21"/>
              <w:shd w:val="clear" w:color="auto" w:fill="auto"/>
            </w:rPr>
            <w:t xml:space="preserve">4 </w:t>
          </w:r>
          <w:r>
            <w:rPr>
              <w:rStyle w:val="29"/>
              <w:rFonts w:ascii="Times New Roman" w:hAnsi="Times New Roman" w:eastAsiaTheme="minorEastAsia"/>
              <w:color w:val="auto"/>
              <w:sz w:val="21"/>
              <w:szCs w:val="21"/>
              <w:shd w:val="clear" w:color="auto" w:fill="auto"/>
            </w:rPr>
            <w:t>Collection content</w:t>
          </w:r>
          <w:r>
            <w:rPr>
              <w:rFonts w:ascii="Times New Roman" w:hAnsi="Times New Roman"/>
              <w:color w:val="auto"/>
              <w:sz w:val="21"/>
              <w:szCs w:val="21"/>
              <w:shd w:val="clear" w:color="auto" w:fill="auto"/>
            </w:rPr>
            <w:tab/>
          </w:r>
          <w:r>
            <w:rPr>
              <w:rFonts w:hint="eastAsia" w:ascii="Times New Roman" w:hAnsi="Times New Roman"/>
              <w:color w:val="auto"/>
              <w:sz w:val="21"/>
              <w:szCs w:val="21"/>
              <w:shd w:val="clear" w:color="auto" w:fill="auto"/>
              <w:lang w:val="en-US" w:eastAsia="zh-CN"/>
            </w:rPr>
            <w:t>8</w:t>
          </w:r>
          <w:r>
            <w:rPr>
              <w:rFonts w:ascii="Times New Roman" w:hAnsi="Times New Roman"/>
              <w:color w:val="auto"/>
              <w:sz w:val="21"/>
              <w:szCs w:val="21"/>
              <w:shd w:val="clear" w:color="auto" w:fill="auto"/>
            </w:rPr>
            <w:fldChar w:fldCharType="end"/>
          </w:r>
        </w:p>
        <w:p>
          <w:pPr>
            <w:pStyle w:val="20"/>
            <w:tabs>
              <w:tab w:val="right" w:leader="dot" w:pos="8296"/>
            </w:tabs>
            <w:rPr>
              <w:rFonts w:eastAsiaTheme="minorEastAsia"/>
              <w:color w:val="auto"/>
              <w:kern w:val="2"/>
              <w:shd w:val="clear" w:color="auto" w:fill="auto"/>
            </w:rPr>
          </w:pPr>
          <w:r>
            <w:rPr>
              <w:color w:val="auto"/>
              <w:shd w:val="clear" w:color="auto" w:fill="auto"/>
            </w:rPr>
            <w:fldChar w:fldCharType="begin"/>
          </w:r>
          <w:r>
            <w:rPr>
              <w:color w:val="auto"/>
              <w:shd w:val="clear" w:color="auto" w:fill="auto"/>
            </w:rPr>
            <w:instrText xml:space="preserve"> HYPERLINK \l "_Toc87419461" </w:instrText>
          </w:r>
          <w:r>
            <w:rPr>
              <w:color w:val="auto"/>
              <w:shd w:val="clear" w:color="auto" w:fill="auto"/>
            </w:rPr>
            <w:fldChar w:fldCharType="separate"/>
          </w:r>
          <w:r>
            <w:rPr>
              <w:rStyle w:val="29"/>
              <w:color w:val="auto"/>
              <w:shd w:val="clear" w:color="auto" w:fill="auto"/>
            </w:rPr>
            <w:t>4.1 General Provisions</w:t>
          </w:r>
          <w:r>
            <w:rPr>
              <w:color w:val="auto"/>
              <w:shd w:val="clear" w:color="auto" w:fill="auto"/>
            </w:rPr>
            <w:tab/>
          </w:r>
          <w:r>
            <w:rPr>
              <w:rFonts w:hint="eastAsia"/>
              <w:color w:val="auto"/>
              <w:shd w:val="clear" w:color="auto" w:fill="auto"/>
              <w:lang w:val="en-US" w:eastAsia="zh-CN"/>
            </w:rPr>
            <w:t>8</w:t>
          </w:r>
          <w:r>
            <w:rPr>
              <w:color w:val="auto"/>
              <w:shd w:val="clear" w:color="auto" w:fill="auto"/>
            </w:rPr>
            <w:fldChar w:fldCharType="end"/>
          </w:r>
        </w:p>
        <w:p>
          <w:pPr>
            <w:pStyle w:val="20"/>
            <w:tabs>
              <w:tab w:val="right" w:leader="dot" w:pos="8296"/>
            </w:tabs>
            <w:rPr>
              <w:rFonts w:eastAsiaTheme="minorEastAsia"/>
              <w:color w:val="auto"/>
              <w:kern w:val="2"/>
              <w:shd w:val="clear" w:color="auto" w:fill="auto"/>
            </w:rPr>
          </w:pPr>
          <w:r>
            <w:rPr>
              <w:color w:val="auto"/>
              <w:shd w:val="clear" w:color="auto" w:fill="auto"/>
            </w:rPr>
            <w:fldChar w:fldCharType="begin"/>
          </w:r>
          <w:r>
            <w:rPr>
              <w:color w:val="auto"/>
              <w:shd w:val="clear" w:color="auto" w:fill="auto"/>
            </w:rPr>
            <w:instrText xml:space="preserve"> HYPERLINK \l "_Toc87419462" </w:instrText>
          </w:r>
          <w:r>
            <w:rPr>
              <w:color w:val="auto"/>
              <w:shd w:val="clear" w:color="auto" w:fill="auto"/>
            </w:rPr>
            <w:fldChar w:fldCharType="separate"/>
          </w:r>
          <w:r>
            <w:rPr>
              <w:rStyle w:val="29"/>
              <w:color w:val="auto"/>
              <w:shd w:val="clear" w:color="auto" w:fill="auto"/>
            </w:rPr>
            <w:t>4.2 Basic data</w:t>
          </w:r>
          <w:r>
            <w:rPr>
              <w:color w:val="auto"/>
              <w:shd w:val="clear" w:color="auto" w:fill="auto"/>
            </w:rPr>
            <w:tab/>
          </w:r>
          <w:r>
            <w:rPr>
              <w:rFonts w:hint="eastAsia"/>
              <w:color w:val="auto"/>
              <w:shd w:val="clear" w:color="auto" w:fill="auto"/>
              <w:lang w:val="en-US" w:eastAsia="zh-CN"/>
            </w:rPr>
            <w:t>8</w:t>
          </w:r>
          <w:r>
            <w:rPr>
              <w:color w:val="auto"/>
              <w:shd w:val="clear" w:color="auto" w:fill="auto"/>
            </w:rPr>
            <w:fldChar w:fldCharType="end"/>
          </w:r>
        </w:p>
        <w:p>
          <w:pPr>
            <w:pStyle w:val="20"/>
            <w:tabs>
              <w:tab w:val="right" w:leader="dot" w:pos="8296"/>
            </w:tabs>
            <w:rPr>
              <w:rFonts w:eastAsiaTheme="minorEastAsia"/>
              <w:color w:val="auto"/>
              <w:kern w:val="2"/>
              <w:shd w:val="clear" w:color="auto" w:fill="auto"/>
            </w:rPr>
          </w:pPr>
          <w:r>
            <w:rPr>
              <w:color w:val="auto"/>
              <w:shd w:val="clear" w:color="auto" w:fill="auto"/>
            </w:rPr>
            <w:fldChar w:fldCharType="begin"/>
          </w:r>
          <w:r>
            <w:rPr>
              <w:color w:val="auto"/>
              <w:shd w:val="clear" w:color="auto" w:fill="auto"/>
            </w:rPr>
            <w:instrText xml:space="preserve"> HYPERLINK \l "_Toc87419463" </w:instrText>
          </w:r>
          <w:r>
            <w:rPr>
              <w:color w:val="auto"/>
              <w:shd w:val="clear" w:color="auto" w:fill="auto"/>
            </w:rPr>
            <w:fldChar w:fldCharType="separate"/>
          </w:r>
          <w:r>
            <w:rPr>
              <w:rStyle w:val="29"/>
              <w:color w:val="auto"/>
              <w:shd w:val="clear" w:color="auto" w:fill="auto"/>
            </w:rPr>
            <w:t>4.3 Thematic data</w:t>
          </w:r>
          <w:r>
            <w:rPr>
              <w:color w:val="auto"/>
              <w:shd w:val="clear" w:color="auto" w:fill="auto"/>
            </w:rPr>
            <w:tab/>
          </w:r>
          <w:r>
            <w:rPr>
              <w:rFonts w:hint="eastAsia"/>
              <w:color w:val="auto"/>
              <w:shd w:val="clear" w:color="auto" w:fill="auto"/>
              <w:lang w:val="en-US" w:eastAsia="zh-CN"/>
            </w:rPr>
            <w:t>9</w:t>
          </w:r>
          <w:r>
            <w:rPr>
              <w:color w:val="auto"/>
              <w:shd w:val="clear" w:color="auto" w:fill="auto"/>
            </w:rPr>
            <w:fldChar w:fldCharType="end"/>
          </w:r>
        </w:p>
        <w:p>
          <w:pPr>
            <w:pStyle w:val="20"/>
            <w:tabs>
              <w:tab w:val="right" w:leader="dot" w:pos="8296"/>
            </w:tabs>
            <w:rPr>
              <w:rFonts w:hint="eastAsia" w:eastAsia="宋体"/>
              <w:color w:val="auto"/>
              <w:kern w:val="2"/>
              <w:shd w:val="clear" w:color="auto" w:fill="auto"/>
              <w:lang w:val="en-US" w:eastAsia="zh-CN"/>
            </w:rPr>
          </w:pPr>
          <w:r>
            <w:rPr>
              <w:color w:val="auto"/>
              <w:shd w:val="clear" w:color="auto" w:fill="auto"/>
            </w:rPr>
            <w:fldChar w:fldCharType="begin"/>
          </w:r>
          <w:r>
            <w:rPr>
              <w:color w:val="auto"/>
              <w:shd w:val="clear" w:color="auto" w:fill="auto"/>
            </w:rPr>
            <w:instrText xml:space="preserve"> HYPERLINK \l "_Toc87419464" </w:instrText>
          </w:r>
          <w:r>
            <w:rPr>
              <w:color w:val="auto"/>
              <w:shd w:val="clear" w:color="auto" w:fill="auto"/>
            </w:rPr>
            <w:fldChar w:fldCharType="separate"/>
          </w:r>
          <w:r>
            <w:rPr>
              <w:rStyle w:val="29"/>
              <w:color w:val="auto"/>
              <w:shd w:val="clear" w:color="auto" w:fill="auto"/>
            </w:rPr>
            <w:t>4.4 Other data</w:t>
          </w:r>
          <w:r>
            <w:rPr>
              <w:color w:val="auto"/>
              <w:shd w:val="clear" w:color="auto" w:fill="auto"/>
            </w:rPr>
            <w:tab/>
          </w:r>
          <w:r>
            <w:rPr>
              <w:rFonts w:hint="eastAsia"/>
              <w:color w:val="auto"/>
              <w:shd w:val="clear" w:color="auto" w:fill="auto"/>
              <w:lang w:val="en-US" w:eastAsia="zh-CN"/>
            </w:rPr>
            <w:t>1</w:t>
          </w:r>
          <w:r>
            <w:rPr>
              <w:color w:val="auto"/>
              <w:shd w:val="clear" w:color="auto" w:fill="auto"/>
            </w:rPr>
            <w:fldChar w:fldCharType="end"/>
          </w:r>
          <w:r>
            <w:rPr>
              <w:rFonts w:hint="eastAsia"/>
              <w:color w:val="auto"/>
              <w:shd w:val="clear" w:color="auto" w:fill="auto"/>
              <w:lang w:val="en-US" w:eastAsia="zh-CN"/>
            </w:rPr>
            <w:t>1</w:t>
          </w:r>
        </w:p>
        <w:p>
          <w:pPr>
            <w:pStyle w:val="17"/>
            <w:rPr>
              <w:rFonts w:hint="default" w:ascii="Times New Roman" w:hAnsi="Times New Roman" w:eastAsia="宋体"/>
              <w:color w:val="auto"/>
              <w:kern w:val="2"/>
              <w:sz w:val="21"/>
              <w:szCs w:val="21"/>
              <w:shd w:val="clear" w:color="auto" w:fill="auto"/>
              <w:lang w:val="en-US" w:eastAsia="zh-CN"/>
            </w:rPr>
          </w:pPr>
          <w:r>
            <w:rPr>
              <w:color w:val="auto"/>
              <w:shd w:val="clear" w:color="auto" w:fill="auto"/>
            </w:rPr>
            <w:fldChar w:fldCharType="begin"/>
          </w:r>
          <w:r>
            <w:rPr>
              <w:color w:val="auto"/>
              <w:shd w:val="clear" w:color="auto" w:fill="auto"/>
            </w:rPr>
            <w:instrText xml:space="preserve"> HYPERLINK \l "_Toc87419465" </w:instrText>
          </w:r>
          <w:r>
            <w:rPr>
              <w:color w:val="auto"/>
              <w:shd w:val="clear" w:color="auto" w:fill="auto"/>
            </w:rPr>
            <w:fldChar w:fldCharType="separate"/>
          </w:r>
          <w:r>
            <w:rPr>
              <w:rStyle w:val="29"/>
              <w:rFonts w:ascii="Times New Roman" w:hAnsi="Times New Roman"/>
              <w:b/>
              <w:color w:val="auto"/>
              <w:sz w:val="21"/>
              <w:szCs w:val="21"/>
              <w:shd w:val="clear" w:color="auto" w:fill="auto"/>
            </w:rPr>
            <w:t xml:space="preserve">5 </w:t>
          </w:r>
          <w:r>
            <w:rPr>
              <w:rStyle w:val="29"/>
              <w:rFonts w:ascii="Times New Roman" w:hAnsi="Times New Roman" w:eastAsiaTheme="minorEastAsia"/>
              <w:color w:val="auto"/>
              <w:sz w:val="21"/>
              <w:szCs w:val="21"/>
              <w:shd w:val="clear" w:color="auto" w:fill="auto"/>
            </w:rPr>
            <w:t>Collection process</w:t>
          </w:r>
          <w:r>
            <w:rPr>
              <w:rFonts w:ascii="Times New Roman" w:hAnsi="Times New Roman"/>
              <w:color w:val="auto"/>
              <w:sz w:val="21"/>
              <w:szCs w:val="21"/>
              <w:shd w:val="clear" w:color="auto" w:fill="auto"/>
            </w:rPr>
            <w:tab/>
          </w:r>
          <w:r>
            <w:rPr>
              <w:rFonts w:ascii="Times New Roman" w:hAnsi="Times New Roman"/>
              <w:color w:val="auto"/>
              <w:sz w:val="21"/>
              <w:szCs w:val="21"/>
              <w:shd w:val="clear" w:color="auto" w:fill="auto"/>
            </w:rPr>
            <w:fldChar w:fldCharType="end"/>
          </w:r>
          <w:r>
            <w:rPr>
              <w:rFonts w:hint="eastAsia" w:ascii="Times New Roman" w:hAnsi="Times New Roman"/>
              <w:color w:val="auto"/>
              <w:sz w:val="21"/>
              <w:szCs w:val="21"/>
              <w:shd w:val="clear" w:color="auto" w:fill="auto"/>
              <w:lang w:val="en-US" w:eastAsia="zh-CN"/>
            </w:rPr>
            <w:t>12</w:t>
          </w:r>
        </w:p>
        <w:p>
          <w:pPr>
            <w:pStyle w:val="20"/>
            <w:tabs>
              <w:tab w:val="right" w:leader="dot" w:pos="8296"/>
            </w:tabs>
            <w:rPr>
              <w:rFonts w:hint="eastAsia" w:eastAsia="宋体"/>
              <w:color w:val="auto"/>
              <w:kern w:val="2"/>
              <w:shd w:val="clear" w:color="auto" w:fill="auto"/>
              <w:lang w:val="en-US" w:eastAsia="zh-CN"/>
            </w:rPr>
          </w:pPr>
          <w:r>
            <w:rPr>
              <w:color w:val="auto"/>
              <w:shd w:val="clear" w:color="auto" w:fill="auto"/>
            </w:rPr>
            <w:fldChar w:fldCharType="begin"/>
          </w:r>
          <w:r>
            <w:rPr>
              <w:color w:val="auto"/>
              <w:shd w:val="clear" w:color="auto" w:fill="auto"/>
            </w:rPr>
            <w:instrText xml:space="preserve"> HYPERLINK \l "_Toc87419466" </w:instrText>
          </w:r>
          <w:r>
            <w:rPr>
              <w:color w:val="auto"/>
              <w:shd w:val="clear" w:color="auto" w:fill="auto"/>
            </w:rPr>
            <w:fldChar w:fldCharType="separate"/>
          </w:r>
          <w:r>
            <w:rPr>
              <w:rStyle w:val="29"/>
              <w:color w:val="auto"/>
              <w:shd w:val="clear" w:color="auto" w:fill="auto"/>
            </w:rPr>
            <w:t>5.1 Preliminary preparation</w:t>
          </w:r>
          <w:r>
            <w:rPr>
              <w:color w:val="auto"/>
              <w:shd w:val="clear" w:color="auto" w:fill="auto"/>
            </w:rPr>
            <w:tab/>
          </w:r>
          <w:r>
            <w:rPr>
              <w:rFonts w:hint="eastAsia"/>
              <w:color w:val="auto"/>
              <w:shd w:val="clear" w:color="auto" w:fill="auto"/>
              <w:lang w:val="en-US" w:eastAsia="zh-CN"/>
            </w:rPr>
            <w:t>1</w:t>
          </w:r>
          <w:r>
            <w:rPr>
              <w:color w:val="auto"/>
              <w:shd w:val="clear" w:color="auto" w:fill="auto"/>
            </w:rPr>
            <w:fldChar w:fldCharType="end"/>
          </w:r>
          <w:r>
            <w:rPr>
              <w:rFonts w:hint="eastAsia"/>
              <w:color w:val="auto"/>
              <w:shd w:val="clear" w:color="auto" w:fill="auto"/>
              <w:lang w:val="en-US" w:eastAsia="zh-CN"/>
            </w:rPr>
            <w:t>2</w:t>
          </w:r>
        </w:p>
        <w:p>
          <w:pPr>
            <w:pStyle w:val="20"/>
            <w:tabs>
              <w:tab w:val="right" w:leader="dot" w:pos="8296"/>
            </w:tabs>
            <w:rPr>
              <w:rFonts w:hint="eastAsia" w:eastAsia="宋体"/>
              <w:color w:val="auto"/>
              <w:kern w:val="2"/>
              <w:shd w:val="clear" w:color="auto" w:fill="auto"/>
              <w:lang w:val="en-US" w:eastAsia="zh-CN"/>
            </w:rPr>
          </w:pPr>
          <w:r>
            <w:rPr>
              <w:color w:val="auto"/>
              <w:shd w:val="clear" w:color="auto" w:fill="auto"/>
            </w:rPr>
            <w:fldChar w:fldCharType="begin"/>
          </w:r>
          <w:r>
            <w:rPr>
              <w:color w:val="auto"/>
              <w:shd w:val="clear" w:color="auto" w:fill="auto"/>
            </w:rPr>
            <w:instrText xml:space="preserve"> HYPERLINK \l "_Toc87419467" </w:instrText>
          </w:r>
          <w:r>
            <w:rPr>
              <w:color w:val="auto"/>
              <w:shd w:val="clear" w:color="auto" w:fill="auto"/>
            </w:rPr>
            <w:fldChar w:fldCharType="separate"/>
          </w:r>
          <w:r>
            <w:rPr>
              <w:rStyle w:val="29"/>
              <w:color w:val="auto"/>
              <w:shd w:val="clear" w:color="auto" w:fill="auto"/>
            </w:rPr>
            <w:t>5.2 Data acquisition</w:t>
          </w:r>
          <w:r>
            <w:rPr>
              <w:color w:val="auto"/>
              <w:shd w:val="clear" w:color="auto" w:fill="auto"/>
            </w:rPr>
            <w:tab/>
          </w:r>
          <w:r>
            <w:rPr>
              <w:rFonts w:hint="eastAsia"/>
              <w:color w:val="auto"/>
              <w:shd w:val="clear" w:color="auto" w:fill="auto"/>
              <w:lang w:val="en-US" w:eastAsia="zh-CN"/>
            </w:rPr>
            <w:t>1</w:t>
          </w:r>
          <w:r>
            <w:rPr>
              <w:color w:val="auto"/>
              <w:shd w:val="clear" w:color="auto" w:fill="auto"/>
            </w:rPr>
            <w:fldChar w:fldCharType="end"/>
          </w:r>
          <w:r>
            <w:rPr>
              <w:rFonts w:hint="eastAsia"/>
              <w:color w:val="auto"/>
              <w:shd w:val="clear" w:color="auto" w:fill="auto"/>
              <w:lang w:val="en-US" w:eastAsia="zh-CN"/>
            </w:rPr>
            <w:t>2</w:t>
          </w:r>
        </w:p>
        <w:p>
          <w:pPr>
            <w:pStyle w:val="20"/>
            <w:tabs>
              <w:tab w:val="right" w:leader="dot" w:pos="8296"/>
            </w:tabs>
            <w:rPr>
              <w:rFonts w:hint="eastAsia" w:eastAsia="宋体"/>
              <w:color w:val="auto"/>
              <w:kern w:val="2"/>
              <w:shd w:val="clear" w:color="auto" w:fill="auto"/>
              <w:lang w:val="en-US" w:eastAsia="zh-CN"/>
            </w:rPr>
          </w:pPr>
          <w:r>
            <w:rPr>
              <w:color w:val="auto"/>
              <w:shd w:val="clear" w:color="auto" w:fill="auto"/>
            </w:rPr>
            <w:fldChar w:fldCharType="begin"/>
          </w:r>
          <w:r>
            <w:rPr>
              <w:color w:val="auto"/>
              <w:shd w:val="clear" w:color="auto" w:fill="auto"/>
            </w:rPr>
            <w:instrText xml:space="preserve"> HYPERLINK \l "_Toc87419468" </w:instrText>
          </w:r>
          <w:r>
            <w:rPr>
              <w:color w:val="auto"/>
              <w:shd w:val="clear" w:color="auto" w:fill="auto"/>
            </w:rPr>
            <w:fldChar w:fldCharType="separate"/>
          </w:r>
          <w:r>
            <w:rPr>
              <w:rStyle w:val="29"/>
              <w:color w:val="auto"/>
              <w:shd w:val="clear" w:color="auto" w:fill="auto"/>
            </w:rPr>
            <w:t>5.3 Data processing</w:t>
          </w:r>
          <w:r>
            <w:rPr>
              <w:color w:val="auto"/>
              <w:shd w:val="clear" w:color="auto" w:fill="auto"/>
            </w:rPr>
            <w:tab/>
          </w:r>
          <w:r>
            <w:rPr>
              <w:rFonts w:hint="eastAsia"/>
              <w:color w:val="auto"/>
              <w:shd w:val="clear" w:color="auto" w:fill="auto"/>
              <w:lang w:val="en-US" w:eastAsia="zh-CN"/>
            </w:rPr>
            <w:t>1</w:t>
          </w:r>
          <w:r>
            <w:rPr>
              <w:color w:val="auto"/>
              <w:shd w:val="clear" w:color="auto" w:fill="auto"/>
            </w:rPr>
            <w:fldChar w:fldCharType="end"/>
          </w:r>
          <w:r>
            <w:rPr>
              <w:rFonts w:hint="eastAsia"/>
              <w:color w:val="auto"/>
              <w:shd w:val="clear" w:color="auto" w:fill="auto"/>
              <w:lang w:val="en-US" w:eastAsia="zh-CN"/>
            </w:rPr>
            <w:t>2</w:t>
          </w:r>
        </w:p>
        <w:p>
          <w:pPr>
            <w:pStyle w:val="17"/>
            <w:rPr>
              <w:rFonts w:hint="eastAsia" w:ascii="Times New Roman" w:hAnsi="Times New Roman" w:eastAsia="宋体"/>
              <w:color w:val="auto"/>
              <w:kern w:val="2"/>
              <w:sz w:val="21"/>
              <w:szCs w:val="21"/>
              <w:shd w:val="clear" w:color="auto" w:fill="auto"/>
              <w:lang w:val="en-US" w:eastAsia="zh-CN"/>
            </w:rPr>
          </w:pPr>
          <w:r>
            <w:rPr>
              <w:color w:val="auto"/>
              <w:shd w:val="clear" w:color="auto" w:fill="auto"/>
            </w:rPr>
            <w:fldChar w:fldCharType="begin"/>
          </w:r>
          <w:r>
            <w:rPr>
              <w:color w:val="auto"/>
              <w:shd w:val="clear" w:color="auto" w:fill="auto"/>
            </w:rPr>
            <w:instrText xml:space="preserve"> HYPERLINK \l "_Toc87419469" </w:instrText>
          </w:r>
          <w:r>
            <w:rPr>
              <w:color w:val="auto"/>
              <w:shd w:val="clear" w:color="auto" w:fill="auto"/>
            </w:rPr>
            <w:fldChar w:fldCharType="separate"/>
          </w:r>
          <w:r>
            <w:rPr>
              <w:rStyle w:val="29"/>
              <w:rFonts w:ascii="Times New Roman" w:hAnsi="Times New Roman"/>
              <w:b/>
              <w:color w:val="auto"/>
              <w:sz w:val="21"/>
              <w:szCs w:val="21"/>
              <w:shd w:val="clear" w:color="auto" w:fill="auto"/>
            </w:rPr>
            <w:t xml:space="preserve">6 </w:t>
          </w:r>
          <w:r>
            <w:rPr>
              <w:rStyle w:val="29"/>
              <w:rFonts w:ascii="Times New Roman" w:hAnsi="Times New Roman" w:eastAsiaTheme="minorEastAsia"/>
              <w:color w:val="auto"/>
              <w:sz w:val="21"/>
              <w:szCs w:val="21"/>
              <w:shd w:val="clear" w:color="auto" w:fill="auto"/>
            </w:rPr>
            <w:t>Data acquisition means</w:t>
          </w:r>
          <w:r>
            <w:rPr>
              <w:rFonts w:ascii="Times New Roman" w:hAnsi="Times New Roman"/>
              <w:color w:val="auto"/>
              <w:sz w:val="21"/>
              <w:szCs w:val="21"/>
              <w:shd w:val="clear" w:color="auto" w:fill="auto"/>
            </w:rPr>
            <w:tab/>
          </w:r>
          <w:r>
            <w:rPr>
              <w:rFonts w:hint="eastAsia" w:ascii="Times New Roman" w:hAnsi="Times New Roman"/>
              <w:color w:val="auto"/>
              <w:sz w:val="21"/>
              <w:szCs w:val="21"/>
              <w:shd w:val="clear" w:color="auto" w:fill="auto"/>
              <w:lang w:val="en-US" w:eastAsia="zh-CN"/>
            </w:rPr>
            <w:t>1</w:t>
          </w:r>
          <w:r>
            <w:rPr>
              <w:rFonts w:ascii="Times New Roman" w:hAnsi="Times New Roman"/>
              <w:color w:val="auto"/>
              <w:sz w:val="21"/>
              <w:szCs w:val="21"/>
              <w:shd w:val="clear" w:color="auto" w:fill="auto"/>
            </w:rPr>
            <w:fldChar w:fldCharType="end"/>
          </w:r>
          <w:r>
            <w:rPr>
              <w:rFonts w:hint="eastAsia" w:ascii="Times New Roman" w:hAnsi="Times New Roman"/>
              <w:color w:val="auto"/>
              <w:sz w:val="21"/>
              <w:szCs w:val="21"/>
              <w:shd w:val="clear" w:color="auto" w:fill="auto"/>
              <w:lang w:val="en-US" w:eastAsia="zh-CN"/>
            </w:rPr>
            <w:t>3</w:t>
          </w:r>
        </w:p>
        <w:p>
          <w:pPr>
            <w:pStyle w:val="20"/>
            <w:tabs>
              <w:tab w:val="right" w:leader="dot" w:pos="8296"/>
            </w:tabs>
            <w:rPr>
              <w:rFonts w:hint="eastAsia" w:eastAsia="宋体"/>
              <w:color w:val="auto"/>
              <w:kern w:val="2"/>
              <w:shd w:val="clear" w:color="auto" w:fill="auto"/>
              <w:lang w:val="en-US" w:eastAsia="zh-CN"/>
            </w:rPr>
          </w:pPr>
          <w:r>
            <w:rPr>
              <w:color w:val="auto"/>
              <w:shd w:val="clear" w:color="auto" w:fill="auto"/>
            </w:rPr>
            <w:fldChar w:fldCharType="begin"/>
          </w:r>
          <w:r>
            <w:rPr>
              <w:color w:val="auto"/>
              <w:shd w:val="clear" w:color="auto" w:fill="auto"/>
            </w:rPr>
            <w:instrText xml:space="preserve"> HYPERLINK \l "_Toc87419470" </w:instrText>
          </w:r>
          <w:r>
            <w:rPr>
              <w:color w:val="auto"/>
              <w:shd w:val="clear" w:color="auto" w:fill="auto"/>
            </w:rPr>
            <w:fldChar w:fldCharType="separate"/>
          </w:r>
          <w:r>
            <w:rPr>
              <w:rStyle w:val="29"/>
              <w:color w:val="auto"/>
              <w:shd w:val="clear" w:color="auto" w:fill="auto"/>
            </w:rPr>
            <w:t>6.1 Collection of administrative report submission</w:t>
          </w:r>
          <w:r>
            <w:rPr>
              <w:color w:val="auto"/>
              <w:shd w:val="clear" w:color="auto" w:fill="auto"/>
            </w:rPr>
            <w:tab/>
          </w:r>
          <w:r>
            <w:rPr>
              <w:rFonts w:hint="eastAsia"/>
              <w:color w:val="auto"/>
              <w:shd w:val="clear" w:color="auto" w:fill="auto"/>
              <w:lang w:val="en-US" w:eastAsia="zh-CN"/>
            </w:rPr>
            <w:t>1</w:t>
          </w:r>
          <w:r>
            <w:rPr>
              <w:color w:val="auto"/>
              <w:shd w:val="clear" w:color="auto" w:fill="auto"/>
            </w:rPr>
            <w:fldChar w:fldCharType="end"/>
          </w:r>
          <w:r>
            <w:rPr>
              <w:rFonts w:hint="eastAsia"/>
              <w:color w:val="auto"/>
              <w:shd w:val="clear" w:color="auto" w:fill="auto"/>
              <w:lang w:val="en-US" w:eastAsia="zh-CN"/>
            </w:rPr>
            <w:t>3</w:t>
          </w:r>
        </w:p>
        <w:p>
          <w:pPr>
            <w:pStyle w:val="20"/>
            <w:tabs>
              <w:tab w:val="right" w:leader="dot" w:pos="8296"/>
            </w:tabs>
            <w:rPr>
              <w:rFonts w:hint="eastAsia" w:eastAsia="宋体"/>
              <w:color w:val="auto"/>
              <w:kern w:val="2"/>
              <w:shd w:val="clear" w:color="auto" w:fill="auto"/>
              <w:lang w:val="en-US" w:eastAsia="zh-CN"/>
            </w:rPr>
          </w:pPr>
          <w:r>
            <w:rPr>
              <w:color w:val="auto"/>
              <w:shd w:val="clear" w:color="auto" w:fill="auto"/>
            </w:rPr>
            <w:fldChar w:fldCharType="begin"/>
          </w:r>
          <w:r>
            <w:rPr>
              <w:color w:val="auto"/>
              <w:shd w:val="clear" w:color="auto" w:fill="auto"/>
            </w:rPr>
            <w:instrText xml:space="preserve"> HYPERLINK \l "_Toc87419471" </w:instrText>
          </w:r>
          <w:r>
            <w:rPr>
              <w:color w:val="auto"/>
              <w:shd w:val="clear" w:color="auto" w:fill="auto"/>
            </w:rPr>
            <w:fldChar w:fldCharType="separate"/>
          </w:r>
          <w:r>
            <w:rPr>
              <w:rStyle w:val="29"/>
              <w:color w:val="auto"/>
              <w:shd w:val="clear" w:color="auto" w:fill="auto"/>
            </w:rPr>
            <w:t>6.2 Industry monitoring data collection</w:t>
          </w:r>
          <w:r>
            <w:rPr>
              <w:color w:val="auto"/>
              <w:shd w:val="clear" w:color="auto" w:fill="auto"/>
            </w:rPr>
            <w:tab/>
          </w:r>
          <w:r>
            <w:rPr>
              <w:rFonts w:hint="eastAsia"/>
              <w:color w:val="auto"/>
              <w:shd w:val="clear" w:color="auto" w:fill="auto"/>
              <w:lang w:val="en-US" w:eastAsia="zh-CN"/>
            </w:rPr>
            <w:t>1</w:t>
          </w:r>
          <w:r>
            <w:rPr>
              <w:color w:val="auto"/>
              <w:shd w:val="clear" w:color="auto" w:fill="auto"/>
            </w:rPr>
            <w:fldChar w:fldCharType="end"/>
          </w:r>
          <w:r>
            <w:rPr>
              <w:rFonts w:hint="eastAsia"/>
              <w:color w:val="auto"/>
              <w:shd w:val="clear" w:color="auto" w:fill="auto"/>
              <w:lang w:val="en-US" w:eastAsia="zh-CN"/>
            </w:rPr>
            <w:t>3</w:t>
          </w:r>
        </w:p>
        <w:p>
          <w:pPr>
            <w:pStyle w:val="20"/>
            <w:tabs>
              <w:tab w:val="right" w:leader="dot" w:pos="8296"/>
            </w:tabs>
            <w:rPr>
              <w:rFonts w:hint="eastAsia" w:eastAsia="宋体"/>
              <w:color w:val="auto"/>
              <w:kern w:val="2"/>
              <w:shd w:val="clear" w:color="auto" w:fill="auto"/>
              <w:lang w:val="en-US" w:eastAsia="zh-CN"/>
            </w:rPr>
          </w:pPr>
          <w:r>
            <w:rPr>
              <w:color w:val="auto"/>
              <w:shd w:val="clear" w:color="auto" w:fill="auto"/>
            </w:rPr>
            <w:fldChar w:fldCharType="begin"/>
          </w:r>
          <w:r>
            <w:rPr>
              <w:color w:val="auto"/>
              <w:shd w:val="clear" w:color="auto" w:fill="auto"/>
            </w:rPr>
            <w:instrText xml:space="preserve"> HYPERLINK \l "_Toc87419472" </w:instrText>
          </w:r>
          <w:r>
            <w:rPr>
              <w:color w:val="auto"/>
              <w:shd w:val="clear" w:color="auto" w:fill="auto"/>
            </w:rPr>
            <w:fldChar w:fldCharType="separate"/>
          </w:r>
          <w:r>
            <w:rPr>
              <w:rStyle w:val="29"/>
              <w:color w:val="auto"/>
              <w:shd w:val="clear" w:color="auto" w:fill="auto"/>
            </w:rPr>
            <w:t>6.3 Field survey data collection</w:t>
          </w:r>
          <w:r>
            <w:rPr>
              <w:color w:val="auto"/>
              <w:shd w:val="clear" w:color="auto" w:fill="auto"/>
            </w:rPr>
            <w:tab/>
          </w:r>
          <w:r>
            <w:rPr>
              <w:rFonts w:hint="eastAsia"/>
              <w:color w:val="auto"/>
              <w:shd w:val="clear" w:color="auto" w:fill="auto"/>
              <w:lang w:val="en-US" w:eastAsia="zh-CN"/>
            </w:rPr>
            <w:t>1</w:t>
          </w:r>
          <w:r>
            <w:rPr>
              <w:color w:val="auto"/>
              <w:shd w:val="clear" w:color="auto" w:fill="auto"/>
            </w:rPr>
            <w:fldChar w:fldCharType="end"/>
          </w:r>
          <w:r>
            <w:rPr>
              <w:rFonts w:hint="eastAsia"/>
              <w:color w:val="auto"/>
              <w:shd w:val="clear" w:color="auto" w:fill="auto"/>
              <w:lang w:val="en-US" w:eastAsia="zh-CN"/>
            </w:rPr>
            <w:t>3</w:t>
          </w:r>
        </w:p>
        <w:p>
          <w:pPr>
            <w:pStyle w:val="20"/>
            <w:tabs>
              <w:tab w:val="right" w:leader="dot" w:pos="8296"/>
            </w:tabs>
            <w:rPr>
              <w:rFonts w:hint="eastAsia" w:eastAsia="宋体"/>
              <w:color w:val="auto"/>
              <w:kern w:val="2"/>
              <w:shd w:val="clear" w:color="auto" w:fill="auto"/>
              <w:lang w:val="en-US" w:eastAsia="zh-CN"/>
            </w:rPr>
          </w:pPr>
          <w:r>
            <w:rPr>
              <w:color w:val="auto"/>
              <w:shd w:val="clear" w:color="auto" w:fill="auto"/>
            </w:rPr>
            <w:fldChar w:fldCharType="begin"/>
          </w:r>
          <w:r>
            <w:rPr>
              <w:color w:val="auto"/>
              <w:shd w:val="clear" w:color="auto" w:fill="auto"/>
            </w:rPr>
            <w:instrText xml:space="preserve"> HYPERLINK \l "_Toc87419473" </w:instrText>
          </w:r>
          <w:r>
            <w:rPr>
              <w:color w:val="auto"/>
              <w:shd w:val="clear" w:color="auto" w:fill="auto"/>
            </w:rPr>
            <w:fldChar w:fldCharType="separate"/>
          </w:r>
          <w:r>
            <w:rPr>
              <w:rStyle w:val="29"/>
              <w:color w:val="auto"/>
              <w:shd w:val="clear" w:color="auto" w:fill="auto"/>
            </w:rPr>
            <w:t>6.4 Questionnaire survey and interview collection</w:t>
          </w:r>
          <w:r>
            <w:rPr>
              <w:color w:val="auto"/>
              <w:shd w:val="clear" w:color="auto" w:fill="auto"/>
            </w:rPr>
            <w:tab/>
          </w:r>
          <w:r>
            <w:rPr>
              <w:rFonts w:hint="eastAsia"/>
              <w:color w:val="auto"/>
              <w:shd w:val="clear" w:color="auto" w:fill="auto"/>
              <w:lang w:val="en-US" w:eastAsia="zh-CN"/>
            </w:rPr>
            <w:t>1</w:t>
          </w:r>
          <w:r>
            <w:rPr>
              <w:color w:val="auto"/>
              <w:shd w:val="clear" w:color="auto" w:fill="auto"/>
            </w:rPr>
            <w:fldChar w:fldCharType="end"/>
          </w:r>
          <w:r>
            <w:rPr>
              <w:rFonts w:hint="eastAsia"/>
              <w:color w:val="auto"/>
              <w:shd w:val="clear" w:color="auto" w:fill="auto"/>
              <w:lang w:val="en-US" w:eastAsia="zh-CN"/>
            </w:rPr>
            <w:t>4</w:t>
          </w:r>
        </w:p>
        <w:p>
          <w:pPr>
            <w:pStyle w:val="20"/>
            <w:tabs>
              <w:tab w:val="right" w:leader="dot" w:pos="8296"/>
            </w:tabs>
            <w:rPr>
              <w:rFonts w:hint="eastAsia" w:eastAsia="宋体"/>
              <w:color w:val="auto"/>
              <w:kern w:val="2"/>
              <w:shd w:val="clear" w:color="auto" w:fill="auto"/>
              <w:lang w:val="en-US" w:eastAsia="zh-CN"/>
            </w:rPr>
          </w:pPr>
          <w:r>
            <w:rPr>
              <w:color w:val="auto"/>
              <w:shd w:val="clear" w:color="auto" w:fill="auto"/>
            </w:rPr>
            <w:fldChar w:fldCharType="begin"/>
          </w:r>
          <w:r>
            <w:rPr>
              <w:color w:val="auto"/>
              <w:shd w:val="clear" w:color="auto" w:fill="auto"/>
            </w:rPr>
            <w:instrText xml:space="preserve"> HYPERLINK \l "_Toc87419474" </w:instrText>
          </w:r>
          <w:r>
            <w:rPr>
              <w:color w:val="auto"/>
              <w:shd w:val="clear" w:color="auto" w:fill="auto"/>
            </w:rPr>
            <w:fldChar w:fldCharType="separate"/>
          </w:r>
          <w:r>
            <w:rPr>
              <w:rStyle w:val="29"/>
              <w:color w:val="auto"/>
              <w:shd w:val="clear" w:color="auto" w:fill="auto"/>
            </w:rPr>
            <w:t>6.5 Internet of things and sensor acquisition</w:t>
          </w:r>
          <w:r>
            <w:rPr>
              <w:color w:val="auto"/>
              <w:shd w:val="clear" w:color="auto" w:fill="auto"/>
            </w:rPr>
            <w:tab/>
          </w:r>
          <w:r>
            <w:rPr>
              <w:rFonts w:hint="eastAsia"/>
              <w:color w:val="auto"/>
              <w:shd w:val="clear" w:color="auto" w:fill="auto"/>
              <w:lang w:val="en-US" w:eastAsia="zh-CN"/>
            </w:rPr>
            <w:t>1</w:t>
          </w:r>
          <w:r>
            <w:rPr>
              <w:color w:val="auto"/>
              <w:shd w:val="clear" w:color="auto" w:fill="auto"/>
            </w:rPr>
            <w:fldChar w:fldCharType="end"/>
          </w:r>
          <w:r>
            <w:rPr>
              <w:rFonts w:hint="eastAsia"/>
              <w:color w:val="auto"/>
              <w:shd w:val="clear" w:color="auto" w:fill="auto"/>
              <w:lang w:val="en-US" w:eastAsia="zh-CN"/>
            </w:rPr>
            <w:t>4</w:t>
          </w:r>
        </w:p>
        <w:p>
          <w:pPr>
            <w:pStyle w:val="20"/>
            <w:tabs>
              <w:tab w:val="right" w:leader="dot" w:pos="8296"/>
            </w:tabs>
            <w:rPr>
              <w:rFonts w:hint="eastAsia" w:eastAsia="宋体"/>
              <w:color w:val="auto"/>
              <w:kern w:val="2"/>
              <w:shd w:val="clear" w:color="auto" w:fill="auto"/>
              <w:lang w:val="en-US" w:eastAsia="zh-CN"/>
            </w:rPr>
          </w:pPr>
          <w:r>
            <w:rPr>
              <w:color w:val="auto"/>
              <w:shd w:val="clear" w:color="auto" w:fill="auto"/>
            </w:rPr>
            <w:fldChar w:fldCharType="begin"/>
          </w:r>
          <w:r>
            <w:rPr>
              <w:color w:val="auto"/>
              <w:shd w:val="clear" w:color="auto" w:fill="auto"/>
            </w:rPr>
            <w:instrText xml:space="preserve"> HYPERLINK \l "_Toc87419475" </w:instrText>
          </w:r>
          <w:r>
            <w:rPr>
              <w:color w:val="auto"/>
              <w:shd w:val="clear" w:color="auto" w:fill="auto"/>
            </w:rPr>
            <w:fldChar w:fldCharType="separate"/>
          </w:r>
          <w:r>
            <w:rPr>
              <w:rStyle w:val="29"/>
              <w:color w:val="auto"/>
              <w:shd w:val="clear" w:color="auto" w:fill="auto"/>
            </w:rPr>
            <w:t>6.6 Internet data collection</w:t>
          </w:r>
          <w:r>
            <w:rPr>
              <w:color w:val="auto"/>
              <w:shd w:val="clear" w:color="auto" w:fill="auto"/>
            </w:rPr>
            <w:tab/>
          </w:r>
          <w:r>
            <w:rPr>
              <w:rFonts w:hint="eastAsia"/>
              <w:color w:val="auto"/>
              <w:shd w:val="clear" w:color="auto" w:fill="auto"/>
              <w:lang w:val="en-US" w:eastAsia="zh-CN"/>
            </w:rPr>
            <w:t>1</w:t>
          </w:r>
          <w:r>
            <w:rPr>
              <w:color w:val="auto"/>
              <w:shd w:val="clear" w:color="auto" w:fill="auto"/>
            </w:rPr>
            <w:fldChar w:fldCharType="end"/>
          </w:r>
          <w:r>
            <w:rPr>
              <w:rFonts w:hint="eastAsia"/>
              <w:color w:val="auto"/>
              <w:shd w:val="clear" w:color="auto" w:fill="auto"/>
              <w:lang w:val="en-US" w:eastAsia="zh-CN"/>
            </w:rPr>
            <w:t>5</w:t>
          </w:r>
        </w:p>
        <w:p>
          <w:pPr>
            <w:pStyle w:val="17"/>
            <w:rPr>
              <w:rFonts w:ascii="Times New Roman" w:hAnsi="Times New Roman" w:eastAsiaTheme="minorEastAsia"/>
              <w:color w:val="auto"/>
              <w:kern w:val="2"/>
              <w:sz w:val="21"/>
              <w:szCs w:val="21"/>
              <w:shd w:val="clear" w:color="auto" w:fill="auto"/>
            </w:rPr>
          </w:pPr>
          <w:r>
            <w:rPr>
              <w:color w:val="auto"/>
              <w:shd w:val="clear" w:color="auto" w:fill="auto"/>
            </w:rPr>
            <w:fldChar w:fldCharType="begin"/>
          </w:r>
          <w:r>
            <w:rPr>
              <w:color w:val="auto"/>
              <w:shd w:val="clear" w:color="auto" w:fill="auto"/>
            </w:rPr>
            <w:instrText xml:space="preserve"> HYPERLINK \l "_Toc87419476" </w:instrText>
          </w:r>
          <w:r>
            <w:rPr>
              <w:color w:val="auto"/>
              <w:shd w:val="clear" w:color="auto" w:fill="auto"/>
            </w:rPr>
            <w:fldChar w:fldCharType="separate"/>
          </w:r>
          <w:r>
            <w:rPr>
              <w:rStyle w:val="29"/>
              <w:rFonts w:ascii="Times New Roman" w:hAnsi="Times New Roman"/>
              <w:b/>
              <w:color w:val="auto"/>
              <w:sz w:val="21"/>
              <w:szCs w:val="21"/>
              <w:shd w:val="clear" w:color="auto" w:fill="auto"/>
            </w:rPr>
            <w:t xml:space="preserve">7 </w:t>
          </w:r>
          <w:r>
            <w:rPr>
              <w:rStyle w:val="29"/>
              <w:rFonts w:ascii="Times New Roman" w:hAnsi="Times New Roman" w:eastAsiaTheme="minorEastAsia"/>
              <w:color w:val="auto"/>
              <w:sz w:val="21"/>
              <w:szCs w:val="21"/>
              <w:shd w:val="clear" w:color="auto" w:fill="auto"/>
            </w:rPr>
            <w:t>Data processing requirements</w:t>
          </w:r>
          <w:r>
            <w:rPr>
              <w:rFonts w:ascii="Times New Roman" w:hAnsi="Times New Roman"/>
              <w:color w:val="auto"/>
              <w:sz w:val="21"/>
              <w:szCs w:val="21"/>
              <w:shd w:val="clear" w:color="auto" w:fill="auto"/>
            </w:rPr>
            <w:tab/>
          </w:r>
          <w:r>
            <w:rPr>
              <w:rFonts w:ascii="Times New Roman" w:hAnsi="Times New Roman"/>
              <w:color w:val="auto"/>
              <w:sz w:val="21"/>
              <w:szCs w:val="21"/>
              <w:shd w:val="clear" w:color="auto" w:fill="auto"/>
            </w:rPr>
            <w:t>1</w:t>
          </w:r>
          <w:r>
            <w:rPr>
              <w:rFonts w:hint="eastAsia" w:ascii="Times New Roman" w:hAnsi="Times New Roman"/>
              <w:color w:val="auto"/>
              <w:sz w:val="21"/>
              <w:szCs w:val="21"/>
              <w:shd w:val="clear" w:color="auto" w:fill="auto"/>
              <w:lang w:val="en-US" w:eastAsia="zh-CN"/>
            </w:rPr>
            <w:t>6</w:t>
          </w:r>
          <w:r>
            <w:rPr>
              <w:rFonts w:ascii="Times New Roman" w:hAnsi="Times New Roman"/>
              <w:color w:val="auto"/>
              <w:sz w:val="21"/>
              <w:szCs w:val="21"/>
              <w:shd w:val="clear" w:color="auto" w:fill="auto"/>
            </w:rPr>
            <w:fldChar w:fldCharType="end"/>
          </w:r>
        </w:p>
        <w:p>
          <w:pPr>
            <w:pStyle w:val="20"/>
            <w:tabs>
              <w:tab w:val="right" w:leader="dot" w:pos="8296"/>
            </w:tabs>
            <w:rPr>
              <w:rFonts w:eastAsiaTheme="minorEastAsia"/>
              <w:color w:val="auto"/>
              <w:kern w:val="2"/>
              <w:shd w:val="clear" w:color="auto" w:fill="auto"/>
            </w:rPr>
          </w:pPr>
          <w:r>
            <w:rPr>
              <w:color w:val="auto"/>
              <w:shd w:val="clear" w:color="auto" w:fill="auto"/>
            </w:rPr>
            <w:fldChar w:fldCharType="begin"/>
          </w:r>
          <w:r>
            <w:rPr>
              <w:color w:val="auto"/>
              <w:shd w:val="clear" w:color="auto" w:fill="auto"/>
            </w:rPr>
            <w:instrText xml:space="preserve"> HYPERLINK \l "_Toc87419477" </w:instrText>
          </w:r>
          <w:r>
            <w:rPr>
              <w:color w:val="auto"/>
              <w:shd w:val="clear" w:color="auto" w:fill="auto"/>
            </w:rPr>
            <w:fldChar w:fldCharType="separate"/>
          </w:r>
          <w:r>
            <w:rPr>
              <w:rStyle w:val="29"/>
              <w:color w:val="auto"/>
              <w:shd w:val="clear" w:color="auto" w:fill="auto"/>
            </w:rPr>
            <w:t>7.1 Data classification and Cataloging</w:t>
          </w:r>
          <w:r>
            <w:rPr>
              <w:color w:val="auto"/>
              <w:shd w:val="clear" w:color="auto" w:fill="auto"/>
            </w:rPr>
            <w:tab/>
          </w:r>
          <w:r>
            <w:rPr>
              <w:color w:val="auto"/>
              <w:shd w:val="clear" w:color="auto" w:fill="auto"/>
            </w:rPr>
            <w:t>1</w:t>
          </w:r>
          <w:r>
            <w:rPr>
              <w:rFonts w:hint="eastAsia"/>
              <w:color w:val="auto"/>
              <w:shd w:val="clear" w:color="auto" w:fill="auto"/>
              <w:lang w:val="en-US" w:eastAsia="zh-CN"/>
            </w:rPr>
            <w:t>6</w:t>
          </w:r>
          <w:r>
            <w:rPr>
              <w:color w:val="auto"/>
              <w:shd w:val="clear" w:color="auto" w:fill="auto"/>
            </w:rPr>
            <w:fldChar w:fldCharType="end"/>
          </w:r>
        </w:p>
        <w:p>
          <w:pPr>
            <w:pStyle w:val="20"/>
            <w:tabs>
              <w:tab w:val="right" w:leader="dot" w:pos="8296"/>
            </w:tabs>
            <w:rPr>
              <w:rFonts w:eastAsiaTheme="minorEastAsia"/>
              <w:color w:val="auto"/>
              <w:kern w:val="2"/>
              <w:shd w:val="clear" w:color="auto" w:fill="auto"/>
            </w:rPr>
          </w:pPr>
          <w:r>
            <w:rPr>
              <w:color w:val="auto"/>
              <w:shd w:val="clear" w:color="auto" w:fill="auto"/>
            </w:rPr>
            <w:fldChar w:fldCharType="begin"/>
          </w:r>
          <w:r>
            <w:rPr>
              <w:color w:val="auto"/>
              <w:shd w:val="clear" w:color="auto" w:fill="auto"/>
            </w:rPr>
            <w:instrText xml:space="preserve"> HYPERLINK \l "_Toc87419478" </w:instrText>
          </w:r>
          <w:r>
            <w:rPr>
              <w:color w:val="auto"/>
              <w:shd w:val="clear" w:color="auto" w:fill="auto"/>
            </w:rPr>
            <w:fldChar w:fldCharType="separate"/>
          </w:r>
          <w:r>
            <w:rPr>
              <w:rStyle w:val="29"/>
              <w:color w:val="auto"/>
              <w:shd w:val="clear" w:color="auto" w:fill="auto"/>
            </w:rPr>
            <w:t>7.2 Basic data processing</w:t>
          </w:r>
          <w:r>
            <w:rPr>
              <w:color w:val="auto"/>
              <w:shd w:val="clear" w:color="auto" w:fill="auto"/>
            </w:rPr>
            <w:tab/>
          </w:r>
          <w:r>
            <w:rPr>
              <w:color w:val="auto"/>
              <w:shd w:val="clear" w:color="auto" w:fill="auto"/>
            </w:rPr>
            <w:t>1</w:t>
          </w:r>
          <w:r>
            <w:rPr>
              <w:rFonts w:hint="eastAsia"/>
              <w:color w:val="auto"/>
              <w:shd w:val="clear" w:color="auto" w:fill="auto"/>
              <w:lang w:val="en-US" w:eastAsia="zh-CN"/>
            </w:rPr>
            <w:t>6</w:t>
          </w:r>
          <w:r>
            <w:rPr>
              <w:color w:val="auto"/>
              <w:shd w:val="clear" w:color="auto" w:fill="auto"/>
            </w:rPr>
            <w:fldChar w:fldCharType="end"/>
          </w:r>
        </w:p>
        <w:p>
          <w:pPr>
            <w:pStyle w:val="20"/>
            <w:tabs>
              <w:tab w:val="right" w:leader="dot" w:pos="8296"/>
            </w:tabs>
            <w:rPr>
              <w:rFonts w:eastAsiaTheme="minorEastAsia"/>
              <w:color w:val="auto"/>
              <w:kern w:val="2"/>
              <w:shd w:val="clear" w:color="auto" w:fill="auto"/>
            </w:rPr>
          </w:pPr>
          <w:r>
            <w:rPr>
              <w:color w:val="auto"/>
              <w:shd w:val="clear" w:color="auto" w:fill="auto"/>
            </w:rPr>
            <w:fldChar w:fldCharType="begin"/>
          </w:r>
          <w:r>
            <w:rPr>
              <w:color w:val="auto"/>
              <w:shd w:val="clear" w:color="auto" w:fill="auto"/>
            </w:rPr>
            <w:instrText xml:space="preserve"> HYPERLINK \l "_Toc87419479" </w:instrText>
          </w:r>
          <w:r>
            <w:rPr>
              <w:color w:val="auto"/>
              <w:shd w:val="clear" w:color="auto" w:fill="auto"/>
            </w:rPr>
            <w:fldChar w:fldCharType="separate"/>
          </w:r>
          <w:r>
            <w:rPr>
              <w:rStyle w:val="29"/>
              <w:color w:val="auto"/>
              <w:shd w:val="clear" w:color="auto" w:fill="auto"/>
            </w:rPr>
            <w:t>7.3 Thematic data processing</w:t>
          </w:r>
          <w:r>
            <w:rPr>
              <w:color w:val="auto"/>
              <w:shd w:val="clear" w:color="auto" w:fill="auto"/>
            </w:rPr>
            <w:tab/>
          </w:r>
          <w:r>
            <w:rPr>
              <w:color w:val="auto"/>
              <w:shd w:val="clear" w:color="auto" w:fill="auto"/>
            </w:rPr>
            <w:t>1</w:t>
          </w:r>
          <w:r>
            <w:rPr>
              <w:rFonts w:hint="eastAsia"/>
              <w:color w:val="auto"/>
              <w:shd w:val="clear" w:color="auto" w:fill="auto"/>
              <w:lang w:val="en-US" w:eastAsia="zh-CN"/>
            </w:rPr>
            <w:t>6</w:t>
          </w:r>
          <w:r>
            <w:rPr>
              <w:color w:val="auto"/>
              <w:shd w:val="clear" w:color="auto" w:fill="auto"/>
            </w:rPr>
            <w:fldChar w:fldCharType="end"/>
          </w:r>
        </w:p>
        <w:p>
          <w:pPr>
            <w:pStyle w:val="20"/>
            <w:tabs>
              <w:tab w:val="right" w:leader="dot" w:pos="8296"/>
            </w:tabs>
            <w:rPr>
              <w:rFonts w:eastAsiaTheme="minorEastAsia"/>
              <w:color w:val="auto"/>
              <w:kern w:val="2"/>
              <w:shd w:val="clear" w:color="auto" w:fill="auto"/>
            </w:rPr>
          </w:pPr>
          <w:r>
            <w:rPr>
              <w:color w:val="auto"/>
              <w:shd w:val="clear" w:color="auto" w:fill="auto"/>
            </w:rPr>
            <w:fldChar w:fldCharType="begin"/>
          </w:r>
          <w:r>
            <w:rPr>
              <w:color w:val="auto"/>
              <w:shd w:val="clear" w:color="auto" w:fill="auto"/>
            </w:rPr>
            <w:instrText xml:space="preserve"> HYPERLINK \l "_Toc87419480" </w:instrText>
          </w:r>
          <w:r>
            <w:rPr>
              <w:color w:val="auto"/>
              <w:shd w:val="clear" w:color="auto" w:fill="auto"/>
            </w:rPr>
            <w:fldChar w:fldCharType="separate"/>
          </w:r>
          <w:r>
            <w:rPr>
              <w:rStyle w:val="29"/>
              <w:color w:val="auto"/>
              <w:shd w:val="clear" w:color="auto" w:fill="auto"/>
            </w:rPr>
            <w:t>7.4 Data quality</w:t>
          </w:r>
          <w:r>
            <w:rPr>
              <w:color w:val="auto"/>
              <w:shd w:val="clear" w:color="auto" w:fill="auto"/>
            </w:rPr>
            <w:tab/>
          </w:r>
          <w:r>
            <w:rPr>
              <w:color w:val="auto"/>
              <w:shd w:val="clear" w:color="auto" w:fill="auto"/>
            </w:rPr>
            <w:t>1</w:t>
          </w:r>
          <w:r>
            <w:rPr>
              <w:rFonts w:hint="eastAsia"/>
              <w:color w:val="auto"/>
              <w:shd w:val="clear" w:color="auto" w:fill="auto"/>
              <w:lang w:val="en-US" w:eastAsia="zh-CN"/>
            </w:rPr>
            <w:t>7</w:t>
          </w:r>
          <w:r>
            <w:rPr>
              <w:color w:val="auto"/>
              <w:shd w:val="clear" w:color="auto" w:fill="auto"/>
            </w:rPr>
            <w:fldChar w:fldCharType="end"/>
          </w:r>
        </w:p>
        <w:p>
          <w:pPr>
            <w:pStyle w:val="20"/>
            <w:tabs>
              <w:tab w:val="right" w:leader="dot" w:pos="8296"/>
            </w:tabs>
            <w:rPr>
              <w:rFonts w:eastAsiaTheme="minorEastAsia"/>
              <w:color w:val="auto"/>
              <w:kern w:val="2"/>
              <w:shd w:val="clear" w:color="auto" w:fill="auto"/>
            </w:rPr>
          </w:pPr>
          <w:r>
            <w:rPr>
              <w:color w:val="auto"/>
              <w:shd w:val="clear" w:color="auto" w:fill="auto"/>
            </w:rPr>
            <w:fldChar w:fldCharType="begin"/>
          </w:r>
          <w:r>
            <w:rPr>
              <w:color w:val="auto"/>
              <w:shd w:val="clear" w:color="auto" w:fill="auto"/>
            </w:rPr>
            <w:instrText xml:space="preserve"> HYPERLINK \l "_Toc87419481" </w:instrText>
          </w:r>
          <w:r>
            <w:rPr>
              <w:color w:val="auto"/>
              <w:shd w:val="clear" w:color="auto" w:fill="auto"/>
            </w:rPr>
            <w:fldChar w:fldCharType="separate"/>
          </w:r>
          <w:r>
            <w:rPr>
              <w:rStyle w:val="29"/>
              <w:color w:val="auto"/>
              <w:shd w:val="clear" w:color="auto" w:fill="auto"/>
            </w:rPr>
            <w:t>7.5 Data release</w:t>
          </w:r>
          <w:r>
            <w:rPr>
              <w:color w:val="auto"/>
              <w:shd w:val="clear" w:color="auto" w:fill="auto"/>
            </w:rPr>
            <w:tab/>
          </w:r>
          <w:r>
            <w:rPr>
              <w:color w:val="auto"/>
              <w:shd w:val="clear" w:color="auto" w:fill="auto"/>
            </w:rPr>
            <w:t>1</w:t>
          </w:r>
          <w:r>
            <w:rPr>
              <w:rFonts w:hint="eastAsia"/>
              <w:color w:val="auto"/>
              <w:shd w:val="clear" w:color="auto" w:fill="auto"/>
              <w:lang w:val="en-US" w:eastAsia="zh-CN"/>
            </w:rPr>
            <w:t>7</w:t>
          </w:r>
          <w:r>
            <w:rPr>
              <w:color w:val="auto"/>
              <w:shd w:val="clear" w:color="auto" w:fill="auto"/>
            </w:rPr>
            <w:fldChar w:fldCharType="end"/>
          </w:r>
        </w:p>
        <w:p>
          <w:pPr>
            <w:pStyle w:val="17"/>
            <w:rPr>
              <w:rFonts w:ascii="Times New Roman" w:hAnsi="Times New Roman" w:eastAsiaTheme="minorEastAsia"/>
              <w:color w:val="auto"/>
              <w:kern w:val="2"/>
              <w:sz w:val="21"/>
              <w:szCs w:val="21"/>
              <w:shd w:val="clear" w:color="auto" w:fill="auto"/>
            </w:rPr>
          </w:pPr>
          <w:r>
            <w:rPr>
              <w:color w:val="auto"/>
              <w:shd w:val="clear" w:color="auto" w:fill="auto"/>
            </w:rPr>
            <w:fldChar w:fldCharType="begin"/>
          </w:r>
          <w:r>
            <w:rPr>
              <w:color w:val="auto"/>
              <w:shd w:val="clear" w:color="auto" w:fill="auto"/>
            </w:rPr>
            <w:instrText xml:space="preserve"> HYPERLINK \l "_Toc87419482" </w:instrText>
          </w:r>
          <w:r>
            <w:rPr>
              <w:color w:val="auto"/>
              <w:shd w:val="clear" w:color="auto" w:fill="auto"/>
            </w:rPr>
            <w:fldChar w:fldCharType="separate"/>
          </w:r>
          <w:r>
            <w:rPr>
              <w:rStyle w:val="29"/>
              <w:rFonts w:ascii="Times New Roman" w:hAnsi="Times New Roman" w:eastAsiaTheme="minorEastAsia"/>
              <w:color w:val="auto"/>
              <w:sz w:val="21"/>
              <w:szCs w:val="21"/>
              <w:shd w:val="clear" w:color="auto" w:fill="auto"/>
            </w:rPr>
            <w:t>Description of words used in this standard</w:t>
          </w:r>
          <w:r>
            <w:rPr>
              <w:rFonts w:ascii="Times New Roman" w:hAnsi="Times New Roman"/>
              <w:color w:val="auto"/>
              <w:sz w:val="21"/>
              <w:szCs w:val="21"/>
              <w:shd w:val="clear" w:color="auto" w:fill="auto"/>
            </w:rPr>
            <w:tab/>
          </w:r>
          <w:r>
            <w:rPr>
              <w:rFonts w:ascii="Times New Roman" w:hAnsi="Times New Roman"/>
              <w:color w:val="auto"/>
              <w:sz w:val="21"/>
              <w:szCs w:val="21"/>
              <w:shd w:val="clear" w:color="auto" w:fill="auto"/>
            </w:rPr>
            <w:t>1</w:t>
          </w:r>
          <w:r>
            <w:rPr>
              <w:rFonts w:hint="eastAsia" w:ascii="Times New Roman" w:hAnsi="Times New Roman"/>
              <w:color w:val="auto"/>
              <w:sz w:val="21"/>
              <w:szCs w:val="21"/>
              <w:shd w:val="clear" w:color="auto" w:fill="auto"/>
              <w:lang w:val="en-US" w:eastAsia="zh-CN"/>
            </w:rPr>
            <w:t>8</w:t>
          </w:r>
          <w:r>
            <w:rPr>
              <w:rFonts w:ascii="Times New Roman" w:hAnsi="Times New Roman"/>
              <w:color w:val="auto"/>
              <w:sz w:val="21"/>
              <w:szCs w:val="21"/>
              <w:shd w:val="clear" w:color="auto" w:fill="auto"/>
            </w:rPr>
            <w:fldChar w:fldCharType="end"/>
          </w:r>
        </w:p>
        <w:p>
          <w:pPr>
            <w:pStyle w:val="17"/>
            <w:rPr>
              <w:rFonts w:asciiTheme="minorHAnsi" w:hAnsiTheme="minorHAnsi" w:eastAsiaTheme="minorEastAsia" w:cstheme="minorBidi"/>
              <w:color w:val="auto"/>
              <w:kern w:val="2"/>
              <w:sz w:val="21"/>
              <w:szCs w:val="22"/>
              <w:shd w:val="clear" w:color="auto" w:fill="auto"/>
            </w:rPr>
          </w:pPr>
          <w:r>
            <w:rPr>
              <w:color w:val="auto"/>
              <w:shd w:val="clear" w:color="auto" w:fill="auto"/>
            </w:rPr>
            <w:fldChar w:fldCharType="begin"/>
          </w:r>
          <w:r>
            <w:rPr>
              <w:color w:val="auto"/>
              <w:shd w:val="clear" w:color="auto" w:fill="auto"/>
            </w:rPr>
            <w:instrText xml:space="preserve"> HYPERLINK \l "_Toc87419483" </w:instrText>
          </w:r>
          <w:r>
            <w:rPr>
              <w:color w:val="auto"/>
              <w:shd w:val="clear" w:color="auto" w:fill="auto"/>
            </w:rPr>
            <w:fldChar w:fldCharType="separate"/>
          </w:r>
          <w:r>
            <w:rPr>
              <w:rStyle w:val="29"/>
              <w:rFonts w:ascii="Times New Roman" w:hAnsi="Times New Roman" w:eastAsiaTheme="minorEastAsia"/>
              <w:color w:val="auto"/>
              <w:sz w:val="21"/>
              <w:szCs w:val="21"/>
              <w:shd w:val="clear" w:color="auto" w:fill="auto"/>
            </w:rPr>
            <w:t>List of referenced standards</w:t>
          </w:r>
          <w:r>
            <w:rPr>
              <w:rFonts w:ascii="Times New Roman" w:hAnsi="Times New Roman"/>
              <w:color w:val="auto"/>
              <w:sz w:val="21"/>
              <w:szCs w:val="21"/>
              <w:shd w:val="clear" w:color="auto" w:fill="auto"/>
            </w:rPr>
            <w:tab/>
          </w:r>
          <w:r>
            <w:rPr>
              <w:rFonts w:ascii="Times New Roman" w:hAnsi="Times New Roman"/>
              <w:color w:val="auto"/>
              <w:sz w:val="21"/>
              <w:szCs w:val="21"/>
              <w:shd w:val="clear" w:color="auto" w:fill="auto"/>
            </w:rPr>
            <w:t>1</w:t>
          </w:r>
          <w:r>
            <w:rPr>
              <w:rFonts w:hint="eastAsia" w:ascii="Times New Roman" w:hAnsi="Times New Roman"/>
              <w:color w:val="auto"/>
              <w:sz w:val="21"/>
              <w:szCs w:val="21"/>
              <w:shd w:val="clear" w:color="auto" w:fill="auto"/>
              <w:lang w:val="en-US" w:eastAsia="zh-CN"/>
            </w:rPr>
            <w:t>9</w:t>
          </w:r>
          <w:r>
            <w:rPr>
              <w:rFonts w:ascii="Times New Roman" w:hAnsi="Times New Roman"/>
              <w:color w:val="auto"/>
              <w:sz w:val="21"/>
              <w:szCs w:val="21"/>
              <w:shd w:val="clear" w:color="auto" w:fill="auto"/>
            </w:rPr>
            <w:fldChar w:fldCharType="end"/>
          </w:r>
        </w:p>
        <w:p>
          <w:pPr>
            <w:widowControl/>
            <w:jc w:val="left"/>
            <w:rPr>
              <w:color w:val="auto"/>
              <w:szCs w:val="20"/>
              <w:shd w:val="clear" w:color="auto" w:fill="auto"/>
            </w:rPr>
            <w:sectPr>
              <w:footerReference r:id="rId8" w:type="default"/>
              <w:pgSz w:w="11906" w:h="16838"/>
              <w:pgMar w:top="1440" w:right="1800" w:bottom="1440" w:left="1800" w:header="851" w:footer="992" w:gutter="0"/>
              <w:pgNumType w:fmt="upperRoman" w:start="1"/>
              <w:cols w:space="425" w:num="1"/>
              <w:docGrid w:type="lines" w:linePitch="312" w:charSpace="0"/>
            </w:sectPr>
          </w:pPr>
          <w:r>
            <w:rPr>
              <w:color w:val="auto"/>
              <w:szCs w:val="20"/>
              <w:shd w:val="clear" w:color="auto" w:fill="auto"/>
            </w:rPr>
            <w:fldChar w:fldCharType="end"/>
          </w:r>
        </w:p>
        <w:p>
          <w:pPr>
            <w:widowControl/>
            <w:jc w:val="left"/>
            <w:rPr>
              <w:b/>
              <w:bCs/>
              <w:color w:val="auto"/>
              <w:shd w:val="clear" w:color="auto" w:fill="auto"/>
              <w:lang w:val="zh-CN"/>
            </w:rPr>
          </w:pPr>
        </w:p>
      </w:sdtContent>
    </w:sdt>
    <w:p>
      <w:pPr>
        <w:pStyle w:val="59"/>
        <w:numPr>
          <w:ilvl w:val="0"/>
          <w:numId w:val="1"/>
        </w:numPr>
        <w:ind w:left="0" w:firstLine="0"/>
        <w:rPr>
          <w:rFonts w:eastAsia="宋体"/>
          <w:b/>
          <w:color w:val="auto"/>
          <w:sz w:val="32"/>
          <w:szCs w:val="32"/>
          <w:shd w:val="clear" w:color="auto" w:fill="auto"/>
        </w:rPr>
      </w:pPr>
      <w:bookmarkStart w:id="0" w:name="_Toc56005040"/>
      <w:bookmarkStart w:id="1" w:name="_Toc29572"/>
      <w:r>
        <w:rPr>
          <w:rFonts w:hAnsi="宋体" w:eastAsia="宋体"/>
          <w:b/>
          <w:color w:val="auto"/>
          <w:sz w:val="32"/>
          <w:szCs w:val="32"/>
          <w:shd w:val="clear" w:color="auto" w:fill="auto"/>
        </w:rPr>
        <w:t>总</w:t>
      </w:r>
      <w:r>
        <w:rPr>
          <w:rFonts w:eastAsia="宋体"/>
          <w:b/>
          <w:color w:val="auto"/>
          <w:sz w:val="32"/>
          <w:szCs w:val="32"/>
          <w:shd w:val="clear" w:color="auto" w:fill="auto"/>
        </w:rPr>
        <w:t xml:space="preserve">  </w:t>
      </w:r>
      <w:r>
        <w:rPr>
          <w:rFonts w:hAnsi="宋体" w:eastAsia="宋体"/>
          <w:b/>
          <w:color w:val="auto"/>
          <w:sz w:val="32"/>
          <w:szCs w:val="32"/>
          <w:shd w:val="clear" w:color="auto" w:fill="auto"/>
        </w:rPr>
        <w:t>则</w:t>
      </w:r>
      <w:bookmarkEnd w:id="0"/>
      <w:bookmarkEnd w:id="1"/>
    </w:p>
    <w:p>
      <w:pPr>
        <w:pStyle w:val="11"/>
        <w:numPr>
          <w:ilvl w:val="2"/>
          <w:numId w:val="2"/>
        </w:numPr>
        <w:spacing w:line="360" w:lineRule="auto"/>
        <w:ind w:left="720" w:hanging="720"/>
        <w:rPr>
          <w:rFonts w:ascii="Times New Roman" w:hAnsi="Times New Roman" w:eastAsia="宋体" w:cs="Times New Roman"/>
          <w:color w:val="auto"/>
          <w:sz w:val="24"/>
          <w:szCs w:val="24"/>
          <w:shd w:val="clear" w:color="auto" w:fill="auto"/>
        </w:rPr>
      </w:pPr>
      <w:r>
        <w:rPr>
          <w:rFonts w:ascii="Times New Roman" w:hAnsi="宋体" w:eastAsia="宋体" w:cs="Times New Roman"/>
          <w:color w:val="auto"/>
          <w:sz w:val="24"/>
          <w:szCs w:val="24"/>
          <w:shd w:val="clear" w:color="auto" w:fill="auto"/>
        </w:rPr>
        <w:t>为全面掌握民用建筑能耗水平，积累民用建筑能耗和碳排放等能源资源和环境基础数据，为国家制定建筑节能、碳达峰和碳中和等政策提供数据支撑，加强建筑领域的宏观管理和科学决策，规范民用建筑数据采集工作，制定本标准。</w:t>
      </w:r>
    </w:p>
    <w:p>
      <w:pPr>
        <w:pStyle w:val="11"/>
        <w:spacing w:line="360" w:lineRule="auto"/>
        <w:rPr>
          <w:rFonts w:ascii="Times New Roman" w:hAnsi="Times New Roman" w:eastAsia="楷体"/>
          <w:color w:val="auto"/>
          <w:sz w:val="24"/>
          <w:szCs w:val="20"/>
          <w:shd w:val="clear" w:color="auto" w:fill="auto"/>
        </w:rPr>
      </w:pPr>
      <w:r>
        <w:rPr>
          <w:rFonts w:hint="eastAsia" w:ascii="楷体" w:hAnsi="楷体" w:eastAsia="楷体"/>
          <w:color w:val="auto"/>
          <w:sz w:val="24"/>
          <w:shd w:val="clear" w:color="auto" w:fill="auto"/>
        </w:rPr>
        <w:t>【条文说明】</w:t>
      </w:r>
      <w:r>
        <w:rPr>
          <w:rFonts w:hint="eastAsia" w:ascii="Times New Roman" w:hAnsi="Times New Roman" w:eastAsia="楷体"/>
          <w:color w:val="auto"/>
          <w:sz w:val="24"/>
          <w:szCs w:val="20"/>
          <w:shd w:val="clear" w:color="auto" w:fill="auto"/>
        </w:rPr>
        <w:t>2021年10月21日，中共中央办公厅、国务院办公厅印发《关于推动城乡建设绿色发展的意见》，明确提出建立城市建筑用水、用电、用气、用热等数据的共享机制。实施建筑领域碳达峰、碳中和行动，需要用数据说话。因此，采集和分析民用建筑规模及</w:t>
      </w:r>
      <w:r>
        <w:rPr>
          <w:rFonts w:ascii="Times New Roman" w:hAnsi="Times New Roman" w:eastAsia="楷体"/>
          <w:color w:val="auto"/>
          <w:sz w:val="24"/>
          <w:szCs w:val="20"/>
          <w:shd w:val="clear" w:color="auto" w:fill="auto"/>
        </w:rPr>
        <w:t>用地、用能、用水、用材、碳排放等环境保护等数据在新时期更具有重要意义</w:t>
      </w:r>
      <w:r>
        <w:rPr>
          <w:rFonts w:hint="eastAsia" w:ascii="Times New Roman" w:hAnsi="Times New Roman" w:eastAsia="楷体"/>
          <w:color w:val="auto"/>
          <w:sz w:val="24"/>
          <w:szCs w:val="20"/>
          <w:shd w:val="clear" w:color="auto" w:fill="auto"/>
        </w:rPr>
        <w:t>。</w:t>
      </w:r>
    </w:p>
    <w:p>
      <w:pPr>
        <w:pStyle w:val="11"/>
        <w:spacing w:line="360" w:lineRule="auto"/>
        <w:ind w:firstLine="480" w:firstLineChars="200"/>
        <w:rPr>
          <w:rFonts w:ascii="Times New Roman" w:hAnsi="Times New Roman" w:eastAsia="楷体"/>
          <w:color w:val="auto"/>
          <w:sz w:val="24"/>
          <w:szCs w:val="20"/>
          <w:shd w:val="clear" w:color="auto" w:fill="auto"/>
        </w:rPr>
      </w:pPr>
      <w:r>
        <w:rPr>
          <w:rFonts w:hint="eastAsia" w:ascii="Times New Roman" w:hAnsi="Times New Roman" w:eastAsia="楷体"/>
          <w:color w:val="auto"/>
          <w:sz w:val="24"/>
          <w:szCs w:val="20"/>
          <w:shd w:val="clear" w:color="auto" w:fill="auto"/>
        </w:rPr>
        <w:t>从</w:t>
      </w:r>
      <w:r>
        <w:rPr>
          <w:rFonts w:ascii="Times New Roman" w:hAnsi="Times New Roman" w:eastAsia="楷体"/>
          <w:color w:val="auto"/>
          <w:sz w:val="24"/>
          <w:szCs w:val="20"/>
          <w:shd w:val="clear" w:color="auto" w:fill="auto"/>
        </w:rPr>
        <w:t>2007</w:t>
      </w:r>
      <w:r>
        <w:rPr>
          <w:rFonts w:hint="eastAsia" w:ascii="Times New Roman" w:hAnsi="Times New Roman" w:eastAsia="楷体"/>
          <w:color w:val="auto"/>
          <w:sz w:val="24"/>
          <w:szCs w:val="20"/>
          <w:shd w:val="clear" w:color="auto" w:fill="auto"/>
        </w:rPr>
        <w:t>年开始，相关部委相继颁布指导文件，在全国逐步建立能耗监测平台，同时发布数据采集标准文件。</w:t>
      </w:r>
      <w:r>
        <w:rPr>
          <w:rFonts w:ascii="Times New Roman" w:hAnsi="Times New Roman" w:eastAsia="楷体"/>
          <w:color w:val="auto"/>
          <w:sz w:val="24"/>
          <w:szCs w:val="20"/>
          <w:shd w:val="clear" w:color="auto" w:fill="auto"/>
        </w:rPr>
        <w:t>2007</w:t>
      </w:r>
      <w:r>
        <w:rPr>
          <w:rFonts w:hint="eastAsia" w:ascii="Times New Roman" w:hAnsi="Times New Roman" w:eastAsia="楷体"/>
          <w:color w:val="auto"/>
          <w:sz w:val="24"/>
          <w:szCs w:val="20"/>
          <w:shd w:val="clear" w:color="auto" w:fill="auto"/>
        </w:rPr>
        <w:t>年</w:t>
      </w:r>
      <w:r>
        <w:rPr>
          <w:rFonts w:ascii="Times New Roman" w:hAnsi="Times New Roman" w:eastAsia="楷体"/>
          <w:color w:val="auto"/>
          <w:sz w:val="24"/>
          <w:szCs w:val="20"/>
          <w:shd w:val="clear" w:color="auto" w:fill="auto"/>
        </w:rPr>
        <w:t>7</w:t>
      </w:r>
      <w:r>
        <w:rPr>
          <w:rFonts w:hint="eastAsia" w:ascii="Times New Roman" w:hAnsi="Times New Roman" w:eastAsia="楷体"/>
          <w:color w:val="auto"/>
          <w:sz w:val="24"/>
          <w:szCs w:val="20"/>
          <w:shd w:val="clear" w:color="auto" w:fill="auto"/>
        </w:rPr>
        <w:t>月</w:t>
      </w:r>
      <w:r>
        <w:rPr>
          <w:rFonts w:ascii="Times New Roman" w:hAnsi="Times New Roman" w:eastAsia="楷体"/>
          <w:color w:val="auto"/>
          <w:sz w:val="24"/>
          <w:szCs w:val="20"/>
          <w:shd w:val="clear" w:color="auto" w:fill="auto"/>
        </w:rPr>
        <w:t>23</w:t>
      </w:r>
      <w:r>
        <w:rPr>
          <w:rFonts w:hint="eastAsia" w:ascii="Times New Roman" w:hAnsi="Times New Roman" w:eastAsia="楷体"/>
          <w:color w:val="auto"/>
          <w:sz w:val="24"/>
          <w:szCs w:val="20"/>
          <w:shd w:val="clear" w:color="auto" w:fill="auto"/>
        </w:rPr>
        <w:t>日发布《民用建筑能耗数据采集标准》，主要适用于建筑使用过程中各类能源消耗量数据的采集报送；</w:t>
      </w:r>
      <w:r>
        <w:rPr>
          <w:rFonts w:ascii="Times New Roman" w:hAnsi="Times New Roman" w:eastAsia="楷体"/>
          <w:color w:val="auto"/>
          <w:sz w:val="24"/>
          <w:szCs w:val="20"/>
          <w:shd w:val="clear" w:color="auto" w:fill="auto"/>
        </w:rPr>
        <w:t>2012</w:t>
      </w:r>
      <w:r>
        <w:rPr>
          <w:rFonts w:hint="eastAsia" w:ascii="Times New Roman" w:hAnsi="Times New Roman" w:eastAsia="楷体"/>
          <w:color w:val="auto"/>
          <w:sz w:val="24"/>
          <w:szCs w:val="20"/>
          <w:shd w:val="clear" w:color="auto" w:fill="auto"/>
        </w:rPr>
        <w:t>年发布《建筑能耗数据分类及表示办法》。</w:t>
      </w:r>
      <w:r>
        <w:rPr>
          <w:rFonts w:ascii="Times New Roman" w:hAnsi="Times New Roman" w:eastAsia="楷体"/>
          <w:color w:val="auto"/>
          <w:sz w:val="24"/>
          <w:szCs w:val="20"/>
          <w:shd w:val="clear" w:color="auto" w:fill="auto"/>
        </w:rPr>
        <w:t>2007</w:t>
      </w:r>
      <w:r>
        <w:rPr>
          <w:rFonts w:hint="eastAsia" w:ascii="Times New Roman" w:hAnsi="Times New Roman" w:eastAsia="楷体"/>
          <w:color w:val="auto"/>
          <w:sz w:val="24"/>
          <w:szCs w:val="20"/>
          <w:shd w:val="clear" w:color="auto" w:fill="auto"/>
        </w:rPr>
        <w:t>年，建设部开始在</w:t>
      </w:r>
      <w:r>
        <w:rPr>
          <w:rFonts w:ascii="Times New Roman" w:hAnsi="Times New Roman" w:eastAsia="楷体"/>
          <w:color w:val="auto"/>
          <w:sz w:val="24"/>
          <w:szCs w:val="20"/>
          <w:shd w:val="clear" w:color="auto" w:fill="auto"/>
        </w:rPr>
        <w:t>23</w:t>
      </w:r>
      <w:r>
        <w:rPr>
          <w:rFonts w:hint="eastAsia" w:ascii="Times New Roman" w:hAnsi="Times New Roman" w:eastAsia="楷体"/>
          <w:color w:val="auto"/>
          <w:sz w:val="24"/>
          <w:szCs w:val="20"/>
          <w:shd w:val="clear" w:color="auto" w:fill="auto"/>
        </w:rPr>
        <w:t>个城市组织试行民用建筑能耗统计，</w:t>
      </w:r>
      <w:r>
        <w:rPr>
          <w:rFonts w:ascii="Times New Roman" w:hAnsi="Times New Roman" w:eastAsia="楷体"/>
          <w:color w:val="auto"/>
          <w:sz w:val="24"/>
          <w:szCs w:val="20"/>
          <w:shd w:val="clear" w:color="auto" w:fill="auto"/>
        </w:rPr>
        <w:t>2010</w:t>
      </w:r>
      <w:r>
        <w:rPr>
          <w:rFonts w:hint="eastAsia" w:ascii="Times New Roman" w:hAnsi="Times New Roman" w:eastAsia="楷体"/>
          <w:color w:val="auto"/>
          <w:sz w:val="24"/>
          <w:szCs w:val="20"/>
          <w:shd w:val="clear" w:color="auto" w:fill="auto"/>
        </w:rPr>
        <w:t>年制定《民用建筑能耗和节能信息统计报表制度》；2012、</w:t>
      </w:r>
      <w:r>
        <w:rPr>
          <w:rFonts w:ascii="Times New Roman" w:hAnsi="Times New Roman" w:eastAsia="楷体"/>
          <w:color w:val="auto"/>
          <w:sz w:val="24"/>
          <w:szCs w:val="20"/>
          <w:shd w:val="clear" w:color="auto" w:fill="auto"/>
        </w:rPr>
        <w:t>2015</w:t>
      </w:r>
      <w:r>
        <w:rPr>
          <w:rFonts w:hint="eastAsia" w:ascii="Times New Roman" w:hAnsi="Times New Roman" w:eastAsia="楷体"/>
          <w:color w:val="auto"/>
          <w:sz w:val="24"/>
          <w:szCs w:val="20"/>
          <w:shd w:val="clear" w:color="auto" w:fill="auto"/>
        </w:rPr>
        <w:t>和</w:t>
      </w:r>
      <w:r>
        <w:rPr>
          <w:rFonts w:ascii="Times New Roman" w:hAnsi="Times New Roman" w:eastAsia="楷体"/>
          <w:color w:val="auto"/>
          <w:sz w:val="24"/>
          <w:szCs w:val="20"/>
          <w:shd w:val="clear" w:color="auto" w:fill="auto"/>
        </w:rPr>
        <w:t>2018</w:t>
      </w:r>
      <w:r>
        <w:rPr>
          <w:rFonts w:hint="eastAsia" w:ascii="Times New Roman" w:hAnsi="Times New Roman" w:eastAsia="楷体"/>
          <w:color w:val="auto"/>
          <w:sz w:val="24"/>
          <w:szCs w:val="20"/>
          <w:shd w:val="clear" w:color="auto" w:fill="auto"/>
        </w:rPr>
        <w:t>共先后进行3次修订，形成《民用建筑能源资源消耗统计报表制度》。上述建筑能源资源数据标准和制度的实施，有力地推动了</w:t>
      </w:r>
      <w:r>
        <w:rPr>
          <w:rFonts w:ascii="Times New Roman" w:hAnsi="Times New Roman" w:eastAsia="楷体"/>
          <w:color w:val="auto"/>
          <w:sz w:val="24"/>
          <w:szCs w:val="20"/>
          <w:shd w:val="clear" w:color="auto" w:fill="auto"/>
        </w:rPr>
        <w:t>建筑节能从过程管理到效果管理的转变</w:t>
      </w:r>
      <w:r>
        <w:rPr>
          <w:rFonts w:hint="eastAsia" w:ascii="Times New Roman" w:hAnsi="Times New Roman" w:eastAsia="楷体"/>
          <w:color w:val="auto"/>
          <w:sz w:val="24"/>
          <w:szCs w:val="20"/>
          <w:shd w:val="clear" w:color="auto" w:fill="auto"/>
        </w:rPr>
        <w:t>。</w:t>
      </w:r>
    </w:p>
    <w:p>
      <w:pPr>
        <w:pStyle w:val="11"/>
        <w:spacing w:line="360" w:lineRule="auto"/>
        <w:ind w:firstLine="480" w:firstLineChars="200"/>
        <w:rPr>
          <w:rFonts w:ascii="Times New Roman" w:hAnsi="Times New Roman" w:eastAsia="楷体"/>
          <w:color w:val="auto"/>
          <w:sz w:val="24"/>
          <w:szCs w:val="20"/>
          <w:shd w:val="clear" w:color="auto" w:fill="auto"/>
        </w:rPr>
      </w:pPr>
      <w:r>
        <w:rPr>
          <w:rFonts w:ascii="Times New Roman" w:hAnsi="Times New Roman" w:eastAsia="楷体"/>
          <w:color w:val="auto"/>
          <w:sz w:val="24"/>
          <w:szCs w:val="20"/>
          <w:shd w:val="clear" w:color="auto" w:fill="auto"/>
        </w:rPr>
        <w:t>然而</w:t>
      </w:r>
      <w:r>
        <w:rPr>
          <w:rFonts w:hint="eastAsia" w:ascii="Times New Roman" w:hAnsi="Times New Roman" w:eastAsia="楷体"/>
          <w:color w:val="auto"/>
          <w:sz w:val="24"/>
          <w:szCs w:val="20"/>
          <w:shd w:val="clear" w:color="auto" w:fill="auto"/>
        </w:rPr>
        <w:t>，由于民用建筑规模及</w:t>
      </w:r>
      <w:r>
        <w:rPr>
          <w:rFonts w:ascii="Times New Roman" w:hAnsi="Times New Roman" w:eastAsia="楷体"/>
          <w:color w:val="auto"/>
          <w:sz w:val="24"/>
          <w:szCs w:val="20"/>
          <w:shd w:val="clear" w:color="auto" w:fill="auto"/>
        </w:rPr>
        <w:t>用地、用能、用水、用材、碳排放等环境保护等数据结构复杂、分布散乱</w:t>
      </w:r>
      <w:r>
        <w:rPr>
          <w:rFonts w:hint="eastAsia" w:ascii="Times New Roman" w:hAnsi="Times New Roman" w:eastAsia="楷体"/>
          <w:color w:val="auto"/>
          <w:sz w:val="24"/>
          <w:szCs w:val="20"/>
          <w:shd w:val="clear" w:color="auto" w:fill="auto"/>
        </w:rPr>
        <w:t>，</w:t>
      </w:r>
      <w:r>
        <w:rPr>
          <w:rFonts w:ascii="Times New Roman" w:hAnsi="Times New Roman" w:eastAsia="楷体"/>
          <w:color w:val="auto"/>
          <w:sz w:val="24"/>
          <w:szCs w:val="20"/>
          <w:shd w:val="clear" w:color="auto" w:fill="auto"/>
        </w:rPr>
        <w:t>统计</w:t>
      </w:r>
      <w:r>
        <w:rPr>
          <w:rFonts w:hint="eastAsia" w:ascii="Times New Roman" w:hAnsi="Times New Roman" w:eastAsia="楷体"/>
          <w:color w:val="auto"/>
          <w:sz w:val="24"/>
          <w:szCs w:val="20"/>
          <w:shd w:val="clear" w:color="auto" w:fill="auto"/>
        </w:rPr>
        <w:t>渠道</w:t>
      </w:r>
      <w:r>
        <w:rPr>
          <w:rFonts w:ascii="Times New Roman" w:hAnsi="Times New Roman" w:eastAsia="楷体"/>
          <w:color w:val="auto"/>
          <w:sz w:val="24"/>
          <w:szCs w:val="20"/>
          <w:shd w:val="clear" w:color="auto" w:fill="auto"/>
        </w:rPr>
        <w:t>和来源</w:t>
      </w:r>
      <w:r>
        <w:rPr>
          <w:rFonts w:hint="eastAsia" w:ascii="Times New Roman" w:hAnsi="Times New Roman" w:eastAsia="楷体"/>
          <w:color w:val="auto"/>
          <w:sz w:val="24"/>
          <w:szCs w:val="20"/>
          <w:shd w:val="clear" w:color="auto" w:fill="auto"/>
        </w:rPr>
        <w:t>不同，</w:t>
      </w:r>
      <w:r>
        <w:rPr>
          <w:rFonts w:ascii="Times New Roman" w:hAnsi="Times New Roman" w:eastAsia="楷体"/>
          <w:color w:val="auto"/>
          <w:sz w:val="24"/>
          <w:szCs w:val="20"/>
          <w:shd w:val="clear" w:color="auto" w:fill="auto"/>
        </w:rPr>
        <w:t>统计口径也</w:t>
      </w:r>
      <w:r>
        <w:rPr>
          <w:rFonts w:hint="eastAsia" w:ascii="Times New Roman" w:hAnsi="Times New Roman" w:eastAsia="楷体"/>
          <w:color w:val="auto"/>
          <w:sz w:val="24"/>
          <w:szCs w:val="20"/>
          <w:shd w:val="clear" w:color="auto" w:fill="auto"/>
        </w:rPr>
        <w:t>存在</w:t>
      </w:r>
      <w:r>
        <w:rPr>
          <w:rFonts w:ascii="Times New Roman" w:hAnsi="Times New Roman" w:eastAsia="楷体"/>
          <w:color w:val="auto"/>
          <w:sz w:val="24"/>
          <w:szCs w:val="20"/>
          <w:shd w:val="clear" w:color="auto" w:fill="auto"/>
        </w:rPr>
        <w:t>差异</w:t>
      </w:r>
      <w:r>
        <w:rPr>
          <w:rFonts w:hint="eastAsia" w:ascii="Times New Roman" w:hAnsi="Times New Roman" w:eastAsia="楷体"/>
          <w:color w:val="auto"/>
          <w:sz w:val="24"/>
          <w:szCs w:val="20"/>
          <w:shd w:val="clear" w:color="auto" w:fill="auto"/>
        </w:rPr>
        <w:t>，</w:t>
      </w:r>
      <w:r>
        <w:rPr>
          <w:rFonts w:ascii="Times New Roman" w:hAnsi="Times New Roman" w:eastAsia="楷体"/>
          <w:color w:val="auto"/>
          <w:sz w:val="24"/>
          <w:szCs w:val="20"/>
          <w:shd w:val="clear" w:color="auto" w:fill="auto"/>
        </w:rPr>
        <w:t>导致数据采集和处理工作难以推进</w:t>
      </w:r>
      <w:r>
        <w:rPr>
          <w:rFonts w:hint="eastAsia" w:ascii="Times New Roman" w:hAnsi="Times New Roman" w:eastAsia="楷体"/>
          <w:color w:val="auto"/>
          <w:sz w:val="24"/>
          <w:szCs w:val="20"/>
          <w:shd w:val="clear" w:color="auto" w:fill="auto"/>
        </w:rPr>
        <w:t>，</w:t>
      </w:r>
      <w:r>
        <w:rPr>
          <w:rFonts w:ascii="Times New Roman" w:hAnsi="Times New Roman" w:eastAsia="楷体"/>
          <w:color w:val="auto"/>
          <w:sz w:val="24"/>
          <w:szCs w:val="20"/>
          <w:shd w:val="clear" w:color="auto" w:fill="auto"/>
        </w:rPr>
        <w:t>目前尚缺少系统</w:t>
      </w:r>
      <w:r>
        <w:rPr>
          <w:rFonts w:hint="eastAsia" w:ascii="Times New Roman" w:hAnsi="Times New Roman" w:eastAsia="楷体"/>
          <w:color w:val="auto"/>
          <w:sz w:val="24"/>
          <w:szCs w:val="20"/>
          <w:shd w:val="clear" w:color="auto" w:fill="auto"/>
        </w:rPr>
        <w:t>、全面且完整的</w:t>
      </w:r>
      <w:r>
        <w:rPr>
          <w:rFonts w:ascii="Times New Roman" w:hAnsi="Times New Roman" w:eastAsia="楷体"/>
          <w:color w:val="auto"/>
          <w:sz w:val="24"/>
          <w:szCs w:val="20"/>
          <w:shd w:val="clear" w:color="auto" w:fill="auto"/>
        </w:rPr>
        <w:t>宏观数据支撑。因此，在十三五国家科技支撑计划</w:t>
      </w:r>
      <w:r>
        <w:rPr>
          <w:rFonts w:hint="eastAsia" w:ascii="Times New Roman" w:hAnsi="Times New Roman" w:eastAsia="楷体"/>
          <w:color w:val="auto"/>
          <w:sz w:val="24"/>
          <w:szCs w:val="20"/>
          <w:shd w:val="clear" w:color="auto" w:fill="auto"/>
        </w:rPr>
        <w:t>“</w:t>
      </w:r>
      <w:r>
        <w:rPr>
          <w:rFonts w:ascii="Times New Roman" w:hAnsi="Times New Roman" w:eastAsia="楷体"/>
          <w:color w:val="auto"/>
          <w:sz w:val="24"/>
          <w:szCs w:val="20"/>
          <w:shd w:val="clear" w:color="auto" w:fill="auto"/>
        </w:rPr>
        <w:t>民用建筑四节一环保大数据及数据获取机制构建</w:t>
      </w:r>
      <w:r>
        <w:rPr>
          <w:rFonts w:hint="eastAsia" w:ascii="Times New Roman" w:hAnsi="Times New Roman" w:eastAsia="楷体"/>
          <w:color w:val="auto"/>
          <w:sz w:val="24"/>
          <w:szCs w:val="20"/>
          <w:shd w:val="clear" w:color="auto" w:fill="auto"/>
        </w:rPr>
        <w:t>”课题支持下，</w:t>
      </w:r>
      <w:r>
        <w:rPr>
          <w:rFonts w:ascii="Times New Roman" w:hAnsi="Times New Roman" w:eastAsia="楷体"/>
          <w:color w:val="auto"/>
          <w:sz w:val="24"/>
          <w:szCs w:val="20"/>
          <w:shd w:val="clear" w:color="auto" w:fill="auto"/>
        </w:rPr>
        <w:t>住房和城乡建设部科技与产业化发展中心与国内相关机构合作</w:t>
      </w:r>
      <w:r>
        <w:rPr>
          <w:rFonts w:hint="eastAsia" w:ascii="Times New Roman" w:hAnsi="Times New Roman" w:eastAsia="楷体"/>
          <w:color w:val="auto"/>
          <w:sz w:val="24"/>
          <w:szCs w:val="20"/>
          <w:shd w:val="clear" w:color="auto" w:fill="auto"/>
        </w:rPr>
        <w:t>，</w:t>
      </w:r>
      <w:r>
        <w:rPr>
          <w:rFonts w:ascii="Times New Roman" w:hAnsi="Times New Roman" w:eastAsia="楷体"/>
          <w:color w:val="auto"/>
          <w:sz w:val="24"/>
          <w:szCs w:val="20"/>
          <w:shd w:val="clear" w:color="auto" w:fill="auto"/>
        </w:rPr>
        <w:t>开展了</w:t>
      </w:r>
      <w:r>
        <w:rPr>
          <w:rFonts w:hint="eastAsia" w:ascii="Times New Roman" w:hAnsi="Times New Roman" w:eastAsia="楷体"/>
          <w:color w:val="auto"/>
          <w:sz w:val="24"/>
          <w:szCs w:val="20"/>
          <w:shd w:val="clear" w:color="auto" w:fill="auto"/>
        </w:rPr>
        <w:t>民用建筑数据采集标准研究，主要包括</w:t>
      </w:r>
      <w:r>
        <w:rPr>
          <w:rFonts w:ascii="Times New Roman" w:hAnsi="Times New Roman" w:eastAsia="楷体"/>
          <w:color w:val="auto"/>
          <w:sz w:val="24"/>
          <w:szCs w:val="20"/>
          <w:shd w:val="clear" w:color="auto" w:fill="auto"/>
        </w:rPr>
        <w:t>数据</w:t>
      </w:r>
      <w:r>
        <w:rPr>
          <w:rFonts w:hint="eastAsia" w:ascii="Times New Roman" w:hAnsi="Times New Roman" w:eastAsia="楷体"/>
          <w:color w:val="auto"/>
          <w:sz w:val="24"/>
          <w:szCs w:val="20"/>
          <w:shd w:val="clear" w:color="auto" w:fill="auto"/>
        </w:rPr>
        <w:t>采集渠道和</w:t>
      </w:r>
      <w:r>
        <w:rPr>
          <w:rFonts w:ascii="Times New Roman" w:hAnsi="Times New Roman" w:eastAsia="楷体"/>
          <w:color w:val="auto"/>
          <w:sz w:val="24"/>
          <w:szCs w:val="20"/>
          <w:shd w:val="clear" w:color="auto" w:fill="auto"/>
        </w:rPr>
        <w:t>来源、采集内容、采集过程、采集</w:t>
      </w:r>
      <w:r>
        <w:rPr>
          <w:rFonts w:hint="eastAsia" w:ascii="Times New Roman" w:hAnsi="Times New Roman" w:eastAsia="楷体"/>
          <w:color w:val="auto"/>
          <w:sz w:val="24"/>
          <w:szCs w:val="20"/>
          <w:shd w:val="clear" w:color="auto" w:fill="auto"/>
        </w:rPr>
        <w:t>手段</w:t>
      </w:r>
      <w:r>
        <w:rPr>
          <w:rFonts w:ascii="Times New Roman" w:hAnsi="Times New Roman" w:eastAsia="楷体"/>
          <w:color w:val="auto"/>
          <w:sz w:val="24"/>
          <w:szCs w:val="20"/>
          <w:shd w:val="clear" w:color="auto" w:fill="auto"/>
        </w:rPr>
        <w:t>、数据处理</w:t>
      </w:r>
      <w:r>
        <w:rPr>
          <w:rFonts w:hint="eastAsia" w:ascii="Times New Roman" w:hAnsi="Times New Roman" w:eastAsia="楷体"/>
          <w:color w:val="auto"/>
          <w:sz w:val="24"/>
          <w:szCs w:val="20"/>
          <w:shd w:val="clear" w:color="auto" w:fill="auto"/>
        </w:rPr>
        <w:t>等方面的内容。</w:t>
      </w:r>
    </w:p>
    <w:p>
      <w:pPr>
        <w:pStyle w:val="11"/>
        <w:spacing w:line="360" w:lineRule="auto"/>
        <w:ind w:firstLine="480" w:firstLineChars="200"/>
        <w:rPr>
          <w:rFonts w:ascii="Times New Roman" w:hAnsi="Times New Roman" w:eastAsia="楷体"/>
          <w:color w:val="auto"/>
          <w:sz w:val="24"/>
          <w:szCs w:val="20"/>
          <w:shd w:val="clear" w:color="auto" w:fill="auto"/>
        </w:rPr>
      </w:pPr>
      <w:r>
        <w:rPr>
          <w:rFonts w:hint="eastAsia" w:ascii="Times New Roman" w:hAnsi="Times New Roman" w:eastAsia="楷体"/>
          <w:color w:val="auto"/>
          <w:sz w:val="24"/>
          <w:szCs w:val="20"/>
          <w:shd w:val="clear" w:color="auto" w:fill="auto"/>
        </w:rPr>
        <w:t>标准编制过程中，</w:t>
      </w:r>
      <w:r>
        <w:rPr>
          <w:rFonts w:ascii="Times New Roman" w:hAnsi="Times New Roman" w:eastAsia="楷体"/>
          <w:color w:val="auto"/>
          <w:sz w:val="24"/>
          <w:szCs w:val="20"/>
          <w:shd w:val="clear" w:color="auto" w:fill="auto"/>
        </w:rPr>
        <w:t>整合多部门、跨领域的数据采集渠道，应用物联网、互联网及遥感等技术，研究建立基于统计资料、监测平台构建数据采集</w:t>
      </w:r>
      <w:r>
        <w:rPr>
          <w:rFonts w:hint="eastAsia" w:ascii="Times New Roman" w:hAnsi="Times New Roman" w:eastAsia="楷体"/>
          <w:color w:val="auto"/>
          <w:sz w:val="24"/>
          <w:szCs w:val="20"/>
          <w:shd w:val="clear" w:color="auto" w:fill="auto"/>
        </w:rPr>
        <w:t>渠道</w:t>
      </w:r>
      <w:r>
        <w:rPr>
          <w:rFonts w:ascii="Times New Roman" w:hAnsi="Times New Roman" w:eastAsia="楷体"/>
          <w:color w:val="auto"/>
          <w:sz w:val="24"/>
          <w:szCs w:val="20"/>
          <w:shd w:val="clear" w:color="auto" w:fill="auto"/>
        </w:rPr>
        <w:t>和来源，形成大规模、多维度、多渠道、多方式的数据</w:t>
      </w:r>
      <w:r>
        <w:rPr>
          <w:rFonts w:hint="eastAsia" w:ascii="Times New Roman" w:hAnsi="Times New Roman" w:eastAsia="楷体"/>
          <w:color w:val="auto"/>
          <w:sz w:val="24"/>
          <w:szCs w:val="20"/>
          <w:shd w:val="clear" w:color="auto" w:fill="auto"/>
        </w:rPr>
        <w:t>采集和处理</w:t>
      </w:r>
      <w:r>
        <w:rPr>
          <w:rFonts w:ascii="Times New Roman" w:hAnsi="Times New Roman" w:eastAsia="楷体"/>
          <w:color w:val="auto"/>
          <w:sz w:val="24"/>
          <w:szCs w:val="20"/>
          <w:shd w:val="clear" w:color="auto" w:fill="auto"/>
        </w:rPr>
        <w:t>机制</w:t>
      </w:r>
      <w:r>
        <w:rPr>
          <w:rFonts w:hint="eastAsia" w:ascii="Times New Roman" w:hAnsi="Times New Roman" w:eastAsia="楷体"/>
          <w:color w:val="auto"/>
          <w:sz w:val="24"/>
          <w:szCs w:val="20"/>
          <w:shd w:val="clear" w:color="auto" w:fill="auto"/>
        </w:rPr>
        <w:t>。在分析建筑</w:t>
      </w:r>
      <w:r>
        <w:rPr>
          <w:rFonts w:ascii="Times New Roman" w:hAnsi="Times New Roman" w:eastAsia="楷体"/>
          <w:color w:val="auto"/>
          <w:sz w:val="24"/>
          <w:szCs w:val="20"/>
          <w:shd w:val="clear" w:color="auto" w:fill="auto"/>
        </w:rPr>
        <w:t>能源资源环境等数据采集现状</w:t>
      </w:r>
      <w:r>
        <w:rPr>
          <w:rFonts w:hint="eastAsia" w:ascii="Times New Roman" w:hAnsi="Times New Roman" w:eastAsia="楷体"/>
          <w:color w:val="auto"/>
          <w:sz w:val="24"/>
          <w:szCs w:val="20"/>
          <w:shd w:val="clear" w:color="auto" w:fill="auto"/>
        </w:rPr>
        <w:t>的基础上编制了《民用建筑数据采集标准》（征求意见稿）。</w:t>
      </w:r>
    </w:p>
    <w:p>
      <w:pPr>
        <w:pStyle w:val="11"/>
        <w:numPr>
          <w:ilvl w:val="2"/>
          <w:numId w:val="2"/>
        </w:numPr>
        <w:spacing w:line="360" w:lineRule="auto"/>
        <w:ind w:left="720" w:hanging="720"/>
        <w:rPr>
          <w:rFonts w:ascii="Times New Roman" w:hAnsi="Times New Roman" w:eastAsia="宋体" w:cs="Times New Roman"/>
          <w:color w:val="auto"/>
          <w:sz w:val="24"/>
          <w:szCs w:val="24"/>
          <w:shd w:val="clear" w:color="auto" w:fill="auto"/>
        </w:rPr>
      </w:pPr>
      <w:r>
        <w:rPr>
          <w:rFonts w:ascii="Times New Roman" w:hAnsi="宋体" w:eastAsia="宋体" w:cs="Times New Roman"/>
          <w:color w:val="auto"/>
          <w:sz w:val="24"/>
          <w:szCs w:val="24"/>
          <w:shd w:val="clear" w:color="auto" w:fill="auto"/>
        </w:rPr>
        <w:t>本标准规定了民用建筑</w:t>
      </w:r>
      <w:r>
        <w:rPr>
          <w:rFonts w:hint="eastAsia" w:ascii="Times New Roman" w:hAnsi="宋体" w:eastAsia="宋体" w:cs="Times New Roman"/>
          <w:color w:val="auto"/>
          <w:sz w:val="24"/>
          <w:szCs w:val="24"/>
          <w:shd w:val="clear" w:color="auto" w:fill="auto"/>
        </w:rPr>
        <w:t>规模及</w:t>
      </w:r>
      <w:r>
        <w:rPr>
          <w:rFonts w:ascii="Times New Roman" w:hAnsi="宋体" w:eastAsia="宋体" w:cs="Times New Roman"/>
          <w:color w:val="auto"/>
          <w:sz w:val="24"/>
          <w:szCs w:val="24"/>
          <w:shd w:val="clear" w:color="auto" w:fill="auto"/>
        </w:rPr>
        <w:t>用地、用能、用水、用材、碳排放等环境保护等数据</w:t>
      </w:r>
      <w:r>
        <w:rPr>
          <w:rFonts w:hint="eastAsia" w:ascii="Times New Roman" w:hAnsi="宋体" w:eastAsia="宋体" w:cs="Times New Roman"/>
          <w:color w:val="auto"/>
          <w:sz w:val="24"/>
          <w:szCs w:val="24"/>
          <w:shd w:val="clear" w:color="auto" w:fill="auto"/>
        </w:rPr>
        <w:t>采集渠道和</w:t>
      </w:r>
      <w:r>
        <w:rPr>
          <w:rFonts w:ascii="Times New Roman" w:hAnsi="宋体" w:eastAsia="宋体" w:cs="Times New Roman"/>
          <w:color w:val="auto"/>
          <w:sz w:val="24"/>
          <w:szCs w:val="24"/>
          <w:shd w:val="clear" w:color="auto" w:fill="auto"/>
        </w:rPr>
        <w:t>来源、采集内容、采集过程、采集</w:t>
      </w:r>
      <w:r>
        <w:rPr>
          <w:rFonts w:hint="eastAsia" w:ascii="Times New Roman" w:hAnsi="宋体" w:eastAsia="宋体" w:cs="Times New Roman"/>
          <w:color w:val="auto"/>
          <w:sz w:val="24"/>
          <w:szCs w:val="24"/>
          <w:shd w:val="clear" w:color="auto" w:fill="auto"/>
        </w:rPr>
        <w:t>手段</w:t>
      </w:r>
      <w:r>
        <w:rPr>
          <w:rFonts w:ascii="Times New Roman" w:hAnsi="宋体" w:eastAsia="宋体" w:cs="Times New Roman"/>
          <w:color w:val="auto"/>
          <w:sz w:val="24"/>
          <w:szCs w:val="24"/>
          <w:shd w:val="clear" w:color="auto" w:fill="auto"/>
        </w:rPr>
        <w:t>、数据处理</w:t>
      </w:r>
      <w:r>
        <w:rPr>
          <w:rFonts w:hint="eastAsia" w:ascii="Times New Roman" w:hAnsi="宋体" w:eastAsia="宋体" w:cs="Times New Roman"/>
          <w:color w:val="auto"/>
          <w:sz w:val="24"/>
          <w:szCs w:val="24"/>
          <w:shd w:val="clear" w:color="auto" w:fill="auto"/>
        </w:rPr>
        <w:t>要求</w:t>
      </w:r>
      <w:r>
        <w:rPr>
          <w:rFonts w:ascii="Times New Roman" w:hAnsi="宋体" w:eastAsia="宋体" w:cs="Times New Roman"/>
          <w:color w:val="auto"/>
          <w:sz w:val="24"/>
          <w:szCs w:val="24"/>
          <w:shd w:val="clear" w:color="auto" w:fill="auto"/>
        </w:rPr>
        <w:t>等内容。</w:t>
      </w:r>
    </w:p>
    <w:p>
      <w:pPr>
        <w:pStyle w:val="11"/>
        <w:spacing w:line="360" w:lineRule="auto"/>
        <w:rPr>
          <w:rFonts w:ascii="Times New Roman" w:hAnsi="Times New Roman" w:eastAsia="楷体"/>
          <w:color w:val="auto"/>
          <w:sz w:val="24"/>
          <w:szCs w:val="20"/>
          <w:shd w:val="clear" w:color="auto" w:fill="auto"/>
        </w:rPr>
      </w:pPr>
      <w:r>
        <w:rPr>
          <w:rFonts w:hint="eastAsia" w:ascii="楷体" w:hAnsi="楷体" w:eastAsia="楷体"/>
          <w:color w:val="auto"/>
          <w:sz w:val="24"/>
          <w:shd w:val="clear" w:color="auto" w:fill="auto"/>
        </w:rPr>
        <w:t>【条文说明】</w:t>
      </w:r>
      <w:r>
        <w:rPr>
          <w:rFonts w:hint="eastAsia" w:ascii="Times New Roman" w:hAnsi="Times New Roman" w:eastAsia="楷体"/>
          <w:color w:val="auto"/>
          <w:sz w:val="24"/>
          <w:szCs w:val="20"/>
          <w:shd w:val="clear" w:color="auto" w:fill="auto"/>
        </w:rPr>
        <w:t>本条解释了标准的主要内容。在住房和城乡建设领域碳达峰和碳中和的目标下，标准引用了</w:t>
      </w:r>
      <w:r>
        <w:rPr>
          <w:rFonts w:ascii="Times New Roman" w:hAnsi="Times New Roman" w:eastAsia="楷体"/>
          <w:color w:val="auto"/>
          <w:sz w:val="24"/>
          <w:szCs w:val="20"/>
          <w:shd w:val="clear" w:color="auto" w:fill="auto"/>
        </w:rPr>
        <w:t>《建筑碳排放计算标准》GB/T 51366-2019</w:t>
      </w:r>
      <w:r>
        <w:rPr>
          <w:rFonts w:hint="eastAsia" w:ascii="Times New Roman" w:hAnsi="Times New Roman" w:eastAsia="楷体"/>
          <w:color w:val="auto"/>
          <w:sz w:val="24"/>
          <w:szCs w:val="20"/>
          <w:shd w:val="clear" w:color="auto" w:fill="auto"/>
        </w:rPr>
        <w:t>，也规定了碳排放数据采集的部分内容。</w:t>
      </w:r>
    </w:p>
    <w:p>
      <w:pPr>
        <w:pStyle w:val="11"/>
        <w:numPr>
          <w:ilvl w:val="2"/>
          <w:numId w:val="2"/>
        </w:numPr>
        <w:spacing w:line="360" w:lineRule="auto"/>
        <w:ind w:left="720" w:hanging="720"/>
        <w:rPr>
          <w:rFonts w:ascii="Times New Roman" w:hAnsi="Times New Roman" w:eastAsia="宋体" w:cs="Times New Roman"/>
          <w:color w:val="auto"/>
          <w:sz w:val="24"/>
          <w:szCs w:val="24"/>
          <w:shd w:val="clear" w:color="auto" w:fill="auto"/>
        </w:rPr>
      </w:pPr>
      <w:r>
        <w:rPr>
          <w:rFonts w:ascii="Times New Roman" w:hAnsi="宋体" w:eastAsia="宋体" w:cs="Times New Roman"/>
          <w:color w:val="auto"/>
          <w:sz w:val="24"/>
          <w:szCs w:val="24"/>
          <w:shd w:val="clear" w:color="auto" w:fill="auto"/>
        </w:rPr>
        <w:t>本标准适用于</w:t>
      </w:r>
      <w:r>
        <w:rPr>
          <w:rFonts w:hint="eastAsia" w:ascii="Times New Roman" w:hAnsi="宋体" w:eastAsia="宋体" w:cs="Times New Roman"/>
          <w:color w:val="auto"/>
          <w:sz w:val="24"/>
          <w:szCs w:val="24"/>
          <w:shd w:val="clear" w:color="auto" w:fill="auto"/>
        </w:rPr>
        <w:t>规模及</w:t>
      </w:r>
      <w:r>
        <w:rPr>
          <w:rFonts w:ascii="Times New Roman" w:hAnsi="宋体" w:eastAsia="宋体" w:cs="Times New Roman"/>
          <w:color w:val="auto"/>
          <w:sz w:val="24"/>
          <w:szCs w:val="24"/>
          <w:shd w:val="clear" w:color="auto" w:fill="auto"/>
        </w:rPr>
        <w:t>用地、用能、用水、用材、碳排放等环境保护宏观数据统计、数据调查、数据处理、数据入库，以及科研和管理等相关领域。</w:t>
      </w:r>
    </w:p>
    <w:p>
      <w:pPr>
        <w:pStyle w:val="11"/>
        <w:spacing w:line="360" w:lineRule="auto"/>
        <w:rPr>
          <w:rFonts w:ascii="Times New Roman" w:hAnsi="Times New Roman" w:eastAsia="楷体"/>
          <w:color w:val="auto"/>
          <w:sz w:val="24"/>
          <w:szCs w:val="20"/>
          <w:shd w:val="clear" w:color="auto" w:fill="auto"/>
        </w:rPr>
      </w:pPr>
      <w:r>
        <w:rPr>
          <w:rFonts w:hint="eastAsia" w:ascii="楷体" w:hAnsi="楷体" w:eastAsia="楷体"/>
          <w:color w:val="auto"/>
          <w:sz w:val="24"/>
          <w:shd w:val="clear" w:color="auto" w:fill="auto"/>
        </w:rPr>
        <w:t>【条文说明】</w:t>
      </w:r>
      <w:r>
        <w:rPr>
          <w:rFonts w:ascii="Times New Roman" w:hAnsi="Times New Roman" w:eastAsia="楷体"/>
          <w:color w:val="auto"/>
          <w:sz w:val="24"/>
          <w:szCs w:val="20"/>
          <w:shd w:val="clear" w:color="auto" w:fill="auto"/>
        </w:rPr>
        <w:t>标准主要适用于</w:t>
      </w:r>
      <w:r>
        <w:rPr>
          <w:rFonts w:hint="eastAsia" w:ascii="Times New Roman" w:hAnsi="Times New Roman" w:eastAsia="楷体"/>
          <w:color w:val="auto"/>
          <w:sz w:val="24"/>
          <w:szCs w:val="20"/>
          <w:shd w:val="clear" w:color="auto" w:fill="auto"/>
        </w:rPr>
        <w:t>为民用建筑能源资源环境方面的宏观数据采集，为制定建筑领域绿色低碳政策提供数据支持，加强建筑领域的宏观管理和科学决策，规范建筑数据采集工作。标准编制将推动建筑节能减排的基础数据需求，提升建筑数据采集的规范性及全面性，为互联网、物联网和大数据技术在建筑领域分析与应用奠定坚实基础，对其他行业的数据采集具有借鉴意义。</w:t>
      </w:r>
    </w:p>
    <w:p>
      <w:pPr>
        <w:pStyle w:val="11"/>
        <w:numPr>
          <w:ilvl w:val="2"/>
          <w:numId w:val="2"/>
        </w:numPr>
        <w:spacing w:line="360" w:lineRule="auto"/>
        <w:ind w:left="720" w:hanging="720"/>
        <w:rPr>
          <w:rFonts w:ascii="Times New Roman" w:hAnsi="Times New Roman" w:eastAsia="宋体" w:cs="Times New Roman"/>
          <w:color w:val="auto"/>
          <w:sz w:val="24"/>
          <w:szCs w:val="24"/>
          <w:shd w:val="clear" w:color="auto" w:fill="auto"/>
        </w:rPr>
      </w:pPr>
      <w:r>
        <w:rPr>
          <w:rFonts w:ascii="Times New Roman" w:hAnsi="宋体" w:eastAsia="宋体" w:cs="Times New Roman"/>
          <w:color w:val="auto"/>
          <w:sz w:val="24"/>
          <w:szCs w:val="24"/>
          <w:shd w:val="clear" w:color="auto" w:fill="auto"/>
        </w:rPr>
        <w:t>使用民用建筑数据采集标准时，除应符合本标准的规定外，尚应符合国家现行有关标准的规定。</w:t>
      </w:r>
    </w:p>
    <w:p>
      <w:pPr>
        <w:pStyle w:val="11"/>
        <w:spacing w:line="360" w:lineRule="auto"/>
        <w:rPr>
          <w:rFonts w:ascii="Times New Roman" w:hAnsi="Times New Roman" w:eastAsia="楷体"/>
          <w:color w:val="auto"/>
          <w:sz w:val="24"/>
          <w:szCs w:val="20"/>
          <w:shd w:val="clear" w:color="auto" w:fill="auto"/>
        </w:rPr>
      </w:pPr>
      <w:r>
        <w:rPr>
          <w:rFonts w:hint="eastAsia" w:ascii="楷体" w:hAnsi="楷体" w:eastAsia="楷体"/>
          <w:color w:val="auto"/>
          <w:sz w:val="24"/>
          <w:shd w:val="clear" w:color="auto" w:fill="auto"/>
        </w:rPr>
        <w:t>【条文说明】</w:t>
      </w:r>
      <w:r>
        <w:rPr>
          <w:rFonts w:ascii="Times New Roman" w:hAnsi="Times New Roman" w:eastAsia="楷体"/>
          <w:color w:val="auto"/>
          <w:sz w:val="24"/>
          <w:szCs w:val="20"/>
          <w:shd w:val="clear" w:color="auto" w:fill="auto"/>
        </w:rPr>
        <w:t>本标准</w:t>
      </w:r>
      <w:r>
        <w:rPr>
          <w:rFonts w:hint="eastAsia" w:ascii="Times New Roman" w:hAnsi="Times New Roman" w:eastAsia="楷体"/>
          <w:color w:val="auto"/>
          <w:sz w:val="24"/>
          <w:szCs w:val="20"/>
          <w:shd w:val="clear" w:color="auto" w:fill="auto"/>
        </w:rPr>
        <w:t>属于</w:t>
      </w:r>
      <w:r>
        <w:rPr>
          <w:rFonts w:ascii="Times New Roman" w:hAnsi="Times New Roman" w:eastAsia="楷体"/>
          <w:color w:val="auto"/>
          <w:sz w:val="24"/>
          <w:szCs w:val="20"/>
          <w:shd w:val="clear" w:color="auto" w:fill="auto"/>
        </w:rPr>
        <w:t>团体标准</w:t>
      </w:r>
      <w:r>
        <w:rPr>
          <w:rFonts w:hint="eastAsia" w:ascii="Times New Roman" w:hAnsi="Times New Roman" w:eastAsia="楷体"/>
          <w:color w:val="auto"/>
          <w:sz w:val="24"/>
          <w:szCs w:val="20"/>
          <w:shd w:val="clear" w:color="auto" w:fill="auto"/>
        </w:rPr>
        <w:t>，符合国家法律法规、部门规章和其他相关国家标准、行业标准是建筑数据采集的前提条件。本标准重点考虑了规模及</w:t>
      </w:r>
      <w:r>
        <w:rPr>
          <w:rFonts w:ascii="Times New Roman" w:hAnsi="Times New Roman" w:eastAsia="楷体"/>
          <w:color w:val="auto"/>
          <w:sz w:val="24"/>
          <w:szCs w:val="20"/>
          <w:shd w:val="clear" w:color="auto" w:fill="auto"/>
        </w:rPr>
        <w:t>用地、用能、用水、用材、碳排放等环境保护</w:t>
      </w:r>
      <w:r>
        <w:rPr>
          <w:rFonts w:hint="eastAsia" w:ascii="Times New Roman" w:hAnsi="Times New Roman" w:eastAsia="楷体"/>
          <w:color w:val="auto"/>
          <w:sz w:val="24"/>
          <w:szCs w:val="20"/>
          <w:shd w:val="clear" w:color="auto" w:fill="auto"/>
        </w:rPr>
        <w:t>方面的数据采集和处理，并未涵盖民用建筑数据采集应包含的全部内容，故民用建筑数据采集时除应符合本标准的规定外，尚应符合国家现行有关数据统计、报送和采集制度的规定。</w:t>
      </w:r>
    </w:p>
    <w:p>
      <w:pPr>
        <w:widowControl/>
        <w:jc w:val="left"/>
        <w:rPr>
          <w:b/>
          <w:color w:val="auto"/>
          <w:sz w:val="28"/>
          <w:shd w:val="clear" w:color="auto" w:fill="auto"/>
        </w:rPr>
      </w:pPr>
      <w:r>
        <w:rPr>
          <w:b/>
          <w:color w:val="auto"/>
          <w:sz w:val="28"/>
          <w:shd w:val="clear" w:color="auto" w:fill="auto"/>
        </w:rPr>
        <w:br w:type="page"/>
      </w:r>
    </w:p>
    <w:p>
      <w:pPr>
        <w:pStyle w:val="59"/>
        <w:numPr>
          <w:ilvl w:val="0"/>
          <w:numId w:val="1"/>
        </w:numPr>
        <w:ind w:left="0" w:firstLine="0"/>
        <w:rPr>
          <w:rFonts w:eastAsia="宋体"/>
          <w:b/>
          <w:color w:val="auto"/>
          <w:sz w:val="32"/>
          <w:szCs w:val="32"/>
          <w:shd w:val="clear" w:color="auto" w:fill="auto"/>
        </w:rPr>
      </w:pPr>
      <w:bookmarkStart w:id="2" w:name="_Toc9464"/>
      <w:bookmarkStart w:id="3" w:name="_Toc56005041"/>
      <w:r>
        <w:rPr>
          <w:rFonts w:hAnsi="宋体" w:eastAsia="宋体"/>
          <w:b/>
          <w:color w:val="auto"/>
          <w:sz w:val="32"/>
          <w:szCs w:val="32"/>
          <w:shd w:val="clear" w:color="auto" w:fill="auto"/>
        </w:rPr>
        <w:t>术</w:t>
      </w:r>
      <w:r>
        <w:rPr>
          <w:rFonts w:hint="eastAsia" w:hAnsi="宋体" w:eastAsia="宋体"/>
          <w:b/>
          <w:color w:val="auto"/>
          <w:sz w:val="32"/>
          <w:szCs w:val="32"/>
          <w:shd w:val="clear" w:color="auto" w:fill="auto"/>
          <w:lang w:val="en-US" w:eastAsia="zh-CN"/>
        </w:rPr>
        <w:t xml:space="preserve">  </w:t>
      </w:r>
      <w:r>
        <w:rPr>
          <w:rFonts w:hAnsi="宋体" w:eastAsia="宋体"/>
          <w:b/>
          <w:color w:val="auto"/>
          <w:sz w:val="32"/>
          <w:szCs w:val="32"/>
          <w:shd w:val="clear" w:color="auto" w:fill="auto"/>
        </w:rPr>
        <w:t>语</w:t>
      </w:r>
      <w:bookmarkEnd w:id="2"/>
      <w:bookmarkEnd w:id="3"/>
    </w:p>
    <w:p>
      <w:pPr>
        <w:pStyle w:val="33"/>
        <w:numPr>
          <w:ilvl w:val="2"/>
          <w:numId w:val="3"/>
        </w:numPr>
        <w:spacing w:line="360" w:lineRule="auto"/>
        <w:ind w:left="0" w:firstLine="0" w:firstLineChars="0"/>
        <w:outlineLvl w:val="2"/>
        <w:rPr>
          <w:color w:val="auto"/>
          <w:sz w:val="24"/>
          <w:szCs w:val="24"/>
          <w:shd w:val="clear" w:color="auto" w:fill="auto"/>
        </w:rPr>
      </w:pPr>
      <w:bookmarkStart w:id="4" w:name="_Toc55910053"/>
      <w:bookmarkStart w:id="5" w:name="_Toc56005043"/>
      <w:r>
        <w:rPr>
          <w:rFonts w:hAnsi="宋体"/>
          <w:color w:val="auto"/>
          <w:sz w:val="24"/>
          <w:szCs w:val="24"/>
          <w:shd w:val="clear" w:color="auto" w:fill="auto"/>
        </w:rPr>
        <w:t>民用建筑数据采集</w:t>
      </w:r>
      <w:bookmarkEnd w:id="4"/>
      <w:bookmarkEnd w:id="5"/>
      <w:r>
        <w:rPr>
          <w:color w:val="auto"/>
          <w:sz w:val="24"/>
          <w:szCs w:val="24"/>
          <w:shd w:val="clear" w:color="auto" w:fill="auto"/>
        </w:rPr>
        <w:t xml:space="preserve"> Data acquisition</w:t>
      </w:r>
      <w:r>
        <w:rPr>
          <w:rFonts w:hint="eastAsia"/>
          <w:color w:val="auto"/>
          <w:sz w:val="24"/>
          <w:szCs w:val="24"/>
          <w:shd w:val="clear" w:color="auto" w:fill="auto"/>
        </w:rPr>
        <w:t xml:space="preserve"> for civil building</w:t>
      </w:r>
    </w:p>
    <w:p>
      <w:pPr>
        <w:pStyle w:val="60"/>
        <w:spacing w:line="360" w:lineRule="auto"/>
        <w:ind w:firstLine="480"/>
        <w:rPr>
          <w:rFonts w:ascii="Times New Roman"/>
          <w:color w:val="auto"/>
          <w:sz w:val="24"/>
          <w:szCs w:val="24"/>
          <w:shd w:val="clear" w:color="auto" w:fill="auto"/>
        </w:rPr>
      </w:pPr>
      <w:r>
        <w:rPr>
          <w:rFonts w:hint="eastAsia" w:ascii="Times New Roman" w:hAnsi="宋体"/>
          <w:color w:val="auto"/>
          <w:sz w:val="24"/>
          <w:szCs w:val="24"/>
          <w:shd w:val="clear" w:color="auto" w:fill="auto"/>
        </w:rPr>
        <w:t>居住建筑和公共建筑在建材生产、建造施工和运行使用阶段</w:t>
      </w:r>
      <w:r>
        <w:rPr>
          <w:rFonts w:hAnsi="宋体"/>
          <w:color w:val="auto"/>
          <w:sz w:val="24"/>
          <w:szCs w:val="24"/>
          <w:shd w:val="clear" w:color="auto" w:fill="auto"/>
        </w:rPr>
        <w:t>用地、用能、用水、用材、碳排放等环境保护等数据的采集</w:t>
      </w:r>
      <w:r>
        <w:rPr>
          <w:rFonts w:hint="eastAsia" w:hAnsi="宋体"/>
          <w:color w:val="auto"/>
          <w:sz w:val="24"/>
          <w:szCs w:val="24"/>
          <w:shd w:val="clear" w:color="auto" w:fill="auto"/>
        </w:rPr>
        <w:t>。</w:t>
      </w:r>
    </w:p>
    <w:p>
      <w:pPr>
        <w:pStyle w:val="33"/>
        <w:numPr>
          <w:ilvl w:val="2"/>
          <w:numId w:val="3"/>
        </w:numPr>
        <w:spacing w:line="360" w:lineRule="auto"/>
        <w:ind w:left="0" w:firstLine="0" w:firstLineChars="0"/>
        <w:outlineLvl w:val="2"/>
        <w:rPr>
          <w:color w:val="auto"/>
          <w:sz w:val="24"/>
          <w:szCs w:val="24"/>
          <w:shd w:val="clear" w:color="auto" w:fill="auto"/>
        </w:rPr>
      </w:pPr>
      <w:bookmarkStart w:id="6" w:name="_Toc55910052"/>
      <w:bookmarkStart w:id="7" w:name="_Toc56005042"/>
      <w:r>
        <w:rPr>
          <w:rFonts w:hint="eastAsia" w:hAnsi="宋体"/>
          <w:color w:val="auto"/>
          <w:sz w:val="24"/>
          <w:szCs w:val="24"/>
          <w:shd w:val="clear" w:color="auto" w:fill="auto"/>
        </w:rPr>
        <w:t>居住</w:t>
      </w:r>
      <w:r>
        <w:rPr>
          <w:rFonts w:hAnsi="宋体"/>
          <w:color w:val="auto"/>
          <w:sz w:val="24"/>
          <w:szCs w:val="24"/>
          <w:shd w:val="clear" w:color="auto" w:fill="auto"/>
        </w:rPr>
        <w:t>建筑数据采集</w:t>
      </w:r>
      <w:r>
        <w:rPr>
          <w:color w:val="auto"/>
          <w:sz w:val="24"/>
          <w:szCs w:val="24"/>
          <w:shd w:val="clear" w:color="auto" w:fill="auto"/>
        </w:rPr>
        <w:t xml:space="preserve"> </w:t>
      </w:r>
      <w:bookmarkEnd w:id="6"/>
      <w:bookmarkEnd w:id="7"/>
      <w:r>
        <w:rPr>
          <w:color w:val="auto"/>
          <w:sz w:val="24"/>
          <w:szCs w:val="24"/>
          <w:shd w:val="clear" w:color="auto" w:fill="auto"/>
        </w:rPr>
        <w:t>Data acquisition</w:t>
      </w:r>
      <w:r>
        <w:rPr>
          <w:rFonts w:hint="eastAsia"/>
          <w:color w:val="auto"/>
          <w:sz w:val="24"/>
          <w:szCs w:val="24"/>
          <w:shd w:val="clear" w:color="auto" w:fill="auto"/>
        </w:rPr>
        <w:t xml:space="preserve"> for residential building</w:t>
      </w:r>
    </w:p>
    <w:p>
      <w:pPr>
        <w:pStyle w:val="60"/>
        <w:spacing w:line="360" w:lineRule="auto"/>
        <w:ind w:firstLine="480"/>
        <w:rPr>
          <w:rFonts w:ascii="Times New Roman"/>
          <w:color w:val="auto"/>
          <w:sz w:val="24"/>
          <w:szCs w:val="24"/>
          <w:shd w:val="clear" w:color="auto" w:fill="auto"/>
        </w:rPr>
      </w:pPr>
      <w:r>
        <w:rPr>
          <w:rFonts w:hint="eastAsia" w:ascii="Times New Roman" w:hAnsi="宋体"/>
          <w:color w:val="auto"/>
          <w:sz w:val="24"/>
          <w:szCs w:val="24"/>
          <w:shd w:val="clear" w:color="auto" w:fill="auto"/>
        </w:rPr>
        <w:t>居住建筑在建材生产、建造施工和运行使用阶段</w:t>
      </w:r>
      <w:r>
        <w:rPr>
          <w:rFonts w:hAnsi="宋体"/>
          <w:color w:val="auto"/>
          <w:sz w:val="24"/>
          <w:szCs w:val="24"/>
          <w:shd w:val="clear" w:color="auto" w:fill="auto"/>
        </w:rPr>
        <w:t>用地、用能、用水、用材、碳排放等环境保护等数据的采集</w:t>
      </w:r>
      <w:r>
        <w:rPr>
          <w:rFonts w:hint="eastAsia" w:hAnsi="宋体"/>
          <w:color w:val="auto"/>
          <w:sz w:val="24"/>
          <w:szCs w:val="24"/>
          <w:shd w:val="clear" w:color="auto" w:fill="auto"/>
        </w:rPr>
        <w:t>。</w:t>
      </w:r>
    </w:p>
    <w:p>
      <w:pPr>
        <w:pStyle w:val="33"/>
        <w:numPr>
          <w:ilvl w:val="2"/>
          <w:numId w:val="3"/>
        </w:numPr>
        <w:spacing w:line="360" w:lineRule="auto"/>
        <w:ind w:left="0" w:firstLine="0" w:firstLineChars="0"/>
        <w:outlineLvl w:val="2"/>
        <w:rPr>
          <w:color w:val="auto"/>
          <w:sz w:val="24"/>
          <w:szCs w:val="24"/>
          <w:shd w:val="clear" w:color="auto" w:fill="auto"/>
        </w:rPr>
      </w:pPr>
      <w:r>
        <w:rPr>
          <w:rFonts w:hint="eastAsia" w:hAnsi="宋体"/>
          <w:color w:val="auto"/>
          <w:sz w:val="24"/>
          <w:szCs w:val="24"/>
          <w:shd w:val="clear" w:color="auto" w:fill="auto"/>
        </w:rPr>
        <w:t>公共</w:t>
      </w:r>
      <w:r>
        <w:rPr>
          <w:rFonts w:hAnsi="宋体"/>
          <w:color w:val="auto"/>
          <w:sz w:val="24"/>
          <w:szCs w:val="24"/>
          <w:shd w:val="clear" w:color="auto" w:fill="auto"/>
        </w:rPr>
        <w:t>建筑数据采集</w:t>
      </w:r>
      <w:r>
        <w:rPr>
          <w:color w:val="auto"/>
          <w:sz w:val="24"/>
          <w:szCs w:val="24"/>
          <w:shd w:val="clear" w:color="auto" w:fill="auto"/>
        </w:rPr>
        <w:t xml:space="preserve"> Data acquisition</w:t>
      </w:r>
      <w:r>
        <w:rPr>
          <w:rFonts w:hint="eastAsia"/>
          <w:color w:val="auto"/>
          <w:sz w:val="24"/>
          <w:szCs w:val="24"/>
          <w:shd w:val="clear" w:color="auto" w:fill="auto"/>
        </w:rPr>
        <w:t xml:space="preserve"> for public building</w:t>
      </w:r>
    </w:p>
    <w:p>
      <w:pPr>
        <w:pStyle w:val="60"/>
        <w:spacing w:line="360" w:lineRule="auto"/>
        <w:ind w:firstLine="480"/>
        <w:rPr>
          <w:rFonts w:hAnsi="宋体"/>
          <w:color w:val="auto"/>
          <w:sz w:val="24"/>
          <w:szCs w:val="24"/>
          <w:shd w:val="clear" w:color="auto" w:fill="auto"/>
        </w:rPr>
      </w:pPr>
      <w:r>
        <w:rPr>
          <w:rFonts w:hint="eastAsia" w:ascii="Times New Roman" w:hAnsi="宋体"/>
          <w:color w:val="auto"/>
          <w:sz w:val="24"/>
          <w:szCs w:val="24"/>
          <w:shd w:val="clear" w:color="auto" w:fill="auto"/>
        </w:rPr>
        <w:t>公共建筑在建材生产、建造施工和运行使用阶段</w:t>
      </w:r>
      <w:r>
        <w:rPr>
          <w:rFonts w:hAnsi="宋体"/>
          <w:color w:val="auto"/>
          <w:sz w:val="24"/>
          <w:szCs w:val="24"/>
          <w:shd w:val="clear" w:color="auto" w:fill="auto"/>
        </w:rPr>
        <w:t>用地、用能、用水、用材、碳排放等环境保护等数据的采集</w:t>
      </w:r>
      <w:r>
        <w:rPr>
          <w:rFonts w:hint="eastAsia" w:hAnsi="宋体"/>
          <w:color w:val="auto"/>
          <w:sz w:val="24"/>
          <w:szCs w:val="24"/>
          <w:shd w:val="clear" w:color="auto" w:fill="auto"/>
        </w:rPr>
        <w:t>。</w:t>
      </w:r>
    </w:p>
    <w:p>
      <w:pPr>
        <w:pStyle w:val="33"/>
        <w:numPr>
          <w:ilvl w:val="2"/>
          <w:numId w:val="3"/>
        </w:numPr>
        <w:spacing w:line="360" w:lineRule="auto"/>
        <w:ind w:left="0" w:firstLine="0" w:firstLineChars="0"/>
        <w:outlineLvl w:val="2"/>
        <w:rPr>
          <w:rFonts w:hAnsi="宋体"/>
          <w:color w:val="auto"/>
          <w:sz w:val="24"/>
          <w:szCs w:val="24"/>
          <w:shd w:val="clear" w:color="auto" w:fill="auto"/>
        </w:rPr>
      </w:pPr>
      <w:bookmarkStart w:id="8" w:name="_Toc26380"/>
      <w:r>
        <w:rPr>
          <w:rFonts w:hint="eastAsia" w:hAnsi="宋体"/>
          <w:color w:val="auto"/>
          <w:sz w:val="24"/>
          <w:szCs w:val="24"/>
          <w:shd w:val="clear" w:color="auto" w:fill="auto"/>
        </w:rPr>
        <w:t xml:space="preserve">数据校核 </w:t>
      </w:r>
      <w:r>
        <w:rPr>
          <w:rFonts w:hAnsi="宋体"/>
          <w:color w:val="auto"/>
          <w:sz w:val="24"/>
          <w:szCs w:val="24"/>
          <w:shd w:val="clear" w:color="auto" w:fill="auto"/>
        </w:rPr>
        <w:t>Data</w:t>
      </w:r>
      <w:r>
        <w:rPr>
          <w:rFonts w:hint="eastAsia" w:hAnsi="宋体"/>
          <w:color w:val="auto"/>
          <w:sz w:val="24"/>
          <w:szCs w:val="24"/>
          <w:shd w:val="clear" w:color="auto" w:fill="auto"/>
        </w:rPr>
        <w:t xml:space="preserve"> check</w:t>
      </w:r>
      <w:bookmarkEnd w:id="8"/>
    </w:p>
    <w:p>
      <w:pPr>
        <w:pStyle w:val="60"/>
        <w:spacing w:line="360" w:lineRule="auto"/>
        <w:ind w:firstLine="480"/>
        <w:rPr>
          <w:rFonts w:ascii="Times New Roman" w:hAnsi="宋体"/>
          <w:color w:val="auto"/>
          <w:sz w:val="24"/>
          <w:szCs w:val="24"/>
          <w:shd w:val="clear" w:color="auto" w:fill="auto"/>
        </w:rPr>
      </w:pPr>
      <w:r>
        <w:rPr>
          <w:rFonts w:hint="eastAsia" w:ascii="Times New Roman" w:hAnsi="宋体"/>
          <w:color w:val="auto"/>
          <w:sz w:val="24"/>
          <w:szCs w:val="24"/>
          <w:shd w:val="clear" w:color="auto" w:fill="auto"/>
        </w:rPr>
        <w:t>通过数据测算和交叉比对来验证并保证数据完整性、规范性和准确性的过程。</w:t>
      </w:r>
    </w:p>
    <w:p>
      <w:pPr>
        <w:pStyle w:val="60"/>
        <w:spacing w:line="360" w:lineRule="auto"/>
        <w:ind w:firstLine="480"/>
        <w:rPr>
          <w:rFonts w:ascii="Times New Roman"/>
          <w:color w:val="auto"/>
          <w:sz w:val="24"/>
          <w:szCs w:val="24"/>
          <w:shd w:val="clear" w:color="auto" w:fill="auto"/>
        </w:rPr>
      </w:pPr>
    </w:p>
    <w:p>
      <w:pPr>
        <w:widowControl/>
        <w:jc w:val="left"/>
        <w:rPr>
          <w:b/>
          <w:color w:val="auto"/>
          <w:kern w:val="44"/>
          <w:sz w:val="28"/>
          <w:szCs w:val="20"/>
          <w:shd w:val="clear" w:color="auto" w:fill="auto"/>
        </w:rPr>
      </w:pPr>
      <w:r>
        <w:rPr>
          <w:b/>
          <w:color w:val="auto"/>
          <w:kern w:val="44"/>
          <w:sz w:val="28"/>
          <w:szCs w:val="20"/>
          <w:shd w:val="clear" w:color="auto" w:fill="auto"/>
        </w:rPr>
        <w:br w:type="page"/>
      </w:r>
    </w:p>
    <w:p>
      <w:pPr>
        <w:pStyle w:val="59"/>
        <w:numPr>
          <w:ilvl w:val="0"/>
          <w:numId w:val="1"/>
        </w:numPr>
        <w:ind w:left="0" w:firstLine="0"/>
        <w:rPr>
          <w:rFonts w:eastAsia="宋体"/>
          <w:b/>
          <w:color w:val="auto"/>
          <w:sz w:val="32"/>
          <w:szCs w:val="32"/>
          <w:shd w:val="clear" w:color="auto" w:fill="auto"/>
        </w:rPr>
      </w:pPr>
      <w:bookmarkStart w:id="9" w:name="_Toc1998"/>
      <w:r>
        <w:rPr>
          <w:rFonts w:hAnsi="宋体" w:eastAsia="宋体"/>
          <w:b/>
          <w:color w:val="auto"/>
          <w:sz w:val="32"/>
          <w:szCs w:val="32"/>
          <w:shd w:val="clear" w:color="auto" w:fill="auto"/>
        </w:rPr>
        <w:t>采集渠道和来源</w:t>
      </w:r>
      <w:bookmarkEnd w:id="9"/>
    </w:p>
    <w:p>
      <w:pPr>
        <w:pStyle w:val="3"/>
        <w:spacing w:line="360" w:lineRule="auto"/>
        <w:jc w:val="center"/>
        <w:rPr>
          <w:rFonts w:ascii="Times New Roman" w:hAnsi="Times New Roman" w:eastAsia="宋体" w:cs="Times New Roman"/>
          <w:color w:val="auto"/>
          <w:sz w:val="24"/>
          <w:szCs w:val="24"/>
          <w:shd w:val="clear" w:color="auto" w:fill="auto"/>
        </w:rPr>
      </w:pPr>
      <w:bookmarkStart w:id="10" w:name="_Toc80719908"/>
      <w:bookmarkStart w:id="11" w:name="_Toc2789"/>
      <w:r>
        <w:rPr>
          <w:rFonts w:ascii="Times New Roman" w:hAnsi="Times New Roman" w:eastAsia="宋体" w:cs="Times New Roman"/>
          <w:color w:val="auto"/>
          <w:sz w:val="24"/>
          <w:szCs w:val="24"/>
          <w:shd w:val="clear" w:color="auto" w:fill="auto"/>
        </w:rPr>
        <w:t xml:space="preserve">3.1 </w:t>
      </w:r>
      <w:bookmarkEnd w:id="10"/>
      <w:r>
        <w:rPr>
          <w:rFonts w:ascii="Times New Roman" w:hAnsi="宋体" w:eastAsia="宋体" w:cs="Times New Roman"/>
          <w:color w:val="auto"/>
          <w:sz w:val="24"/>
          <w:szCs w:val="24"/>
          <w:shd w:val="clear" w:color="auto" w:fill="auto"/>
        </w:rPr>
        <w:t>一般规定</w:t>
      </w:r>
      <w:bookmarkEnd w:id="11"/>
    </w:p>
    <w:p>
      <w:pPr>
        <w:spacing w:line="360" w:lineRule="auto"/>
        <w:rPr>
          <w:rFonts w:hAnsi="宋体"/>
          <w:color w:val="auto"/>
          <w:sz w:val="24"/>
          <w:szCs w:val="24"/>
          <w:shd w:val="clear" w:color="auto" w:fill="auto"/>
        </w:rPr>
      </w:pPr>
      <w:r>
        <w:rPr>
          <w:b/>
          <w:bCs/>
          <w:color w:val="auto"/>
          <w:sz w:val="24"/>
          <w:szCs w:val="24"/>
          <w:shd w:val="clear" w:color="auto" w:fill="auto"/>
        </w:rPr>
        <w:t xml:space="preserve">3.1.1 </w:t>
      </w:r>
      <w:r>
        <w:rPr>
          <w:rFonts w:hAnsi="宋体"/>
          <w:color w:val="auto"/>
          <w:sz w:val="24"/>
          <w:szCs w:val="24"/>
          <w:shd w:val="clear" w:color="auto" w:fill="auto"/>
        </w:rPr>
        <w:t>民用建筑</w:t>
      </w:r>
      <w:r>
        <w:rPr>
          <w:rFonts w:hint="eastAsia" w:hAnsi="宋体"/>
          <w:color w:val="auto"/>
          <w:sz w:val="24"/>
          <w:szCs w:val="24"/>
          <w:shd w:val="clear" w:color="auto" w:fill="auto"/>
        </w:rPr>
        <w:t>规模及</w:t>
      </w:r>
      <w:r>
        <w:rPr>
          <w:rFonts w:hAnsi="宋体"/>
          <w:color w:val="auto"/>
          <w:sz w:val="24"/>
          <w:szCs w:val="24"/>
          <w:shd w:val="clear" w:color="auto" w:fill="auto"/>
        </w:rPr>
        <w:t>用地、用能、用水、用材、碳排放等环境保护等数据采集的直接来源和渠道</w:t>
      </w:r>
      <w:r>
        <w:rPr>
          <w:rFonts w:hint="eastAsia" w:hAnsi="宋体"/>
          <w:color w:val="auto"/>
          <w:sz w:val="24"/>
          <w:szCs w:val="24"/>
          <w:shd w:val="clear" w:color="auto" w:fill="auto"/>
        </w:rPr>
        <w:t>，</w:t>
      </w:r>
      <w:r>
        <w:rPr>
          <w:rFonts w:hAnsi="宋体"/>
          <w:color w:val="auto"/>
          <w:sz w:val="24"/>
          <w:szCs w:val="24"/>
          <w:shd w:val="clear" w:color="auto" w:fill="auto"/>
        </w:rPr>
        <w:t>应主要包括统计年鉴类、监测平台和数据库类、公开文献类、互联网和物联网设备类等四大类。</w:t>
      </w:r>
    </w:p>
    <w:p>
      <w:pPr>
        <w:pStyle w:val="11"/>
        <w:spacing w:line="360" w:lineRule="auto"/>
        <w:rPr>
          <w:rFonts w:ascii="Times New Roman" w:hAnsi="Times New Roman" w:eastAsia="楷体"/>
          <w:color w:val="auto"/>
          <w:sz w:val="24"/>
          <w:szCs w:val="20"/>
          <w:shd w:val="clear" w:color="auto" w:fill="auto"/>
        </w:rPr>
      </w:pPr>
      <w:r>
        <w:rPr>
          <w:rFonts w:hint="eastAsia" w:ascii="楷体" w:hAnsi="楷体" w:eastAsia="楷体"/>
          <w:color w:val="auto"/>
          <w:sz w:val="24"/>
          <w:shd w:val="clear" w:color="auto" w:fill="auto"/>
        </w:rPr>
        <w:t>【条文说明】</w:t>
      </w:r>
      <w:r>
        <w:rPr>
          <w:rFonts w:ascii="Times New Roman" w:hAnsi="Times New Roman" w:eastAsia="楷体"/>
          <w:color w:val="auto"/>
          <w:sz w:val="24"/>
          <w:szCs w:val="20"/>
          <w:shd w:val="clear" w:color="auto" w:fill="auto"/>
        </w:rPr>
        <w:t>民用建筑</w:t>
      </w:r>
      <w:r>
        <w:rPr>
          <w:rFonts w:hint="eastAsia" w:ascii="Times New Roman" w:hAnsi="Times New Roman" w:eastAsia="楷体"/>
          <w:color w:val="auto"/>
          <w:sz w:val="24"/>
          <w:szCs w:val="20"/>
          <w:shd w:val="clear" w:color="auto" w:fill="auto"/>
        </w:rPr>
        <w:t>规模及</w:t>
      </w:r>
      <w:r>
        <w:rPr>
          <w:rFonts w:ascii="Times New Roman" w:hAnsi="Times New Roman" w:eastAsia="楷体"/>
          <w:color w:val="auto"/>
          <w:sz w:val="24"/>
          <w:szCs w:val="20"/>
          <w:shd w:val="clear" w:color="auto" w:fill="auto"/>
        </w:rPr>
        <w:t>用地、用能、用水、用材、碳排放等环境保护相关数据采集来源呈现出多源头、多层次的特点</w:t>
      </w:r>
      <w:r>
        <w:rPr>
          <w:rFonts w:hint="eastAsia" w:ascii="Times New Roman" w:hAnsi="Times New Roman" w:eastAsia="楷体"/>
          <w:color w:val="auto"/>
          <w:sz w:val="24"/>
          <w:szCs w:val="20"/>
          <w:shd w:val="clear" w:color="auto" w:fill="auto"/>
        </w:rPr>
        <w:t>。</w:t>
      </w:r>
      <w:r>
        <w:rPr>
          <w:rFonts w:ascii="Times New Roman" w:hAnsi="Times New Roman" w:eastAsia="楷体"/>
          <w:color w:val="auto"/>
          <w:sz w:val="24"/>
          <w:szCs w:val="20"/>
          <w:shd w:val="clear" w:color="auto" w:fill="auto"/>
        </w:rPr>
        <w:t>编制过程中</w:t>
      </w:r>
      <w:r>
        <w:rPr>
          <w:rFonts w:hint="eastAsia" w:ascii="Times New Roman" w:hAnsi="Times New Roman" w:eastAsia="楷体"/>
          <w:color w:val="auto"/>
          <w:sz w:val="24"/>
          <w:szCs w:val="20"/>
          <w:shd w:val="clear" w:color="auto" w:fill="auto"/>
        </w:rPr>
        <w:t>，通过</w:t>
      </w:r>
      <w:r>
        <w:rPr>
          <w:rFonts w:ascii="Times New Roman" w:hAnsi="Times New Roman" w:eastAsia="楷体"/>
          <w:color w:val="auto"/>
          <w:sz w:val="24"/>
          <w:szCs w:val="20"/>
          <w:shd w:val="clear" w:color="auto" w:fill="auto"/>
        </w:rPr>
        <w:t>现状调研、专家访谈</w:t>
      </w:r>
      <w:r>
        <w:rPr>
          <w:rFonts w:hint="eastAsia" w:ascii="Times New Roman" w:hAnsi="Times New Roman" w:eastAsia="楷体"/>
          <w:color w:val="auto"/>
          <w:sz w:val="24"/>
          <w:szCs w:val="20"/>
          <w:shd w:val="clear" w:color="auto" w:fill="auto"/>
        </w:rPr>
        <w:t>和</w:t>
      </w:r>
      <w:r>
        <w:rPr>
          <w:rFonts w:ascii="Times New Roman" w:hAnsi="Times New Roman" w:eastAsia="楷体"/>
          <w:color w:val="auto"/>
          <w:sz w:val="24"/>
          <w:szCs w:val="20"/>
          <w:shd w:val="clear" w:color="auto" w:fill="auto"/>
        </w:rPr>
        <w:t>文献分析等</w:t>
      </w:r>
      <w:r>
        <w:rPr>
          <w:rFonts w:hint="eastAsia" w:ascii="Times New Roman" w:hAnsi="Times New Roman" w:eastAsia="楷体"/>
          <w:color w:val="auto"/>
          <w:sz w:val="24"/>
          <w:szCs w:val="20"/>
          <w:shd w:val="clear" w:color="auto" w:fill="auto"/>
        </w:rPr>
        <w:t>方法</w:t>
      </w:r>
      <w:r>
        <w:rPr>
          <w:rFonts w:ascii="Times New Roman" w:hAnsi="Times New Roman" w:eastAsia="楷体"/>
          <w:color w:val="auto"/>
          <w:sz w:val="24"/>
          <w:szCs w:val="20"/>
          <w:shd w:val="clear" w:color="auto" w:fill="auto"/>
        </w:rPr>
        <w:t>，充分利用现有统计资料，梳理了</w:t>
      </w:r>
      <w:r>
        <w:rPr>
          <w:rFonts w:hint="eastAsia" w:ascii="Times New Roman" w:hAnsi="Times New Roman" w:eastAsia="楷体"/>
          <w:color w:val="auto"/>
          <w:sz w:val="24"/>
          <w:szCs w:val="20"/>
          <w:shd w:val="clear" w:color="auto" w:fill="auto"/>
        </w:rPr>
        <w:t>数据采集的</w:t>
      </w:r>
      <w:r>
        <w:rPr>
          <w:rFonts w:ascii="Times New Roman" w:hAnsi="Times New Roman" w:eastAsia="楷体"/>
          <w:color w:val="auto"/>
          <w:sz w:val="24"/>
          <w:szCs w:val="20"/>
          <w:shd w:val="clear" w:color="auto" w:fill="auto"/>
        </w:rPr>
        <w:t>渠道数据现状，分析了各渠道数据口径、内涵、统计范围、统计频次、统计部门、统计方法的差异点</w:t>
      </w:r>
      <w:r>
        <w:rPr>
          <w:rFonts w:hint="eastAsia" w:ascii="Times New Roman" w:hAnsi="Times New Roman" w:eastAsia="楷体"/>
          <w:color w:val="auto"/>
          <w:sz w:val="24"/>
          <w:szCs w:val="20"/>
          <w:shd w:val="clear" w:color="auto" w:fill="auto"/>
        </w:rPr>
        <w:t>，</w:t>
      </w:r>
      <w:r>
        <w:rPr>
          <w:rFonts w:ascii="Times New Roman" w:hAnsi="Times New Roman" w:eastAsia="楷体"/>
          <w:color w:val="auto"/>
          <w:sz w:val="24"/>
          <w:szCs w:val="20"/>
          <w:shd w:val="clear" w:color="auto" w:fill="auto"/>
        </w:rPr>
        <w:t>目前主要包括四大类</w:t>
      </w:r>
      <w:r>
        <w:rPr>
          <w:rFonts w:hint="eastAsia" w:ascii="Times New Roman" w:hAnsi="Times New Roman" w:eastAsia="楷体"/>
          <w:color w:val="auto"/>
          <w:sz w:val="24"/>
          <w:szCs w:val="20"/>
          <w:shd w:val="clear" w:color="auto" w:fill="auto"/>
        </w:rPr>
        <w:t>。</w:t>
      </w:r>
    </w:p>
    <w:p>
      <w:pPr>
        <w:spacing w:line="360" w:lineRule="auto"/>
        <w:rPr>
          <w:rFonts w:hAnsi="宋体"/>
          <w:color w:val="auto"/>
          <w:sz w:val="24"/>
          <w:szCs w:val="24"/>
          <w:shd w:val="clear" w:color="auto" w:fill="auto"/>
        </w:rPr>
      </w:pPr>
      <w:r>
        <w:rPr>
          <w:rFonts w:hint="eastAsia"/>
          <w:b/>
          <w:bCs/>
          <w:color w:val="auto"/>
          <w:sz w:val="24"/>
          <w:szCs w:val="24"/>
          <w:shd w:val="clear" w:color="auto" w:fill="auto"/>
        </w:rPr>
        <w:t>3.1.2</w:t>
      </w:r>
      <w:r>
        <w:rPr>
          <w:rFonts w:hint="eastAsia" w:hAnsi="宋体"/>
          <w:color w:val="auto"/>
          <w:sz w:val="24"/>
          <w:szCs w:val="24"/>
          <w:shd w:val="clear" w:color="auto" w:fill="auto"/>
        </w:rPr>
        <w:t xml:space="preserve"> 移动端和</w:t>
      </w:r>
      <w:r>
        <w:rPr>
          <w:rFonts w:hAnsi="宋体"/>
          <w:color w:val="auto"/>
          <w:sz w:val="24"/>
          <w:szCs w:val="24"/>
          <w:shd w:val="clear" w:color="auto" w:fill="auto"/>
        </w:rPr>
        <w:t>互联网上的相关监测数据、数据库平台、网络业务系统应用中的痕迹数据，可用于进行数据的</w:t>
      </w:r>
      <w:r>
        <w:rPr>
          <w:rFonts w:hint="eastAsia" w:hAnsi="宋体"/>
          <w:color w:val="auto"/>
          <w:sz w:val="24"/>
          <w:szCs w:val="24"/>
          <w:shd w:val="clear" w:color="auto" w:fill="auto"/>
        </w:rPr>
        <w:t>校核</w:t>
      </w:r>
      <w:r>
        <w:rPr>
          <w:rFonts w:hAnsi="宋体"/>
          <w:color w:val="auto"/>
          <w:sz w:val="24"/>
          <w:szCs w:val="24"/>
          <w:shd w:val="clear" w:color="auto" w:fill="auto"/>
        </w:rPr>
        <w:t>和分析</w:t>
      </w:r>
      <w:r>
        <w:rPr>
          <w:rFonts w:hint="eastAsia" w:hAnsi="宋体"/>
          <w:color w:val="auto"/>
          <w:sz w:val="24"/>
          <w:szCs w:val="24"/>
          <w:shd w:val="clear" w:color="auto" w:fill="auto"/>
        </w:rPr>
        <w:t>。</w:t>
      </w:r>
    </w:p>
    <w:p>
      <w:pPr>
        <w:pStyle w:val="11"/>
        <w:spacing w:line="360" w:lineRule="auto"/>
        <w:rPr>
          <w:rFonts w:ascii="Times New Roman" w:hAnsi="Times New Roman" w:eastAsia="楷体"/>
          <w:color w:val="auto"/>
          <w:sz w:val="24"/>
          <w:szCs w:val="20"/>
          <w:shd w:val="clear" w:color="auto" w:fill="auto"/>
        </w:rPr>
      </w:pPr>
      <w:r>
        <w:rPr>
          <w:rFonts w:hint="eastAsia" w:ascii="楷体" w:hAnsi="楷体" w:eastAsia="楷体"/>
          <w:color w:val="auto"/>
          <w:sz w:val="24"/>
          <w:shd w:val="clear" w:color="auto" w:fill="auto"/>
        </w:rPr>
        <w:t>【条文说明】</w:t>
      </w:r>
      <w:r>
        <w:rPr>
          <w:rFonts w:hint="eastAsia" w:ascii="Times New Roman" w:hAnsi="Times New Roman" w:eastAsia="楷体"/>
          <w:color w:val="auto"/>
          <w:sz w:val="24"/>
          <w:szCs w:val="20"/>
          <w:shd w:val="clear" w:color="auto" w:fill="auto"/>
        </w:rPr>
        <w:t>数据采集</w:t>
      </w:r>
      <w:r>
        <w:rPr>
          <w:rFonts w:ascii="Times New Roman" w:hAnsi="Times New Roman" w:eastAsia="楷体"/>
          <w:color w:val="auto"/>
          <w:sz w:val="24"/>
          <w:szCs w:val="20"/>
          <w:shd w:val="clear" w:color="auto" w:fill="auto"/>
        </w:rPr>
        <w:t>应</w:t>
      </w:r>
      <w:r>
        <w:rPr>
          <w:rFonts w:hint="eastAsia" w:ascii="Times New Roman" w:hAnsi="Times New Roman" w:eastAsia="楷体"/>
          <w:color w:val="auto"/>
          <w:sz w:val="24"/>
          <w:szCs w:val="20"/>
          <w:shd w:val="clear" w:color="auto" w:fill="auto"/>
        </w:rPr>
        <w:t>充分利用</w:t>
      </w:r>
      <w:r>
        <w:rPr>
          <w:rFonts w:ascii="Times New Roman" w:hAnsi="Times New Roman" w:eastAsia="楷体"/>
          <w:color w:val="auto"/>
          <w:sz w:val="24"/>
          <w:szCs w:val="20"/>
          <w:shd w:val="clear" w:color="auto" w:fill="auto"/>
        </w:rPr>
        <w:t>互联网</w:t>
      </w:r>
      <w:r>
        <w:rPr>
          <w:rFonts w:hint="eastAsia" w:ascii="Times New Roman" w:hAnsi="Times New Roman" w:eastAsia="楷体"/>
          <w:color w:val="auto"/>
          <w:sz w:val="24"/>
          <w:szCs w:val="20"/>
          <w:shd w:val="clear" w:color="auto" w:fill="auto"/>
        </w:rPr>
        <w:t>、</w:t>
      </w:r>
      <w:r>
        <w:rPr>
          <w:rFonts w:ascii="Times New Roman" w:hAnsi="Times New Roman" w:eastAsia="楷体"/>
          <w:color w:val="auto"/>
          <w:sz w:val="24"/>
          <w:szCs w:val="20"/>
          <w:shd w:val="clear" w:color="auto" w:fill="auto"/>
        </w:rPr>
        <w:t>物联网和大数据等现代信息技术手段</w:t>
      </w:r>
      <w:r>
        <w:rPr>
          <w:rFonts w:hint="eastAsia" w:ascii="Times New Roman" w:hAnsi="Times New Roman" w:eastAsia="楷体"/>
          <w:color w:val="auto"/>
          <w:sz w:val="24"/>
          <w:szCs w:val="20"/>
          <w:shd w:val="clear" w:color="auto" w:fill="auto"/>
        </w:rPr>
        <w:t>，</w:t>
      </w:r>
      <w:r>
        <w:rPr>
          <w:rFonts w:ascii="Times New Roman" w:hAnsi="Times New Roman" w:eastAsia="楷体"/>
          <w:color w:val="auto"/>
          <w:sz w:val="24"/>
          <w:szCs w:val="20"/>
          <w:shd w:val="clear" w:color="auto" w:fill="auto"/>
        </w:rPr>
        <w:t>进行进行多渠道间数据的校核，验证数据获取渠道及方法的准确性及合理性，有效解决数据之间多领域、跨部门融合和冲突问题</w:t>
      </w:r>
      <w:r>
        <w:rPr>
          <w:rFonts w:ascii="Times New Roman" w:hAnsi="Times New Roman" w:eastAsia="宋体" w:cs="Times New Roman"/>
          <w:color w:val="auto"/>
          <w:sz w:val="24"/>
          <w:szCs w:val="21"/>
          <w:shd w:val="clear" w:color="auto" w:fill="auto"/>
        </w:rPr>
        <w:t>。</w:t>
      </w:r>
    </w:p>
    <w:p>
      <w:pPr>
        <w:pStyle w:val="3"/>
        <w:spacing w:line="360" w:lineRule="auto"/>
        <w:jc w:val="center"/>
        <w:rPr>
          <w:rFonts w:ascii="Times New Roman" w:hAnsi="Times New Roman" w:eastAsia="宋体" w:cs="Times New Roman"/>
          <w:color w:val="auto"/>
          <w:sz w:val="24"/>
          <w:szCs w:val="24"/>
          <w:shd w:val="clear" w:color="auto" w:fill="auto"/>
        </w:rPr>
      </w:pPr>
      <w:bookmarkStart w:id="12" w:name="_Toc2888"/>
      <w:r>
        <w:rPr>
          <w:rFonts w:ascii="Times New Roman" w:hAnsi="Times New Roman" w:eastAsia="宋体" w:cs="Times New Roman"/>
          <w:color w:val="auto"/>
          <w:sz w:val="24"/>
          <w:szCs w:val="24"/>
          <w:shd w:val="clear" w:color="auto" w:fill="auto"/>
        </w:rPr>
        <w:t xml:space="preserve">3.2 </w:t>
      </w:r>
      <w:r>
        <w:rPr>
          <w:rFonts w:ascii="Times New Roman" w:hAnsi="宋体" w:eastAsia="宋体" w:cs="Times New Roman"/>
          <w:color w:val="auto"/>
          <w:sz w:val="24"/>
          <w:szCs w:val="24"/>
          <w:shd w:val="clear" w:color="auto" w:fill="auto"/>
        </w:rPr>
        <w:t>统计年鉴类</w:t>
      </w:r>
      <w:bookmarkEnd w:id="12"/>
    </w:p>
    <w:p>
      <w:pPr>
        <w:spacing w:line="360" w:lineRule="auto"/>
        <w:rPr>
          <w:rFonts w:hAnsi="宋体"/>
          <w:color w:val="auto"/>
          <w:sz w:val="24"/>
          <w:szCs w:val="24"/>
          <w:shd w:val="clear" w:color="auto" w:fill="auto"/>
        </w:rPr>
      </w:pPr>
      <w:r>
        <w:rPr>
          <w:b/>
          <w:bCs/>
          <w:color w:val="auto"/>
          <w:sz w:val="24"/>
          <w:szCs w:val="24"/>
          <w:shd w:val="clear" w:color="auto" w:fill="auto"/>
        </w:rPr>
        <w:t xml:space="preserve">3.2.1 </w:t>
      </w:r>
      <w:r>
        <w:rPr>
          <w:rFonts w:hAnsi="宋体"/>
          <w:color w:val="auto"/>
          <w:sz w:val="24"/>
          <w:szCs w:val="24"/>
          <w:shd w:val="clear" w:color="auto" w:fill="auto"/>
        </w:rPr>
        <w:t>统计年鉴类数据应主要包括国家、行业协会以及各省市、自治区的统计年鉴和统计报表等。</w:t>
      </w:r>
    </w:p>
    <w:p>
      <w:pPr>
        <w:pStyle w:val="11"/>
        <w:spacing w:line="360" w:lineRule="auto"/>
        <w:rPr>
          <w:rFonts w:ascii="Times New Roman" w:hAnsi="Times New Roman" w:eastAsia="楷体"/>
          <w:color w:val="auto"/>
          <w:sz w:val="24"/>
          <w:szCs w:val="20"/>
          <w:shd w:val="clear" w:color="auto" w:fill="auto"/>
        </w:rPr>
      </w:pPr>
      <w:r>
        <w:rPr>
          <w:rFonts w:hint="eastAsia" w:ascii="楷体" w:hAnsi="楷体" w:eastAsia="楷体"/>
          <w:color w:val="auto"/>
          <w:sz w:val="24"/>
          <w:shd w:val="clear" w:color="auto" w:fill="auto"/>
        </w:rPr>
        <w:t>【条文说明】</w:t>
      </w:r>
      <w:r>
        <w:rPr>
          <w:rFonts w:ascii="Times New Roman" w:hAnsi="Times New Roman" w:eastAsia="楷体"/>
          <w:color w:val="auto"/>
          <w:sz w:val="24"/>
          <w:szCs w:val="20"/>
          <w:shd w:val="clear" w:color="auto" w:fill="auto"/>
        </w:rPr>
        <w:t>国家、行业、各省市自治区的统计年鉴或统计报表是民用建筑数据的重要</w:t>
      </w:r>
      <w:r>
        <w:rPr>
          <w:rFonts w:hint="eastAsia" w:ascii="Times New Roman" w:hAnsi="Times New Roman" w:eastAsia="楷体"/>
          <w:color w:val="auto"/>
          <w:sz w:val="24"/>
          <w:szCs w:val="20"/>
          <w:shd w:val="clear" w:color="auto" w:fill="auto"/>
        </w:rPr>
        <w:t>来源</w:t>
      </w:r>
      <w:r>
        <w:rPr>
          <w:rFonts w:ascii="Times New Roman" w:hAnsi="Times New Roman" w:eastAsia="楷体"/>
          <w:color w:val="auto"/>
          <w:sz w:val="24"/>
          <w:szCs w:val="20"/>
          <w:shd w:val="clear" w:color="auto" w:fill="auto"/>
        </w:rPr>
        <w:t>和渠道。各省市自治区的统计年鉴或报表往往在国家大的统计原则下细化而成，是国家统计年鉴的最终获取渠道。</w:t>
      </w:r>
    </w:p>
    <w:p>
      <w:pPr>
        <w:spacing w:line="360" w:lineRule="auto"/>
        <w:rPr>
          <w:rFonts w:hAnsi="宋体"/>
          <w:color w:val="auto"/>
          <w:sz w:val="24"/>
          <w:szCs w:val="24"/>
          <w:shd w:val="clear" w:color="auto" w:fill="auto"/>
        </w:rPr>
      </w:pPr>
      <w:r>
        <w:rPr>
          <w:b/>
          <w:bCs/>
          <w:color w:val="auto"/>
          <w:sz w:val="24"/>
          <w:szCs w:val="24"/>
          <w:shd w:val="clear" w:color="auto" w:fill="auto"/>
        </w:rPr>
        <w:t xml:space="preserve">3.2.2 </w:t>
      </w:r>
      <w:r>
        <w:rPr>
          <w:rFonts w:hAnsi="宋体"/>
          <w:color w:val="auto"/>
          <w:sz w:val="24"/>
          <w:szCs w:val="24"/>
          <w:shd w:val="clear" w:color="auto" w:fill="auto"/>
        </w:rPr>
        <w:t>民用建筑数据直接来源和渠道可包括中国统计年鉴、中国建筑业统计年鉴、中国城乡建设统计年鉴、中国能源统计年鉴、中国建筑材料工业统计年鉴、中国房地产统计年鉴等国家和行业统计年鉴。</w:t>
      </w:r>
    </w:p>
    <w:p>
      <w:pPr>
        <w:pStyle w:val="11"/>
        <w:spacing w:line="360" w:lineRule="auto"/>
        <w:rPr>
          <w:rFonts w:hint="eastAsia" w:ascii="Times New Roman" w:hAnsi="Times New Roman" w:eastAsia="楷体"/>
          <w:color w:val="auto"/>
          <w:sz w:val="24"/>
          <w:szCs w:val="20"/>
          <w:shd w:val="clear" w:color="auto" w:fill="auto"/>
        </w:rPr>
      </w:pPr>
      <w:r>
        <w:rPr>
          <w:rFonts w:hint="eastAsia" w:ascii="楷体" w:hAnsi="楷体" w:eastAsia="楷体"/>
          <w:color w:val="auto"/>
          <w:sz w:val="24"/>
          <w:shd w:val="clear" w:color="auto" w:fill="auto"/>
        </w:rPr>
        <w:t>【条文说明】</w:t>
      </w:r>
      <w:r>
        <w:rPr>
          <w:rFonts w:hint="eastAsia" w:ascii="Times New Roman" w:hAnsi="Times New Roman" w:eastAsia="楷体"/>
          <w:color w:val="auto"/>
          <w:sz w:val="24"/>
          <w:szCs w:val="20"/>
          <w:shd w:val="clear" w:color="auto" w:fill="auto"/>
        </w:rPr>
        <w:t>以用材数据为例，下表</w:t>
      </w:r>
      <w:r>
        <w:rPr>
          <w:rFonts w:ascii="Times New Roman" w:hAnsi="Times New Roman" w:eastAsia="楷体"/>
          <w:color w:val="auto"/>
          <w:sz w:val="24"/>
          <w:szCs w:val="20"/>
          <w:shd w:val="clear" w:color="auto" w:fill="auto"/>
        </w:rPr>
        <w:t>给出了和民用建筑用材数据相关的统计年鉴类数据来源</w:t>
      </w:r>
      <w:r>
        <w:rPr>
          <w:rFonts w:hint="eastAsia" w:ascii="Times New Roman" w:hAnsi="Times New Roman" w:eastAsia="楷体"/>
          <w:color w:val="auto"/>
          <w:sz w:val="24"/>
          <w:szCs w:val="20"/>
          <w:shd w:val="clear" w:color="auto" w:fill="auto"/>
        </w:rPr>
        <w:t>：</w:t>
      </w:r>
    </w:p>
    <w:p>
      <w:pPr>
        <w:rPr>
          <w:rFonts w:hint="eastAsia" w:ascii="Times New Roman" w:hAnsi="Times New Roman" w:eastAsia="楷体"/>
          <w:color w:val="auto"/>
          <w:sz w:val="24"/>
          <w:szCs w:val="20"/>
          <w:shd w:val="clear" w:color="auto" w:fill="auto"/>
        </w:rPr>
      </w:pPr>
      <w:r>
        <w:rPr>
          <w:rFonts w:hint="eastAsia" w:ascii="Times New Roman" w:hAnsi="Times New Roman" w:eastAsia="楷体"/>
          <w:color w:val="auto"/>
          <w:sz w:val="24"/>
          <w:szCs w:val="20"/>
          <w:shd w:val="clear" w:color="auto" w:fill="auto"/>
        </w:rPr>
        <w:br w:type="page"/>
      </w:r>
    </w:p>
    <w:tbl>
      <w:tblPr>
        <w:tblStyle w:val="24"/>
        <w:tblW w:w="4805" w:type="pct"/>
        <w:tblInd w:w="287"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855"/>
        <w:gridCol w:w="1928"/>
        <w:gridCol w:w="2023"/>
        <w:gridCol w:w="331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0" w:hRule="atLeast"/>
        </w:trPr>
        <w:tc>
          <w:tcPr>
            <w:tcW w:w="526" w:type="pct"/>
            <w:vAlign w:val="center"/>
          </w:tcPr>
          <w:p>
            <w:pPr>
              <w:jc w:val="center"/>
              <w:rPr>
                <w:rFonts w:ascii="仿宋" w:hAnsi="仿宋" w:eastAsia="仿宋"/>
                <w:bCs/>
                <w:color w:val="auto"/>
                <w:sz w:val="15"/>
                <w:szCs w:val="15"/>
                <w:shd w:val="clear" w:color="auto" w:fill="auto"/>
              </w:rPr>
            </w:pPr>
            <w:r>
              <w:rPr>
                <w:rFonts w:hint="eastAsia" w:ascii="仿宋" w:hAnsi="仿宋" w:eastAsia="仿宋"/>
                <w:bCs/>
                <w:color w:val="auto"/>
                <w:sz w:val="15"/>
                <w:szCs w:val="15"/>
                <w:shd w:val="clear" w:color="auto" w:fill="auto"/>
              </w:rPr>
              <w:t>序</w:t>
            </w:r>
            <w:r>
              <w:rPr>
                <w:rFonts w:ascii="仿宋" w:hAnsi="仿宋" w:eastAsia="仿宋"/>
                <w:bCs/>
                <w:color w:val="auto"/>
                <w:sz w:val="15"/>
                <w:szCs w:val="15"/>
                <w:shd w:val="clear" w:color="auto" w:fill="auto"/>
              </w:rPr>
              <w:t>号</w:t>
            </w:r>
          </w:p>
        </w:tc>
        <w:tc>
          <w:tcPr>
            <w:tcW w:w="1187" w:type="pct"/>
            <w:tcMar>
              <w:top w:w="72" w:type="dxa"/>
              <w:left w:w="144" w:type="dxa"/>
              <w:bottom w:w="72" w:type="dxa"/>
              <w:right w:w="144" w:type="dxa"/>
            </w:tcMar>
            <w:vAlign w:val="center"/>
          </w:tcPr>
          <w:p>
            <w:pPr>
              <w:jc w:val="center"/>
              <w:rPr>
                <w:rFonts w:ascii="仿宋" w:hAnsi="仿宋" w:eastAsia="仿宋"/>
                <w:color w:val="auto"/>
                <w:sz w:val="15"/>
                <w:szCs w:val="15"/>
                <w:shd w:val="clear" w:color="auto" w:fill="auto"/>
              </w:rPr>
            </w:pPr>
            <w:r>
              <w:rPr>
                <w:rFonts w:ascii="仿宋" w:hAnsi="仿宋" w:eastAsia="仿宋"/>
                <w:bCs/>
                <w:color w:val="auto"/>
                <w:sz w:val="15"/>
                <w:szCs w:val="15"/>
                <w:shd w:val="clear" w:color="auto" w:fill="auto"/>
              </w:rPr>
              <w:t>名称</w:t>
            </w:r>
          </w:p>
        </w:tc>
        <w:tc>
          <w:tcPr>
            <w:tcW w:w="1245" w:type="pct"/>
          </w:tcPr>
          <w:p>
            <w:pPr>
              <w:jc w:val="center"/>
              <w:rPr>
                <w:rFonts w:ascii="仿宋" w:hAnsi="仿宋" w:eastAsia="仿宋"/>
                <w:color w:val="auto"/>
                <w:sz w:val="15"/>
                <w:szCs w:val="15"/>
                <w:shd w:val="clear" w:color="auto" w:fill="auto"/>
              </w:rPr>
            </w:pPr>
            <w:r>
              <w:rPr>
                <w:rFonts w:hint="eastAsia" w:ascii="仿宋" w:hAnsi="仿宋" w:eastAsia="仿宋"/>
                <w:color w:val="auto"/>
                <w:sz w:val="15"/>
                <w:szCs w:val="15"/>
                <w:shd w:val="clear" w:color="auto" w:fill="auto"/>
              </w:rPr>
              <w:t>统计数据</w:t>
            </w:r>
          </w:p>
        </w:tc>
        <w:tc>
          <w:tcPr>
            <w:tcW w:w="2042" w:type="pct"/>
            <w:tcMar>
              <w:top w:w="72" w:type="dxa"/>
              <w:left w:w="144" w:type="dxa"/>
              <w:bottom w:w="72" w:type="dxa"/>
              <w:right w:w="144" w:type="dxa"/>
            </w:tcMar>
            <w:vAlign w:val="center"/>
          </w:tcPr>
          <w:p>
            <w:pPr>
              <w:jc w:val="center"/>
              <w:rPr>
                <w:rFonts w:ascii="仿宋" w:hAnsi="仿宋" w:eastAsia="仿宋"/>
                <w:color w:val="auto"/>
                <w:sz w:val="15"/>
                <w:szCs w:val="15"/>
                <w:shd w:val="clear" w:color="auto" w:fill="auto"/>
              </w:rPr>
            </w:pPr>
            <w:r>
              <w:rPr>
                <w:rFonts w:ascii="仿宋" w:hAnsi="仿宋" w:eastAsia="仿宋"/>
                <w:color w:val="auto"/>
                <w:sz w:val="15"/>
                <w:szCs w:val="15"/>
                <w:shd w:val="clear" w:color="auto" w:fill="auto"/>
              </w:rPr>
              <w:t>编著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70" w:hRule="atLeast"/>
        </w:trPr>
        <w:tc>
          <w:tcPr>
            <w:tcW w:w="526" w:type="pct"/>
            <w:vAlign w:val="center"/>
          </w:tcPr>
          <w:p>
            <w:pPr>
              <w:jc w:val="center"/>
              <w:rPr>
                <w:rFonts w:ascii="仿宋" w:hAnsi="仿宋" w:eastAsia="仿宋"/>
                <w:color w:val="auto"/>
                <w:sz w:val="15"/>
                <w:szCs w:val="15"/>
                <w:shd w:val="clear" w:color="auto" w:fill="auto"/>
              </w:rPr>
            </w:pPr>
            <w:r>
              <w:rPr>
                <w:rFonts w:ascii="仿宋" w:hAnsi="仿宋" w:eastAsia="仿宋"/>
                <w:color w:val="auto"/>
                <w:sz w:val="15"/>
                <w:szCs w:val="15"/>
                <w:shd w:val="clear" w:color="auto" w:fill="auto"/>
              </w:rPr>
              <w:t>1</w:t>
            </w:r>
          </w:p>
        </w:tc>
        <w:tc>
          <w:tcPr>
            <w:tcW w:w="1187" w:type="pct"/>
            <w:tcMar>
              <w:top w:w="72" w:type="dxa"/>
              <w:left w:w="144" w:type="dxa"/>
              <w:bottom w:w="72" w:type="dxa"/>
              <w:right w:w="144" w:type="dxa"/>
            </w:tcMar>
            <w:vAlign w:val="center"/>
          </w:tcPr>
          <w:p>
            <w:pPr>
              <w:jc w:val="center"/>
              <w:rPr>
                <w:rFonts w:ascii="仿宋" w:hAnsi="仿宋" w:eastAsia="仿宋"/>
                <w:color w:val="auto"/>
                <w:sz w:val="15"/>
                <w:szCs w:val="15"/>
                <w:shd w:val="clear" w:color="auto" w:fill="auto"/>
              </w:rPr>
            </w:pPr>
            <w:r>
              <w:rPr>
                <w:rFonts w:ascii="仿宋" w:hAnsi="仿宋" w:eastAsia="仿宋"/>
                <w:color w:val="auto"/>
                <w:sz w:val="15"/>
                <w:szCs w:val="15"/>
                <w:shd w:val="clear" w:color="auto" w:fill="auto"/>
              </w:rPr>
              <w:t>中国统计年鉴</w:t>
            </w:r>
          </w:p>
        </w:tc>
        <w:tc>
          <w:tcPr>
            <w:tcW w:w="1245" w:type="pct"/>
          </w:tcPr>
          <w:p>
            <w:pPr>
              <w:jc w:val="center"/>
              <w:rPr>
                <w:rFonts w:ascii="仿宋" w:hAnsi="仿宋" w:eastAsia="仿宋"/>
                <w:color w:val="auto"/>
                <w:sz w:val="15"/>
                <w:szCs w:val="15"/>
                <w:shd w:val="clear" w:color="auto" w:fill="auto"/>
              </w:rPr>
            </w:pPr>
            <w:r>
              <w:rPr>
                <w:rFonts w:hint="eastAsia" w:ascii="仿宋" w:hAnsi="仿宋" w:eastAsia="仿宋"/>
                <w:color w:val="auto"/>
                <w:sz w:val="15"/>
                <w:szCs w:val="15"/>
                <w:shd w:val="clear" w:color="auto" w:fill="auto"/>
              </w:rPr>
              <w:t>各类建材生产量</w:t>
            </w:r>
          </w:p>
        </w:tc>
        <w:tc>
          <w:tcPr>
            <w:tcW w:w="2042" w:type="pct"/>
            <w:tcMar>
              <w:top w:w="72" w:type="dxa"/>
              <w:left w:w="144" w:type="dxa"/>
              <w:bottom w:w="72" w:type="dxa"/>
              <w:right w:w="144" w:type="dxa"/>
            </w:tcMar>
            <w:vAlign w:val="center"/>
          </w:tcPr>
          <w:p>
            <w:pPr>
              <w:jc w:val="center"/>
              <w:rPr>
                <w:rFonts w:ascii="仿宋" w:hAnsi="仿宋" w:eastAsia="仿宋"/>
                <w:color w:val="auto"/>
                <w:sz w:val="15"/>
                <w:szCs w:val="15"/>
                <w:shd w:val="clear" w:color="auto" w:fill="auto"/>
              </w:rPr>
            </w:pPr>
            <w:r>
              <w:rPr>
                <w:rFonts w:ascii="仿宋" w:hAnsi="仿宋" w:eastAsia="仿宋"/>
                <w:color w:val="auto"/>
                <w:sz w:val="15"/>
                <w:szCs w:val="15"/>
                <w:shd w:val="clear" w:color="auto" w:fill="auto"/>
              </w:rPr>
              <w:t>国家统计局</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0" w:hRule="atLeast"/>
        </w:trPr>
        <w:tc>
          <w:tcPr>
            <w:tcW w:w="526" w:type="pct"/>
            <w:vAlign w:val="center"/>
          </w:tcPr>
          <w:p>
            <w:pPr>
              <w:jc w:val="center"/>
              <w:rPr>
                <w:rFonts w:ascii="仿宋" w:hAnsi="仿宋" w:eastAsia="仿宋"/>
                <w:color w:val="auto"/>
                <w:sz w:val="15"/>
                <w:szCs w:val="15"/>
                <w:shd w:val="clear" w:color="auto" w:fill="auto"/>
              </w:rPr>
            </w:pPr>
            <w:r>
              <w:rPr>
                <w:rFonts w:ascii="仿宋" w:hAnsi="仿宋" w:eastAsia="仿宋"/>
                <w:color w:val="auto"/>
                <w:sz w:val="15"/>
                <w:szCs w:val="15"/>
                <w:shd w:val="clear" w:color="auto" w:fill="auto"/>
              </w:rPr>
              <w:t>2</w:t>
            </w:r>
          </w:p>
        </w:tc>
        <w:tc>
          <w:tcPr>
            <w:tcW w:w="1187" w:type="pct"/>
            <w:tcMar>
              <w:top w:w="72" w:type="dxa"/>
              <w:left w:w="144" w:type="dxa"/>
              <w:bottom w:w="72" w:type="dxa"/>
              <w:right w:w="144" w:type="dxa"/>
            </w:tcMar>
            <w:vAlign w:val="center"/>
          </w:tcPr>
          <w:p>
            <w:pPr>
              <w:jc w:val="center"/>
              <w:rPr>
                <w:rFonts w:ascii="仿宋" w:hAnsi="仿宋" w:eastAsia="仿宋"/>
                <w:color w:val="auto"/>
                <w:sz w:val="15"/>
                <w:szCs w:val="15"/>
                <w:shd w:val="clear" w:color="auto" w:fill="auto"/>
              </w:rPr>
            </w:pPr>
            <w:r>
              <w:rPr>
                <w:rFonts w:ascii="仿宋" w:hAnsi="仿宋" w:eastAsia="仿宋"/>
                <w:color w:val="auto"/>
                <w:sz w:val="15"/>
                <w:szCs w:val="15"/>
                <w:shd w:val="clear" w:color="auto" w:fill="auto"/>
              </w:rPr>
              <w:t>中国建筑业统计年鉴</w:t>
            </w:r>
          </w:p>
        </w:tc>
        <w:tc>
          <w:tcPr>
            <w:tcW w:w="1245" w:type="pct"/>
          </w:tcPr>
          <w:p>
            <w:pPr>
              <w:jc w:val="center"/>
              <w:rPr>
                <w:rFonts w:ascii="仿宋" w:hAnsi="仿宋" w:eastAsia="仿宋"/>
                <w:color w:val="auto"/>
                <w:sz w:val="15"/>
                <w:szCs w:val="15"/>
                <w:shd w:val="clear" w:color="auto" w:fill="auto"/>
              </w:rPr>
            </w:pPr>
            <w:r>
              <w:rPr>
                <w:rFonts w:hint="eastAsia" w:ascii="仿宋" w:hAnsi="仿宋" w:eastAsia="仿宋"/>
                <w:color w:val="auto"/>
                <w:sz w:val="15"/>
                <w:szCs w:val="15"/>
                <w:shd w:val="clear" w:color="auto" w:fill="auto"/>
              </w:rPr>
              <w:t>各类建材消费量</w:t>
            </w:r>
          </w:p>
        </w:tc>
        <w:tc>
          <w:tcPr>
            <w:tcW w:w="2042" w:type="pct"/>
            <w:tcMar>
              <w:top w:w="72" w:type="dxa"/>
              <w:left w:w="144" w:type="dxa"/>
              <w:bottom w:w="72" w:type="dxa"/>
              <w:right w:w="144" w:type="dxa"/>
            </w:tcMar>
            <w:vAlign w:val="center"/>
          </w:tcPr>
          <w:p>
            <w:pPr>
              <w:jc w:val="center"/>
              <w:rPr>
                <w:rFonts w:ascii="仿宋" w:hAnsi="仿宋" w:eastAsia="仿宋"/>
                <w:color w:val="auto"/>
                <w:sz w:val="15"/>
                <w:szCs w:val="15"/>
                <w:shd w:val="clear" w:color="auto" w:fill="auto"/>
              </w:rPr>
            </w:pPr>
            <w:r>
              <w:rPr>
                <w:rFonts w:ascii="仿宋" w:hAnsi="仿宋" w:eastAsia="仿宋"/>
                <w:color w:val="auto"/>
                <w:sz w:val="15"/>
                <w:szCs w:val="15"/>
                <w:shd w:val="clear" w:color="auto" w:fill="auto"/>
              </w:rPr>
              <w:t>国家统计局固定资产投资统计司</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0" w:hRule="atLeast"/>
        </w:trPr>
        <w:tc>
          <w:tcPr>
            <w:tcW w:w="526" w:type="pct"/>
            <w:vAlign w:val="center"/>
          </w:tcPr>
          <w:p>
            <w:pPr>
              <w:jc w:val="center"/>
              <w:rPr>
                <w:rFonts w:ascii="仿宋" w:hAnsi="仿宋" w:eastAsia="仿宋"/>
                <w:color w:val="auto"/>
                <w:sz w:val="15"/>
                <w:szCs w:val="15"/>
                <w:shd w:val="clear" w:color="auto" w:fill="auto"/>
              </w:rPr>
            </w:pPr>
            <w:r>
              <w:rPr>
                <w:rFonts w:ascii="仿宋" w:hAnsi="仿宋" w:eastAsia="仿宋"/>
                <w:color w:val="auto"/>
                <w:sz w:val="15"/>
                <w:szCs w:val="15"/>
                <w:shd w:val="clear" w:color="auto" w:fill="auto"/>
              </w:rPr>
              <w:t>3</w:t>
            </w:r>
          </w:p>
        </w:tc>
        <w:tc>
          <w:tcPr>
            <w:tcW w:w="1187" w:type="pct"/>
            <w:tcMar>
              <w:top w:w="72" w:type="dxa"/>
              <w:left w:w="144" w:type="dxa"/>
              <w:bottom w:w="72" w:type="dxa"/>
              <w:right w:w="144" w:type="dxa"/>
            </w:tcMar>
            <w:vAlign w:val="center"/>
          </w:tcPr>
          <w:p>
            <w:pPr>
              <w:jc w:val="center"/>
              <w:rPr>
                <w:rFonts w:ascii="仿宋" w:hAnsi="仿宋" w:eastAsia="仿宋"/>
                <w:color w:val="auto"/>
                <w:sz w:val="15"/>
                <w:szCs w:val="15"/>
                <w:shd w:val="clear" w:color="auto" w:fill="auto"/>
              </w:rPr>
            </w:pPr>
            <w:r>
              <w:rPr>
                <w:rFonts w:ascii="仿宋" w:hAnsi="仿宋" w:eastAsia="仿宋"/>
                <w:color w:val="auto"/>
                <w:sz w:val="15"/>
                <w:szCs w:val="15"/>
                <w:shd w:val="clear" w:color="auto" w:fill="auto"/>
              </w:rPr>
              <w:t>中国能源统计年鉴</w:t>
            </w:r>
          </w:p>
        </w:tc>
        <w:tc>
          <w:tcPr>
            <w:tcW w:w="1245" w:type="pct"/>
          </w:tcPr>
          <w:p>
            <w:pPr>
              <w:jc w:val="center"/>
              <w:rPr>
                <w:rFonts w:ascii="仿宋" w:hAnsi="仿宋" w:eastAsia="仿宋"/>
                <w:color w:val="auto"/>
                <w:sz w:val="15"/>
                <w:szCs w:val="15"/>
                <w:shd w:val="clear" w:color="auto" w:fill="auto"/>
              </w:rPr>
            </w:pPr>
            <w:r>
              <w:rPr>
                <w:rFonts w:hint="eastAsia" w:ascii="仿宋" w:hAnsi="仿宋" w:eastAsia="仿宋"/>
                <w:color w:val="auto"/>
                <w:sz w:val="15"/>
                <w:szCs w:val="15"/>
                <w:shd w:val="clear" w:color="auto" w:fill="auto"/>
              </w:rPr>
              <w:t>单位建材生产能耗</w:t>
            </w:r>
          </w:p>
        </w:tc>
        <w:tc>
          <w:tcPr>
            <w:tcW w:w="2042" w:type="pct"/>
            <w:tcMar>
              <w:top w:w="72" w:type="dxa"/>
              <w:left w:w="144" w:type="dxa"/>
              <w:bottom w:w="72" w:type="dxa"/>
              <w:right w:w="144" w:type="dxa"/>
            </w:tcMar>
            <w:vAlign w:val="center"/>
          </w:tcPr>
          <w:p>
            <w:pPr>
              <w:jc w:val="center"/>
              <w:rPr>
                <w:rFonts w:ascii="仿宋" w:hAnsi="仿宋" w:eastAsia="仿宋"/>
                <w:color w:val="auto"/>
                <w:sz w:val="15"/>
                <w:szCs w:val="15"/>
                <w:shd w:val="clear" w:color="auto" w:fill="auto"/>
              </w:rPr>
            </w:pPr>
            <w:r>
              <w:rPr>
                <w:rFonts w:ascii="仿宋" w:hAnsi="仿宋" w:eastAsia="仿宋"/>
                <w:color w:val="auto"/>
                <w:sz w:val="15"/>
                <w:szCs w:val="15"/>
                <w:shd w:val="clear" w:color="auto" w:fill="auto"/>
              </w:rPr>
              <w:t>国家统计局能源司</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0" w:hRule="atLeast"/>
        </w:trPr>
        <w:tc>
          <w:tcPr>
            <w:tcW w:w="526" w:type="pct"/>
            <w:vAlign w:val="center"/>
          </w:tcPr>
          <w:p>
            <w:pPr>
              <w:jc w:val="center"/>
              <w:rPr>
                <w:rFonts w:ascii="仿宋" w:hAnsi="仿宋" w:eastAsia="仿宋"/>
                <w:color w:val="auto"/>
                <w:sz w:val="15"/>
                <w:szCs w:val="15"/>
                <w:shd w:val="clear" w:color="auto" w:fill="auto"/>
              </w:rPr>
            </w:pPr>
            <w:r>
              <w:rPr>
                <w:rFonts w:ascii="仿宋" w:hAnsi="仿宋" w:eastAsia="仿宋"/>
                <w:color w:val="auto"/>
                <w:sz w:val="15"/>
                <w:szCs w:val="15"/>
                <w:shd w:val="clear" w:color="auto" w:fill="auto"/>
              </w:rPr>
              <w:t>4</w:t>
            </w:r>
          </w:p>
        </w:tc>
        <w:tc>
          <w:tcPr>
            <w:tcW w:w="1187" w:type="pct"/>
            <w:tcMar>
              <w:top w:w="72" w:type="dxa"/>
              <w:left w:w="144" w:type="dxa"/>
              <w:bottom w:w="72" w:type="dxa"/>
              <w:right w:w="144" w:type="dxa"/>
            </w:tcMar>
            <w:vAlign w:val="center"/>
          </w:tcPr>
          <w:p>
            <w:pPr>
              <w:jc w:val="center"/>
              <w:rPr>
                <w:rFonts w:ascii="仿宋" w:hAnsi="仿宋" w:eastAsia="仿宋"/>
                <w:color w:val="auto"/>
                <w:sz w:val="15"/>
                <w:szCs w:val="15"/>
                <w:shd w:val="clear" w:color="auto" w:fill="auto"/>
              </w:rPr>
            </w:pPr>
            <w:r>
              <w:rPr>
                <w:rFonts w:ascii="仿宋" w:hAnsi="仿宋" w:eastAsia="仿宋"/>
                <w:color w:val="auto"/>
                <w:sz w:val="15"/>
                <w:szCs w:val="15"/>
                <w:shd w:val="clear" w:color="auto" w:fill="auto"/>
              </w:rPr>
              <w:t>中国建筑材料工业年鉴</w:t>
            </w:r>
          </w:p>
        </w:tc>
        <w:tc>
          <w:tcPr>
            <w:tcW w:w="1245" w:type="pct"/>
          </w:tcPr>
          <w:p>
            <w:pPr>
              <w:jc w:val="center"/>
              <w:rPr>
                <w:rFonts w:ascii="仿宋" w:hAnsi="仿宋" w:eastAsia="仿宋"/>
                <w:color w:val="auto"/>
                <w:sz w:val="15"/>
                <w:szCs w:val="15"/>
                <w:shd w:val="clear" w:color="auto" w:fill="auto"/>
              </w:rPr>
            </w:pPr>
            <w:r>
              <w:rPr>
                <w:rFonts w:hint="eastAsia" w:ascii="仿宋" w:hAnsi="仿宋" w:eastAsia="仿宋"/>
                <w:color w:val="auto"/>
                <w:sz w:val="15"/>
                <w:szCs w:val="15"/>
                <w:shd w:val="clear" w:color="auto" w:fill="auto"/>
              </w:rPr>
              <w:t>各类建筑生产量</w:t>
            </w:r>
          </w:p>
        </w:tc>
        <w:tc>
          <w:tcPr>
            <w:tcW w:w="2042" w:type="pct"/>
            <w:tcMar>
              <w:top w:w="72" w:type="dxa"/>
              <w:left w:w="144" w:type="dxa"/>
              <w:bottom w:w="72" w:type="dxa"/>
              <w:right w:w="144" w:type="dxa"/>
            </w:tcMar>
            <w:vAlign w:val="center"/>
          </w:tcPr>
          <w:p>
            <w:pPr>
              <w:jc w:val="center"/>
              <w:rPr>
                <w:rFonts w:ascii="仿宋" w:hAnsi="仿宋" w:eastAsia="仿宋"/>
                <w:color w:val="auto"/>
                <w:sz w:val="15"/>
                <w:szCs w:val="15"/>
                <w:shd w:val="clear" w:color="auto" w:fill="auto"/>
              </w:rPr>
            </w:pPr>
            <w:r>
              <w:rPr>
                <w:rFonts w:ascii="仿宋" w:hAnsi="仿宋" w:eastAsia="仿宋"/>
                <w:color w:val="auto"/>
                <w:sz w:val="15"/>
                <w:szCs w:val="15"/>
                <w:shd w:val="clear" w:color="auto" w:fill="auto"/>
              </w:rPr>
              <w:t>中国建筑材料联合会</w:t>
            </w:r>
          </w:p>
        </w:tc>
      </w:tr>
    </w:tbl>
    <w:p>
      <w:pPr>
        <w:spacing w:line="360" w:lineRule="auto"/>
        <w:rPr>
          <w:color w:val="auto"/>
          <w:sz w:val="24"/>
          <w:szCs w:val="24"/>
          <w:shd w:val="clear" w:color="auto" w:fill="auto"/>
        </w:rPr>
      </w:pPr>
    </w:p>
    <w:p>
      <w:pPr>
        <w:pStyle w:val="3"/>
        <w:spacing w:line="360" w:lineRule="auto"/>
        <w:jc w:val="center"/>
        <w:rPr>
          <w:rFonts w:ascii="Times New Roman" w:hAnsi="Times New Roman" w:eastAsia="宋体" w:cs="Times New Roman"/>
          <w:color w:val="auto"/>
          <w:sz w:val="24"/>
          <w:szCs w:val="24"/>
          <w:shd w:val="clear" w:color="auto" w:fill="auto"/>
        </w:rPr>
      </w:pPr>
      <w:bookmarkStart w:id="13" w:name="_Toc2009"/>
      <w:r>
        <w:rPr>
          <w:rFonts w:ascii="Times New Roman" w:hAnsi="Times New Roman" w:eastAsia="宋体" w:cs="Times New Roman"/>
          <w:color w:val="auto"/>
          <w:sz w:val="24"/>
          <w:szCs w:val="24"/>
          <w:shd w:val="clear" w:color="auto" w:fill="auto"/>
        </w:rPr>
        <w:t xml:space="preserve">3.3 </w:t>
      </w:r>
      <w:r>
        <w:rPr>
          <w:rFonts w:ascii="Times New Roman" w:hAnsi="宋体" w:eastAsia="宋体" w:cs="Times New Roman"/>
          <w:color w:val="auto"/>
          <w:sz w:val="24"/>
          <w:szCs w:val="24"/>
          <w:shd w:val="clear" w:color="auto" w:fill="auto"/>
        </w:rPr>
        <w:t>监测平台和数据库类</w:t>
      </w:r>
      <w:bookmarkEnd w:id="13"/>
    </w:p>
    <w:p>
      <w:pPr>
        <w:spacing w:line="360" w:lineRule="auto"/>
        <w:rPr>
          <w:rFonts w:hAnsi="宋体"/>
          <w:color w:val="auto"/>
          <w:sz w:val="24"/>
          <w:szCs w:val="24"/>
          <w:shd w:val="clear" w:color="auto" w:fill="auto"/>
        </w:rPr>
      </w:pPr>
      <w:r>
        <w:rPr>
          <w:b/>
          <w:bCs/>
          <w:color w:val="auto"/>
          <w:sz w:val="24"/>
          <w:szCs w:val="24"/>
          <w:shd w:val="clear" w:color="auto" w:fill="auto"/>
        </w:rPr>
        <w:t xml:space="preserve">3.3.1 </w:t>
      </w:r>
      <w:r>
        <w:rPr>
          <w:rFonts w:hAnsi="宋体"/>
          <w:color w:val="auto"/>
          <w:sz w:val="24"/>
          <w:szCs w:val="24"/>
          <w:shd w:val="clear" w:color="auto" w:fill="auto"/>
        </w:rPr>
        <w:t>监测平台和数据库类数据应主要包括行业主管部门、行业协会、各省市自治区，以及相关企事业单位建立的实时可视化数据监测平台或数据库系统等。</w:t>
      </w:r>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数据监测平台和数据库类</w:t>
      </w:r>
      <w:r>
        <w:rPr>
          <w:rFonts w:eastAsia="楷体" w:cstheme="minorBidi"/>
          <w:color w:val="auto"/>
          <w:kern w:val="2"/>
          <w:sz w:val="24"/>
          <w:szCs w:val="20"/>
          <w:shd w:val="clear" w:color="auto" w:fill="auto"/>
        </w:rPr>
        <w:t>由各部门、行业协会及相关事业单位依据自身需求建立，可以实时</w:t>
      </w:r>
      <w:r>
        <w:rPr>
          <w:rFonts w:hint="eastAsia" w:eastAsia="楷体" w:cstheme="minorBidi"/>
          <w:color w:val="auto"/>
          <w:kern w:val="2"/>
          <w:sz w:val="24"/>
          <w:szCs w:val="20"/>
          <w:shd w:val="clear" w:color="auto" w:fill="auto"/>
        </w:rPr>
        <w:t>、</w:t>
      </w:r>
      <w:r>
        <w:rPr>
          <w:rFonts w:eastAsia="楷体" w:cstheme="minorBidi"/>
          <w:color w:val="auto"/>
          <w:kern w:val="2"/>
          <w:sz w:val="24"/>
          <w:szCs w:val="20"/>
          <w:shd w:val="clear" w:color="auto" w:fill="auto"/>
        </w:rPr>
        <w:t>可视化的显示</w:t>
      </w:r>
      <w:r>
        <w:rPr>
          <w:rFonts w:hint="eastAsia" w:eastAsia="楷体" w:cstheme="minorBidi"/>
          <w:color w:val="auto"/>
          <w:kern w:val="2"/>
          <w:sz w:val="24"/>
          <w:szCs w:val="20"/>
          <w:shd w:val="clear" w:color="auto" w:fill="auto"/>
        </w:rPr>
        <w:t>各类</w:t>
      </w:r>
      <w:r>
        <w:rPr>
          <w:rFonts w:eastAsia="楷体" w:cstheme="minorBidi"/>
          <w:color w:val="auto"/>
          <w:kern w:val="2"/>
          <w:sz w:val="24"/>
          <w:szCs w:val="20"/>
          <w:shd w:val="clear" w:color="auto" w:fill="auto"/>
        </w:rPr>
        <w:t>数据</w:t>
      </w:r>
      <w:r>
        <w:rPr>
          <w:rFonts w:hint="eastAsia" w:eastAsia="楷体" w:cstheme="minorBidi"/>
          <w:color w:val="auto"/>
          <w:kern w:val="2"/>
          <w:sz w:val="24"/>
          <w:szCs w:val="20"/>
          <w:shd w:val="clear" w:color="auto" w:fill="auto"/>
        </w:rPr>
        <w:t>。</w:t>
      </w:r>
    </w:p>
    <w:p>
      <w:pPr>
        <w:spacing w:line="360" w:lineRule="auto"/>
        <w:rPr>
          <w:rFonts w:hAnsi="宋体"/>
          <w:color w:val="auto"/>
          <w:sz w:val="24"/>
          <w:szCs w:val="24"/>
          <w:shd w:val="clear" w:color="auto" w:fill="auto"/>
        </w:rPr>
      </w:pPr>
      <w:r>
        <w:rPr>
          <w:b/>
          <w:bCs/>
          <w:color w:val="auto"/>
          <w:sz w:val="24"/>
          <w:szCs w:val="24"/>
          <w:shd w:val="clear" w:color="auto" w:fill="auto"/>
        </w:rPr>
        <w:t xml:space="preserve">3.3.2 </w:t>
      </w:r>
      <w:r>
        <w:rPr>
          <w:rFonts w:hAnsi="宋体"/>
          <w:color w:val="auto"/>
          <w:sz w:val="24"/>
          <w:szCs w:val="24"/>
          <w:shd w:val="clear" w:color="auto" w:fill="auto"/>
        </w:rPr>
        <w:t>民用建筑数据直接来源和渠道可包括国家统计局数据平台、住房和城乡建设部公共建筑能耗监测平台、中国建材产业信息服务平台、</w:t>
      </w:r>
      <w:r>
        <w:rPr>
          <w:rFonts w:hint="eastAsia" w:hAnsi="宋体"/>
          <w:color w:val="auto"/>
          <w:sz w:val="24"/>
          <w:szCs w:val="24"/>
          <w:shd w:val="clear" w:color="auto" w:fill="auto"/>
        </w:rPr>
        <w:t>绿色建材评价标识管理信息平台、</w:t>
      </w:r>
      <w:r>
        <w:rPr>
          <w:rFonts w:hAnsi="宋体"/>
          <w:color w:val="auto"/>
          <w:sz w:val="24"/>
          <w:szCs w:val="24"/>
          <w:shd w:val="clear" w:color="auto" w:fill="auto"/>
        </w:rPr>
        <w:t>全国能源监测预警与规划管理系统、中国城镇供热协会填报系统等监测平台或数据库系统。</w:t>
      </w:r>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以用能和用材数据为例，主要包括：1）</w:t>
      </w:r>
      <w:r>
        <w:rPr>
          <w:rFonts w:eastAsia="楷体" w:cstheme="minorBidi"/>
          <w:color w:val="auto"/>
          <w:kern w:val="2"/>
          <w:sz w:val="24"/>
          <w:szCs w:val="20"/>
          <w:shd w:val="clear" w:color="auto" w:fill="auto"/>
        </w:rPr>
        <w:t>全国能源监测预警与规划管理系统</w:t>
      </w:r>
      <w:r>
        <w:rPr>
          <w:rFonts w:hint="eastAsia" w:eastAsia="楷体" w:cstheme="minorBidi"/>
          <w:color w:val="auto"/>
          <w:kern w:val="2"/>
          <w:sz w:val="24"/>
          <w:szCs w:val="20"/>
          <w:shd w:val="clear" w:color="auto" w:fill="auto"/>
        </w:rPr>
        <w:t>，</w:t>
      </w:r>
      <w:r>
        <w:rPr>
          <w:rFonts w:eastAsia="楷体" w:cstheme="minorBidi"/>
          <w:color w:val="auto"/>
          <w:kern w:val="2"/>
          <w:sz w:val="24"/>
          <w:szCs w:val="20"/>
          <w:shd w:val="clear" w:color="auto" w:fill="auto"/>
        </w:rPr>
        <w:t>由国家能源局</w:t>
      </w:r>
      <w:r>
        <w:rPr>
          <w:rFonts w:hint="eastAsia" w:eastAsia="楷体" w:cstheme="minorBidi"/>
          <w:color w:val="auto"/>
          <w:kern w:val="2"/>
          <w:sz w:val="24"/>
          <w:szCs w:val="20"/>
          <w:shd w:val="clear" w:color="auto" w:fill="auto"/>
        </w:rPr>
        <w:t>管理</w:t>
      </w:r>
      <w:r>
        <w:rPr>
          <w:rFonts w:eastAsia="楷体" w:cstheme="minorBidi"/>
          <w:color w:val="auto"/>
          <w:kern w:val="2"/>
          <w:sz w:val="24"/>
          <w:szCs w:val="20"/>
          <w:shd w:val="clear" w:color="auto" w:fill="auto"/>
        </w:rPr>
        <w:t>，可实时监测各省每日能源运行态势，自动生成能源形势日报，分行业、分省展示我国能源历史数据，全面反映各省、各类能源历年的资源、规划、建设、生产消费、物流、 储备、价格、进出口、结构能效等信息。各级单位通过日报、月报、季报、年报等方式报送各种能源消耗使用量、库存量等指标</w:t>
      </w:r>
      <w:r>
        <w:rPr>
          <w:rFonts w:hint="eastAsia" w:eastAsia="楷体" w:cstheme="minorBidi"/>
          <w:color w:val="auto"/>
          <w:kern w:val="2"/>
          <w:sz w:val="24"/>
          <w:szCs w:val="20"/>
          <w:shd w:val="clear" w:color="auto" w:fill="auto"/>
        </w:rPr>
        <w:t>。2）住建部管理的</w:t>
      </w:r>
      <w:r>
        <w:rPr>
          <w:rFonts w:eastAsia="楷体" w:cstheme="minorBidi"/>
          <w:color w:val="auto"/>
          <w:kern w:val="2"/>
          <w:sz w:val="24"/>
          <w:szCs w:val="20"/>
          <w:shd w:val="clear" w:color="auto" w:fill="auto"/>
        </w:rPr>
        <w:t>供热行业统计平台，经城镇供热协会填报系统向协会会员单位收集有关城市供热能力，管道长度、供热面积等方面的数据</w:t>
      </w:r>
      <w:r>
        <w:rPr>
          <w:rFonts w:hint="eastAsia" w:eastAsia="楷体" w:cstheme="minorBidi"/>
          <w:color w:val="auto"/>
          <w:kern w:val="2"/>
          <w:sz w:val="24"/>
          <w:szCs w:val="20"/>
          <w:shd w:val="clear" w:color="auto" w:fill="auto"/>
        </w:rPr>
        <w:t>。3）</w:t>
      </w:r>
      <w:r>
        <w:rPr>
          <w:rFonts w:eastAsia="楷体" w:cstheme="minorBidi"/>
          <w:color w:val="auto"/>
          <w:kern w:val="2"/>
          <w:sz w:val="24"/>
          <w:szCs w:val="20"/>
          <w:shd w:val="clear" w:color="auto" w:fill="auto"/>
        </w:rPr>
        <w:t>住建部管理的公共建筑能耗监测平台</w:t>
      </w:r>
      <w:r>
        <w:rPr>
          <w:rFonts w:hint="eastAsia" w:eastAsia="楷体" w:cstheme="minorBidi"/>
          <w:color w:val="auto"/>
          <w:kern w:val="2"/>
          <w:sz w:val="24"/>
          <w:szCs w:val="20"/>
          <w:shd w:val="clear" w:color="auto" w:fill="auto"/>
        </w:rPr>
        <w:t>，</w:t>
      </w:r>
      <w:r>
        <w:rPr>
          <w:rFonts w:eastAsia="楷体" w:cstheme="minorBidi"/>
          <w:color w:val="auto"/>
          <w:kern w:val="2"/>
          <w:sz w:val="24"/>
          <w:szCs w:val="20"/>
          <w:shd w:val="clear" w:color="auto" w:fill="auto"/>
        </w:rPr>
        <w:t>从建筑功能、建筑结构、建筑外墙形式、建筑空调供热形式</w:t>
      </w:r>
      <w:r>
        <w:rPr>
          <w:rFonts w:hint="eastAsia" w:eastAsia="楷体" w:cstheme="minorBidi"/>
          <w:color w:val="auto"/>
          <w:kern w:val="2"/>
          <w:sz w:val="24"/>
          <w:szCs w:val="20"/>
          <w:shd w:val="clear" w:color="auto" w:fill="auto"/>
        </w:rPr>
        <w:t>、</w:t>
      </w:r>
      <w:r>
        <w:rPr>
          <w:rFonts w:eastAsia="楷体" w:cstheme="minorBidi"/>
          <w:color w:val="auto"/>
          <w:kern w:val="2"/>
          <w:sz w:val="24"/>
          <w:szCs w:val="20"/>
          <w:shd w:val="clear" w:color="auto" w:fill="auto"/>
        </w:rPr>
        <w:t>气候带、时间段</w:t>
      </w:r>
      <w:r>
        <w:rPr>
          <w:rFonts w:hint="eastAsia" w:eastAsia="楷体" w:cstheme="minorBidi"/>
          <w:color w:val="auto"/>
          <w:kern w:val="2"/>
          <w:sz w:val="24"/>
          <w:szCs w:val="20"/>
          <w:shd w:val="clear" w:color="auto" w:fill="auto"/>
        </w:rPr>
        <w:t>、</w:t>
      </w:r>
      <w:r>
        <w:rPr>
          <w:rFonts w:eastAsia="楷体" w:cstheme="minorBidi"/>
          <w:color w:val="auto"/>
          <w:kern w:val="2"/>
          <w:sz w:val="24"/>
          <w:szCs w:val="20"/>
          <w:shd w:val="clear" w:color="auto" w:fill="auto"/>
        </w:rPr>
        <w:t>节能改造措施等角度对下级平台上传的能耗数据进行比较分析，评估各类型建筑节能潜力，为制订用能定额标准和各项管理政策提供依据；跟踪各重点关注建筑的动态能耗数据，初步掌握标杆建筑节能特点，并与民用建筑能耗统计系统对应数据进行校验，总结节能改造和节能运行经验等作用。相关部门通过实时报送的方式将关于电 能的指标上传系统</w:t>
      </w:r>
      <w:r>
        <w:rPr>
          <w:rFonts w:hint="eastAsia" w:eastAsia="楷体" w:cstheme="minorBidi"/>
          <w:color w:val="auto"/>
          <w:kern w:val="2"/>
          <w:sz w:val="24"/>
          <w:szCs w:val="20"/>
          <w:shd w:val="clear" w:color="auto" w:fill="auto"/>
        </w:rPr>
        <w:t>。4）</w:t>
      </w:r>
      <w:r>
        <w:rPr>
          <w:rFonts w:eastAsia="楷体" w:cstheme="minorBidi"/>
          <w:color w:val="auto"/>
          <w:kern w:val="2"/>
          <w:sz w:val="24"/>
          <w:szCs w:val="20"/>
          <w:shd w:val="clear" w:color="auto" w:fill="auto"/>
        </w:rPr>
        <w:t>中国建材产业信息服务平台由中国建筑材料联合会主管，平台下设的功能有各类建材的重点指标监测、预警预测、指数计算、决策等，在平台中可以看到这些建材的生产量、产值等经济指标，也可以看到整个行业的发展情况</w:t>
      </w:r>
      <w:r>
        <w:rPr>
          <w:rFonts w:hint="eastAsia" w:eastAsia="楷体" w:cstheme="minorBidi"/>
          <w:color w:val="auto"/>
          <w:kern w:val="2"/>
          <w:sz w:val="24"/>
          <w:szCs w:val="20"/>
          <w:shd w:val="clear" w:color="auto" w:fill="auto"/>
        </w:rPr>
        <w:t>。</w:t>
      </w:r>
    </w:p>
    <w:p>
      <w:pPr>
        <w:pStyle w:val="3"/>
        <w:spacing w:line="360" w:lineRule="auto"/>
        <w:jc w:val="center"/>
        <w:rPr>
          <w:rFonts w:ascii="Times New Roman" w:hAnsi="Times New Roman" w:eastAsia="宋体" w:cs="Times New Roman"/>
          <w:color w:val="auto"/>
          <w:sz w:val="24"/>
          <w:szCs w:val="24"/>
          <w:shd w:val="clear" w:color="auto" w:fill="auto"/>
        </w:rPr>
      </w:pPr>
      <w:bookmarkStart w:id="14" w:name="_Toc2276"/>
      <w:r>
        <w:rPr>
          <w:rFonts w:ascii="Times New Roman" w:hAnsi="Times New Roman" w:eastAsia="宋体" w:cs="Times New Roman"/>
          <w:color w:val="auto"/>
          <w:sz w:val="24"/>
          <w:szCs w:val="24"/>
          <w:shd w:val="clear" w:color="auto" w:fill="auto"/>
        </w:rPr>
        <w:t xml:space="preserve">3.4 </w:t>
      </w:r>
      <w:r>
        <w:rPr>
          <w:rFonts w:ascii="Times New Roman" w:hAnsi="宋体" w:eastAsia="宋体" w:cs="Times New Roman"/>
          <w:color w:val="auto"/>
          <w:sz w:val="24"/>
          <w:szCs w:val="24"/>
          <w:shd w:val="clear" w:color="auto" w:fill="auto"/>
        </w:rPr>
        <w:t>公开文献类</w:t>
      </w:r>
      <w:bookmarkEnd w:id="14"/>
    </w:p>
    <w:p>
      <w:pPr>
        <w:spacing w:line="360" w:lineRule="auto"/>
        <w:rPr>
          <w:rFonts w:hAnsi="宋体"/>
          <w:color w:val="auto"/>
          <w:sz w:val="24"/>
          <w:szCs w:val="24"/>
          <w:shd w:val="clear" w:color="auto" w:fill="auto"/>
        </w:rPr>
      </w:pPr>
      <w:r>
        <w:rPr>
          <w:b/>
          <w:bCs/>
          <w:color w:val="auto"/>
          <w:sz w:val="24"/>
          <w:szCs w:val="24"/>
          <w:shd w:val="clear" w:color="auto" w:fill="auto"/>
        </w:rPr>
        <w:t>3.4.1</w:t>
      </w:r>
      <w:r>
        <w:rPr>
          <w:rFonts w:hAnsi="宋体"/>
          <w:color w:val="auto"/>
          <w:sz w:val="24"/>
          <w:szCs w:val="24"/>
          <w:shd w:val="clear" w:color="auto" w:fill="auto"/>
        </w:rPr>
        <w:t>公开文献类数据可包括高等院校、行业协会、研究机构或企事业单位等通过公开渠道公开发布或出版的研究报告和研究论文等。</w:t>
      </w:r>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除国家统计局等统计机构外，还有大量高等院校、研究机构和行业协会等机构，也会定期发布一些关于行业研究报告为建筑行业服务。研究报告和论文中中能够找到一些关于建筑规模及用地、用能、用材、用水及碳排放等相关数据。比如清华大学建筑节能研究中心定期发布的《中国建筑节能年度发展研究报告》，</w:t>
      </w:r>
      <w:r>
        <w:rPr>
          <w:rFonts w:eastAsia="楷体" w:cstheme="minorBidi"/>
          <w:color w:val="auto"/>
          <w:kern w:val="2"/>
          <w:sz w:val="24"/>
          <w:szCs w:val="20"/>
          <w:shd w:val="clear" w:color="auto" w:fill="auto"/>
        </w:rPr>
        <w:t>中国建筑节能协会发布的</w:t>
      </w:r>
      <w:r>
        <w:rPr>
          <w:rFonts w:hint="eastAsia" w:eastAsia="楷体" w:cstheme="minorBidi"/>
          <w:color w:val="auto"/>
          <w:kern w:val="2"/>
          <w:sz w:val="24"/>
          <w:szCs w:val="20"/>
          <w:shd w:val="clear" w:color="auto" w:fill="auto"/>
        </w:rPr>
        <w:t>《中国建筑能耗研究报告》等。这些研究报告也可作为数据采集的渠道和来源参考使用。</w:t>
      </w:r>
    </w:p>
    <w:p>
      <w:pPr>
        <w:spacing w:line="360" w:lineRule="auto"/>
        <w:rPr>
          <w:rFonts w:hint="eastAsia" w:hAnsi="宋体"/>
          <w:color w:val="auto"/>
          <w:sz w:val="24"/>
          <w:szCs w:val="24"/>
          <w:shd w:val="clear" w:color="auto" w:fill="auto"/>
        </w:rPr>
      </w:pPr>
      <w:r>
        <w:rPr>
          <w:rFonts w:hint="eastAsia"/>
          <w:b/>
          <w:bCs/>
          <w:color w:val="auto"/>
          <w:sz w:val="24"/>
          <w:szCs w:val="24"/>
          <w:shd w:val="clear" w:color="auto" w:fill="auto"/>
        </w:rPr>
        <w:t xml:space="preserve">3.4.2 </w:t>
      </w:r>
      <w:r>
        <w:rPr>
          <w:rFonts w:hAnsi="宋体"/>
          <w:color w:val="auto"/>
          <w:sz w:val="24"/>
          <w:szCs w:val="24"/>
          <w:shd w:val="clear" w:color="auto" w:fill="auto"/>
        </w:rPr>
        <w:t>公开文献类数据可包括</w:t>
      </w:r>
      <w:r>
        <w:rPr>
          <w:rFonts w:hint="eastAsia" w:hAnsi="宋体"/>
          <w:color w:val="auto"/>
          <w:sz w:val="24"/>
          <w:szCs w:val="24"/>
          <w:shd w:val="clear" w:color="auto" w:fill="auto"/>
        </w:rPr>
        <w:t>通过网络杂志、公众号等途径公开发表的署名研究报告、研究论文和白皮书等。</w:t>
      </w:r>
    </w:p>
    <w:p>
      <w:pPr>
        <w:spacing w:line="360" w:lineRule="auto"/>
        <w:rPr>
          <w:rFonts w:hAnsi="宋体"/>
          <w:color w:val="auto"/>
          <w:sz w:val="24"/>
          <w:szCs w:val="24"/>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随着互联网和移动端越来越普及，很多署名研究论文和研究报告、白皮书等都在网络上公开发布，这些署名研究报告也可作为数据采集的渠道和来源参考使用。</w:t>
      </w:r>
    </w:p>
    <w:p>
      <w:pPr>
        <w:pStyle w:val="3"/>
        <w:spacing w:line="360" w:lineRule="auto"/>
        <w:jc w:val="center"/>
        <w:rPr>
          <w:rFonts w:ascii="Times New Roman" w:hAnsi="Times New Roman" w:eastAsia="宋体" w:cs="Times New Roman"/>
          <w:color w:val="auto"/>
          <w:sz w:val="24"/>
          <w:szCs w:val="24"/>
          <w:shd w:val="clear" w:color="auto" w:fill="auto"/>
        </w:rPr>
      </w:pPr>
      <w:bookmarkStart w:id="15" w:name="_Toc4537"/>
      <w:r>
        <w:rPr>
          <w:rFonts w:ascii="Times New Roman" w:hAnsi="Times New Roman" w:eastAsia="宋体" w:cs="Times New Roman"/>
          <w:color w:val="auto"/>
          <w:sz w:val="24"/>
          <w:szCs w:val="24"/>
          <w:shd w:val="clear" w:color="auto" w:fill="auto"/>
        </w:rPr>
        <w:t>3.5</w:t>
      </w:r>
      <w:r>
        <w:rPr>
          <w:rFonts w:ascii="Times New Roman" w:hAnsi="宋体" w:eastAsia="宋体" w:cs="Times New Roman"/>
          <w:color w:val="auto"/>
          <w:sz w:val="24"/>
          <w:szCs w:val="24"/>
          <w:shd w:val="clear" w:color="auto" w:fill="auto"/>
        </w:rPr>
        <w:t>互联网和物联网设备类</w:t>
      </w:r>
      <w:bookmarkEnd w:id="15"/>
    </w:p>
    <w:p>
      <w:pPr>
        <w:spacing w:line="360" w:lineRule="auto"/>
        <w:rPr>
          <w:rFonts w:hint="eastAsia" w:hAnsi="宋体"/>
          <w:color w:val="auto"/>
          <w:sz w:val="24"/>
          <w:szCs w:val="24"/>
          <w:shd w:val="clear" w:color="auto" w:fill="auto"/>
        </w:rPr>
      </w:pPr>
      <w:r>
        <w:rPr>
          <w:b/>
          <w:bCs/>
          <w:color w:val="auto"/>
          <w:sz w:val="24"/>
          <w:szCs w:val="24"/>
          <w:shd w:val="clear" w:color="auto" w:fill="auto"/>
        </w:rPr>
        <w:t>3.5.1</w:t>
      </w:r>
      <w:r>
        <w:rPr>
          <w:rFonts w:hAnsi="宋体"/>
          <w:color w:val="auto"/>
          <w:sz w:val="24"/>
          <w:szCs w:val="24"/>
          <w:shd w:val="clear" w:color="auto" w:fill="auto"/>
        </w:rPr>
        <w:t>互联网和物联网设备类数据可包括利用遥感设备和影像技术、互联网位置技术、远传计量仪表等物联网设备和技术等直接采集的数据。</w:t>
      </w:r>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随着互联网和物联网技术在各行各业不断应用，建筑水、暖、</w:t>
      </w:r>
      <w:r>
        <w:rPr>
          <w:rFonts w:eastAsia="楷体" w:cstheme="minorBidi"/>
          <w:color w:val="auto"/>
          <w:kern w:val="2"/>
          <w:sz w:val="24"/>
          <w:szCs w:val="20"/>
          <w:shd w:val="clear" w:color="auto" w:fill="auto"/>
        </w:rPr>
        <w:t>电</w:t>
      </w:r>
      <w:r>
        <w:rPr>
          <w:rFonts w:hint="eastAsia" w:eastAsia="楷体" w:cstheme="minorBidi"/>
          <w:color w:val="auto"/>
          <w:kern w:val="2"/>
          <w:sz w:val="24"/>
          <w:szCs w:val="20"/>
          <w:shd w:val="clear" w:color="auto" w:fill="auto"/>
        </w:rPr>
        <w:t>、</w:t>
      </w:r>
      <w:r>
        <w:rPr>
          <w:rFonts w:eastAsia="楷体" w:cstheme="minorBidi"/>
          <w:color w:val="auto"/>
          <w:kern w:val="2"/>
          <w:sz w:val="24"/>
          <w:szCs w:val="20"/>
          <w:shd w:val="clear" w:color="auto" w:fill="auto"/>
        </w:rPr>
        <w:t>气</w:t>
      </w:r>
      <w:r>
        <w:rPr>
          <w:rFonts w:hint="eastAsia" w:eastAsia="楷体" w:cstheme="minorBidi"/>
          <w:color w:val="auto"/>
          <w:kern w:val="2"/>
          <w:sz w:val="24"/>
          <w:szCs w:val="20"/>
          <w:shd w:val="clear" w:color="auto" w:fill="auto"/>
        </w:rPr>
        <w:t>的</w:t>
      </w:r>
      <w:r>
        <w:rPr>
          <w:rFonts w:eastAsia="楷体" w:cstheme="minorBidi"/>
          <w:color w:val="auto"/>
          <w:kern w:val="2"/>
          <w:sz w:val="24"/>
          <w:szCs w:val="20"/>
          <w:shd w:val="clear" w:color="auto" w:fill="auto"/>
        </w:rPr>
        <w:t>远程采集</w:t>
      </w:r>
      <w:r>
        <w:rPr>
          <w:rFonts w:hint="eastAsia" w:eastAsia="楷体" w:cstheme="minorBidi"/>
          <w:color w:val="auto"/>
          <w:kern w:val="2"/>
          <w:sz w:val="24"/>
          <w:szCs w:val="20"/>
          <w:shd w:val="clear" w:color="auto" w:fill="auto"/>
        </w:rPr>
        <w:t>在部分</w:t>
      </w:r>
      <w:r>
        <w:rPr>
          <w:rFonts w:eastAsia="楷体" w:cstheme="minorBidi"/>
          <w:color w:val="auto"/>
          <w:kern w:val="2"/>
          <w:sz w:val="24"/>
          <w:szCs w:val="20"/>
          <w:shd w:val="clear" w:color="auto" w:fill="auto"/>
        </w:rPr>
        <w:t>监测平台上已实现应用</w:t>
      </w:r>
      <w:r>
        <w:rPr>
          <w:rFonts w:hint="eastAsia" w:eastAsia="楷体" w:cstheme="minorBidi"/>
          <w:color w:val="auto"/>
          <w:kern w:val="2"/>
          <w:sz w:val="24"/>
          <w:szCs w:val="20"/>
          <w:shd w:val="clear" w:color="auto" w:fill="auto"/>
        </w:rPr>
        <w:t>，这些远传计量仪表和</w:t>
      </w:r>
      <w:r>
        <w:rPr>
          <w:rFonts w:eastAsia="楷体" w:cstheme="minorBidi"/>
          <w:color w:val="auto"/>
          <w:kern w:val="2"/>
          <w:sz w:val="24"/>
          <w:szCs w:val="20"/>
          <w:shd w:val="clear" w:color="auto" w:fill="auto"/>
        </w:rPr>
        <w:t>设备有时间信息</w:t>
      </w:r>
      <w:r>
        <w:rPr>
          <w:rFonts w:hint="eastAsia" w:eastAsia="楷体" w:cstheme="minorBidi"/>
          <w:color w:val="auto"/>
          <w:kern w:val="2"/>
          <w:sz w:val="24"/>
          <w:szCs w:val="20"/>
          <w:shd w:val="clear" w:color="auto" w:fill="auto"/>
        </w:rPr>
        <w:t>，远传</w:t>
      </w:r>
      <w:r>
        <w:rPr>
          <w:rFonts w:eastAsia="楷体" w:cstheme="minorBidi"/>
          <w:color w:val="auto"/>
          <w:kern w:val="2"/>
          <w:sz w:val="24"/>
          <w:szCs w:val="20"/>
          <w:shd w:val="clear" w:color="auto" w:fill="auto"/>
        </w:rPr>
        <w:t>电表、气表可以设置为一天或者一小时</w:t>
      </w:r>
      <w:r>
        <w:rPr>
          <w:rFonts w:hint="eastAsia" w:eastAsia="楷体" w:cstheme="minorBidi"/>
          <w:color w:val="auto"/>
          <w:kern w:val="2"/>
          <w:sz w:val="24"/>
          <w:szCs w:val="20"/>
          <w:shd w:val="clear" w:color="auto" w:fill="auto"/>
        </w:rPr>
        <w:t>，</w:t>
      </w:r>
      <w:r>
        <w:rPr>
          <w:rFonts w:eastAsia="楷体" w:cstheme="minorBidi"/>
          <w:color w:val="auto"/>
          <w:kern w:val="2"/>
          <w:sz w:val="24"/>
          <w:szCs w:val="20"/>
          <w:shd w:val="clear" w:color="auto" w:fill="auto"/>
        </w:rPr>
        <w:t>也可按照变量</w:t>
      </w:r>
      <w:r>
        <w:rPr>
          <w:rFonts w:hint="eastAsia" w:eastAsia="楷体" w:cstheme="minorBidi"/>
          <w:color w:val="auto"/>
          <w:kern w:val="2"/>
          <w:sz w:val="24"/>
          <w:szCs w:val="20"/>
          <w:shd w:val="clear" w:color="auto" w:fill="auto"/>
        </w:rPr>
        <w:t>上传。</w:t>
      </w:r>
      <w:r>
        <w:rPr>
          <w:rFonts w:eastAsia="楷体" w:cstheme="minorBidi"/>
          <w:color w:val="auto"/>
          <w:kern w:val="2"/>
          <w:sz w:val="24"/>
          <w:szCs w:val="20"/>
          <w:shd w:val="clear" w:color="auto" w:fill="auto"/>
        </w:rPr>
        <w:t>比如智慧供热平台</w:t>
      </w:r>
      <w:r>
        <w:rPr>
          <w:rFonts w:hint="eastAsia" w:eastAsia="楷体" w:cstheme="minorBidi"/>
          <w:color w:val="auto"/>
          <w:kern w:val="2"/>
          <w:sz w:val="24"/>
          <w:szCs w:val="20"/>
          <w:shd w:val="clear" w:color="auto" w:fill="auto"/>
        </w:rPr>
        <w:t>，通过对数据辨析、抽取和清洗，</w:t>
      </w:r>
      <w:r>
        <w:rPr>
          <w:rFonts w:eastAsia="楷体" w:cstheme="minorBidi"/>
          <w:color w:val="auto"/>
          <w:kern w:val="2"/>
          <w:sz w:val="24"/>
          <w:szCs w:val="20"/>
          <w:shd w:val="clear" w:color="auto" w:fill="auto"/>
        </w:rPr>
        <w:t>集数据采集、汇集、分析和服务于一体，</w:t>
      </w:r>
      <w:r>
        <w:rPr>
          <w:rFonts w:hint="eastAsia" w:eastAsia="楷体" w:cstheme="minorBidi"/>
          <w:color w:val="auto"/>
          <w:kern w:val="2"/>
          <w:sz w:val="24"/>
          <w:szCs w:val="20"/>
          <w:shd w:val="clear" w:color="auto" w:fill="auto"/>
        </w:rPr>
        <w:t>实现</w:t>
      </w:r>
      <w:r>
        <w:rPr>
          <w:rFonts w:eastAsia="楷体" w:cstheme="minorBidi"/>
          <w:color w:val="auto"/>
          <w:kern w:val="2"/>
          <w:sz w:val="24"/>
          <w:szCs w:val="20"/>
          <w:shd w:val="clear" w:color="auto" w:fill="auto"/>
        </w:rPr>
        <w:t>数据采集、汇集、分析、描述、诊断、预测的功能。</w:t>
      </w:r>
      <w:r>
        <w:rPr>
          <w:rFonts w:hint="eastAsia" w:eastAsia="楷体" w:cstheme="minorBidi"/>
          <w:color w:val="auto"/>
          <w:kern w:val="2"/>
          <w:sz w:val="24"/>
          <w:szCs w:val="20"/>
          <w:shd w:val="clear" w:color="auto" w:fill="auto"/>
        </w:rPr>
        <w:t>物联网作为一种新技术应用于建筑数据采集、监测与分析，有着巨大的潜力与优势，有利于建筑的精细化管理与控制，是民用建筑各类数据指标数据获取的重要技术手段。</w:t>
      </w:r>
    </w:p>
    <w:p>
      <w:pPr>
        <w:spacing w:line="360" w:lineRule="auto"/>
        <w:rPr>
          <w:rFonts w:eastAsia="楷体" w:cstheme="minorBidi"/>
          <w:color w:val="auto"/>
          <w:kern w:val="2"/>
          <w:sz w:val="24"/>
          <w:szCs w:val="20"/>
          <w:shd w:val="clear" w:color="auto" w:fill="auto"/>
        </w:rPr>
      </w:pPr>
    </w:p>
    <w:p>
      <w:pPr>
        <w:spacing w:line="360" w:lineRule="auto"/>
        <w:rPr>
          <w:rFonts w:hint="eastAsia" w:hAnsi="宋体"/>
          <w:color w:val="auto"/>
          <w:sz w:val="24"/>
          <w:szCs w:val="24"/>
          <w:shd w:val="clear" w:color="auto" w:fill="auto"/>
        </w:rPr>
      </w:pPr>
      <w:r>
        <w:rPr>
          <w:rFonts w:hint="eastAsia"/>
          <w:b/>
          <w:bCs/>
          <w:color w:val="auto"/>
          <w:sz w:val="24"/>
          <w:szCs w:val="24"/>
          <w:shd w:val="clear" w:color="auto" w:fill="auto"/>
        </w:rPr>
        <w:t xml:space="preserve">3.5.2 </w:t>
      </w:r>
      <w:r>
        <w:rPr>
          <w:rFonts w:hAnsi="宋体"/>
          <w:color w:val="auto"/>
          <w:sz w:val="24"/>
          <w:szCs w:val="24"/>
          <w:shd w:val="clear" w:color="auto" w:fill="auto"/>
        </w:rPr>
        <w:t>互联网和物联网设备类数据可包括温度传感器、湿度传感器、气体感应器、红外感应器、摄像头等物联网和信息传感设备，动态、实时传回数据监测</w:t>
      </w:r>
      <w:r>
        <w:rPr>
          <w:rFonts w:hint="eastAsia" w:hAnsi="宋体"/>
          <w:color w:val="auto"/>
          <w:sz w:val="24"/>
          <w:szCs w:val="24"/>
          <w:shd w:val="clear" w:color="auto" w:fill="auto"/>
        </w:rPr>
        <w:t>平台</w:t>
      </w:r>
      <w:r>
        <w:rPr>
          <w:rFonts w:hAnsi="宋体"/>
          <w:color w:val="auto"/>
          <w:sz w:val="24"/>
          <w:szCs w:val="24"/>
          <w:shd w:val="clear" w:color="auto" w:fill="auto"/>
        </w:rPr>
        <w:t>，实现对建筑信息的智能化识别、监测和管理类的数据</w:t>
      </w:r>
      <w:r>
        <w:rPr>
          <w:rFonts w:hint="eastAsia" w:hAnsi="宋体"/>
          <w:color w:val="auto"/>
          <w:sz w:val="24"/>
          <w:szCs w:val="24"/>
          <w:shd w:val="clear" w:color="auto" w:fill="auto"/>
        </w:rPr>
        <w:t>。</w:t>
      </w:r>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物联网技术在建筑环境保护监测中的推广应用，可弥补传统监测手段缺陷，也能提升建筑环境数据监测的准确性和时效性。比如，根据某区域居民实际用气量总和与区域供气公司给此区域内实际的供给量进行对比分析，可以的得出燃气的气化值等指标，可分析燃气利用率，进而进行优化。能源环境数据分析和校核可以开展基础</w:t>
      </w:r>
      <w:r>
        <w:rPr>
          <w:rFonts w:eastAsia="楷体" w:cstheme="minorBidi"/>
          <w:color w:val="auto"/>
          <w:kern w:val="2"/>
          <w:sz w:val="24"/>
          <w:szCs w:val="20"/>
          <w:shd w:val="clear" w:color="auto" w:fill="auto"/>
        </w:rPr>
        <w:t>分析</w:t>
      </w:r>
      <w:r>
        <w:rPr>
          <w:rFonts w:hint="eastAsia" w:eastAsia="楷体" w:cstheme="minorBidi"/>
          <w:color w:val="auto"/>
          <w:kern w:val="2"/>
          <w:sz w:val="24"/>
          <w:szCs w:val="20"/>
          <w:shd w:val="clear" w:color="auto" w:fill="auto"/>
        </w:rPr>
        <w:t>、对比分析、分类分析、异常分析、趋势分析。</w:t>
      </w:r>
    </w:p>
    <w:p>
      <w:pPr>
        <w:spacing w:line="360" w:lineRule="auto"/>
        <w:rPr>
          <w:rFonts w:hint="eastAsia" w:eastAsia="楷体" w:cstheme="minorBidi"/>
          <w:color w:val="auto"/>
          <w:kern w:val="2"/>
          <w:sz w:val="24"/>
          <w:szCs w:val="20"/>
          <w:shd w:val="clear" w:color="auto" w:fill="auto"/>
        </w:rPr>
      </w:pPr>
    </w:p>
    <w:p>
      <w:pPr>
        <w:spacing w:line="360" w:lineRule="auto"/>
        <w:rPr>
          <w:rFonts w:eastAsia="楷体" w:cstheme="minorBidi"/>
          <w:color w:val="auto"/>
          <w:kern w:val="2"/>
          <w:sz w:val="24"/>
          <w:szCs w:val="20"/>
          <w:shd w:val="clear" w:color="auto" w:fill="auto"/>
        </w:rPr>
      </w:pPr>
    </w:p>
    <w:p>
      <w:pPr>
        <w:widowControl/>
        <w:jc w:val="left"/>
        <w:rPr>
          <w:color w:val="auto"/>
          <w:shd w:val="clear" w:color="auto" w:fill="auto"/>
        </w:rPr>
      </w:pPr>
      <w:r>
        <w:rPr>
          <w:color w:val="auto"/>
          <w:shd w:val="clear" w:color="auto" w:fill="auto"/>
        </w:rPr>
        <w:br w:type="page"/>
      </w:r>
    </w:p>
    <w:p>
      <w:pPr>
        <w:pStyle w:val="59"/>
        <w:numPr>
          <w:ilvl w:val="0"/>
          <w:numId w:val="1"/>
        </w:numPr>
        <w:ind w:left="0" w:firstLine="0"/>
        <w:rPr>
          <w:rFonts w:eastAsia="宋体"/>
          <w:b/>
          <w:color w:val="auto"/>
          <w:sz w:val="32"/>
          <w:szCs w:val="32"/>
          <w:shd w:val="clear" w:color="auto" w:fill="auto"/>
        </w:rPr>
      </w:pPr>
      <w:bookmarkStart w:id="16" w:name="_Toc17100"/>
      <w:r>
        <w:rPr>
          <w:rFonts w:hAnsi="宋体" w:eastAsia="宋体"/>
          <w:b/>
          <w:color w:val="auto"/>
          <w:sz w:val="32"/>
          <w:szCs w:val="32"/>
          <w:shd w:val="clear" w:color="auto" w:fill="auto"/>
        </w:rPr>
        <w:t>采集内容</w:t>
      </w:r>
      <w:bookmarkEnd w:id="16"/>
    </w:p>
    <w:p>
      <w:pPr>
        <w:pStyle w:val="3"/>
        <w:spacing w:line="360" w:lineRule="auto"/>
        <w:jc w:val="center"/>
        <w:rPr>
          <w:rFonts w:ascii="Times New Roman" w:hAnsi="Times New Roman" w:eastAsia="宋体" w:cs="Times New Roman"/>
          <w:color w:val="auto"/>
          <w:sz w:val="24"/>
          <w:szCs w:val="24"/>
          <w:shd w:val="clear" w:color="auto" w:fill="auto"/>
        </w:rPr>
      </w:pPr>
      <w:bookmarkStart w:id="17" w:name="_Toc16016"/>
      <w:r>
        <w:rPr>
          <w:rFonts w:ascii="Times New Roman" w:hAnsi="Times New Roman" w:eastAsia="宋体" w:cs="Times New Roman"/>
          <w:color w:val="auto"/>
          <w:sz w:val="24"/>
          <w:szCs w:val="24"/>
          <w:shd w:val="clear" w:color="auto" w:fill="auto"/>
        </w:rPr>
        <w:t xml:space="preserve">4.1 </w:t>
      </w:r>
      <w:r>
        <w:rPr>
          <w:rFonts w:ascii="Times New Roman" w:hAnsi="宋体" w:eastAsia="宋体" w:cs="Times New Roman"/>
          <w:color w:val="auto"/>
          <w:sz w:val="24"/>
          <w:szCs w:val="24"/>
          <w:shd w:val="clear" w:color="auto" w:fill="auto"/>
        </w:rPr>
        <w:t>一般规定</w:t>
      </w:r>
      <w:bookmarkEnd w:id="17"/>
    </w:p>
    <w:p>
      <w:pPr>
        <w:spacing w:line="360" w:lineRule="auto"/>
        <w:rPr>
          <w:rFonts w:hint="eastAsia" w:hAnsi="宋体"/>
          <w:color w:val="auto"/>
          <w:sz w:val="24"/>
          <w:szCs w:val="24"/>
          <w:shd w:val="clear" w:color="auto" w:fill="auto"/>
        </w:rPr>
      </w:pPr>
      <w:r>
        <w:rPr>
          <w:b/>
          <w:bCs/>
          <w:color w:val="auto"/>
          <w:sz w:val="24"/>
          <w:szCs w:val="24"/>
          <w:shd w:val="clear" w:color="auto" w:fill="auto"/>
        </w:rPr>
        <w:t>4.1.1</w:t>
      </w:r>
      <w:r>
        <w:rPr>
          <w:rFonts w:hAnsi="宋体"/>
          <w:color w:val="auto"/>
          <w:sz w:val="24"/>
          <w:szCs w:val="24"/>
          <w:shd w:val="clear" w:color="auto" w:fill="auto"/>
        </w:rPr>
        <w:t>民用建筑数据依据性质及使用目的不同，主要包括基础数据、专题数据和其他数据等。</w:t>
      </w:r>
    </w:p>
    <w:p>
      <w:pPr>
        <w:spacing w:line="360" w:lineRule="auto"/>
        <w:rPr>
          <w:rFonts w:hAnsi="宋体"/>
          <w:color w:val="auto"/>
          <w:sz w:val="24"/>
          <w:szCs w:val="24"/>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基础数据主要用于辅助其他数据和关键指标的处理和分析，包括地理、人口、GDP、气候等方面的基本数据，以及发电煤耗、电网碳排放因子这些用于不同计量单位之间折算的时效性数据。</w:t>
      </w:r>
    </w:p>
    <w:p>
      <w:pPr>
        <w:spacing w:line="360" w:lineRule="auto"/>
        <w:rPr>
          <w:rFonts w:hint="eastAsia" w:hAnsi="宋体"/>
          <w:color w:val="auto"/>
          <w:sz w:val="24"/>
          <w:szCs w:val="24"/>
          <w:shd w:val="clear" w:color="auto" w:fill="auto"/>
        </w:rPr>
      </w:pPr>
      <w:r>
        <w:rPr>
          <w:rFonts w:hint="eastAsia"/>
          <w:b/>
          <w:bCs/>
          <w:color w:val="auto"/>
          <w:sz w:val="24"/>
          <w:szCs w:val="24"/>
          <w:shd w:val="clear" w:color="auto" w:fill="auto"/>
        </w:rPr>
        <w:t>4.1.2</w:t>
      </w:r>
      <w:r>
        <w:rPr>
          <w:rFonts w:hint="eastAsia" w:hAnsi="宋体"/>
          <w:color w:val="auto"/>
          <w:sz w:val="24"/>
          <w:szCs w:val="24"/>
          <w:shd w:val="clear" w:color="auto" w:fill="auto"/>
        </w:rPr>
        <w:t>数据</w:t>
      </w:r>
      <w:r>
        <w:rPr>
          <w:rFonts w:hAnsi="宋体"/>
          <w:color w:val="auto"/>
          <w:sz w:val="24"/>
          <w:szCs w:val="24"/>
          <w:shd w:val="clear" w:color="auto" w:fill="auto"/>
        </w:rPr>
        <w:t>质量</w:t>
      </w:r>
      <w:r>
        <w:rPr>
          <w:rFonts w:hint="eastAsia" w:hAnsi="宋体"/>
          <w:color w:val="auto"/>
          <w:sz w:val="24"/>
          <w:szCs w:val="24"/>
          <w:shd w:val="clear" w:color="auto" w:fill="auto"/>
        </w:rPr>
        <w:t>和时效性</w:t>
      </w:r>
      <w:r>
        <w:rPr>
          <w:rFonts w:hAnsi="宋体"/>
          <w:color w:val="auto"/>
          <w:sz w:val="24"/>
          <w:szCs w:val="24"/>
          <w:shd w:val="clear" w:color="auto" w:fill="auto"/>
        </w:rPr>
        <w:t>管理贯穿民用建筑数据采集全过程</w:t>
      </w:r>
      <w:r>
        <w:rPr>
          <w:rFonts w:hint="eastAsia" w:hAnsi="宋体"/>
          <w:color w:val="auto"/>
          <w:sz w:val="24"/>
          <w:szCs w:val="24"/>
          <w:shd w:val="clear" w:color="auto" w:fill="auto"/>
        </w:rPr>
        <w:t>。</w:t>
      </w:r>
    </w:p>
    <w:p>
      <w:pPr>
        <w:spacing w:line="360" w:lineRule="auto"/>
        <w:rPr>
          <w:rFonts w:hint="eastAsia" w:hAnsi="宋体"/>
          <w:color w:val="auto"/>
          <w:sz w:val="24"/>
          <w:szCs w:val="24"/>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数据质量包括数据完整性、稳定持续性、及时性和地域性等方面。</w:t>
      </w:r>
    </w:p>
    <w:p>
      <w:pPr>
        <w:pStyle w:val="3"/>
        <w:spacing w:line="360" w:lineRule="auto"/>
        <w:jc w:val="center"/>
        <w:rPr>
          <w:rFonts w:ascii="Times New Roman" w:hAnsi="Times New Roman" w:eastAsia="宋体" w:cs="Times New Roman"/>
          <w:color w:val="auto"/>
          <w:sz w:val="24"/>
          <w:szCs w:val="24"/>
          <w:shd w:val="clear" w:color="auto" w:fill="auto"/>
        </w:rPr>
      </w:pPr>
      <w:bookmarkStart w:id="18" w:name="_Toc2362"/>
      <w:r>
        <w:rPr>
          <w:rFonts w:ascii="Times New Roman" w:hAnsi="Times New Roman" w:eastAsia="宋体" w:cs="Times New Roman"/>
          <w:color w:val="auto"/>
          <w:sz w:val="24"/>
          <w:szCs w:val="24"/>
          <w:shd w:val="clear" w:color="auto" w:fill="auto"/>
        </w:rPr>
        <w:t xml:space="preserve">4.2 </w:t>
      </w:r>
      <w:r>
        <w:rPr>
          <w:rFonts w:ascii="Times New Roman" w:hAnsi="宋体" w:eastAsia="宋体" w:cs="Times New Roman"/>
          <w:color w:val="auto"/>
          <w:sz w:val="24"/>
          <w:szCs w:val="24"/>
          <w:shd w:val="clear" w:color="auto" w:fill="auto"/>
        </w:rPr>
        <w:t>基础数据</w:t>
      </w:r>
      <w:bookmarkEnd w:id="18"/>
    </w:p>
    <w:p>
      <w:pPr>
        <w:spacing w:line="360" w:lineRule="auto"/>
        <w:rPr>
          <w:rFonts w:hint="eastAsia" w:hAnsi="宋体"/>
          <w:color w:val="auto"/>
          <w:sz w:val="24"/>
          <w:szCs w:val="24"/>
          <w:shd w:val="clear" w:color="auto" w:fill="auto"/>
        </w:rPr>
      </w:pPr>
      <w:r>
        <w:rPr>
          <w:b/>
          <w:bCs/>
          <w:color w:val="auto"/>
          <w:sz w:val="24"/>
          <w:szCs w:val="24"/>
          <w:shd w:val="clear" w:color="auto" w:fill="auto"/>
        </w:rPr>
        <w:t>4.2.1</w:t>
      </w:r>
      <w:r>
        <w:rPr>
          <w:rFonts w:hAnsi="宋体"/>
          <w:color w:val="auto"/>
          <w:sz w:val="24"/>
          <w:szCs w:val="24"/>
          <w:shd w:val="clear" w:color="auto" w:fill="auto"/>
        </w:rPr>
        <w:t>基础数据可包括地理信息数据、人口数据、社会经济、气候数据、遥感影像数据等，用于辅助民用建筑数据处理和分析。</w:t>
      </w:r>
    </w:p>
    <w:p>
      <w:pPr>
        <w:spacing w:line="360" w:lineRule="auto"/>
        <w:rPr>
          <w:rFonts w:hint="eastAsia"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基础数据用于辅助建筑规模及用地、用能、用水、用材和碳排放等数据关键指标数据处理和分析，对于业务数据的规范性和准确定等方面非常重要。比如地域边界中城镇</w:t>
      </w:r>
      <w:r>
        <w:rPr>
          <w:rFonts w:eastAsia="楷体" w:cstheme="minorBidi"/>
          <w:color w:val="auto"/>
          <w:kern w:val="2"/>
          <w:sz w:val="24"/>
          <w:szCs w:val="20"/>
          <w:shd w:val="clear" w:color="auto" w:fill="auto"/>
        </w:rPr>
        <w:t>是指城市、县城和镇建成区以及这些地区的公共设施、 居住设施和市政公用设施等能够连接到的区域。农村</w:t>
      </w:r>
      <w:r>
        <w:rPr>
          <w:rFonts w:hint="eastAsia" w:eastAsia="楷体" w:cstheme="minorBidi"/>
          <w:color w:val="auto"/>
          <w:kern w:val="2"/>
          <w:sz w:val="24"/>
          <w:szCs w:val="20"/>
          <w:shd w:val="clear" w:color="auto" w:fill="auto"/>
        </w:rPr>
        <w:t>是指</w:t>
      </w:r>
      <w:r>
        <w:rPr>
          <w:rFonts w:eastAsia="楷体" w:cstheme="minorBidi"/>
          <w:color w:val="auto"/>
          <w:kern w:val="2"/>
          <w:sz w:val="24"/>
          <w:szCs w:val="20"/>
          <w:shd w:val="clear" w:color="auto" w:fill="auto"/>
        </w:rPr>
        <w:t>农村是指除城市、县城和镇建成区以外的区域，主要包括乡村、农场以及村庄</w:t>
      </w:r>
      <w:r>
        <w:rPr>
          <w:rFonts w:hint="eastAsia" w:eastAsia="楷体" w:cstheme="minorBidi"/>
          <w:color w:val="auto"/>
          <w:kern w:val="2"/>
          <w:sz w:val="24"/>
          <w:szCs w:val="20"/>
          <w:shd w:val="clear" w:color="auto" w:fill="auto"/>
        </w:rPr>
        <w:t>。</w:t>
      </w:r>
    </w:p>
    <w:p>
      <w:pPr>
        <w:spacing w:line="360" w:lineRule="auto"/>
        <w:ind w:firstLine="480" w:firstLineChars="200"/>
        <w:rPr>
          <w:rFonts w:eastAsia="楷体" w:cstheme="minorBidi"/>
          <w:color w:val="auto"/>
          <w:kern w:val="2"/>
          <w:sz w:val="24"/>
          <w:szCs w:val="20"/>
          <w:shd w:val="clear" w:color="auto" w:fill="auto"/>
        </w:rPr>
      </w:pPr>
      <w:r>
        <w:rPr>
          <w:rFonts w:eastAsia="楷体" w:cstheme="minorBidi"/>
          <w:color w:val="auto"/>
          <w:kern w:val="2"/>
          <w:sz w:val="24"/>
          <w:szCs w:val="20"/>
          <w:shd w:val="clear" w:color="auto" w:fill="auto"/>
        </w:rPr>
        <w:t>以建筑规模为例，房屋建筑面积统计范围在 2001 年后从原来的设市城市扩展到设市城市和县城，</w:t>
      </w:r>
      <w:r>
        <w:rPr>
          <w:rFonts w:hint="eastAsia" w:eastAsia="楷体" w:cstheme="minorBidi"/>
          <w:color w:val="auto"/>
          <w:kern w:val="2"/>
          <w:sz w:val="24"/>
          <w:szCs w:val="20"/>
          <w:shd w:val="clear" w:color="auto" w:fill="auto"/>
        </w:rPr>
        <w:t>就会</w:t>
      </w:r>
      <w:r>
        <w:rPr>
          <w:rFonts w:eastAsia="楷体" w:cstheme="minorBidi"/>
          <w:color w:val="auto"/>
          <w:kern w:val="2"/>
          <w:sz w:val="24"/>
          <w:szCs w:val="20"/>
          <w:shd w:val="clear" w:color="auto" w:fill="auto"/>
        </w:rPr>
        <w:t>造成筑面积统计范围不一致</w:t>
      </w:r>
      <w:r>
        <w:rPr>
          <w:rFonts w:hint="eastAsia" w:eastAsia="楷体" w:cstheme="minorBidi"/>
          <w:color w:val="auto"/>
          <w:kern w:val="2"/>
          <w:sz w:val="24"/>
          <w:szCs w:val="20"/>
          <w:shd w:val="clear" w:color="auto" w:fill="auto"/>
        </w:rPr>
        <w:t>。比如要测算某区域人均单位面积能耗就需要地域边界中的人口数据。</w:t>
      </w:r>
    </w:p>
    <w:p>
      <w:pPr>
        <w:spacing w:line="360" w:lineRule="auto"/>
        <w:rPr>
          <w:rFonts w:hint="eastAsia" w:hAnsi="宋体"/>
          <w:color w:val="auto"/>
          <w:sz w:val="24"/>
          <w:szCs w:val="24"/>
          <w:shd w:val="clear" w:color="auto" w:fill="auto"/>
        </w:rPr>
      </w:pPr>
      <w:r>
        <w:rPr>
          <w:rFonts w:hint="eastAsia"/>
          <w:b/>
          <w:bCs/>
          <w:color w:val="auto"/>
          <w:sz w:val="24"/>
          <w:szCs w:val="24"/>
          <w:shd w:val="clear" w:color="auto" w:fill="auto"/>
        </w:rPr>
        <w:t>4.2.2</w:t>
      </w:r>
      <w:r>
        <w:rPr>
          <w:rFonts w:hint="eastAsia" w:hAnsi="宋体"/>
          <w:color w:val="auto"/>
          <w:sz w:val="24"/>
          <w:szCs w:val="24"/>
          <w:shd w:val="clear" w:color="auto" w:fill="auto"/>
        </w:rPr>
        <w:t>基础数据应包括发电煤耗数据、电网碳排放因子数据、折标煤系数数据等具有时效性的数据，提供民用建筑业务的基础数据信息。</w:t>
      </w:r>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随着技术进步和绿色电力发展，发电煤耗数据、电网碳排放因子数据、折标煤系数数据是不断变化的，具有很强的时效性。比如要测算民用</w:t>
      </w:r>
      <w:r>
        <w:rPr>
          <w:rFonts w:eastAsia="楷体" w:cstheme="minorBidi"/>
          <w:color w:val="auto"/>
          <w:kern w:val="2"/>
          <w:sz w:val="24"/>
          <w:szCs w:val="20"/>
          <w:shd w:val="clear" w:color="auto" w:fill="auto"/>
        </w:rPr>
        <w:t>建筑运行阶段电耗</w:t>
      </w:r>
      <w:r>
        <w:rPr>
          <w:rFonts w:hint="eastAsia" w:eastAsia="楷体" w:cstheme="minorBidi"/>
          <w:color w:val="auto"/>
          <w:kern w:val="2"/>
          <w:sz w:val="24"/>
          <w:szCs w:val="20"/>
          <w:shd w:val="clear" w:color="auto" w:fill="auto"/>
        </w:rPr>
        <w:t>数据指标，</w:t>
      </w:r>
      <w:r>
        <w:rPr>
          <w:rFonts w:eastAsia="楷体" w:cstheme="minorBidi"/>
          <w:color w:val="auto"/>
          <w:kern w:val="2"/>
          <w:sz w:val="24"/>
          <w:szCs w:val="20"/>
          <w:shd w:val="clear" w:color="auto" w:fill="auto"/>
        </w:rPr>
        <w:t>这个阶段的用能如有统一折算的要求，须将不同品种用能折算到电，折算时必须按《民用建筑能耗分类及表示方法》 GB/T34913-2017 执行，化石能源按照其对应的供电能耗折合，其中标准天然气与电的折算关系是：1kWh 电＝0.2m3。居住建筑非供热能源消耗总量、公共建筑非供热能源消耗总量也须按</w:t>
      </w:r>
      <w:r>
        <w:rPr>
          <w:rFonts w:hint="eastAsia" w:eastAsia="楷体" w:cstheme="minorBidi"/>
          <w:color w:val="auto"/>
          <w:kern w:val="2"/>
          <w:sz w:val="24"/>
          <w:szCs w:val="20"/>
          <w:shd w:val="clear" w:color="auto" w:fill="auto"/>
        </w:rPr>
        <w:t>当前时间段的基础数据</w:t>
      </w:r>
      <w:r>
        <w:rPr>
          <w:rFonts w:eastAsia="楷体" w:cstheme="minorBidi"/>
          <w:color w:val="auto"/>
          <w:kern w:val="2"/>
          <w:sz w:val="24"/>
          <w:szCs w:val="20"/>
          <w:shd w:val="clear" w:color="auto" w:fill="auto"/>
        </w:rPr>
        <w:t>进行统一折算。</w:t>
      </w:r>
    </w:p>
    <w:p>
      <w:pPr>
        <w:pStyle w:val="3"/>
        <w:spacing w:line="360" w:lineRule="auto"/>
        <w:jc w:val="center"/>
        <w:rPr>
          <w:rFonts w:ascii="Times New Roman" w:hAnsi="Times New Roman" w:eastAsia="宋体" w:cs="Times New Roman"/>
          <w:color w:val="auto"/>
          <w:sz w:val="24"/>
          <w:szCs w:val="24"/>
          <w:shd w:val="clear" w:color="auto" w:fill="auto"/>
        </w:rPr>
      </w:pPr>
      <w:bookmarkStart w:id="19" w:name="_Toc28298"/>
      <w:r>
        <w:rPr>
          <w:rFonts w:ascii="Times New Roman" w:hAnsi="Times New Roman" w:eastAsia="宋体" w:cs="Times New Roman"/>
          <w:color w:val="auto"/>
          <w:sz w:val="24"/>
          <w:szCs w:val="24"/>
          <w:shd w:val="clear" w:color="auto" w:fill="auto"/>
        </w:rPr>
        <w:t xml:space="preserve">4.3 </w:t>
      </w:r>
      <w:r>
        <w:rPr>
          <w:rFonts w:ascii="Times New Roman" w:hAnsi="宋体" w:eastAsia="宋体" w:cs="Times New Roman"/>
          <w:color w:val="auto"/>
          <w:sz w:val="24"/>
          <w:szCs w:val="24"/>
          <w:shd w:val="clear" w:color="auto" w:fill="auto"/>
        </w:rPr>
        <w:t>专题数据</w:t>
      </w:r>
      <w:bookmarkEnd w:id="19"/>
    </w:p>
    <w:p>
      <w:pPr>
        <w:spacing w:line="360" w:lineRule="auto"/>
        <w:rPr>
          <w:rFonts w:hint="eastAsia" w:hAnsi="宋体"/>
          <w:color w:val="auto"/>
          <w:sz w:val="24"/>
          <w:szCs w:val="24"/>
          <w:shd w:val="clear" w:color="auto" w:fill="auto"/>
        </w:rPr>
      </w:pPr>
      <w:r>
        <w:rPr>
          <w:b/>
          <w:bCs/>
          <w:color w:val="auto"/>
          <w:sz w:val="24"/>
          <w:szCs w:val="24"/>
          <w:shd w:val="clear" w:color="auto" w:fill="auto"/>
        </w:rPr>
        <w:t xml:space="preserve">4.3.1 </w:t>
      </w:r>
      <w:r>
        <w:rPr>
          <w:rFonts w:hAnsi="宋体"/>
          <w:color w:val="auto"/>
          <w:sz w:val="24"/>
          <w:szCs w:val="24"/>
          <w:shd w:val="clear" w:color="auto" w:fill="auto"/>
        </w:rPr>
        <w:t>民用建筑专题数据应包括</w:t>
      </w:r>
      <w:r>
        <w:rPr>
          <w:rFonts w:hint="eastAsia" w:hAnsi="宋体"/>
          <w:color w:val="auto"/>
          <w:sz w:val="24"/>
          <w:szCs w:val="24"/>
          <w:shd w:val="clear" w:color="auto" w:fill="auto"/>
        </w:rPr>
        <w:t>规模及</w:t>
      </w:r>
      <w:r>
        <w:rPr>
          <w:rFonts w:hAnsi="宋体"/>
          <w:color w:val="auto"/>
          <w:sz w:val="24"/>
          <w:szCs w:val="24"/>
          <w:shd w:val="clear" w:color="auto" w:fill="auto"/>
        </w:rPr>
        <w:t>用地数据、用能数据、用水数据、用材数据，以及碳排放等环境保护数据等，为城乡建设领域绿色发展和碳减排业务开展提供专题化数据。</w:t>
      </w:r>
    </w:p>
    <w:p>
      <w:pPr>
        <w:spacing w:line="360" w:lineRule="auto"/>
        <w:rPr>
          <w:color w:val="auto"/>
          <w:sz w:val="24"/>
          <w:szCs w:val="24"/>
          <w:shd w:val="clear" w:color="auto" w:fill="auto"/>
        </w:rPr>
      </w:pPr>
      <w:r>
        <w:rPr>
          <w:b/>
          <w:bCs/>
          <w:color w:val="auto"/>
          <w:sz w:val="24"/>
          <w:szCs w:val="24"/>
          <w:shd w:val="clear" w:color="auto" w:fill="auto"/>
        </w:rPr>
        <w:t xml:space="preserve">4.3.2 </w:t>
      </w:r>
      <w:r>
        <w:rPr>
          <w:rFonts w:hAnsi="宋体"/>
          <w:color w:val="auto"/>
          <w:sz w:val="24"/>
          <w:szCs w:val="24"/>
          <w:shd w:val="clear" w:color="auto" w:fill="auto"/>
        </w:rPr>
        <w:t>民用建筑</w:t>
      </w:r>
      <w:r>
        <w:rPr>
          <w:rFonts w:hint="eastAsia" w:hAnsi="宋体"/>
          <w:color w:val="auto"/>
          <w:sz w:val="24"/>
          <w:szCs w:val="24"/>
          <w:shd w:val="clear" w:color="auto" w:fill="auto"/>
        </w:rPr>
        <w:t>规模及</w:t>
      </w:r>
      <w:r>
        <w:rPr>
          <w:rFonts w:hAnsi="宋体"/>
          <w:color w:val="auto"/>
          <w:sz w:val="24"/>
          <w:szCs w:val="24"/>
          <w:shd w:val="clear" w:color="auto" w:fill="auto"/>
        </w:rPr>
        <w:t>用地数据可包括：</w:t>
      </w:r>
    </w:p>
    <w:p>
      <w:pPr>
        <w:spacing w:line="360" w:lineRule="auto"/>
        <w:ind w:firstLine="480" w:firstLineChars="200"/>
        <w:rPr>
          <w:color w:val="auto"/>
          <w:kern w:val="2"/>
          <w:sz w:val="24"/>
          <w:szCs w:val="20"/>
          <w:shd w:val="clear" w:color="auto" w:fill="auto"/>
        </w:rPr>
      </w:pPr>
      <w:r>
        <w:rPr>
          <w:color w:val="auto"/>
          <w:kern w:val="2"/>
          <w:sz w:val="24"/>
          <w:szCs w:val="20"/>
          <w:shd w:val="clear" w:color="auto" w:fill="auto"/>
        </w:rPr>
        <w:t xml:space="preserve">1 </w:t>
      </w:r>
      <w:r>
        <w:rPr>
          <w:rFonts w:hAnsi="宋体"/>
          <w:color w:val="auto"/>
          <w:kern w:val="2"/>
          <w:sz w:val="24"/>
          <w:szCs w:val="20"/>
          <w:shd w:val="clear" w:color="auto" w:fill="auto"/>
        </w:rPr>
        <w:t>居住区用地面积、商业及服务设施用地面积、公共管理与公共服务用地面积等；</w:t>
      </w:r>
    </w:p>
    <w:p>
      <w:pPr>
        <w:spacing w:line="360" w:lineRule="auto"/>
        <w:ind w:firstLine="480" w:firstLineChars="200"/>
        <w:rPr>
          <w:rFonts w:hint="eastAsia" w:hAnsi="宋体"/>
          <w:color w:val="auto"/>
          <w:kern w:val="2"/>
          <w:sz w:val="24"/>
          <w:szCs w:val="20"/>
          <w:shd w:val="clear" w:color="auto" w:fill="auto"/>
        </w:rPr>
      </w:pPr>
      <w:r>
        <w:rPr>
          <w:color w:val="auto"/>
          <w:kern w:val="2"/>
          <w:sz w:val="24"/>
          <w:szCs w:val="20"/>
          <w:shd w:val="clear" w:color="auto" w:fill="auto"/>
        </w:rPr>
        <w:t xml:space="preserve">2 </w:t>
      </w:r>
      <w:r>
        <w:rPr>
          <w:rFonts w:hAnsi="宋体"/>
          <w:color w:val="auto"/>
          <w:kern w:val="2"/>
          <w:sz w:val="24"/>
          <w:szCs w:val="20"/>
          <w:shd w:val="clear" w:color="auto" w:fill="auto"/>
        </w:rPr>
        <w:t>开工面积、施工面积、竣工面积、集中供热面积、拆除面积、实有建筑面积、空置面积等数据，提供民用建筑规模</w:t>
      </w:r>
      <w:r>
        <w:rPr>
          <w:rFonts w:hint="eastAsia" w:hAnsi="宋体"/>
          <w:color w:val="auto"/>
          <w:kern w:val="2"/>
          <w:sz w:val="24"/>
          <w:szCs w:val="20"/>
          <w:shd w:val="clear" w:color="auto" w:fill="auto"/>
        </w:rPr>
        <w:t>及</w:t>
      </w:r>
      <w:r>
        <w:rPr>
          <w:rFonts w:hAnsi="宋体"/>
          <w:color w:val="auto"/>
          <w:kern w:val="2"/>
          <w:sz w:val="24"/>
          <w:szCs w:val="20"/>
          <w:shd w:val="clear" w:color="auto" w:fill="auto"/>
        </w:rPr>
        <w:t>用地等业务数据。</w:t>
      </w:r>
    </w:p>
    <w:p>
      <w:pPr>
        <w:spacing w:line="360" w:lineRule="auto"/>
        <w:rPr>
          <w:rFonts w:hint="eastAsia"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eastAsia="楷体" w:cstheme="minorBidi"/>
          <w:color w:val="auto"/>
          <w:kern w:val="2"/>
          <w:sz w:val="24"/>
          <w:szCs w:val="20"/>
          <w:shd w:val="clear" w:color="auto" w:fill="auto"/>
        </w:rPr>
        <w:t>建筑规模及用地关键指标主要有居住区用地面积、商业及服务设施用地面积、公共管理与公共服务用地面积</w:t>
      </w:r>
      <w:r>
        <w:rPr>
          <w:rFonts w:hint="eastAsia" w:eastAsia="楷体" w:cstheme="minorBidi"/>
          <w:color w:val="auto"/>
          <w:kern w:val="2"/>
          <w:sz w:val="24"/>
          <w:szCs w:val="20"/>
          <w:shd w:val="clear" w:color="auto" w:fill="auto"/>
        </w:rPr>
        <w:t>，</w:t>
      </w:r>
      <w:r>
        <w:rPr>
          <w:rFonts w:eastAsia="楷体" w:cstheme="minorBidi"/>
          <w:color w:val="auto"/>
          <w:kern w:val="2"/>
          <w:sz w:val="24"/>
          <w:szCs w:val="20"/>
          <w:shd w:val="clear" w:color="auto" w:fill="auto"/>
        </w:rPr>
        <w:t>以及竣工面积、拆除面积、实有建筑面积及空置面积等</w:t>
      </w:r>
      <w:r>
        <w:rPr>
          <w:rFonts w:hint="eastAsia" w:eastAsia="楷体" w:cstheme="minorBidi"/>
          <w:color w:val="auto"/>
          <w:kern w:val="2"/>
          <w:sz w:val="24"/>
          <w:szCs w:val="20"/>
          <w:shd w:val="clear" w:color="auto" w:fill="auto"/>
        </w:rPr>
        <w:t>。</w:t>
      </w:r>
    </w:p>
    <w:p>
      <w:pPr>
        <w:spacing w:line="360" w:lineRule="auto"/>
        <w:ind w:firstLine="480" w:firstLineChars="200"/>
        <w:rPr>
          <w:rFonts w:eastAsia="楷体" w:cstheme="minorBidi"/>
          <w:color w:val="auto"/>
          <w:kern w:val="2"/>
          <w:sz w:val="24"/>
          <w:szCs w:val="20"/>
          <w:shd w:val="clear" w:color="auto" w:fill="auto"/>
        </w:rPr>
      </w:pPr>
      <w:r>
        <w:rPr>
          <w:rFonts w:eastAsia="楷体" w:cstheme="minorBidi"/>
          <w:color w:val="auto"/>
          <w:kern w:val="2"/>
          <w:sz w:val="24"/>
          <w:szCs w:val="20"/>
          <w:shd w:val="clear" w:color="auto" w:fill="auto"/>
        </w:rPr>
        <w:t>比如</w:t>
      </w:r>
      <w:r>
        <w:rPr>
          <w:rFonts w:hint="eastAsia" w:eastAsia="楷体" w:cstheme="minorBidi"/>
          <w:color w:val="auto"/>
          <w:kern w:val="2"/>
          <w:sz w:val="24"/>
          <w:szCs w:val="20"/>
          <w:shd w:val="clear" w:color="auto" w:fill="auto"/>
        </w:rPr>
        <w:t>，</w:t>
      </w:r>
      <w:r>
        <w:rPr>
          <w:rFonts w:eastAsia="楷体" w:cstheme="minorBidi"/>
          <w:color w:val="auto"/>
          <w:kern w:val="2"/>
          <w:sz w:val="24"/>
          <w:szCs w:val="20"/>
          <w:shd w:val="clear" w:color="auto" w:fill="auto"/>
        </w:rPr>
        <w:t>用地面积是指截止到本自然年末，包含居住用地、公共管理与公共服务用地、商业服务业设施用地的民用建筑用地面积的总和。单位：平方公里。用地面积与容积率紧密相关，间接影响建筑面积，在计算建筑面积规模时</w:t>
      </w:r>
      <w:r>
        <w:rPr>
          <w:rFonts w:hint="eastAsia" w:eastAsia="楷体" w:cstheme="minorBidi"/>
          <w:color w:val="auto"/>
          <w:kern w:val="2"/>
          <w:sz w:val="24"/>
          <w:szCs w:val="20"/>
          <w:shd w:val="clear" w:color="auto" w:fill="auto"/>
        </w:rPr>
        <w:t>，</w:t>
      </w:r>
      <w:r>
        <w:rPr>
          <w:rFonts w:eastAsia="楷体" w:cstheme="minorBidi"/>
          <w:color w:val="auto"/>
          <w:kern w:val="2"/>
          <w:sz w:val="24"/>
          <w:szCs w:val="20"/>
          <w:shd w:val="clear" w:color="auto" w:fill="auto"/>
        </w:rPr>
        <w:t>可利用该数据进行中间量计算。建筑规模及用地关键指标的</w:t>
      </w:r>
      <w:r>
        <w:rPr>
          <w:rFonts w:hint="eastAsia" w:eastAsia="楷体" w:cstheme="minorBidi"/>
          <w:color w:val="auto"/>
          <w:kern w:val="2"/>
          <w:sz w:val="24"/>
          <w:szCs w:val="20"/>
          <w:shd w:val="clear" w:color="auto" w:fill="auto"/>
        </w:rPr>
        <w:t>解释</w:t>
      </w:r>
      <w:r>
        <w:rPr>
          <w:rFonts w:eastAsia="楷体" w:cstheme="minorBidi"/>
          <w:color w:val="auto"/>
          <w:kern w:val="2"/>
          <w:sz w:val="24"/>
          <w:szCs w:val="20"/>
          <w:shd w:val="clear" w:color="auto" w:fill="auto"/>
        </w:rPr>
        <w:t>和定义正在编制中国工程建设标准协会</w:t>
      </w:r>
      <w:r>
        <w:rPr>
          <w:rFonts w:hint="eastAsia" w:eastAsia="楷体" w:cstheme="minorBidi"/>
          <w:color w:val="auto"/>
          <w:kern w:val="2"/>
          <w:sz w:val="24"/>
          <w:szCs w:val="20"/>
          <w:shd w:val="clear" w:color="auto" w:fill="auto"/>
        </w:rPr>
        <w:t>《民用建筑数据术语标准》。</w:t>
      </w:r>
    </w:p>
    <w:p>
      <w:pPr>
        <w:spacing w:line="360" w:lineRule="auto"/>
        <w:rPr>
          <w:color w:val="auto"/>
          <w:sz w:val="24"/>
          <w:szCs w:val="24"/>
          <w:shd w:val="clear" w:color="auto" w:fill="auto"/>
        </w:rPr>
      </w:pPr>
      <w:r>
        <w:rPr>
          <w:b/>
          <w:bCs/>
          <w:color w:val="auto"/>
          <w:sz w:val="24"/>
          <w:szCs w:val="24"/>
          <w:shd w:val="clear" w:color="auto" w:fill="auto"/>
        </w:rPr>
        <w:t>4.3.3</w:t>
      </w:r>
      <w:r>
        <w:rPr>
          <w:rFonts w:hAnsi="宋体"/>
          <w:color w:val="auto"/>
          <w:sz w:val="24"/>
          <w:szCs w:val="24"/>
          <w:shd w:val="clear" w:color="auto" w:fill="auto"/>
        </w:rPr>
        <w:t>民用建筑用能数据可包括：</w:t>
      </w:r>
    </w:p>
    <w:p>
      <w:pPr>
        <w:spacing w:line="360" w:lineRule="auto"/>
        <w:ind w:firstLine="480" w:firstLineChars="200"/>
        <w:rPr>
          <w:color w:val="auto"/>
          <w:kern w:val="2"/>
          <w:sz w:val="24"/>
          <w:szCs w:val="20"/>
          <w:shd w:val="clear" w:color="auto" w:fill="auto"/>
        </w:rPr>
      </w:pPr>
      <w:r>
        <w:rPr>
          <w:color w:val="auto"/>
          <w:kern w:val="2"/>
          <w:sz w:val="24"/>
          <w:szCs w:val="20"/>
          <w:shd w:val="clear" w:color="auto" w:fill="auto"/>
        </w:rPr>
        <w:t xml:space="preserve">1 </w:t>
      </w:r>
      <w:r>
        <w:rPr>
          <w:rFonts w:hAnsi="宋体"/>
          <w:color w:val="auto"/>
          <w:kern w:val="2"/>
          <w:sz w:val="24"/>
          <w:szCs w:val="20"/>
          <w:shd w:val="clear" w:color="auto" w:fill="auto"/>
        </w:rPr>
        <w:t>建筑运行能源消耗、居住建筑非供热能源消耗、公共建筑非供热能源消耗、北方集中供热能源消耗等建筑运行阶段能源各能源品种消耗量；</w:t>
      </w:r>
    </w:p>
    <w:p>
      <w:pPr>
        <w:spacing w:line="360" w:lineRule="auto"/>
        <w:ind w:firstLine="480" w:firstLineChars="200"/>
        <w:rPr>
          <w:rFonts w:hint="eastAsia" w:hAnsi="宋体"/>
          <w:color w:val="auto"/>
          <w:sz w:val="24"/>
          <w:szCs w:val="24"/>
          <w:shd w:val="clear" w:color="auto" w:fill="auto"/>
        </w:rPr>
      </w:pPr>
      <w:r>
        <w:rPr>
          <w:color w:val="auto"/>
          <w:sz w:val="24"/>
          <w:szCs w:val="24"/>
          <w:shd w:val="clear" w:color="auto" w:fill="auto"/>
        </w:rPr>
        <w:t>2</w:t>
      </w:r>
      <w:r>
        <w:rPr>
          <w:rFonts w:hint="eastAsia"/>
          <w:color w:val="auto"/>
          <w:sz w:val="24"/>
          <w:szCs w:val="24"/>
          <w:shd w:val="clear" w:color="auto" w:fill="auto"/>
          <w:lang w:val="en-US" w:eastAsia="zh-CN"/>
        </w:rPr>
        <w:t xml:space="preserve"> </w:t>
      </w:r>
      <w:r>
        <w:rPr>
          <w:rFonts w:hAnsi="宋体"/>
          <w:color w:val="auto"/>
          <w:sz w:val="24"/>
          <w:szCs w:val="24"/>
          <w:shd w:val="clear" w:color="auto" w:fill="auto"/>
        </w:rPr>
        <w:t>水泥、</w:t>
      </w:r>
      <w:r>
        <w:rPr>
          <w:color w:val="auto"/>
          <w:sz w:val="24"/>
          <w:szCs w:val="24"/>
          <w:shd w:val="clear" w:color="auto" w:fill="auto"/>
        </w:rPr>
        <w:t xml:space="preserve"> </w:t>
      </w:r>
      <w:r>
        <w:rPr>
          <w:rFonts w:hAnsi="宋体"/>
          <w:color w:val="auto"/>
          <w:sz w:val="24"/>
          <w:szCs w:val="24"/>
          <w:shd w:val="clear" w:color="auto" w:fill="auto"/>
        </w:rPr>
        <w:t>玻璃、卫生陶瓷</w:t>
      </w:r>
      <w:r>
        <w:rPr>
          <w:rFonts w:hint="eastAsia" w:hAnsi="宋体"/>
          <w:color w:val="auto"/>
          <w:sz w:val="24"/>
          <w:szCs w:val="24"/>
          <w:shd w:val="clear" w:color="auto" w:fill="auto"/>
        </w:rPr>
        <w:t>、</w:t>
      </w:r>
      <w:r>
        <w:rPr>
          <w:rFonts w:hAnsi="宋体"/>
          <w:color w:val="auto"/>
          <w:sz w:val="24"/>
          <w:szCs w:val="24"/>
          <w:shd w:val="clear" w:color="auto" w:fill="auto"/>
        </w:rPr>
        <w:t>钢材等主要建筑材料生产阶段、建造施工阶段能源消耗量，提供民用建筑能源消耗水平等业务数据。</w:t>
      </w:r>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eastAsia="楷体" w:cstheme="minorBidi"/>
          <w:color w:val="auto"/>
          <w:kern w:val="2"/>
          <w:sz w:val="24"/>
          <w:szCs w:val="20"/>
          <w:shd w:val="clear" w:color="auto" w:fill="auto"/>
        </w:rPr>
        <w:t>建筑用能指标还包括建筑运行能源消耗总量等关键性指标</w:t>
      </w:r>
      <w:r>
        <w:rPr>
          <w:rFonts w:hint="eastAsia" w:eastAsia="楷体" w:cstheme="minorBidi"/>
          <w:color w:val="auto"/>
          <w:kern w:val="2"/>
          <w:sz w:val="24"/>
          <w:szCs w:val="20"/>
          <w:shd w:val="clear" w:color="auto" w:fill="auto"/>
        </w:rPr>
        <w:t>。</w:t>
      </w:r>
      <w:r>
        <w:rPr>
          <w:rFonts w:eastAsia="楷体" w:cstheme="minorBidi"/>
          <w:color w:val="auto"/>
          <w:kern w:val="2"/>
          <w:sz w:val="24"/>
          <w:szCs w:val="20"/>
          <w:shd w:val="clear" w:color="auto" w:fill="auto"/>
        </w:rPr>
        <w:t>建筑用能贯穿建材生产、建材运输、建筑施工、建筑运行等阶段。其中，建筑运行用能可用于政府部门制定政策、优化能源结构，掌握建筑运行能耗总量及强度双控进展；建材生产用能反映了主要建材的耗能构成及未来发展趋势</w:t>
      </w:r>
      <w:r>
        <w:rPr>
          <w:rFonts w:hint="eastAsia" w:eastAsia="楷体" w:cstheme="minorBidi"/>
          <w:color w:val="auto"/>
          <w:kern w:val="2"/>
          <w:sz w:val="24"/>
          <w:szCs w:val="20"/>
          <w:shd w:val="clear" w:color="auto" w:fill="auto"/>
        </w:rPr>
        <w:t>。</w:t>
      </w:r>
      <w:r>
        <w:rPr>
          <w:rFonts w:eastAsia="楷体" w:cstheme="minorBidi"/>
          <w:color w:val="auto"/>
          <w:kern w:val="2"/>
          <w:sz w:val="24"/>
          <w:szCs w:val="20"/>
          <w:shd w:val="clear" w:color="auto" w:fill="auto"/>
        </w:rPr>
        <w:t>建筑用能分建材生产的各能源品种消耗总量、建材运输的各能源品种消耗总量、建筑施工的各能源品种消耗总量、建筑运行的各能源品种消耗总量</w:t>
      </w:r>
      <w:r>
        <w:rPr>
          <w:rFonts w:hint="eastAsia" w:eastAsia="楷体" w:cstheme="minorBidi"/>
          <w:color w:val="auto"/>
          <w:kern w:val="2"/>
          <w:sz w:val="24"/>
          <w:szCs w:val="20"/>
          <w:shd w:val="clear" w:color="auto" w:fill="auto"/>
        </w:rPr>
        <w:t>等</w:t>
      </w:r>
      <w:r>
        <w:rPr>
          <w:rFonts w:eastAsia="楷体" w:cstheme="minorBidi"/>
          <w:color w:val="auto"/>
          <w:kern w:val="2"/>
          <w:sz w:val="24"/>
          <w:szCs w:val="20"/>
          <w:shd w:val="clear" w:color="auto" w:fill="auto"/>
        </w:rPr>
        <w:t>指标。建筑</w:t>
      </w:r>
      <w:r>
        <w:rPr>
          <w:rFonts w:hint="eastAsia" w:eastAsia="楷体" w:cstheme="minorBidi"/>
          <w:color w:val="auto"/>
          <w:kern w:val="2"/>
          <w:sz w:val="24"/>
          <w:szCs w:val="20"/>
          <w:shd w:val="clear" w:color="auto" w:fill="auto"/>
        </w:rPr>
        <w:t>用能</w:t>
      </w:r>
      <w:r>
        <w:rPr>
          <w:rFonts w:eastAsia="楷体" w:cstheme="minorBidi"/>
          <w:color w:val="auto"/>
          <w:kern w:val="2"/>
          <w:sz w:val="24"/>
          <w:szCs w:val="20"/>
          <w:shd w:val="clear" w:color="auto" w:fill="auto"/>
        </w:rPr>
        <w:t>关键指标的</w:t>
      </w:r>
      <w:r>
        <w:rPr>
          <w:rFonts w:hint="eastAsia" w:eastAsia="楷体" w:cstheme="minorBidi"/>
          <w:color w:val="auto"/>
          <w:kern w:val="2"/>
          <w:sz w:val="24"/>
          <w:szCs w:val="20"/>
          <w:shd w:val="clear" w:color="auto" w:fill="auto"/>
        </w:rPr>
        <w:t>解释</w:t>
      </w:r>
      <w:r>
        <w:rPr>
          <w:rFonts w:eastAsia="楷体" w:cstheme="minorBidi"/>
          <w:color w:val="auto"/>
          <w:kern w:val="2"/>
          <w:sz w:val="24"/>
          <w:szCs w:val="20"/>
          <w:shd w:val="clear" w:color="auto" w:fill="auto"/>
        </w:rPr>
        <w:t>和定义正在编制中国工程建设标准协会</w:t>
      </w:r>
      <w:r>
        <w:rPr>
          <w:rFonts w:hint="eastAsia" w:eastAsia="楷体" w:cstheme="minorBidi"/>
          <w:color w:val="auto"/>
          <w:kern w:val="2"/>
          <w:sz w:val="24"/>
          <w:szCs w:val="20"/>
          <w:shd w:val="clear" w:color="auto" w:fill="auto"/>
        </w:rPr>
        <w:t>《民用建筑数据术语标准》。</w:t>
      </w:r>
    </w:p>
    <w:p>
      <w:pPr>
        <w:spacing w:line="360" w:lineRule="auto"/>
        <w:rPr>
          <w:color w:val="auto"/>
          <w:sz w:val="24"/>
          <w:szCs w:val="24"/>
          <w:shd w:val="clear" w:color="auto" w:fill="auto"/>
        </w:rPr>
      </w:pPr>
      <w:r>
        <w:rPr>
          <w:b/>
          <w:bCs/>
          <w:color w:val="auto"/>
          <w:sz w:val="24"/>
          <w:szCs w:val="24"/>
          <w:shd w:val="clear" w:color="auto" w:fill="auto"/>
        </w:rPr>
        <w:t xml:space="preserve">4.3.4 </w:t>
      </w:r>
      <w:r>
        <w:rPr>
          <w:rFonts w:hAnsi="宋体"/>
          <w:color w:val="auto"/>
          <w:sz w:val="24"/>
          <w:szCs w:val="24"/>
          <w:shd w:val="clear" w:color="auto" w:fill="auto"/>
        </w:rPr>
        <w:t>民用建筑用材数据可包括：</w:t>
      </w:r>
    </w:p>
    <w:p>
      <w:pPr>
        <w:spacing w:line="360" w:lineRule="auto"/>
        <w:ind w:firstLine="480" w:firstLineChars="200"/>
        <w:rPr>
          <w:color w:val="auto"/>
          <w:kern w:val="2"/>
          <w:sz w:val="24"/>
          <w:szCs w:val="20"/>
          <w:shd w:val="clear" w:color="auto" w:fill="auto"/>
        </w:rPr>
      </w:pPr>
      <w:r>
        <w:rPr>
          <w:color w:val="auto"/>
          <w:kern w:val="2"/>
          <w:sz w:val="24"/>
          <w:szCs w:val="20"/>
          <w:shd w:val="clear" w:color="auto" w:fill="auto"/>
        </w:rPr>
        <w:t xml:space="preserve">1 </w:t>
      </w:r>
      <w:r>
        <w:rPr>
          <w:rFonts w:hint="eastAsia" w:hAnsi="宋体"/>
          <w:color w:val="auto"/>
          <w:kern w:val="2"/>
          <w:sz w:val="24"/>
          <w:szCs w:val="20"/>
          <w:shd w:val="clear" w:color="auto" w:fill="auto"/>
        </w:rPr>
        <w:t>水泥、 玻璃、卫生陶瓷、钢材</w:t>
      </w:r>
      <w:r>
        <w:rPr>
          <w:rFonts w:hAnsi="宋体"/>
          <w:color w:val="auto"/>
          <w:kern w:val="2"/>
          <w:sz w:val="24"/>
          <w:szCs w:val="20"/>
          <w:shd w:val="clear" w:color="auto" w:fill="auto"/>
        </w:rPr>
        <w:t>等主要建筑材料</w:t>
      </w:r>
      <w:r>
        <w:rPr>
          <w:rFonts w:hint="eastAsia" w:hAnsi="宋体"/>
          <w:color w:val="auto"/>
          <w:kern w:val="2"/>
          <w:sz w:val="24"/>
          <w:szCs w:val="20"/>
          <w:shd w:val="clear" w:color="auto" w:fill="auto"/>
        </w:rPr>
        <w:t>消耗</w:t>
      </w:r>
      <w:r>
        <w:rPr>
          <w:rFonts w:hAnsi="宋体"/>
          <w:color w:val="auto"/>
          <w:kern w:val="2"/>
          <w:sz w:val="24"/>
          <w:szCs w:val="20"/>
          <w:shd w:val="clear" w:color="auto" w:fill="auto"/>
        </w:rPr>
        <w:t>量；</w:t>
      </w:r>
    </w:p>
    <w:p>
      <w:pPr>
        <w:spacing w:line="360" w:lineRule="auto"/>
        <w:ind w:firstLine="480" w:firstLineChars="200"/>
        <w:rPr>
          <w:color w:val="auto"/>
          <w:kern w:val="2"/>
          <w:sz w:val="24"/>
          <w:szCs w:val="20"/>
          <w:shd w:val="clear" w:color="auto" w:fill="auto"/>
        </w:rPr>
      </w:pPr>
      <w:r>
        <w:rPr>
          <w:color w:val="auto"/>
          <w:kern w:val="2"/>
          <w:sz w:val="24"/>
          <w:szCs w:val="20"/>
          <w:shd w:val="clear" w:color="auto" w:fill="auto"/>
        </w:rPr>
        <w:t xml:space="preserve">2 </w:t>
      </w:r>
      <w:r>
        <w:rPr>
          <w:color w:val="auto"/>
          <w:shd w:val="clear" w:color="auto" w:fill="auto"/>
        </w:rPr>
        <w:fldChar w:fldCharType="begin"/>
      </w:r>
      <w:r>
        <w:rPr>
          <w:color w:val="auto"/>
          <w:shd w:val="clear" w:color="auto" w:fill="auto"/>
        </w:rPr>
        <w:instrText xml:space="preserve"> HYPERLINK "https://baike.baidu.com/item/%E6%9C%A8%E6%9D%90/1289673" \t "https://baike.baidu.com/item/%E5%BB%BA%E7%AD%91%E6%9D%90%E6%96%99/_blank" </w:instrText>
      </w:r>
      <w:r>
        <w:rPr>
          <w:color w:val="auto"/>
          <w:shd w:val="clear" w:color="auto" w:fill="auto"/>
        </w:rPr>
        <w:fldChar w:fldCharType="separate"/>
      </w:r>
      <w:r>
        <w:rPr>
          <w:rFonts w:hAnsi="宋体"/>
          <w:color w:val="auto"/>
          <w:kern w:val="2"/>
          <w:sz w:val="24"/>
          <w:szCs w:val="20"/>
          <w:shd w:val="clear" w:color="auto" w:fill="auto"/>
        </w:rPr>
        <w:t>木材</w:t>
      </w:r>
      <w:r>
        <w:rPr>
          <w:rFonts w:hAnsi="宋体"/>
          <w:color w:val="auto"/>
          <w:kern w:val="2"/>
          <w:sz w:val="24"/>
          <w:szCs w:val="20"/>
          <w:shd w:val="clear" w:color="auto" w:fill="auto"/>
        </w:rPr>
        <w:fldChar w:fldCharType="end"/>
      </w:r>
      <w:r>
        <w:rPr>
          <w:rFonts w:hAnsi="宋体"/>
          <w:color w:val="auto"/>
          <w:kern w:val="2"/>
          <w:sz w:val="24"/>
          <w:szCs w:val="20"/>
          <w:shd w:val="clear" w:color="auto" w:fill="auto"/>
        </w:rPr>
        <w:t>、</w:t>
      </w:r>
      <w:r>
        <w:rPr>
          <w:color w:val="auto"/>
          <w:shd w:val="clear" w:color="auto" w:fill="auto"/>
        </w:rPr>
        <w:fldChar w:fldCharType="begin"/>
      </w:r>
      <w:r>
        <w:rPr>
          <w:color w:val="auto"/>
          <w:shd w:val="clear" w:color="auto" w:fill="auto"/>
        </w:rPr>
        <w:instrText xml:space="preserve"> HYPERLINK "https://baike.baidu.com/item/%E7%AB%B9%E6%9D%90" \t "https://baike.baidu.com/item/%E5%BB%BA%E7%AD%91%E6%9D%90%E6%96%99/_blank" </w:instrText>
      </w:r>
      <w:r>
        <w:rPr>
          <w:color w:val="auto"/>
          <w:shd w:val="clear" w:color="auto" w:fill="auto"/>
        </w:rPr>
        <w:fldChar w:fldCharType="separate"/>
      </w:r>
      <w:r>
        <w:rPr>
          <w:rFonts w:hAnsi="宋体"/>
          <w:color w:val="auto"/>
          <w:kern w:val="2"/>
          <w:sz w:val="24"/>
          <w:szCs w:val="20"/>
          <w:shd w:val="clear" w:color="auto" w:fill="auto"/>
        </w:rPr>
        <w:t>竹材</w:t>
      </w:r>
      <w:r>
        <w:rPr>
          <w:rFonts w:hAnsi="宋体"/>
          <w:color w:val="auto"/>
          <w:kern w:val="2"/>
          <w:sz w:val="24"/>
          <w:szCs w:val="20"/>
          <w:shd w:val="clear" w:color="auto" w:fill="auto"/>
        </w:rPr>
        <w:fldChar w:fldCharType="end"/>
      </w:r>
      <w:r>
        <w:rPr>
          <w:rFonts w:hAnsi="宋体"/>
          <w:color w:val="auto"/>
          <w:kern w:val="2"/>
          <w:sz w:val="24"/>
          <w:szCs w:val="20"/>
          <w:shd w:val="clear" w:color="auto" w:fill="auto"/>
        </w:rPr>
        <w:t>、</w:t>
      </w:r>
      <w:r>
        <w:rPr>
          <w:color w:val="auto"/>
          <w:shd w:val="clear" w:color="auto" w:fill="auto"/>
        </w:rPr>
        <w:fldChar w:fldCharType="begin"/>
      </w:r>
      <w:r>
        <w:rPr>
          <w:color w:val="auto"/>
          <w:shd w:val="clear" w:color="auto" w:fill="auto"/>
        </w:rPr>
        <w:instrText xml:space="preserve"> HYPERLINK "https://baike.baidu.com/item/%E7%9F%B3%E6%9D%90" \t "https://baike.baidu.com/item/%E5%BB%BA%E7%AD%91%E6%9D%90%E6%96%99/_blank" </w:instrText>
      </w:r>
      <w:r>
        <w:rPr>
          <w:color w:val="auto"/>
          <w:shd w:val="clear" w:color="auto" w:fill="auto"/>
        </w:rPr>
        <w:fldChar w:fldCharType="separate"/>
      </w:r>
      <w:r>
        <w:rPr>
          <w:rFonts w:hAnsi="宋体"/>
          <w:color w:val="auto"/>
          <w:kern w:val="2"/>
          <w:sz w:val="24"/>
          <w:szCs w:val="20"/>
          <w:shd w:val="clear" w:color="auto" w:fill="auto"/>
        </w:rPr>
        <w:t>石材</w:t>
      </w:r>
      <w:r>
        <w:rPr>
          <w:rFonts w:hAnsi="宋体"/>
          <w:color w:val="auto"/>
          <w:kern w:val="2"/>
          <w:sz w:val="24"/>
          <w:szCs w:val="20"/>
          <w:shd w:val="clear" w:color="auto" w:fill="auto"/>
        </w:rPr>
        <w:fldChar w:fldCharType="end"/>
      </w:r>
      <w:r>
        <w:rPr>
          <w:rFonts w:hAnsi="宋体"/>
          <w:color w:val="auto"/>
          <w:kern w:val="2"/>
          <w:sz w:val="24"/>
          <w:szCs w:val="20"/>
          <w:shd w:val="clear" w:color="auto" w:fill="auto"/>
        </w:rPr>
        <w:t>、混凝土、</w:t>
      </w:r>
      <w:r>
        <w:rPr>
          <w:color w:val="auto"/>
          <w:shd w:val="clear" w:color="auto" w:fill="auto"/>
        </w:rPr>
        <w:fldChar w:fldCharType="begin"/>
      </w:r>
      <w:r>
        <w:rPr>
          <w:color w:val="auto"/>
          <w:shd w:val="clear" w:color="auto" w:fill="auto"/>
        </w:rPr>
        <w:instrText xml:space="preserve"> HYPERLINK "https://baike.baidu.com/item/%E9%87%91%E5%B1%9E/190330" \t "https://baike.baidu.com/item/%E5%BB%BA%E7%AD%91%E6%9D%90%E6%96%99/_blank" </w:instrText>
      </w:r>
      <w:r>
        <w:rPr>
          <w:color w:val="auto"/>
          <w:shd w:val="clear" w:color="auto" w:fill="auto"/>
        </w:rPr>
        <w:fldChar w:fldCharType="separate"/>
      </w:r>
      <w:r>
        <w:rPr>
          <w:rFonts w:hAnsi="宋体"/>
          <w:color w:val="auto"/>
          <w:kern w:val="2"/>
          <w:sz w:val="24"/>
          <w:szCs w:val="20"/>
          <w:shd w:val="clear" w:color="auto" w:fill="auto"/>
        </w:rPr>
        <w:t>金属</w:t>
      </w:r>
      <w:r>
        <w:rPr>
          <w:rFonts w:hAnsi="宋体"/>
          <w:color w:val="auto"/>
          <w:kern w:val="2"/>
          <w:sz w:val="24"/>
          <w:szCs w:val="20"/>
          <w:shd w:val="clear" w:color="auto" w:fill="auto"/>
        </w:rPr>
        <w:fldChar w:fldCharType="end"/>
      </w:r>
      <w:r>
        <w:rPr>
          <w:rFonts w:hAnsi="宋体"/>
          <w:color w:val="auto"/>
          <w:kern w:val="2"/>
          <w:sz w:val="24"/>
          <w:szCs w:val="20"/>
          <w:shd w:val="clear" w:color="auto" w:fill="auto"/>
        </w:rPr>
        <w:t>、</w:t>
      </w:r>
      <w:r>
        <w:rPr>
          <w:color w:val="auto"/>
          <w:shd w:val="clear" w:color="auto" w:fill="auto"/>
        </w:rPr>
        <w:fldChar w:fldCharType="begin"/>
      </w:r>
      <w:r>
        <w:rPr>
          <w:color w:val="auto"/>
          <w:shd w:val="clear" w:color="auto" w:fill="auto"/>
        </w:rPr>
        <w:instrText xml:space="preserve"> HYPERLINK "https://baike.baidu.com/item/%E7%A0%96%E7%93%A6" \t "https://baike.baidu.com/item/%E5%BB%BA%E7%AD%91%E6%9D%90%E6%96%99/_blank" </w:instrText>
      </w:r>
      <w:r>
        <w:rPr>
          <w:color w:val="auto"/>
          <w:shd w:val="clear" w:color="auto" w:fill="auto"/>
        </w:rPr>
        <w:fldChar w:fldCharType="separate"/>
      </w:r>
      <w:r>
        <w:rPr>
          <w:rFonts w:hAnsi="宋体"/>
          <w:color w:val="auto"/>
          <w:kern w:val="2"/>
          <w:sz w:val="24"/>
          <w:szCs w:val="20"/>
          <w:shd w:val="clear" w:color="auto" w:fill="auto"/>
        </w:rPr>
        <w:t>砖瓦</w:t>
      </w:r>
      <w:r>
        <w:rPr>
          <w:rFonts w:hAnsi="宋体"/>
          <w:color w:val="auto"/>
          <w:kern w:val="2"/>
          <w:sz w:val="24"/>
          <w:szCs w:val="20"/>
          <w:shd w:val="clear" w:color="auto" w:fill="auto"/>
        </w:rPr>
        <w:fldChar w:fldCharType="end"/>
      </w:r>
      <w:r>
        <w:rPr>
          <w:rFonts w:hAnsi="宋体"/>
          <w:color w:val="auto"/>
          <w:kern w:val="2"/>
          <w:sz w:val="24"/>
          <w:szCs w:val="20"/>
          <w:shd w:val="clear" w:color="auto" w:fill="auto"/>
        </w:rPr>
        <w:t>、</w:t>
      </w:r>
      <w:r>
        <w:rPr>
          <w:color w:val="auto"/>
          <w:shd w:val="clear" w:color="auto" w:fill="auto"/>
        </w:rPr>
        <w:fldChar w:fldCharType="begin"/>
      </w:r>
      <w:r>
        <w:rPr>
          <w:color w:val="auto"/>
          <w:shd w:val="clear" w:color="auto" w:fill="auto"/>
        </w:rPr>
        <w:instrText xml:space="preserve"> HYPERLINK "https://baike.baidu.com/item/%E5%B7%A5%E7%A8%8B%E5%A1%91%E6%96%99" \t "https://baike.baidu.com/item/%E5%BB%BA%E7%AD%91%E6%9D%90%E6%96%99/_blank" </w:instrText>
      </w:r>
      <w:r>
        <w:rPr>
          <w:color w:val="auto"/>
          <w:shd w:val="clear" w:color="auto" w:fill="auto"/>
        </w:rPr>
        <w:fldChar w:fldCharType="separate"/>
      </w:r>
      <w:r>
        <w:rPr>
          <w:rFonts w:hAnsi="宋体"/>
          <w:color w:val="auto"/>
          <w:kern w:val="2"/>
          <w:sz w:val="24"/>
          <w:szCs w:val="20"/>
          <w:shd w:val="clear" w:color="auto" w:fill="auto"/>
        </w:rPr>
        <w:t>工程塑料</w:t>
      </w:r>
      <w:r>
        <w:rPr>
          <w:rFonts w:hAnsi="宋体"/>
          <w:color w:val="auto"/>
          <w:kern w:val="2"/>
          <w:sz w:val="24"/>
          <w:szCs w:val="20"/>
          <w:shd w:val="clear" w:color="auto" w:fill="auto"/>
        </w:rPr>
        <w:fldChar w:fldCharType="end"/>
      </w:r>
      <w:r>
        <w:rPr>
          <w:rFonts w:hAnsi="宋体"/>
          <w:color w:val="auto"/>
          <w:kern w:val="2"/>
          <w:sz w:val="24"/>
          <w:szCs w:val="20"/>
          <w:shd w:val="clear" w:color="auto" w:fill="auto"/>
        </w:rPr>
        <w:t>、</w:t>
      </w:r>
      <w:r>
        <w:rPr>
          <w:color w:val="auto"/>
          <w:shd w:val="clear" w:color="auto" w:fill="auto"/>
        </w:rPr>
        <w:fldChar w:fldCharType="begin"/>
      </w:r>
      <w:r>
        <w:rPr>
          <w:color w:val="auto"/>
          <w:shd w:val="clear" w:color="auto" w:fill="auto"/>
        </w:rPr>
        <w:instrText xml:space="preserve"> HYPERLINK "https://baike.baidu.com/item/%E5%A4%8D%E5%90%88%E6%9D%90%E6%96%99/837682" \t "https://baike.baidu.com/item/%E5%BB%BA%E7%AD%91%E6%9D%90%E6%96%99/_blank" </w:instrText>
      </w:r>
      <w:r>
        <w:rPr>
          <w:color w:val="auto"/>
          <w:shd w:val="clear" w:color="auto" w:fill="auto"/>
        </w:rPr>
        <w:fldChar w:fldCharType="separate"/>
      </w:r>
      <w:r>
        <w:rPr>
          <w:rFonts w:hAnsi="宋体"/>
          <w:color w:val="auto"/>
          <w:kern w:val="2"/>
          <w:sz w:val="24"/>
          <w:szCs w:val="20"/>
          <w:shd w:val="clear" w:color="auto" w:fill="auto"/>
        </w:rPr>
        <w:t>复合材料</w:t>
      </w:r>
      <w:r>
        <w:rPr>
          <w:rFonts w:hAnsi="宋体"/>
          <w:color w:val="auto"/>
          <w:kern w:val="2"/>
          <w:sz w:val="24"/>
          <w:szCs w:val="20"/>
          <w:shd w:val="clear" w:color="auto" w:fill="auto"/>
        </w:rPr>
        <w:fldChar w:fldCharType="end"/>
      </w:r>
      <w:r>
        <w:rPr>
          <w:rFonts w:hAnsi="宋体"/>
          <w:color w:val="auto"/>
          <w:kern w:val="2"/>
          <w:sz w:val="24"/>
          <w:szCs w:val="20"/>
          <w:shd w:val="clear" w:color="auto" w:fill="auto"/>
        </w:rPr>
        <w:t>等结构材料使用量；</w:t>
      </w:r>
    </w:p>
    <w:p>
      <w:pPr>
        <w:spacing w:line="360" w:lineRule="auto"/>
        <w:ind w:firstLine="480" w:firstLineChars="200"/>
        <w:rPr>
          <w:color w:val="auto"/>
          <w:sz w:val="24"/>
          <w:szCs w:val="24"/>
          <w:shd w:val="clear" w:color="auto" w:fill="auto"/>
        </w:rPr>
      </w:pPr>
      <w:r>
        <w:rPr>
          <w:color w:val="auto"/>
          <w:kern w:val="2"/>
          <w:sz w:val="24"/>
          <w:szCs w:val="20"/>
          <w:shd w:val="clear" w:color="auto" w:fill="auto"/>
        </w:rPr>
        <w:t xml:space="preserve">3 </w:t>
      </w:r>
      <w:r>
        <w:rPr>
          <w:color w:val="auto"/>
          <w:shd w:val="clear" w:color="auto" w:fill="auto"/>
        </w:rPr>
        <w:fldChar w:fldCharType="begin"/>
      </w:r>
      <w:r>
        <w:rPr>
          <w:color w:val="auto"/>
          <w:shd w:val="clear" w:color="auto" w:fill="auto"/>
        </w:rPr>
        <w:instrText xml:space="preserve"> HYPERLINK "https://baike.baidu.com/item/%E6%B6%82%E6%96%99" \t "https://baike.baidu.com/item/%E5%BB%BA%E7%AD%91%E6%9D%90%E6%96%99/_blank" </w:instrText>
      </w:r>
      <w:r>
        <w:rPr>
          <w:color w:val="auto"/>
          <w:shd w:val="clear" w:color="auto" w:fill="auto"/>
        </w:rPr>
        <w:fldChar w:fldCharType="separate"/>
      </w:r>
      <w:r>
        <w:rPr>
          <w:rFonts w:hAnsi="宋体"/>
          <w:color w:val="auto"/>
          <w:sz w:val="24"/>
          <w:szCs w:val="24"/>
          <w:shd w:val="clear" w:color="auto" w:fill="auto"/>
        </w:rPr>
        <w:t>涂料</w:t>
      </w:r>
      <w:r>
        <w:rPr>
          <w:rFonts w:hAnsi="宋体"/>
          <w:color w:val="auto"/>
          <w:sz w:val="24"/>
          <w:szCs w:val="24"/>
          <w:shd w:val="clear" w:color="auto" w:fill="auto"/>
        </w:rPr>
        <w:fldChar w:fldCharType="end"/>
      </w:r>
      <w:r>
        <w:rPr>
          <w:rFonts w:hAnsi="宋体"/>
          <w:color w:val="auto"/>
          <w:sz w:val="24"/>
          <w:szCs w:val="24"/>
          <w:shd w:val="clear" w:color="auto" w:fill="auto"/>
        </w:rPr>
        <w:t>、</w:t>
      </w:r>
      <w:r>
        <w:rPr>
          <w:color w:val="auto"/>
          <w:shd w:val="clear" w:color="auto" w:fill="auto"/>
        </w:rPr>
        <w:fldChar w:fldCharType="begin"/>
      </w:r>
      <w:r>
        <w:rPr>
          <w:color w:val="auto"/>
          <w:shd w:val="clear" w:color="auto" w:fill="auto"/>
        </w:rPr>
        <w:instrText xml:space="preserve"> HYPERLINK "https://baike.baidu.com/item/%E6%B2%B9%E6%BC%86" \t "https://baike.baidu.com/item/%E5%BB%BA%E7%AD%91%E6%9D%90%E6%96%99/_blank" </w:instrText>
      </w:r>
      <w:r>
        <w:rPr>
          <w:color w:val="auto"/>
          <w:shd w:val="clear" w:color="auto" w:fill="auto"/>
        </w:rPr>
        <w:fldChar w:fldCharType="separate"/>
      </w:r>
      <w:r>
        <w:rPr>
          <w:rFonts w:hAnsi="宋体"/>
          <w:color w:val="auto"/>
          <w:sz w:val="24"/>
          <w:szCs w:val="24"/>
          <w:shd w:val="clear" w:color="auto" w:fill="auto"/>
        </w:rPr>
        <w:t>油漆</w:t>
      </w:r>
      <w:r>
        <w:rPr>
          <w:rFonts w:hAnsi="宋体"/>
          <w:color w:val="auto"/>
          <w:sz w:val="24"/>
          <w:szCs w:val="24"/>
          <w:shd w:val="clear" w:color="auto" w:fill="auto"/>
        </w:rPr>
        <w:fldChar w:fldCharType="end"/>
      </w:r>
      <w:r>
        <w:rPr>
          <w:rFonts w:hAnsi="宋体"/>
          <w:color w:val="auto"/>
          <w:sz w:val="24"/>
          <w:szCs w:val="24"/>
          <w:shd w:val="clear" w:color="auto" w:fill="auto"/>
        </w:rPr>
        <w:t>、</w:t>
      </w:r>
      <w:r>
        <w:rPr>
          <w:color w:val="auto"/>
          <w:shd w:val="clear" w:color="auto" w:fill="auto"/>
        </w:rPr>
        <w:fldChar w:fldCharType="begin"/>
      </w:r>
      <w:r>
        <w:rPr>
          <w:color w:val="auto"/>
          <w:shd w:val="clear" w:color="auto" w:fill="auto"/>
        </w:rPr>
        <w:instrText xml:space="preserve"> HYPERLINK "https://baike.baidu.com/item/%E9%95%80%E5%B1%82" \t "https://baike.baidu.com/item/%E5%BB%BA%E7%AD%91%E6%9D%90%E6%96%99/_blank" </w:instrText>
      </w:r>
      <w:r>
        <w:rPr>
          <w:color w:val="auto"/>
          <w:shd w:val="clear" w:color="auto" w:fill="auto"/>
        </w:rPr>
        <w:fldChar w:fldCharType="separate"/>
      </w:r>
      <w:r>
        <w:rPr>
          <w:rFonts w:hAnsi="宋体"/>
          <w:color w:val="auto"/>
          <w:sz w:val="24"/>
          <w:szCs w:val="24"/>
          <w:shd w:val="clear" w:color="auto" w:fill="auto"/>
        </w:rPr>
        <w:t>镀层</w:t>
      </w:r>
      <w:r>
        <w:rPr>
          <w:rFonts w:hAnsi="宋体"/>
          <w:color w:val="auto"/>
          <w:sz w:val="24"/>
          <w:szCs w:val="24"/>
          <w:shd w:val="clear" w:color="auto" w:fill="auto"/>
        </w:rPr>
        <w:fldChar w:fldCharType="end"/>
      </w:r>
      <w:r>
        <w:rPr>
          <w:rFonts w:hAnsi="宋体"/>
          <w:color w:val="auto"/>
          <w:sz w:val="24"/>
          <w:szCs w:val="24"/>
          <w:shd w:val="clear" w:color="auto" w:fill="auto"/>
        </w:rPr>
        <w:t>、</w:t>
      </w:r>
      <w:r>
        <w:rPr>
          <w:color w:val="auto"/>
          <w:shd w:val="clear" w:color="auto" w:fill="auto"/>
        </w:rPr>
        <w:fldChar w:fldCharType="begin"/>
      </w:r>
      <w:r>
        <w:rPr>
          <w:color w:val="auto"/>
          <w:shd w:val="clear" w:color="auto" w:fill="auto"/>
        </w:rPr>
        <w:instrText xml:space="preserve"> HYPERLINK "https://baike.baidu.com/item/%E8%B4%B4%E9%9D%A2" \t "https://baike.baidu.com/item/%E5%BB%BA%E7%AD%91%E6%9D%90%E6%96%99/_blank" </w:instrText>
      </w:r>
      <w:r>
        <w:rPr>
          <w:color w:val="auto"/>
          <w:shd w:val="clear" w:color="auto" w:fill="auto"/>
        </w:rPr>
        <w:fldChar w:fldCharType="separate"/>
      </w:r>
      <w:r>
        <w:rPr>
          <w:rFonts w:hAnsi="宋体"/>
          <w:color w:val="auto"/>
          <w:sz w:val="24"/>
          <w:szCs w:val="24"/>
          <w:shd w:val="clear" w:color="auto" w:fill="auto"/>
        </w:rPr>
        <w:t>贴面</w:t>
      </w:r>
      <w:r>
        <w:rPr>
          <w:rFonts w:hAnsi="宋体"/>
          <w:color w:val="auto"/>
          <w:sz w:val="24"/>
          <w:szCs w:val="24"/>
          <w:shd w:val="clear" w:color="auto" w:fill="auto"/>
        </w:rPr>
        <w:fldChar w:fldCharType="end"/>
      </w:r>
      <w:r>
        <w:rPr>
          <w:rFonts w:hAnsi="宋体"/>
          <w:color w:val="auto"/>
          <w:sz w:val="24"/>
          <w:szCs w:val="24"/>
          <w:shd w:val="clear" w:color="auto" w:fill="auto"/>
        </w:rPr>
        <w:t>、各色</w:t>
      </w:r>
      <w:r>
        <w:rPr>
          <w:color w:val="auto"/>
          <w:shd w:val="clear" w:color="auto" w:fill="auto"/>
        </w:rPr>
        <w:fldChar w:fldCharType="begin"/>
      </w:r>
      <w:r>
        <w:rPr>
          <w:color w:val="auto"/>
          <w:shd w:val="clear" w:color="auto" w:fill="auto"/>
        </w:rPr>
        <w:instrText xml:space="preserve"> HYPERLINK "https://baike.baidu.com/item/%E7%93%B7%E7%A0%96" \t "https://baike.baidu.com/item/%E5%BB%BA%E7%AD%91%E6%9D%90%E6%96%99/_blank" </w:instrText>
      </w:r>
      <w:r>
        <w:rPr>
          <w:color w:val="auto"/>
          <w:shd w:val="clear" w:color="auto" w:fill="auto"/>
        </w:rPr>
        <w:fldChar w:fldCharType="separate"/>
      </w:r>
      <w:r>
        <w:rPr>
          <w:rFonts w:hAnsi="宋体"/>
          <w:color w:val="auto"/>
          <w:sz w:val="24"/>
          <w:szCs w:val="24"/>
          <w:shd w:val="clear" w:color="auto" w:fill="auto"/>
        </w:rPr>
        <w:t>瓷砖</w:t>
      </w:r>
      <w:r>
        <w:rPr>
          <w:rFonts w:hAnsi="宋体"/>
          <w:color w:val="auto"/>
          <w:sz w:val="24"/>
          <w:szCs w:val="24"/>
          <w:shd w:val="clear" w:color="auto" w:fill="auto"/>
        </w:rPr>
        <w:fldChar w:fldCharType="end"/>
      </w:r>
      <w:r>
        <w:rPr>
          <w:rFonts w:hAnsi="宋体"/>
          <w:color w:val="auto"/>
          <w:sz w:val="24"/>
          <w:szCs w:val="24"/>
          <w:shd w:val="clear" w:color="auto" w:fill="auto"/>
        </w:rPr>
        <w:t>、装饰</w:t>
      </w:r>
      <w:r>
        <w:rPr>
          <w:color w:val="auto"/>
          <w:shd w:val="clear" w:color="auto" w:fill="auto"/>
        </w:rPr>
        <w:fldChar w:fldCharType="begin"/>
      </w:r>
      <w:r>
        <w:rPr>
          <w:color w:val="auto"/>
          <w:shd w:val="clear" w:color="auto" w:fill="auto"/>
        </w:rPr>
        <w:instrText xml:space="preserve"> HYPERLINK "https://baike.baidu.com/item/%E7%8E%BB%E7%92%83/287" \t "https://baike.baidu.com/item/%E5%BB%BA%E7%AD%91%E6%9D%90%E6%96%99/_blank" </w:instrText>
      </w:r>
      <w:r>
        <w:rPr>
          <w:color w:val="auto"/>
          <w:shd w:val="clear" w:color="auto" w:fill="auto"/>
        </w:rPr>
        <w:fldChar w:fldCharType="separate"/>
      </w:r>
      <w:r>
        <w:rPr>
          <w:rFonts w:hAnsi="宋体"/>
          <w:color w:val="auto"/>
          <w:sz w:val="24"/>
          <w:szCs w:val="24"/>
          <w:shd w:val="clear" w:color="auto" w:fill="auto"/>
        </w:rPr>
        <w:t>玻璃</w:t>
      </w:r>
      <w:r>
        <w:rPr>
          <w:rFonts w:hAnsi="宋体"/>
          <w:color w:val="auto"/>
          <w:sz w:val="24"/>
          <w:szCs w:val="24"/>
          <w:shd w:val="clear" w:color="auto" w:fill="auto"/>
        </w:rPr>
        <w:fldChar w:fldCharType="end"/>
      </w:r>
      <w:r>
        <w:rPr>
          <w:rFonts w:hAnsi="宋体"/>
          <w:color w:val="auto"/>
          <w:sz w:val="24"/>
          <w:szCs w:val="24"/>
          <w:shd w:val="clear" w:color="auto" w:fill="auto"/>
        </w:rPr>
        <w:t>等装饰材料使用量；</w:t>
      </w:r>
    </w:p>
    <w:p>
      <w:pPr>
        <w:spacing w:line="360" w:lineRule="auto"/>
        <w:ind w:firstLine="480" w:firstLineChars="200"/>
        <w:rPr>
          <w:rFonts w:hint="eastAsia" w:hAnsi="宋体"/>
          <w:color w:val="auto"/>
          <w:sz w:val="24"/>
          <w:szCs w:val="24"/>
          <w:shd w:val="clear" w:color="auto" w:fill="auto"/>
        </w:rPr>
      </w:pPr>
      <w:r>
        <w:rPr>
          <w:color w:val="auto"/>
          <w:sz w:val="24"/>
          <w:szCs w:val="24"/>
          <w:shd w:val="clear" w:color="auto" w:fill="auto"/>
        </w:rPr>
        <w:t xml:space="preserve">4 </w:t>
      </w:r>
      <w:r>
        <w:rPr>
          <w:color w:val="auto"/>
          <w:shd w:val="clear" w:color="auto" w:fill="auto"/>
        </w:rPr>
        <w:fldChar w:fldCharType="begin"/>
      </w:r>
      <w:r>
        <w:rPr>
          <w:color w:val="auto"/>
          <w:shd w:val="clear" w:color="auto" w:fill="auto"/>
        </w:rPr>
        <w:instrText xml:space="preserve"> HYPERLINK "https://baike.baidu.com/item/%E9%98%B2%E6%B0%B4" \t "https://baike.baidu.com/item/%E5%BB%BA%E7%AD%91%E6%9D%90%E6%96%99/_blank" </w:instrText>
      </w:r>
      <w:r>
        <w:rPr>
          <w:color w:val="auto"/>
          <w:shd w:val="clear" w:color="auto" w:fill="auto"/>
        </w:rPr>
        <w:fldChar w:fldCharType="separate"/>
      </w:r>
      <w:r>
        <w:rPr>
          <w:rFonts w:hAnsi="宋体"/>
          <w:color w:val="auto"/>
          <w:sz w:val="24"/>
          <w:szCs w:val="24"/>
          <w:shd w:val="clear" w:color="auto" w:fill="auto"/>
        </w:rPr>
        <w:t>防水</w:t>
      </w:r>
      <w:r>
        <w:rPr>
          <w:rFonts w:hAnsi="宋体"/>
          <w:color w:val="auto"/>
          <w:sz w:val="24"/>
          <w:szCs w:val="24"/>
          <w:shd w:val="clear" w:color="auto" w:fill="auto"/>
        </w:rPr>
        <w:fldChar w:fldCharType="end"/>
      </w:r>
      <w:r>
        <w:rPr>
          <w:rFonts w:hAnsi="宋体"/>
          <w:color w:val="auto"/>
          <w:sz w:val="24"/>
          <w:szCs w:val="24"/>
          <w:shd w:val="clear" w:color="auto" w:fill="auto"/>
        </w:rPr>
        <w:t>、</w:t>
      </w:r>
      <w:r>
        <w:rPr>
          <w:color w:val="auto"/>
          <w:shd w:val="clear" w:color="auto" w:fill="auto"/>
        </w:rPr>
        <w:fldChar w:fldCharType="begin"/>
      </w:r>
      <w:r>
        <w:rPr>
          <w:color w:val="auto"/>
          <w:shd w:val="clear" w:color="auto" w:fill="auto"/>
        </w:rPr>
        <w:instrText xml:space="preserve"> HYPERLINK "https://baike.baidu.com/item/%E9%98%B2%E6%BD%AE" \t "https://baike.baidu.com/item/%E5%BB%BA%E7%AD%91%E6%9D%90%E6%96%99/_blank" </w:instrText>
      </w:r>
      <w:r>
        <w:rPr>
          <w:color w:val="auto"/>
          <w:shd w:val="clear" w:color="auto" w:fill="auto"/>
        </w:rPr>
        <w:fldChar w:fldCharType="separate"/>
      </w:r>
      <w:r>
        <w:rPr>
          <w:rFonts w:hAnsi="宋体"/>
          <w:color w:val="auto"/>
          <w:sz w:val="24"/>
          <w:szCs w:val="24"/>
          <w:shd w:val="clear" w:color="auto" w:fill="auto"/>
        </w:rPr>
        <w:t>防潮</w:t>
      </w:r>
      <w:r>
        <w:rPr>
          <w:rFonts w:hAnsi="宋体"/>
          <w:color w:val="auto"/>
          <w:sz w:val="24"/>
          <w:szCs w:val="24"/>
          <w:shd w:val="clear" w:color="auto" w:fill="auto"/>
        </w:rPr>
        <w:fldChar w:fldCharType="end"/>
      </w:r>
      <w:r>
        <w:rPr>
          <w:rFonts w:hAnsi="宋体"/>
          <w:color w:val="auto"/>
          <w:sz w:val="24"/>
          <w:szCs w:val="24"/>
          <w:shd w:val="clear" w:color="auto" w:fill="auto"/>
        </w:rPr>
        <w:t>、</w:t>
      </w:r>
      <w:r>
        <w:rPr>
          <w:color w:val="auto"/>
          <w:shd w:val="clear" w:color="auto" w:fill="auto"/>
        </w:rPr>
        <w:fldChar w:fldCharType="begin"/>
      </w:r>
      <w:r>
        <w:rPr>
          <w:color w:val="auto"/>
          <w:shd w:val="clear" w:color="auto" w:fill="auto"/>
        </w:rPr>
        <w:instrText xml:space="preserve"> HYPERLINK "https://baike.baidu.com/item/%E9%98%B2%E8%85%90/1271300" \t "https://baike.baidu.com/item/%E5%BB%BA%E7%AD%91%E6%9D%90%E6%96%99/_blank" </w:instrText>
      </w:r>
      <w:r>
        <w:rPr>
          <w:color w:val="auto"/>
          <w:shd w:val="clear" w:color="auto" w:fill="auto"/>
        </w:rPr>
        <w:fldChar w:fldCharType="separate"/>
      </w:r>
      <w:r>
        <w:rPr>
          <w:rFonts w:hAnsi="宋体"/>
          <w:color w:val="auto"/>
          <w:sz w:val="24"/>
          <w:szCs w:val="24"/>
          <w:shd w:val="clear" w:color="auto" w:fill="auto"/>
        </w:rPr>
        <w:t>防腐</w:t>
      </w:r>
      <w:r>
        <w:rPr>
          <w:rFonts w:hAnsi="宋体"/>
          <w:color w:val="auto"/>
          <w:sz w:val="24"/>
          <w:szCs w:val="24"/>
          <w:shd w:val="clear" w:color="auto" w:fill="auto"/>
        </w:rPr>
        <w:fldChar w:fldCharType="end"/>
      </w:r>
      <w:r>
        <w:rPr>
          <w:rFonts w:hAnsi="宋体"/>
          <w:color w:val="auto"/>
          <w:sz w:val="24"/>
          <w:szCs w:val="24"/>
          <w:shd w:val="clear" w:color="auto" w:fill="auto"/>
        </w:rPr>
        <w:t>、</w:t>
      </w:r>
      <w:r>
        <w:rPr>
          <w:color w:val="auto"/>
          <w:shd w:val="clear" w:color="auto" w:fill="auto"/>
        </w:rPr>
        <w:fldChar w:fldCharType="begin"/>
      </w:r>
      <w:r>
        <w:rPr>
          <w:color w:val="auto"/>
          <w:shd w:val="clear" w:color="auto" w:fill="auto"/>
        </w:rPr>
        <w:instrText xml:space="preserve"> HYPERLINK "https://baike.baidu.com/item/%E9%98%B2%E7%81%AB" \t "https://baike.baidu.com/item/%E5%BB%BA%E7%AD%91%E6%9D%90%E6%96%99/_blank" </w:instrText>
      </w:r>
      <w:r>
        <w:rPr>
          <w:color w:val="auto"/>
          <w:shd w:val="clear" w:color="auto" w:fill="auto"/>
        </w:rPr>
        <w:fldChar w:fldCharType="separate"/>
      </w:r>
      <w:r>
        <w:rPr>
          <w:rFonts w:hAnsi="宋体"/>
          <w:color w:val="auto"/>
          <w:sz w:val="24"/>
          <w:szCs w:val="24"/>
          <w:shd w:val="clear" w:color="auto" w:fill="auto"/>
        </w:rPr>
        <w:t>防火</w:t>
      </w:r>
      <w:r>
        <w:rPr>
          <w:rFonts w:hAnsi="宋体"/>
          <w:color w:val="auto"/>
          <w:sz w:val="24"/>
          <w:szCs w:val="24"/>
          <w:shd w:val="clear" w:color="auto" w:fill="auto"/>
        </w:rPr>
        <w:fldChar w:fldCharType="end"/>
      </w:r>
      <w:r>
        <w:rPr>
          <w:rFonts w:hAnsi="宋体"/>
          <w:color w:val="auto"/>
          <w:sz w:val="24"/>
          <w:szCs w:val="24"/>
          <w:shd w:val="clear" w:color="auto" w:fill="auto"/>
        </w:rPr>
        <w:t>、</w:t>
      </w:r>
      <w:r>
        <w:rPr>
          <w:color w:val="auto"/>
          <w:shd w:val="clear" w:color="auto" w:fill="auto"/>
        </w:rPr>
        <w:fldChar w:fldCharType="begin"/>
      </w:r>
      <w:r>
        <w:rPr>
          <w:color w:val="auto"/>
          <w:shd w:val="clear" w:color="auto" w:fill="auto"/>
        </w:rPr>
        <w:instrText xml:space="preserve"> HYPERLINK "https://baike.baidu.com/item/%E9%98%BB%E7%87%83" \t "https://baike.baidu.com/item/%E5%BB%BA%E7%AD%91%E6%9D%90%E6%96%99/_blank" </w:instrText>
      </w:r>
      <w:r>
        <w:rPr>
          <w:color w:val="auto"/>
          <w:shd w:val="clear" w:color="auto" w:fill="auto"/>
        </w:rPr>
        <w:fldChar w:fldCharType="separate"/>
      </w:r>
      <w:r>
        <w:rPr>
          <w:rFonts w:hAnsi="宋体"/>
          <w:color w:val="auto"/>
          <w:sz w:val="24"/>
          <w:szCs w:val="24"/>
          <w:shd w:val="clear" w:color="auto" w:fill="auto"/>
        </w:rPr>
        <w:t>阻燃</w:t>
      </w:r>
      <w:r>
        <w:rPr>
          <w:rFonts w:hAnsi="宋体"/>
          <w:color w:val="auto"/>
          <w:sz w:val="24"/>
          <w:szCs w:val="24"/>
          <w:shd w:val="clear" w:color="auto" w:fill="auto"/>
        </w:rPr>
        <w:fldChar w:fldCharType="end"/>
      </w:r>
      <w:r>
        <w:rPr>
          <w:rFonts w:hAnsi="宋体"/>
          <w:color w:val="auto"/>
          <w:sz w:val="24"/>
          <w:szCs w:val="24"/>
          <w:shd w:val="clear" w:color="auto" w:fill="auto"/>
        </w:rPr>
        <w:t>、</w:t>
      </w:r>
      <w:r>
        <w:rPr>
          <w:color w:val="auto"/>
          <w:shd w:val="clear" w:color="auto" w:fill="auto"/>
        </w:rPr>
        <w:fldChar w:fldCharType="begin"/>
      </w:r>
      <w:r>
        <w:rPr>
          <w:color w:val="auto"/>
          <w:shd w:val="clear" w:color="auto" w:fill="auto"/>
        </w:rPr>
        <w:instrText xml:space="preserve"> HYPERLINK "https://baike.baidu.com/item/%E9%9A%94%E9%9F%B3" \t "https://baike.baidu.com/item/%E5%BB%BA%E7%AD%91%E6%9D%90%E6%96%99/_blank" </w:instrText>
      </w:r>
      <w:r>
        <w:rPr>
          <w:color w:val="auto"/>
          <w:shd w:val="clear" w:color="auto" w:fill="auto"/>
        </w:rPr>
        <w:fldChar w:fldCharType="separate"/>
      </w:r>
      <w:r>
        <w:rPr>
          <w:rFonts w:hAnsi="宋体"/>
          <w:color w:val="auto"/>
          <w:sz w:val="24"/>
          <w:szCs w:val="24"/>
          <w:shd w:val="clear" w:color="auto" w:fill="auto"/>
        </w:rPr>
        <w:t>隔音</w:t>
      </w:r>
      <w:r>
        <w:rPr>
          <w:rFonts w:hAnsi="宋体"/>
          <w:color w:val="auto"/>
          <w:sz w:val="24"/>
          <w:szCs w:val="24"/>
          <w:shd w:val="clear" w:color="auto" w:fill="auto"/>
        </w:rPr>
        <w:fldChar w:fldCharType="end"/>
      </w:r>
      <w:r>
        <w:rPr>
          <w:rFonts w:hAnsi="宋体"/>
          <w:color w:val="auto"/>
          <w:sz w:val="24"/>
          <w:szCs w:val="24"/>
          <w:shd w:val="clear" w:color="auto" w:fill="auto"/>
        </w:rPr>
        <w:t>、</w:t>
      </w:r>
      <w:r>
        <w:rPr>
          <w:color w:val="auto"/>
          <w:shd w:val="clear" w:color="auto" w:fill="auto"/>
        </w:rPr>
        <w:fldChar w:fldCharType="begin"/>
      </w:r>
      <w:r>
        <w:rPr>
          <w:color w:val="auto"/>
          <w:shd w:val="clear" w:color="auto" w:fill="auto"/>
        </w:rPr>
        <w:instrText xml:space="preserve"> HYPERLINK "https://baike.baidu.com/item/%E9%9A%94%E7%83%AD" \t "https://baike.baidu.com/item/%E5%BB%BA%E7%AD%91%E6%9D%90%E6%96%99/_blank" </w:instrText>
      </w:r>
      <w:r>
        <w:rPr>
          <w:color w:val="auto"/>
          <w:shd w:val="clear" w:color="auto" w:fill="auto"/>
        </w:rPr>
        <w:fldChar w:fldCharType="separate"/>
      </w:r>
      <w:r>
        <w:rPr>
          <w:rFonts w:hAnsi="宋体"/>
          <w:color w:val="auto"/>
          <w:sz w:val="24"/>
          <w:szCs w:val="24"/>
          <w:shd w:val="clear" w:color="auto" w:fill="auto"/>
        </w:rPr>
        <w:t>隔热</w:t>
      </w:r>
      <w:r>
        <w:rPr>
          <w:rFonts w:hAnsi="宋体"/>
          <w:color w:val="auto"/>
          <w:sz w:val="24"/>
          <w:szCs w:val="24"/>
          <w:shd w:val="clear" w:color="auto" w:fill="auto"/>
        </w:rPr>
        <w:fldChar w:fldCharType="end"/>
      </w:r>
      <w:r>
        <w:rPr>
          <w:rFonts w:hAnsi="宋体"/>
          <w:color w:val="auto"/>
          <w:sz w:val="24"/>
          <w:szCs w:val="24"/>
          <w:shd w:val="clear" w:color="auto" w:fill="auto"/>
        </w:rPr>
        <w:t>、</w:t>
      </w:r>
      <w:r>
        <w:rPr>
          <w:color w:val="auto"/>
          <w:shd w:val="clear" w:color="auto" w:fill="auto"/>
        </w:rPr>
        <w:fldChar w:fldCharType="begin"/>
      </w:r>
      <w:r>
        <w:rPr>
          <w:color w:val="auto"/>
          <w:shd w:val="clear" w:color="auto" w:fill="auto"/>
        </w:rPr>
        <w:instrText xml:space="preserve"> HYPERLINK "https://baike.baidu.com/item/%E4%BF%9D%E6%B8%A9" \t "https://baike.baidu.com/item/%E5%BB%BA%E7%AD%91%E6%9D%90%E6%96%99/_blank" </w:instrText>
      </w:r>
      <w:r>
        <w:rPr>
          <w:color w:val="auto"/>
          <w:shd w:val="clear" w:color="auto" w:fill="auto"/>
        </w:rPr>
        <w:fldChar w:fldCharType="separate"/>
      </w:r>
      <w:r>
        <w:rPr>
          <w:rFonts w:hAnsi="宋体"/>
          <w:color w:val="auto"/>
          <w:sz w:val="24"/>
          <w:szCs w:val="24"/>
          <w:shd w:val="clear" w:color="auto" w:fill="auto"/>
        </w:rPr>
        <w:t>保温</w:t>
      </w:r>
      <w:r>
        <w:rPr>
          <w:rFonts w:hAnsi="宋体"/>
          <w:color w:val="auto"/>
          <w:sz w:val="24"/>
          <w:szCs w:val="24"/>
          <w:shd w:val="clear" w:color="auto" w:fill="auto"/>
        </w:rPr>
        <w:fldChar w:fldCharType="end"/>
      </w:r>
      <w:r>
        <w:rPr>
          <w:rFonts w:hAnsi="宋体"/>
          <w:color w:val="auto"/>
          <w:sz w:val="24"/>
          <w:szCs w:val="24"/>
          <w:shd w:val="clear" w:color="auto" w:fill="auto"/>
        </w:rPr>
        <w:t>、</w:t>
      </w:r>
      <w:r>
        <w:rPr>
          <w:color w:val="auto"/>
          <w:shd w:val="clear" w:color="auto" w:fill="auto"/>
        </w:rPr>
        <w:fldChar w:fldCharType="begin"/>
      </w:r>
      <w:r>
        <w:rPr>
          <w:color w:val="auto"/>
          <w:shd w:val="clear" w:color="auto" w:fill="auto"/>
        </w:rPr>
        <w:instrText xml:space="preserve"> HYPERLINK "https://baike.baidu.com/item/%E5%AF%86%E5%B0%81" \t "https://baike.baidu.com/item/%E5%BB%BA%E7%AD%91%E6%9D%90%E6%96%99/_blank" </w:instrText>
      </w:r>
      <w:r>
        <w:rPr>
          <w:color w:val="auto"/>
          <w:shd w:val="clear" w:color="auto" w:fill="auto"/>
        </w:rPr>
        <w:fldChar w:fldCharType="separate"/>
      </w:r>
      <w:r>
        <w:rPr>
          <w:rFonts w:hAnsi="宋体"/>
          <w:color w:val="auto"/>
          <w:sz w:val="24"/>
          <w:szCs w:val="24"/>
          <w:shd w:val="clear" w:color="auto" w:fill="auto"/>
        </w:rPr>
        <w:t>密封</w:t>
      </w:r>
      <w:r>
        <w:rPr>
          <w:rFonts w:hAnsi="宋体"/>
          <w:color w:val="auto"/>
          <w:sz w:val="24"/>
          <w:szCs w:val="24"/>
          <w:shd w:val="clear" w:color="auto" w:fill="auto"/>
        </w:rPr>
        <w:fldChar w:fldCharType="end"/>
      </w:r>
      <w:r>
        <w:rPr>
          <w:rFonts w:hAnsi="宋体"/>
          <w:color w:val="auto"/>
          <w:sz w:val="24"/>
          <w:szCs w:val="24"/>
          <w:shd w:val="clear" w:color="auto" w:fill="auto"/>
        </w:rPr>
        <w:t>等专用材料使用量，提供民用建筑材料使用水平和节材的相关业务数据。</w:t>
      </w:r>
    </w:p>
    <w:p>
      <w:pPr>
        <w:spacing w:line="360" w:lineRule="auto"/>
        <w:rPr>
          <w:rFonts w:hint="eastAsia"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民用建筑建材数据的掌握对于制定建筑领域碳达峰、碳中和的发展政策息息相关。和水泥、 玻璃、卫生陶瓷、钢材等比较，</w:t>
      </w:r>
      <w:r>
        <w:rPr>
          <w:rFonts w:eastAsia="楷体" w:cstheme="minorBidi"/>
          <w:color w:val="auto"/>
          <w:kern w:val="2"/>
          <w:sz w:val="24"/>
          <w:szCs w:val="20"/>
          <w:shd w:val="clear" w:color="auto" w:fill="auto"/>
        </w:rPr>
        <w:t>铝材</w:t>
      </w:r>
      <w:r>
        <w:rPr>
          <w:rFonts w:hint="eastAsia" w:eastAsia="楷体" w:cstheme="minorBidi"/>
          <w:color w:val="auto"/>
          <w:kern w:val="2"/>
          <w:sz w:val="24"/>
          <w:szCs w:val="20"/>
          <w:shd w:val="clear" w:color="auto" w:fill="auto"/>
        </w:rPr>
        <w:t>在民用建筑领域内的整体</w:t>
      </w:r>
      <w:r>
        <w:rPr>
          <w:rFonts w:eastAsia="楷体" w:cstheme="minorBidi"/>
          <w:color w:val="auto"/>
          <w:kern w:val="2"/>
          <w:sz w:val="24"/>
          <w:szCs w:val="20"/>
          <w:shd w:val="clear" w:color="auto" w:fill="auto"/>
        </w:rPr>
        <w:t>消耗较少，可</w:t>
      </w:r>
      <w:r>
        <w:rPr>
          <w:rFonts w:hint="eastAsia" w:eastAsia="楷体" w:cstheme="minorBidi"/>
          <w:color w:val="auto"/>
          <w:kern w:val="2"/>
          <w:sz w:val="24"/>
          <w:szCs w:val="20"/>
          <w:shd w:val="clear" w:color="auto" w:fill="auto"/>
        </w:rPr>
        <w:t>不作为</w:t>
      </w:r>
      <w:r>
        <w:rPr>
          <w:rFonts w:eastAsia="楷体" w:cstheme="minorBidi"/>
          <w:color w:val="auto"/>
          <w:kern w:val="2"/>
          <w:sz w:val="24"/>
          <w:szCs w:val="20"/>
          <w:shd w:val="clear" w:color="auto" w:fill="auto"/>
        </w:rPr>
        <w:t>主要建筑材料</w:t>
      </w:r>
      <w:r>
        <w:rPr>
          <w:rFonts w:hint="eastAsia" w:eastAsia="楷体" w:cstheme="minorBidi"/>
          <w:color w:val="auto"/>
          <w:kern w:val="2"/>
          <w:sz w:val="24"/>
          <w:szCs w:val="20"/>
          <w:shd w:val="clear" w:color="auto" w:fill="auto"/>
        </w:rPr>
        <w:t>。</w:t>
      </w:r>
      <w:r>
        <w:rPr>
          <w:rFonts w:eastAsia="楷体" w:cstheme="minorBidi"/>
          <w:color w:val="auto"/>
          <w:kern w:val="2"/>
          <w:sz w:val="24"/>
          <w:szCs w:val="20"/>
          <w:shd w:val="clear" w:color="auto" w:fill="auto"/>
        </w:rPr>
        <w:t>木材虽在《中国建筑业统计年鉴》中作为主要建筑材料，但其在整个民用建筑建造能耗中的占比较小，也可</w:t>
      </w:r>
      <w:r>
        <w:rPr>
          <w:rFonts w:hint="eastAsia" w:eastAsia="楷体" w:cstheme="minorBidi"/>
          <w:color w:val="auto"/>
          <w:kern w:val="2"/>
          <w:sz w:val="24"/>
          <w:szCs w:val="20"/>
          <w:shd w:val="clear" w:color="auto" w:fill="auto"/>
        </w:rPr>
        <w:t>不作为</w:t>
      </w:r>
      <w:r>
        <w:rPr>
          <w:rFonts w:eastAsia="楷体" w:cstheme="minorBidi"/>
          <w:color w:val="auto"/>
          <w:kern w:val="2"/>
          <w:sz w:val="24"/>
          <w:szCs w:val="20"/>
          <w:shd w:val="clear" w:color="auto" w:fill="auto"/>
        </w:rPr>
        <w:t>主要建筑材料。因此</w:t>
      </w:r>
      <w:r>
        <w:rPr>
          <w:rFonts w:hint="eastAsia" w:eastAsia="楷体" w:cstheme="minorBidi"/>
          <w:color w:val="auto"/>
          <w:kern w:val="2"/>
          <w:sz w:val="24"/>
          <w:szCs w:val="20"/>
          <w:shd w:val="clear" w:color="auto" w:fill="auto"/>
        </w:rPr>
        <w:t>，</w:t>
      </w:r>
      <w:r>
        <w:rPr>
          <w:rFonts w:eastAsia="楷体" w:cstheme="minorBidi"/>
          <w:color w:val="auto"/>
          <w:kern w:val="2"/>
          <w:sz w:val="24"/>
          <w:szCs w:val="20"/>
          <w:shd w:val="clear" w:color="auto" w:fill="auto"/>
        </w:rPr>
        <w:t>民用建筑</w:t>
      </w:r>
      <w:r>
        <w:rPr>
          <w:rFonts w:hint="eastAsia" w:eastAsia="楷体" w:cstheme="minorBidi"/>
          <w:color w:val="auto"/>
          <w:kern w:val="2"/>
          <w:sz w:val="24"/>
          <w:szCs w:val="20"/>
          <w:shd w:val="clear" w:color="auto" w:fill="auto"/>
        </w:rPr>
        <w:t>主要</w:t>
      </w:r>
      <w:r>
        <w:rPr>
          <w:rFonts w:eastAsia="楷体" w:cstheme="minorBidi"/>
          <w:color w:val="auto"/>
          <w:kern w:val="2"/>
          <w:sz w:val="24"/>
          <w:szCs w:val="20"/>
          <w:shd w:val="clear" w:color="auto" w:fill="auto"/>
        </w:rPr>
        <w:t>建筑材料采集包含钢材、水泥、平板玻璃和建筑陶瓷四大类。</w:t>
      </w:r>
    </w:p>
    <w:p>
      <w:pPr>
        <w:spacing w:line="360" w:lineRule="auto"/>
        <w:ind w:firstLine="480" w:firstLineChars="200"/>
        <w:rPr>
          <w:rFonts w:eastAsia="楷体" w:cstheme="minorBidi"/>
          <w:color w:val="auto"/>
          <w:kern w:val="2"/>
          <w:sz w:val="24"/>
          <w:szCs w:val="20"/>
          <w:shd w:val="clear" w:color="auto" w:fill="auto"/>
        </w:rPr>
      </w:pPr>
      <w:r>
        <w:rPr>
          <w:rFonts w:hint="eastAsia" w:eastAsia="楷体" w:cstheme="minorBidi"/>
          <w:color w:val="auto"/>
          <w:kern w:val="2"/>
          <w:sz w:val="24"/>
          <w:szCs w:val="20"/>
          <w:shd w:val="clear" w:color="auto" w:fill="auto"/>
        </w:rPr>
        <w:t>建筑用材指标包含建材用量和建材能耗两大部分内容。</w:t>
      </w:r>
      <w:r>
        <w:rPr>
          <w:rFonts w:eastAsia="楷体" w:cstheme="minorBidi"/>
          <w:color w:val="auto"/>
          <w:kern w:val="2"/>
          <w:sz w:val="24"/>
          <w:szCs w:val="20"/>
          <w:shd w:val="clear" w:color="auto" w:fill="auto"/>
        </w:rPr>
        <w:t>与民用建筑用材相关的能耗指包括建材生产阶段能耗和建材运输阶段能耗。大部分建筑材料产品颁布实施了单位产品能耗限额标准，建材生产阶段能耗的计算以民用建筑建材用量为基础可以进行计算。建筑</w:t>
      </w:r>
      <w:r>
        <w:rPr>
          <w:rFonts w:hint="eastAsia" w:eastAsia="楷体" w:cstheme="minorBidi"/>
          <w:color w:val="auto"/>
          <w:kern w:val="2"/>
          <w:sz w:val="24"/>
          <w:szCs w:val="20"/>
          <w:shd w:val="clear" w:color="auto" w:fill="auto"/>
        </w:rPr>
        <w:t>用材</w:t>
      </w:r>
      <w:r>
        <w:rPr>
          <w:rFonts w:eastAsia="楷体" w:cstheme="minorBidi"/>
          <w:color w:val="auto"/>
          <w:kern w:val="2"/>
          <w:sz w:val="24"/>
          <w:szCs w:val="20"/>
          <w:shd w:val="clear" w:color="auto" w:fill="auto"/>
        </w:rPr>
        <w:t>关键指标的</w:t>
      </w:r>
      <w:r>
        <w:rPr>
          <w:rFonts w:hint="eastAsia" w:eastAsia="楷体" w:cstheme="minorBidi"/>
          <w:color w:val="auto"/>
          <w:kern w:val="2"/>
          <w:sz w:val="24"/>
          <w:szCs w:val="20"/>
          <w:shd w:val="clear" w:color="auto" w:fill="auto"/>
        </w:rPr>
        <w:t>解释</w:t>
      </w:r>
      <w:r>
        <w:rPr>
          <w:rFonts w:eastAsia="楷体" w:cstheme="minorBidi"/>
          <w:color w:val="auto"/>
          <w:kern w:val="2"/>
          <w:sz w:val="24"/>
          <w:szCs w:val="20"/>
          <w:shd w:val="clear" w:color="auto" w:fill="auto"/>
        </w:rPr>
        <w:t>和定义正在编制中国工程建设标准协会</w:t>
      </w:r>
      <w:r>
        <w:rPr>
          <w:rFonts w:hint="eastAsia" w:eastAsia="楷体" w:cstheme="minorBidi"/>
          <w:color w:val="auto"/>
          <w:kern w:val="2"/>
          <w:sz w:val="24"/>
          <w:szCs w:val="20"/>
          <w:shd w:val="clear" w:color="auto" w:fill="auto"/>
        </w:rPr>
        <w:t>《民用建筑数据术语标准》。</w:t>
      </w:r>
    </w:p>
    <w:p>
      <w:pPr>
        <w:spacing w:line="360" w:lineRule="auto"/>
        <w:rPr>
          <w:color w:val="auto"/>
          <w:kern w:val="2"/>
          <w:sz w:val="24"/>
          <w:szCs w:val="20"/>
          <w:shd w:val="clear" w:color="auto" w:fill="auto"/>
        </w:rPr>
      </w:pPr>
      <w:r>
        <w:rPr>
          <w:b/>
          <w:bCs/>
          <w:color w:val="auto"/>
          <w:sz w:val="24"/>
          <w:szCs w:val="24"/>
          <w:shd w:val="clear" w:color="auto" w:fill="auto"/>
        </w:rPr>
        <w:t>4.3.5</w:t>
      </w:r>
      <w:r>
        <w:rPr>
          <w:rFonts w:hAnsi="宋体"/>
          <w:color w:val="auto"/>
          <w:sz w:val="24"/>
          <w:szCs w:val="24"/>
          <w:shd w:val="clear" w:color="auto" w:fill="auto"/>
        </w:rPr>
        <w:t>民用建筑用水数据可包括：</w:t>
      </w:r>
    </w:p>
    <w:p>
      <w:pPr>
        <w:spacing w:line="360" w:lineRule="auto"/>
        <w:ind w:firstLine="480" w:firstLineChars="200"/>
        <w:rPr>
          <w:color w:val="auto"/>
          <w:kern w:val="2"/>
          <w:sz w:val="24"/>
          <w:szCs w:val="20"/>
          <w:shd w:val="clear" w:color="auto" w:fill="auto"/>
        </w:rPr>
      </w:pPr>
      <w:r>
        <w:rPr>
          <w:color w:val="auto"/>
          <w:kern w:val="2"/>
          <w:sz w:val="24"/>
          <w:szCs w:val="20"/>
          <w:shd w:val="clear" w:color="auto" w:fill="auto"/>
        </w:rPr>
        <w:t xml:space="preserve">1 </w:t>
      </w:r>
      <w:r>
        <w:rPr>
          <w:rFonts w:hint="eastAsia" w:hAnsi="宋体"/>
          <w:color w:val="auto"/>
          <w:kern w:val="2"/>
          <w:sz w:val="24"/>
          <w:szCs w:val="20"/>
          <w:shd w:val="clear" w:color="auto" w:fill="auto"/>
        </w:rPr>
        <w:t>水泥、玻璃、卫生陶瓷、钢材</w:t>
      </w:r>
      <w:r>
        <w:rPr>
          <w:rFonts w:hAnsi="宋体"/>
          <w:color w:val="auto"/>
          <w:kern w:val="2"/>
          <w:sz w:val="24"/>
          <w:szCs w:val="20"/>
          <w:shd w:val="clear" w:color="auto" w:fill="auto"/>
        </w:rPr>
        <w:t>等主要建筑材料生产阶段用水量；</w:t>
      </w:r>
    </w:p>
    <w:p>
      <w:pPr>
        <w:spacing w:line="360" w:lineRule="auto"/>
        <w:ind w:firstLine="480" w:firstLineChars="200"/>
        <w:rPr>
          <w:color w:val="auto"/>
          <w:kern w:val="2"/>
          <w:sz w:val="24"/>
          <w:szCs w:val="20"/>
          <w:shd w:val="clear" w:color="auto" w:fill="auto"/>
        </w:rPr>
      </w:pPr>
      <w:r>
        <w:rPr>
          <w:color w:val="auto"/>
          <w:kern w:val="2"/>
          <w:sz w:val="24"/>
          <w:szCs w:val="20"/>
          <w:shd w:val="clear" w:color="auto" w:fill="auto"/>
        </w:rPr>
        <w:t xml:space="preserve">2 </w:t>
      </w:r>
      <w:r>
        <w:rPr>
          <w:rFonts w:hAnsi="宋体"/>
          <w:color w:val="auto"/>
          <w:kern w:val="2"/>
          <w:sz w:val="24"/>
          <w:szCs w:val="20"/>
          <w:shd w:val="clear" w:color="auto" w:fill="auto"/>
        </w:rPr>
        <w:t>建筑建造和施工阶段用水量；</w:t>
      </w:r>
    </w:p>
    <w:p>
      <w:pPr>
        <w:spacing w:line="360" w:lineRule="auto"/>
        <w:ind w:firstLine="480" w:firstLineChars="200"/>
        <w:rPr>
          <w:rFonts w:hint="eastAsia" w:hAnsi="宋体"/>
          <w:color w:val="auto"/>
          <w:sz w:val="24"/>
          <w:szCs w:val="24"/>
          <w:shd w:val="clear" w:color="auto" w:fill="auto"/>
        </w:rPr>
      </w:pPr>
      <w:r>
        <w:rPr>
          <w:color w:val="auto"/>
          <w:kern w:val="2"/>
          <w:sz w:val="24"/>
          <w:szCs w:val="20"/>
          <w:shd w:val="clear" w:color="auto" w:fill="auto"/>
        </w:rPr>
        <w:t xml:space="preserve">3 </w:t>
      </w:r>
      <w:r>
        <w:rPr>
          <w:rFonts w:hAnsi="宋体"/>
          <w:color w:val="auto"/>
          <w:sz w:val="24"/>
          <w:szCs w:val="24"/>
          <w:shd w:val="clear" w:color="auto" w:fill="auto"/>
        </w:rPr>
        <w:t>居住建筑和公共建筑运行使用过程用水量、居民生活用水和公共服务用水量，以及建筑运行用水总量等，提供民用建筑用水水平和节水的相关业务数据。</w:t>
      </w:r>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建筑用水关键指标主要包含水泥、玻璃、卫生陶瓷等主要建材生产用水量、建筑</w:t>
      </w:r>
      <w:r>
        <w:rPr>
          <w:rFonts w:eastAsia="楷体" w:cstheme="minorBidi"/>
          <w:color w:val="auto"/>
          <w:kern w:val="2"/>
          <w:sz w:val="24"/>
          <w:szCs w:val="20"/>
          <w:shd w:val="clear" w:color="auto" w:fill="auto"/>
        </w:rPr>
        <w:t>建造和施工阶段用水量以及</w:t>
      </w:r>
      <w:r>
        <w:rPr>
          <w:rFonts w:hint="eastAsia" w:eastAsia="楷体" w:cstheme="minorBidi"/>
          <w:color w:val="auto"/>
          <w:kern w:val="2"/>
          <w:sz w:val="24"/>
          <w:szCs w:val="20"/>
          <w:shd w:val="clear" w:color="auto" w:fill="auto"/>
        </w:rPr>
        <w:t>其他</w:t>
      </w:r>
      <w:r>
        <w:rPr>
          <w:rFonts w:eastAsia="楷体" w:cstheme="minorBidi"/>
          <w:color w:val="auto"/>
          <w:kern w:val="2"/>
          <w:sz w:val="24"/>
          <w:szCs w:val="20"/>
          <w:shd w:val="clear" w:color="auto" w:fill="auto"/>
        </w:rPr>
        <w:t>用水总量指标。建筑</w:t>
      </w:r>
      <w:r>
        <w:rPr>
          <w:rFonts w:hint="eastAsia" w:eastAsia="楷体" w:cstheme="minorBidi"/>
          <w:color w:val="auto"/>
          <w:kern w:val="2"/>
          <w:sz w:val="24"/>
          <w:szCs w:val="20"/>
          <w:shd w:val="clear" w:color="auto" w:fill="auto"/>
        </w:rPr>
        <w:t>用水</w:t>
      </w:r>
      <w:r>
        <w:rPr>
          <w:rFonts w:eastAsia="楷体" w:cstheme="minorBidi"/>
          <w:color w:val="auto"/>
          <w:kern w:val="2"/>
          <w:sz w:val="24"/>
          <w:szCs w:val="20"/>
          <w:shd w:val="clear" w:color="auto" w:fill="auto"/>
        </w:rPr>
        <w:t>关键指标的</w:t>
      </w:r>
      <w:r>
        <w:rPr>
          <w:rFonts w:hint="eastAsia" w:eastAsia="楷体" w:cstheme="minorBidi"/>
          <w:color w:val="auto"/>
          <w:kern w:val="2"/>
          <w:sz w:val="24"/>
          <w:szCs w:val="20"/>
          <w:shd w:val="clear" w:color="auto" w:fill="auto"/>
        </w:rPr>
        <w:t>解释</w:t>
      </w:r>
      <w:r>
        <w:rPr>
          <w:rFonts w:eastAsia="楷体" w:cstheme="minorBidi"/>
          <w:color w:val="auto"/>
          <w:kern w:val="2"/>
          <w:sz w:val="24"/>
          <w:szCs w:val="20"/>
          <w:shd w:val="clear" w:color="auto" w:fill="auto"/>
        </w:rPr>
        <w:t>和定义正在编制中国工程建设标准协会</w:t>
      </w:r>
      <w:r>
        <w:rPr>
          <w:rFonts w:hint="eastAsia" w:eastAsia="楷体" w:cstheme="minorBidi"/>
          <w:color w:val="auto"/>
          <w:kern w:val="2"/>
          <w:sz w:val="24"/>
          <w:szCs w:val="20"/>
          <w:shd w:val="clear" w:color="auto" w:fill="auto"/>
        </w:rPr>
        <w:t>《民用建筑数据术语标准》。</w:t>
      </w:r>
    </w:p>
    <w:p>
      <w:pPr>
        <w:spacing w:line="360" w:lineRule="auto"/>
        <w:rPr>
          <w:color w:val="auto"/>
          <w:sz w:val="24"/>
          <w:szCs w:val="24"/>
          <w:shd w:val="clear" w:color="auto" w:fill="auto"/>
        </w:rPr>
      </w:pPr>
      <w:r>
        <w:rPr>
          <w:b/>
          <w:bCs/>
          <w:color w:val="auto"/>
          <w:sz w:val="24"/>
          <w:szCs w:val="24"/>
          <w:shd w:val="clear" w:color="auto" w:fill="auto"/>
        </w:rPr>
        <w:t>4.3.6</w:t>
      </w:r>
      <w:r>
        <w:rPr>
          <w:rFonts w:hAnsi="宋体"/>
          <w:color w:val="auto"/>
          <w:sz w:val="24"/>
          <w:szCs w:val="24"/>
          <w:shd w:val="clear" w:color="auto" w:fill="auto"/>
        </w:rPr>
        <w:t>民用建筑环境保护数据可包括：</w:t>
      </w:r>
    </w:p>
    <w:p>
      <w:pPr>
        <w:spacing w:line="360" w:lineRule="auto"/>
        <w:ind w:firstLine="465"/>
        <w:rPr>
          <w:color w:val="auto"/>
          <w:sz w:val="24"/>
          <w:szCs w:val="24"/>
          <w:shd w:val="clear" w:color="auto" w:fill="auto"/>
        </w:rPr>
      </w:pPr>
      <w:r>
        <w:rPr>
          <w:color w:val="auto"/>
          <w:sz w:val="24"/>
          <w:szCs w:val="24"/>
          <w:shd w:val="clear" w:color="auto" w:fill="auto"/>
        </w:rPr>
        <w:t xml:space="preserve">1 </w:t>
      </w:r>
      <w:r>
        <w:rPr>
          <w:rFonts w:hAnsi="宋体"/>
          <w:color w:val="auto"/>
          <w:sz w:val="24"/>
          <w:szCs w:val="24"/>
          <w:shd w:val="clear" w:color="auto" w:fill="auto"/>
        </w:rPr>
        <w:t>建材生产、建材运输、建造施工和建筑运行等生命周期阶段温室气体排放量及总量；</w:t>
      </w:r>
    </w:p>
    <w:p>
      <w:pPr>
        <w:spacing w:line="360" w:lineRule="auto"/>
        <w:ind w:firstLine="465"/>
        <w:rPr>
          <w:color w:val="auto"/>
          <w:sz w:val="24"/>
          <w:szCs w:val="24"/>
          <w:shd w:val="clear" w:color="auto" w:fill="auto"/>
        </w:rPr>
      </w:pPr>
      <w:r>
        <w:rPr>
          <w:color w:val="auto"/>
          <w:sz w:val="24"/>
          <w:szCs w:val="24"/>
          <w:shd w:val="clear" w:color="auto" w:fill="auto"/>
        </w:rPr>
        <w:t xml:space="preserve">2 </w:t>
      </w:r>
      <w:r>
        <w:rPr>
          <w:rFonts w:hAnsi="宋体"/>
          <w:color w:val="auto"/>
          <w:sz w:val="24"/>
          <w:szCs w:val="24"/>
          <w:shd w:val="clear" w:color="auto" w:fill="auto"/>
        </w:rPr>
        <w:t>建材生产、建材运输、建造施工和建筑运行等全生命周期阶段</w:t>
      </w:r>
      <w:bookmarkStart w:id="20" w:name="_Toc56005103"/>
      <w:bookmarkStart w:id="21" w:name="_Toc57885471"/>
      <w:r>
        <w:rPr>
          <w:rFonts w:hAnsi="宋体"/>
          <w:color w:val="auto"/>
          <w:sz w:val="24"/>
          <w:szCs w:val="24"/>
          <w:shd w:val="clear" w:color="auto" w:fill="auto"/>
        </w:rPr>
        <w:t>氮氧化物</w:t>
      </w:r>
      <w:r>
        <w:rPr>
          <w:color w:val="auto"/>
          <w:sz w:val="24"/>
          <w:szCs w:val="24"/>
          <w:shd w:val="clear" w:color="auto" w:fill="auto"/>
        </w:rPr>
        <w:t>NOx</w:t>
      </w:r>
      <w:r>
        <w:rPr>
          <w:rFonts w:hAnsi="宋体"/>
          <w:color w:val="auto"/>
          <w:sz w:val="24"/>
          <w:szCs w:val="24"/>
          <w:shd w:val="clear" w:color="auto" w:fill="auto"/>
        </w:rPr>
        <w:t>排放量</w:t>
      </w:r>
      <w:bookmarkEnd w:id="20"/>
      <w:bookmarkEnd w:id="21"/>
      <w:r>
        <w:rPr>
          <w:rFonts w:hAnsi="宋体"/>
          <w:color w:val="auto"/>
          <w:sz w:val="24"/>
          <w:szCs w:val="24"/>
          <w:shd w:val="clear" w:color="auto" w:fill="auto"/>
        </w:rPr>
        <w:t>及总量；</w:t>
      </w:r>
    </w:p>
    <w:p>
      <w:pPr>
        <w:spacing w:line="360" w:lineRule="auto"/>
        <w:ind w:firstLine="465"/>
        <w:rPr>
          <w:color w:val="auto"/>
          <w:sz w:val="24"/>
          <w:szCs w:val="24"/>
          <w:shd w:val="clear" w:color="auto" w:fill="auto"/>
        </w:rPr>
      </w:pPr>
      <w:r>
        <w:rPr>
          <w:color w:val="auto"/>
          <w:sz w:val="24"/>
          <w:szCs w:val="24"/>
          <w:shd w:val="clear" w:color="auto" w:fill="auto"/>
        </w:rPr>
        <w:t xml:space="preserve">3 </w:t>
      </w:r>
      <w:r>
        <w:rPr>
          <w:rFonts w:hAnsi="宋体"/>
          <w:color w:val="auto"/>
          <w:sz w:val="24"/>
          <w:szCs w:val="24"/>
          <w:shd w:val="clear" w:color="auto" w:fill="auto"/>
        </w:rPr>
        <w:t>建材生产、建材运输、建造施工和建筑运行等全生命周期阶段</w:t>
      </w:r>
      <w:bookmarkStart w:id="22" w:name="_Toc56005109"/>
      <w:bookmarkStart w:id="23" w:name="_Toc57885472"/>
      <w:r>
        <w:rPr>
          <w:rFonts w:hAnsi="宋体"/>
          <w:color w:val="auto"/>
          <w:sz w:val="24"/>
          <w:szCs w:val="24"/>
          <w:shd w:val="clear" w:color="auto" w:fill="auto"/>
        </w:rPr>
        <w:t>二氧化硫</w:t>
      </w:r>
      <w:r>
        <w:rPr>
          <w:color w:val="auto"/>
          <w:sz w:val="24"/>
          <w:szCs w:val="24"/>
          <w:shd w:val="clear" w:color="auto" w:fill="auto"/>
        </w:rPr>
        <w:t>SO2</w:t>
      </w:r>
      <w:r>
        <w:rPr>
          <w:rFonts w:hAnsi="宋体"/>
          <w:color w:val="auto"/>
          <w:sz w:val="24"/>
          <w:szCs w:val="24"/>
          <w:shd w:val="clear" w:color="auto" w:fill="auto"/>
        </w:rPr>
        <w:t>排放量</w:t>
      </w:r>
      <w:bookmarkEnd w:id="22"/>
      <w:bookmarkEnd w:id="23"/>
      <w:r>
        <w:rPr>
          <w:rFonts w:hAnsi="宋体"/>
          <w:color w:val="auto"/>
          <w:sz w:val="24"/>
          <w:szCs w:val="24"/>
          <w:shd w:val="clear" w:color="auto" w:fill="auto"/>
        </w:rPr>
        <w:t>及总量；</w:t>
      </w:r>
    </w:p>
    <w:p>
      <w:pPr>
        <w:spacing w:line="360" w:lineRule="auto"/>
        <w:ind w:firstLine="465"/>
        <w:rPr>
          <w:rFonts w:hint="eastAsia" w:hAnsi="宋体"/>
          <w:color w:val="auto"/>
          <w:sz w:val="24"/>
          <w:szCs w:val="24"/>
          <w:shd w:val="clear" w:color="auto" w:fill="auto"/>
        </w:rPr>
      </w:pPr>
      <w:r>
        <w:rPr>
          <w:color w:val="auto"/>
          <w:sz w:val="24"/>
          <w:szCs w:val="24"/>
          <w:shd w:val="clear" w:color="auto" w:fill="auto"/>
        </w:rPr>
        <w:t>4</w:t>
      </w:r>
      <w:r>
        <w:rPr>
          <w:rFonts w:hAnsi="宋体"/>
          <w:color w:val="auto"/>
          <w:sz w:val="24"/>
          <w:szCs w:val="24"/>
          <w:shd w:val="clear" w:color="auto" w:fill="auto"/>
        </w:rPr>
        <w:t>建材生产、建材运输、建造施工和建筑运行等全生命周期阶段颗粒物排放量及总量，提供民用建筑碳排放等污染物排放水平和环境保护相关业务数据。</w:t>
      </w:r>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建筑环境保护指标主要包括</w:t>
      </w:r>
      <w:r>
        <w:rPr>
          <w:rFonts w:eastAsia="楷体" w:cstheme="minorBidi"/>
          <w:color w:val="auto"/>
          <w:kern w:val="2"/>
          <w:sz w:val="24"/>
          <w:szCs w:val="20"/>
          <w:shd w:val="clear" w:color="auto" w:fill="auto"/>
        </w:rPr>
        <w:t>建材生产、建材运输、建造施工和建筑运行等生命周期阶段</w:t>
      </w:r>
      <w:r>
        <w:rPr>
          <w:rFonts w:hint="eastAsia" w:eastAsia="楷体" w:cstheme="minorBidi"/>
          <w:color w:val="auto"/>
          <w:kern w:val="2"/>
          <w:sz w:val="24"/>
          <w:szCs w:val="20"/>
          <w:shd w:val="clear" w:color="auto" w:fill="auto"/>
        </w:rPr>
        <w:t>碳排放、</w:t>
      </w:r>
      <w:r>
        <w:rPr>
          <w:rFonts w:eastAsia="楷体" w:cstheme="minorBidi"/>
          <w:color w:val="auto"/>
          <w:kern w:val="2"/>
          <w:sz w:val="24"/>
          <w:szCs w:val="20"/>
          <w:shd w:val="clear" w:color="auto" w:fill="auto"/>
        </w:rPr>
        <w:t>氮氧化物Nox</w:t>
      </w:r>
      <w:r>
        <w:rPr>
          <w:rFonts w:hint="eastAsia" w:eastAsia="楷体" w:cstheme="minorBidi"/>
          <w:color w:val="auto"/>
          <w:kern w:val="2"/>
          <w:sz w:val="24"/>
          <w:szCs w:val="20"/>
          <w:shd w:val="clear" w:color="auto" w:fill="auto"/>
        </w:rPr>
        <w:t>、</w:t>
      </w:r>
      <w:r>
        <w:rPr>
          <w:rFonts w:eastAsia="楷体" w:cstheme="minorBidi"/>
          <w:color w:val="auto"/>
          <w:kern w:val="2"/>
          <w:sz w:val="24"/>
          <w:szCs w:val="20"/>
          <w:shd w:val="clear" w:color="auto" w:fill="auto"/>
        </w:rPr>
        <w:t>二氧化硫SO2颗粒物等排放量及总量</w:t>
      </w:r>
      <w:r>
        <w:rPr>
          <w:rFonts w:hint="eastAsia" w:eastAsia="楷体" w:cstheme="minorBidi"/>
          <w:color w:val="auto"/>
          <w:kern w:val="2"/>
          <w:sz w:val="24"/>
          <w:szCs w:val="20"/>
          <w:shd w:val="clear" w:color="auto" w:fill="auto"/>
        </w:rPr>
        <w:t>指标。</w:t>
      </w:r>
      <w:r>
        <w:rPr>
          <w:rFonts w:eastAsia="楷体" w:cstheme="minorBidi"/>
          <w:color w:val="auto"/>
          <w:kern w:val="2"/>
          <w:sz w:val="24"/>
          <w:szCs w:val="20"/>
          <w:shd w:val="clear" w:color="auto" w:fill="auto"/>
        </w:rPr>
        <w:t>在建筑领域碳达峰和碳中和的总体目标下</w:t>
      </w:r>
      <w:r>
        <w:rPr>
          <w:rFonts w:hint="eastAsia" w:eastAsia="楷体" w:cstheme="minorBidi"/>
          <w:color w:val="auto"/>
          <w:kern w:val="2"/>
          <w:sz w:val="24"/>
          <w:szCs w:val="20"/>
          <w:shd w:val="clear" w:color="auto" w:fill="auto"/>
        </w:rPr>
        <w:t>，</w:t>
      </w:r>
      <w:r>
        <w:rPr>
          <w:rFonts w:eastAsia="楷体" w:cstheme="minorBidi"/>
          <w:color w:val="auto"/>
          <w:kern w:val="2"/>
          <w:sz w:val="24"/>
          <w:szCs w:val="20"/>
          <w:shd w:val="clear" w:color="auto" w:fill="auto"/>
        </w:rPr>
        <w:t>有关碳排放的关键数据指标非常重要</w:t>
      </w:r>
      <w:r>
        <w:rPr>
          <w:rFonts w:hint="eastAsia" w:eastAsia="楷体" w:cstheme="minorBidi"/>
          <w:color w:val="auto"/>
          <w:kern w:val="2"/>
          <w:sz w:val="24"/>
          <w:szCs w:val="20"/>
          <w:shd w:val="clear" w:color="auto" w:fill="auto"/>
        </w:rPr>
        <w:t>。</w:t>
      </w:r>
    </w:p>
    <w:p>
      <w:pPr>
        <w:pStyle w:val="3"/>
        <w:spacing w:line="360" w:lineRule="auto"/>
        <w:jc w:val="center"/>
        <w:rPr>
          <w:rFonts w:ascii="Times New Roman" w:hAnsi="Times New Roman" w:eastAsia="宋体" w:cs="Times New Roman"/>
          <w:color w:val="auto"/>
          <w:sz w:val="24"/>
          <w:szCs w:val="24"/>
          <w:shd w:val="clear" w:color="auto" w:fill="auto"/>
        </w:rPr>
      </w:pPr>
      <w:bookmarkStart w:id="24" w:name="_Toc12576"/>
      <w:r>
        <w:rPr>
          <w:rFonts w:ascii="Times New Roman" w:hAnsi="Times New Roman" w:eastAsia="宋体" w:cs="Times New Roman"/>
          <w:color w:val="auto"/>
          <w:sz w:val="24"/>
          <w:szCs w:val="24"/>
          <w:shd w:val="clear" w:color="auto" w:fill="auto"/>
        </w:rPr>
        <w:t>4.4</w:t>
      </w:r>
      <w:r>
        <w:rPr>
          <w:rFonts w:ascii="Times New Roman" w:hAnsi="宋体" w:eastAsia="宋体" w:cs="Times New Roman"/>
          <w:color w:val="auto"/>
          <w:sz w:val="24"/>
          <w:szCs w:val="24"/>
          <w:shd w:val="clear" w:color="auto" w:fill="auto"/>
        </w:rPr>
        <w:t>其他数据</w:t>
      </w:r>
      <w:bookmarkEnd w:id="24"/>
    </w:p>
    <w:p>
      <w:pPr>
        <w:spacing w:line="360" w:lineRule="auto"/>
        <w:rPr>
          <w:rFonts w:hint="eastAsia" w:hAnsi="宋体"/>
          <w:color w:val="auto"/>
          <w:sz w:val="24"/>
          <w:szCs w:val="24"/>
          <w:shd w:val="clear" w:color="auto" w:fill="auto"/>
        </w:rPr>
      </w:pPr>
      <w:r>
        <w:rPr>
          <w:b/>
          <w:color w:val="auto"/>
          <w:sz w:val="24"/>
          <w:szCs w:val="24"/>
          <w:shd w:val="clear" w:color="auto" w:fill="auto"/>
        </w:rPr>
        <w:t>4.4.1</w:t>
      </w:r>
      <w:r>
        <w:rPr>
          <w:rFonts w:hAnsi="宋体"/>
          <w:color w:val="auto"/>
          <w:sz w:val="24"/>
          <w:szCs w:val="24"/>
          <w:shd w:val="clear" w:color="auto" w:fill="auto"/>
        </w:rPr>
        <w:t>其他数据可包括政策法规数据、教育培训数据</w:t>
      </w:r>
      <w:r>
        <w:rPr>
          <w:rFonts w:hint="eastAsia" w:hAnsi="宋体"/>
          <w:color w:val="auto"/>
          <w:sz w:val="24"/>
          <w:szCs w:val="24"/>
          <w:shd w:val="clear" w:color="auto" w:fill="auto"/>
        </w:rPr>
        <w:t>等，</w:t>
      </w:r>
      <w:r>
        <w:rPr>
          <w:rFonts w:hAnsi="宋体"/>
          <w:color w:val="auto"/>
          <w:sz w:val="24"/>
          <w:szCs w:val="24"/>
          <w:shd w:val="clear" w:color="auto" w:fill="auto"/>
        </w:rPr>
        <w:t>用以辅助民用建筑用地、用能、用水、用材、碳排放等环境保护数据处理和分析的数据资料。</w:t>
      </w:r>
    </w:p>
    <w:p>
      <w:pPr>
        <w:spacing w:line="360" w:lineRule="auto"/>
        <w:rPr>
          <w:rFonts w:hAnsi="宋体"/>
          <w:color w:val="auto"/>
          <w:sz w:val="24"/>
          <w:szCs w:val="24"/>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其他相关政府部门在政策法规或规划文件中的数据，能源管理、温室气体管理人员、行业教育培训数据也可用于建筑领域能源资源环境数据分析。</w:t>
      </w:r>
    </w:p>
    <w:p>
      <w:pPr>
        <w:spacing w:line="360" w:lineRule="auto"/>
        <w:rPr>
          <w:rFonts w:hint="eastAsia" w:hAnsi="宋体"/>
          <w:color w:val="auto"/>
          <w:sz w:val="24"/>
          <w:szCs w:val="24"/>
          <w:shd w:val="clear" w:color="auto" w:fill="auto"/>
        </w:rPr>
      </w:pPr>
      <w:r>
        <w:rPr>
          <w:rFonts w:hint="eastAsia"/>
          <w:b/>
          <w:color w:val="auto"/>
          <w:sz w:val="24"/>
          <w:szCs w:val="24"/>
          <w:shd w:val="clear" w:color="auto" w:fill="auto"/>
        </w:rPr>
        <w:t>4.4.2</w:t>
      </w:r>
      <w:r>
        <w:rPr>
          <w:rFonts w:hint="eastAsia" w:hAnsi="宋体"/>
          <w:color w:val="auto"/>
          <w:sz w:val="24"/>
          <w:szCs w:val="24"/>
          <w:shd w:val="clear" w:color="auto" w:fill="auto"/>
        </w:rPr>
        <w:t>根据数据采集和处理目标，其他</w:t>
      </w:r>
      <w:r>
        <w:rPr>
          <w:rFonts w:hAnsi="宋体"/>
          <w:color w:val="auto"/>
          <w:sz w:val="24"/>
          <w:szCs w:val="24"/>
          <w:shd w:val="clear" w:color="auto" w:fill="auto"/>
        </w:rPr>
        <w:t>数据可包括时间序列信息、数据质量信息、数据共享信息、地域空间信息等</w:t>
      </w:r>
      <w:r>
        <w:rPr>
          <w:rFonts w:hint="eastAsia" w:hAnsi="宋体"/>
          <w:color w:val="auto"/>
          <w:sz w:val="24"/>
          <w:szCs w:val="24"/>
          <w:shd w:val="clear" w:color="auto" w:fill="auto"/>
        </w:rPr>
        <w:t>说明</w:t>
      </w:r>
      <w:r>
        <w:rPr>
          <w:rFonts w:hAnsi="宋体"/>
          <w:color w:val="auto"/>
          <w:sz w:val="24"/>
          <w:szCs w:val="24"/>
          <w:shd w:val="clear" w:color="auto" w:fill="auto"/>
        </w:rPr>
        <w:t>时效性</w:t>
      </w:r>
      <w:r>
        <w:rPr>
          <w:rFonts w:hint="eastAsia" w:hAnsi="宋体"/>
          <w:color w:val="auto"/>
          <w:sz w:val="24"/>
          <w:szCs w:val="24"/>
          <w:shd w:val="clear" w:color="auto" w:fill="auto"/>
        </w:rPr>
        <w:t>、</w:t>
      </w:r>
      <w:r>
        <w:rPr>
          <w:rFonts w:hAnsi="宋体"/>
          <w:color w:val="auto"/>
          <w:sz w:val="24"/>
          <w:szCs w:val="24"/>
          <w:shd w:val="clear" w:color="auto" w:fill="auto"/>
        </w:rPr>
        <w:t>地域性以及数据更新的信息</w:t>
      </w:r>
      <w:r>
        <w:rPr>
          <w:rFonts w:hint="eastAsia" w:hAnsi="宋体"/>
          <w:color w:val="auto"/>
          <w:sz w:val="24"/>
          <w:szCs w:val="24"/>
          <w:shd w:val="clear" w:color="auto" w:fill="auto"/>
        </w:rPr>
        <w:t>。</w:t>
      </w:r>
    </w:p>
    <w:p>
      <w:pPr>
        <w:spacing w:line="360" w:lineRule="auto"/>
        <w:rPr>
          <w:rFonts w:hint="eastAsia"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数据指标的</w:t>
      </w:r>
      <w:r>
        <w:rPr>
          <w:rFonts w:eastAsia="楷体" w:cstheme="minorBidi"/>
          <w:color w:val="auto"/>
          <w:kern w:val="2"/>
          <w:sz w:val="24"/>
          <w:szCs w:val="20"/>
          <w:shd w:val="clear" w:color="auto" w:fill="auto"/>
        </w:rPr>
        <w:t>时间序列信息、数据质量信息、数据共享信息、地域空间信息等</w:t>
      </w:r>
      <w:r>
        <w:rPr>
          <w:rFonts w:hint="eastAsia" w:eastAsia="楷体" w:cstheme="minorBidi"/>
          <w:color w:val="auto"/>
          <w:kern w:val="2"/>
          <w:sz w:val="24"/>
          <w:szCs w:val="20"/>
          <w:shd w:val="clear" w:color="auto" w:fill="auto"/>
        </w:rPr>
        <w:t>对于数据质量很重要。</w:t>
      </w:r>
    </w:p>
    <w:p>
      <w:pPr>
        <w:spacing w:line="360" w:lineRule="auto"/>
        <w:rPr>
          <w:rFonts w:eastAsia="楷体" w:cstheme="minorBidi"/>
          <w:color w:val="auto"/>
          <w:kern w:val="2"/>
          <w:sz w:val="24"/>
          <w:szCs w:val="20"/>
          <w:shd w:val="clear" w:color="auto" w:fill="auto"/>
        </w:rPr>
      </w:pPr>
    </w:p>
    <w:p>
      <w:pPr>
        <w:widowControl/>
        <w:jc w:val="left"/>
        <w:rPr>
          <w:b/>
          <w:color w:val="auto"/>
          <w:kern w:val="44"/>
          <w:sz w:val="28"/>
          <w:szCs w:val="20"/>
          <w:shd w:val="clear" w:color="auto" w:fill="auto"/>
        </w:rPr>
      </w:pPr>
      <w:r>
        <w:rPr>
          <w:b/>
          <w:color w:val="auto"/>
          <w:shd w:val="clear" w:color="auto" w:fill="auto"/>
        </w:rPr>
        <w:br w:type="page"/>
      </w:r>
    </w:p>
    <w:p>
      <w:pPr>
        <w:pStyle w:val="59"/>
        <w:numPr>
          <w:ilvl w:val="0"/>
          <w:numId w:val="1"/>
        </w:numPr>
        <w:ind w:left="0" w:firstLine="0"/>
        <w:rPr>
          <w:rFonts w:eastAsia="宋体"/>
          <w:b/>
          <w:color w:val="auto"/>
          <w:sz w:val="32"/>
          <w:szCs w:val="32"/>
          <w:shd w:val="clear" w:color="auto" w:fill="auto"/>
        </w:rPr>
      </w:pPr>
      <w:bookmarkStart w:id="25" w:name="_Toc2683"/>
      <w:r>
        <w:rPr>
          <w:rFonts w:hAnsi="宋体" w:eastAsia="宋体"/>
          <w:b/>
          <w:color w:val="auto"/>
          <w:sz w:val="32"/>
          <w:szCs w:val="32"/>
          <w:shd w:val="clear" w:color="auto" w:fill="auto"/>
        </w:rPr>
        <w:t>采集过程</w:t>
      </w:r>
      <w:bookmarkEnd w:id="25"/>
    </w:p>
    <w:p>
      <w:pPr>
        <w:pStyle w:val="3"/>
        <w:spacing w:line="360" w:lineRule="auto"/>
        <w:jc w:val="center"/>
        <w:rPr>
          <w:rFonts w:ascii="Times New Roman" w:hAnsi="Times New Roman" w:eastAsia="宋体" w:cs="Times New Roman"/>
          <w:color w:val="auto"/>
          <w:sz w:val="24"/>
          <w:szCs w:val="24"/>
          <w:shd w:val="clear" w:color="auto" w:fill="auto"/>
        </w:rPr>
      </w:pPr>
      <w:bookmarkStart w:id="26" w:name="_Toc28931"/>
      <w:r>
        <w:rPr>
          <w:rFonts w:ascii="Times New Roman" w:hAnsi="Times New Roman" w:eastAsia="宋体" w:cs="Times New Roman"/>
          <w:color w:val="auto"/>
          <w:sz w:val="24"/>
          <w:szCs w:val="24"/>
          <w:shd w:val="clear" w:color="auto" w:fill="auto"/>
        </w:rPr>
        <w:t>5.1</w:t>
      </w:r>
      <w:r>
        <w:rPr>
          <w:rFonts w:ascii="Times New Roman" w:hAnsi="宋体" w:eastAsia="宋体" w:cs="Times New Roman"/>
          <w:color w:val="auto"/>
          <w:sz w:val="24"/>
          <w:szCs w:val="24"/>
          <w:shd w:val="clear" w:color="auto" w:fill="auto"/>
        </w:rPr>
        <w:t>前期准备</w:t>
      </w:r>
      <w:bookmarkEnd w:id="26"/>
    </w:p>
    <w:p>
      <w:pPr>
        <w:spacing w:line="360" w:lineRule="auto"/>
        <w:rPr>
          <w:color w:val="auto"/>
          <w:sz w:val="24"/>
          <w:szCs w:val="24"/>
          <w:shd w:val="clear" w:color="auto" w:fill="auto"/>
        </w:rPr>
      </w:pPr>
      <w:r>
        <w:rPr>
          <w:b/>
          <w:color w:val="auto"/>
          <w:sz w:val="24"/>
          <w:szCs w:val="24"/>
          <w:shd w:val="clear" w:color="auto" w:fill="auto"/>
        </w:rPr>
        <w:t>5.1.</w:t>
      </w:r>
      <w:r>
        <w:rPr>
          <w:rFonts w:hint="eastAsia"/>
          <w:b/>
          <w:color w:val="auto"/>
          <w:sz w:val="24"/>
          <w:szCs w:val="24"/>
          <w:shd w:val="clear" w:color="auto" w:fill="auto"/>
        </w:rPr>
        <w:t xml:space="preserve">1 </w:t>
      </w:r>
      <w:r>
        <w:rPr>
          <w:rFonts w:hAnsi="宋体"/>
          <w:color w:val="auto"/>
          <w:sz w:val="24"/>
          <w:szCs w:val="24"/>
          <w:shd w:val="clear" w:color="auto" w:fill="auto"/>
        </w:rPr>
        <w:t>民用建筑数据采集前期准备工作，可包括组织准备、技术准备和其他准备。</w:t>
      </w:r>
    </w:p>
    <w:p>
      <w:pPr>
        <w:spacing w:line="360" w:lineRule="auto"/>
        <w:rPr>
          <w:rFonts w:hint="eastAsia" w:hAnsi="宋体"/>
          <w:color w:val="auto"/>
          <w:sz w:val="24"/>
          <w:szCs w:val="24"/>
          <w:shd w:val="clear" w:color="auto" w:fill="auto"/>
        </w:rPr>
      </w:pPr>
      <w:r>
        <w:rPr>
          <w:rFonts w:hint="eastAsia"/>
          <w:b/>
          <w:color w:val="auto"/>
          <w:sz w:val="24"/>
          <w:szCs w:val="24"/>
          <w:shd w:val="clear" w:color="auto" w:fill="auto"/>
        </w:rPr>
        <w:t>5.1.2</w:t>
      </w:r>
      <w:r>
        <w:rPr>
          <w:rFonts w:hAnsi="宋体"/>
          <w:color w:val="auto"/>
          <w:sz w:val="24"/>
          <w:szCs w:val="24"/>
          <w:shd w:val="clear" w:color="auto" w:fill="auto"/>
        </w:rPr>
        <w:t>组织准备</w:t>
      </w:r>
      <w:r>
        <w:rPr>
          <w:rFonts w:hint="eastAsia" w:hAnsi="宋体"/>
          <w:color w:val="auto"/>
          <w:sz w:val="24"/>
          <w:szCs w:val="24"/>
          <w:shd w:val="clear" w:color="auto" w:fill="auto"/>
        </w:rPr>
        <w:t>包括</w:t>
      </w:r>
      <w:r>
        <w:rPr>
          <w:rFonts w:hAnsi="宋体"/>
          <w:color w:val="auto"/>
          <w:sz w:val="24"/>
          <w:szCs w:val="24"/>
          <w:shd w:val="clear" w:color="auto" w:fill="auto"/>
        </w:rPr>
        <w:t>明确各类数据采集来源和渠道，建立基础数据、专题数据等采集团队</w:t>
      </w:r>
      <w:r>
        <w:rPr>
          <w:rFonts w:hint="eastAsia" w:hAnsi="宋体"/>
          <w:color w:val="auto"/>
          <w:sz w:val="24"/>
          <w:szCs w:val="24"/>
          <w:shd w:val="clear" w:color="auto" w:fill="auto"/>
        </w:rPr>
        <w:t>，</w:t>
      </w:r>
      <w:r>
        <w:rPr>
          <w:rFonts w:hAnsi="宋体"/>
          <w:color w:val="auto"/>
          <w:sz w:val="24"/>
          <w:szCs w:val="24"/>
          <w:shd w:val="clear" w:color="auto" w:fill="auto"/>
        </w:rPr>
        <w:t>明确任务分工、时间计划和进度要求等</w:t>
      </w:r>
      <w:r>
        <w:rPr>
          <w:rFonts w:hint="eastAsia" w:hAnsi="宋体"/>
          <w:color w:val="auto"/>
          <w:sz w:val="24"/>
          <w:szCs w:val="24"/>
          <w:shd w:val="clear" w:color="auto" w:fill="auto"/>
        </w:rPr>
        <w:t>。</w:t>
      </w:r>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民用建筑数据采集工作量比较大，是系统性工程，需要提前规划和准备。</w:t>
      </w:r>
    </w:p>
    <w:p>
      <w:pPr>
        <w:spacing w:line="360" w:lineRule="auto"/>
        <w:rPr>
          <w:color w:val="auto"/>
          <w:sz w:val="24"/>
          <w:szCs w:val="24"/>
          <w:shd w:val="clear" w:color="auto" w:fill="auto"/>
        </w:rPr>
      </w:pPr>
      <w:r>
        <w:rPr>
          <w:rFonts w:hint="eastAsia"/>
          <w:b/>
          <w:color w:val="auto"/>
          <w:sz w:val="24"/>
          <w:szCs w:val="24"/>
          <w:shd w:val="clear" w:color="auto" w:fill="auto"/>
        </w:rPr>
        <w:t xml:space="preserve">5.1.3 </w:t>
      </w:r>
      <w:r>
        <w:rPr>
          <w:rFonts w:hAnsi="宋体"/>
          <w:color w:val="auto"/>
          <w:sz w:val="24"/>
          <w:szCs w:val="24"/>
          <w:shd w:val="clear" w:color="auto" w:fill="auto"/>
        </w:rPr>
        <w:t>技术准备</w:t>
      </w:r>
      <w:r>
        <w:rPr>
          <w:rFonts w:hint="eastAsia" w:hAnsi="宋体"/>
          <w:color w:val="auto"/>
          <w:sz w:val="24"/>
          <w:szCs w:val="24"/>
          <w:shd w:val="clear" w:color="auto" w:fill="auto"/>
        </w:rPr>
        <w:t>包括</w:t>
      </w:r>
      <w:r>
        <w:rPr>
          <w:rFonts w:hAnsi="宋体"/>
          <w:color w:val="auto"/>
          <w:sz w:val="24"/>
          <w:szCs w:val="24"/>
          <w:shd w:val="clear" w:color="auto" w:fill="auto"/>
        </w:rPr>
        <w:t>制定各类数据采集工作方案、技术方案和操作细则等</w:t>
      </w:r>
      <w:r>
        <w:rPr>
          <w:rFonts w:hint="eastAsia" w:hAnsi="宋体"/>
          <w:color w:val="auto"/>
          <w:sz w:val="24"/>
          <w:szCs w:val="24"/>
          <w:shd w:val="clear" w:color="auto" w:fill="auto"/>
        </w:rPr>
        <w:t>。</w:t>
      </w:r>
    </w:p>
    <w:p>
      <w:pPr>
        <w:spacing w:line="360" w:lineRule="auto"/>
        <w:rPr>
          <w:color w:val="auto"/>
          <w:sz w:val="24"/>
          <w:szCs w:val="24"/>
          <w:shd w:val="clear" w:color="auto" w:fill="auto"/>
        </w:rPr>
      </w:pPr>
      <w:r>
        <w:rPr>
          <w:rFonts w:hint="eastAsia"/>
          <w:b/>
          <w:color w:val="auto"/>
          <w:sz w:val="24"/>
          <w:szCs w:val="24"/>
          <w:shd w:val="clear" w:color="auto" w:fill="auto"/>
        </w:rPr>
        <w:t>5.1.4</w:t>
      </w:r>
      <w:r>
        <w:rPr>
          <w:rFonts w:hAnsi="宋体"/>
          <w:color w:val="auto"/>
          <w:sz w:val="24"/>
          <w:szCs w:val="24"/>
          <w:shd w:val="clear" w:color="auto" w:fill="auto"/>
        </w:rPr>
        <w:t>其他准备</w:t>
      </w:r>
      <w:r>
        <w:rPr>
          <w:rFonts w:hint="eastAsia" w:hAnsi="宋体"/>
          <w:color w:val="auto"/>
          <w:sz w:val="24"/>
          <w:szCs w:val="24"/>
          <w:shd w:val="clear" w:color="auto" w:fill="auto"/>
        </w:rPr>
        <w:t>包括</w:t>
      </w:r>
      <w:r>
        <w:rPr>
          <w:rFonts w:hAnsi="宋体"/>
          <w:color w:val="auto"/>
          <w:sz w:val="24"/>
          <w:szCs w:val="24"/>
          <w:shd w:val="clear" w:color="auto" w:fill="auto"/>
        </w:rPr>
        <w:t>明确数据采集的主要目标，确定数据采集对象，整理历史数据，收集调查工具等。</w:t>
      </w:r>
    </w:p>
    <w:p>
      <w:pPr>
        <w:pStyle w:val="3"/>
        <w:spacing w:line="360" w:lineRule="auto"/>
        <w:jc w:val="center"/>
        <w:rPr>
          <w:rFonts w:ascii="Times New Roman" w:hAnsi="Times New Roman" w:eastAsia="宋体" w:cs="Times New Roman"/>
          <w:color w:val="auto"/>
          <w:sz w:val="24"/>
          <w:szCs w:val="24"/>
          <w:shd w:val="clear" w:color="auto" w:fill="auto"/>
        </w:rPr>
      </w:pPr>
      <w:bookmarkStart w:id="27" w:name="_Toc9167"/>
      <w:r>
        <w:rPr>
          <w:rFonts w:ascii="Times New Roman" w:hAnsi="Times New Roman" w:eastAsia="宋体" w:cs="Times New Roman"/>
          <w:color w:val="auto"/>
          <w:sz w:val="24"/>
          <w:szCs w:val="24"/>
          <w:shd w:val="clear" w:color="auto" w:fill="auto"/>
        </w:rPr>
        <w:t>5.2</w:t>
      </w:r>
      <w:r>
        <w:rPr>
          <w:rFonts w:ascii="Times New Roman" w:hAnsi="宋体" w:eastAsia="宋体" w:cs="Times New Roman"/>
          <w:color w:val="auto"/>
          <w:sz w:val="24"/>
          <w:szCs w:val="24"/>
          <w:shd w:val="clear" w:color="auto" w:fill="auto"/>
        </w:rPr>
        <w:t>数据采集</w:t>
      </w:r>
      <w:bookmarkEnd w:id="27"/>
    </w:p>
    <w:p>
      <w:pPr>
        <w:spacing w:line="360" w:lineRule="auto"/>
        <w:rPr>
          <w:rFonts w:hAnsi="宋体"/>
          <w:color w:val="auto"/>
          <w:sz w:val="24"/>
          <w:szCs w:val="24"/>
          <w:shd w:val="clear" w:color="auto" w:fill="auto"/>
        </w:rPr>
      </w:pPr>
      <w:r>
        <w:rPr>
          <w:b/>
          <w:color w:val="auto"/>
          <w:sz w:val="24"/>
          <w:szCs w:val="24"/>
          <w:shd w:val="clear" w:color="auto" w:fill="auto"/>
        </w:rPr>
        <w:t>5.2.</w:t>
      </w:r>
      <w:r>
        <w:rPr>
          <w:rFonts w:hint="eastAsia"/>
          <w:b/>
          <w:color w:val="auto"/>
          <w:sz w:val="24"/>
          <w:szCs w:val="24"/>
          <w:shd w:val="clear" w:color="auto" w:fill="auto"/>
        </w:rPr>
        <w:t xml:space="preserve">1 </w:t>
      </w:r>
      <w:r>
        <w:rPr>
          <w:rFonts w:hAnsi="宋体"/>
          <w:color w:val="auto"/>
          <w:sz w:val="24"/>
          <w:szCs w:val="24"/>
          <w:shd w:val="clear" w:color="auto" w:fill="auto"/>
        </w:rPr>
        <w:t>民用建筑数据按照内容及性质不同，分为基础数据、专题数据和其他数据。</w:t>
      </w:r>
    </w:p>
    <w:p>
      <w:pPr>
        <w:spacing w:line="360" w:lineRule="auto"/>
        <w:rPr>
          <w:rFonts w:hAnsi="宋体"/>
          <w:color w:val="auto"/>
          <w:sz w:val="24"/>
          <w:szCs w:val="24"/>
          <w:shd w:val="clear" w:color="auto" w:fill="auto"/>
        </w:rPr>
      </w:pPr>
      <w:r>
        <w:rPr>
          <w:rFonts w:hint="eastAsia"/>
          <w:b/>
          <w:color w:val="auto"/>
          <w:sz w:val="24"/>
          <w:szCs w:val="24"/>
          <w:shd w:val="clear" w:color="auto" w:fill="auto"/>
        </w:rPr>
        <w:t>5.2.2</w:t>
      </w:r>
      <w:r>
        <w:rPr>
          <w:rFonts w:hAnsi="宋体"/>
          <w:color w:val="auto"/>
          <w:sz w:val="24"/>
          <w:szCs w:val="24"/>
          <w:shd w:val="clear" w:color="auto" w:fill="auto"/>
        </w:rPr>
        <w:t>民用建筑数据采集按照三大类包括的数据类别、技术规范、采集</w:t>
      </w:r>
      <w:r>
        <w:rPr>
          <w:rFonts w:hint="eastAsia" w:hAnsi="宋体"/>
          <w:color w:val="auto"/>
          <w:sz w:val="24"/>
          <w:szCs w:val="24"/>
          <w:shd w:val="clear" w:color="auto" w:fill="auto"/>
        </w:rPr>
        <w:t>手段</w:t>
      </w:r>
      <w:r>
        <w:rPr>
          <w:rFonts w:hAnsi="宋体"/>
          <w:color w:val="auto"/>
          <w:sz w:val="24"/>
          <w:szCs w:val="24"/>
          <w:shd w:val="clear" w:color="auto" w:fill="auto"/>
        </w:rPr>
        <w:t>进行数据采集。</w:t>
      </w:r>
    </w:p>
    <w:p>
      <w:pPr>
        <w:pStyle w:val="3"/>
        <w:spacing w:line="360" w:lineRule="auto"/>
        <w:jc w:val="center"/>
        <w:rPr>
          <w:rFonts w:ascii="Times New Roman" w:hAnsi="Times New Roman" w:eastAsia="宋体" w:cs="Times New Roman"/>
          <w:color w:val="auto"/>
          <w:sz w:val="24"/>
          <w:szCs w:val="24"/>
          <w:shd w:val="clear" w:color="auto" w:fill="auto"/>
        </w:rPr>
      </w:pPr>
      <w:bookmarkStart w:id="28" w:name="_Toc23988"/>
      <w:r>
        <w:rPr>
          <w:rFonts w:ascii="Times New Roman" w:hAnsi="Times New Roman" w:eastAsia="宋体" w:cs="Times New Roman"/>
          <w:color w:val="auto"/>
          <w:sz w:val="24"/>
          <w:szCs w:val="24"/>
          <w:shd w:val="clear" w:color="auto" w:fill="auto"/>
        </w:rPr>
        <w:t>5.3</w:t>
      </w:r>
      <w:r>
        <w:rPr>
          <w:rFonts w:ascii="Times New Roman" w:hAnsi="宋体" w:eastAsia="宋体" w:cs="Times New Roman"/>
          <w:color w:val="auto"/>
          <w:sz w:val="24"/>
          <w:szCs w:val="24"/>
          <w:shd w:val="clear" w:color="auto" w:fill="auto"/>
        </w:rPr>
        <w:t>数据处理</w:t>
      </w:r>
      <w:bookmarkEnd w:id="28"/>
    </w:p>
    <w:p>
      <w:pPr>
        <w:spacing w:line="360" w:lineRule="auto"/>
        <w:rPr>
          <w:rFonts w:hAnsi="宋体"/>
          <w:color w:val="auto"/>
          <w:sz w:val="24"/>
          <w:szCs w:val="24"/>
          <w:shd w:val="clear" w:color="auto" w:fill="auto"/>
        </w:rPr>
      </w:pPr>
      <w:r>
        <w:rPr>
          <w:b/>
          <w:color w:val="auto"/>
          <w:sz w:val="24"/>
          <w:szCs w:val="24"/>
          <w:shd w:val="clear" w:color="auto" w:fill="auto"/>
        </w:rPr>
        <w:t>5.</w:t>
      </w:r>
      <w:r>
        <w:rPr>
          <w:rFonts w:hint="eastAsia"/>
          <w:b/>
          <w:color w:val="auto"/>
          <w:sz w:val="24"/>
          <w:szCs w:val="24"/>
          <w:shd w:val="clear" w:color="auto" w:fill="auto"/>
        </w:rPr>
        <w:t>3</w:t>
      </w:r>
      <w:r>
        <w:rPr>
          <w:b/>
          <w:color w:val="auto"/>
          <w:sz w:val="24"/>
          <w:szCs w:val="24"/>
          <w:shd w:val="clear" w:color="auto" w:fill="auto"/>
        </w:rPr>
        <w:t>.</w:t>
      </w:r>
      <w:r>
        <w:rPr>
          <w:rFonts w:hint="eastAsia"/>
          <w:b/>
          <w:color w:val="auto"/>
          <w:sz w:val="24"/>
          <w:szCs w:val="24"/>
          <w:shd w:val="clear" w:color="auto" w:fill="auto"/>
        </w:rPr>
        <w:t>1</w:t>
      </w:r>
      <w:r>
        <w:rPr>
          <w:rFonts w:hAnsi="宋体"/>
          <w:color w:val="auto"/>
          <w:sz w:val="24"/>
          <w:szCs w:val="24"/>
          <w:shd w:val="clear" w:color="auto" w:fill="auto"/>
        </w:rPr>
        <w:t>对采集数据进行处理，包括数据分类和编目、数据分析、数据处理、数据质检、数据入库等操作步骤。</w:t>
      </w:r>
    </w:p>
    <w:p>
      <w:pPr>
        <w:spacing w:line="360" w:lineRule="auto"/>
        <w:rPr>
          <w:rFonts w:hAnsi="宋体"/>
          <w:color w:val="auto"/>
          <w:sz w:val="24"/>
          <w:szCs w:val="24"/>
          <w:shd w:val="clear" w:color="auto" w:fill="auto"/>
        </w:rPr>
      </w:pPr>
      <w:r>
        <w:rPr>
          <w:rFonts w:hint="eastAsia"/>
          <w:b/>
          <w:color w:val="auto"/>
          <w:sz w:val="24"/>
          <w:szCs w:val="24"/>
          <w:shd w:val="clear" w:color="auto" w:fill="auto"/>
        </w:rPr>
        <w:t>5.3.2</w:t>
      </w:r>
      <w:r>
        <w:rPr>
          <w:rFonts w:hint="eastAsia" w:hAnsi="宋体"/>
          <w:color w:val="auto"/>
          <w:sz w:val="24"/>
          <w:szCs w:val="24"/>
          <w:shd w:val="clear" w:color="auto" w:fill="auto"/>
        </w:rPr>
        <w:t xml:space="preserve"> </w:t>
      </w:r>
      <w:r>
        <w:rPr>
          <w:rFonts w:hAnsi="宋体"/>
          <w:color w:val="auto"/>
          <w:sz w:val="24"/>
          <w:szCs w:val="24"/>
          <w:shd w:val="clear" w:color="auto" w:fill="auto"/>
        </w:rPr>
        <w:t>将经过处理的基础数据、专题数据</w:t>
      </w:r>
      <w:r>
        <w:rPr>
          <w:rFonts w:hint="eastAsia" w:hAnsi="宋体"/>
          <w:color w:val="auto"/>
          <w:sz w:val="24"/>
          <w:szCs w:val="24"/>
          <w:shd w:val="clear" w:color="auto" w:fill="auto"/>
        </w:rPr>
        <w:t>和</w:t>
      </w:r>
      <w:r>
        <w:rPr>
          <w:rFonts w:hAnsi="宋体"/>
          <w:color w:val="auto"/>
          <w:sz w:val="24"/>
          <w:szCs w:val="24"/>
          <w:shd w:val="clear" w:color="auto" w:fill="auto"/>
        </w:rPr>
        <w:t>其他数据进行分类</w:t>
      </w:r>
      <w:r>
        <w:rPr>
          <w:rFonts w:hint="eastAsia" w:hAnsi="宋体"/>
          <w:color w:val="auto"/>
          <w:sz w:val="24"/>
          <w:szCs w:val="24"/>
          <w:shd w:val="clear" w:color="auto" w:fill="auto"/>
        </w:rPr>
        <w:t>、</w:t>
      </w:r>
      <w:r>
        <w:rPr>
          <w:rFonts w:hAnsi="宋体"/>
          <w:color w:val="auto"/>
          <w:sz w:val="24"/>
          <w:szCs w:val="24"/>
          <w:shd w:val="clear" w:color="auto" w:fill="auto"/>
        </w:rPr>
        <w:t>分析和处理， 形成</w:t>
      </w:r>
      <w:r>
        <w:rPr>
          <w:rFonts w:hint="eastAsia" w:hAnsi="宋体"/>
          <w:color w:val="auto"/>
          <w:sz w:val="24"/>
          <w:szCs w:val="24"/>
          <w:shd w:val="clear" w:color="auto" w:fill="auto"/>
        </w:rPr>
        <w:t>民用建筑</w:t>
      </w:r>
      <w:r>
        <w:rPr>
          <w:rFonts w:hAnsi="宋体"/>
          <w:color w:val="auto"/>
          <w:sz w:val="24"/>
          <w:szCs w:val="24"/>
          <w:shd w:val="clear" w:color="auto" w:fill="auto"/>
        </w:rPr>
        <w:t>各类数据</w:t>
      </w:r>
      <w:r>
        <w:rPr>
          <w:rFonts w:hint="eastAsia" w:hAnsi="宋体"/>
          <w:color w:val="auto"/>
          <w:sz w:val="24"/>
          <w:szCs w:val="24"/>
          <w:shd w:val="clear" w:color="auto" w:fill="auto"/>
        </w:rPr>
        <w:t>信息</w:t>
      </w:r>
      <w:r>
        <w:rPr>
          <w:rFonts w:hAnsi="宋体"/>
          <w:color w:val="auto"/>
          <w:sz w:val="24"/>
          <w:szCs w:val="24"/>
          <w:shd w:val="clear" w:color="auto" w:fill="auto"/>
        </w:rPr>
        <w:t>和资源。</w:t>
      </w:r>
    </w:p>
    <w:p>
      <w:pPr>
        <w:widowControl/>
        <w:jc w:val="left"/>
        <w:rPr>
          <w:b/>
          <w:color w:val="auto"/>
          <w:kern w:val="44"/>
          <w:sz w:val="28"/>
          <w:szCs w:val="20"/>
          <w:shd w:val="clear" w:color="auto" w:fill="auto"/>
        </w:rPr>
      </w:pPr>
      <w:r>
        <w:rPr>
          <w:b/>
          <w:color w:val="auto"/>
          <w:shd w:val="clear" w:color="auto" w:fill="auto"/>
        </w:rPr>
        <w:br w:type="page"/>
      </w:r>
    </w:p>
    <w:p>
      <w:pPr>
        <w:pStyle w:val="59"/>
        <w:numPr>
          <w:ilvl w:val="0"/>
          <w:numId w:val="1"/>
        </w:numPr>
        <w:ind w:left="0" w:firstLine="0"/>
        <w:rPr>
          <w:rFonts w:eastAsia="宋体"/>
          <w:b/>
          <w:color w:val="auto"/>
          <w:sz w:val="32"/>
          <w:szCs w:val="32"/>
          <w:shd w:val="clear" w:color="auto" w:fill="auto"/>
        </w:rPr>
      </w:pPr>
      <w:bookmarkStart w:id="29" w:name="_Toc26844"/>
      <w:r>
        <w:rPr>
          <w:rFonts w:hAnsi="宋体" w:eastAsia="宋体"/>
          <w:b/>
          <w:color w:val="auto"/>
          <w:sz w:val="32"/>
          <w:szCs w:val="32"/>
          <w:shd w:val="clear" w:color="auto" w:fill="auto"/>
        </w:rPr>
        <w:t>数据采集手段</w:t>
      </w:r>
      <w:bookmarkEnd w:id="29"/>
    </w:p>
    <w:p>
      <w:pPr>
        <w:pStyle w:val="3"/>
        <w:spacing w:line="360" w:lineRule="auto"/>
        <w:jc w:val="center"/>
        <w:rPr>
          <w:rFonts w:ascii="Times New Roman" w:hAnsi="Times New Roman" w:eastAsia="宋体" w:cs="Times New Roman"/>
          <w:color w:val="auto"/>
          <w:sz w:val="24"/>
          <w:szCs w:val="24"/>
          <w:shd w:val="clear" w:color="auto" w:fill="auto"/>
        </w:rPr>
      </w:pPr>
      <w:bookmarkStart w:id="30" w:name="_Toc19916"/>
      <w:r>
        <w:rPr>
          <w:rFonts w:ascii="Times New Roman" w:hAnsi="Times New Roman" w:eastAsia="宋体" w:cs="Times New Roman"/>
          <w:color w:val="auto"/>
          <w:sz w:val="24"/>
          <w:szCs w:val="24"/>
          <w:shd w:val="clear" w:color="auto" w:fill="auto"/>
        </w:rPr>
        <w:t>6.1</w:t>
      </w:r>
      <w:r>
        <w:rPr>
          <w:rFonts w:ascii="Times New Roman" w:hAnsi="宋体" w:eastAsia="宋体" w:cs="Times New Roman"/>
          <w:color w:val="auto"/>
          <w:sz w:val="24"/>
          <w:szCs w:val="24"/>
          <w:shd w:val="clear" w:color="auto" w:fill="auto"/>
        </w:rPr>
        <w:t>行政报送报表采集</w:t>
      </w:r>
      <w:bookmarkEnd w:id="30"/>
    </w:p>
    <w:p>
      <w:pPr>
        <w:spacing w:line="360" w:lineRule="auto"/>
        <w:rPr>
          <w:rFonts w:hint="eastAsia" w:hAnsi="宋体"/>
          <w:color w:val="auto"/>
          <w:sz w:val="24"/>
          <w:szCs w:val="24"/>
          <w:shd w:val="clear" w:color="auto" w:fill="auto"/>
        </w:rPr>
      </w:pPr>
      <w:r>
        <w:rPr>
          <w:b/>
          <w:color w:val="auto"/>
          <w:sz w:val="24"/>
          <w:szCs w:val="24"/>
          <w:shd w:val="clear" w:color="auto" w:fill="auto"/>
        </w:rPr>
        <w:t xml:space="preserve">6.1.1 </w:t>
      </w:r>
      <w:r>
        <w:rPr>
          <w:rFonts w:hAnsi="宋体"/>
          <w:color w:val="auto"/>
          <w:sz w:val="24"/>
          <w:szCs w:val="24"/>
          <w:shd w:val="clear" w:color="auto" w:fill="auto"/>
        </w:rPr>
        <w:t>民用建筑数据采集可按照国家行政分区进行报表报送和采集。</w:t>
      </w:r>
    </w:p>
    <w:p>
      <w:pPr>
        <w:spacing w:line="360" w:lineRule="auto"/>
        <w:rPr>
          <w:rFonts w:hint="eastAsia"/>
          <w:color w:val="auto"/>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住建部</w:t>
      </w:r>
      <w:r>
        <w:rPr>
          <w:rFonts w:eastAsia="楷体" w:cstheme="minorBidi"/>
          <w:color w:val="auto"/>
          <w:kern w:val="2"/>
          <w:sz w:val="24"/>
          <w:szCs w:val="20"/>
          <w:shd w:val="clear" w:color="auto" w:fill="auto"/>
        </w:rPr>
        <w:t>于 2010 年正式开始实施《民用建筑能源资源消耗统计报表制度》，其中包括城镇民用建筑和农村居住建筑能源资源消耗信息，城镇民用建筑统计对象包括国家机关办公建筑、大型公共建筑、中小型公共建筑、城镇居住建筑 4 大类，农村部分的统计对象包括农村居住建筑。统计内容包括建筑信息、能源消耗信息等。该制度与 2010 年实施，2018 年修订</w:t>
      </w:r>
      <w:r>
        <w:rPr>
          <w:rFonts w:hint="eastAsia" w:eastAsia="楷体" w:cstheme="minorBidi"/>
          <w:color w:val="auto"/>
          <w:kern w:val="2"/>
          <w:sz w:val="24"/>
          <w:szCs w:val="20"/>
          <w:shd w:val="clear" w:color="auto" w:fill="auto"/>
        </w:rPr>
        <w:t>，</w:t>
      </w:r>
      <w:r>
        <w:rPr>
          <w:rFonts w:eastAsia="楷体" w:cstheme="minorBidi"/>
          <w:color w:val="auto"/>
          <w:kern w:val="2"/>
          <w:sz w:val="24"/>
          <w:szCs w:val="20"/>
          <w:shd w:val="clear" w:color="auto" w:fill="auto"/>
        </w:rPr>
        <w:t>目前有 11 年的数据。</w:t>
      </w:r>
    </w:p>
    <w:p>
      <w:pPr>
        <w:spacing w:line="360" w:lineRule="auto"/>
        <w:rPr>
          <w:color w:val="auto"/>
          <w:sz w:val="24"/>
          <w:szCs w:val="24"/>
          <w:shd w:val="clear" w:color="auto" w:fill="auto"/>
        </w:rPr>
      </w:pPr>
      <w:r>
        <w:rPr>
          <w:b/>
          <w:color w:val="auto"/>
          <w:sz w:val="24"/>
          <w:szCs w:val="24"/>
          <w:shd w:val="clear" w:color="auto" w:fill="auto"/>
        </w:rPr>
        <w:t>6.1.2</w:t>
      </w:r>
      <w:r>
        <w:rPr>
          <w:rFonts w:hAnsi="宋体"/>
          <w:color w:val="auto"/>
          <w:sz w:val="24"/>
          <w:szCs w:val="24"/>
          <w:shd w:val="clear" w:color="auto" w:fill="auto"/>
        </w:rPr>
        <w:t>民用建筑数据采集行政报送报表采集可以县级行政区域（县、县级市、县级区、旗）为基本行政单位。基本行政单位负责本辖区内建筑用地、用能、用水、用材、碳排放等环境保护数据的采集。</w:t>
      </w:r>
    </w:p>
    <w:p>
      <w:pPr>
        <w:spacing w:line="360" w:lineRule="auto"/>
        <w:rPr>
          <w:rFonts w:hint="eastAsia" w:hAnsi="宋体"/>
          <w:color w:val="auto"/>
          <w:sz w:val="24"/>
          <w:szCs w:val="24"/>
          <w:shd w:val="clear" w:color="auto" w:fill="auto"/>
        </w:rPr>
      </w:pPr>
      <w:r>
        <w:rPr>
          <w:b/>
          <w:color w:val="auto"/>
          <w:sz w:val="24"/>
          <w:szCs w:val="24"/>
          <w:shd w:val="clear" w:color="auto" w:fill="auto"/>
        </w:rPr>
        <w:t xml:space="preserve">6.1.3 </w:t>
      </w:r>
      <w:r>
        <w:rPr>
          <w:rFonts w:hAnsi="宋体"/>
          <w:color w:val="auto"/>
          <w:sz w:val="24"/>
          <w:szCs w:val="24"/>
          <w:shd w:val="clear" w:color="auto" w:fill="auto"/>
        </w:rPr>
        <w:t>行政报送报表采集的数据可按照国家级、省级和市级三级进行数据汇总分析和处理。</w:t>
      </w:r>
    </w:p>
    <w:p>
      <w:pPr>
        <w:pStyle w:val="3"/>
        <w:spacing w:line="360" w:lineRule="auto"/>
        <w:jc w:val="center"/>
        <w:rPr>
          <w:rFonts w:ascii="Times New Roman" w:hAnsi="Times New Roman" w:eastAsia="宋体" w:cs="Times New Roman"/>
          <w:color w:val="auto"/>
          <w:sz w:val="24"/>
          <w:szCs w:val="24"/>
          <w:shd w:val="clear" w:color="auto" w:fill="auto"/>
        </w:rPr>
      </w:pPr>
      <w:bookmarkStart w:id="31" w:name="_Toc14576"/>
      <w:r>
        <w:rPr>
          <w:rFonts w:ascii="Times New Roman" w:hAnsi="Times New Roman" w:eastAsia="宋体" w:cs="Times New Roman"/>
          <w:color w:val="auto"/>
          <w:sz w:val="24"/>
          <w:szCs w:val="24"/>
          <w:shd w:val="clear" w:color="auto" w:fill="auto"/>
        </w:rPr>
        <w:t>6.2</w:t>
      </w:r>
      <w:r>
        <w:rPr>
          <w:rFonts w:ascii="Times New Roman" w:hAnsi="宋体" w:eastAsia="宋体" w:cs="Times New Roman"/>
          <w:color w:val="auto"/>
          <w:sz w:val="24"/>
          <w:szCs w:val="24"/>
          <w:shd w:val="clear" w:color="auto" w:fill="auto"/>
        </w:rPr>
        <w:t>行业监测数据采集</w:t>
      </w:r>
      <w:bookmarkEnd w:id="31"/>
    </w:p>
    <w:p>
      <w:pPr>
        <w:spacing w:line="360" w:lineRule="auto"/>
        <w:rPr>
          <w:rFonts w:hint="eastAsia" w:hAnsi="宋体"/>
          <w:color w:val="auto"/>
          <w:sz w:val="24"/>
          <w:szCs w:val="24"/>
          <w:shd w:val="clear" w:color="auto" w:fill="auto"/>
        </w:rPr>
      </w:pPr>
      <w:r>
        <w:rPr>
          <w:b/>
          <w:color w:val="auto"/>
          <w:sz w:val="24"/>
          <w:szCs w:val="24"/>
          <w:shd w:val="clear" w:color="auto" w:fill="auto"/>
        </w:rPr>
        <w:t>6.</w:t>
      </w:r>
      <w:r>
        <w:rPr>
          <w:rFonts w:hint="eastAsia"/>
          <w:b/>
          <w:color w:val="auto"/>
          <w:sz w:val="24"/>
          <w:szCs w:val="24"/>
          <w:shd w:val="clear" w:color="auto" w:fill="auto"/>
          <w:lang w:val="en-US" w:eastAsia="zh-CN"/>
        </w:rPr>
        <w:t>2</w:t>
      </w:r>
      <w:r>
        <w:rPr>
          <w:b/>
          <w:color w:val="auto"/>
          <w:sz w:val="24"/>
          <w:szCs w:val="24"/>
          <w:shd w:val="clear" w:color="auto" w:fill="auto"/>
        </w:rPr>
        <w:t xml:space="preserve">.1 </w:t>
      </w:r>
      <w:r>
        <w:rPr>
          <w:rFonts w:hAnsi="宋体"/>
          <w:color w:val="auto"/>
          <w:sz w:val="24"/>
          <w:szCs w:val="24"/>
          <w:shd w:val="clear" w:color="auto" w:fill="auto"/>
        </w:rPr>
        <w:t>民用建筑数据采集可与各级政府部门建立的数据监测平台、行业协会、企事业单位的数据库和可视化系统开展建材、供热、水电气等能源资源和环保数据的对接和开放。</w:t>
      </w:r>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监测</w:t>
      </w:r>
      <w:r>
        <w:rPr>
          <w:rFonts w:eastAsia="楷体" w:cstheme="minorBidi"/>
          <w:color w:val="auto"/>
          <w:kern w:val="2"/>
          <w:sz w:val="24"/>
          <w:szCs w:val="20"/>
          <w:shd w:val="clear" w:color="auto" w:fill="auto"/>
        </w:rPr>
        <w:t>平台类渠道与市场连接较为紧密，大量的数据都来源于企业，数据规模在某些年份比较全面、规模较大</w:t>
      </w:r>
      <w:r>
        <w:rPr>
          <w:rFonts w:hint="eastAsia" w:eastAsia="楷体" w:cstheme="minorBidi"/>
          <w:color w:val="auto"/>
          <w:kern w:val="2"/>
          <w:sz w:val="24"/>
          <w:szCs w:val="20"/>
          <w:shd w:val="clear" w:color="auto" w:fill="auto"/>
        </w:rPr>
        <w:t>。各政府部门、行业协会和企事业单位的数据平台共享和开放机制，对于建立系统性的民用建筑数据采集机制意义重大。</w:t>
      </w:r>
    </w:p>
    <w:p>
      <w:pPr>
        <w:spacing w:line="360" w:lineRule="auto"/>
        <w:rPr>
          <w:color w:val="auto"/>
          <w:sz w:val="24"/>
          <w:szCs w:val="24"/>
          <w:shd w:val="clear" w:color="auto" w:fill="auto"/>
        </w:rPr>
      </w:pPr>
      <w:r>
        <w:rPr>
          <w:b/>
          <w:color w:val="auto"/>
          <w:sz w:val="24"/>
          <w:szCs w:val="24"/>
          <w:shd w:val="clear" w:color="auto" w:fill="auto"/>
        </w:rPr>
        <w:t>6.</w:t>
      </w:r>
      <w:r>
        <w:rPr>
          <w:rFonts w:hint="eastAsia"/>
          <w:b/>
          <w:color w:val="auto"/>
          <w:sz w:val="24"/>
          <w:szCs w:val="24"/>
          <w:shd w:val="clear" w:color="auto" w:fill="auto"/>
          <w:lang w:val="en-US" w:eastAsia="zh-CN"/>
        </w:rPr>
        <w:t>2</w:t>
      </w:r>
      <w:bookmarkStart w:id="60" w:name="_GoBack"/>
      <w:bookmarkEnd w:id="60"/>
      <w:r>
        <w:rPr>
          <w:b/>
          <w:color w:val="auto"/>
          <w:sz w:val="24"/>
          <w:szCs w:val="24"/>
          <w:shd w:val="clear" w:color="auto" w:fill="auto"/>
        </w:rPr>
        <w:t>.2</w:t>
      </w:r>
      <w:r>
        <w:rPr>
          <w:rFonts w:hAnsi="宋体"/>
          <w:color w:val="auto"/>
          <w:sz w:val="24"/>
          <w:szCs w:val="24"/>
          <w:shd w:val="clear" w:color="auto" w:fill="auto"/>
        </w:rPr>
        <w:t>可采集相关行业协会和企事业单位的建筑用地、用能、用水、用材、碳排放等环境保护数据，进行汇总分析和处理。</w:t>
      </w:r>
    </w:p>
    <w:p>
      <w:pPr>
        <w:pStyle w:val="3"/>
        <w:spacing w:line="360" w:lineRule="auto"/>
        <w:jc w:val="center"/>
        <w:rPr>
          <w:rFonts w:ascii="Times New Roman" w:hAnsi="Times New Roman" w:eastAsia="宋体" w:cs="Times New Roman"/>
          <w:color w:val="auto"/>
          <w:sz w:val="24"/>
          <w:szCs w:val="24"/>
          <w:shd w:val="clear" w:color="auto" w:fill="auto"/>
        </w:rPr>
      </w:pPr>
      <w:bookmarkStart w:id="32" w:name="_Toc25114"/>
      <w:r>
        <w:rPr>
          <w:rFonts w:ascii="Times New Roman" w:hAnsi="Times New Roman" w:eastAsia="宋体" w:cs="Times New Roman"/>
          <w:color w:val="auto"/>
          <w:sz w:val="24"/>
          <w:szCs w:val="24"/>
          <w:shd w:val="clear" w:color="auto" w:fill="auto"/>
        </w:rPr>
        <w:t>6.3</w:t>
      </w:r>
      <w:r>
        <w:rPr>
          <w:rFonts w:ascii="Times New Roman" w:hAnsi="宋体" w:eastAsia="宋体" w:cs="Times New Roman"/>
          <w:color w:val="auto"/>
          <w:sz w:val="24"/>
          <w:szCs w:val="24"/>
          <w:shd w:val="clear" w:color="auto" w:fill="auto"/>
        </w:rPr>
        <w:t>实地调查数据采集</w:t>
      </w:r>
      <w:bookmarkEnd w:id="32"/>
    </w:p>
    <w:p>
      <w:pPr>
        <w:spacing w:line="360" w:lineRule="auto"/>
        <w:rPr>
          <w:rFonts w:hint="eastAsia" w:hAnsi="宋体"/>
          <w:color w:val="auto"/>
          <w:sz w:val="24"/>
          <w:szCs w:val="24"/>
          <w:shd w:val="clear" w:color="auto" w:fill="auto"/>
        </w:rPr>
      </w:pPr>
      <w:r>
        <w:rPr>
          <w:b/>
          <w:color w:val="auto"/>
          <w:sz w:val="24"/>
          <w:szCs w:val="24"/>
          <w:shd w:val="clear" w:color="auto" w:fill="auto"/>
        </w:rPr>
        <w:t>6.3.1</w:t>
      </w:r>
      <w:r>
        <w:rPr>
          <w:rFonts w:hAnsi="宋体"/>
          <w:color w:val="auto"/>
          <w:sz w:val="24"/>
          <w:szCs w:val="24"/>
          <w:shd w:val="clear" w:color="auto" w:fill="auto"/>
        </w:rPr>
        <w:t>实地调查数据采集手段包括手工记录方式和基于移动设备的自动数据采集方式。</w:t>
      </w:r>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eastAsia="楷体" w:cstheme="minorBidi"/>
          <w:color w:val="auto"/>
          <w:kern w:val="2"/>
          <w:sz w:val="24"/>
          <w:szCs w:val="20"/>
          <w:shd w:val="clear" w:color="auto" w:fill="auto"/>
        </w:rPr>
        <w:t>现有数据获取渠道较多，每种渠道的数据获取方法不同，其数据结构不同。</w:t>
      </w:r>
      <w:r>
        <w:rPr>
          <w:rFonts w:hint="eastAsia" w:eastAsia="楷体" w:cstheme="minorBidi"/>
          <w:color w:val="auto"/>
          <w:kern w:val="2"/>
          <w:sz w:val="24"/>
          <w:szCs w:val="20"/>
          <w:shd w:val="clear" w:color="auto" w:fill="auto"/>
        </w:rPr>
        <w:t>为了</w:t>
      </w:r>
      <w:r>
        <w:rPr>
          <w:rFonts w:eastAsia="楷体" w:cstheme="minorBidi"/>
          <w:color w:val="auto"/>
          <w:kern w:val="2"/>
          <w:sz w:val="24"/>
          <w:szCs w:val="20"/>
          <w:shd w:val="clear" w:color="auto" w:fill="auto"/>
        </w:rPr>
        <w:t>验证和测算校核不同渠道</w:t>
      </w:r>
      <w:r>
        <w:rPr>
          <w:rFonts w:hint="eastAsia" w:eastAsia="楷体" w:cstheme="minorBidi"/>
          <w:color w:val="auto"/>
          <w:kern w:val="2"/>
          <w:sz w:val="24"/>
          <w:szCs w:val="20"/>
          <w:shd w:val="clear" w:color="auto" w:fill="auto"/>
        </w:rPr>
        <w:t>数据</w:t>
      </w:r>
      <w:r>
        <w:rPr>
          <w:rFonts w:eastAsia="楷体" w:cstheme="minorBidi"/>
          <w:color w:val="auto"/>
          <w:kern w:val="2"/>
          <w:sz w:val="24"/>
          <w:szCs w:val="20"/>
          <w:shd w:val="clear" w:color="auto" w:fill="auto"/>
        </w:rPr>
        <w:t>，</w:t>
      </w:r>
      <w:r>
        <w:rPr>
          <w:rFonts w:hint="eastAsia" w:eastAsia="楷体" w:cstheme="minorBidi"/>
          <w:color w:val="auto"/>
          <w:kern w:val="2"/>
          <w:sz w:val="24"/>
          <w:szCs w:val="20"/>
          <w:shd w:val="clear" w:color="auto" w:fill="auto"/>
        </w:rPr>
        <w:t>可采用实地调查的方法验证数据来源的准确性和一致性，保证数据质量</w:t>
      </w:r>
      <w:r>
        <w:rPr>
          <w:rFonts w:eastAsia="楷体" w:cstheme="minorBidi"/>
          <w:color w:val="auto"/>
          <w:kern w:val="2"/>
          <w:sz w:val="24"/>
          <w:szCs w:val="20"/>
          <w:shd w:val="clear" w:color="auto" w:fill="auto"/>
        </w:rPr>
        <w:t>。</w:t>
      </w:r>
    </w:p>
    <w:p>
      <w:pPr>
        <w:spacing w:line="360" w:lineRule="auto"/>
        <w:rPr>
          <w:color w:val="auto"/>
          <w:sz w:val="24"/>
          <w:szCs w:val="24"/>
          <w:shd w:val="clear" w:color="auto" w:fill="auto"/>
        </w:rPr>
      </w:pPr>
      <w:r>
        <w:rPr>
          <w:b/>
          <w:color w:val="auto"/>
          <w:sz w:val="24"/>
          <w:szCs w:val="24"/>
          <w:shd w:val="clear" w:color="auto" w:fill="auto"/>
        </w:rPr>
        <w:t>6.3.2</w:t>
      </w:r>
      <w:r>
        <w:rPr>
          <w:rFonts w:hAnsi="宋体"/>
          <w:color w:val="auto"/>
          <w:sz w:val="24"/>
          <w:szCs w:val="24"/>
          <w:shd w:val="clear" w:color="auto" w:fill="auto"/>
        </w:rPr>
        <w:t>手工记录方式：通过现场仪器设备或预先布置的计量测试设备获取民用建筑数据的相关信息，以手工记录的方式进行收集；</w:t>
      </w:r>
    </w:p>
    <w:p>
      <w:pPr>
        <w:spacing w:line="360" w:lineRule="auto"/>
        <w:rPr>
          <w:color w:val="auto"/>
          <w:sz w:val="24"/>
          <w:szCs w:val="24"/>
          <w:shd w:val="clear" w:color="auto" w:fill="auto"/>
        </w:rPr>
      </w:pPr>
      <w:r>
        <w:rPr>
          <w:b/>
          <w:color w:val="auto"/>
          <w:sz w:val="24"/>
          <w:szCs w:val="24"/>
          <w:shd w:val="clear" w:color="auto" w:fill="auto"/>
        </w:rPr>
        <w:t>6.3.3</w:t>
      </w:r>
      <w:r>
        <w:rPr>
          <w:rFonts w:hAnsi="宋体"/>
          <w:color w:val="auto"/>
          <w:sz w:val="24"/>
          <w:szCs w:val="24"/>
          <w:shd w:val="clear" w:color="auto" w:fill="auto"/>
        </w:rPr>
        <w:t>基于移动设备的自动数据采集方式：通过移动终端设备及专业数据采集软件，实时收集、上报民用建筑数据。</w:t>
      </w:r>
    </w:p>
    <w:p>
      <w:pPr>
        <w:pStyle w:val="3"/>
        <w:spacing w:line="360" w:lineRule="auto"/>
        <w:jc w:val="center"/>
        <w:rPr>
          <w:rFonts w:ascii="Times New Roman" w:hAnsi="Times New Roman" w:eastAsia="宋体" w:cs="Times New Roman"/>
          <w:color w:val="auto"/>
          <w:sz w:val="24"/>
          <w:szCs w:val="24"/>
          <w:shd w:val="clear" w:color="auto" w:fill="auto"/>
        </w:rPr>
      </w:pPr>
      <w:bookmarkStart w:id="33" w:name="_Toc15754"/>
      <w:r>
        <w:rPr>
          <w:rFonts w:ascii="Times New Roman" w:hAnsi="Times New Roman" w:eastAsia="宋体" w:cs="Times New Roman"/>
          <w:color w:val="auto"/>
          <w:sz w:val="24"/>
          <w:szCs w:val="24"/>
          <w:shd w:val="clear" w:color="auto" w:fill="auto"/>
        </w:rPr>
        <w:t>6.4</w:t>
      </w:r>
      <w:r>
        <w:rPr>
          <w:rFonts w:ascii="Times New Roman" w:hAnsi="宋体" w:eastAsia="宋体" w:cs="Times New Roman"/>
          <w:color w:val="auto"/>
          <w:sz w:val="24"/>
          <w:szCs w:val="24"/>
          <w:shd w:val="clear" w:color="auto" w:fill="auto"/>
        </w:rPr>
        <w:t>问卷调查和访谈采集</w:t>
      </w:r>
      <w:bookmarkEnd w:id="33"/>
    </w:p>
    <w:p>
      <w:pPr>
        <w:spacing w:line="360" w:lineRule="auto"/>
        <w:rPr>
          <w:color w:val="auto"/>
          <w:sz w:val="24"/>
          <w:szCs w:val="24"/>
          <w:shd w:val="clear" w:color="auto" w:fill="auto"/>
        </w:rPr>
      </w:pPr>
      <w:r>
        <w:rPr>
          <w:b/>
          <w:color w:val="auto"/>
          <w:sz w:val="24"/>
          <w:szCs w:val="24"/>
          <w:shd w:val="clear" w:color="auto" w:fill="auto"/>
        </w:rPr>
        <w:t xml:space="preserve">6.4.1 </w:t>
      </w:r>
      <w:r>
        <w:rPr>
          <w:rFonts w:hAnsi="宋体"/>
          <w:color w:val="auto"/>
          <w:sz w:val="24"/>
          <w:szCs w:val="24"/>
          <w:shd w:val="clear" w:color="auto" w:fill="auto"/>
        </w:rPr>
        <w:t>问卷调查：针对具体的数据采集目标，通过既定的问题来收集民用建筑专项数据</w:t>
      </w:r>
      <w:r>
        <w:rPr>
          <w:rFonts w:hint="eastAsia" w:hAnsi="宋体"/>
          <w:color w:val="auto"/>
          <w:sz w:val="24"/>
          <w:szCs w:val="24"/>
          <w:shd w:val="clear" w:color="auto" w:fill="auto"/>
        </w:rPr>
        <w:t>。</w:t>
      </w:r>
    </w:p>
    <w:p>
      <w:pPr>
        <w:spacing w:line="360" w:lineRule="auto"/>
        <w:rPr>
          <w:rFonts w:hint="eastAsia" w:hAnsi="宋体"/>
          <w:color w:val="auto"/>
          <w:sz w:val="24"/>
          <w:szCs w:val="24"/>
          <w:shd w:val="clear" w:color="auto" w:fill="auto"/>
        </w:rPr>
      </w:pPr>
      <w:r>
        <w:rPr>
          <w:b/>
          <w:color w:val="auto"/>
          <w:sz w:val="24"/>
          <w:szCs w:val="24"/>
          <w:shd w:val="clear" w:color="auto" w:fill="auto"/>
        </w:rPr>
        <w:t xml:space="preserve">6.4.2 </w:t>
      </w:r>
      <w:r>
        <w:rPr>
          <w:rFonts w:hAnsi="宋体"/>
          <w:color w:val="auto"/>
          <w:sz w:val="24"/>
          <w:szCs w:val="24"/>
          <w:shd w:val="clear" w:color="auto" w:fill="auto"/>
        </w:rPr>
        <w:t>访谈采集：结合建筑实际考察等，以调研、会议等形式收集民用建筑数据资源材料。</w:t>
      </w:r>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为了</w:t>
      </w:r>
      <w:r>
        <w:rPr>
          <w:rFonts w:eastAsia="楷体" w:cstheme="minorBidi"/>
          <w:color w:val="auto"/>
          <w:kern w:val="2"/>
          <w:sz w:val="24"/>
          <w:szCs w:val="20"/>
          <w:shd w:val="clear" w:color="auto" w:fill="auto"/>
        </w:rPr>
        <w:t>验证和测算</w:t>
      </w:r>
      <w:r>
        <w:rPr>
          <w:rFonts w:hint="eastAsia" w:eastAsia="楷体" w:cstheme="minorBidi"/>
          <w:color w:val="auto"/>
          <w:kern w:val="2"/>
          <w:sz w:val="24"/>
          <w:szCs w:val="20"/>
          <w:shd w:val="clear" w:color="auto" w:fill="auto"/>
        </w:rPr>
        <w:t>某项</w:t>
      </w:r>
      <w:r>
        <w:rPr>
          <w:rFonts w:eastAsia="楷体" w:cstheme="minorBidi"/>
          <w:color w:val="auto"/>
          <w:kern w:val="2"/>
          <w:sz w:val="24"/>
          <w:szCs w:val="20"/>
          <w:shd w:val="clear" w:color="auto" w:fill="auto"/>
        </w:rPr>
        <w:t>关键数据指标，</w:t>
      </w:r>
      <w:r>
        <w:rPr>
          <w:rFonts w:hint="eastAsia" w:eastAsia="楷体" w:cstheme="minorBidi"/>
          <w:color w:val="auto"/>
          <w:kern w:val="2"/>
          <w:sz w:val="24"/>
          <w:szCs w:val="20"/>
          <w:shd w:val="clear" w:color="auto" w:fill="auto"/>
        </w:rPr>
        <w:t>可采用问卷调查和访谈方法验证数据来源的准确性和一致性，保证数据质量</w:t>
      </w:r>
      <w:r>
        <w:rPr>
          <w:rFonts w:eastAsia="楷体" w:cstheme="minorBidi"/>
          <w:color w:val="auto"/>
          <w:kern w:val="2"/>
          <w:sz w:val="24"/>
          <w:szCs w:val="20"/>
          <w:shd w:val="clear" w:color="auto" w:fill="auto"/>
        </w:rPr>
        <w:t>。</w:t>
      </w:r>
    </w:p>
    <w:p>
      <w:pPr>
        <w:spacing w:line="360" w:lineRule="auto"/>
        <w:rPr>
          <w:color w:val="auto"/>
          <w:sz w:val="24"/>
          <w:szCs w:val="24"/>
          <w:shd w:val="clear" w:color="auto" w:fill="auto"/>
        </w:rPr>
      </w:pPr>
    </w:p>
    <w:p>
      <w:pPr>
        <w:pStyle w:val="3"/>
        <w:spacing w:line="360" w:lineRule="auto"/>
        <w:jc w:val="center"/>
        <w:rPr>
          <w:rFonts w:ascii="Times New Roman" w:hAnsi="Times New Roman" w:eastAsia="宋体" w:cs="Times New Roman"/>
          <w:color w:val="auto"/>
          <w:sz w:val="24"/>
          <w:szCs w:val="24"/>
          <w:shd w:val="clear" w:color="auto" w:fill="auto"/>
        </w:rPr>
      </w:pPr>
      <w:bookmarkStart w:id="34" w:name="_Toc8799"/>
      <w:r>
        <w:rPr>
          <w:rFonts w:ascii="Times New Roman" w:hAnsi="Times New Roman" w:eastAsia="宋体" w:cs="Times New Roman"/>
          <w:color w:val="auto"/>
          <w:sz w:val="24"/>
          <w:szCs w:val="24"/>
          <w:shd w:val="clear" w:color="auto" w:fill="auto"/>
        </w:rPr>
        <w:t>6.5</w:t>
      </w:r>
      <w:r>
        <w:rPr>
          <w:rFonts w:ascii="Times New Roman" w:hAnsi="宋体" w:eastAsia="宋体" w:cs="Times New Roman"/>
          <w:color w:val="auto"/>
          <w:sz w:val="24"/>
          <w:szCs w:val="24"/>
          <w:shd w:val="clear" w:color="auto" w:fill="auto"/>
        </w:rPr>
        <w:t>物联网和传感器采集</w:t>
      </w:r>
      <w:bookmarkEnd w:id="34"/>
    </w:p>
    <w:p>
      <w:pPr>
        <w:spacing w:line="360" w:lineRule="auto"/>
        <w:rPr>
          <w:color w:val="auto"/>
          <w:sz w:val="24"/>
          <w:szCs w:val="24"/>
          <w:shd w:val="clear" w:color="auto" w:fill="auto"/>
        </w:rPr>
      </w:pPr>
      <w:r>
        <w:rPr>
          <w:b/>
          <w:color w:val="auto"/>
          <w:sz w:val="24"/>
          <w:szCs w:val="24"/>
          <w:shd w:val="clear" w:color="auto" w:fill="auto"/>
        </w:rPr>
        <w:t>6.5.1</w:t>
      </w:r>
      <w:r>
        <w:rPr>
          <w:rFonts w:hAnsi="宋体"/>
          <w:color w:val="auto"/>
          <w:sz w:val="24"/>
          <w:szCs w:val="24"/>
          <w:shd w:val="clear" w:color="auto" w:fill="auto"/>
        </w:rPr>
        <w:t>通过水、热、电、气等远传计量仪表、温度传感器、湿度传感器、气体感应器、红外感应器、摄像头等物联网和信息传感设备，可将数据动态、实时传回数据监测中心，实现对建筑信息的智能化识别、监测和管理等，主要用于水、热、电、气等能源资源消耗数据采集，以及碳排放、颗粒物等环境保护数据信息的采集等。</w:t>
      </w:r>
    </w:p>
    <w:p>
      <w:pPr>
        <w:spacing w:line="360" w:lineRule="auto"/>
        <w:rPr>
          <w:color w:val="auto"/>
          <w:sz w:val="24"/>
          <w:szCs w:val="24"/>
          <w:shd w:val="clear" w:color="auto" w:fill="auto"/>
        </w:rPr>
      </w:pPr>
      <w:r>
        <w:rPr>
          <w:b/>
          <w:color w:val="auto"/>
          <w:sz w:val="24"/>
          <w:szCs w:val="24"/>
          <w:shd w:val="clear" w:color="auto" w:fill="auto"/>
        </w:rPr>
        <w:t xml:space="preserve">6.5.2 </w:t>
      </w:r>
      <w:r>
        <w:rPr>
          <w:rFonts w:hAnsi="宋体"/>
          <w:color w:val="auto"/>
          <w:sz w:val="24"/>
          <w:szCs w:val="24"/>
          <w:shd w:val="clear" w:color="auto" w:fill="auto"/>
        </w:rPr>
        <w:t>可采用卫星遥感影像、航空遥感影像等数据采集。</w:t>
      </w:r>
    </w:p>
    <w:p>
      <w:pPr>
        <w:spacing w:line="360" w:lineRule="auto"/>
        <w:ind w:firstLine="480" w:firstLineChars="200"/>
        <w:rPr>
          <w:color w:val="auto"/>
          <w:sz w:val="24"/>
          <w:szCs w:val="24"/>
          <w:shd w:val="clear" w:color="auto" w:fill="auto"/>
        </w:rPr>
      </w:pPr>
      <w:r>
        <w:rPr>
          <w:color w:val="auto"/>
          <w:sz w:val="24"/>
          <w:szCs w:val="24"/>
          <w:shd w:val="clear" w:color="auto" w:fill="auto"/>
        </w:rPr>
        <w:t xml:space="preserve">1 </w:t>
      </w:r>
      <w:r>
        <w:rPr>
          <w:rFonts w:hAnsi="宋体"/>
          <w:color w:val="auto"/>
          <w:sz w:val="24"/>
          <w:szCs w:val="24"/>
          <w:shd w:val="clear" w:color="auto" w:fill="auto"/>
        </w:rPr>
        <w:t>遥感影像数据采集：通过国内外卫星遥感技术获取用地轮廓等影像数据，包括全色影像、多光谱影像及高光谱影像等开展建筑数据和信息采集；</w:t>
      </w:r>
    </w:p>
    <w:p>
      <w:pPr>
        <w:spacing w:line="360" w:lineRule="auto"/>
        <w:ind w:firstLine="480" w:firstLineChars="200"/>
        <w:rPr>
          <w:rFonts w:hint="eastAsia" w:hAnsi="宋体"/>
          <w:color w:val="auto"/>
          <w:sz w:val="24"/>
          <w:szCs w:val="24"/>
          <w:shd w:val="clear" w:color="auto" w:fill="auto"/>
        </w:rPr>
      </w:pPr>
      <w:r>
        <w:rPr>
          <w:color w:val="auto"/>
          <w:sz w:val="24"/>
          <w:szCs w:val="24"/>
          <w:shd w:val="clear" w:color="auto" w:fill="auto"/>
        </w:rPr>
        <w:t xml:space="preserve">2 </w:t>
      </w:r>
      <w:r>
        <w:rPr>
          <w:rFonts w:hAnsi="宋体"/>
          <w:color w:val="auto"/>
          <w:sz w:val="24"/>
          <w:szCs w:val="24"/>
          <w:shd w:val="clear" w:color="auto" w:fill="auto"/>
        </w:rPr>
        <w:t>航空遥感影像数据采集：通过飞机、飞艇等航拍设备获取街景图片等数据，如利用无人机搭载多</w:t>
      </w:r>
      <w:r>
        <w:rPr>
          <w:color w:val="auto"/>
          <w:sz w:val="24"/>
          <w:szCs w:val="24"/>
          <w:shd w:val="clear" w:color="auto" w:fill="auto"/>
        </w:rPr>
        <w:t xml:space="preserve"> </w:t>
      </w:r>
      <w:r>
        <w:rPr>
          <w:rFonts w:hAnsi="宋体"/>
          <w:color w:val="auto"/>
          <w:sz w:val="24"/>
          <w:szCs w:val="24"/>
          <w:shd w:val="clear" w:color="auto" w:fill="auto"/>
        </w:rPr>
        <w:t>光谱成像仪、数码相机、红外扫描仪等设备，实现建筑数据的采集。</w:t>
      </w:r>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eastAsia="楷体" w:cstheme="minorBidi"/>
          <w:color w:val="auto"/>
          <w:kern w:val="2"/>
          <w:sz w:val="24"/>
          <w:szCs w:val="20"/>
          <w:shd w:val="clear" w:color="auto" w:fill="auto"/>
        </w:rPr>
        <w:t>遥感技术包含定位技术、灯光遥感影像、光学遥感影像、微波遥感影像等多种卫星遥感技术。通过应用多种卫星遥感技术，可获取到如城市的建筑用地数据、建筑面积、容积率、建筑物高程等相关数据。</w:t>
      </w:r>
    </w:p>
    <w:p>
      <w:pPr>
        <w:spacing w:line="360" w:lineRule="auto"/>
        <w:rPr>
          <w:color w:val="auto"/>
          <w:sz w:val="24"/>
          <w:szCs w:val="24"/>
          <w:shd w:val="clear" w:color="auto" w:fill="auto"/>
        </w:rPr>
      </w:pPr>
    </w:p>
    <w:p>
      <w:pPr>
        <w:pStyle w:val="3"/>
        <w:spacing w:line="360" w:lineRule="auto"/>
        <w:jc w:val="center"/>
        <w:rPr>
          <w:rFonts w:ascii="Times New Roman" w:hAnsi="Times New Roman" w:eastAsia="宋体" w:cs="Times New Roman"/>
          <w:color w:val="auto"/>
          <w:sz w:val="24"/>
          <w:szCs w:val="24"/>
          <w:shd w:val="clear" w:color="auto" w:fill="auto"/>
        </w:rPr>
      </w:pPr>
      <w:bookmarkStart w:id="35" w:name="_Toc23200"/>
      <w:r>
        <w:rPr>
          <w:rFonts w:ascii="Times New Roman" w:hAnsi="Times New Roman" w:eastAsia="宋体" w:cs="Times New Roman"/>
          <w:color w:val="auto"/>
          <w:sz w:val="24"/>
          <w:szCs w:val="24"/>
          <w:shd w:val="clear" w:color="auto" w:fill="auto"/>
        </w:rPr>
        <w:t>6.6</w:t>
      </w:r>
      <w:r>
        <w:rPr>
          <w:rFonts w:ascii="Times New Roman" w:hAnsi="宋体" w:eastAsia="宋体" w:cs="Times New Roman"/>
          <w:color w:val="auto"/>
          <w:sz w:val="24"/>
          <w:szCs w:val="24"/>
          <w:shd w:val="clear" w:color="auto" w:fill="auto"/>
        </w:rPr>
        <w:t>互联网数据采集</w:t>
      </w:r>
      <w:bookmarkEnd w:id="35"/>
    </w:p>
    <w:p>
      <w:pPr>
        <w:spacing w:line="360" w:lineRule="auto"/>
        <w:rPr>
          <w:rFonts w:hint="eastAsia" w:hAnsi="宋体"/>
          <w:color w:val="auto"/>
          <w:sz w:val="24"/>
          <w:szCs w:val="24"/>
          <w:shd w:val="clear" w:color="auto" w:fill="auto"/>
        </w:rPr>
      </w:pPr>
      <w:r>
        <w:rPr>
          <w:b/>
          <w:color w:val="auto"/>
          <w:sz w:val="24"/>
          <w:szCs w:val="24"/>
          <w:shd w:val="clear" w:color="auto" w:fill="auto"/>
        </w:rPr>
        <w:t>6.6.1</w:t>
      </w:r>
      <w:r>
        <w:rPr>
          <w:rFonts w:hAnsi="宋体"/>
          <w:color w:val="auto"/>
          <w:sz w:val="24"/>
          <w:szCs w:val="24"/>
          <w:shd w:val="clear" w:color="auto" w:fill="auto"/>
        </w:rPr>
        <w:t>采用大数据、互联网和云计算等技术，在移动终端、便携式计算机、台式计算机等互联网应用设备中，抓取建筑用地、用能、用水、用材、碳排放等环境保护数据相关信息和数据</w:t>
      </w:r>
      <w:r>
        <w:rPr>
          <w:rFonts w:hint="eastAsia" w:hAnsi="宋体"/>
          <w:color w:val="auto"/>
          <w:sz w:val="24"/>
          <w:szCs w:val="24"/>
          <w:shd w:val="clear" w:color="auto" w:fill="auto"/>
        </w:rPr>
        <w:t>。</w:t>
      </w:r>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在大数据时代，绝大多数信息是用数字直观表达的。民用建筑能源资源和环境保护数据不仅包含能源类数据，还包含了大量其他类别的结构化和非结构化数据，如资源环境、建筑物本体数据等。</w:t>
      </w:r>
    </w:p>
    <w:p>
      <w:pPr>
        <w:spacing w:line="360" w:lineRule="auto"/>
        <w:rPr>
          <w:color w:val="auto"/>
          <w:sz w:val="24"/>
          <w:szCs w:val="24"/>
          <w:shd w:val="clear" w:color="auto" w:fill="auto"/>
        </w:rPr>
      </w:pPr>
      <w:r>
        <w:rPr>
          <w:rFonts w:hint="eastAsia"/>
          <w:b/>
          <w:color w:val="auto"/>
          <w:sz w:val="24"/>
          <w:szCs w:val="24"/>
          <w:shd w:val="clear" w:color="auto" w:fill="auto"/>
        </w:rPr>
        <w:t>6.6.2</w:t>
      </w:r>
      <w:r>
        <w:rPr>
          <w:rFonts w:hint="eastAsia" w:hAnsi="宋体"/>
          <w:color w:val="auto"/>
          <w:sz w:val="24"/>
          <w:szCs w:val="24"/>
          <w:shd w:val="clear" w:color="auto" w:fill="auto"/>
        </w:rPr>
        <w:t>可通过</w:t>
      </w:r>
      <w:r>
        <w:rPr>
          <w:rFonts w:hAnsi="宋体"/>
          <w:color w:val="auto"/>
          <w:sz w:val="24"/>
          <w:szCs w:val="24"/>
          <w:shd w:val="clear" w:color="auto" w:fill="auto"/>
        </w:rPr>
        <w:t>互联网上的相关监测数据、数据库平台、网络业务系统应用中的痕迹数据，进行民用建筑各类数据的校核</w:t>
      </w:r>
      <w:r>
        <w:rPr>
          <w:rFonts w:hint="eastAsia" w:hAnsi="宋体"/>
          <w:color w:val="auto"/>
          <w:sz w:val="24"/>
          <w:szCs w:val="24"/>
          <w:shd w:val="clear" w:color="auto" w:fill="auto"/>
        </w:rPr>
        <w:t>和数据比对</w:t>
      </w:r>
      <w:r>
        <w:rPr>
          <w:rFonts w:hAnsi="宋体"/>
          <w:color w:val="auto"/>
          <w:sz w:val="24"/>
          <w:szCs w:val="24"/>
          <w:shd w:val="clear" w:color="auto" w:fill="auto"/>
        </w:rPr>
        <w:t>。</w:t>
      </w:r>
    </w:p>
    <w:p>
      <w:pPr>
        <w:widowControl/>
        <w:jc w:val="left"/>
        <w:rPr>
          <w:b/>
          <w:color w:val="auto"/>
          <w:kern w:val="44"/>
          <w:sz w:val="28"/>
          <w:szCs w:val="20"/>
          <w:shd w:val="clear" w:color="auto" w:fill="auto"/>
        </w:rPr>
      </w:pPr>
      <w:r>
        <w:rPr>
          <w:b/>
          <w:color w:val="auto"/>
          <w:kern w:val="44"/>
          <w:sz w:val="28"/>
          <w:szCs w:val="20"/>
          <w:shd w:val="clear" w:color="auto" w:fill="auto"/>
        </w:rPr>
        <w:br w:type="page"/>
      </w:r>
    </w:p>
    <w:p>
      <w:pPr>
        <w:pStyle w:val="59"/>
        <w:numPr>
          <w:ilvl w:val="0"/>
          <w:numId w:val="1"/>
        </w:numPr>
        <w:ind w:left="0" w:firstLine="0"/>
        <w:rPr>
          <w:rFonts w:eastAsia="宋体"/>
          <w:b/>
          <w:color w:val="auto"/>
          <w:sz w:val="32"/>
          <w:szCs w:val="32"/>
          <w:shd w:val="clear" w:color="auto" w:fill="auto"/>
        </w:rPr>
      </w:pPr>
      <w:bookmarkStart w:id="36" w:name="_Toc22797"/>
      <w:r>
        <w:rPr>
          <w:rFonts w:hAnsi="宋体" w:eastAsia="宋体"/>
          <w:b/>
          <w:color w:val="auto"/>
          <w:sz w:val="32"/>
          <w:szCs w:val="32"/>
          <w:shd w:val="clear" w:color="auto" w:fill="auto"/>
        </w:rPr>
        <w:t>数据处理要求</w:t>
      </w:r>
      <w:bookmarkEnd w:id="36"/>
    </w:p>
    <w:p>
      <w:pPr>
        <w:pStyle w:val="3"/>
        <w:spacing w:line="360" w:lineRule="auto"/>
        <w:jc w:val="center"/>
        <w:rPr>
          <w:rFonts w:ascii="Times New Roman" w:hAnsi="Times New Roman" w:eastAsia="宋体" w:cs="Times New Roman"/>
          <w:color w:val="auto"/>
          <w:sz w:val="24"/>
          <w:szCs w:val="24"/>
          <w:shd w:val="clear" w:color="auto" w:fill="auto"/>
        </w:rPr>
      </w:pPr>
      <w:bookmarkStart w:id="37" w:name="_Toc5607"/>
      <w:bookmarkStart w:id="38" w:name="_Toc444269092"/>
      <w:bookmarkStart w:id="39" w:name="_Toc5612"/>
      <w:bookmarkStart w:id="40" w:name="_Toc8844"/>
      <w:bookmarkStart w:id="41" w:name="_Toc436849135"/>
      <w:bookmarkStart w:id="42" w:name="_Toc444270303"/>
      <w:bookmarkStart w:id="43" w:name="_Toc436895042"/>
      <w:bookmarkStart w:id="44" w:name="_Toc6623"/>
      <w:bookmarkStart w:id="45" w:name="_Toc443924884"/>
      <w:bookmarkStart w:id="46" w:name="_Toc56005127"/>
      <w:bookmarkStart w:id="47" w:name="_Toc512327043"/>
      <w:r>
        <w:rPr>
          <w:rFonts w:ascii="Times New Roman" w:hAnsi="Times New Roman" w:eastAsia="宋体" w:cs="Times New Roman"/>
          <w:color w:val="auto"/>
          <w:sz w:val="24"/>
          <w:szCs w:val="24"/>
          <w:shd w:val="clear" w:color="auto" w:fill="auto"/>
        </w:rPr>
        <w:t>7.1</w:t>
      </w:r>
      <w:r>
        <w:rPr>
          <w:rFonts w:ascii="Times New Roman" w:hAnsi="宋体" w:eastAsia="宋体" w:cs="Times New Roman"/>
          <w:color w:val="auto"/>
          <w:sz w:val="24"/>
          <w:szCs w:val="24"/>
          <w:shd w:val="clear" w:color="auto" w:fill="auto"/>
        </w:rPr>
        <w:t>数据分类和编目</w:t>
      </w:r>
      <w:bookmarkEnd w:id="37"/>
    </w:p>
    <w:p>
      <w:pPr>
        <w:spacing w:line="360" w:lineRule="auto"/>
        <w:rPr>
          <w:rFonts w:hint="eastAsia" w:hAnsi="宋体"/>
          <w:color w:val="auto"/>
          <w:sz w:val="24"/>
          <w:szCs w:val="24"/>
          <w:shd w:val="clear" w:color="auto" w:fill="auto"/>
        </w:rPr>
      </w:pPr>
      <w:r>
        <w:rPr>
          <w:b/>
          <w:color w:val="auto"/>
          <w:sz w:val="24"/>
          <w:szCs w:val="24"/>
          <w:shd w:val="clear" w:color="auto" w:fill="auto"/>
        </w:rPr>
        <w:t xml:space="preserve">7.1.1 </w:t>
      </w:r>
      <w:r>
        <w:rPr>
          <w:rFonts w:hAnsi="宋体"/>
          <w:color w:val="auto"/>
          <w:sz w:val="24"/>
          <w:szCs w:val="24"/>
          <w:shd w:val="clear" w:color="auto" w:fill="auto"/>
        </w:rPr>
        <w:t>应对民用建筑基础数据、专题数据和其他数据的信息和资源按照数据信息目录进行分类，数据信息目录通过对用地、用能、用水、用材、碳排放等环境保护数据各类信息资源进行梳理形成。</w:t>
      </w:r>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民用建筑数据体量庞大，需要专门建立数据分类和编目开展数据管理工作。</w:t>
      </w:r>
    </w:p>
    <w:p>
      <w:pPr>
        <w:spacing w:line="360" w:lineRule="auto"/>
        <w:rPr>
          <w:color w:val="auto"/>
          <w:sz w:val="24"/>
          <w:szCs w:val="24"/>
          <w:shd w:val="clear" w:color="auto" w:fill="auto"/>
        </w:rPr>
      </w:pPr>
      <w:r>
        <w:rPr>
          <w:b/>
          <w:color w:val="auto"/>
          <w:sz w:val="24"/>
          <w:szCs w:val="24"/>
          <w:shd w:val="clear" w:color="auto" w:fill="auto"/>
        </w:rPr>
        <w:t>7.1.2</w:t>
      </w:r>
      <w:r>
        <w:rPr>
          <w:rFonts w:hAnsi="宋体"/>
          <w:color w:val="auto"/>
          <w:sz w:val="24"/>
          <w:szCs w:val="24"/>
          <w:shd w:val="clear" w:color="auto" w:fill="auto"/>
        </w:rPr>
        <w:t>民用建筑数据和信息宜对数据标识信息、时间序列信息、数据质量信息、地域性信息等进行描述。</w:t>
      </w:r>
    </w:p>
    <w:p>
      <w:pPr>
        <w:spacing w:line="360" w:lineRule="auto"/>
        <w:rPr>
          <w:rFonts w:hint="eastAsia" w:hAnsi="宋体"/>
          <w:color w:val="auto"/>
          <w:sz w:val="24"/>
          <w:szCs w:val="24"/>
          <w:shd w:val="clear" w:color="auto" w:fill="auto"/>
        </w:rPr>
      </w:pPr>
      <w:r>
        <w:rPr>
          <w:b/>
          <w:color w:val="auto"/>
          <w:sz w:val="24"/>
          <w:szCs w:val="24"/>
          <w:shd w:val="clear" w:color="auto" w:fill="auto"/>
        </w:rPr>
        <w:t>7.1.3</w:t>
      </w:r>
      <w:r>
        <w:rPr>
          <w:rFonts w:hAnsi="宋体"/>
          <w:color w:val="auto"/>
          <w:sz w:val="24"/>
          <w:szCs w:val="24"/>
          <w:shd w:val="clear" w:color="auto" w:fill="auto"/>
        </w:rPr>
        <w:t>民用建筑数据应依据依据数据来源和内容不同，针对不同资源和信息进行编目，数据编目应层次分明、隶属关系明确，将数据信息资源按科学规律进行编目使其有序地存入计算机和数据库。</w:t>
      </w:r>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应有必要建立并不断完善民用建筑各类数据库和信息化系统。</w:t>
      </w:r>
    </w:p>
    <w:p>
      <w:pPr>
        <w:spacing w:line="360" w:lineRule="auto"/>
        <w:rPr>
          <w:color w:val="auto"/>
          <w:sz w:val="24"/>
          <w:szCs w:val="24"/>
          <w:shd w:val="clear" w:color="auto" w:fill="auto"/>
        </w:rPr>
      </w:pPr>
    </w:p>
    <w:p>
      <w:pPr>
        <w:pStyle w:val="3"/>
        <w:spacing w:line="360" w:lineRule="auto"/>
        <w:jc w:val="center"/>
        <w:rPr>
          <w:rFonts w:ascii="Times New Roman" w:hAnsi="Times New Roman" w:eastAsia="宋体" w:cs="Times New Roman"/>
          <w:color w:val="auto"/>
          <w:sz w:val="24"/>
          <w:szCs w:val="24"/>
          <w:shd w:val="clear" w:color="auto" w:fill="auto"/>
        </w:rPr>
      </w:pPr>
      <w:bookmarkStart w:id="48" w:name="_Toc28136"/>
      <w:r>
        <w:rPr>
          <w:rFonts w:ascii="Times New Roman" w:hAnsi="Times New Roman" w:eastAsia="宋体" w:cs="Times New Roman"/>
          <w:color w:val="auto"/>
          <w:sz w:val="24"/>
          <w:szCs w:val="24"/>
          <w:shd w:val="clear" w:color="auto" w:fill="auto"/>
        </w:rPr>
        <w:t>7.2</w:t>
      </w:r>
      <w:r>
        <w:rPr>
          <w:rFonts w:ascii="Times New Roman" w:hAnsi="宋体" w:eastAsia="宋体" w:cs="Times New Roman"/>
          <w:color w:val="auto"/>
          <w:sz w:val="24"/>
          <w:szCs w:val="24"/>
          <w:shd w:val="clear" w:color="auto" w:fill="auto"/>
        </w:rPr>
        <w:t>基础数据处理</w:t>
      </w:r>
      <w:bookmarkEnd w:id="48"/>
    </w:p>
    <w:p>
      <w:pPr>
        <w:spacing w:line="360" w:lineRule="auto"/>
        <w:rPr>
          <w:color w:val="auto"/>
          <w:sz w:val="24"/>
          <w:szCs w:val="24"/>
          <w:shd w:val="clear" w:color="auto" w:fill="auto"/>
        </w:rPr>
      </w:pPr>
      <w:r>
        <w:rPr>
          <w:b/>
          <w:color w:val="auto"/>
          <w:sz w:val="24"/>
          <w:szCs w:val="24"/>
          <w:shd w:val="clear" w:color="auto" w:fill="auto"/>
        </w:rPr>
        <w:t xml:space="preserve">7.2.1 </w:t>
      </w:r>
      <w:r>
        <w:rPr>
          <w:rFonts w:hAnsi="宋体"/>
          <w:color w:val="auto"/>
          <w:sz w:val="24"/>
          <w:szCs w:val="24"/>
          <w:shd w:val="clear" w:color="auto" w:fill="auto"/>
        </w:rPr>
        <w:t>民用建筑基础数据包括地理信息数据、人口数据、社会经济、气候数据、遥感影像数据等，应符合相关部门数据规定</w:t>
      </w:r>
      <w:r>
        <w:rPr>
          <w:rFonts w:hint="eastAsia" w:hAnsi="宋体"/>
          <w:color w:val="auto"/>
          <w:sz w:val="24"/>
          <w:szCs w:val="24"/>
          <w:shd w:val="clear" w:color="auto" w:fill="auto"/>
        </w:rPr>
        <w:t>。</w:t>
      </w:r>
    </w:p>
    <w:p>
      <w:pPr>
        <w:spacing w:line="360" w:lineRule="auto"/>
        <w:rPr>
          <w:color w:val="auto"/>
          <w:sz w:val="24"/>
          <w:szCs w:val="24"/>
          <w:shd w:val="clear" w:color="auto" w:fill="auto"/>
        </w:rPr>
      </w:pPr>
      <w:r>
        <w:rPr>
          <w:rFonts w:hint="eastAsia"/>
          <w:b/>
          <w:color w:val="auto"/>
          <w:sz w:val="24"/>
          <w:szCs w:val="24"/>
          <w:shd w:val="clear" w:color="auto" w:fill="auto"/>
        </w:rPr>
        <w:t>7.2.2</w:t>
      </w:r>
      <w:r>
        <w:rPr>
          <w:rFonts w:hAnsi="宋体"/>
          <w:color w:val="auto"/>
          <w:sz w:val="24"/>
          <w:szCs w:val="24"/>
          <w:shd w:val="clear" w:color="auto" w:fill="auto"/>
        </w:rPr>
        <w:t>基础地理信息数据按照《</w:t>
      </w:r>
      <w:r>
        <w:rPr>
          <w:color w:val="auto"/>
          <w:sz w:val="24"/>
          <w:szCs w:val="24"/>
          <w:shd w:val="clear" w:color="auto" w:fill="auto"/>
        </w:rPr>
        <w:t xml:space="preserve">GB/T 13923-2006 </w:t>
      </w:r>
      <w:r>
        <w:rPr>
          <w:rFonts w:hAnsi="宋体"/>
          <w:color w:val="auto"/>
          <w:sz w:val="24"/>
          <w:szCs w:val="24"/>
          <w:shd w:val="clear" w:color="auto" w:fill="auto"/>
        </w:rPr>
        <w:t>基础地理信息要素分类与代码》中规定</w:t>
      </w:r>
      <w:r>
        <w:rPr>
          <w:rFonts w:hint="eastAsia" w:hAnsi="宋体"/>
          <w:color w:val="auto"/>
          <w:sz w:val="24"/>
          <w:szCs w:val="24"/>
          <w:shd w:val="clear" w:color="auto" w:fill="auto"/>
        </w:rPr>
        <w:t>。</w:t>
      </w:r>
    </w:p>
    <w:p>
      <w:pPr>
        <w:spacing w:line="360" w:lineRule="auto"/>
        <w:rPr>
          <w:color w:val="auto"/>
          <w:sz w:val="24"/>
          <w:szCs w:val="24"/>
          <w:shd w:val="clear" w:color="auto" w:fill="auto"/>
        </w:rPr>
      </w:pPr>
      <w:r>
        <w:rPr>
          <w:rFonts w:hint="eastAsia"/>
          <w:b/>
          <w:color w:val="auto"/>
          <w:sz w:val="24"/>
          <w:szCs w:val="24"/>
          <w:shd w:val="clear" w:color="auto" w:fill="auto"/>
        </w:rPr>
        <w:t>7.2.3</w:t>
      </w:r>
      <w:r>
        <w:rPr>
          <w:rFonts w:hAnsi="宋体"/>
          <w:color w:val="auto"/>
          <w:sz w:val="24"/>
          <w:szCs w:val="24"/>
          <w:shd w:val="clear" w:color="auto" w:fill="auto"/>
        </w:rPr>
        <w:t>人口数据和社会经济等数据，应按照按照《</w:t>
      </w:r>
      <w:r>
        <w:rPr>
          <w:color w:val="auto"/>
          <w:sz w:val="24"/>
          <w:szCs w:val="24"/>
          <w:shd w:val="clear" w:color="auto" w:fill="auto"/>
        </w:rPr>
        <w:t xml:space="preserve">GB/T 24450-2009 </w:t>
      </w:r>
      <w:r>
        <w:rPr>
          <w:rFonts w:hAnsi="宋体"/>
          <w:color w:val="auto"/>
          <w:sz w:val="24"/>
          <w:szCs w:val="24"/>
          <w:shd w:val="clear" w:color="auto" w:fill="auto"/>
        </w:rPr>
        <w:t>社会经济目标分类与代码》等规范规定。</w:t>
      </w:r>
    </w:p>
    <w:p>
      <w:pPr>
        <w:pStyle w:val="3"/>
        <w:spacing w:line="360" w:lineRule="auto"/>
        <w:jc w:val="center"/>
        <w:rPr>
          <w:rFonts w:ascii="Times New Roman" w:hAnsi="Times New Roman" w:eastAsia="宋体" w:cs="Times New Roman"/>
          <w:color w:val="auto"/>
          <w:sz w:val="24"/>
          <w:szCs w:val="24"/>
          <w:shd w:val="clear" w:color="auto" w:fill="auto"/>
        </w:rPr>
      </w:pPr>
      <w:bookmarkStart w:id="49" w:name="_Toc21869"/>
      <w:r>
        <w:rPr>
          <w:rFonts w:ascii="Times New Roman" w:hAnsi="Times New Roman" w:eastAsia="宋体" w:cs="Times New Roman"/>
          <w:color w:val="auto"/>
          <w:sz w:val="24"/>
          <w:szCs w:val="24"/>
          <w:shd w:val="clear" w:color="auto" w:fill="auto"/>
        </w:rPr>
        <w:t>7.3</w:t>
      </w:r>
      <w:r>
        <w:rPr>
          <w:rFonts w:ascii="Times New Roman" w:hAnsi="宋体" w:eastAsia="宋体" w:cs="Times New Roman"/>
          <w:color w:val="auto"/>
          <w:sz w:val="24"/>
          <w:szCs w:val="24"/>
          <w:shd w:val="clear" w:color="auto" w:fill="auto"/>
        </w:rPr>
        <w:t>专题数据处理</w:t>
      </w:r>
      <w:bookmarkEnd w:id="49"/>
    </w:p>
    <w:p>
      <w:pPr>
        <w:spacing w:line="360" w:lineRule="auto"/>
        <w:rPr>
          <w:color w:val="auto"/>
          <w:sz w:val="24"/>
          <w:szCs w:val="24"/>
          <w:shd w:val="clear" w:color="auto" w:fill="auto"/>
        </w:rPr>
      </w:pPr>
      <w:r>
        <w:rPr>
          <w:b/>
          <w:color w:val="auto"/>
          <w:sz w:val="24"/>
          <w:szCs w:val="24"/>
          <w:shd w:val="clear" w:color="auto" w:fill="auto"/>
        </w:rPr>
        <w:t>7.3.1</w:t>
      </w:r>
      <w:r>
        <w:rPr>
          <w:rFonts w:hAnsi="宋体"/>
          <w:color w:val="auto"/>
          <w:sz w:val="24"/>
          <w:szCs w:val="24"/>
          <w:shd w:val="clear" w:color="auto" w:fill="auto"/>
        </w:rPr>
        <w:t>建筑用地、用能、用水、用材、碳排放等环境保护数据信息资源处理宜符合，应符合相关部门数据规定</w:t>
      </w:r>
      <w:r>
        <w:rPr>
          <w:rFonts w:hint="eastAsia" w:hAnsi="宋体"/>
          <w:color w:val="auto"/>
          <w:sz w:val="24"/>
          <w:szCs w:val="24"/>
          <w:shd w:val="clear" w:color="auto" w:fill="auto"/>
        </w:rPr>
        <w:t>。</w:t>
      </w:r>
    </w:p>
    <w:p>
      <w:pPr>
        <w:spacing w:line="360" w:lineRule="auto"/>
        <w:rPr>
          <w:color w:val="auto"/>
          <w:sz w:val="24"/>
          <w:szCs w:val="24"/>
          <w:shd w:val="clear" w:color="auto" w:fill="auto"/>
        </w:rPr>
      </w:pPr>
      <w:r>
        <w:rPr>
          <w:rFonts w:hint="eastAsia"/>
          <w:b/>
          <w:color w:val="auto"/>
          <w:sz w:val="24"/>
          <w:szCs w:val="24"/>
          <w:shd w:val="clear" w:color="auto" w:fill="auto"/>
        </w:rPr>
        <w:t>7.3.2</w:t>
      </w:r>
      <w:r>
        <w:rPr>
          <w:rFonts w:hAnsi="宋体"/>
          <w:color w:val="auto"/>
          <w:sz w:val="24"/>
          <w:szCs w:val="24"/>
          <w:shd w:val="clear" w:color="auto" w:fill="auto"/>
        </w:rPr>
        <w:t>建筑碳排放数据可参照《</w:t>
      </w:r>
      <w:r>
        <w:rPr>
          <w:color w:val="auto"/>
          <w:sz w:val="24"/>
          <w:szCs w:val="24"/>
          <w:shd w:val="clear" w:color="auto" w:fill="auto"/>
        </w:rPr>
        <w:t xml:space="preserve">GB/T 51366-2019 </w:t>
      </w:r>
      <w:r>
        <w:rPr>
          <w:rFonts w:hAnsi="宋体"/>
          <w:color w:val="auto"/>
          <w:sz w:val="24"/>
          <w:szCs w:val="24"/>
          <w:shd w:val="clear" w:color="auto" w:fill="auto"/>
        </w:rPr>
        <w:t>建筑碳排放计算标准》进行采集和处理；</w:t>
      </w:r>
    </w:p>
    <w:p>
      <w:pPr>
        <w:spacing w:line="360" w:lineRule="auto"/>
        <w:rPr>
          <w:color w:val="auto"/>
          <w:sz w:val="24"/>
          <w:szCs w:val="24"/>
          <w:shd w:val="clear" w:color="auto" w:fill="auto"/>
        </w:rPr>
      </w:pPr>
      <w:r>
        <w:rPr>
          <w:rFonts w:hint="eastAsia"/>
          <w:b/>
          <w:color w:val="auto"/>
          <w:sz w:val="24"/>
          <w:szCs w:val="24"/>
          <w:shd w:val="clear" w:color="auto" w:fill="auto"/>
        </w:rPr>
        <w:t>7.3.3</w:t>
      </w:r>
      <w:r>
        <w:rPr>
          <w:rFonts w:hAnsi="宋体"/>
          <w:color w:val="auto"/>
          <w:sz w:val="24"/>
          <w:szCs w:val="24"/>
          <w:shd w:val="clear" w:color="auto" w:fill="auto"/>
        </w:rPr>
        <w:t>建筑能耗和用能数据可参照《</w:t>
      </w:r>
      <w:r>
        <w:rPr>
          <w:color w:val="auto"/>
          <w:sz w:val="24"/>
          <w:szCs w:val="24"/>
          <w:shd w:val="clear" w:color="auto" w:fill="auto"/>
        </w:rPr>
        <w:t xml:space="preserve">JGJ/T 154-2007 </w:t>
      </w:r>
      <w:r>
        <w:rPr>
          <w:rFonts w:hAnsi="宋体"/>
          <w:color w:val="auto"/>
          <w:sz w:val="24"/>
          <w:szCs w:val="24"/>
          <w:shd w:val="clear" w:color="auto" w:fill="auto"/>
        </w:rPr>
        <w:t>民用建筑能耗数据采集标准》进行采集和处理；</w:t>
      </w:r>
    </w:p>
    <w:p>
      <w:pPr>
        <w:spacing w:line="360" w:lineRule="auto"/>
        <w:rPr>
          <w:color w:val="auto"/>
          <w:sz w:val="24"/>
          <w:szCs w:val="24"/>
          <w:shd w:val="clear" w:color="auto" w:fill="auto"/>
        </w:rPr>
      </w:pPr>
      <w:r>
        <w:rPr>
          <w:rFonts w:hint="eastAsia"/>
          <w:b/>
          <w:color w:val="auto"/>
          <w:sz w:val="24"/>
          <w:szCs w:val="24"/>
          <w:shd w:val="clear" w:color="auto" w:fill="auto"/>
        </w:rPr>
        <w:t>7.3.4</w:t>
      </w:r>
      <w:r>
        <w:rPr>
          <w:rFonts w:hAnsi="宋体"/>
          <w:color w:val="auto"/>
          <w:sz w:val="24"/>
          <w:szCs w:val="24"/>
          <w:shd w:val="clear" w:color="auto" w:fill="auto"/>
        </w:rPr>
        <w:t>建筑用材、用水、用地和环境保护等数据可参照《</w:t>
      </w:r>
      <w:r>
        <w:rPr>
          <w:color w:val="auto"/>
          <w:sz w:val="24"/>
          <w:szCs w:val="24"/>
          <w:shd w:val="clear" w:color="auto" w:fill="auto"/>
        </w:rPr>
        <w:t xml:space="preserve">GB/T 50378-2019 </w:t>
      </w:r>
      <w:r>
        <w:rPr>
          <w:rFonts w:hAnsi="宋体"/>
          <w:color w:val="auto"/>
          <w:sz w:val="24"/>
          <w:szCs w:val="24"/>
          <w:shd w:val="clear" w:color="auto" w:fill="auto"/>
        </w:rPr>
        <w:t>绿色建筑评价标准》进行采集和处理；</w:t>
      </w:r>
    </w:p>
    <w:p>
      <w:pPr>
        <w:pStyle w:val="3"/>
        <w:spacing w:line="360" w:lineRule="auto"/>
        <w:jc w:val="center"/>
        <w:rPr>
          <w:rFonts w:ascii="Times New Roman" w:hAnsi="Times New Roman" w:eastAsia="宋体" w:cs="Times New Roman"/>
          <w:color w:val="auto"/>
          <w:sz w:val="24"/>
          <w:szCs w:val="24"/>
          <w:shd w:val="clear" w:color="auto" w:fill="auto"/>
        </w:rPr>
      </w:pPr>
      <w:bookmarkStart w:id="50" w:name="_Toc16051"/>
      <w:r>
        <w:rPr>
          <w:rFonts w:ascii="Times New Roman" w:hAnsi="Times New Roman" w:eastAsia="宋体" w:cs="Times New Roman"/>
          <w:color w:val="auto"/>
          <w:sz w:val="24"/>
          <w:szCs w:val="24"/>
          <w:shd w:val="clear" w:color="auto" w:fill="auto"/>
        </w:rPr>
        <w:t>7.4</w:t>
      </w:r>
      <w:r>
        <w:rPr>
          <w:rFonts w:ascii="Times New Roman" w:hAnsi="宋体" w:eastAsia="宋体" w:cs="Times New Roman"/>
          <w:color w:val="auto"/>
          <w:sz w:val="24"/>
          <w:szCs w:val="24"/>
          <w:shd w:val="clear" w:color="auto" w:fill="auto"/>
        </w:rPr>
        <w:t>数据质量</w:t>
      </w:r>
      <w:bookmarkEnd w:id="50"/>
    </w:p>
    <w:p>
      <w:pPr>
        <w:spacing w:line="360" w:lineRule="auto"/>
        <w:rPr>
          <w:color w:val="auto"/>
          <w:sz w:val="24"/>
          <w:szCs w:val="24"/>
          <w:shd w:val="clear" w:color="auto" w:fill="auto"/>
        </w:rPr>
      </w:pPr>
      <w:r>
        <w:rPr>
          <w:b/>
          <w:color w:val="auto"/>
          <w:sz w:val="24"/>
          <w:szCs w:val="24"/>
          <w:shd w:val="clear" w:color="auto" w:fill="auto"/>
        </w:rPr>
        <w:t>7.4.1</w:t>
      </w:r>
      <w:r>
        <w:rPr>
          <w:rFonts w:hAnsi="宋体"/>
          <w:color w:val="auto"/>
          <w:sz w:val="24"/>
          <w:szCs w:val="24"/>
          <w:shd w:val="clear" w:color="auto" w:fill="auto"/>
        </w:rPr>
        <w:t>数据采集和处理过程中，应进行数据校核</w:t>
      </w:r>
      <w:r>
        <w:rPr>
          <w:rFonts w:hint="eastAsia" w:hAnsi="宋体"/>
          <w:color w:val="auto"/>
          <w:sz w:val="24"/>
          <w:szCs w:val="24"/>
          <w:shd w:val="clear" w:color="auto" w:fill="auto"/>
        </w:rPr>
        <w:t>，</w:t>
      </w:r>
      <w:r>
        <w:rPr>
          <w:rFonts w:hAnsi="宋体"/>
          <w:color w:val="auto"/>
          <w:sz w:val="24"/>
          <w:szCs w:val="24"/>
          <w:shd w:val="clear" w:color="auto" w:fill="auto"/>
        </w:rPr>
        <w:t>分析各数据之间独立性、链接和交叉等关系</w:t>
      </w:r>
      <w:r>
        <w:rPr>
          <w:rFonts w:hint="eastAsia" w:hAnsi="宋体"/>
          <w:color w:val="auto"/>
          <w:sz w:val="24"/>
          <w:szCs w:val="24"/>
          <w:shd w:val="clear" w:color="auto" w:fill="auto"/>
        </w:rPr>
        <w:t>，</w:t>
      </w:r>
      <w:r>
        <w:rPr>
          <w:rFonts w:hAnsi="宋体"/>
          <w:color w:val="auto"/>
          <w:sz w:val="24"/>
          <w:szCs w:val="24"/>
          <w:shd w:val="clear" w:color="auto" w:fill="auto"/>
        </w:rPr>
        <w:t>检查和校验建筑各类数据的时效性、地域性、正确性和完整性。</w:t>
      </w:r>
    </w:p>
    <w:p>
      <w:pPr>
        <w:spacing w:line="360" w:lineRule="auto"/>
        <w:rPr>
          <w:color w:val="auto"/>
          <w:sz w:val="24"/>
          <w:szCs w:val="24"/>
          <w:shd w:val="clear" w:color="auto" w:fill="auto"/>
        </w:rPr>
      </w:pPr>
      <w:r>
        <w:rPr>
          <w:b/>
          <w:color w:val="auto"/>
          <w:sz w:val="24"/>
          <w:szCs w:val="24"/>
          <w:shd w:val="clear" w:color="auto" w:fill="auto"/>
        </w:rPr>
        <w:t>7.4.2</w:t>
      </w:r>
      <w:r>
        <w:rPr>
          <w:rFonts w:hAnsi="宋体"/>
          <w:color w:val="auto"/>
          <w:sz w:val="24"/>
          <w:szCs w:val="24"/>
          <w:shd w:val="clear" w:color="auto" w:fill="auto"/>
        </w:rPr>
        <w:t>数据入库质量检查，数据编目存储前应对数据进行</w:t>
      </w:r>
      <w:r>
        <w:rPr>
          <w:color w:val="auto"/>
          <w:sz w:val="24"/>
          <w:szCs w:val="24"/>
          <w:shd w:val="clear" w:color="auto" w:fill="auto"/>
        </w:rPr>
        <w:t xml:space="preserve"> 100%</w:t>
      </w:r>
      <w:r>
        <w:rPr>
          <w:rFonts w:hAnsi="宋体"/>
          <w:color w:val="auto"/>
          <w:sz w:val="24"/>
          <w:szCs w:val="24"/>
          <w:shd w:val="clear" w:color="auto" w:fill="auto"/>
        </w:rPr>
        <w:t>的数据质量检查；数据入库后要对计算机自动输出成果进行检查，数据存储过程中要做整体的安全运行检查。</w:t>
      </w:r>
    </w:p>
    <w:p>
      <w:pPr>
        <w:pStyle w:val="3"/>
        <w:spacing w:line="360" w:lineRule="auto"/>
        <w:jc w:val="center"/>
        <w:rPr>
          <w:rFonts w:ascii="Times New Roman" w:hAnsi="Times New Roman" w:eastAsia="宋体" w:cs="Times New Roman"/>
          <w:color w:val="auto"/>
          <w:sz w:val="24"/>
          <w:szCs w:val="24"/>
          <w:shd w:val="clear" w:color="auto" w:fill="auto"/>
        </w:rPr>
      </w:pPr>
      <w:bookmarkStart w:id="51" w:name="_Toc6161"/>
      <w:r>
        <w:rPr>
          <w:rFonts w:ascii="Times New Roman" w:hAnsi="Times New Roman" w:eastAsia="宋体" w:cs="Times New Roman"/>
          <w:color w:val="auto"/>
          <w:sz w:val="24"/>
          <w:szCs w:val="24"/>
          <w:shd w:val="clear" w:color="auto" w:fill="auto"/>
        </w:rPr>
        <w:t>7.5</w:t>
      </w:r>
      <w:r>
        <w:rPr>
          <w:rFonts w:ascii="Times New Roman" w:hAnsi="宋体" w:eastAsia="宋体" w:cs="Times New Roman"/>
          <w:color w:val="auto"/>
          <w:sz w:val="24"/>
          <w:szCs w:val="24"/>
          <w:shd w:val="clear" w:color="auto" w:fill="auto"/>
        </w:rPr>
        <w:t>数据发布</w:t>
      </w:r>
      <w:bookmarkEnd w:id="51"/>
    </w:p>
    <w:p>
      <w:pPr>
        <w:spacing w:line="360" w:lineRule="auto"/>
        <w:rPr>
          <w:rFonts w:hint="eastAsia" w:hAnsi="宋体"/>
          <w:color w:val="auto"/>
          <w:sz w:val="24"/>
          <w:szCs w:val="24"/>
          <w:shd w:val="clear" w:color="auto" w:fill="auto"/>
        </w:rPr>
      </w:pPr>
      <w:r>
        <w:rPr>
          <w:b/>
          <w:color w:val="auto"/>
          <w:sz w:val="24"/>
          <w:szCs w:val="24"/>
          <w:shd w:val="clear" w:color="auto" w:fill="auto"/>
        </w:rPr>
        <w:t>7.5.1</w:t>
      </w:r>
      <w:r>
        <w:rPr>
          <w:rFonts w:hAnsi="宋体"/>
          <w:color w:val="auto"/>
          <w:sz w:val="24"/>
          <w:szCs w:val="24"/>
          <w:shd w:val="clear" w:color="auto" w:fill="auto"/>
        </w:rPr>
        <w:t>建筑用地、用能、用水、用材、碳排放等环境保护数据</w:t>
      </w:r>
      <w:r>
        <w:rPr>
          <w:rFonts w:hint="eastAsia" w:hAnsi="宋体"/>
          <w:color w:val="auto"/>
          <w:sz w:val="24"/>
          <w:szCs w:val="24"/>
          <w:shd w:val="clear" w:color="auto" w:fill="auto"/>
        </w:rPr>
        <w:t>，</w:t>
      </w:r>
      <w:r>
        <w:rPr>
          <w:rFonts w:hAnsi="宋体"/>
          <w:color w:val="auto"/>
          <w:sz w:val="24"/>
          <w:szCs w:val="24"/>
          <w:shd w:val="clear" w:color="auto" w:fill="auto"/>
        </w:rPr>
        <w:t>按照服务对象对住房和城乡建设领域各部门和行业协会、其他政府部门、公众发布相应的民用建筑信息资源和目录。</w:t>
      </w:r>
      <w:bookmarkEnd w:id="38"/>
      <w:bookmarkEnd w:id="39"/>
      <w:bookmarkEnd w:id="40"/>
      <w:bookmarkEnd w:id="41"/>
      <w:bookmarkEnd w:id="42"/>
      <w:bookmarkEnd w:id="43"/>
      <w:bookmarkEnd w:id="44"/>
      <w:bookmarkEnd w:id="45"/>
      <w:bookmarkEnd w:id="46"/>
      <w:bookmarkEnd w:id="47"/>
    </w:p>
    <w:p>
      <w:pPr>
        <w:spacing w:line="360" w:lineRule="auto"/>
        <w:rPr>
          <w:rFonts w:eastAsia="楷体" w:cstheme="minorBidi"/>
          <w:color w:val="auto"/>
          <w:kern w:val="2"/>
          <w:sz w:val="24"/>
          <w:szCs w:val="20"/>
          <w:shd w:val="clear" w:color="auto" w:fill="auto"/>
        </w:rPr>
      </w:pPr>
      <w:r>
        <w:rPr>
          <w:rFonts w:hint="eastAsia" w:ascii="楷体" w:hAnsi="楷体" w:eastAsia="楷体"/>
          <w:color w:val="auto"/>
          <w:sz w:val="24"/>
          <w:shd w:val="clear" w:color="auto" w:fill="auto"/>
        </w:rPr>
        <w:t>【条文说明】</w:t>
      </w:r>
      <w:r>
        <w:rPr>
          <w:rFonts w:hint="eastAsia" w:eastAsia="楷体" w:cstheme="minorBidi"/>
          <w:color w:val="auto"/>
          <w:kern w:val="2"/>
          <w:sz w:val="24"/>
          <w:szCs w:val="20"/>
          <w:shd w:val="clear" w:color="auto" w:fill="auto"/>
        </w:rPr>
        <w:t>根据数据采集和处理目标选择发布的范围。</w:t>
      </w:r>
    </w:p>
    <w:p>
      <w:pPr>
        <w:spacing w:line="360" w:lineRule="auto"/>
        <w:rPr>
          <w:rFonts w:hAnsi="宋体"/>
          <w:color w:val="auto"/>
          <w:sz w:val="24"/>
          <w:szCs w:val="24"/>
          <w:shd w:val="clear" w:color="auto" w:fill="auto"/>
        </w:rPr>
      </w:pPr>
      <w:r>
        <w:rPr>
          <w:rFonts w:hint="eastAsia"/>
          <w:b/>
          <w:color w:val="auto"/>
          <w:sz w:val="24"/>
          <w:szCs w:val="24"/>
          <w:shd w:val="clear" w:color="auto" w:fill="auto"/>
        </w:rPr>
        <w:t xml:space="preserve">7.5.2 </w:t>
      </w:r>
      <w:r>
        <w:rPr>
          <w:rFonts w:hint="eastAsia" w:hAnsi="宋体"/>
          <w:color w:val="auto"/>
          <w:sz w:val="24"/>
          <w:szCs w:val="24"/>
          <w:shd w:val="clear" w:color="auto" w:fill="auto"/>
        </w:rPr>
        <w:t>数据发布应符合国家和相关部门的对于数据管理、数据安全的规定。</w:t>
      </w:r>
    </w:p>
    <w:p>
      <w:pPr>
        <w:widowControl/>
        <w:jc w:val="left"/>
        <w:rPr>
          <w:color w:val="auto"/>
          <w:sz w:val="24"/>
          <w:szCs w:val="24"/>
          <w:shd w:val="clear" w:color="auto" w:fill="auto"/>
        </w:rPr>
      </w:pPr>
      <w:r>
        <w:rPr>
          <w:color w:val="auto"/>
          <w:sz w:val="24"/>
          <w:szCs w:val="24"/>
          <w:shd w:val="clear" w:color="auto" w:fill="auto"/>
        </w:rPr>
        <w:br w:type="page"/>
      </w:r>
    </w:p>
    <w:p>
      <w:pPr>
        <w:pStyle w:val="2"/>
        <w:jc w:val="center"/>
        <w:rPr>
          <w:rFonts w:hAnsi="宋体"/>
          <w:color w:val="auto"/>
          <w:sz w:val="28"/>
          <w:szCs w:val="28"/>
          <w:shd w:val="clear" w:color="auto" w:fill="auto"/>
        </w:rPr>
      </w:pPr>
      <w:bookmarkStart w:id="52" w:name="_Toc85815779"/>
      <w:bookmarkStart w:id="53" w:name="_Toc11862"/>
      <w:r>
        <w:rPr>
          <w:rFonts w:hAnsi="宋体"/>
          <w:color w:val="auto"/>
          <w:sz w:val="28"/>
          <w:szCs w:val="28"/>
          <w:shd w:val="clear" w:color="auto" w:fill="auto"/>
        </w:rPr>
        <w:t>本标准用词说明</w:t>
      </w:r>
      <w:bookmarkEnd w:id="52"/>
      <w:bookmarkEnd w:id="53"/>
      <w:r>
        <w:rPr>
          <w:rFonts w:hAnsi="宋体"/>
          <w:color w:val="auto"/>
          <w:sz w:val="28"/>
          <w:szCs w:val="28"/>
          <w:shd w:val="clear" w:color="auto" w:fill="auto"/>
        </w:rPr>
        <w:t xml:space="preserve"> </w:t>
      </w:r>
    </w:p>
    <w:p>
      <w:pPr>
        <w:widowControl/>
        <w:spacing w:line="360" w:lineRule="auto"/>
        <w:jc w:val="left"/>
        <w:rPr>
          <w:color w:val="auto"/>
          <w:sz w:val="24"/>
          <w:shd w:val="clear" w:color="auto" w:fill="auto"/>
        </w:rPr>
      </w:pPr>
      <w:r>
        <w:rPr>
          <w:b/>
          <w:color w:val="auto"/>
          <w:sz w:val="24"/>
          <w:shd w:val="clear" w:color="auto" w:fill="auto"/>
        </w:rPr>
        <w:t>1</w:t>
      </w:r>
      <w:r>
        <w:rPr>
          <w:color w:val="auto"/>
          <w:sz w:val="24"/>
          <w:shd w:val="clear" w:color="auto" w:fill="auto"/>
        </w:rPr>
        <w:t xml:space="preserve">  为了便于在执行本标准条文时区别对待，对要求严格程度不同的用词说明如下：</w:t>
      </w:r>
    </w:p>
    <w:p>
      <w:pPr>
        <w:widowControl/>
        <w:spacing w:line="360" w:lineRule="auto"/>
        <w:jc w:val="left"/>
        <w:rPr>
          <w:color w:val="auto"/>
          <w:sz w:val="24"/>
          <w:shd w:val="clear" w:color="auto" w:fill="auto"/>
        </w:rPr>
      </w:pPr>
      <w:bookmarkStart w:id="54" w:name="_Toc10741"/>
      <w:r>
        <w:rPr>
          <w:color w:val="auto"/>
          <w:sz w:val="24"/>
          <w:shd w:val="clear" w:color="auto" w:fill="auto"/>
        </w:rPr>
        <w:t>1）表示很严格，非这样做不可的用词：</w:t>
      </w:r>
      <w:bookmarkEnd w:id="54"/>
    </w:p>
    <w:p>
      <w:pPr>
        <w:widowControl/>
        <w:spacing w:line="360" w:lineRule="auto"/>
        <w:jc w:val="left"/>
        <w:rPr>
          <w:color w:val="auto"/>
          <w:sz w:val="24"/>
          <w:shd w:val="clear" w:color="auto" w:fill="auto"/>
        </w:rPr>
      </w:pPr>
      <w:r>
        <w:rPr>
          <w:color w:val="auto"/>
          <w:sz w:val="24"/>
          <w:shd w:val="clear" w:color="auto" w:fill="auto"/>
        </w:rPr>
        <w:t>正面词采用“必须”，反面词采用“严禁”；</w:t>
      </w:r>
    </w:p>
    <w:p>
      <w:pPr>
        <w:widowControl/>
        <w:spacing w:line="360" w:lineRule="auto"/>
        <w:jc w:val="left"/>
        <w:rPr>
          <w:color w:val="auto"/>
          <w:sz w:val="24"/>
          <w:shd w:val="clear" w:color="auto" w:fill="auto"/>
        </w:rPr>
      </w:pPr>
      <w:bookmarkStart w:id="55" w:name="_Toc31943"/>
      <w:r>
        <w:rPr>
          <w:color w:val="auto"/>
          <w:sz w:val="24"/>
          <w:shd w:val="clear" w:color="auto" w:fill="auto"/>
        </w:rPr>
        <w:t>2）表示严格，在正常情况下均应这样做的用词：</w:t>
      </w:r>
      <w:bookmarkEnd w:id="55"/>
    </w:p>
    <w:p>
      <w:pPr>
        <w:widowControl/>
        <w:spacing w:line="360" w:lineRule="auto"/>
        <w:jc w:val="left"/>
        <w:rPr>
          <w:color w:val="auto"/>
          <w:sz w:val="24"/>
          <w:shd w:val="clear" w:color="auto" w:fill="auto"/>
        </w:rPr>
      </w:pPr>
      <w:r>
        <w:rPr>
          <w:color w:val="auto"/>
          <w:sz w:val="24"/>
          <w:shd w:val="clear" w:color="auto" w:fill="auto"/>
        </w:rPr>
        <w:t>正面词采用“应”，反面词采用“不应”或“不得”；</w:t>
      </w:r>
    </w:p>
    <w:p>
      <w:pPr>
        <w:widowControl/>
        <w:spacing w:line="360" w:lineRule="auto"/>
        <w:jc w:val="left"/>
        <w:rPr>
          <w:color w:val="auto"/>
          <w:sz w:val="24"/>
          <w:shd w:val="clear" w:color="auto" w:fill="auto"/>
        </w:rPr>
      </w:pPr>
      <w:bookmarkStart w:id="56" w:name="_Toc1199"/>
      <w:r>
        <w:rPr>
          <w:color w:val="auto"/>
          <w:sz w:val="24"/>
          <w:shd w:val="clear" w:color="auto" w:fill="auto"/>
        </w:rPr>
        <w:t>3）表示允许稍有选择，在条件许可时首先应这样做的用词：</w:t>
      </w:r>
      <w:bookmarkEnd w:id="56"/>
    </w:p>
    <w:p>
      <w:pPr>
        <w:widowControl/>
        <w:spacing w:line="360" w:lineRule="auto"/>
        <w:jc w:val="left"/>
        <w:rPr>
          <w:color w:val="auto"/>
          <w:sz w:val="24"/>
          <w:shd w:val="clear" w:color="auto" w:fill="auto"/>
        </w:rPr>
      </w:pPr>
      <w:r>
        <w:rPr>
          <w:color w:val="auto"/>
          <w:sz w:val="24"/>
          <w:shd w:val="clear" w:color="auto" w:fill="auto"/>
        </w:rPr>
        <w:t>正面词采用“宜”，反面词采用“不宜”；</w:t>
      </w:r>
    </w:p>
    <w:p>
      <w:pPr>
        <w:widowControl/>
        <w:spacing w:line="360" w:lineRule="auto"/>
        <w:jc w:val="left"/>
        <w:rPr>
          <w:color w:val="auto"/>
          <w:sz w:val="24"/>
          <w:shd w:val="clear" w:color="auto" w:fill="auto"/>
        </w:rPr>
      </w:pPr>
      <w:bookmarkStart w:id="57" w:name="_Toc26195"/>
      <w:r>
        <w:rPr>
          <w:color w:val="auto"/>
          <w:sz w:val="24"/>
          <w:shd w:val="clear" w:color="auto" w:fill="auto"/>
        </w:rPr>
        <w:t>4）表示有选择，在一定条件下可以这样做的，采用“可”。</w:t>
      </w:r>
      <w:bookmarkEnd w:id="57"/>
    </w:p>
    <w:p>
      <w:pPr>
        <w:widowControl/>
        <w:spacing w:line="360" w:lineRule="auto"/>
        <w:jc w:val="left"/>
        <w:rPr>
          <w:color w:val="auto"/>
          <w:sz w:val="24"/>
          <w:shd w:val="clear" w:color="auto" w:fill="auto"/>
        </w:rPr>
      </w:pPr>
      <w:r>
        <w:rPr>
          <w:b/>
          <w:color w:val="auto"/>
          <w:sz w:val="24"/>
          <w:shd w:val="clear" w:color="auto" w:fill="auto"/>
        </w:rPr>
        <w:t>2</w:t>
      </w:r>
      <w:r>
        <w:rPr>
          <w:color w:val="auto"/>
          <w:sz w:val="24"/>
          <w:shd w:val="clear" w:color="auto" w:fill="auto"/>
        </w:rPr>
        <w:t xml:space="preserve">  标准中指定应按其他有关标准、标准执行，写法为：“应符合……的规定”或“应按……执行”。</w:t>
      </w:r>
    </w:p>
    <w:p>
      <w:pPr>
        <w:widowControl/>
        <w:jc w:val="left"/>
        <w:rPr>
          <w:color w:val="auto"/>
          <w:shd w:val="clear" w:color="auto" w:fill="auto"/>
        </w:rPr>
      </w:pPr>
      <w:r>
        <w:rPr>
          <w:color w:val="auto"/>
          <w:shd w:val="clear" w:color="auto" w:fill="auto"/>
        </w:rPr>
        <w:br w:type="page"/>
      </w:r>
    </w:p>
    <w:p>
      <w:pPr>
        <w:pStyle w:val="2"/>
        <w:jc w:val="center"/>
        <w:rPr>
          <w:color w:val="auto"/>
          <w:sz w:val="28"/>
          <w:szCs w:val="28"/>
          <w:shd w:val="clear" w:color="auto" w:fill="auto"/>
        </w:rPr>
      </w:pPr>
      <w:bookmarkStart w:id="58" w:name="_Toc85815780"/>
      <w:bookmarkStart w:id="59" w:name="_Toc7829"/>
      <w:r>
        <w:rPr>
          <w:rFonts w:hAnsi="宋体"/>
          <w:color w:val="auto"/>
          <w:sz w:val="28"/>
          <w:szCs w:val="28"/>
          <w:shd w:val="clear" w:color="auto" w:fill="auto"/>
        </w:rPr>
        <w:t>引用标准名录</w:t>
      </w:r>
      <w:bookmarkEnd w:id="58"/>
      <w:bookmarkEnd w:id="59"/>
      <w:r>
        <w:rPr>
          <w:color w:val="auto"/>
          <w:sz w:val="28"/>
          <w:szCs w:val="28"/>
          <w:shd w:val="clear" w:color="auto" w:fill="auto"/>
        </w:rPr>
        <w:t xml:space="preserve"> </w:t>
      </w:r>
    </w:p>
    <w:p>
      <w:pPr>
        <w:widowControl/>
        <w:spacing w:line="360" w:lineRule="auto"/>
        <w:jc w:val="left"/>
        <w:rPr>
          <w:color w:val="auto"/>
          <w:sz w:val="24"/>
          <w:shd w:val="clear" w:color="auto" w:fill="auto"/>
        </w:rPr>
      </w:pPr>
      <w:r>
        <w:rPr>
          <w:color w:val="auto"/>
          <w:sz w:val="24"/>
          <w:shd w:val="clear" w:color="auto" w:fill="auto"/>
        </w:rPr>
        <w:t>1</w:t>
      </w:r>
      <w:r>
        <w:rPr>
          <w:rFonts w:hAnsi="宋体"/>
          <w:color w:val="auto"/>
          <w:sz w:val="24"/>
          <w:shd w:val="clear" w:color="auto" w:fill="auto"/>
        </w:rPr>
        <w:t>《基础地理信息要素分类与代码》</w:t>
      </w:r>
      <w:r>
        <w:rPr>
          <w:color w:val="auto"/>
          <w:sz w:val="24"/>
          <w:shd w:val="clear" w:color="auto" w:fill="auto"/>
        </w:rPr>
        <w:t>GB/T 13923-2006</w:t>
      </w:r>
    </w:p>
    <w:p>
      <w:pPr>
        <w:widowControl/>
        <w:spacing w:line="360" w:lineRule="auto"/>
        <w:jc w:val="left"/>
        <w:rPr>
          <w:color w:val="auto"/>
          <w:sz w:val="24"/>
          <w:shd w:val="clear" w:color="auto" w:fill="auto"/>
        </w:rPr>
      </w:pPr>
      <w:r>
        <w:rPr>
          <w:color w:val="auto"/>
          <w:sz w:val="24"/>
          <w:shd w:val="clear" w:color="auto" w:fill="auto"/>
        </w:rPr>
        <w:t>2</w:t>
      </w:r>
      <w:r>
        <w:rPr>
          <w:rFonts w:hAnsi="宋体"/>
          <w:color w:val="auto"/>
          <w:sz w:val="24"/>
          <w:shd w:val="clear" w:color="auto" w:fill="auto"/>
        </w:rPr>
        <w:t>《社会经济目标分类与代码》</w:t>
      </w:r>
      <w:r>
        <w:rPr>
          <w:color w:val="auto"/>
          <w:sz w:val="24"/>
          <w:shd w:val="clear" w:color="auto" w:fill="auto"/>
        </w:rPr>
        <w:t>GB/T 24450-2009</w:t>
      </w:r>
    </w:p>
    <w:p>
      <w:pPr>
        <w:widowControl/>
        <w:spacing w:line="360" w:lineRule="auto"/>
        <w:jc w:val="left"/>
        <w:rPr>
          <w:color w:val="auto"/>
          <w:sz w:val="24"/>
          <w:shd w:val="clear" w:color="auto" w:fill="auto"/>
        </w:rPr>
      </w:pPr>
      <w:r>
        <w:rPr>
          <w:color w:val="auto"/>
          <w:sz w:val="24"/>
          <w:shd w:val="clear" w:color="auto" w:fill="auto"/>
        </w:rPr>
        <w:t>3</w:t>
      </w:r>
      <w:r>
        <w:rPr>
          <w:rFonts w:hAnsi="宋体"/>
          <w:color w:val="auto"/>
          <w:sz w:val="24"/>
          <w:shd w:val="clear" w:color="auto" w:fill="auto"/>
        </w:rPr>
        <w:t>《建筑碳排放计算标准》</w:t>
      </w:r>
      <w:r>
        <w:rPr>
          <w:color w:val="auto"/>
          <w:sz w:val="24"/>
          <w:shd w:val="clear" w:color="auto" w:fill="auto"/>
        </w:rPr>
        <w:t>GB/T 51366-2019</w:t>
      </w:r>
    </w:p>
    <w:p>
      <w:pPr>
        <w:widowControl/>
        <w:spacing w:line="360" w:lineRule="auto"/>
        <w:jc w:val="left"/>
        <w:rPr>
          <w:color w:val="auto"/>
          <w:sz w:val="24"/>
          <w:shd w:val="clear" w:color="auto" w:fill="auto"/>
        </w:rPr>
      </w:pPr>
      <w:r>
        <w:rPr>
          <w:color w:val="auto"/>
          <w:sz w:val="24"/>
          <w:shd w:val="clear" w:color="auto" w:fill="auto"/>
        </w:rPr>
        <w:t>4</w:t>
      </w:r>
      <w:r>
        <w:rPr>
          <w:rFonts w:hAnsi="宋体"/>
          <w:color w:val="auto"/>
          <w:sz w:val="24"/>
          <w:shd w:val="clear" w:color="auto" w:fill="auto"/>
        </w:rPr>
        <w:t>《民用建筑能耗数据采集标准》</w:t>
      </w:r>
      <w:r>
        <w:rPr>
          <w:color w:val="auto"/>
          <w:sz w:val="24"/>
          <w:shd w:val="clear" w:color="auto" w:fill="auto"/>
        </w:rPr>
        <w:t>JGJ/T 154-2007</w:t>
      </w:r>
    </w:p>
    <w:p>
      <w:pPr>
        <w:widowControl/>
        <w:spacing w:line="360" w:lineRule="auto"/>
        <w:jc w:val="left"/>
        <w:rPr>
          <w:color w:val="auto"/>
          <w:sz w:val="24"/>
          <w:shd w:val="clear" w:color="auto" w:fill="auto"/>
        </w:rPr>
      </w:pPr>
      <w:r>
        <w:rPr>
          <w:color w:val="auto"/>
          <w:sz w:val="24"/>
          <w:shd w:val="clear" w:color="auto" w:fill="auto"/>
        </w:rPr>
        <w:t>5</w:t>
      </w:r>
      <w:r>
        <w:rPr>
          <w:rFonts w:hAnsi="宋体"/>
          <w:color w:val="auto"/>
          <w:sz w:val="24"/>
          <w:shd w:val="clear" w:color="auto" w:fill="auto"/>
        </w:rPr>
        <w:t>《绿色建筑评价标准》</w:t>
      </w:r>
      <w:r>
        <w:rPr>
          <w:color w:val="auto"/>
          <w:sz w:val="24"/>
          <w:shd w:val="clear" w:color="auto" w:fill="auto"/>
        </w:rPr>
        <w:t>GB/T 50378-2019</w:t>
      </w:r>
    </w:p>
    <w:p>
      <w:pPr>
        <w:spacing w:line="360" w:lineRule="auto"/>
        <w:rPr>
          <w:color w:val="auto"/>
          <w:shd w:val="clear" w:color="auto" w:fill="auto"/>
        </w:rPr>
      </w:pPr>
    </w:p>
    <w:sectPr>
      <w:footerReference r:id="rId9"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7"/>
      </w:rPr>
    </w:pPr>
    <w:r>
      <w:fldChar w:fldCharType="begin"/>
    </w:r>
    <w:r>
      <w:rPr>
        <w:rStyle w:val="27"/>
      </w:rPr>
      <w:instrText xml:space="preserve">PAGE  </w:instrText>
    </w:r>
    <w:r>
      <w:fldChar w:fldCharType="separate"/>
    </w:r>
    <w:r>
      <w:t xml:space="preserve"> </w:t>
    </w:r>
    <w:r>
      <w:fldChar w:fldCharType="end"/>
    </w:r>
  </w:p>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p>
  <w:p>
    <w:pPr>
      <w:pStyle w:val="15"/>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right" w:y="1"/>
      <w:rPr>
        <w:rStyle w:val="27"/>
      </w:rPr>
    </w:pPr>
    <w:r>
      <w:fldChar w:fldCharType="begin"/>
    </w:r>
    <w:r>
      <w:rPr>
        <w:rStyle w:val="27"/>
      </w:rPr>
      <w:instrText xml:space="preserve">PAGE  </w:instrText>
    </w:r>
    <w:r>
      <w:fldChar w:fldCharType="end"/>
    </w:r>
  </w:p>
  <w:p>
    <w:pPr>
      <w:pStyle w:val="15"/>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p>
  <w:p>
    <w:pPr>
      <w:spacing w:line="14" w:lineRule="auto"/>
      <w:rPr>
        <w:sz w:val="20"/>
        <w:szCs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307975"/>
              <wp:effectExtent l="0" t="0" r="0" b="0"/>
              <wp:wrapNone/>
              <wp:docPr id="2" name="Text Box 3"/>
              <wp:cNvGraphicFramePr/>
              <a:graphic xmlns:a="http://schemas.openxmlformats.org/drawingml/2006/main">
                <a:graphicData uri="http://schemas.microsoft.com/office/word/2010/wordprocessingShape">
                  <wps:wsp>
                    <wps:cNvSpPr txBox="1">
                      <a:spLocks noChangeArrowheads="1"/>
                    </wps:cNvSpPr>
                    <wps:spPr bwMode="auto">
                      <a:xfrm>
                        <a:off x="0" y="0"/>
                        <a:ext cx="114935" cy="307975"/>
                      </a:xfrm>
                      <a:prstGeom prst="rect">
                        <a:avLst/>
                      </a:prstGeom>
                      <a:noFill/>
                      <a:ln>
                        <a:noFill/>
                      </a:ln>
                      <a:effectLst/>
                    </wps:spPr>
                    <wps:txbx>
                      <w:txbxContent>
                        <w:sdt>
                          <w:sdtPr>
                            <w:id w:val="1949511532"/>
                          </w:sdtPr>
                          <w:sdtContent>
                            <w:p>
                              <w:pPr>
                                <w:pStyle w:val="15"/>
                                <w:jc w:val="center"/>
                              </w:pPr>
                              <w:r>
                                <w:fldChar w:fldCharType="begin"/>
                              </w:r>
                              <w:r>
                                <w:instrText xml:space="preserve">PAGE   \* MERGEFORMAT</w:instrText>
                              </w:r>
                              <w:r>
                                <w:fldChar w:fldCharType="separate"/>
                              </w:r>
                              <w:r>
                                <w:rPr>
                                  <w:lang w:val="zh-CN"/>
                                </w:rPr>
                                <w:t>II</w:t>
                              </w:r>
                              <w:r>
                                <w:rPr>
                                  <w:lang w:val="zh-CN"/>
                                </w:rPr>
                                <w:fldChar w:fldCharType="end"/>
                              </w:r>
                            </w:p>
                          </w:sdtContent>
                        </w:sdt>
                        <w:p/>
                      </w:txbxContent>
                    </wps:txbx>
                    <wps:bodyPr rot="0" vert="horz" wrap="none" lIns="0" tIns="0" rIns="0" bIns="0" anchor="t" anchorCtr="0" upright="1">
                      <a:spAutoFit/>
                    </wps:bodyPr>
                  </wps:wsp>
                </a:graphicData>
              </a:graphic>
            </wp:anchor>
          </w:drawing>
        </mc:Choice>
        <mc:Fallback>
          <w:pict>
            <v:shape id="Text Box 3" o:spid="_x0000_s1026" o:spt="202" type="#_x0000_t202" style="position:absolute;left:0pt;margin-top:0pt;height:24.25pt;width:9.05pt;mso-position-horizontal:center;mso-position-horizontal-relative:margin;mso-wrap-style:none;z-index:251660288;mso-width-relative:page;mso-height-relative:page;" filled="f" stroked="f" coordsize="21600,21600" o:gfxdata="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YwLFbRAAAAAwEAAA8AAAAAAAAAAQAgAAAAIgAAAGRycy9kb3ducmV2Lnht&#10;bFBLAQIUABQAAAAIAIdO4kAYtWsrAAIAAA8EAAAOAAAAAAAAAAEAIAAAACABAABkcnMvZTJvRG9j&#10;LnhtbFBLBQYAAAAABgAGAFkBAACSBQAAAAA=&#10;">
              <v:fill on="f" focussize="0,0"/>
              <v:stroke on="f"/>
              <v:imagedata o:title=""/>
              <o:lock v:ext="edit" aspectratio="f"/>
              <v:textbox inset="0mm,0mm,0mm,0mm" style="mso-fit-shape-to-text:t;">
                <w:txbxContent>
                  <w:sdt>
                    <w:sdtPr>
                      <w:id w:val="1949511532"/>
                    </w:sdtPr>
                    <w:sdtContent>
                      <w:p>
                        <w:pPr>
                          <w:pStyle w:val="15"/>
                          <w:jc w:val="center"/>
                        </w:pPr>
                        <w:r>
                          <w:fldChar w:fldCharType="begin"/>
                        </w:r>
                        <w:r>
                          <w:instrText xml:space="preserve">PAGE   \* MERGEFORMAT</w:instrText>
                        </w:r>
                        <w:r>
                          <w:fldChar w:fldCharType="separate"/>
                        </w:r>
                        <w:r>
                          <w:rPr>
                            <w:lang w:val="zh-CN"/>
                          </w:rPr>
                          <w:t>II</w:t>
                        </w:r>
                        <w:r>
                          <w:rPr>
                            <w:lang w:val="zh-CN"/>
                          </w:rPr>
                          <w:fldChar w:fldCharType="end"/>
                        </w:r>
                      </w:p>
                    </w:sdtContent>
                  </w:sdt>
                  <w:p/>
                </w:txbxContent>
              </v:textbox>
            </v:shape>
          </w:pict>
        </mc:Fallback>
      </mc:AlternateContent>
    </w:r>
  </w:p>
  <w:p>
    <w:pPr>
      <w:spacing w:line="14" w:lineRule="auto"/>
      <w:rPr>
        <w:sz w:val="20"/>
        <w:szCs w:val="20"/>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20650" cy="307975"/>
              <wp:effectExtent l="0" t="0" r="0" b="0"/>
              <wp:wrapNone/>
              <wp:docPr id="1" name="Text Box 4"/>
              <wp:cNvGraphicFramePr/>
              <a:graphic xmlns:a="http://schemas.openxmlformats.org/drawingml/2006/main">
                <a:graphicData uri="http://schemas.microsoft.com/office/word/2010/wordprocessingShape">
                  <wps:wsp>
                    <wps:cNvSpPr txBox="1">
                      <a:spLocks noChangeArrowheads="1"/>
                    </wps:cNvSpPr>
                    <wps:spPr bwMode="auto">
                      <a:xfrm>
                        <a:off x="0" y="0"/>
                        <a:ext cx="120650" cy="307975"/>
                      </a:xfrm>
                      <a:prstGeom prst="rect">
                        <a:avLst/>
                      </a:prstGeom>
                      <a:noFill/>
                      <a:ln>
                        <a:noFill/>
                      </a:ln>
                      <a:effectLst/>
                    </wps:spPr>
                    <wps:txbx>
                      <w:txbxContent>
                        <w:sdt>
                          <w:sdtPr>
                            <w:id w:val="1359091770"/>
                          </w:sdtPr>
                          <w:sdtContent>
                            <w:p>
                              <w:pPr>
                                <w:pStyle w:val="15"/>
                                <w:jc w:val="center"/>
                              </w:pPr>
                              <w:r>
                                <w:fldChar w:fldCharType="begin"/>
                              </w:r>
                              <w:r>
                                <w:instrText xml:space="preserve">PAGE   \* MERGEFORMAT</w:instrText>
                              </w:r>
                              <w:r>
                                <w:fldChar w:fldCharType="separate"/>
                              </w:r>
                              <w:r>
                                <w:rPr>
                                  <w:lang w:val="zh-CN"/>
                                </w:rPr>
                                <w:t>19</w:t>
                              </w:r>
                              <w:r>
                                <w:rPr>
                                  <w:lang w:val="zh-CN"/>
                                </w:rPr>
                                <w:fldChar w:fldCharType="end"/>
                              </w:r>
                            </w:p>
                          </w:sdtContent>
                        </w:sdt>
                        <w:p/>
                      </w:txbxContent>
                    </wps:txbx>
                    <wps:bodyPr rot="0" vert="horz" wrap="none" lIns="0" tIns="0" rIns="0" bIns="0" anchor="t" anchorCtr="0" upright="1">
                      <a:spAutoFit/>
                    </wps:bodyPr>
                  </wps:wsp>
                </a:graphicData>
              </a:graphic>
            </wp:anchor>
          </w:drawing>
        </mc:Choice>
        <mc:Fallback>
          <w:pict>
            <v:shape id="Text Box 4" o:spid="_x0000_s1026" o:spt="202" type="#_x0000_t202" style="position:absolute;left:0pt;margin-top:0pt;height:24.25pt;width:9.5pt;mso-position-horizontal:center;mso-position-horizontal-relative:margin;mso-wrap-style:none;z-index:251661312;mso-width-relative:page;mso-height-relative:page;" filled="f" stroked="f" coordsize="21600,21600" o:gfxdata="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rWFTnQAAAAAwEAAA8AAAAAAAAAAQAgAAAAIgAAAGRycy9kb3ducmV2LnhtbFBL&#10;AQIUABQAAAAIAIdO4kCp6v14/gEAAA8EAAAOAAAAAAAAAAEAIAAAAB8BAABkcnMvZTJvRG9jLnht&#10;bFBLBQYAAAAABgAGAFkBAACPBQAAAAA=&#10;">
              <v:fill on="f" focussize="0,0"/>
              <v:stroke on="f"/>
              <v:imagedata o:title=""/>
              <o:lock v:ext="edit" aspectratio="f"/>
              <v:textbox inset="0mm,0mm,0mm,0mm" style="mso-fit-shape-to-text:t;">
                <w:txbxContent>
                  <w:sdt>
                    <w:sdtPr>
                      <w:id w:val="1359091770"/>
                    </w:sdtPr>
                    <w:sdtContent>
                      <w:p>
                        <w:pPr>
                          <w:pStyle w:val="15"/>
                          <w:jc w:val="center"/>
                        </w:pPr>
                        <w:r>
                          <w:fldChar w:fldCharType="begin"/>
                        </w:r>
                        <w:r>
                          <w:instrText xml:space="preserve">PAGE   \* MERGEFORMAT</w:instrText>
                        </w:r>
                        <w:r>
                          <w:fldChar w:fldCharType="separate"/>
                        </w:r>
                        <w:r>
                          <w:rPr>
                            <w:lang w:val="zh-CN"/>
                          </w:rPr>
                          <w:t>19</w:t>
                        </w:r>
                        <w:r>
                          <w:rPr>
                            <w:lang w:val="zh-CN"/>
                          </w:rPr>
                          <w:fldChar w:fldCharType="end"/>
                        </w:r>
                      </w:p>
                    </w:sdtContent>
                  </w:sdt>
                  <w:p/>
                </w:txbxContent>
              </v:textbox>
            </v:shape>
          </w:pict>
        </mc:Fallback>
      </mc:AlternateContent>
    </w:r>
  </w:p>
  <w:p>
    <w:pPr>
      <w:spacing w:line="14" w:lineRule="auto"/>
      <w:rPr>
        <w:sz w:val="20"/>
        <w:szCs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8E201F"/>
    <w:multiLevelType w:val="multilevel"/>
    <w:tmpl w:val="158E201F"/>
    <w:lvl w:ilvl="0" w:tentative="0">
      <w:start w:val="1"/>
      <w:numFmt w:val="decimal"/>
      <w:lvlText w:val="1.0.%1"/>
      <w:lvlJc w:val="left"/>
      <w:pPr>
        <w:ind w:left="981" w:hanging="420"/>
      </w:pPr>
      <w:rPr>
        <w:rFonts w:hint="eastAsia"/>
      </w:rPr>
    </w:lvl>
    <w:lvl w:ilvl="1" w:tentative="0">
      <w:start w:val="1"/>
      <w:numFmt w:val="lowerLetter"/>
      <w:lvlText w:val="%2)"/>
      <w:lvlJc w:val="left"/>
      <w:pPr>
        <w:ind w:left="840" w:hanging="420"/>
      </w:pPr>
    </w:lvl>
    <w:lvl w:ilvl="2" w:tentative="0">
      <w:start w:val="1"/>
      <w:numFmt w:val="decimal"/>
      <w:lvlText w:val="1.0.%3"/>
      <w:lvlJc w:val="left"/>
      <w:pPr>
        <w:ind w:left="1260" w:hanging="420"/>
      </w:pPr>
      <w:rPr>
        <w:rFonts w:hint="eastAsia"/>
        <w:b/>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5D938CB"/>
    <w:multiLevelType w:val="multilevel"/>
    <w:tmpl w:val="55D938CB"/>
    <w:lvl w:ilvl="0" w:tentative="0">
      <w:start w:val="1"/>
      <w:numFmt w:val="decimal"/>
      <w:lvlText w:val="%1"/>
      <w:lvlJc w:val="left"/>
      <w:pPr>
        <w:ind w:left="982" w:hanging="420"/>
      </w:pPr>
      <w:rPr>
        <w:rFonts w:hint="default" w:ascii="Times New Roman" w:hAnsi="Times New Roman" w:cs="Times New Roman"/>
      </w:rPr>
    </w:lvl>
    <w:lvl w:ilvl="1" w:tentative="0">
      <w:start w:val="0"/>
      <w:numFmt w:val="decimal"/>
      <w:isLgl/>
      <w:lvlText w:val="%1.%2"/>
      <w:lvlJc w:val="left"/>
      <w:pPr>
        <w:ind w:left="1402" w:hanging="840"/>
      </w:pPr>
      <w:rPr>
        <w:rFonts w:hint="default"/>
      </w:rPr>
    </w:lvl>
    <w:lvl w:ilvl="2" w:tentative="0">
      <w:start w:val="1"/>
      <w:numFmt w:val="decimal"/>
      <w:isLgl/>
      <w:lvlText w:val="%1.%2.%3"/>
      <w:lvlJc w:val="left"/>
      <w:pPr>
        <w:ind w:left="1402" w:hanging="840"/>
      </w:pPr>
      <w:rPr>
        <w:rFonts w:hint="default"/>
      </w:rPr>
    </w:lvl>
    <w:lvl w:ilvl="3" w:tentative="0">
      <w:start w:val="1"/>
      <w:numFmt w:val="decimal"/>
      <w:isLgl/>
      <w:lvlText w:val="%1.%2.%3.%4"/>
      <w:lvlJc w:val="left"/>
      <w:pPr>
        <w:ind w:left="1642" w:hanging="1080"/>
      </w:pPr>
      <w:rPr>
        <w:rFonts w:hint="default"/>
      </w:rPr>
    </w:lvl>
    <w:lvl w:ilvl="4" w:tentative="0">
      <w:start w:val="1"/>
      <w:numFmt w:val="decimal"/>
      <w:isLgl/>
      <w:lvlText w:val="%1.%2.%3.%4.%5"/>
      <w:lvlJc w:val="left"/>
      <w:pPr>
        <w:ind w:left="2002" w:hanging="1440"/>
      </w:pPr>
      <w:rPr>
        <w:rFonts w:hint="default"/>
      </w:rPr>
    </w:lvl>
    <w:lvl w:ilvl="5" w:tentative="0">
      <w:start w:val="1"/>
      <w:numFmt w:val="decimal"/>
      <w:isLgl/>
      <w:lvlText w:val="%1.%2.%3.%4.%5.%6"/>
      <w:lvlJc w:val="left"/>
      <w:pPr>
        <w:ind w:left="2362" w:hanging="1800"/>
      </w:pPr>
      <w:rPr>
        <w:rFonts w:hint="default"/>
      </w:rPr>
    </w:lvl>
    <w:lvl w:ilvl="6" w:tentative="0">
      <w:start w:val="1"/>
      <w:numFmt w:val="decimal"/>
      <w:isLgl/>
      <w:lvlText w:val="%1.%2.%3.%4.%5.%6.%7"/>
      <w:lvlJc w:val="left"/>
      <w:pPr>
        <w:ind w:left="2722" w:hanging="2160"/>
      </w:pPr>
      <w:rPr>
        <w:rFonts w:hint="default"/>
      </w:rPr>
    </w:lvl>
    <w:lvl w:ilvl="7" w:tentative="0">
      <w:start w:val="1"/>
      <w:numFmt w:val="decimal"/>
      <w:isLgl/>
      <w:lvlText w:val="%1.%2.%3.%4.%5.%6.%7.%8"/>
      <w:lvlJc w:val="left"/>
      <w:pPr>
        <w:ind w:left="2722" w:hanging="2160"/>
      </w:pPr>
      <w:rPr>
        <w:rFonts w:hint="default"/>
      </w:rPr>
    </w:lvl>
    <w:lvl w:ilvl="8" w:tentative="0">
      <w:start w:val="1"/>
      <w:numFmt w:val="decimal"/>
      <w:isLgl/>
      <w:lvlText w:val="%1.%2.%3.%4.%5.%6.%7.%8.%9"/>
      <w:lvlJc w:val="left"/>
      <w:pPr>
        <w:ind w:left="3082" w:hanging="2520"/>
      </w:pPr>
      <w:rPr>
        <w:rFonts w:hint="default"/>
      </w:rPr>
    </w:lvl>
  </w:abstractNum>
  <w:abstractNum w:abstractNumId="2">
    <w:nsid w:val="57AE7C04"/>
    <w:multiLevelType w:val="multilevel"/>
    <w:tmpl w:val="57AE7C04"/>
    <w:lvl w:ilvl="0" w:tentative="0">
      <w:start w:val="1"/>
      <w:numFmt w:val="decimal"/>
      <w:lvlText w:val="2.0.%1"/>
      <w:lvlJc w:val="left"/>
      <w:pPr>
        <w:ind w:left="982" w:hanging="420"/>
      </w:pPr>
      <w:rPr>
        <w:rFonts w:hint="default"/>
      </w:rPr>
    </w:lvl>
    <w:lvl w:ilvl="1" w:tentative="0">
      <w:start w:val="1"/>
      <w:numFmt w:val="lowerLetter"/>
      <w:lvlText w:val="%2)"/>
      <w:lvlJc w:val="left"/>
      <w:pPr>
        <w:ind w:left="840" w:hanging="420"/>
      </w:pPr>
    </w:lvl>
    <w:lvl w:ilvl="2" w:tentative="0">
      <w:start w:val="1"/>
      <w:numFmt w:val="decimal"/>
      <w:lvlText w:val="2.0.%3"/>
      <w:lvlJc w:val="left"/>
      <w:pPr>
        <w:ind w:left="1260" w:hanging="420"/>
      </w:pPr>
      <w:rPr>
        <w:rFonts w:hint="default"/>
        <w:b/>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301"/>
    <w:rsid w:val="00003B81"/>
    <w:rsid w:val="000072ED"/>
    <w:rsid w:val="00010228"/>
    <w:rsid w:val="00010431"/>
    <w:rsid w:val="000109EE"/>
    <w:rsid w:val="00011464"/>
    <w:rsid w:val="00011876"/>
    <w:rsid w:val="00011ABE"/>
    <w:rsid w:val="00011B42"/>
    <w:rsid w:val="000121EF"/>
    <w:rsid w:val="00012985"/>
    <w:rsid w:val="0001410D"/>
    <w:rsid w:val="000143D0"/>
    <w:rsid w:val="00014733"/>
    <w:rsid w:val="00014745"/>
    <w:rsid w:val="000148C4"/>
    <w:rsid w:val="00014C70"/>
    <w:rsid w:val="00020337"/>
    <w:rsid w:val="000208A7"/>
    <w:rsid w:val="00021AA2"/>
    <w:rsid w:val="0002268A"/>
    <w:rsid w:val="00024A98"/>
    <w:rsid w:val="00030382"/>
    <w:rsid w:val="00031DA1"/>
    <w:rsid w:val="00032361"/>
    <w:rsid w:val="00033176"/>
    <w:rsid w:val="00034A5C"/>
    <w:rsid w:val="0003520C"/>
    <w:rsid w:val="000352E6"/>
    <w:rsid w:val="000358FD"/>
    <w:rsid w:val="00036807"/>
    <w:rsid w:val="0003706F"/>
    <w:rsid w:val="00037168"/>
    <w:rsid w:val="00037484"/>
    <w:rsid w:val="000446C8"/>
    <w:rsid w:val="000478F2"/>
    <w:rsid w:val="00051E87"/>
    <w:rsid w:val="0005246B"/>
    <w:rsid w:val="000525CC"/>
    <w:rsid w:val="000527D3"/>
    <w:rsid w:val="00053488"/>
    <w:rsid w:val="00054D83"/>
    <w:rsid w:val="00057895"/>
    <w:rsid w:val="00062896"/>
    <w:rsid w:val="00064EC3"/>
    <w:rsid w:val="00065931"/>
    <w:rsid w:val="0006654A"/>
    <w:rsid w:val="00066B69"/>
    <w:rsid w:val="00067087"/>
    <w:rsid w:val="00067537"/>
    <w:rsid w:val="0006757A"/>
    <w:rsid w:val="00067C20"/>
    <w:rsid w:val="00073384"/>
    <w:rsid w:val="00073A9E"/>
    <w:rsid w:val="00074A8D"/>
    <w:rsid w:val="000753E0"/>
    <w:rsid w:val="00076828"/>
    <w:rsid w:val="00076DC2"/>
    <w:rsid w:val="00077068"/>
    <w:rsid w:val="00077EE5"/>
    <w:rsid w:val="00081327"/>
    <w:rsid w:val="00081F7D"/>
    <w:rsid w:val="00084F81"/>
    <w:rsid w:val="00087C42"/>
    <w:rsid w:val="0009203F"/>
    <w:rsid w:val="00097F04"/>
    <w:rsid w:val="000A14C9"/>
    <w:rsid w:val="000A1AC5"/>
    <w:rsid w:val="000A3747"/>
    <w:rsid w:val="000A5AEC"/>
    <w:rsid w:val="000A63E1"/>
    <w:rsid w:val="000B0217"/>
    <w:rsid w:val="000B06B8"/>
    <w:rsid w:val="000B293A"/>
    <w:rsid w:val="000B2FC9"/>
    <w:rsid w:val="000B346C"/>
    <w:rsid w:val="000B427D"/>
    <w:rsid w:val="000B5223"/>
    <w:rsid w:val="000B6951"/>
    <w:rsid w:val="000B76A8"/>
    <w:rsid w:val="000C01A6"/>
    <w:rsid w:val="000C068E"/>
    <w:rsid w:val="000C1E16"/>
    <w:rsid w:val="000D44EA"/>
    <w:rsid w:val="000D5927"/>
    <w:rsid w:val="000D5F27"/>
    <w:rsid w:val="000E1FC0"/>
    <w:rsid w:val="000E2564"/>
    <w:rsid w:val="000E2F77"/>
    <w:rsid w:val="000E3098"/>
    <w:rsid w:val="000E31B1"/>
    <w:rsid w:val="000E37C9"/>
    <w:rsid w:val="000E40FE"/>
    <w:rsid w:val="000E5957"/>
    <w:rsid w:val="000E62CD"/>
    <w:rsid w:val="000E6E96"/>
    <w:rsid w:val="000E6F4C"/>
    <w:rsid w:val="000E744A"/>
    <w:rsid w:val="000F0888"/>
    <w:rsid w:val="000F0D87"/>
    <w:rsid w:val="000F29A7"/>
    <w:rsid w:val="000F50F9"/>
    <w:rsid w:val="000F79E4"/>
    <w:rsid w:val="0010313A"/>
    <w:rsid w:val="00103BFE"/>
    <w:rsid w:val="001067D9"/>
    <w:rsid w:val="001139BA"/>
    <w:rsid w:val="00113C97"/>
    <w:rsid w:val="00116375"/>
    <w:rsid w:val="0011780C"/>
    <w:rsid w:val="00117866"/>
    <w:rsid w:val="001207C6"/>
    <w:rsid w:val="00120964"/>
    <w:rsid w:val="00121CBC"/>
    <w:rsid w:val="00122EC0"/>
    <w:rsid w:val="00123561"/>
    <w:rsid w:val="00126462"/>
    <w:rsid w:val="001304F7"/>
    <w:rsid w:val="001307A2"/>
    <w:rsid w:val="00131858"/>
    <w:rsid w:val="001320A7"/>
    <w:rsid w:val="0013271E"/>
    <w:rsid w:val="00133920"/>
    <w:rsid w:val="00137118"/>
    <w:rsid w:val="0014055A"/>
    <w:rsid w:val="00140B76"/>
    <w:rsid w:val="00141E84"/>
    <w:rsid w:val="00142E30"/>
    <w:rsid w:val="001437D2"/>
    <w:rsid w:val="00143A94"/>
    <w:rsid w:val="001449DA"/>
    <w:rsid w:val="00146BB8"/>
    <w:rsid w:val="0014790B"/>
    <w:rsid w:val="00147A47"/>
    <w:rsid w:val="00151A53"/>
    <w:rsid w:val="00151AFE"/>
    <w:rsid w:val="001529F4"/>
    <w:rsid w:val="0015382D"/>
    <w:rsid w:val="0015573C"/>
    <w:rsid w:val="00155AE6"/>
    <w:rsid w:val="001563FE"/>
    <w:rsid w:val="001624CD"/>
    <w:rsid w:val="00165E17"/>
    <w:rsid w:val="00166B94"/>
    <w:rsid w:val="00170343"/>
    <w:rsid w:val="0017244C"/>
    <w:rsid w:val="00173A40"/>
    <w:rsid w:val="00173AE4"/>
    <w:rsid w:val="00173B1C"/>
    <w:rsid w:val="0017456C"/>
    <w:rsid w:val="001747F3"/>
    <w:rsid w:val="0017607F"/>
    <w:rsid w:val="0017680B"/>
    <w:rsid w:val="001805CA"/>
    <w:rsid w:val="0018482A"/>
    <w:rsid w:val="00190500"/>
    <w:rsid w:val="001923EE"/>
    <w:rsid w:val="0019301D"/>
    <w:rsid w:val="00193372"/>
    <w:rsid w:val="00193B71"/>
    <w:rsid w:val="00194523"/>
    <w:rsid w:val="00194788"/>
    <w:rsid w:val="00194903"/>
    <w:rsid w:val="001A000C"/>
    <w:rsid w:val="001A77E8"/>
    <w:rsid w:val="001B14FA"/>
    <w:rsid w:val="001B2DA2"/>
    <w:rsid w:val="001B312A"/>
    <w:rsid w:val="001B327C"/>
    <w:rsid w:val="001B4BA0"/>
    <w:rsid w:val="001B7222"/>
    <w:rsid w:val="001B7710"/>
    <w:rsid w:val="001B7CF3"/>
    <w:rsid w:val="001C0A69"/>
    <w:rsid w:val="001C1729"/>
    <w:rsid w:val="001C1752"/>
    <w:rsid w:val="001C1BBD"/>
    <w:rsid w:val="001C4FB2"/>
    <w:rsid w:val="001C66BA"/>
    <w:rsid w:val="001C6862"/>
    <w:rsid w:val="001C6D9F"/>
    <w:rsid w:val="001C7E56"/>
    <w:rsid w:val="001D077C"/>
    <w:rsid w:val="001D195E"/>
    <w:rsid w:val="001D226E"/>
    <w:rsid w:val="001D3301"/>
    <w:rsid w:val="001D44ED"/>
    <w:rsid w:val="001D52A1"/>
    <w:rsid w:val="001D5F28"/>
    <w:rsid w:val="001E0D20"/>
    <w:rsid w:val="001E2902"/>
    <w:rsid w:val="001E32EA"/>
    <w:rsid w:val="001E34A9"/>
    <w:rsid w:val="001E6EC9"/>
    <w:rsid w:val="001E75E5"/>
    <w:rsid w:val="001E7F31"/>
    <w:rsid w:val="001F014C"/>
    <w:rsid w:val="001F2153"/>
    <w:rsid w:val="001F227E"/>
    <w:rsid w:val="001F2856"/>
    <w:rsid w:val="001F349C"/>
    <w:rsid w:val="001F5BCB"/>
    <w:rsid w:val="001F62F0"/>
    <w:rsid w:val="001F7940"/>
    <w:rsid w:val="00201F71"/>
    <w:rsid w:val="00202494"/>
    <w:rsid w:val="002026A9"/>
    <w:rsid w:val="00202830"/>
    <w:rsid w:val="00205A8A"/>
    <w:rsid w:val="00205E04"/>
    <w:rsid w:val="002074CB"/>
    <w:rsid w:val="002110AA"/>
    <w:rsid w:val="00211B4D"/>
    <w:rsid w:val="00212649"/>
    <w:rsid w:val="00212A84"/>
    <w:rsid w:val="0021416C"/>
    <w:rsid w:val="0021436F"/>
    <w:rsid w:val="002159A8"/>
    <w:rsid w:val="00215F59"/>
    <w:rsid w:val="00217EB2"/>
    <w:rsid w:val="002205FC"/>
    <w:rsid w:val="00222019"/>
    <w:rsid w:val="00222B1F"/>
    <w:rsid w:val="00223325"/>
    <w:rsid w:val="00224DD4"/>
    <w:rsid w:val="002275E8"/>
    <w:rsid w:val="0023070B"/>
    <w:rsid w:val="00230B6F"/>
    <w:rsid w:val="00231F5E"/>
    <w:rsid w:val="00232826"/>
    <w:rsid w:val="002336A4"/>
    <w:rsid w:val="002338F4"/>
    <w:rsid w:val="002348F8"/>
    <w:rsid w:val="002364CE"/>
    <w:rsid w:val="0023758C"/>
    <w:rsid w:val="002379EB"/>
    <w:rsid w:val="00240E7A"/>
    <w:rsid w:val="00243FAC"/>
    <w:rsid w:val="00244971"/>
    <w:rsid w:val="00245174"/>
    <w:rsid w:val="002473D9"/>
    <w:rsid w:val="002477EF"/>
    <w:rsid w:val="00250595"/>
    <w:rsid w:val="0025298B"/>
    <w:rsid w:val="002539E4"/>
    <w:rsid w:val="002542F7"/>
    <w:rsid w:val="00254EE5"/>
    <w:rsid w:val="002554E2"/>
    <w:rsid w:val="002563DE"/>
    <w:rsid w:val="002568D8"/>
    <w:rsid w:val="00256A9E"/>
    <w:rsid w:val="00262BF9"/>
    <w:rsid w:val="002631AC"/>
    <w:rsid w:val="00265257"/>
    <w:rsid w:val="00265727"/>
    <w:rsid w:val="00265E49"/>
    <w:rsid w:val="00266EF7"/>
    <w:rsid w:val="00267CCE"/>
    <w:rsid w:val="00267DAF"/>
    <w:rsid w:val="002703DF"/>
    <w:rsid w:val="0027114E"/>
    <w:rsid w:val="002746CD"/>
    <w:rsid w:val="002772C8"/>
    <w:rsid w:val="002808F0"/>
    <w:rsid w:val="00282301"/>
    <w:rsid w:val="002837CF"/>
    <w:rsid w:val="002838A3"/>
    <w:rsid w:val="002844BE"/>
    <w:rsid w:val="00284FC0"/>
    <w:rsid w:val="002851E5"/>
    <w:rsid w:val="00286AA6"/>
    <w:rsid w:val="002902FD"/>
    <w:rsid w:val="00291C86"/>
    <w:rsid w:val="00291E49"/>
    <w:rsid w:val="00291FF6"/>
    <w:rsid w:val="002933FC"/>
    <w:rsid w:val="0029414A"/>
    <w:rsid w:val="00294422"/>
    <w:rsid w:val="0029497D"/>
    <w:rsid w:val="0029546E"/>
    <w:rsid w:val="002973F9"/>
    <w:rsid w:val="002A00B9"/>
    <w:rsid w:val="002A0E29"/>
    <w:rsid w:val="002A1B53"/>
    <w:rsid w:val="002A1FA9"/>
    <w:rsid w:val="002A34B5"/>
    <w:rsid w:val="002A3620"/>
    <w:rsid w:val="002A4553"/>
    <w:rsid w:val="002A5236"/>
    <w:rsid w:val="002A54F6"/>
    <w:rsid w:val="002A5C92"/>
    <w:rsid w:val="002A62C4"/>
    <w:rsid w:val="002A6B62"/>
    <w:rsid w:val="002B0F25"/>
    <w:rsid w:val="002B261B"/>
    <w:rsid w:val="002B266D"/>
    <w:rsid w:val="002B5366"/>
    <w:rsid w:val="002B5E81"/>
    <w:rsid w:val="002B7031"/>
    <w:rsid w:val="002B71E1"/>
    <w:rsid w:val="002C4437"/>
    <w:rsid w:val="002C7422"/>
    <w:rsid w:val="002D1717"/>
    <w:rsid w:val="002D464F"/>
    <w:rsid w:val="002D53C9"/>
    <w:rsid w:val="002D53EF"/>
    <w:rsid w:val="002D701C"/>
    <w:rsid w:val="002D7AFD"/>
    <w:rsid w:val="002E0AB6"/>
    <w:rsid w:val="002E174A"/>
    <w:rsid w:val="002E176C"/>
    <w:rsid w:val="002E3C91"/>
    <w:rsid w:val="002E48BD"/>
    <w:rsid w:val="002E5043"/>
    <w:rsid w:val="002E5F37"/>
    <w:rsid w:val="002F092C"/>
    <w:rsid w:val="002F3C0C"/>
    <w:rsid w:val="002F4E73"/>
    <w:rsid w:val="002F5041"/>
    <w:rsid w:val="002F541E"/>
    <w:rsid w:val="002F5673"/>
    <w:rsid w:val="002F73E3"/>
    <w:rsid w:val="003056BF"/>
    <w:rsid w:val="00306EB4"/>
    <w:rsid w:val="00310F45"/>
    <w:rsid w:val="00310FE3"/>
    <w:rsid w:val="00314645"/>
    <w:rsid w:val="00316013"/>
    <w:rsid w:val="003177F6"/>
    <w:rsid w:val="00317CD8"/>
    <w:rsid w:val="00320602"/>
    <w:rsid w:val="00320A12"/>
    <w:rsid w:val="00320BAF"/>
    <w:rsid w:val="0032108B"/>
    <w:rsid w:val="003225F5"/>
    <w:rsid w:val="00324C1E"/>
    <w:rsid w:val="00326257"/>
    <w:rsid w:val="00326502"/>
    <w:rsid w:val="0033365C"/>
    <w:rsid w:val="0033474E"/>
    <w:rsid w:val="00334C80"/>
    <w:rsid w:val="00334F5C"/>
    <w:rsid w:val="00336558"/>
    <w:rsid w:val="003375B2"/>
    <w:rsid w:val="00340212"/>
    <w:rsid w:val="003404A3"/>
    <w:rsid w:val="00340D28"/>
    <w:rsid w:val="00341822"/>
    <w:rsid w:val="003418E5"/>
    <w:rsid w:val="00342122"/>
    <w:rsid w:val="003432A7"/>
    <w:rsid w:val="00344396"/>
    <w:rsid w:val="00345808"/>
    <w:rsid w:val="003478E4"/>
    <w:rsid w:val="00347FC4"/>
    <w:rsid w:val="00350EA7"/>
    <w:rsid w:val="003510F3"/>
    <w:rsid w:val="003519A6"/>
    <w:rsid w:val="00351B52"/>
    <w:rsid w:val="00354898"/>
    <w:rsid w:val="00355908"/>
    <w:rsid w:val="00355F09"/>
    <w:rsid w:val="00356039"/>
    <w:rsid w:val="00360431"/>
    <w:rsid w:val="0036073C"/>
    <w:rsid w:val="0036102D"/>
    <w:rsid w:val="0036131E"/>
    <w:rsid w:val="00361796"/>
    <w:rsid w:val="00362217"/>
    <w:rsid w:val="00366749"/>
    <w:rsid w:val="0037246B"/>
    <w:rsid w:val="00372994"/>
    <w:rsid w:val="00372F96"/>
    <w:rsid w:val="00374198"/>
    <w:rsid w:val="00374B63"/>
    <w:rsid w:val="00374B7E"/>
    <w:rsid w:val="00374BB3"/>
    <w:rsid w:val="00374E55"/>
    <w:rsid w:val="00380F32"/>
    <w:rsid w:val="00381CAC"/>
    <w:rsid w:val="003852A7"/>
    <w:rsid w:val="00386C9C"/>
    <w:rsid w:val="00387385"/>
    <w:rsid w:val="003875FB"/>
    <w:rsid w:val="00393396"/>
    <w:rsid w:val="00395BED"/>
    <w:rsid w:val="00395D01"/>
    <w:rsid w:val="00397DAC"/>
    <w:rsid w:val="003A19F5"/>
    <w:rsid w:val="003A2227"/>
    <w:rsid w:val="003A2796"/>
    <w:rsid w:val="003A289F"/>
    <w:rsid w:val="003A2D97"/>
    <w:rsid w:val="003A3B07"/>
    <w:rsid w:val="003A4BFC"/>
    <w:rsid w:val="003A7661"/>
    <w:rsid w:val="003B04D0"/>
    <w:rsid w:val="003B0874"/>
    <w:rsid w:val="003B0E83"/>
    <w:rsid w:val="003B2BA8"/>
    <w:rsid w:val="003B3568"/>
    <w:rsid w:val="003B4940"/>
    <w:rsid w:val="003B4A34"/>
    <w:rsid w:val="003B522B"/>
    <w:rsid w:val="003B628A"/>
    <w:rsid w:val="003C0582"/>
    <w:rsid w:val="003C0ADD"/>
    <w:rsid w:val="003C1799"/>
    <w:rsid w:val="003C529E"/>
    <w:rsid w:val="003C5B86"/>
    <w:rsid w:val="003C6AEE"/>
    <w:rsid w:val="003C723B"/>
    <w:rsid w:val="003C77A1"/>
    <w:rsid w:val="003D2175"/>
    <w:rsid w:val="003D32A6"/>
    <w:rsid w:val="003D6B40"/>
    <w:rsid w:val="003D6C2E"/>
    <w:rsid w:val="003D74B0"/>
    <w:rsid w:val="003E12B0"/>
    <w:rsid w:val="003E2E16"/>
    <w:rsid w:val="003E3034"/>
    <w:rsid w:val="003E38EA"/>
    <w:rsid w:val="003E573B"/>
    <w:rsid w:val="003E6064"/>
    <w:rsid w:val="003E69DB"/>
    <w:rsid w:val="003E7B18"/>
    <w:rsid w:val="003E7ED9"/>
    <w:rsid w:val="003F0B5B"/>
    <w:rsid w:val="003F0D66"/>
    <w:rsid w:val="003F2B20"/>
    <w:rsid w:val="003F3F7E"/>
    <w:rsid w:val="003F663D"/>
    <w:rsid w:val="003F7670"/>
    <w:rsid w:val="00400597"/>
    <w:rsid w:val="00400956"/>
    <w:rsid w:val="00401401"/>
    <w:rsid w:val="0040162F"/>
    <w:rsid w:val="00401ED1"/>
    <w:rsid w:val="00402013"/>
    <w:rsid w:val="0041000C"/>
    <w:rsid w:val="0041095C"/>
    <w:rsid w:val="004120DC"/>
    <w:rsid w:val="0041253B"/>
    <w:rsid w:val="00413B43"/>
    <w:rsid w:val="00414309"/>
    <w:rsid w:val="00416130"/>
    <w:rsid w:val="0041617F"/>
    <w:rsid w:val="00423068"/>
    <w:rsid w:val="00424235"/>
    <w:rsid w:val="0042478F"/>
    <w:rsid w:val="00425986"/>
    <w:rsid w:val="00425D76"/>
    <w:rsid w:val="00425E6E"/>
    <w:rsid w:val="00426997"/>
    <w:rsid w:val="004279AB"/>
    <w:rsid w:val="00430590"/>
    <w:rsid w:val="00430855"/>
    <w:rsid w:val="004308A9"/>
    <w:rsid w:val="00430944"/>
    <w:rsid w:val="004328EA"/>
    <w:rsid w:val="0043313C"/>
    <w:rsid w:val="004332F7"/>
    <w:rsid w:val="0043369D"/>
    <w:rsid w:val="0043498C"/>
    <w:rsid w:val="00435CCE"/>
    <w:rsid w:val="00436505"/>
    <w:rsid w:val="00437594"/>
    <w:rsid w:val="00437FA1"/>
    <w:rsid w:val="00440311"/>
    <w:rsid w:val="004403EA"/>
    <w:rsid w:val="00440510"/>
    <w:rsid w:val="00440715"/>
    <w:rsid w:val="004417D6"/>
    <w:rsid w:val="00441A4C"/>
    <w:rsid w:val="00442159"/>
    <w:rsid w:val="00442B63"/>
    <w:rsid w:val="00444D98"/>
    <w:rsid w:val="0044500F"/>
    <w:rsid w:val="004455DA"/>
    <w:rsid w:val="00445C1A"/>
    <w:rsid w:val="00446AD9"/>
    <w:rsid w:val="004473FE"/>
    <w:rsid w:val="00450FFF"/>
    <w:rsid w:val="00453ED7"/>
    <w:rsid w:val="004542F0"/>
    <w:rsid w:val="00454A39"/>
    <w:rsid w:val="00457831"/>
    <w:rsid w:val="00457F0D"/>
    <w:rsid w:val="00461273"/>
    <w:rsid w:val="004621B1"/>
    <w:rsid w:val="00464457"/>
    <w:rsid w:val="0046672A"/>
    <w:rsid w:val="00470D3A"/>
    <w:rsid w:val="00474CCE"/>
    <w:rsid w:val="00474E3B"/>
    <w:rsid w:val="00475157"/>
    <w:rsid w:val="004752E4"/>
    <w:rsid w:val="00475D95"/>
    <w:rsid w:val="00481A30"/>
    <w:rsid w:val="0048231B"/>
    <w:rsid w:val="004824C6"/>
    <w:rsid w:val="004829AA"/>
    <w:rsid w:val="004833DC"/>
    <w:rsid w:val="0048454C"/>
    <w:rsid w:val="004878D2"/>
    <w:rsid w:val="00491DB0"/>
    <w:rsid w:val="00495807"/>
    <w:rsid w:val="00496446"/>
    <w:rsid w:val="00496920"/>
    <w:rsid w:val="004969EE"/>
    <w:rsid w:val="004A1AFA"/>
    <w:rsid w:val="004A1BF5"/>
    <w:rsid w:val="004A1D07"/>
    <w:rsid w:val="004A1EB5"/>
    <w:rsid w:val="004A292E"/>
    <w:rsid w:val="004A5A98"/>
    <w:rsid w:val="004A6D27"/>
    <w:rsid w:val="004A7CB4"/>
    <w:rsid w:val="004B1B26"/>
    <w:rsid w:val="004B2D1A"/>
    <w:rsid w:val="004B30C1"/>
    <w:rsid w:val="004B502C"/>
    <w:rsid w:val="004B64F1"/>
    <w:rsid w:val="004B6965"/>
    <w:rsid w:val="004B6F45"/>
    <w:rsid w:val="004C0647"/>
    <w:rsid w:val="004C5E03"/>
    <w:rsid w:val="004C73F9"/>
    <w:rsid w:val="004D059B"/>
    <w:rsid w:val="004D370F"/>
    <w:rsid w:val="004D3FCD"/>
    <w:rsid w:val="004D68C7"/>
    <w:rsid w:val="004D730D"/>
    <w:rsid w:val="004D7C33"/>
    <w:rsid w:val="004E12B5"/>
    <w:rsid w:val="004E3186"/>
    <w:rsid w:val="004E3FD4"/>
    <w:rsid w:val="004E4733"/>
    <w:rsid w:val="004E4ED2"/>
    <w:rsid w:val="004E7EDF"/>
    <w:rsid w:val="004F02D2"/>
    <w:rsid w:val="004F1E7B"/>
    <w:rsid w:val="004F4603"/>
    <w:rsid w:val="004F6D56"/>
    <w:rsid w:val="00502ED8"/>
    <w:rsid w:val="00506A46"/>
    <w:rsid w:val="00510D39"/>
    <w:rsid w:val="00511B95"/>
    <w:rsid w:val="00511C3D"/>
    <w:rsid w:val="00511D1C"/>
    <w:rsid w:val="00512757"/>
    <w:rsid w:val="005129F9"/>
    <w:rsid w:val="00512B81"/>
    <w:rsid w:val="00514670"/>
    <w:rsid w:val="005152C1"/>
    <w:rsid w:val="00515322"/>
    <w:rsid w:val="005160DE"/>
    <w:rsid w:val="00516385"/>
    <w:rsid w:val="00517B1A"/>
    <w:rsid w:val="00517BB5"/>
    <w:rsid w:val="00522E4A"/>
    <w:rsid w:val="00524B2A"/>
    <w:rsid w:val="005250AC"/>
    <w:rsid w:val="005259CB"/>
    <w:rsid w:val="00527EE7"/>
    <w:rsid w:val="00531CAB"/>
    <w:rsid w:val="00535E58"/>
    <w:rsid w:val="00540DDC"/>
    <w:rsid w:val="005414A5"/>
    <w:rsid w:val="00541740"/>
    <w:rsid w:val="005420C0"/>
    <w:rsid w:val="00543F2E"/>
    <w:rsid w:val="0054690F"/>
    <w:rsid w:val="00546AD5"/>
    <w:rsid w:val="00546B16"/>
    <w:rsid w:val="00546EC0"/>
    <w:rsid w:val="005471AB"/>
    <w:rsid w:val="005503D0"/>
    <w:rsid w:val="005511D5"/>
    <w:rsid w:val="00551F35"/>
    <w:rsid w:val="005558EB"/>
    <w:rsid w:val="00555F81"/>
    <w:rsid w:val="0055601D"/>
    <w:rsid w:val="00562447"/>
    <w:rsid w:val="005624FD"/>
    <w:rsid w:val="005666FD"/>
    <w:rsid w:val="00566D1D"/>
    <w:rsid w:val="005677FB"/>
    <w:rsid w:val="00571024"/>
    <w:rsid w:val="00575881"/>
    <w:rsid w:val="00575D6F"/>
    <w:rsid w:val="00576B0E"/>
    <w:rsid w:val="005818BD"/>
    <w:rsid w:val="00583987"/>
    <w:rsid w:val="00591DBB"/>
    <w:rsid w:val="00591F99"/>
    <w:rsid w:val="00592850"/>
    <w:rsid w:val="00593E96"/>
    <w:rsid w:val="005969D6"/>
    <w:rsid w:val="00597137"/>
    <w:rsid w:val="0059726C"/>
    <w:rsid w:val="00597836"/>
    <w:rsid w:val="005A0505"/>
    <w:rsid w:val="005A4780"/>
    <w:rsid w:val="005A5199"/>
    <w:rsid w:val="005A5400"/>
    <w:rsid w:val="005A5AD5"/>
    <w:rsid w:val="005B2A02"/>
    <w:rsid w:val="005B2AFE"/>
    <w:rsid w:val="005B581D"/>
    <w:rsid w:val="005B595B"/>
    <w:rsid w:val="005B6F9F"/>
    <w:rsid w:val="005B7E92"/>
    <w:rsid w:val="005C0634"/>
    <w:rsid w:val="005C0B69"/>
    <w:rsid w:val="005C0BFE"/>
    <w:rsid w:val="005C3E06"/>
    <w:rsid w:val="005C3ECC"/>
    <w:rsid w:val="005C5D94"/>
    <w:rsid w:val="005C676C"/>
    <w:rsid w:val="005D00A0"/>
    <w:rsid w:val="005D1609"/>
    <w:rsid w:val="005D1BA0"/>
    <w:rsid w:val="005D1FDC"/>
    <w:rsid w:val="005D1FFE"/>
    <w:rsid w:val="005D352E"/>
    <w:rsid w:val="005D3C1E"/>
    <w:rsid w:val="005D3DCA"/>
    <w:rsid w:val="005D3E25"/>
    <w:rsid w:val="005D537F"/>
    <w:rsid w:val="005D5C6E"/>
    <w:rsid w:val="005D7C9C"/>
    <w:rsid w:val="005D7D85"/>
    <w:rsid w:val="005E091D"/>
    <w:rsid w:val="005E208D"/>
    <w:rsid w:val="005E30E1"/>
    <w:rsid w:val="005E3465"/>
    <w:rsid w:val="005E3A93"/>
    <w:rsid w:val="005E3E17"/>
    <w:rsid w:val="005E59BB"/>
    <w:rsid w:val="005E5E6F"/>
    <w:rsid w:val="005E632A"/>
    <w:rsid w:val="005E72B2"/>
    <w:rsid w:val="005F20AB"/>
    <w:rsid w:val="005F38E7"/>
    <w:rsid w:val="005F3DB1"/>
    <w:rsid w:val="005F40EE"/>
    <w:rsid w:val="005F43F3"/>
    <w:rsid w:val="00600931"/>
    <w:rsid w:val="006011CB"/>
    <w:rsid w:val="006022B7"/>
    <w:rsid w:val="0060310D"/>
    <w:rsid w:val="00603618"/>
    <w:rsid w:val="0060379B"/>
    <w:rsid w:val="00605BF7"/>
    <w:rsid w:val="006061A1"/>
    <w:rsid w:val="00607927"/>
    <w:rsid w:val="006126D1"/>
    <w:rsid w:val="00613996"/>
    <w:rsid w:val="00614EED"/>
    <w:rsid w:val="00615622"/>
    <w:rsid w:val="00615B33"/>
    <w:rsid w:val="00616826"/>
    <w:rsid w:val="00616DAB"/>
    <w:rsid w:val="00620887"/>
    <w:rsid w:val="006240AC"/>
    <w:rsid w:val="006241FE"/>
    <w:rsid w:val="00624215"/>
    <w:rsid w:val="006256A6"/>
    <w:rsid w:val="00626FF7"/>
    <w:rsid w:val="0063195D"/>
    <w:rsid w:val="006330FF"/>
    <w:rsid w:val="00633C2E"/>
    <w:rsid w:val="00634953"/>
    <w:rsid w:val="00636907"/>
    <w:rsid w:val="006411E3"/>
    <w:rsid w:val="006447DE"/>
    <w:rsid w:val="00647D78"/>
    <w:rsid w:val="00653381"/>
    <w:rsid w:val="006536FB"/>
    <w:rsid w:val="00653C7A"/>
    <w:rsid w:val="00657A80"/>
    <w:rsid w:val="00657CD3"/>
    <w:rsid w:val="00660220"/>
    <w:rsid w:val="00663DD3"/>
    <w:rsid w:val="0066470C"/>
    <w:rsid w:val="00665B55"/>
    <w:rsid w:val="00667E07"/>
    <w:rsid w:val="00670A12"/>
    <w:rsid w:val="00670DD8"/>
    <w:rsid w:val="006714D7"/>
    <w:rsid w:val="006729D4"/>
    <w:rsid w:val="00680970"/>
    <w:rsid w:val="00680DF9"/>
    <w:rsid w:val="00681AB8"/>
    <w:rsid w:val="0068275C"/>
    <w:rsid w:val="00684EB1"/>
    <w:rsid w:val="00685DF1"/>
    <w:rsid w:val="0069197C"/>
    <w:rsid w:val="00692968"/>
    <w:rsid w:val="00692EEC"/>
    <w:rsid w:val="00693BEB"/>
    <w:rsid w:val="00694BC3"/>
    <w:rsid w:val="00694C55"/>
    <w:rsid w:val="00695318"/>
    <w:rsid w:val="0069710D"/>
    <w:rsid w:val="0069780B"/>
    <w:rsid w:val="006A176B"/>
    <w:rsid w:val="006A2009"/>
    <w:rsid w:val="006A36D3"/>
    <w:rsid w:val="006A3CF7"/>
    <w:rsid w:val="006A4D78"/>
    <w:rsid w:val="006A506A"/>
    <w:rsid w:val="006A62D9"/>
    <w:rsid w:val="006A6951"/>
    <w:rsid w:val="006B123C"/>
    <w:rsid w:val="006B1C33"/>
    <w:rsid w:val="006B2EE0"/>
    <w:rsid w:val="006B31B1"/>
    <w:rsid w:val="006B3E0A"/>
    <w:rsid w:val="006B583E"/>
    <w:rsid w:val="006B5AAB"/>
    <w:rsid w:val="006B686B"/>
    <w:rsid w:val="006B6CAA"/>
    <w:rsid w:val="006B71EF"/>
    <w:rsid w:val="006B75D0"/>
    <w:rsid w:val="006C0719"/>
    <w:rsid w:val="006C1BD7"/>
    <w:rsid w:val="006C226C"/>
    <w:rsid w:val="006C3744"/>
    <w:rsid w:val="006C3EA1"/>
    <w:rsid w:val="006C4FB4"/>
    <w:rsid w:val="006C6628"/>
    <w:rsid w:val="006C68A8"/>
    <w:rsid w:val="006C7A35"/>
    <w:rsid w:val="006D048A"/>
    <w:rsid w:val="006D05C4"/>
    <w:rsid w:val="006D16ED"/>
    <w:rsid w:val="006D31C3"/>
    <w:rsid w:val="006D3CAC"/>
    <w:rsid w:val="006D6121"/>
    <w:rsid w:val="006D7C9F"/>
    <w:rsid w:val="006E091D"/>
    <w:rsid w:val="006E15D8"/>
    <w:rsid w:val="006E1E11"/>
    <w:rsid w:val="006E38E6"/>
    <w:rsid w:val="006E46D4"/>
    <w:rsid w:val="006E4959"/>
    <w:rsid w:val="006E65FE"/>
    <w:rsid w:val="006F1661"/>
    <w:rsid w:val="006F29BC"/>
    <w:rsid w:val="006F432A"/>
    <w:rsid w:val="006F483C"/>
    <w:rsid w:val="006F623A"/>
    <w:rsid w:val="006F79AB"/>
    <w:rsid w:val="007004AD"/>
    <w:rsid w:val="00700636"/>
    <w:rsid w:val="00700C0A"/>
    <w:rsid w:val="0070331C"/>
    <w:rsid w:val="00703E81"/>
    <w:rsid w:val="00707E7C"/>
    <w:rsid w:val="007106F1"/>
    <w:rsid w:val="007112EB"/>
    <w:rsid w:val="00711640"/>
    <w:rsid w:val="00712166"/>
    <w:rsid w:val="007126A9"/>
    <w:rsid w:val="00722584"/>
    <w:rsid w:val="00722A5C"/>
    <w:rsid w:val="00725524"/>
    <w:rsid w:val="007268EB"/>
    <w:rsid w:val="00727A8C"/>
    <w:rsid w:val="00727FF7"/>
    <w:rsid w:val="007305A2"/>
    <w:rsid w:val="00730E43"/>
    <w:rsid w:val="007321AF"/>
    <w:rsid w:val="0073238D"/>
    <w:rsid w:val="00733584"/>
    <w:rsid w:val="0073430F"/>
    <w:rsid w:val="0073548D"/>
    <w:rsid w:val="00735E09"/>
    <w:rsid w:val="00740EC5"/>
    <w:rsid w:val="0074429E"/>
    <w:rsid w:val="007446FE"/>
    <w:rsid w:val="00744D4B"/>
    <w:rsid w:val="00744E67"/>
    <w:rsid w:val="00745736"/>
    <w:rsid w:val="0074650B"/>
    <w:rsid w:val="00747EE6"/>
    <w:rsid w:val="007500BA"/>
    <w:rsid w:val="00750CF0"/>
    <w:rsid w:val="00751358"/>
    <w:rsid w:val="00751761"/>
    <w:rsid w:val="00752726"/>
    <w:rsid w:val="00753379"/>
    <w:rsid w:val="007535CF"/>
    <w:rsid w:val="00753F70"/>
    <w:rsid w:val="0075480B"/>
    <w:rsid w:val="007549F4"/>
    <w:rsid w:val="007613D0"/>
    <w:rsid w:val="00761A2F"/>
    <w:rsid w:val="007632BF"/>
    <w:rsid w:val="007647A3"/>
    <w:rsid w:val="00765686"/>
    <w:rsid w:val="00766AB7"/>
    <w:rsid w:val="00767B96"/>
    <w:rsid w:val="00770CA7"/>
    <w:rsid w:val="007712A3"/>
    <w:rsid w:val="0077382D"/>
    <w:rsid w:val="00773830"/>
    <w:rsid w:val="007757D7"/>
    <w:rsid w:val="007765BC"/>
    <w:rsid w:val="0078005F"/>
    <w:rsid w:val="0078098F"/>
    <w:rsid w:val="007823BE"/>
    <w:rsid w:val="007844F0"/>
    <w:rsid w:val="007845C8"/>
    <w:rsid w:val="00784837"/>
    <w:rsid w:val="00785094"/>
    <w:rsid w:val="00787096"/>
    <w:rsid w:val="00792915"/>
    <w:rsid w:val="0079349F"/>
    <w:rsid w:val="007936E1"/>
    <w:rsid w:val="00793D8F"/>
    <w:rsid w:val="0079767E"/>
    <w:rsid w:val="00797CA1"/>
    <w:rsid w:val="007A02C0"/>
    <w:rsid w:val="007A099E"/>
    <w:rsid w:val="007A1107"/>
    <w:rsid w:val="007A221C"/>
    <w:rsid w:val="007A3881"/>
    <w:rsid w:val="007A4454"/>
    <w:rsid w:val="007A75D2"/>
    <w:rsid w:val="007B0328"/>
    <w:rsid w:val="007B0846"/>
    <w:rsid w:val="007B2DC4"/>
    <w:rsid w:val="007B570C"/>
    <w:rsid w:val="007B72EB"/>
    <w:rsid w:val="007B7A90"/>
    <w:rsid w:val="007C10F8"/>
    <w:rsid w:val="007C1D4B"/>
    <w:rsid w:val="007C39E3"/>
    <w:rsid w:val="007C4384"/>
    <w:rsid w:val="007C51E8"/>
    <w:rsid w:val="007C6DB6"/>
    <w:rsid w:val="007C6F15"/>
    <w:rsid w:val="007C74D3"/>
    <w:rsid w:val="007D2B98"/>
    <w:rsid w:val="007D3EFC"/>
    <w:rsid w:val="007D3F6D"/>
    <w:rsid w:val="007D51D2"/>
    <w:rsid w:val="007D52A6"/>
    <w:rsid w:val="007D5EA2"/>
    <w:rsid w:val="007D6D5B"/>
    <w:rsid w:val="007E11F8"/>
    <w:rsid w:val="007E1E3E"/>
    <w:rsid w:val="007E1F1E"/>
    <w:rsid w:val="007E340F"/>
    <w:rsid w:val="007E6707"/>
    <w:rsid w:val="007E69BF"/>
    <w:rsid w:val="007E6B70"/>
    <w:rsid w:val="007E73E4"/>
    <w:rsid w:val="007F0D55"/>
    <w:rsid w:val="007F136C"/>
    <w:rsid w:val="007F2583"/>
    <w:rsid w:val="007F2BA4"/>
    <w:rsid w:val="007F349C"/>
    <w:rsid w:val="007F6445"/>
    <w:rsid w:val="00802BC7"/>
    <w:rsid w:val="00806CF5"/>
    <w:rsid w:val="00807BE6"/>
    <w:rsid w:val="008121DD"/>
    <w:rsid w:val="0081252C"/>
    <w:rsid w:val="00812937"/>
    <w:rsid w:val="0081607F"/>
    <w:rsid w:val="008160C6"/>
    <w:rsid w:val="00816240"/>
    <w:rsid w:val="00817B3C"/>
    <w:rsid w:val="00820658"/>
    <w:rsid w:val="00821598"/>
    <w:rsid w:val="00821780"/>
    <w:rsid w:val="00822189"/>
    <w:rsid w:val="008224E0"/>
    <w:rsid w:val="00824F42"/>
    <w:rsid w:val="008264E8"/>
    <w:rsid w:val="00827792"/>
    <w:rsid w:val="0083680E"/>
    <w:rsid w:val="00836A92"/>
    <w:rsid w:val="00836B51"/>
    <w:rsid w:val="0083783C"/>
    <w:rsid w:val="008402D8"/>
    <w:rsid w:val="008407CD"/>
    <w:rsid w:val="00844613"/>
    <w:rsid w:val="00844A03"/>
    <w:rsid w:val="00844FF6"/>
    <w:rsid w:val="00845F0D"/>
    <w:rsid w:val="00847075"/>
    <w:rsid w:val="00850295"/>
    <w:rsid w:val="00850B62"/>
    <w:rsid w:val="00853C88"/>
    <w:rsid w:val="00857076"/>
    <w:rsid w:val="008600CF"/>
    <w:rsid w:val="00860419"/>
    <w:rsid w:val="008615E4"/>
    <w:rsid w:val="008652BF"/>
    <w:rsid w:val="00865390"/>
    <w:rsid w:val="00867B0A"/>
    <w:rsid w:val="008726A2"/>
    <w:rsid w:val="008737F3"/>
    <w:rsid w:val="00875070"/>
    <w:rsid w:val="0088215A"/>
    <w:rsid w:val="008835E9"/>
    <w:rsid w:val="00883C41"/>
    <w:rsid w:val="00883FF3"/>
    <w:rsid w:val="00884BC2"/>
    <w:rsid w:val="008860A9"/>
    <w:rsid w:val="00886DBD"/>
    <w:rsid w:val="008877EC"/>
    <w:rsid w:val="00891563"/>
    <w:rsid w:val="008921E6"/>
    <w:rsid w:val="00893E21"/>
    <w:rsid w:val="00893EB8"/>
    <w:rsid w:val="00893FF1"/>
    <w:rsid w:val="00894A4B"/>
    <w:rsid w:val="008958A6"/>
    <w:rsid w:val="008A151A"/>
    <w:rsid w:val="008A31B1"/>
    <w:rsid w:val="008A3A0B"/>
    <w:rsid w:val="008A3B35"/>
    <w:rsid w:val="008A4911"/>
    <w:rsid w:val="008A5302"/>
    <w:rsid w:val="008A6570"/>
    <w:rsid w:val="008A6588"/>
    <w:rsid w:val="008A6AB3"/>
    <w:rsid w:val="008A7E62"/>
    <w:rsid w:val="008B0DA6"/>
    <w:rsid w:val="008B25A4"/>
    <w:rsid w:val="008B386B"/>
    <w:rsid w:val="008B4C85"/>
    <w:rsid w:val="008B661D"/>
    <w:rsid w:val="008C0DC3"/>
    <w:rsid w:val="008C1041"/>
    <w:rsid w:val="008C2993"/>
    <w:rsid w:val="008C30DD"/>
    <w:rsid w:val="008C3286"/>
    <w:rsid w:val="008C5C01"/>
    <w:rsid w:val="008C5FD2"/>
    <w:rsid w:val="008C7465"/>
    <w:rsid w:val="008D09E7"/>
    <w:rsid w:val="008D0FD4"/>
    <w:rsid w:val="008D1ACD"/>
    <w:rsid w:val="008D4A2D"/>
    <w:rsid w:val="008D4C41"/>
    <w:rsid w:val="008D7C5B"/>
    <w:rsid w:val="008D7F35"/>
    <w:rsid w:val="008E12E8"/>
    <w:rsid w:val="008E2873"/>
    <w:rsid w:val="008E3CE2"/>
    <w:rsid w:val="008E679F"/>
    <w:rsid w:val="008F0DEF"/>
    <w:rsid w:val="008F0ECE"/>
    <w:rsid w:val="008F136B"/>
    <w:rsid w:val="008F2CE6"/>
    <w:rsid w:val="008F362C"/>
    <w:rsid w:val="008F76FF"/>
    <w:rsid w:val="00900113"/>
    <w:rsid w:val="00900397"/>
    <w:rsid w:val="00906E49"/>
    <w:rsid w:val="00907609"/>
    <w:rsid w:val="00910005"/>
    <w:rsid w:val="00910430"/>
    <w:rsid w:val="0091081D"/>
    <w:rsid w:val="00911964"/>
    <w:rsid w:val="009119C3"/>
    <w:rsid w:val="00914726"/>
    <w:rsid w:val="009175CB"/>
    <w:rsid w:val="009218A2"/>
    <w:rsid w:val="0092348D"/>
    <w:rsid w:val="009242D0"/>
    <w:rsid w:val="0092517B"/>
    <w:rsid w:val="00925A7C"/>
    <w:rsid w:val="00926A05"/>
    <w:rsid w:val="009274A1"/>
    <w:rsid w:val="00930E86"/>
    <w:rsid w:val="00941609"/>
    <w:rsid w:val="009440E5"/>
    <w:rsid w:val="0094458E"/>
    <w:rsid w:val="009447DE"/>
    <w:rsid w:val="00946006"/>
    <w:rsid w:val="009466B7"/>
    <w:rsid w:val="009504D0"/>
    <w:rsid w:val="00952BBF"/>
    <w:rsid w:val="0095447F"/>
    <w:rsid w:val="00954AF4"/>
    <w:rsid w:val="0095536B"/>
    <w:rsid w:val="00955CA6"/>
    <w:rsid w:val="0095684C"/>
    <w:rsid w:val="00956A0F"/>
    <w:rsid w:val="009577E3"/>
    <w:rsid w:val="00960DC9"/>
    <w:rsid w:val="00961B10"/>
    <w:rsid w:val="00963543"/>
    <w:rsid w:val="009646DD"/>
    <w:rsid w:val="00964A9D"/>
    <w:rsid w:val="00965580"/>
    <w:rsid w:val="009669E4"/>
    <w:rsid w:val="00967706"/>
    <w:rsid w:val="00967DF3"/>
    <w:rsid w:val="009700E9"/>
    <w:rsid w:val="00970E73"/>
    <w:rsid w:val="009719CE"/>
    <w:rsid w:val="00971AA9"/>
    <w:rsid w:val="0097202A"/>
    <w:rsid w:val="0097260F"/>
    <w:rsid w:val="00973146"/>
    <w:rsid w:val="00976922"/>
    <w:rsid w:val="00977970"/>
    <w:rsid w:val="00981AB9"/>
    <w:rsid w:val="009842A2"/>
    <w:rsid w:val="00986F66"/>
    <w:rsid w:val="009876D7"/>
    <w:rsid w:val="009900BB"/>
    <w:rsid w:val="009904C9"/>
    <w:rsid w:val="00991BB7"/>
    <w:rsid w:val="00991E40"/>
    <w:rsid w:val="009921FD"/>
    <w:rsid w:val="00992439"/>
    <w:rsid w:val="009924D8"/>
    <w:rsid w:val="009931EE"/>
    <w:rsid w:val="00994934"/>
    <w:rsid w:val="009958EB"/>
    <w:rsid w:val="0099740A"/>
    <w:rsid w:val="0099758E"/>
    <w:rsid w:val="009A184E"/>
    <w:rsid w:val="009A3FBC"/>
    <w:rsid w:val="009A4585"/>
    <w:rsid w:val="009A4BDF"/>
    <w:rsid w:val="009A6664"/>
    <w:rsid w:val="009A6E88"/>
    <w:rsid w:val="009A7143"/>
    <w:rsid w:val="009A72E1"/>
    <w:rsid w:val="009A7957"/>
    <w:rsid w:val="009B0319"/>
    <w:rsid w:val="009B2592"/>
    <w:rsid w:val="009B37ED"/>
    <w:rsid w:val="009B5C00"/>
    <w:rsid w:val="009C3961"/>
    <w:rsid w:val="009C54B7"/>
    <w:rsid w:val="009C79F5"/>
    <w:rsid w:val="009D23D3"/>
    <w:rsid w:val="009D489B"/>
    <w:rsid w:val="009D4BF4"/>
    <w:rsid w:val="009D5FA8"/>
    <w:rsid w:val="009D727F"/>
    <w:rsid w:val="009E0227"/>
    <w:rsid w:val="009E1658"/>
    <w:rsid w:val="009E2E94"/>
    <w:rsid w:val="009E5AE9"/>
    <w:rsid w:val="009E6D58"/>
    <w:rsid w:val="009E7A94"/>
    <w:rsid w:val="009E7B90"/>
    <w:rsid w:val="009F34A3"/>
    <w:rsid w:val="009F5362"/>
    <w:rsid w:val="009F6A2E"/>
    <w:rsid w:val="009F7CED"/>
    <w:rsid w:val="009F7EE0"/>
    <w:rsid w:val="00A04628"/>
    <w:rsid w:val="00A04D75"/>
    <w:rsid w:val="00A05E1F"/>
    <w:rsid w:val="00A06ACD"/>
    <w:rsid w:val="00A1186E"/>
    <w:rsid w:val="00A11902"/>
    <w:rsid w:val="00A121F2"/>
    <w:rsid w:val="00A12F7D"/>
    <w:rsid w:val="00A15135"/>
    <w:rsid w:val="00A20A6D"/>
    <w:rsid w:val="00A232F3"/>
    <w:rsid w:val="00A238A5"/>
    <w:rsid w:val="00A2640C"/>
    <w:rsid w:val="00A30218"/>
    <w:rsid w:val="00A31F4D"/>
    <w:rsid w:val="00A32B52"/>
    <w:rsid w:val="00A33D73"/>
    <w:rsid w:val="00A3670A"/>
    <w:rsid w:val="00A3799E"/>
    <w:rsid w:val="00A434EB"/>
    <w:rsid w:val="00A448CF"/>
    <w:rsid w:val="00A44AC9"/>
    <w:rsid w:val="00A45328"/>
    <w:rsid w:val="00A45B64"/>
    <w:rsid w:val="00A46684"/>
    <w:rsid w:val="00A4771E"/>
    <w:rsid w:val="00A51BDB"/>
    <w:rsid w:val="00A5255E"/>
    <w:rsid w:val="00A53C0C"/>
    <w:rsid w:val="00A55F8F"/>
    <w:rsid w:val="00A5628B"/>
    <w:rsid w:val="00A57B41"/>
    <w:rsid w:val="00A57ED5"/>
    <w:rsid w:val="00A57EE5"/>
    <w:rsid w:val="00A57F23"/>
    <w:rsid w:val="00A60902"/>
    <w:rsid w:val="00A61D53"/>
    <w:rsid w:val="00A63688"/>
    <w:rsid w:val="00A6406E"/>
    <w:rsid w:val="00A64758"/>
    <w:rsid w:val="00A65911"/>
    <w:rsid w:val="00A65F17"/>
    <w:rsid w:val="00A67609"/>
    <w:rsid w:val="00A701AF"/>
    <w:rsid w:val="00A72349"/>
    <w:rsid w:val="00A739C4"/>
    <w:rsid w:val="00A74F69"/>
    <w:rsid w:val="00A757DA"/>
    <w:rsid w:val="00A76508"/>
    <w:rsid w:val="00A817F0"/>
    <w:rsid w:val="00A82EFC"/>
    <w:rsid w:val="00A84AC8"/>
    <w:rsid w:val="00A8594F"/>
    <w:rsid w:val="00A8720B"/>
    <w:rsid w:val="00A873BD"/>
    <w:rsid w:val="00A87758"/>
    <w:rsid w:val="00A87D93"/>
    <w:rsid w:val="00A90FC3"/>
    <w:rsid w:val="00A91131"/>
    <w:rsid w:val="00A9293A"/>
    <w:rsid w:val="00A94C86"/>
    <w:rsid w:val="00A950AE"/>
    <w:rsid w:val="00A969FB"/>
    <w:rsid w:val="00A97049"/>
    <w:rsid w:val="00AA0B3C"/>
    <w:rsid w:val="00AA1EAF"/>
    <w:rsid w:val="00AA362F"/>
    <w:rsid w:val="00AA5E7C"/>
    <w:rsid w:val="00AA6ACF"/>
    <w:rsid w:val="00AB0246"/>
    <w:rsid w:val="00AB0393"/>
    <w:rsid w:val="00AB1B31"/>
    <w:rsid w:val="00AB2048"/>
    <w:rsid w:val="00AB3B52"/>
    <w:rsid w:val="00AB5479"/>
    <w:rsid w:val="00AB54C5"/>
    <w:rsid w:val="00AB5562"/>
    <w:rsid w:val="00AB5F2A"/>
    <w:rsid w:val="00AC0998"/>
    <w:rsid w:val="00AC40F7"/>
    <w:rsid w:val="00AC579E"/>
    <w:rsid w:val="00AC7337"/>
    <w:rsid w:val="00AC7D71"/>
    <w:rsid w:val="00AD0889"/>
    <w:rsid w:val="00AD19CC"/>
    <w:rsid w:val="00AD19EC"/>
    <w:rsid w:val="00AD2AC9"/>
    <w:rsid w:val="00AD45CD"/>
    <w:rsid w:val="00AD5785"/>
    <w:rsid w:val="00AD5F0D"/>
    <w:rsid w:val="00AD6841"/>
    <w:rsid w:val="00AE0813"/>
    <w:rsid w:val="00AE2152"/>
    <w:rsid w:val="00AE2756"/>
    <w:rsid w:val="00AE39C1"/>
    <w:rsid w:val="00AE4763"/>
    <w:rsid w:val="00AE7AF0"/>
    <w:rsid w:val="00AF1B6F"/>
    <w:rsid w:val="00AF2CFA"/>
    <w:rsid w:val="00AF3876"/>
    <w:rsid w:val="00AF3C15"/>
    <w:rsid w:val="00AF471C"/>
    <w:rsid w:val="00AF4E91"/>
    <w:rsid w:val="00AF4F94"/>
    <w:rsid w:val="00AF53FB"/>
    <w:rsid w:val="00AF68F9"/>
    <w:rsid w:val="00AF6ABF"/>
    <w:rsid w:val="00AF704E"/>
    <w:rsid w:val="00AF71A4"/>
    <w:rsid w:val="00B00031"/>
    <w:rsid w:val="00B011AD"/>
    <w:rsid w:val="00B03C87"/>
    <w:rsid w:val="00B04B9F"/>
    <w:rsid w:val="00B05BE3"/>
    <w:rsid w:val="00B10370"/>
    <w:rsid w:val="00B110CB"/>
    <w:rsid w:val="00B1113F"/>
    <w:rsid w:val="00B1114E"/>
    <w:rsid w:val="00B1363E"/>
    <w:rsid w:val="00B13BCC"/>
    <w:rsid w:val="00B149E4"/>
    <w:rsid w:val="00B150FA"/>
    <w:rsid w:val="00B1547E"/>
    <w:rsid w:val="00B16856"/>
    <w:rsid w:val="00B20452"/>
    <w:rsid w:val="00B21118"/>
    <w:rsid w:val="00B22079"/>
    <w:rsid w:val="00B22DA0"/>
    <w:rsid w:val="00B2309B"/>
    <w:rsid w:val="00B2406B"/>
    <w:rsid w:val="00B245A1"/>
    <w:rsid w:val="00B24E1D"/>
    <w:rsid w:val="00B2507D"/>
    <w:rsid w:val="00B31215"/>
    <w:rsid w:val="00B31B0D"/>
    <w:rsid w:val="00B31D0A"/>
    <w:rsid w:val="00B32897"/>
    <w:rsid w:val="00B32F51"/>
    <w:rsid w:val="00B37824"/>
    <w:rsid w:val="00B406ED"/>
    <w:rsid w:val="00B4101D"/>
    <w:rsid w:val="00B410C2"/>
    <w:rsid w:val="00B42EDE"/>
    <w:rsid w:val="00B443A7"/>
    <w:rsid w:val="00B46512"/>
    <w:rsid w:val="00B46A40"/>
    <w:rsid w:val="00B46CB6"/>
    <w:rsid w:val="00B511D6"/>
    <w:rsid w:val="00B533E7"/>
    <w:rsid w:val="00B54F3A"/>
    <w:rsid w:val="00B554B2"/>
    <w:rsid w:val="00B562F5"/>
    <w:rsid w:val="00B603B6"/>
    <w:rsid w:val="00B61347"/>
    <w:rsid w:val="00B633A8"/>
    <w:rsid w:val="00B64676"/>
    <w:rsid w:val="00B663D9"/>
    <w:rsid w:val="00B67591"/>
    <w:rsid w:val="00B70C0F"/>
    <w:rsid w:val="00B71B7A"/>
    <w:rsid w:val="00B71E6C"/>
    <w:rsid w:val="00B7556E"/>
    <w:rsid w:val="00B76489"/>
    <w:rsid w:val="00B768CD"/>
    <w:rsid w:val="00B769C4"/>
    <w:rsid w:val="00B802FD"/>
    <w:rsid w:val="00B80B6A"/>
    <w:rsid w:val="00B80F53"/>
    <w:rsid w:val="00B82A82"/>
    <w:rsid w:val="00B82B1A"/>
    <w:rsid w:val="00B86599"/>
    <w:rsid w:val="00B86C9E"/>
    <w:rsid w:val="00B86D1C"/>
    <w:rsid w:val="00B86DAF"/>
    <w:rsid w:val="00B872AD"/>
    <w:rsid w:val="00B90228"/>
    <w:rsid w:val="00B9144B"/>
    <w:rsid w:val="00B91BE2"/>
    <w:rsid w:val="00B93EAB"/>
    <w:rsid w:val="00B95119"/>
    <w:rsid w:val="00B95948"/>
    <w:rsid w:val="00B9610D"/>
    <w:rsid w:val="00B96BBA"/>
    <w:rsid w:val="00BA108E"/>
    <w:rsid w:val="00BA1624"/>
    <w:rsid w:val="00BA3BD7"/>
    <w:rsid w:val="00BA4431"/>
    <w:rsid w:val="00BA59F4"/>
    <w:rsid w:val="00BA6473"/>
    <w:rsid w:val="00BA72AD"/>
    <w:rsid w:val="00BB0315"/>
    <w:rsid w:val="00BB0521"/>
    <w:rsid w:val="00BB0DA0"/>
    <w:rsid w:val="00BB0EF9"/>
    <w:rsid w:val="00BB2E5A"/>
    <w:rsid w:val="00BB2F98"/>
    <w:rsid w:val="00BB30FA"/>
    <w:rsid w:val="00BB3962"/>
    <w:rsid w:val="00BB4118"/>
    <w:rsid w:val="00BB4271"/>
    <w:rsid w:val="00BB5AC5"/>
    <w:rsid w:val="00BB642E"/>
    <w:rsid w:val="00BB6A3C"/>
    <w:rsid w:val="00BB6DFB"/>
    <w:rsid w:val="00BC264E"/>
    <w:rsid w:val="00BC2E19"/>
    <w:rsid w:val="00BC5D8B"/>
    <w:rsid w:val="00BC6608"/>
    <w:rsid w:val="00BD124E"/>
    <w:rsid w:val="00BD2835"/>
    <w:rsid w:val="00BD39AC"/>
    <w:rsid w:val="00BD6424"/>
    <w:rsid w:val="00BD70FE"/>
    <w:rsid w:val="00BE0BC6"/>
    <w:rsid w:val="00BE138E"/>
    <w:rsid w:val="00BE1B21"/>
    <w:rsid w:val="00BE214F"/>
    <w:rsid w:val="00BF0749"/>
    <w:rsid w:val="00BF0A0B"/>
    <w:rsid w:val="00BF2087"/>
    <w:rsid w:val="00BF2D60"/>
    <w:rsid w:val="00BF2F40"/>
    <w:rsid w:val="00BF3A32"/>
    <w:rsid w:val="00BF7F2C"/>
    <w:rsid w:val="00BF7F90"/>
    <w:rsid w:val="00C00882"/>
    <w:rsid w:val="00C00D64"/>
    <w:rsid w:val="00C03799"/>
    <w:rsid w:val="00C03F01"/>
    <w:rsid w:val="00C03FDE"/>
    <w:rsid w:val="00C042A6"/>
    <w:rsid w:val="00C04F0A"/>
    <w:rsid w:val="00C07015"/>
    <w:rsid w:val="00C07165"/>
    <w:rsid w:val="00C07BC5"/>
    <w:rsid w:val="00C13D97"/>
    <w:rsid w:val="00C141DF"/>
    <w:rsid w:val="00C154DB"/>
    <w:rsid w:val="00C15CFE"/>
    <w:rsid w:val="00C16E40"/>
    <w:rsid w:val="00C179AD"/>
    <w:rsid w:val="00C214CF"/>
    <w:rsid w:val="00C22C91"/>
    <w:rsid w:val="00C309BE"/>
    <w:rsid w:val="00C31050"/>
    <w:rsid w:val="00C31E81"/>
    <w:rsid w:val="00C32610"/>
    <w:rsid w:val="00C32C8D"/>
    <w:rsid w:val="00C33745"/>
    <w:rsid w:val="00C35206"/>
    <w:rsid w:val="00C35233"/>
    <w:rsid w:val="00C3552D"/>
    <w:rsid w:val="00C35D75"/>
    <w:rsid w:val="00C370DB"/>
    <w:rsid w:val="00C372D4"/>
    <w:rsid w:val="00C3766A"/>
    <w:rsid w:val="00C41520"/>
    <w:rsid w:val="00C416EE"/>
    <w:rsid w:val="00C41E05"/>
    <w:rsid w:val="00C42DE7"/>
    <w:rsid w:val="00C43BF6"/>
    <w:rsid w:val="00C512BB"/>
    <w:rsid w:val="00C530B0"/>
    <w:rsid w:val="00C53E03"/>
    <w:rsid w:val="00C53FB6"/>
    <w:rsid w:val="00C57E5F"/>
    <w:rsid w:val="00C6170B"/>
    <w:rsid w:val="00C626F1"/>
    <w:rsid w:val="00C62C8F"/>
    <w:rsid w:val="00C65604"/>
    <w:rsid w:val="00C66D6F"/>
    <w:rsid w:val="00C66EFB"/>
    <w:rsid w:val="00C67C92"/>
    <w:rsid w:val="00C72120"/>
    <w:rsid w:val="00C72A83"/>
    <w:rsid w:val="00C74447"/>
    <w:rsid w:val="00C764DA"/>
    <w:rsid w:val="00C81027"/>
    <w:rsid w:val="00C8125A"/>
    <w:rsid w:val="00C81708"/>
    <w:rsid w:val="00C841B8"/>
    <w:rsid w:val="00C84BC1"/>
    <w:rsid w:val="00C84C4A"/>
    <w:rsid w:val="00C86EE5"/>
    <w:rsid w:val="00C916DB"/>
    <w:rsid w:val="00C9298F"/>
    <w:rsid w:val="00C92ECD"/>
    <w:rsid w:val="00C93A7A"/>
    <w:rsid w:val="00C9434C"/>
    <w:rsid w:val="00C944F2"/>
    <w:rsid w:val="00C94B7A"/>
    <w:rsid w:val="00C94E23"/>
    <w:rsid w:val="00C9563B"/>
    <w:rsid w:val="00C96F68"/>
    <w:rsid w:val="00C97101"/>
    <w:rsid w:val="00CA458C"/>
    <w:rsid w:val="00CA4675"/>
    <w:rsid w:val="00CA52EB"/>
    <w:rsid w:val="00CA6560"/>
    <w:rsid w:val="00CB08A2"/>
    <w:rsid w:val="00CB0C13"/>
    <w:rsid w:val="00CB20F6"/>
    <w:rsid w:val="00CB2D44"/>
    <w:rsid w:val="00CB2F22"/>
    <w:rsid w:val="00CB4AAE"/>
    <w:rsid w:val="00CB4B2E"/>
    <w:rsid w:val="00CB729F"/>
    <w:rsid w:val="00CB7F07"/>
    <w:rsid w:val="00CB7F71"/>
    <w:rsid w:val="00CC086C"/>
    <w:rsid w:val="00CC0FA9"/>
    <w:rsid w:val="00CC2528"/>
    <w:rsid w:val="00CC6A62"/>
    <w:rsid w:val="00CC7575"/>
    <w:rsid w:val="00CD07FE"/>
    <w:rsid w:val="00CD182A"/>
    <w:rsid w:val="00CD2988"/>
    <w:rsid w:val="00CD3BF0"/>
    <w:rsid w:val="00CD71C1"/>
    <w:rsid w:val="00CE0468"/>
    <w:rsid w:val="00CE0739"/>
    <w:rsid w:val="00CE0D10"/>
    <w:rsid w:val="00CE0E30"/>
    <w:rsid w:val="00CE3365"/>
    <w:rsid w:val="00CE4C37"/>
    <w:rsid w:val="00CE5415"/>
    <w:rsid w:val="00CE5898"/>
    <w:rsid w:val="00CE5DC0"/>
    <w:rsid w:val="00CE7089"/>
    <w:rsid w:val="00CF0065"/>
    <w:rsid w:val="00CF03A9"/>
    <w:rsid w:val="00CF370A"/>
    <w:rsid w:val="00CF3A3F"/>
    <w:rsid w:val="00CF73F5"/>
    <w:rsid w:val="00D02B33"/>
    <w:rsid w:val="00D02D67"/>
    <w:rsid w:val="00D03AEA"/>
    <w:rsid w:val="00D03EBC"/>
    <w:rsid w:val="00D05A49"/>
    <w:rsid w:val="00D0772C"/>
    <w:rsid w:val="00D10171"/>
    <w:rsid w:val="00D1149D"/>
    <w:rsid w:val="00D1483C"/>
    <w:rsid w:val="00D15A84"/>
    <w:rsid w:val="00D17BDC"/>
    <w:rsid w:val="00D17BE2"/>
    <w:rsid w:val="00D200FB"/>
    <w:rsid w:val="00D20D90"/>
    <w:rsid w:val="00D219D3"/>
    <w:rsid w:val="00D21AD7"/>
    <w:rsid w:val="00D350A0"/>
    <w:rsid w:val="00D35892"/>
    <w:rsid w:val="00D36946"/>
    <w:rsid w:val="00D404F4"/>
    <w:rsid w:val="00D41F5E"/>
    <w:rsid w:val="00D42EB1"/>
    <w:rsid w:val="00D45295"/>
    <w:rsid w:val="00D503D9"/>
    <w:rsid w:val="00D509AA"/>
    <w:rsid w:val="00D53655"/>
    <w:rsid w:val="00D54035"/>
    <w:rsid w:val="00D5625E"/>
    <w:rsid w:val="00D60952"/>
    <w:rsid w:val="00D60BC8"/>
    <w:rsid w:val="00D61593"/>
    <w:rsid w:val="00D6240E"/>
    <w:rsid w:val="00D62538"/>
    <w:rsid w:val="00D62E83"/>
    <w:rsid w:val="00D62EE2"/>
    <w:rsid w:val="00D71FD2"/>
    <w:rsid w:val="00D73BEC"/>
    <w:rsid w:val="00D74639"/>
    <w:rsid w:val="00D81F0E"/>
    <w:rsid w:val="00D874D0"/>
    <w:rsid w:val="00D91F0B"/>
    <w:rsid w:val="00D93FD1"/>
    <w:rsid w:val="00D94220"/>
    <w:rsid w:val="00D947EC"/>
    <w:rsid w:val="00D956AE"/>
    <w:rsid w:val="00D95A31"/>
    <w:rsid w:val="00D9609C"/>
    <w:rsid w:val="00DA0C91"/>
    <w:rsid w:val="00DA20F7"/>
    <w:rsid w:val="00DA2A6A"/>
    <w:rsid w:val="00DA6567"/>
    <w:rsid w:val="00DA7D1D"/>
    <w:rsid w:val="00DB1199"/>
    <w:rsid w:val="00DB2357"/>
    <w:rsid w:val="00DB2C18"/>
    <w:rsid w:val="00DB347B"/>
    <w:rsid w:val="00DB3CB5"/>
    <w:rsid w:val="00DC2819"/>
    <w:rsid w:val="00DC2DE9"/>
    <w:rsid w:val="00DC445E"/>
    <w:rsid w:val="00DC619D"/>
    <w:rsid w:val="00DC7F0D"/>
    <w:rsid w:val="00DD0A50"/>
    <w:rsid w:val="00DD0EAD"/>
    <w:rsid w:val="00DD11B1"/>
    <w:rsid w:val="00DD3EFC"/>
    <w:rsid w:val="00DD475E"/>
    <w:rsid w:val="00DD67F2"/>
    <w:rsid w:val="00DE0F4C"/>
    <w:rsid w:val="00DE10BE"/>
    <w:rsid w:val="00DE1AED"/>
    <w:rsid w:val="00DE6A3A"/>
    <w:rsid w:val="00DF093D"/>
    <w:rsid w:val="00DF18AC"/>
    <w:rsid w:val="00DF198B"/>
    <w:rsid w:val="00DF1F73"/>
    <w:rsid w:val="00DF1FA1"/>
    <w:rsid w:val="00DF4C66"/>
    <w:rsid w:val="00DF533A"/>
    <w:rsid w:val="00DF58AF"/>
    <w:rsid w:val="00E0123A"/>
    <w:rsid w:val="00E01498"/>
    <w:rsid w:val="00E02101"/>
    <w:rsid w:val="00E02FDE"/>
    <w:rsid w:val="00E04CB9"/>
    <w:rsid w:val="00E05341"/>
    <w:rsid w:val="00E10749"/>
    <w:rsid w:val="00E11551"/>
    <w:rsid w:val="00E133DF"/>
    <w:rsid w:val="00E14AC0"/>
    <w:rsid w:val="00E1521D"/>
    <w:rsid w:val="00E163E6"/>
    <w:rsid w:val="00E17DE8"/>
    <w:rsid w:val="00E2026B"/>
    <w:rsid w:val="00E20A77"/>
    <w:rsid w:val="00E213A3"/>
    <w:rsid w:val="00E24DBF"/>
    <w:rsid w:val="00E26A23"/>
    <w:rsid w:val="00E304C9"/>
    <w:rsid w:val="00E30F02"/>
    <w:rsid w:val="00E31463"/>
    <w:rsid w:val="00E31769"/>
    <w:rsid w:val="00E3467C"/>
    <w:rsid w:val="00E3469C"/>
    <w:rsid w:val="00E37468"/>
    <w:rsid w:val="00E37BE3"/>
    <w:rsid w:val="00E4239F"/>
    <w:rsid w:val="00E42ADD"/>
    <w:rsid w:val="00E42F21"/>
    <w:rsid w:val="00E4345C"/>
    <w:rsid w:val="00E44D88"/>
    <w:rsid w:val="00E45D58"/>
    <w:rsid w:val="00E45F9D"/>
    <w:rsid w:val="00E470A8"/>
    <w:rsid w:val="00E50419"/>
    <w:rsid w:val="00E529A9"/>
    <w:rsid w:val="00E531CD"/>
    <w:rsid w:val="00E53365"/>
    <w:rsid w:val="00E534E9"/>
    <w:rsid w:val="00E5501B"/>
    <w:rsid w:val="00E557EC"/>
    <w:rsid w:val="00E56B59"/>
    <w:rsid w:val="00E60EEB"/>
    <w:rsid w:val="00E62091"/>
    <w:rsid w:val="00E62392"/>
    <w:rsid w:val="00E66627"/>
    <w:rsid w:val="00E70A0D"/>
    <w:rsid w:val="00E70FE8"/>
    <w:rsid w:val="00E7137F"/>
    <w:rsid w:val="00E726B2"/>
    <w:rsid w:val="00E73FBA"/>
    <w:rsid w:val="00E748C0"/>
    <w:rsid w:val="00E76948"/>
    <w:rsid w:val="00E77B3A"/>
    <w:rsid w:val="00E77D32"/>
    <w:rsid w:val="00E77E9C"/>
    <w:rsid w:val="00E800A7"/>
    <w:rsid w:val="00E81F85"/>
    <w:rsid w:val="00E86252"/>
    <w:rsid w:val="00E86FB1"/>
    <w:rsid w:val="00E87D17"/>
    <w:rsid w:val="00E91098"/>
    <w:rsid w:val="00E92D7E"/>
    <w:rsid w:val="00E92E37"/>
    <w:rsid w:val="00E94142"/>
    <w:rsid w:val="00E947AB"/>
    <w:rsid w:val="00E949FD"/>
    <w:rsid w:val="00E9518F"/>
    <w:rsid w:val="00E957AE"/>
    <w:rsid w:val="00E95C1B"/>
    <w:rsid w:val="00EA156D"/>
    <w:rsid w:val="00EA2F6D"/>
    <w:rsid w:val="00EA543C"/>
    <w:rsid w:val="00EA65D0"/>
    <w:rsid w:val="00EA6BE9"/>
    <w:rsid w:val="00EA7461"/>
    <w:rsid w:val="00EB1623"/>
    <w:rsid w:val="00EB5C23"/>
    <w:rsid w:val="00EB671B"/>
    <w:rsid w:val="00EB6BDF"/>
    <w:rsid w:val="00EB6FE3"/>
    <w:rsid w:val="00EB785A"/>
    <w:rsid w:val="00EC08BC"/>
    <w:rsid w:val="00EC0B7F"/>
    <w:rsid w:val="00EC11B0"/>
    <w:rsid w:val="00EC1BD1"/>
    <w:rsid w:val="00EC1D18"/>
    <w:rsid w:val="00EC2211"/>
    <w:rsid w:val="00EC422B"/>
    <w:rsid w:val="00EC5140"/>
    <w:rsid w:val="00EC73BC"/>
    <w:rsid w:val="00ED10C7"/>
    <w:rsid w:val="00ED1657"/>
    <w:rsid w:val="00ED253F"/>
    <w:rsid w:val="00ED3C13"/>
    <w:rsid w:val="00ED3EE7"/>
    <w:rsid w:val="00ED41A3"/>
    <w:rsid w:val="00ED4B92"/>
    <w:rsid w:val="00ED65A9"/>
    <w:rsid w:val="00ED6FBF"/>
    <w:rsid w:val="00ED762F"/>
    <w:rsid w:val="00EE0DFE"/>
    <w:rsid w:val="00EE12A0"/>
    <w:rsid w:val="00EE1567"/>
    <w:rsid w:val="00EE1816"/>
    <w:rsid w:val="00EE1B76"/>
    <w:rsid w:val="00EE2CE4"/>
    <w:rsid w:val="00EE46EA"/>
    <w:rsid w:val="00EE4F60"/>
    <w:rsid w:val="00EE5935"/>
    <w:rsid w:val="00EF0977"/>
    <w:rsid w:val="00EF1108"/>
    <w:rsid w:val="00EF11B2"/>
    <w:rsid w:val="00EF21E9"/>
    <w:rsid w:val="00EF23AA"/>
    <w:rsid w:val="00EF419E"/>
    <w:rsid w:val="00EF4518"/>
    <w:rsid w:val="00EF5613"/>
    <w:rsid w:val="00EF6ADA"/>
    <w:rsid w:val="00EF7940"/>
    <w:rsid w:val="00EF7974"/>
    <w:rsid w:val="00F00659"/>
    <w:rsid w:val="00F00F2E"/>
    <w:rsid w:val="00F03376"/>
    <w:rsid w:val="00F036C5"/>
    <w:rsid w:val="00F03755"/>
    <w:rsid w:val="00F0488F"/>
    <w:rsid w:val="00F0525E"/>
    <w:rsid w:val="00F059C3"/>
    <w:rsid w:val="00F07BD1"/>
    <w:rsid w:val="00F104CE"/>
    <w:rsid w:val="00F15419"/>
    <w:rsid w:val="00F2781D"/>
    <w:rsid w:val="00F27827"/>
    <w:rsid w:val="00F27EDB"/>
    <w:rsid w:val="00F30941"/>
    <w:rsid w:val="00F319AA"/>
    <w:rsid w:val="00F338B7"/>
    <w:rsid w:val="00F3586E"/>
    <w:rsid w:val="00F36A33"/>
    <w:rsid w:val="00F37490"/>
    <w:rsid w:val="00F41301"/>
    <w:rsid w:val="00F4497F"/>
    <w:rsid w:val="00F44E3F"/>
    <w:rsid w:val="00F462D0"/>
    <w:rsid w:val="00F521D4"/>
    <w:rsid w:val="00F5339C"/>
    <w:rsid w:val="00F54B31"/>
    <w:rsid w:val="00F55639"/>
    <w:rsid w:val="00F5587F"/>
    <w:rsid w:val="00F56B8C"/>
    <w:rsid w:val="00F6217A"/>
    <w:rsid w:val="00F62E3A"/>
    <w:rsid w:val="00F6365E"/>
    <w:rsid w:val="00F64636"/>
    <w:rsid w:val="00F64B92"/>
    <w:rsid w:val="00F651FF"/>
    <w:rsid w:val="00F669D3"/>
    <w:rsid w:val="00F66E0F"/>
    <w:rsid w:val="00F66E6D"/>
    <w:rsid w:val="00F67D4D"/>
    <w:rsid w:val="00F71127"/>
    <w:rsid w:val="00F7161D"/>
    <w:rsid w:val="00F718B7"/>
    <w:rsid w:val="00F75C23"/>
    <w:rsid w:val="00F77D8D"/>
    <w:rsid w:val="00F80168"/>
    <w:rsid w:val="00F80CBA"/>
    <w:rsid w:val="00F80F20"/>
    <w:rsid w:val="00F82050"/>
    <w:rsid w:val="00F845EE"/>
    <w:rsid w:val="00F84C91"/>
    <w:rsid w:val="00F84D32"/>
    <w:rsid w:val="00F84F53"/>
    <w:rsid w:val="00F860A4"/>
    <w:rsid w:val="00F87092"/>
    <w:rsid w:val="00F875C3"/>
    <w:rsid w:val="00F906D2"/>
    <w:rsid w:val="00F9076D"/>
    <w:rsid w:val="00F923B2"/>
    <w:rsid w:val="00F94C6F"/>
    <w:rsid w:val="00F968DA"/>
    <w:rsid w:val="00F96E0F"/>
    <w:rsid w:val="00FA0496"/>
    <w:rsid w:val="00FA0F7A"/>
    <w:rsid w:val="00FA116B"/>
    <w:rsid w:val="00FA1C41"/>
    <w:rsid w:val="00FA6B13"/>
    <w:rsid w:val="00FA6D42"/>
    <w:rsid w:val="00FA77C5"/>
    <w:rsid w:val="00FB0250"/>
    <w:rsid w:val="00FB2A21"/>
    <w:rsid w:val="00FB2ADF"/>
    <w:rsid w:val="00FB5B2C"/>
    <w:rsid w:val="00FC0C6F"/>
    <w:rsid w:val="00FC17BC"/>
    <w:rsid w:val="00FC258C"/>
    <w:rsid w:val="00FC2E47"/>
    <w:rsid w:val="00FC4B9B"/>
    <w:rsid w:val="00FC67BA"/>
    <w:rsid w:val="00FC7705"/>
    <w:rsid w:val="00FD1D31"/>
    <w:rsid w:val="00FD1E5C"/>
    <w:rsid w:val="00FD254A"/>
    <w:rsid w:val="00FD4CF1"/>
    <w:rsid w:val="00FD592B"/>
    <w:rsid w:val="00FD5F46"/>
    <w:rsid w:val="00FE1551"/>
    <w:rsid w:val="00FE1AF5"/>
    <w:rsid w:val="00FE2932"/>
    <w:rsid w:val="00FE30B8"/>
    <w:rsid w:val="00FE31BB"/>
    <w:rsid w:val="00FE7275"/>
    <w:rsid w:val="00FF0404"/>
    <w:rsid w:val="00FF0E1C"/>
    <w:rsid w:val="00FF1D91"/>
    <w:rsid w:val="00FF318E"/>
    <w:rsid w:val="00FF7662"/>
    <w:rsid w:val="071E14C1"/>
    <w:rsid w:val="077A52BA"/>
    <w:rsid w:val="07DE2E9D"/>
    <w:rsid w:val="0B6768B2"/>
    <w:rsid w:val="1613743D"/>
    <w:rsid w:val="176E7F20"/>
    <w:rsid w:val="201A781E"/>
    <w:rsid w:val="22AF50A0"/>
    <w:rsid w:val="26850CF7"/>
    <w:rsid w:val="2E137822"/>
    <w:rsid w:val="300B3C7A"/>
    <w:rsid w:val="33D745DF"/>
    <w:rsid w:val="3618739A"/>
    <w:rsid w:val="44FE602C"/>
    <w:rsid w:val="45DE7AE8"/>
    <w:rsid w:val="53403DFA"/>
    <w:rsid w:val="53CB37BA"/>
    <w:rsid w:val="540118FF"/>
    <w:rsid w:val="5E316315"/>
    <w:rsid w:val="609D3F2D"/>
    <w:rsid w:val="61424EA8"/>
    <w:rsid w:val="61B56EF0"/>
    <w:rsid w:val="695C44D1"/>
    <w:rsid w:val="6DF972F5"/>
    <w:rsid w:val="74EB5F77"/>
    <w:rsid w:val="76F5510F"/>
    <w:rsid w:val="77A524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0000FF"/>
      <w:sz w:val="21"/>
      <w:szCs w:val="21"/>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62"/>
    <w:unhideWhenUsed/>
    <w:qFormat/>
    <w:uiPriority w:val="9"/>
    <w:pPr>
      <w:keepNext/>
      <w:keepLines/>
      <w:spacing w:before="260" w:after="260" w:line="416" w:lineRule="auto"/>
      <w:outlineLvl w:val="1"/>
    </w:pPr>
    <w:rPr>
      <w:rFonts w:asciiTheme="majorHAnsi" w:hAnsiTheme="majorHAnsi" w:eastAsiaTheme="majorEastAsia" w:cstheme="majorBidi"/>
      <w:b/>
      <w:bCs/>
      <w:color w:val="auto"/>
      <w:kern w:val="2"/>
      <w:sz w:val="32"/>
      <w:szCs w:val="32"/>
    </w:rPr>
  </w:style>
  <w:style w:type="paragraph" w:styleId="4">
    <w:name w:val="heading 3"/>
    <w:basedOn w:val="1"/>
    <w:next w:val="1"/>
    <w:link w:val="52"/>
    <w:semiHidden/>
    <w:unhideWhenUsed/>
    <w:qFormat/>
    <w:uiPriority w:val="9"/>
    <w:pPr>
      <w:keepNext/>
      <w:keepLines/>
      <w:spacing w:before="260" w:after="260" w:line="416" w:lineRule="auto"/>
      <w:outlineLvl w:val="2"/>
    </w:pPr>
    <w:rPr>
      <w:b/>
      <w:bCs/>
      <w:sz w:val="32"/>
      <w:szCs w:val="32"/>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2520" w:leftChars="1200"/>
    </w:pPr>
    <w:rPr>
      <w:rFonts w:asciiTheme="minorHAnsi" w:hAnsiTheme="minorHAnsi" w:eastAsiaTheme="minorEastAsia" w:cstheme="minorBidi"/>
      <w:color w:val="auto"/>
      <w:kern w:val="2"/>
      <w:szCs w:val="22"/>
    </w:rPr>
  </w:style>
  <w:style w:type="paragraph" w:styleId="6">
    <w:name w:val="caption"/>
    <w:basedOn w:val="1"/>
    <w:next w:val="1"/>
    <w:unhideWhenUsed/>
    <w:qFormat/>
    <w:uiPriority w:val="35"/>
    <w:rPr>
      <w:rFonts w:eastAsia="黑体" w:asciiTheme="majorHAnsi" w:hAnsiTheme="majorHAnsi" w:cstheme="majorBidi"/>
      <w:sz w:val="20"/>
      <w:szCs w:val="20"/>
    </w:rPr>
  </w:style>
  <w:style w:type="paragraph" w:styleId="7">
    <w:name w:val="annotation text"/>
    <w:basedOn w:val="1"/>
    <w:link w:val="34"/>
    <w:semiHidden/>
    <w:unhideWhenUsed/>
    <w:qFormat/>
    <w:uiPriority w:val="99"/>
    <w:pPr>
      <w:jc w:val="left"/>
    </w:pPr>
  </w:style>
  <w:style w:type="paragraph" w:styleId="8">
    <w:name w:val="Body Text"/>
    <w:basedOn w:val="1"/>
    <w:link w:val="48"/>
    <w:qFormat/>
    <w:uiPriority w:val="1"/>
    <w:pPr>
      <w:ind w:left="118"/>
      <w:jc w:val="left"/>
    </w:pPr>
    <w:rPr>
      <w:rFonts w:ascii="宋体" w:hAnsi="宋体" w:cstheme="minorBidi"/>
      <w:color w:val="auto"/>
      <w:lang w:eastAsia="en-US"/>
    </w:rPr>
  </w:style>
  <w:style w:type="paragraph" w:styleId="9">
    <w:name w:val="toc 5"/>
    <w:basedOn w:val="1"/>
    <w:next w:val="1"/>
    <w:unhideWhenUsed/>
    <w:qFormat/>
    <w:uiPriority w:val="39"/>
    <w:pPr>
      <w:ind w:left="1680" w:leftChars="800"/>
    </w:pPr>
    <w:rPr>
      <w:rFonts w:asciiTheme="minorHAnsi" w:hAnsiTheme="minorHAnsi" w:eastAsiaTheme="minorEastAsia" w:cstheme="minorBidi"/>
      <w:color w:val="auto"/>
      <w:kern w:val="2"/>
      <w:szCs w:val="22"/>
    </w:rPr>
  </w:style>
  <w:style w:type="paragraph" w:styleId="10">
    <w:name w:val="toc 3"/>
    <w:basedOn w:val="1"/>
    <w:next w:val="1"/>
    <w:unhideWhenUsed/>
    <w:qFormat/>
    <w:uiPriority w:val="39"/>
    <w:pPr>
      <w:ind w:left="840" w:leftChars="400"/>
    </w:pPr>
  </w:style>
  <w:style w:type="paragraph" w:styleId="11">
    <w:name w:val="Plain Text"/>
    <w:basedOn w:val="1"/>
    <w:link w:val="57"/>
    <w:qFormat/>
    <w:uiPriority w:val="99"/>
    <w:rPr>
      <w:rFonts w:ascii="宋体" w:hAnsiTheme="minorHAnsi" w:eastAsiaTheme="minorEastAsia" w:cstheme="minorBidi"/>
      <w:color w:val="auto"/>
      <w:kern w:val="2"/>
      <w:szCs w:val="22"/>
    </w:rPr>
  </w:style>
  <w:style w:type="paragraph" w:styleId="12">
    <w:name w:val="toc 8"/>
    <w:basedOn w:val="1"/>
    <w:next w:val="1"/>
    <w:unhideWhenUsed/>
    <w:qFormat/>
    <w:uiPriority w:val="39"/>
    <w:pPr>
      <w:ind w:left="2940" w:leftChars="1400"/>
    </w:pPr>
    <w:rPr>
      <w:rFonts w:asciiTheme="minorHAnsi" w:hAnsiTheme="minorHAnsi" w:eastAsiaTheme="minorEastAsia" w:cstheme="minorBidi"/>
      <w:color w:val="auto"/>
      <w:kern w:val="2"/>
      <w:szCs w:val="22"/>
    </w:rPr>
  </w:style>
  <w:style w:type="paragraph" w:styleId="13">
    <w:name w:val="Date"/>
    <w:basedOn w:val="1"/>
    <w:next w:val="1"/>
    <w:link w:val="39"/>
    <w:semiHidden/>
    <w:unhideWhenUsed/>
    <w:qFormat/>
    <w:uiPriority w:val="99"/>
    <w:pPr>
      <w:ind w:left="100" w:leftChars="2500"/>
    </w:pPr>
  </w:style>
  <w:style w:type="paragraph" w:styleId="14">
    <w:name w:val="Balloon Text"/>
    <w:basedOn w:val="1"/>
    <w:link w:val="36"/>
    <w:semiHidden/>
    <w:unhideWhenUsed/>
    <w:qFormat/>
    <w:uiPriority w:val="99"/>
    <w:rPr>
      <w:sz w:val="18"/>
      <w:szCs w:val="18"/>
    </w:rPr>
  </w:style>
  <w:style w:type="paragraph" w:styleId="15">
    <w:name w:val="footer"/>
    <w:basedOn w:val="1"/>
    <w:link w:val="32"/>
    <w:unhideWhenUsed/>
    <w:qFormat/>
    <w:uiPriority w:val="99"/>
    <w:pPr>
      <w:tabs>
        <w:tab w:val="center" w:pos="4153"/>
        <w:tab w:val="right" w:pos="8306"/>
      </w:tabs>
      <w:snapToGrid w:val="0"/>
      <w:jc w:val="left"/>
    </w:pPr>
    <w:rPr>
      <w:rFonts w:asciiTheme="minorHAnsi" w:hAnsiTheme="minorHAnsi" w:eastAsiaTheme="minorEastAsia" w:cstheme="minorBidi"/>
      <w:color w:val="auto"/>
      <w:kern w:val="2"/>
      <w:sz w:val="18"/>
      <w:szCs w:val="18"/>
    </w:rPr>
  </w:style>
  <w:style w:type="paragraph" w:styleId="16">
    <w:name w:val="header"/>
    <w:basedOn w:val="1"/>
    <w:link w:val="31"/>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color w:val="auto"/>
      <w:kern w:val="2"/>
      <w:sz w:val="18"/>
      <w:szCs w:val="18"/>
    </w:rPr>
  </w:style>
  <w:style w:type="paragraph" w:styleId="17">
    <w:name w:val="toc 1"/>
    <w:basedOn w:val="1"/>
    <w:next w:val="1"/>
    <w:unhideWhenUsed/>
    <w:qFormat/>
    <w:uiPriority w:val="39"/>
    <w:pPr>
      <w:tabs>
        <w:tab w:val="left" w:pos="630"/>
        <w:tab w:val="right" w:leader="dot" w:pos="8296"/>
      </w:tabs>
      <w:jc w:val="left"/>
    </w:pPr>
    <w:rPr>
      <w:rFonts w:ascii="宋体" w:hAnsi="宋体"/>
      <w:color w:val="auto"/>
      <w:sz w:val="20"/>
      <w:szCs w:val="20"/>
    </w:rPr>
  </w:style>
  <w:style w:type="paragraph" w:styleId="18">
    <w:name w:val="toc 4"/>
    <w:basedOn w:val="1"/>
    <w:next w:val="1"/>
    <w:unhideWhenUsed/>
    <w:qFormat/>
    <w:uiPriority w:val="39"/>
    <w:pPr>
      <w:ind w:left="1260" w:leftChars="600"/>
    </w:pPr>
    <w:rPr>
      <w:rFonts w:asciiTheme="minorHAnsi" w:hAnsiTheme="minorHAnsi" w:eastAsiaTheme="minorEastAsia" w:cstheme="minorBidi"/>
      <w:color w:val="auto"/>
      <w:kern w:val="2"/>
      <w:szCs w:val="22"/>
    </w:rPr>
  </w:style>
  <w:style w:type="paragraph" w:styleId="19">
    <w:name w:val="toc 6"/>
    <w:basedOn w:val="1"/>
    <w:next w:val="1"/>
    <w:unhideWhenUsed/>
    <w:qFormat/>
    <w:uiPriority w:val="39"/>
    <w:pPr>
      <w:ind w:left="2100" w:leftChars="1000"/>
    </w:pPr>
    <w:rPr>
      <w:rFonts w:asciiTheme="minorHAnsi" w:hAnsiTheme="minorHAnsi" w:eastAsiaTheme="minorEastAsia" w:cstheme="minorBidi"/>
      <w:color w:val="auto"/>
      <w:kern w:val="2"/>
      <w:szCs w:val="22"/>
    </w:rPr>
  </w:style>
  <w:style w:type="paragraph" w:styleId="20">
    <w:name w:val="toc 2"/>
    <w:basedOn w:val="1"/>
    <w:next w:val="1"/>
    <w:unhideWhenUsed/>
    <w:qFormat/>
    <w:uiPriority w:val="39"/>
    <w:pPr>
      <w:ind w:left="420" w:leftChars="200"/>
    </w:pPr>
  </w:style>
  <w:style w:type="paragraph" w:styleId="21">
    <w:name w:val="toc 9"/>
    <w:basedOn w:val="1"/>
    <w:next w:val="1"/>
    <w:unhideWhenUsed/>
    <w:qFormat/>
    <w:uiPriority w:val="39"/>
    <w:pPr>
      <w:ind w:left="3360" w:leftChars="1600"/>
    </w:pPr>
    <w:rPr>
      <w:rFonts w:asciiTheme="minorHAnsi" w:hAnsiTheme="minorHAnsi" w:eastAsiaTheme="minorEastAsia" w:cstheme="minorBidi"/>
      <w:color w:val="auto"/>
      <w:kern w:val="2"/>
      <w:szCs w:val="22"/>
    </w:rPr>
  </w:style>
  <w:style w:type="paragraph" w:styleId="22">
    <w:name w:val="Normal (Web)"/>
    <w:basedOn w:val="1"/>
    <w:unhideWhenUsed/>
    <w:qFormat/>
    <w:uiPriority w:val="99"/>
    <w:pPr>
      <w:spacing w:beforeAutospacing="1" w:afterAutospacing="1"/>
      <w:jc w:val="left"/>
    </w:pPr>
    <w:rPr>
      <w:sz w:val="24"/>
    </w:rPr>
  </w:style>
  <w:style w:type="paragraph" w:styleId="23">
    <w:name w:val="annotation subject"/>
    <w:basedOn w:val="7"/>
    <w:next w:val="7"/>
    <w:link w:val="35"/>
    <w:semiHidden/>
    <w:unhideWhenUsed/>
    <w:qFormat/>
    <w:uiPriority w:val="99"/>
    <w:rPr>
      <w:b/>
      <w:bCs/>
    </w:rPr>
  </w:style>
  <w:style w:type="table" w:styleId="25">
    <w:name w:val="Table Grid"/>
    <w:basedOn w:val="24"/>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page number"/>
    <w:basedOn w:val="26"/>
    <w:qFormat/>
    <w:uiPriority w:val="0"/>
  </w:style>
  <w:style w:type="character" w:styleId="28">
    <w:name w:val="Emphasis"/>
    <w:basedOn w:val="26"/>
    <w:qFormat/>
    <w:uiPriority w:val="20"/>
    <w:rPr>
      <w:i/>
      <w:iCs/>
    </w:rPr>
  </w:style>
  <w:style w:type="character" w:styleId="29">
    <w:name w:val="Hyperlink"/>
    <w:basedOn w:val="26"/>
    <w:unhideWhenUsed/>
    <w:qFormat/>
    <w:uiPriority w:val="99"/>
    <w:rPr>
      <w:color w:val="0563C1" w:themeColor="hyperlink"/>
      <w:u w:val="single"/>
      <w14:textFill>
        <w14:solidFill>
          <w14:schemeClr w14:val="hlink"/>
        </w14:solidFill>
      </w14:textFill>
    </w:rPr>
  </w:style>
  <w:style w:type="character" w:styleId="30">
    <w:name w:val="annotation reference"/>
    <w:basedOn w:val="26"/>
    <w:semiHidden/>
    <w:unhideWhenUsed/>
    <w:qFormat/>
    <w:uiPriority w:val="99"/>
    <w:rPr>
      <w:sz w:val="21"/>
      <w:szCs w:val="21"/>
    </w:rPr>
  </w:style>
  <w:style w:type="character" w:customStyle="1" w:styleId="31">
    <w:name w:val="页眉 Char"/>
    <w:basedOn w:val="26"/>
    <w:link w:val="16"/>
    <w:qFormat/>
    <w:uiPriority w:val="99"/>
    <w:rPr>
      <w:sz w:val="18"/>
      <w:szCs w:val="18"/>
    </w:rPr>
  </w:style>
  <w:style w:type="character" w:customStyle="1" w:styleId="32">
    <w:name w:val="页脚 Char1"/>
    <w:basedOn w:val="26"/>
    <w:link w:val="15"/>
    <w:qFormat/>
    <w:uiPriority w:val="99"/>
    <w:rPr>
      <w:sz w:val="18"/>
      <w:szCs w:val="18"/>
    </w:rPr>
  </w:style>
  <w:style w:type="paragraph" w:styleId="33">
    <w:name w:val="List Paragraph"/>
    <w:basedOn w:val="1"/>
    <w:qFormat/>
    <w:uiPriority w:val="34"/>
    <w:pPr>
      <w:ind w:firstLine="420" w:firstLineChars="200"/>
    </w:pPr>
  </w:style>
  <w:style w:type="character" w:customStyle="1" w:styleId="34">
    <w:name w:val="批注文字 Char"/>
    <w:basedOn w:val="26"/>
    <w:link w:val="7"/>
    <w:semiHidden/>
    <w:qFormat/>
    <w:uiPriority w:val="99"/>
    <w:rPr>
      <w:rFonts w:ascii="Times New Roman" w:hAnsi="Times New Roman" w:eastAsia="宋体" w:cs="Times New Roman"/>
      <w:color w:val="0000FF"/>
      <w:kern w:val="0"/>
      <w:szCs w:val="21"/>
    </w:rPr>
  </w:style>
  <w:style w:type="character" w:customStyle="1" w:styleId="35">
    <w:name w:val="批注主题 Char"/>
    <w:basedOn w:val="34"/>
    <w:link w:val="23"/>
    <w:semiHidden/>
    <w:qFormat/>
    <w:uiPriority w:val="99"/>
    <w:rPr>
      <w:rFonts w:ascii="Times New Roman" w:hAnsi="Times New Roman" w:eastAsia="宋体" w:cs="Times New Roman"/>
      <w:b/>
      <w:bCs/>
      <w:color w:val="0000FF"/>
      <w:kern w:val="0"/>
      <w:szCs w:val="21"/>
    </w:rPr>
  </w:style>
  <w:style w:type="character" w:customStyle="1" w:styleId="36">
    <w:name w:val="批注框文本 Char"/>
    <w:basedOn w:val="26"/>
    <w:link w:val="14"/>
    <w:semiHidden/>
    <w:qFormat/>
    <w:uiPriority w:val="99"/>
    <w:rPr>
      <w:rFonts w:ascii="Times New Roman" w:hAnsi="Times New Roman" w:eastAsia="宋体" w:cs="Times New Roman"/>
      <w:color w:val="0000FF"/>
      <w:kern w:val="0"/>
      <w:sz w:val="18"/>
      <w:szCs w:val="18"/>
    </w:rPr>
  </w:style>
  <w:style w:type="character" w:customStyle="1" w:styleId="37">
    <w:name w:val="标题 1 Char"/>
    <w:basedOn w:val="26"/>
    <w:link w:val="2"/>
    <w:qFormat/>
    <w:uiPriority w:val="9"/>
    <w:rPr>
      <w:rFonts w:ascii="Times New Roman" w:hAnsi="Times New Roman" w:eastAsia="宋体" w:cs="Times New Roman"/>
      <w:b/>
      <w:bCs/>
      <w:color w:val="0000FF"/>
      <w:kern w:val="44"/>
      <w:sz w:val="44"/>
      <w:szCs w:val="44"/>
    </w:rPr>
  </w:style>
  <w:style w:type="paragraph" w:customStyle="1" w:styleId="38">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39">
    <w:name w:val="日期 Char"/>
    <w:basedOn w:val="26"/>
    <w:link w:val="13"/>
    <w:semiHidden/>
    <w:qFormat/>
    <w:uiPriority w:val="99"/>
    <w:rPr>
      <w:rFonts w:ascii="Times New Roman" w:hAnsi="Times New Roman" w:eastAsia="宋体" w:cs="Times New Roman"/>
      <w:color w:val="0000FF"/>
      <w:kern w:val="0"/>
      <w:szCs w:val="21"/>
    </w:rPr>
  </w:style>
  <w:style w:type="table" w:customStyle="1" w:styleId="40">
    <w:name w:val="网格型7"/>
    <w:basedOn w:val="2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1">
    <w:name w:val="网格型1"/>
    <w:basedOn w:val="2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2">
    <w:name w:val="网格型2"/>
    <w:basedOn w:val="24"/>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3">
    <w:name w:val="网格型71"/>
    <w:basedOn w:val="2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4">
    <w:name w:val="网格型11"/>
    <w:basedOn w:val="2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5">
    <w:name w:val="Table Normal"/>
    <w:semiHidden/>
    <w:unhideWhenUsed/>
    <w:qFormat/>
    <w:uiPriority w:val="2"/>
    <w:pPr>
      <w:widowControl w:val="0"/>
    </w:pPr>
    <w:rPr>
      <w:sz w:val="22"/>
      <w:lang w:eastAsia="en-US"/>
    </w:rPr>
    <w:tblPr>
      <w:tblCellMar>
        <w:top w:w="0" w:type="dxa"/>
        <w:left w:w="0" w:type="dxa"/>
        <w:bottom w:w="0" w:type="dxa"/>
        <w:right w:w="0" w:type="dxa"/>
      </w:tblCellMar>
    </w:tblPr>
  </w:style>
  <w:style w:type="table" w:customStyle="1" w:styleId="46">
    <w:name w:val="Table Normal1"/>
    <w:semiHidden/>
    <w:unhideWhenUsed/>
    <w:qFormat/>
    <w:uiPriority w:val="2"/>
    <w:pPr>
      <w:widowControl w:val="0"/>
    </w:pPr>
    <w:rPr>
      <w:sz w:val="22"/>
      <w:lang w:eastAsia="en-US"/>
    </w:rPr>
    <w:tblPr>
      <w:tblCellMar>
        <w:top w:w="0" w:type="dxa"/>
        <w:left w:w="0" w:type="dxa"/>
        <w:bottom w:w="0" w:type="dxa"/>
        <w:right w:w="0" w:type="dxa"/>
      </w:tblCellMar>
    </w:tblPr>
  </w:style>
  <w:style w:type="paragraph" w:customStyle="1" w:styleId="47">
    <w:name w:val="Table Paragraph"/>
    <w:basedOn w:val="1"/>
    <w:qFormat/>
    <w:uiPriority w:val="1"/>
    <w:pPr>
      <w:jc w:val="left"/>
    </w:pPr>
    <w:rPr>
      <w:rFonts w:asciiTheme="minorHAnsi" w:hAnsiTheme="minorHAnsi" w:eastAsiaTheme="minorEastAsia" w:cstheme="minorBidi"/>
      <w:color w:val="auto"/>
      <w:sz w:val="22"/>
      <w:szCs w:val="22"/>
      <w:lang w:eastAsia="en-US"/>
    </w:rPr>
  </w:style>
  <w:style w:type="character" w:customStyle="1" w:styleId="48">
    <w:name w:val="正文文本 Char"/>
    <w:basedOn w:val="26"/>
    <w:link w:val="8"/>
    <w:qFormat/>
    <w:uiPriority w:val="1"/>
    <w:rPr>
      <w:rFonts w:ascii="宋体" w:hAnsi="宋体" w:eastAsia="宋体"/>
      <w:kern w:val="0"/>
      <w:szCs w:val="21"/>
      <w:lang w:eastAsia="en-US"/>
    </w:rPr>
  </w:style>
  <w:style w:type="table" w:customStyle="1" w:styleId="49">
    <w:name w:val="Table Normal2"/>
    <w:semiHidden/>
    <w:unhideWhenUsed/>
    <w:qFormat/>
    <w:uiPriority w:val="2"/>
    <w:pPr>
      <w:widowControl w:val="0"/>
    </w:pPr>
    <w:rPr>
      <w:sz w:val="22"/>
      <w:lang w:eastAsia="en-US"/>
    </w:rPr>
    <w:tblPr>
      <w:tblCellMar>
        <w:top w:w="0" w:type="dxa"/>
        <w:left w:w="0" w:type="dxa"/>
        <w:bottom w:w="0" w:type="dxa"/>
        <w:right w:w="0" w:type="dxa"/>
      </w:tblCellMar>
    </w:tblPr>
  </w:style>
  <w:style w:type="table" w:customStyle="1" w:styleId="50">
    <w:name w:val="Table Normal3"/>
    <w:semiHidden/>
    <w:unhideWhenUsed/>
    <w:qFormat/>
    <w:uiPriority w:val="2"/>
    <w:pPr>
      <w:widowControl w:val="0"/>
    </w:pPr>
    <w:rPr>
      <w:sz w:val="22"/>
      <w:lang w:eastAsia="en-US"/>
    </w:rPr>
    <w:tblPr>
      <w:tblCellMar>
        <w:top w:w="0" w:type="dxa"/>
        <w:left w:w="0" w:type="dxa"/>
        <w:bottom w:w="0" w:type="dxa"/>
        <w:right w:w="0" w:type="dxa"/>
      </w:tblCellMar>
    </w:tblPr>
  </w:style>
  <w:style w:type="table" w:customStyle="1" w:styleId="51">
    <w:name w:val="Table Normal4"/>
    <w:semiHidden/>
    <w:unhideWhenUsed/>
    <w:qFormat/>
    <w:uiPriority w:val="2"/>
    <w:pPr>
      <w:widowControl w:val="0"/>
    </w:pPr>
    <w:rPr>
      <w:sz w:val="22"/>
      <w:lang w:eastAsia="en-US"/>
    </w:rPr>
    <w:tblPr>
      <w:tblCellMar>
        <w:top w:w="0" w:type="dxa"/>
        <w:left w:w="0" w:type="dxa"/>
        <w:bottom w:w="0" w:type="dxa"/>
        <w:right w:w="0" w:type="dxa"/>
      </w:tblCellMar>
    </w:tblPr>
  </w:style>
  <w:style w:type="character" w:customStyle="1" w:styleId="52">
    <w:name w:val="标题 3 Char"/>
    <w:basedOn w:val="26"/>
    <w:link w:val="4"/>
    <w:semiHidden/>
    <w:qFormat/>
    <w:uiPriority w:val="9"/>
    <w:rPr>
      <w:rFonts w:ascii="Times New Roman" w:hAnsi="Times New Roman" w:eastAsia="宋体" w:cs="Times New Roman"/>
      <w:b/>
      <w:bCs/>
      <w:color w:val="0000FF"/>
      <w:kern w:val="0"/>
      <w:sz w:val="32"/>
      <w:szCs w:val="32"/>
    </w:rPr>
  </w:style>
  <w:style w:type="character" w:styleId="53">
    <w:name w:val="Placeholder Text"/>
    <w:basedOn w:val="26"/>
    <w:semiHidden/>
    <w:qFormat/>
    <w:uiPriority w:val="99"/>
    <w:rPr>
      <w:color w:val="808080"/>
    </w:rPr>
  </w:style>
  <w:style w:type="paragraph" w:customStyle="1" w:styleId="54">
    <w:name w:val="表格小五"/>
    <w:basedOn w:val="1"/>
    <w:next w:val="1"/>
    <w:qFormat/>
    <w:uiPriority w:val="0"/>
    <w:pPr>
      <w:jc w:val="left"/>
    </w:pPr>
    <w:rPr>
      <w:rFonts w:ascii="Calibri" w:hAnsi="Calibri"/>
      <w:color w:val="auto"/>
      <w:kern w:val="2"/>
      <w:sz w:val="18"/>
      <w:szCs w:val="20"/>
    </w:rPr>
  </w:style>
  <w:style w:type="paragraph" w:customStyle="1" w:styleId="55">
    <w:name w:val="图表标题"/>
    <w:basedOn w:val="1"/>
    <w:next w:val="1"/>
    <w:qFormat/>
    <w:uiPriority w:val="0"/>
    <w:pPr>
      <w:spacing w:line="288" w:lineRule="auto"/>
      <w:jc w:val="center"/>
    </w:pPr>
    <w:rPr>
      <w:rFonts w:ascii="Calibri" w:hAnsi="Calibri" w:eastAsia="黑体"/>
      <w:color w:val="auto"/>
      <w:kern w:val="2"/>
      <w:sz w:val="24"/>
      <w:szCs w:val="20"/>
    </w:rPr>
  </w:style>
  <w:style w:type="character" w:customStyle="1" w:styleId="56">
    <w:name w:val="页脚 Char"/>
    <w:qFormat/>
    <w:uiPriority w:val="99"/>
    <w:rPr>
      <w:sz w:val="18"/>
    </w:rPr>
  </w:style>
  <w:style w:type="character" w:customStyle="1" w:styleId="57">
    <w:name w:val="纯文本 Char"/>
    <w:link w:val="11"/>
    <w:qFormat/>
    <w:uiPriority w:val="99"/>
    <w:rPr>
      <w:rFonts w:ascii="宋体"/>
    </w:rPr>
  </w:style>
  <w:style w:type="character" w:customStyle="1" w:styleId="58">
    <w:name w:val="纯文本 字符1"/>
    <w:basedOn w:val="26"/>
    <w:semiHidden/>
    <w:qFormat/>
    <w:uiPriority w:val="99"/>
    <w:rPr>
      <w:rFonts w:hAnsi="Courier New" w:cs="Courier New" w:asciiTheme="minorEastAsia"/>
      <w:color w:val="0000FF"/>
      <w:kern w:val="0"/>
      <w:szCs w:val="21"/>
    </w:rPr>
  </w:style>
  <w:style w:type="paragraph" w:customStyle="1" w:styleId="59">
    <w:name w:val="样式 标题 1 + (中文) 黑体"/>
    <w:basedOn w:val="2"/>
    <w:qFormat/>
    <w:uiPriority w:val="0"/>
    <w:pPr>
      <w:spacing w:before="0" w:after="240" w:line="360" w:lineRule="auto"/>
      <w:jc w:val="center"/>
    </w:pPr>
    <w:rPr>
      <w:rFonts w:eastAsia="黑体"/>
      <w:b w:val="0"/>
      <w:bCs w:val="0"/>
      <w:color w:val="auto"/>
      <w:sz w:val="28"/>
      <w:szCs w:val="20"/>
    </w:rPr>
  </w:style>
  <w:style w:type="paragraph" w:customStyle="1" w:styleId="60">
    <w:name w:val="段"/>
    <w:qFormat/>
    <w:uiPriority w:val="0"/>
    <w:pPr>
      <w:tabs>
        <w:tab w:val="center" w:pos="4201"/>
        <w:tab w:val="right" w:leader="dot" w:pos="9298"/>
      </w:tabs>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1">
    <w:name w:val="列出段落1"/>
    <w:basedOn w:val="1"/>
    <w:qFormat/>
    <w:uiPriority w:val="0"/>
    <w:pPr>
      <w:ind w:firstLine="420" w:firstLineChars="200"/>
    </w:pPr>
    <w:rPr>
      <w:rFonts w:ascii="Calibri" w:hAnsi="Calibri"/>
      <w:color w:val="auto"/>
      <w:kern w:val="2"/>
      <w:szCs w:val="22"/>
    </w:rPr>
  </w:style>
  <w:style w:type="character" w:customStyle="1" w:styleId="62">
    <w:name w:val="标题 2 Char"/>
    <w:basedOn w:val="26"/>
    <w:link w:val="3"/>
    <w:qFormat/>
    <w:uiPriority w:val="9"/>
    <w:rPr>
      <w:rFonts w:asciiTheme="majorHAnsi" w:hAnsiTheme="majorHAnsi" w:eastAsiaTheme="majorEastAsia" w:cstheme="majorBidi"/>
      <w:b/>
      <w:bCs/>
      <w:kern w:val="2"/>
      <w:sz w:val="32"/>
      <w:szCs w:val="32"/>
    </w:rPr>
  </w:style>
  <w:style w:type="paragraph" w:customStyle="1" w:styleId="6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64">
    <w:name w:val="WPSOffice手动目录 1"/>
    <w:qFormat/>
    <w:uiPriority w:val="0"/>
    <w:rPr>
      <w:rFonts w:asciiTheme="minorHAnsi" w:hAnsiTheme="minorHAnsi" w:eastAsiaTheme="minorEastAsia" w:cstheme="minorBidi"/>
      <w:lang w:val="en-US" w:eastAsia="zh-CN" w:bidi="ar-SA"/>
    </w:rPr>
  </w:style>
  <w:style w:type="paragraph" w:customStyle="1" w:styleId="65">
    <w:name w:val="WPSOffice手动目录 2"/>
    <w:qFormat/>
    <w:uiPriority w:val="0"/>
    <w:pPr>
      <w:ind w:left="200" w:leftChars="200"/>
    </w:pPr>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77D6E0-A4C0-4222-8D86-B50C69947D09}">
  <ds:schemaRefs/>
</ds:datastoreItem>
</file>

<file path=docProps/app.xml><?xml version="1.0" encoding="utf-8"?>
<Properties xmlns="http://schemas.openxmlformats.org/officeDocument/2006/extended-properties" xmlns:vt="http://schemas.openxmlformats.org/officeDocument/2006/docPropsVTypes">
  <Template>Normal</Template>
  <Company>中国石油大学</Company>
  <Pages>24</Pages>
  <Words>2921</Words>
  <Characters>16656</Characters>
  <Lines>138</Lines>
  <Paragraphs>39</Paragraphs>
  <TotalTime>10</TotalTime>
  <ScaleCrop>false</ScaleCrop>
  <LinksUpToDate>false</LinksUpToDate>
  <CharactersWithSpaces>19538</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2021-11-10T06:40:00Z</dcterms:created>
  <dc:creator>唐 千喻</dc:creator>
  <cp:lastModifiedBy>刘珊珊</cp:lastModifiedBy>
  <cp:lastPrinted>2021-11-10T06:43:00Z</cp:lastPrinted>
  <dcterms:modified xsi:type="dcterms:W3CDTF">2021-11-12T05:23:09Z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2052-11.1.0.11045</vt:lpwstr>
  </property>
  <property fmtid="{D5CDD505-2E9C-101B-9397-08002B2CF9AE}" pid="4" name="ICV">
    <vt:lpwstr>938B21151F504FD7B0F6D60FCDA4D8EA</vt:lpwstr>
  </property>
</Properties>
</file>