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44"/>
      </w:pPr>
      <w:r>
        <w:rPr>
          <w:rFonts w:ascii="Times New Roman"/>
        </w:rPr>
        <w:t>ICS</w:t>
      </w:r>
      <w:r>
        <w:rPr>
          <w:rFonts w:hint="eastAsia" w:ascii="MS Mincho" w:hAnsi="MS Mincho" w:eastAsia="MS Mincho" w:cs="MS Mincho"/>
        </w:rPr>
        <w:t> </w:t>
      </w:r>
    </w:p>
    <w:tbl>
      <w:tblPr>
        <w:tblStyle w:val="33"/>
        <w:tblW w:w="9854" w:type="dxa"/>
        <w:tblInd w:w="-106"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85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854" w:type="dxa"/>
            <w:tcBorders>
              <w:top w:val="nil"/>
              <w:left w:val="nil"/>
              <w:bottom w:val="nil"/>
              <w:right w:val="nil"/>
            </w:tcBorders>
          </w:tcPr>
          <w:p>
            <w:pPr>
              <w:pStyle w:val="144"/>
            </w:pPr>
            <w:r>
              <mc:AlternateContent>
                <mc:Choice Requires="wps">
                  <w:drawing>
                    <wp:anchor distT="0" distB="0" distL="114300" distR="114300" simplePos="0" relativeHeight="251664384" behindDoc="1" locked="0" layoutInCell="1" allowOverlap="1">
                      <wp:simplePos x="0" y="0"/>
                      <wp:positionH relativeFrom="column">
                        <wp:posOffset>-66675</wp:posOffset>
                      </wp:positionH>
                      <wp:positionV relativeFrom="paragraph">
                        <wp:posOffset>0</wp:posOffset>
                      </wp:positionV>
                      <wp:extent cx="866775" cy="198120"/>
                      <wp:effectExtent l="4445" t="0" r="0" b="0"/>
                      <wp:wrapNone/>
                      <wp:docPr id="7" name="BAH"/>
                      <wp:cNvGraphicFramePr/>
                      <a:graphic xmlns:a="http://schemas.openxmlformats.org/drawingml/2006/main">
                        <a:graphicData uri="http://schemas.microsoft.com/office/word/2010/wordprocessingShape">
                          <wps:wsp>
                            <wps:cNvSpPr>
                              <a:spLocks noChangeArrowheads="1"/>
                            </wps:cNvSpPr>
                            <wps:spPr bwMode="auto">
                              <a:xfrm>
                                <a:off x="0" y="0"/>
                                <a:ext cx="866775" cy="198120"/>
                              </a:xfrm>
                              <a:prstGeom prst="rect">
                                <a:avLst/>
                              </a:prstGeom>
                              <a:solidFill>
                                <a:srgbClr val="FFFFFF"/>
                              </a:solidFill>
                              <a:ln>
                                <a:noFill/>
                              </a:ln>
                            </wps:spPr>
                            <wps:bodyPr rot="0" vert="horz" wrap="square" lIns="91440" tIns="45720" rIns="91440" bIns="45720" anchor="t" anchorCtr="0" upright="1">
                              <a:noAutofit/>
                            </wps:bodyPr>
                          </wps:wsp>
                        </a:graphicData>
                      </a:graphic>
                    </wp:anchor>
                  </w:drawing>
                </mc:Choice>
                <mc:Fallback>
                  <w:pict>
                    <v:rect id="BAH" o:spid="_x0000_s1026" o:spt="1" style="position:absolute;left:0pt;margin-left:-5.25pt;margin-top:0pt;height:15.6pt;width:68.25pt;z-index:-251652096;mso-width-relative:page;mso-height-relative:page;" fillcolor="#FFFFFF" filled="t" stroked="f" coordsize="21600,21600" o:gfxdata="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yK4v7NUAAAAHAQAADwAAAAAAAAABACAAAAAi&#10;AAAAZHJzL2Rvd25yZXYueG1sUEsBAhQAFAAAAAgAh07iQO82kYINAgAAIAQAAA4AAAAAAAAAAQAg&#10;AAAAJAEAAGRycy9lMm9Eb2MueG1sUEsFBgAAAAAGAAYAWQEAAKMFAAAAAA==&#10;">
                      <v:fill on="t" focussize="0,0"/>
                      <v:stroke on="f"/>
                      <v:imagedata o:title=""/>
                      <o:lock v:ext="edit" aspectratio="f"/>
                    </v:rect>
                  </w:pict>
                </mc:Fallback>
              </mc:AlternateContent>
            </w:r>
            <w:r>
              <w:t xml:space="preserve">Z </w:t>
            </w:r>
          </w:p>
        </w:tc>
      </w:tr>
    </w:tbl>
    <w:p>
      <w:pPr>
        <w:pStyle w:val="105"/>
        <w:rPr>
          <w:rFonts w:hAnsi="黑体"/>
        </w:rPr>
      </w:pPr>
      <w:r>
        <w:rPr>
          <w:rFonts w:hAnsi="黑体"/>
        </w:rPr>
        <w:t>T/CECS 1000X—</w:t>
      </w:r>
      <w:bookmarkStart w:id="0" w:name="StdNo2"/>
      <w:r>
        <w:rPr>
          <w:rFonts w:hAnsi="黑体"/>
        </w:rPr>
        <w:fldChar w:fldCharType="begin">
          <w:ffData>
            <w:name w:val="StdNo2"/>
            <w:enabled/>
            <w:calcOnExit w:val="0"/>
            <w:textInput>
              <w:default w:val="XXXX"/>
              <w:maxLength w:val="4"/>
            </w:textInput>
          </w:ffData>
        </w:fldChar>
      </w:r>
      <w:r>
        <w:rPr>
          <w:rFonts w:hAnsi="黑体"/>
        </w:rPr>
        <w:instrText xml:space="preserve"> FORMTEXT </w:instrText>
      </w:r>
      <w:r>
        <w:rPr>
          <w:rFonts w:hAnsi="黑体"/>
        </w:rPr>
        <w:fldChar w:fldCharType="separate"/>
      </w:r>
      <w:r>
        <w:rPr>
          <w:rFonts w:hint="eastAsia" w:hAnsi="黑体"/>
        </w:rPr>
        <w:t>    </w:t>
      </w:r>
      <w:r>
        <w:rPr>
          <w:rFonts w:hAnsi="黑体"/>
        </w:rPr>
        <w:fldChar w:fldCharType="end"/>
      </w:r>
      <w:bookmarkEnd w:id="0"/>
    </w:p>
    <w:tbl>
      <w:tblPr>
        <w:tblStyle w:val="33"/>
        <w:tblW w:w="18712" w:type="dxa"/>
        <w:tblInd w:w="-106"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356"/>
        <w:gridCol w:w="935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356" w:type="dxa"/>
            <w:tcBorders>
              <w:top w:val="nil"/>
              <w:left w:val="nil"/>
              <w:bottom w:val="nil"/>
              <w:right w:val="nil"/>
            </w:tcBorders>
          </w:tcPr>
          <w:p>
            <w:pPr>
              <w:pStyle w:val="87"/>
            </w:pPr>
            <w:bookmarkStart w:id="1" w:name="DT"/>
            <w:r>
              <mc:AlternateContent>
                <mc:Choice Requires="wps">
                  <w:drawing>
                    <wp:anchor distT="0" distB="0" distL="114300" distR="114300" simplePos="0" relativeHeight="251666432" behindDoc="1" locked="0" layoutInCell="1" allowOverlap="1">
                      <wp:simplePos x="0" y="0"/>
                      <wp:positionH relativeFrom="column">
                        <wp:posOffset>4734560</wp:posOffset>
                      </wp:positionH>
                      <wp:positionV relativeFrom="paragraph">
                        <wp:posOffset>34290</wp:posOffset>
                      </wp:positionV>
                      <wp:extent cx="1143000" cy="228600"/>
                      <wp:effectExtent l="0" t="0" r="3810" b="0"/>
                      <wp:wrapNone/>
                      <wp:docPr id="6" name="DT"/>
                      <wp:cNvGraphicFramePr/>
                      <a:graphic xmlns:a="http://schemas.openxmlformats.org/drawingml/2006/main">
                        <a:graphicData uri="http://schemas.microsoft.com/office/word/2010/wordprocessingShape">
                          <wps:wsp>
                            <wps:cNvSpPr>
                              <a:spLocks noChangeArrowheads="1"/>
                            </wps:cNvSpPr>
                            <wps:spPr bwMode="auto">
                              <a:xfrm>
                                <a:off x="0" y="0"/>
                                <a:ext cx="1143000" cy="228600"/>
                              </a:xfrm>
                              <a:prstGeom prst="rect">
                                <a:avLst/>
                              </a:prstGeom>
                              <a:solidFill>
                                <a:srgbClr val="FFFFFF"/>
                              </a:solidFill>
                              <a:ln>
                                <a:noFill/>
                              </a:ln>
                            </wps:spPr>
                            <wps:bodyPr rot="0" vert="horz" wrap="square" lIns="91440" tIns="45720" rIns="91440" bIns="45720" anchor="t" anchorCtr="0" upright="1">
                              <a:noAutofit/>
                            </wps:bodyPr>
                          </wps:wsp>
                        </a:graphicData>
                      </a:graphic>
                    </wp:anchor>
                  </w:drawing>
                </mc:Choice>
                <mc:Fallback>
                  <w:pict>
                    <v:rect id="DT" o:spid="_x0000_s1026" o:spt="1" style="position:absolute;left:0pt;margin-left:372.8pt;margin-top:2.7pt;height:18pt;width:90pt;z-index:-251650048;mso-width-relative:page;mso-height-relative:page;" fillcolor="#FFFFFF" filled="t" stroked="f" coordsize="21600,21600" o:gfxdata="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HmDyy9YAAAAIAQAADwAAAAAAAAABACAAAAAiAAAA&#10;ZHJzL2Rvd25yZXYueG1sUEsBAhQAFAAAAAgAh07iQID0rnsJAgAAIAQAAA4AAAAAAAAAAQAgAAAA&#10;JQEAAGRycy9lMm9Eb2MueG1sUEsFBgAAAAAGAAYAWQEAAKAFAAAAAA==&#10;">
                      <v:fill on="t" focussize="0,0"/>
                      <v:stroke on="f"/>
                      <v:imagedata o:title=""/>
                      <o:lock v:ext="edit" aspectratio="f"/>
                    </v:rect>
                  </w:pict>
                </mc:Fallback>
              </mc:AlternateContent>
            </w:r>
            <w:bookmarkEnd w:id="1"/>
          </w:p>
        </w:tc>
        <w:tc>
          <w:tcPr>
            <w:tcW w:w="9356" w:type="dxa"/>
            <w:tcBorders>
              <w:top w:val="nil"/>
              <w:left w:val="nil"/>
              <w:bottom w:val="nil"/>
              <w:right w:val="nil"/>
            </w:tcBorders>
          </w:tcPr>
          <w:p>
            <w:pPr>
              <w:pStyle w:val="87"/>
            </w:pPr>
          </w:p>
        </w:tc>
      </w:tr>
    </w:tbl>
    <w:p>
      <w:pPr>
        <w:pStyle w:val="105"/>
        <w:rPr>
          <w:rFonts w:hAnsi="黑体"/>
        </w:rPr>
      </w:pPr>
    </w:p>
    <w:p>
      <w:pPr>
        <w:pStyle w:val="105"/>
        <w:rPr>
          <w:rFonts w:hAnsi="黑体"/>
        </w:rPr>
      </w:pPr>
    </w:p>
    <w:p>
      <w:pPr>
        <w:pStyle w:val="70"/>
      </w:pPr>
      <w:r>
        <w:rPr>
          <w:rFonts w:hint="eastAsia"/>
        </w:rPr>
        <w:t>绿色建材评价标准  耐碱网格布</w:t>
      </w:r>
    </w:p>
    <w:p>
      <w:pPr>
        <w:pStyle w:val="69"/>
        <w:rPr>
          <w:color w:val="FF0000"/>
        </w:rPr>
      </w:pPr>
      <w:r>
        <w:rPr>
          <w:color w:val="000000" w:themeColor="text1"/>
          <w14:textFill>
            <w14:solidFill>
              <w14:schemeClr w14:val="tx1"/>
            </w14:solidFill>
          </w14:textFill>
        </w:rPr>
        <w:t>Assessment standard for green building materials—alkali-resistant fiber mesh</w:t>
      </w:r>
    </w:p>
    <w:p>
      <w:pPr>
        <w:pStyle w:val="68"/>
      </w:pPr>
    </w:p>
    <w:tbl>
      <w:tblPr>
        <w:tblStyle w:val="33"/>
        <w:tblW w:w="9855" w:type="dxa"/>
        <w:tblInd w:w="-106"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85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855" w:type="dxa"/>
            <w:tcBorders>
              <w:top w:val="nil"/>
              <w:left w:val="nil"/>
              <w:bottom w:val="nil"/>
              <w:right w:val="nil"/>
            </w:tcBorders>
          </w:tcPr>
          <w:p>
            <w:pPr>
              <w:pStyle w:val="101"/>
            </w:pPr>
            <w:r>
              <mc:AlternateContent>
                <mc:Choice Requires="wps">
                  <w:drawing>
                    <wp:anchor distT="0" distB="0" distL="114300" distR="114300" simplePos="0" relativeHeight="251663360" behindDoc="1" locked="1" layoutInCell="1" allowOverlap="1">
                      <wp:simplePos x="0" y="0"/>
                      <wp:positionH relativeFrom="column">
                        <wp:posOffset>2200910</wp:posOffset>
                      </wp:positionH>
                      <wp:positionV relativeFrom="paragraph">
                        <wp:posOffset>573405</wp:posOffset>
                      </wp:positionV>
                      <wp:extent cx="1905000" cy="254000"/>
                      <wp:effectExtent l="0" t="0" r="3810" b="3175"/>
                      <wp:wrapNone/>
                      <wp:docPr id="5" name="RQ"/>
                      <wp:cNvGraphicFramePr/>
                      <a:graphic xmlns:a="http://schemas.openxmlformats.org/drawingml/2006/main">
                        <a:graphicData uri="http://schemas.microsoft.com/office/word/2010/wordprocessingShape">
                          <wps:wsp>
                            <wps:cNvSpPr>
                              <a:spLocks noChangeArrowheads="1"/>
                            </wps:cNvSpPr>
                            <wps:spPr bwMode="auto">
                              <a:xfrm>
                                <a:off x="0" y="0"/>
                                <a:ext cx="1905000" cy="254000"/>
                              </a:xfrm>
                              <a:prstGeom prst="rect">
                                <a:avLst/>
                              </a:prstGeom>
                              <a:solidFill>
                                <a:srgbClr val="FFFFFF"/>
                              </a:solidFill>
                              <a:ln>
                                <a:noFill/>
                              </a:ln>
                            </wps:spPr>
                            <wps:bodyPr rot="0" vert="horz" wrap="square" lIns="91440" tIns="45720" rIns="91440" bIns="45720" anchor="t" anchorCtr="0" upright="1">
                              <a:noAutofit/>
                            </wps:bodyPr>
                          </wps:wsp>
                        </a:graphicData>
                      </a:graphic>
                    </wp:anchor>
                  </w:drawing>
                </mc:Choice>
                <mc:Fallback>
                  <w:pict>
                    <v:rect id="RQ" o:spid="_x0000_s1026" o:spt="1" style="position:absolute;left:0pt;margin-left:173.3pt;margin-top:45.15pt;height:20pt;width:150pt;z-index:-251653120;mso-width-relative:page;mso-height-relative:page;" fillcolor="#FFFFFF" filled="t" stroked="f" coordsize="21600,21600" o:gfxdata="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AFia6S1QAAAAoBAAAPAAAAAAAAAAEAIAAAACIAAABk&#10;cnMvZG93bnJldi54bWxQSwECFAAUAAAACACHTuJASxLv7QkCAAAgBAAADgAAAAAAAAABACAAAAAk&#10;AQAAZHJzL2Uyb0RvYy54bWxQSwUGAAAAAAYABgBZAQAAnwUAAAAA&#10;">
                      <v:fill on="t" focussize="0,0"/>
                      <v:stroke on="f"/>
                      <v:imagedata o:title=""/>
                      <o:lock v:ext="edit" aspectratio="f"/>
                      <w10:anchorlock/>
                    </v:rect>
                  </w:pict>
                </mc:Fallback>
              </mc:AlternateContent>
            </w:r>
            <w:r>
              <mc:AlternateContent>
                <mc:Choice Requires="wps">
                  <w:drawing>
                    <wp:anchor distT="0" distB="0" distL="114300" distR="114300" simplePos="0" relativeHeight="251662336" behindDoc="1" locked="1" layoutInCell="1" allowOverlap="1">
                      <wp:simplePos x="0" y="0"/>
                      <wp:positionH relativeFrom="column">
                        <wp:posOffset>2454910</wp:posOffset>
                      </wp:positionH>
                      <wp:positionV relativeFrom="paragraph">
                        <wp:posOffset>255905</wp:posOffset>
                      </wp:positionV>
                      <wp:extent cx="1270000" cy="304800"/>
                      <wp:effectExtent l="2540" t="0" r="3810" b="3175"/>
                      <wp:wrapNone/>
                      <wp:docPr id="4" name="LB"/>
                      <wp:cNvGraphicFramePr/>
                      <a:graphic xmlns:a="http://schemas.openxmlformats.org/drawingml/2006/main">
                        <a:graphicData uri="http://schemas.microsoft.com/office/word/2010/wordprocessingShape">
                          <wps:wsp>
                            <wps:cNvSpPr>
                              <a:spLocks noChangeArrowheads="1"/>
                            </wps:cNvSpPr>
                            <wps:spPr bwMode="auto">
                              <a:xfrm>
                                <a:off x="0" y="0"/>
                                <a:ext cx="1270000" cy="304800"/>
                              </a:xfrm>
                              <a:prstGeom prst="rect">
                                <a:avLst/>
                              </a:prstGeom>
                              <a:solidFill>
                                <a:srgbClr val="FFFFFF"/>
                              </a:solidFill>
                              <a:ln>
                                <a:noFill/>
                              </a:ln>
                            </wps:spPr>
                            <wps:bodyPr rot="0" vert="horz" wrap="square" lIns="91440" tIns="45720" rIns="91440" bIns="45720" anchor="t" anchorCtr="0" upright="1">
                              <a:noAutofit/>
                            </wps:bodyPr>
                          </wps:wsp>
                        </a:graphicData>
                      </a:graphic>
                    </wp:anchor>
                  </w:drawing>
                </mc:Choice>
                <mc:Fallback>
                  <w:pict>
                    <v:rect id="LB" o:spid="_x0000_s1026" o:spt="1" style="position:absolute;left:0pt;margin-left:193.3pt;margin-top:20.15pt;height:24pt;width:100pt;z-index:-251654144;mso-width-relative:page;mso-height-relative:page;" fillcolor="#FFFFFF" filled="t" stroked="f" coordsize="21600,21600" o:gfxdata="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AD4Yvl1gAAAAkBAAAPAAAAAAAAAAEAIAAAACIAAABk&#10;cnMvZG93bnJldi54bWxQSwECFAAUAAAACACHTuJAqAqHdQgCAAAgBAAADgAAAAAAAAABACAAAAAl&#10;AQAAZHJzL2Uyb0RvYy54bWxQSwUGAAAAAAYABgBZAQAAnwUAAAAA&#10;">
                      <v:fill on="t" focussize="0,0"/>
                      <v:stroke on="f"/>
                      <v:imagedata o:title=""/>
                      <o:lock v:ext="edit" aspectratio="f"/>
                      <w10:anchorlock/>
                    </v:rect>
                  </w:pict>
                </mc:Fallback>
              </mc:AlternateContent>
            </w:r>
            <w:r>
              <w:rPr>
                <w:rFonts w:hint="eastAsia"/>
              </w:rPr>
              <w:t>征求意见稿</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855" w:type="dxa"/>
            <w:tcBorders>
              <w:top w:val="nil"/>
              <w:left w:val="nil"/>
              <w:bottom w:val="nil"/>
              <w:right w:val="nil"/>
            </w:tcBorders>
          </w:tcPr>
          <w:p>
            <w:pPr>
              <w:pStyle w:val="100"/>
            </w:pPr>
          </w:p>
        </w:tc>
      </w:tr>
    </w:tbl>
    <w:p>
      <w:pPr>
        <w:pStyle w:val="121"/>
        <w:framePr w:hAnchor="page" w:x="1454" w:y="14138"/>
      </w:pPr>
      <w:bookmarkStart w:id="2" w:name="FY"/>
      <w:r>
        <w:rPr>
          <w:rFonts w:ascii="黑体"/>
        </w:rPr>
        <w:fldChar w:fldCharType="begin">
          <w:ffData>
            <w:name w:val="FY"/>
            <w:enabled/>
            <w:calcOnExit w:val="0"/>
            <w:entryMacro w:val="ShowHelp8"/>
            <w:textInput>
              <w:default w:val="XXXX"/>
              <w:maxLength w:val="4"/>
            </w:textInput>
          </w:ffData>
        </w:fldChar>
      </w:r>
      <w:r>
        <w:rPr>
          <w:rFonts w:ascii="黑体"/>
        </w:rPr>
        <w:instrText xml:space="preserve"> FORMTEXT </w:instrText>
      </w:r>
      <w:r>
        <w:rPr>
          <w:rFonts w:ascii="黑体"/>
        </w:rPr>
        <w:fldChar w:fldCharType="separate"/>
      </w:r>
      <w:r>
        <w:rPr>
          <w:rFonts w:ascii="黑体"/>
        </w:rPr>
        <w:t>XXXX</w:t>
      </w:r>
      <w:r>
        <w:rPr>
          <w:rFonts w:ascii="黑体"/>
        </w:rPr>
        <w:fldChar w:fldCharType="end"/>
      </w:r>
      <w:bookmarkEnd w:id="2"/>
      <w:r>
        <w:t xml:space="preserve"> </w:t>
      </w:r>
      <w:r>
        <w:rPr>
          <w:rFonts w:ascii="黑体"/>
        </w:rPr>
        <w:t>-</w:t>
      </w:r>
      <w:r>
        <w:t xml:space="preserve"> </w:t>
      </w:r>
      <w:r>
        <w:rPr>
          <w:rFonts w:ascii="黑体"/>
        </w:rPr>
        <w:fldChar w:fldCharType="begin">
          <w:ffData>
            <w:name w:val="FM"/>
            <w:enabled/>
            <w:calcOnExit w:val="0"/>
            <w:entryMacro w:val="ShowHelp8"/>
            <w:textInput>
              <w:default w:val="XX"/>
              <w:maxLength w:val="2"/>
            </w:textInput>
          </w:ffData>
        </w:fldChar>
      </w:r>
      <w:r>
        <w:rPr>
          <w:rFonts w:ascii="黑体"/>
        </w:rPr>
        <w:instrText xml:space="preserve"> FORMTEXT </w:instrText>
      </w:r>
      <w:r>
        <w:rPr>
          <w:rFonts w:ascii="黑体"/>
        </w:rPr>
        <w:fldChar w:fldCharType="separate"/>
      </w:r>
      <w:r>
        <w:rPr>
          <w:rFonts w:ascii="黑体"/>
        </w:rPr>
        <w:t>XX</w:t>
      </w:r>
      <w:r>
        <w:rPr>
          <w:rFonts w:ascii="黑体"/>
        </w:rPr>
        <w:fldChar w:fldCharType="end"/>
      </w:r>
      <w:r>
        <w:t xml:space="preserve"> </w:t>
      </w:r>
      <w:r>
        <w:rPr>
          <w:rFonts w:ascii="黑体"/>
        </w:rPr>
        <w:t>-</w:t>
      </w:r>
      <w:r>
        <w:t xml:space="preserve"> </w:t>
      </w:r>
      <w:bookmarkStart w:id="3" w:name="FD"/>
      <w:r>
        <w:rPr>
          <w:rFonts w:ascii="黑体"/>
        </w:rPr>
        <w:fldChar w:fldCharType="begin">
          <w:ffData>
            <w:name w:val="FD"/>
            <w:enabled/>
            <w:calcOnExit w:val="0"/>
            <w:entryMacro w:val="ShowHelp8"/>
            <w:textInput>
              <w:default w:val="XX"/>
              <w:maxLength w:val="2"/>
            </w:textInput>
          </w:ffData>
        </w:fldChar>
      </w:r>
      <w:r>
        <w:rPr>
          <w:rFonts w:ascii="黑体"/>
        </w:rPr>
        <w:instrText xml:space="preserve"> FORMTEXT </w:instrText>
      </w:r>
      <w:r>
        <w:rPr>
          <w:rFonts w:ascii="黑体"/>
        </w:rPr>
        <w:fldChar w:fldCharType="separate"/>
      </w:r>
      <w:r>
        <w:rPr>
          <w:rFonts w:ascii="黑体"/>
        </w:rPr>
        <w:t>XX</w:t>
      </w:r>
      <w:r>
        <w:rPr>
          <w:rFonts w:ascii="黑体"/>
        </w:rPr>
        <w:fldChar w:fldCharType="end"/>
      </w:r>
      <w:bookmarkEnd w:id="3"/>
      <w:r>
        <w:rPr>
          <w:rFonts w:hint="eastAsia"/>
        </w:rPr>
        <w:t>发布</w:t>
      </w:r>
      <w:r>
        <mc:AlternateContent>
          <mc:Choice Requires="wps">
            <w:drawing>
              <wp:anchor distT="0" distB="0" distL="114300" distR="114300" simplePos="0" relativeHeight="251659264" behindDoc="0" locked="1" layoutInCell="1" allowOverlap="1">
                <wp:simplePos x="0" y="0"/>
                <wp:positionH relativeFrom="column">
                  <wp:posOffset>-635</wp:posOffset>
                </wp:positionH>
                <wp:positionV relativeFrom="page">
                  <wp:posOffset>9251950</wp:posOffset>
                </wp:positionV>
                <wp:extent cx="6120130" cy="0"/>
                <wp:effectExtent l="7620" t="12700" r="6350" b="6350"/>
                <wp:wrapNone/>
                <wp:docPr id="3" name="Line 6"/>
                <wp:cNvGraphicFramePr/>
                <a:graphic xmlns:a="http://schemas.openxmlformats.org/drawingml/2006/main">
                  <a:graphicData uri="http://schemas.microsoft.com/office/word/2010/wordprocessingShape">
                    <wps:wsp>
                      <wps:cNvCnPr>
                        <a:cxnSpLocks noChangeShapeType="1"/>
                      </wps:cNvCnPr>
                      <wps:spPr bwMode="auto">
                        <a:xfrm>
                          <a:off x="0" y="0"/>
                          <a:ext cx="6120130" cy="0"/>
                        </a:xfrm>
                        <a:prstGeom prst="line">
                          <a:avLst/>
                        </a:prstGeom>
                        <a:noFill/>
                        <a:ln w="9525">
                          <a:solidFill>
                            <a:srgbClr val="000000"/>
                          </a:solidFill>
                          <a:round/>
                        </a:ln>
                      </wps:spPr>
                      <wps:bodyPr/>
                    </wps:wsp>
                  </a:graphicData>
                </a:graphic>
              </wp:anchor>
            </w:drawing>
          </mc:Choice>
          <mc:Fallback>
            <w:pict>
              <v:line id="Line 6" o:spid="_x0000_s1026" o:spt="20" style="position:absolute;left:0pt;margin-left:-0.05pt;margin-top:728.5pt;height:0pt;width:481.9pt;mso-position-vertical-relative:page;z-index:251659264;mso-width-relative:page;mso-height-relative:page;" filled="f" stroked="t" coordsize="21600,21600" o:gfxdata="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">
                <v:fill on="f" focussize="0,0"/>
                <v:stroke color="#000000" joinstyle="round"/>
                <v:imagedata o:title=""/>
                <o:lock v:ext="edit" aspectratio="f"/>
                <w10:anchorlock/>
              </v:line>
            </w:pict>
          </mc:Fallback>
        </mc:AlternateContent>
      </w:r>
    </w:p>
    <w:p>
      <w:pPr>
        <w:pStyle w:val="146"/>
        <w:framePr w:hAnchor="page" w:x="7051" w:y="14113"/>
      </w:pPr>
      <w:bookmarkStart w:id="4" w:name="SY"/>
      <w:r>
        <w:rPr>
          <w:rFonts w:ascii="黑体"/>
        </w:rPr>
        <w:fldChar w:fldCharType="begin">
          <w:ffData>
            <w:name w:val="SY"/>
            <w:enabled/>
            <w:calcOnExit w:val="0"/>
            <w:entryMacro w:val="ShowHelp9"/>
            <w:textInput>
              <w:default w:val="XXXX"/>
              <w:maxLength w:val="4"/>
            </w:textInput>
          </w:ffData>
        </w:fldChar>
      </w:r>
      <w:r>
        <w:rPr>
          <w:rFonts w:ascii="黑体"/>
        </w:rPr>
        <w:instrText xml:space="preserve"> FORMTEXT </w:instrText>
      </w:r>
      <w:r>
        <w:rPr>
          <w:rFonts w:ascii="黑体"/>
        </w:rPr>
        <w:fldChar w:fldCharType="separate"/>
      </w:r>
      <w:r>
        <w:rPr>
          <w:rFonts w:ascii="黑体"/>
        </w:rPr>
        <w:t>XXXX</w:t>
      </w:r>
      <w:r>
        <w:rPr>
          <w:rFonts w:ascii="黑体"/>
        </w:rPr>
        <w:fldChar w:fldCharType="end"/>
      </w:r>
      <w:bookmarkEnd w:id="4"/>
      <w:r>
        <w:t xml:space="preserve"> </w:t>
      </w:r>
      <w:r>
        <w:rPr>
          <w:rFonts w:ascii="黑体"/>
        </w:rPr>
        <w:t>-</w:t>
      </w:r>
      <w:r>
        <w:t xml:space="preserve"> </w:t>
      </w:r>
      <w:bookmarkStart w:id="5" w:name="SM"/>
      <w:r>
        <w:rPr>
          <w:rFonts w:ascii="黑体"/>
        </w:rPr>
        <w:fldChar w:fldCharType="begin">
          <w:ffData>
            <w:name w:val="SM"/>
            <w:enabled/>
            <w:calcOnExit w:val="0"/>
            <w:entryMacro w:val="ShowHelp9"/>
            <w:textInput>
              <w:default w:val="XX"/>
              <w:maxLength w:val="2"/>
            </w:textInput>
          </w:ffData>
        </w:fldChar>
      </w:r>
      <w:r>
        <w:rPr>
          <w:rFonts w:ascii="黑体"/>
        </w:rPr>
        <w:instrText xml:space="preserve"> FORMTEXT </w:instrText>
      </w:r>
      <w:r>
        <w:rPr>
          <w:rFonts w:ascii="黑体"/>
        </w:rPr>
        <w:fldChar w:fldCharType="separate"/>
      </w:r>
      <w:r>
        <w:rPr>
          <w:rFonts w:ascii="黑体"/>
        </w:rPr>
        <w:t>XX</w:t>
      </w:r>
      <w:r>
        <w:rPr>
          <w:rFonts w:ascii="黑体"/>
        </w:rPr>
        <w:fldChar w:fldCharType="end"/>
      </w:r>
      <w:bookmarkEnd w:id="5"/>
      <w:r>
        <w:t xml:space="preserve"> </w:t>
      </w:r>
      <w:r>
        <w:rPr>
          <w:rFonts w:ascii="黑体"/>
        </w:rPr>
        <w:t>-</w:t>
      </w:r>
      <w:r>
        <w:t xml:space="preserve"> </w:t>
      </w:r>
      <w:bookmarkStart w:id="6" w:name="SD"/>
      <w:r>
        <w:rPr>
          <w:rFonts w:ascii="黑体"/>
        </w:rPr>
        <w:fldChar w:fldCharType="begin">
          <w:ffData>
            <w:name w:val="SD"/>
            <w:enabled/>
            <w:calcOnExit w:val="0"/>
            <w:entryMacro w:val="ShowHelp9"/>
            <w:textInput>
              <w:default w:val="XX"/>
              <w:maxLength w:val="2"/>
            </w:textInput>
          </w:ffData>
        </w:fldChar>
      </w:r>
      <w:r>
        <w:rPr>
          <w:rFonts w:ascii="黑体"/>
        </w:rPr>
        <w:instrText xml:space="preserve"> FORMTEXT </w:instrText>
      </w:r>
      <w:r>
        <w:rPr>
          <w:rFonts w:ascii="黑体"/>
        </w:rPr>
        <w:fldChar w:fldCharType="separate"/>
      </w:r>
      <w:r>
        <w:rPr>
          <w:rFonts w:ascii="黑体"/>
        </w:rPr>
        <w:t>XX</w:t>
      </w:r>
      <w:r>
        <w:rPr>
          <w:rFonts w:ascii="黑体"/>
        </w:rPr>
        <w:fldChar w:fldCharType="end"/>
      </w:r>
      <w:bookmarkEnd w:id="6"/>
      <w:r>
        <w:rPr>
          <w:rFonts w:hint="eastAsia"/>
        </w:rPr>
        <w:t>实施</w:t>
      </w:r>
    </w:p>
    <w:p>
      <w:pPr>
        <w:pStyle w:val="128"/>
      </w:pPr>
      <w:r>
        <w:rPr>
          <w:rFonts w:hint="eastAsia"/>
        </w:rPr>
        <w:t>中国工程建设标准化协会</w:t>
      </w:r>
      <w:r>
        <w:rPr>
          <w:rFonts w:hint="eastAsia" w:ascii="MS Mincho" w:hAnsi="MS Mincho" w:eastAsia="MS Mincho" w:cs="MS Mincho"/>
        </w:rPr>
        <w:t>   </w:t>
      </w:r>
      <w:r>
        <w:rPr>
          <w:rStyle w:val="54"/>
          <w:rFonts w:hint="eastAsia"/>
          <w:szCs w:val="28"/>
        </w:rPr>
        <w:t>发布</w:t>
      </w:r>
    </w:p>
    <w:p>
      <w:pPr>
        <w:pStyle w:val="24"/>
        <w:sectPr>
          <w:pgSz w:w="11906" w:h="16838"/>
          <w:pgMar w:top="567" w:right="850" w:bottom="1134" w:left="1418" w:header="0" w:footer="0" w:gutter="0"/>
          <w:pgNumType w:start="1"/>
          <w:cols w:space="720" w:num="1"/>
          <w:docGrid w:type="lines" w:linePitch="312" w:charSpace="0"/>
        </w:sectPr>
      </w:pPr>
      <w:r>
        <mc:AlternateContent>
          <mc:Choice Requires="wps">
            <w:drawing>
              <wp:anchor distT="0" distB="0" distL="114300" distR="114300" simplePos="0" relativeHeight="251665408" behindDoc="0" locked="0" layoutInCell="1" allowOverlap="1">
                <wp:simplePos x="0" y="0"/>
                <wp:positionH relativeFrom="column">
                  <wp:posOffset>-5080</wp:posOffset>
                </wp:positionH>
                <wp:positionV relativeFrom="paragraph">
                  <wp:posOffset>8917305</wp:posOffset>
                </wp:positionV>
                <wp:extent cx="6120130" cy="28575"/>
                <wp:effectExtent l="0" t="0" r="33655" b="28575"/>
                <wp:wrapNone/>
                <wp:docPr id="8" name="直接连接符 8"/>
                <wp:cNvGraphicFramePr/>
                <a:graphic xmlns:a="http://schemas.openxmlformats.org/drawingml/2006/main">
                  <a:graphicData uri="http://schemas.microsoft.com/office/word/2010/wordprocessingShape">
                    <wps:wsp>
                      <wps:cNvCnPr/>
                      <wps:spPr>
                        <a:xfrm flipV="1">
                          <a:off x="0" y="0"/>
                          <a:ext cx="6120000" cy="28575"/>
                        </a:xfrm>
                        <a:prstGeom prst="line">
                          <a:avLst/>
                        </a:prstGeom>
                        <a:ln w="9525">
                          <a:solidFill>
                            <a:schemeClr val="tx1"/>
                          </a:solidFill>
                          <a:round/>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y;margin-left:-0.4pt;margin-top:702.15pt;height:2.25pt;width:481.9pt;z-index:251665408;mso-width-relative:page;mso-height-relative:page;" filled="f" stroked="t" coordsize="21600,21600" o:gfxdata="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">
                <v:fill on="f" focussize="0,0"/>
                <v:stroke color="#000000 [3213]" miterlimit="8" joinstyle="round"/>
                <v:imagedata o:title=""/>
                <o:lock v:ext="edit" aspectratio="f"/>
              </v:line>
            </w:pict>
          </mc:Fallback>
        </mc:AlternateContent>
      </w:r>
      <w:r>
        <mc:AlternateContent>
          <mc:Choice Requires="wps">
            <w:drawing>
              <wp:anchor distT="0" distB="0" distL="114300" distR="114300" simplePos="0" relativeHeight="251661312" behindDoc="0" locked="1" layoutInCell="1" allowOverlap="1">
                <wp:simplePos x="0" y="0"/>
                <wp:positionH relativeFrom="column">
                  <wp:posOffset>7620</wp:posOffset>
                </wp:positionH>
                <wp:positionV relativeFrom="paragraph">
                  <wp:posOffset>979170</wp:posOffset>
                </wp:positionV>
                <wp:extent cx="6119495" cy="695325"/>
                <wp:effectExtent l="12700" t="5715" r="11430" b="13335"/>
                <wp:wrapNone/>
                <wp:docPr id="2" name="Text Box 7"/>
                <wp:cNvGraphicFramePr/>
                <a:graphic xmlns:a="http://schemas.openxmlformats.org/drawingml/2006/main">
                  <a:graphicData uri="http://schemas.microsoft.com/office/word/2010/wordprocessingShape">
                    <wps:wsp>
                      <wps:cNvSpPr txBox="1">
                        <a:spLocks noChangeArrowheads="1"/>
                      </wps:cNvSpPr>
                      <wps:spPr bwMode="auto">
                        <a:xfrm>
                          <a:off x="0" y="0"/>
                          <a:ext cx="6119495" cy="695325"/>
                        </a:xfrm>
                        <a:prstGeom prst="rect">
                          <a:avLst/>
                        </a:prstGeom>
                        <a:solidFill>
                          <a:srgbClr val="FFFFFF"/>
                        </a:solidFill>
                        <a:ln w="9525">
                          <a:solidFill>
                            <a:srgbClr val="FFFFFF"/>
                          </a:solidFill>
                          <a:miter lim="800000"/>
                        </a:ln>
                      </wps:spPr>
                      <wps:txbx>
                        <w:txbxContent>
                          <w:p>
                            <w:pPr>
                              <w:jc w:val="distribute"/>
                              <w:rPr>
                                <w:rFonts w:ascii="黑体" w:hAnsi="黑体" w:eastAsia="黑体"/>
                                <w:sz w:val="72"/>
                                <w:szCs w:val="72"/>
                              </w:rPr>
                            </w:pPr>
                            <w:r>
                              <w:rPr>
                                <w:rFonts w:hint="eastAsia" w:ascii="黑体" w:hAnsi="黑体" w:eastAsia="黑体"/>
                                <w:sz w:val="72"/>
                                <w:szCs w:val="72"/>
                              </w:rPr>
                              <w:t>团体标准</w:t>
                            </w:r>
                          </w:p>
                        </w:txbxContent>
                      </wps:txbx>
                      <wps:bodyPr rot="0" vert="horz" wrap="square" lIns="91440" tIns="45720" rIns="91440" bIns="45720" anchor="t" anchorCtr="0" upright="1">
                        <a:spAutoFit/>
                      </wps:bodyPr>
                    </wps:wsp>
                  </a:graphicData>
                </a:graphic>
              </wp:anchor>
            </w:drawing>
          </mc:Choice>
          <mc:Fallback>
            <w:pict>
              <v:shape id="Text Box 7" o:spid="_x0000_s1026" o:spt="202" type="#_x0000_t202" style="position:absolute;left:0pt;margin-left:0.6pt;margin-top:77.1pt;height:54.75pt;width:481.85pt;z-index:251661312;mso-width-relative:page;mso-height-relative:page;" fillcolor="#FFFFFF" filled="t" stroked="t" coordsize="21600,21600" o:gfxdata="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J3NfiPZAAAACQEAAA8AAAAAAAAAAQAgAAAAIgAAAGRycy9kb3ducmV2LnhtbFBLAQIU&#10;ABQAAAAIAIdO4kAcRxoMKwIAAIYEAAAOAAAAAAAAAAEAIAAAACgBAABkcnMvZTJvRG9jLnhtbFBL&#10;BQYAAAAABgAGAFkBAADFBQAAAAA=&#10;">
                <v:fill on="t" focussize="0,0"/>
                <v:stroke color="#FFFFFF" miterlimit="8" joinstyle="miter"/>
                <v:imagedata o:title=""/>
                <o:lock v:ext="edit" aspectratio="f"/>
                <v:textbox style="mso-fit-shape-to-text:t;">
                  <w:txbxContent>
                    <w:p>
                      <w:pPr>
                        <w:jc w:val="distribute"/>
                        <w:rPr>
                          <w:rFonts w:ascii="黑体" w:hAnsi="黑体" w:eastAsia="黑体"/>
                          <w:sz w:val="72"/>
                          <w:szCs w:val="72"/>
                        </w:rPr>
                      </w:pPr>
                      <w:r>
                        <w:rPr>
                          <w:rFonts w:hint="eastAsia" w:ascii="黑体" w:hAnsi="黑体" w:eastAsia="黑体"/>
                          <w:sz w:val="72"/>
                          <w:szCs w:val="72"/>
                        </w:rPr>
                        <w:t>团体标准</w:t>
                      </w:r>
                    </w:p>
                  </w:txbxContent>
                </v:textbox>
                <w10:anchorlock/>
              </v:shape>
            </w:pict>
          </mc:Fallback>
        </mc:AlternateContent>
      </w:r>
      <w:r>
        <mc:AlternateContent>
          <mc:Choice Requires="wps">
            <w:drawing>
              <wp:anchor distT="0" distB="0" distL="114300" distR="114300" simplePos="0" relativeHeight="251660288" behindDoc="0" locked="1" layoutInCell="1" allowOverlap="1">
                <wp:simplePos x="0" y="0"/>
                <wp:positionH relativeFrom="column">
                  <wp:posOffset>-635</wp:posOffset>
                </wp:positionH>
                <wp:positionV relativeFrom="paragraph">
                  <wp:posOffset>2339975</wp:posOffset>
                </wp:positionV>
                <wp:extent cx="6120130" cy="0"/>
                <wp:effectExtent l="13970" t="13970" r="9525" b="5080"/>
                <wp:wrapNone/>
                <wp:docPr id="1" name="Line 8"/>
                <wp:cNvGraphicFramePr/>
                <a:graphic xmlns:a="http://schemas.openxmlformats.org/drawingml/2006/main">
                  <a:graphicData uri="http://schemas.microsoft.com/office/word/2010/wordprocessingShape">
                    <wps:wsp>
                      <wps:cNvCnPr>
                        <a:cxnSpLocks noChangeShapeType="1"/>
                      </wps:cNvCnPr>
                      <wps:spPr bwMode="auto">
                        <a:xfrm>
                          <a:off x="0" y="0"/>
                          <a:ext cx="6120130" cy="0"/>
                        </a:xfrm>
                        <a:prstGeom prst="line">
                          <a:avLst/>
                        </a:prstGeom>
                        <a:noFill/>
                        <a:ln w="9525">
                          <a:solidFill>
                            <a:srgbClr val="000000"/>
                          </a:solidFill>
                          <a:round/>
                        </a:ln>
                      </wps:spPr>
                      <wps:bodyPr/>
                    </wps:wsp>
                  </a:graphicData>
                </a:graphic>
              </wp:anchor>
            </w:drawing>
          </mc:Choice>
          <mc:Fallback>
            <w:pict>
              <v:line id="Line 8" o:spid="_x0000_s1026" o:spt="20" style="position:absolute;left:0pt;margin-left:-0.05pt;margin-top:184.25pt;height:0pt;width:481.9pt;z-index:251660288;mso-width-relative:page;mso-height-relative:page;" filled="f" stroked="t" coordsize="21600,21600" o:gfxdata="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AAAAA&#10;ZHJzL1BLAQIUABQAAAAIAIdO4kBCQeJf1wAAAAkBAAAPAAAAAAAAAAEAIAAAACIAAABkcnMvZG93&#10;bnJldi54bWxQSwECFAAUAAAACACHTuJA3LobEcgBAACfAwAADgAAAAAAAAABACAAAAAmAQAAZHJz&#10;L2Uyb0RvYy54bWxQSwUGAAAAAAYABgBZAQAAYAUAAAAA&#10;">
                <v:fill on="f" focussize="0,0"/>
                <v:stroke color="#000000" joinstyle="round"/>
                <v:imagedata o:title=""/>
                <o:lock v:ext="edit" aspectratio="f"/>
                <w10:anchorlock/>
              </v:line>
            </w:pict>
          </mc:Fallback>
        </mc:AlternateContent>
      </w:r>
    </w:p>
    <w:p>
      <w:pPr>
        <w:pStyle w:val="149"/>
        <w:jc w:val="center"/>
        <w:rPr>
          <w:rFonts w:ascii="Times New Roman" w:hAnsi="Times New Roman"/>
        </w:rPr>
      </w:pPr>
      <w:r>
        <w:rPr>
          <w:rFonts w:hint="eastAsia" w:ascii="黑体" w:hAnsi="Times New Roman" w:eastAsia="黑体"/>
          <w:b w:val="0"/>
          <w:bCs w:val="0"/>
          <w:color w:val="auto"/>
          <w:sz w:val="32"/>
          <w:szCs w:val="20"/>
        </w:rPr>
        <w:t>目</w:t>
      </w:r>
      <w:r>
        <w:rPr>
          <w:rFonts w:ascii="黑体" w:hAnsi="Times New Roman" w:eastAsia="黑体"/>
          <w:b w:val="0"/>
          <w:bCs w:val="0"/>
          <w:color w:val="auto"/>
          <w:sz w:val="32"/>
          <w:szCs w:val="20"/>
        </w:rPr>
        <w:t xml:space="preserve">  </w:t>
      </w:r>
      <w:r>
        <w:rPr>
          <w:rFonts w:hint="eastAsia" w:ascii="黑体" w:hAnsi="Times New Roman" w:eastAsia="黑体"/>
          <w:b w:val="0"/>
          <w:bCs w:val="0"/>
          <w:color w:val="auto"/>
          <w:sz w:val="32"/>
          <w:szCs w:val="20"/>
        </w:rPr>
        <w:t>次</w:t>
      </w:r>
      <w:r>
        <w:rPr>
          <w:rFonts w:ascii="Times New Roman" w:hAnsi="Times New Roman"/>
        </w:rPr>
        <w:fldChar w:fldCharType="begin"/>
      </w:r>
      <w:r>
        <w:rPr>
          <w:rFonts w:ascii="Times New Roman" w:hAnsi="Times New Roman"/>
        </w:rPr>
        <w:instrText xml:space="preserve"> TOC \o "1-3" \h \z \u </w:instrText>
      </w:r>
      <w:r>
        <w:rPr>
          <w:rFonts w:ascii="Times New Roman" w:hAnsi="Times New Roman"/>
        </w:rPr>
        <w:fldChar w:fldCharType="separate"/>
      </w:r>
    </w:p>
    <w:p>
      <w:pPr>
        <w:pStyle w:val="20"/>
        <w:spacing w:before="78" w:after="78"/>
        <w:rPr>
          <w:rFonts w:ascii="Times New Roman"/>
        </w:rPr>
      </w:pPr>
      <w:r>
        <w:rPr>
          <w:rFonts w:hint="eastAsia" w:ascii="Times New Roman"/>
        </w:rPr>
        <w:t>前言</w:t>
      </w:r>
      <w:r>
        <w:rPr>
          <w:rFonts w:ascii="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 2 \* ROMAN \* MERGEFORMAT </w:instrText>
      </w:r>
      <w:r>
        <w:rPr>
          <w:rFonts w:hint="default" w:ascii="Times New Roman" w:hAnsi="Times New Roman" w:cs="Times New Roman"/>
        </w:rPr>
        <w:fldChar w:fldCharType="separate"/>
      </w:r>
      <w:r>
        <w:rPr>
          <w:rFonts w:hint="default" w:ascii="Times New Roman" w:hAnsi="Times New Roman" w:cs="Times New Roman"/>
        </w:rPr>
        <w:t>II</w:t>
      </w:r>
      <w:r>
        <w:rPr>
          <w:rFonts w:hint="default" w:ascii="Times New Roman" w:hAnsi="Times New Roman" w:cs="Times New Roman"/>
        </w:rPr>
        <w:fldChar w:fldCharType="end"/>
      </w:r>
    </w:p>
    <w:p>
      <w:pPr>
        <w:pStyle w:val="20"/>
        <w:spacing w:before="78" w:after="78"/>
        <w:rPr>
          <w:rFonts w:ascii="Times New Roman"/>
          <w:szCs w:val="22"/>
        </w:rPr>
      </w:pPr>
      <w:r>
        <w:rPr>
          <w:rFonts w:ascii="Times New Roman"/>
        </w:rPr>
        <w:t>1</w:t>
      </w:r>
      <w:r>
        <w:fldChar w:fldCharType="begin"/>
      </w:r>
      <w:r>
        <w:instrText xml:space="preserve"> HYPERLINK \l "_Toc532820946" </w:instrText>
      </w:r>
      <w:r>
        <w:fldChar w:fldCharType="separate"/>
      </w:r>
      <w:r>
        <w:rPr>
          <w:rStyle w:val="39"/>
          <w:rFonts w:ascii="Times New Roman"/>
        </w:rPr>
        <w:t xml:space="preserve"> 范围</w:t>
      </w:r>
      <w:r>
        <w:rPr>
          <w:rStyle w:val="39"/>
          <w:rFonts w:ascii="Times New Roman"/>
        </w:rPr>
        <w:tab/>
      </w:r>
      <w:r>
        <w:rPr>
          <w:rStyle w:val="39"/>
          <w:rFonts w:ascii="Times New Roman"/>
        </w:rPr>
        <w:fldChar w:fldCharType="begin"/>
      </w:r>
      <w:r>
        <w:rPr>
          <w:rStyle w:val="39"/>
          <w:rFonts w:ascii="Times New Roman"/>
        </w:rPr>
        <w:instrText xml:space="preserve"> PAGEREF _Toc532820946 \h </w:instrText>
      </w:r>
      <w:r>
        <w:rPr>
          <w:rStyle w:val="39"/>
          <w:rFonts w:ascii="Times New Roman"/>
        </w:rPr>
        <w:fldChar w:fldCharType="separate"/>
      </w:r>
      <w:r>
        <w:rPr>
          <w:rStyle w:val="39"/>
          <w:rFonts w:ascii="Times New Roman"/>
        </w:rPr>
        <w:t>1</w:t>
      </w:r>
      <w:r>
        <w:rPr>
          <w:rStyle w:val="39"/>
          <w:rFonts w:ascii="Times New Roman"/>
        </w:rPr>
        <w:fldChar w:fldCharType="end"/>
      </w:r>
      <w:r>
        <w:rPr>
          <w:rStyle w:val="39"/>
          <w:rFonts w:ascii="Times New Roman"/>
        </w:rPr>
        <w:fldChar w:fldCharType="end"/>
      </w:r>
    </w:p>
    <w:p>
      <w:pPr>
        <w:pStyle w:val="29"/>
        <w:rPr>
          <w:rFonts w:ascii="Times New Roman"/>
          <w:szCs w:val="22"/>
        </w:rPr>
      </w:pPr>
      <w:r>
        <w:fldChar w:fldCharType="begin"/>
      </w:r>
      <w:r>
        <w:instrText xml:space="preserve"> HYPERLINK \l "_Toc532820947" </w:instrText>
      </w:r>
      <w:r>
        <w:fldChar w:fldCharType="separate"/>
      </w:r>
      <w:r>
        <w:rPr>
          <w:rStyle w:val="39"/>
          <w:rFonts w:ascii="Times New Roman"/>
        </w:rPr>
        <w:t>2 规范性引用文件</w:t>
      </w:r>
      <w:r>
        <w:rPr>
          <w:rFonts w:ascii="Times New Roman"/>
        </w:rPr>
        <w:tab/>
      </w:r>
      <w:r>
        <w:rPr>
          <w:rFonts w:ascii="Times New Roman"/>
        </w:rPr>
        <w:fldChar w:fldCharType="begin"/>
      </w:r>
      <w:r>
        <w:rPr>
          <w:rFonts w:ascii="Times New Roman"/>
        </w:rPr>
        <w:instrText xml:space="preserve"> PAGEREF _Toc532820947 \h </w:instrText>
      </w:r>
      <w:r>
        <w:rPr>
          <w:rFonts w:ascii="Times New Roman"/>
        </w:rPr>
        <w:fldChar w:fldCharType="separate"/>
      </w:r>
      <w:r>
        <w:rPr>
          <w:rFonts w:ascii="Times New Roman"/>
        </w:rPr>
        <w:t>1</w:t>
      </w:r>
      <w:r>
        <w:rPr>
          <w:rFonts w:ascii="Times New Roman"/>
        </w:rPr>
        <w:fldChar w:fldCharType="end"/>
      </w:r>
      <w:r>
        <w:rPr>
          <w:rFonts w:ascii="Times New Roman"/>
        </w:rPr>
        <w:fldChar w:fldCharType="end"/>
      </w:r>
    </w:p>
    <w:p>
      <w:pPr>
        <w:pStyle w:val="29"/>
        <w:rPr>
          <w:rFonts w:ascii="Times New Roman"/>
          <w:szCs w:val="22"/>
        </w:rPr>
      </w:pPr>
      <w:r>
        <w:fldChar w:fldCharType="begin"/>
      </w:r>
      <w:r>
        <w:instrText xml:space="preserve"> HYPERLINK \l "_Toc532820948" </w:instrText>
      </w:r>
      <w:r>
        <w:fldChar w:fldCharType="separate"/>
      </w:r>
      <w:r>
        <w:rPr>
          <w:rStyle w:val="39"/>
          <w:rFonts w:ascii="Times New Roman"/>
          <w:bCs/>
        </w:rPr>
        <w:t>3 术语和定义</w:t>
      </w:r>
      <w:r>
        <w:rPr>
          <w:rFonts w:ascii="Times New Roman"/>
        </w:rPr>
        <w:tab/>
      </w:r>
      <w:r>
        <w:rPr>
          <w:rFonts w:ascii="Times New Roman"/>
        </w:rPr>
        <w:fldChar w:fldCharType="begin"/>
      </w:r>
      <w:r>
        <w:rPr>
          <w:rFonts w:ascii="Times New Roman"/>
        </w:rPr>
        <w:instrText xml:space="preserve"> PAGEREF _Toc532820948 \h </w:instrText>
      </w:r>
      <w:r>
        <w:rPr>
          <w:rFonts w:ascii="Times New Roman"/>
        </w:rPr>
        <w:fldChar w:fldCharType="separate"/>
      </w:r>
      <w:r>
        <w:rPr>
          <w:rFonts w:ascii="Times New Roman"/>
        </w:rPr>
        <w:t>1</w:t>
      </w:r>
      <w:r>
        <w:rPr>
          <w:rFonts w:ascii="Times New Roman"/>
        </w:rPr>
        <w:fldChar w:fldCharType="end"/>
      </w:r>
      <w:r>
        <w:rPr>
          <w:rFonts w:ascii="Times New Roman"/>
        </w:rPr>
        <w:fldChar w:fldCharType="end"/>
      </w:r>
    </w:p>
    <w:p>
      <w:pPr>
        <w:pStyle w:val="29"/>
        <w:rPr>
          <w:rFonts w:ascii="Times New Roman"/>
          <w:szCs w:val="22"/>
        </w:rPr>
      </w:pPr>
      <w:r>
        <w:fldChar w:fldCharType="begin"/>
      </w:r>
      <w:r>
        <w:instrText xml:space="preserve"> HYPERLINK \l "_Toc532820957" </w:instrText>
      </w:r>
      <w:r>
        <w:fldChar w:fldCharType="separate"/>
      </w:r>
      <w:r>
        <w:rPr>
          <w:rStyle w:val="39"/>
          <w:rFonts w:ascii="Times New Roman"/>
          <w:bCs/>
        </w:rPr>
        <w:t>4 评价要求</w:t>
      </w:r>
      <w:r>
        <w:rPr>
          <w:rFonts w:ascii="Times New Roman"/>
        </w:rPr>
        <w:tab/>
      </w:r>
      <w:r>
        <w:rPr>
          <w:rFonts w:ascii="Times New Roman"/>
        </w:rPr>
        <w:fldChar w:fldCharType="begin"/>
      </w:r>
      <w:r>
        <w:rPr>
          <w:rFonts w:ascii="Times New Roman"/>
        </w:rPr>
        <w:instrText xml:space="preserve"> PAGEREF _Toc532820957 \h </w:instrText>
      </w:r>
      <w:r>
        <w:rPr>
          <w:rFonts w:ascii="Times New Roman"/>
        </w:rPr>
        <w:fldChar w:fldCharType="separate"/>
      </w:r>
      <w:r>
        <w:rPr>
          <w:rFonts w:ascii="Times New Roman"/>
        </w:rPr>
        <w:t>2</w:t>
      </w:r>
      <w:r>
        <w:rPr>
          <w:rFonts w:ascii="Times New Roman"/>
        </w:rPr>
        <w:fldChar w:fldCharType="end"/>
      </w:r>
      <w:r>
        <w:rPr>
          <w:rFonts w:ascii="Times New Roman"/>
        </w:rPr>
        <w:fldChar w:fldCharType="end"/>
      </w:r>
    </w:p>
    <w:p>
      <w:pPr>
        <w:pStyle w:val="29"/>
        <w:rPr>
          <w:rFonts w:ascii="Times New Roman"/>
          <w:szCs w:val="22"/>
        </w:rPr>
      </w:pPr>
      <w:r>
        <w:fldChar w:fldCharType="begin"/>
      </w:r>
      <w:r>
        <w:instrText xml:space="preserve"> HYPERLINK \l "_Toc532820960" </w:instrText>
      </w:r>
      <w:r>
        <w:fldChar w:fldCharType="separate"/>
      </w:r>
      <w:r>
        <w:rPr>
          <w:rStyle w:val="39"/>
          <w:rFonts w:ascii="Times New Roman"/>
          <w:bCs/>
        </w:rPr>
        <w:t>5 评价方法</w:t>
      </w:r>
      <w:r>
        <w:rPr>
          <w:rFonts w:ascii="Times New Roman"/>
        </w:rPr>
        <w:tab/>
      </w:r>
      <w:r>
        <w:rPr>
          <w:rFonts w:ascii="Times New Roman"/>
        </w:rPr>
        <w:fldChar w:fldCharType="begin"/>
      </w:r>
      <w:r>
        <w:rPr>
          <w:rFonts w:ascii="Times New Roman"/>
        </w:rPr>
        <w:instrText xml:space="preserve"> PAGEREF _Toc532820960 \h </w:instrText>
      </w:r>
      <w:r>
        <w:rPr>
          <w:rFonts w:ascii="Times New Roman"/>
        </w:rPr>
        <w:fldChar w:fldCharType="separate"/>
      </w:r>
      <w:r>
        <w:rPr>
          <w:rFonts w:ascii="Times New Roman"/>
        </w:rPr>
        <w:t>3</w:t>
      </w:r>
      <w:r>
        <w:rPr>
          <w:rFonts w:ascii="Times New Roman"/>
        </w:rPr>
        <w:fldChar w:fldCharType="end"/>
      </w:r>
      <w:r>
        <w:rPr>
          <w:rFonts w:ascii="Times New Roman"/>
        </w:rPr>
        <w:fldChar w:fldCharType="end"/>
      </w:r>
    </w:p>
    <w:p>
      <w:pPr>
        <w:pStyle w:val="20"/>
        <w:spacing w:before="78" w:after="78"/>
        <w:rPr>
          <w:rFonts w:ascii="Times New Roman"/>
        </w:rPr>
      </w:pPr>
      <w:r>
        <w:fldChar w:fldCharType="begin"/>
      </w:r>
      <w:r>
        <w:instrText xml:space="preserve"> HYPERLINK \l "_Toc532820969" </w:instrText>
      </w:r>
      <w:r>
        <w:fldChar w:fldCharType="separate"/>
      </w:r>
      <w:r>
        <w:rPr>
          <w:rStyle w:val="39"/>
          <w:rFonts w:ascii="Times New Roman"/>
        </w:rPr>
        <w:t>附录A（规范性附录）</w:t>
      </w:r>
      <w:r>
        <w:rPr>
          <w:rStyle w:val="39"/>
          <w:rFonts w:hint="eastAsia" w:ascii="Times New Roman"/>
        </w:rPr>
        <w:t>耐碱网格布</w:t>
      </w:r>
      <w:r>
        <w:rPr>
          <w:rStyle w:val="39"/>
          <w:rFonts w:ascii="Times New Roman"/>
        </w:rPr>
        <w:t>评价指标计算方法</w:t>
      </w:r>
      <w:r>
        <w:rPr>
          <w:rFonts w:ascii="Times New Roman"/>
        </w:rPr>
        <w:tab/>
      </w:r>
      <w:r>
        <w:rPr>
          <w:rFonts w:ascii="Times New Roman"/>
        </w:rPr>
        <w:fldChar w:fldCharType="begin"/>
      </w:r>
      <w:r>
        <w:rPr>
          <w:rFonts w:ascii="Times New Roman"/>
        </w:rPr>
        <w:instrText xml:space="preserve"> PAGEREF _Toc532820969 \h </w:instrText>
      </w:r>
      <w:r>
        <w:rPr>
          <w:rFonts w:ascii="Times New Roman"/>
        </w:rPr>
        <w:fldChar w:fldCharType="separate"/>
      </w:r>
      <w:r>
        <w:rPr>
          <w:rFonts w:ascii="Times New Roman"/>
        </w:rPr>
        <w:t>4</w:t>
      </w:r>
      <w:r>
        <w:rPr>
          <w:rFonts w:ascii="Times New Roman"/>
        </w:rPr>
        <w:fldChar w:fldCharType="end"/>
      </w:r>
      <w:r>
        <w:rPr>
          <w:rFonts w:ascii="Times New Roman"/>
        </w:rPr>
        <w:fldChar w:fldCharType="end"/>
      </w:r>
      <w:r>
        <w:rPr>
          <w:rFonts w:ascii="Times New Roman"/>
        </w:rPr>
        <w:fldChar w:fldCharType="end"/>
      </w:r>
    </w:p>
    <w:p>
      <w:pPr>
        <w:pStyle w:val="20"/>
        <w:spacing w:before="78" w:after="78"/>
        <w:rPr>
          <w:rFonts w:ascii="Times New Roman"/>
        </w:rPr>
      </w:pPr>
      <w:r>
        <w:rPr>
          <w:rFonts w:ascii="Times New Roman"/>
        </w:rPr>
        <w:br w:type="page"/>
      </w:r>
    </w:p>
    <w:p>
      <w:pPr>
        <w:pStyle w:val="73"/>
      </w:pPr>
      <w:bookmarkStart w:id="7" w:name="_Toc532820816"/>
      <w:bookmarkStart w:id="8" w:name="_Toc524004770"/>
      <w:bookmarkStart w:id="9" w:name="_Toc532820944"/>
      <w:r>
        <w:rPr>
          <w:rFonts w:hint="eastAsia"/>
        </w:rPr>
        <w:t>前</w:t>
      </w:r>
      <w:bookmarkStart w:id="10" w:name="BKQY"/>
      <w:r>
        <w:rPr>
          <w:rFonts w:hint="eastAsia" w:ascii="MS Mincho" w:hAnsi="MS Mincho" w:eastAsia="MS Mincho" w:cs="MS Mincho"/>
        </w:rPr>
        <w:t>  </w:t>
      </w:r>
      <w:r>
        <w:rPr>
          <w:rFonts w:hint="eastAsia"/>
        </w:rPr>
        <w:t>言</w:t>
      </w:r>
      <w:bookmarkEnd w:id="7"/>
      <w:bookmarkEnd w:id="8"/>
      <w:bookmarkEnd w:id="9"/>
      <w:bookmarkEnd w:id="10"/>
    </w:p>
    <w:p>
      <w:pPr>
        <w:ind w:firstLine="420" w:firstLineChars="200"/>
      </w:pPr>
      <w:r>
        <w:rPr>
          <w:rFonts w:hint="eastAsia"/>
        </w:rPr>
        <w:t>本文件按照GB/T 1.1-2020《标准化工作导则 第1部分：标准化文件的结构和起草规则》给出的规则起草。</w:t>
      </w:r>
    </w:p>
    <w:p>
      <w:pPr>
        <w:ind w:firstLine="420" w:firstLineChars="200"/>
        <w:rPr>
          <w:color w:val="000000"/>
        </w:rPr>
      </w:pPr>
      <w:r>
        <w:rPr>
          <w:rFonts w:hint="eastAsia" w:cs="宋体"/>
          <w:color w:val="000000"/>
        </w:rPr>
        <w:t>本文件是按中国工程建设标准化协会《关于印发&lt;2017年第三批产品标准试点项目计划&gt;的通知》（建标协字〔2017〕34号）的要求制定。</w:t>
      </w:r>
    </w:p>
    <w:p>
      <w:pPr>
        <w:pStyle w:val="24"/>
      </w:pPr>
      <w:r>
        <w:t>本文件的某些内容可能涉及专利。本文件的发布机构不承担识别这些专利的责任。</w:t>
      </w:r>
    </w:p>
    <w:p>
      <w:pPr>
        <w:pStyle w:val="24"/>
        <w:rPr>
          <w:rFonts w:ascii="Times New Roman"/>
          <w:color w:val="000000"/>
        </w:rPr>
      </w:pPr>
      <w:r>
        <w:rPr>
          <w:rFonts w:ascii="Times New Roman"/>
          <w:color w:val="000000"/>
        </w:rPr>
        <w:t>本</w:t>
      </w:r>
      <w:r>
        <w:rPr>
          <w:rFonts w:hint="eastAsia" w:ascii="Times New Roman"/>
          <w:color w:val="000000"/>
        </w:rPr>
        <w:t>文件</w:t>
      </w:r>
      <w:r>
        <w:rPr>
          <w:rFonts w:ascii="Times New Roman"/>
          <w:color w:val="000000"/>
        </w:rPr>
        <w:t>由中国工程建设标准化协会</w:t>
      </w:r>
      <w:r>
        <w:rPr>
          <w:rFonts w:hint="eastAsia" w:ascii="Times New Roman"/>
          <w:color w:val="000000"/>
        </w:rPr>
        <w:t>提出。</w:t>
      </w:r>
    </w:p>
    <w:p>
      <w:pPr>
        <w:pStyle w:val="24"/>
        <w:rPr>
          <w:rFonts w:ascii="Times New Roman"/>
        </w:rPr>
      </w:pPr>
      <w:r>
        <w:rPr>
          <w:rFonts w:hint="eastAsia"/>
          <w:color w:val="000000"/>
        </w:rPr>
        <w:t>本文件由中国工程建设标准化协会绿色建筑与生态城区分会归口管理</w:t>
      </w:r>
      <w:r>
        <w:rPr>
          <w:rFonts w:ascii="Times New Roman"/>
        </w:rPr>
        <w:t>。</w:t>
      </w:r>
    </w:p>
    <w:p>
      <w:pPr>
        <w:pStyle w:val="24"/>
      </w:pPr>
      <w:r>
        <w:rPr>
          <w:rFonts w:hint="eastAsia"/>
        </w:rPr>
        <w:t>本文件负责起草单位：住房和城乡建设部科技与产业化发展中心。</w:t>
      </w:r>
    </w:p>
    <w:p>
      <w:pPr>
        <w:pStyle w:val="24"/>
        <w:rPr>
          <w:color w:val="FF0000"/>
        </w:rPr>
      </w:pPr>
      <w:bookmarkStart w:id="83" w:name="_GoBack"/>
      <w:bookmarkEnd w:id="83"/>
      <w:r>
        <w:rPr>
          <w:rFonts w:hint="eastAsia"/>
        </w:rPr>
        <w:t>本</w:t>
      </w:r>
      <w:r>
        <w:rPr>
          <w:rFonts w:hint="eastAsia"/>
          <w:lang w:val="en-US" w:eastAsia="zh-CN"/>
        </w:rPr>
        <w:t>文件</w:t>
      </w:r>
      <w:r>
        <w:rPr>
          <w:rFonts w:hint="eastAsia"/>
        </w:rPr>
        <w:t>参加起草单位：</w:t>
      </w:r>
      <w:r>
        <w:rPr>
          <w:color w:val="FF0000"/>
        </w:rPr>
        <w:t xml:space="preserve"> </w:t>
      </w:r>
    </w:p>
    <w:p>
      <w:pPr>
        <w:pStyle w:val="24"/>
        <w:rPr>
          <w:rFonts w:hint="eastAsia" w:eastAsia="宋体"/>
          <w:color w:val="000000"/>
          <w:lang w:val="en-US" w:eastAsia="zh-CN"/>
        </w:rPr>
      </w:pPr>
      <w:r>
        <w:rPr>
          <w:rFonts w:hint="eastAsia"/>
        </w:rPr>
        <w:t>本</w:t>
      </w:r>
      <w:r>
        <w:rPr>
          <w:rFonts w:hint="eastAsia"/>
          <w:lang w:val="en-US" w:eastAsia="zh-CN"/>
        </w:rPr>
        <w:t>文件</w:t>
      </w:r>
      <w:r>
        <w:rPr>
          <w:rFonts w:hint="eastAsia"/>
        </w:rPr>
        <w:t>主要起草人：</w:t>
      </w:r>
      <w:r>
        <w:t xml:space="preserve"> </w:t>
      </w:r>
    </w:p>
    <w:p>
      <w:pPr>
        <w:ind w:firstLine="420" w:firstLineChars="200"/>
        <w:rPr>
          <w:rFonts w:hint="default" w:ascii="Times New Roman" w:hAnsi="Times New Roman" w:eastAsia="宋体" w:cs="宋体"/>
          <w:color w:val="000000"/>
          <w:lang w:val="en-US" w:eastAsia="zh-CN"/>
        </w:rPr>
        <w:sectPr>
          <w:headerReference r:id="rId3" w:type="default"/>
          <w:footerReference r:id="rId4" w:type="default"/>
          <w:pgSz w:w="11906" w:h="16838"/>
          <w:pgMar w:top="567" w:right="1134" w:bottom="1134" w:left="1418" w:header="1418" w:footer="1134" w:gutter="0"/>
          <w:pgNumType w:fmt="upperRoman" w:start="1"/>
          <w:cols w:space="720" w:num="1"/>
          <w:formProt w:val="0"/>
          <w:docGrid w:type="lines" w:linePitch="312" w:charSpace="0"/>
        </w:sectPr>
      </w:pPr>
      <w:r>
        <w:rPr>
          <w:rFonts w:hint="eastAsia" w:ascii="Times New Roman" w:hAnsi="Times New Roman" w:eastAsia="宋体" w:cs="宋体"/>
          <w:color w:val="000000"/>
          <w:lang w:val="en-US" w:eastAsia="zh-CN"/>
        </w:rPr>
        <w:t>本文件主要审查人：</w:t>
      </w:r>
    </w:p>
    <w:p>
      <w:pPr>
        <w:pStyle w:val="116"/>
        <w:rPr>
          <w:rFonts w:cs="黑体"/>
          <w:sz w:val="36"/>
          <w:szCs w:val="36"/>
        </w:rPr>
      </w:pPr>
      <w:bookmarkStart w:id="11" w:name="_Toc532820945"/>
      <w:bookmarkStart w:id="12" w:name="_Toc532820817"/>
      <w:r>
        <w:rPr>
          <w:rFonts w:hint="eastAsia" w:cs="黑体"/>
          <w:sz w:val="36"/>
          <w:szCs w:val="36"/>
        </w:rPr>
        <w:t>绿色建材评价标准</w:t>
      </w:r>
      <w:r>
        <w:rPr>
          <w:rFonts w:cs="黑体"/>
          <w:sz w:val="36"/>
          <w:szCs w:val="36"/>
        </w:rPr>
        <w:t xml:space="preserve"> </w:t>
      </w:r>
      <w:bookmarkEnd w:id="11"/>
      <w:bookmarkEnd w:id="12"/>
      <w:r>
        <w:rPr>
          <w:rFonts w:hint="eastAsia" w:cs="黑体"/>
          <w:sz w:val="36"/>
          <w:szCs w:val="36"/>
        </w:rPr>
        <w:t>耐碱网格布</w:t>
      </w:r>
    </w:p>
    <w:p>
      <w:pPr>
        <w:pStyle w:val="76"/>
        <w:spacing w:before="312" w:after="312"/>
      </w:pPr>
      <w:bookmarkStart w:id="13" w:name="_Toc532820946"/>
      <w:bookmarkStart w:id="14" w:name="_Toc532820818"/>
      <w:bookmarkStart w:id="15" w:name="_Toc524004350"/>
      <w:bookmarkStart w:id="16" w:name="_Toc524004771"/>
      <w:r>
        <w:rPr>
          <w:rFonts w:hint="eastAsia"/>
        </w:rPr>
        <w:t>范围</w:t>
      </w:r>
      <w:bookmarkEnd w:id="13"/>
      <w:bookmarkEnd w:id="14"/>
      <w:bookmarkEnd w:id="15"/>
      <w:bookmarkEnd w:id="16"/>
    </w:p>
    <w:p>
      <w:pPr>
        <w:pStyle w:val="24"/>
        <w:rPr>
          <w:rFonts w:ascii="Times New Roman"/>
        </w:rPr>
      </w:pPr>
      <w:r>
        <w:rPr>
          <w:rFonts w:hint="eastAsia" w:ascii="Times New Roman"/>
        </w:rPr>
        <w:t>本标准规定了耐碱网格布绿色建材评价的术语定义、评价要求和评价方法。</w:t>
      </w:r>
    </w:p>
    <w:p>
      <w:pPr>
        <w:ind w:firstLine="420" w:firstLineChars="200"/>
        <w:jc w:val="left"/>
        <w:rPr>
          <w:rFonts w:hAnsi="Calibri"/>
          <w:color w:val="000000" w:themeColor="text1"/>
          <w:szCs w:val="22"/>
          <w14:textFill>
            <w14:solidFill>
              <w14:schemeClr w14:val="tx1"/>
            </w14:solidFill>
          </w14:textFill>
        </w:rPr>
      </w:pPr>
      <w:r>
        <w:rPr>
          <w:rFonts w:hint="eastAsia" w:hAnsi="Calibri"/>
          <w:color w:val="000000" w:themeColor="text1"/>
          <w:szCs w:val="22"/>
          <w14:textFill>
            <w14:solidFill>
              <w14:schemeClr w14:val="tx1"/>
            </w14:solidFill>
          </w14:textFill>
        </w:rPr>
        <w:t>本标准适用于建筑墙体保温工程和装饰装修工程用耐碱</w:t>
      </w:r>
      <w:r>
        <w:rPr>
          <w:rFonts w:hAnsi="Calibri"/>
          <w:color w:val="000000" w:themeColor="text1"/>
          <w:szCs w:val="22"/>
          <w14:textFill>
            <w14:solidFill>
              <w14:schemeClr w14:val="tx1"/>
            </w14:solidFill>
          </w14:textFill>
        </w:rPr>
        <w:t>网格布</w:t>
      </w:r>
      <w:r>
        <w:rPr>
          <w:rFonts w:hint="eastAsia" w:hAnsi="Calibri"/>
          <w:color w:val="000000" w:themeColor="text1"/>
          <w:szCs w:val="22"/>
          <w14:textFill>
            <w14:solidFill>
              <w14:schemeClr w14:val="tx1"/>
            </w14:solidFill>
          </w14:textFill>
        </w:rPr>
        <w:t>的绿色建材评价。</w:t>
      </w:r>
    </w:p>
    <w:p>
      <w:pPr>
        <w:pStyle w:val="76"/>
        <w:spacing w:before="312" w:after="312"/>
      </w:pPr>
      <w:bookmarkStart w:id="17" w:name="_Toc524004772"/>
      <w:bookmarkStart w:id="18" w:name="_Toc524004351"/>
      <w:bookmarkStart w:id="19" w:name="_Toc532820819"/>
      <w:bookmarkStart w:id="20" w:name="_Toc532820947"/>
      <w:r>
        <w:rPr>
          <w:rFonts w:hint="eastAsia"/>
        </w:rPr>
        <w:t>规范性引用文件</w:t>
      </w:r>
      <w:bookmarkEnd w:id="17"/>
      <w:bookmarkEnd w:id="18"/>
      <w:bookmarkEnd w:id="19"/>
      <w:bookmarkEnd w:id="20"/>
    </w:p>
    <w:p>
      <w:pPr>
        <w:pStyle w:val="24"/>
        <w:rPr>
          <w:rFonts w:ascii="Times New Roman"/>
          <w:color w:val="000000"/>
        </w:rPr>
      </w:pPr>
      <w:r>
        <w:rPr>
          <w:rFonts w:hint="eastAsia"/>
          <w:color w:val="000000"/>
        </w:rPr>
        <w:t>下列文件对于本文件的应用是必不可少的。凡是注日期的引用文件，仅注日期的版本适用于本文件。凡是不注</w:t>
      </w:r>
      <w:r>
        <w:rPr>
          <w:rFonts w:hint="eastAsia" w:ascii="Times New Roman"/>
          <w:color w:val="000000"/>
        </w:rPr>
        <w:t>日期的引用文件，其最新版本（包括所有的修改单）适用于本文件。</w:t>
      </w:r>
    </w:p>
    <w:p>
      <w:pPr>
        <w:pStyle w:val="24"/>
        <w:tabs>
          <w:tab w:val="left" w:pos="2268"/>
        </w:tabs>
        <w:ind w:left="420" w:firstLine="0" w:firstLineChars="0"/>
        <w:rPr>
          <w:rFonts w:ascii="Times New Roman"/>
        </w:rPr>
      </w:pPr>
      <w:r>
        <w:rPr>
          <w:rFonts w:ascii="Times New Roman"/>
        </w:rPr>
        <w:t xml:space="preserve">GB/T 2589 </w:t>
      </w:r>
      <w:r>
        <w:rPr>
          <w:rFonts w:hint="eastAsia" w:ascii="Times New Roman"/>
        </w:rPr>
        <w:t>综合能耗计算通则</w:t>
      </w:r>
    </w:p>
    <w:p>
      <w:pPr>
        <w:pStyle w:val="24"/>
        <w:tabs>
          <w:tab w:val="left" w:pos="2268"/>
        </w:tabs>
        <w:ind w:left="420" w:firstLine="0" w:firstLineChars="0"/>
        <w:rPr>
          <w:rFonts w:ascii="Times New Roman"/>
        </w:rPr>
      </w:pPr>
      <w:r>
        <w:rPr>
          <w:rFonts w:ascii="Times New Roman" w:eastAsiaTheme="minorEastAsia"/>
          <w:color w:val="000000" w:themeColor="text1"/>
          <w14:textFill>
            <w14:solidFill>
              <w14:schemeClr w14:val="tx1"/>
            </w14:solidFill>
          </w14:textFill>
        </w:rPr>
        <w:t xml:space="preserve">GB/T 2912.1 </w:t>
      </w:r>
      <w:r>
        <w:rPr>
          <w:rFonts w:hint="eastAsia" w:ascii="Times New Roman" w:eastAsiaTheme="minorEastAsia"/>
          <w:color w:val="000000" w:themeColor="text1"/>
          <w14:textFill>
            <w14:solidFill>
              <w14:schemeClr w14:val="tx1"/>
            </w14:solidFill>
          </w14:textFill>
        </w:rPr>
        <w:t>纺织品 甲醛的测定 第1部分</w:t>
      </w:r>
      <w:r>
        <w:rPr>
          <w:rFonts w:ascii="Times New Roman" w:eastAsiaTheme="minorEastAsia"/>
          <w:color w:val="000000" w:themeColor="text1"/>
          <w14:textFill>
            <w14:solidFill>
              <w14:schemeClr w14:val="tx1"/>
            </w14:solidFill>
          </w14:textFill>
        </w:rPr>
        <w:t>：游离</w:t>
      </w:r>
      <w:r>
        <w:rPr>
          <w:rFonts w:hint="eastAsia" w:ascii="Times New Roman" w:eastAsiaTheme="minorEastAsia"/>
          <w:color w:val="000000" w:themeColor="text1"/>
          <w14:textFill>
            <w14:solidFill>
              <w14:schemeClr w14:val="tx1"/>
            </w14:solidFill>
          </w14:textFill>
        </w:rPr>
        <w:t>和水解</w:t>
      </w:r>
      <w:r>
        <w:rPr>
          <w:rFonts w:ascii="Times New Roman" w:eastAsiaTheme="minorEastAsia"/>
          <w:color w:val="000000" w:themeColor="text1"/>
          <w14:textFill>
            <w14:solidFill>
              <w14:schemeClr w14:val="tx1"/>
            </w14:solidFill>
          </w14:textFill>
        </w:rPr>
        <w:t>的甲醛</w:t>
      </w:r>
      <w:r>
        <w:rPr>
          <w:rFonts w:hint="eastAsia" w:ascii="Times New Roman" w:eastAsiaTheme="minorEastAsia"/>
          <w:color w:val="000000" w:themeColor="text1"/>
          <w14:textFill>
            <w14:solidFill>
              <w14:schemeClr w14:val="tx1"/>
            </w14:solidFill>
          </w14:textFill>
        </w:rPr>
        <w:t>（水</w:t>
      </w:r>
      <w:r>
        <w:rPr>
          <w:rFonts w:ascii="Times New Roman" w:eastAsiaTheme="minorEastAsia"/>
          <w:color w:val="000000" w:themeColor="text1"/>
          <w14:textFill>
            <w14:solidFill>
              <w14:schemeClr w14:val="tx1"/>
            </w14:solidFill>
          </w14:textFill>
        </w:rPr>
        <w:t>萃取法</w:t>
      </w:r>
      <w:r>
        <w:rPr>
          <w:rFonts w:hint="eastAsia" w:ascii="Times New Roman" w:eastAsiaTheme="minorEastAsia"/>
          <w:color w:val="000000" w:themeColor="text1"/>
          <w14:textFill>
            <w14:solidFill>
              <w14:schemeClr w14:val="tx1"/>
            </w14:solidFill>
          </w14:textFill>
        </w:rPr>
        <w:t>）</w:t>
      </w:r>
    </w:p>
    <w:p>
      <w:pPr>
        <w:pStyle w:val="24"/>
        <w:ind w:left="420" w:firstLine="0" w:firstLineChars="0"/>
        <w:rPr>
          <w:rFonts w:ascii="Times New Roman"/>
          <w:color w:val="000000"/>
        </w:rPr>
      </w:pPr>
      <w:r>
        <w:rPr>
          <w:rFonts w:ascii="Times New Roman"/>
          <w:color w:val="000000"/>
        </w:rPr>
        <w:t xml:space="preserve">GB/T 7689.5 </w:t>
      </w:r>
      <w:r>
        <w:rPr>
          <w:rFonts w:hint="eastAsia" w:ascii="Times New Roman"/>
          <w:color w:val="000000"/>
        </w:rPr>
        <w:t>增强材料 机织物试验方法 第5部分</w:t>
      </w:r>
      <w:r>
        <w:rPr>
          <w:rFonts w:ascii="Times New Roman"/>
          <w:color w:val="000000"/>
        </w:rPr>
        <w:t>：</w:t>
      </w:r>
      <w:r>
        <w:rPr>
          <w:rFonts w:hint="eastAsia" w:ascii="Times New Roman"/>
          <w:color w:val="000000"/>
        </w:rPr>
        <w:t>玻璃</w:t>
      </w:r>
      <w:r>
        <w:rPr>
          <w:rFonts w:ascii="Times New Roman"/>
          <w:color w:val="000000"/>
        </w:rPr>
        <w:t>纤维拉伸断裂</w:t>
      </w:r>
      <w:r>
        <w:rPr>
          <w:rFonts w:hint="eastAsia" w:ascii="Times New Roman"/>
          <w:color w:val="000000"/>
        </w:rPr>
        <w:t>强力</w:t>
      </w:r>
      <w:r>
        <w:rPr>
          <w:rFonts w:ascii="Times New Roman"/>
          <w:color w:val="000000"/>
        </w:rPr>
        <w:t>和</w:t>
      </w:r>
      <w:r>
        <w:rPr>
          <w:rFonts w:hint="eastAsia" w:ascii="Times New Roman"/>
          <w:color w:val="000000"/>
        </w:rPr>
        <w:t>断裂</w:t>
      </w:r>
      <w:r>
        <w:rPr>
          <w:rFonts w:ascii="Times New Roman"/>
          <w:color w:val="000000"/>
        </w:rPr>
        <w:t>伸长</w:t>
      </w:r>
      <w:r>
        <w:rPr>
          <w:rFonts w:hint="eastAsia" w:ascii="Times New Roman"/>
          <w:color w:val="000000"/>
        </w:rPr>
        <w:t>率</w:t>
      </w:r>
      <w:r>
        <w:rPr>
          <w:rFonts w:ascii="Times New Roman"/>
          <w:color w:val="000000"/>
        </w:rPr>
        <w:t>的测定</w:t>
      </w:r>
    </w:p>
    <w:p>
      <w:pPr>
        <w:pStyle w:val="24"/>
        <w:tabs>
          <w:tab w:val="left" w:pos="2268"/>
        </w:tabs>
        <w:ind w:left="420" w:firstLine="0" w:firstLineChars="0"/>
        <w:rPr>
          <w:rFonts w:ascii="瀹嬩綋" w:eastAsia="瀹嬩綋"/>
          <w:color w:val="000000"/>
          <w:szCs w:val="21"/>
          <w:shd w:val="clear" w:color="auto" w:fill="FFFFFF"/>
        </w:rPr>
      </w:pPr>
      <w:r>
        <w:rPr>
          <w:rFonts w:ascii="Times New Roman"/>
        </w:rPr>
        <w:t xml:space="preserve">GB 18597 </w:t>
      </w:r>
      <w:r>
        <w:rPr>
          <w:rFonts w:hint="eastAsia" w:ascii="瀹嬩綋" w:eastAsia="瀹嬩綋"/>
          <w:color w:val="000000"/>
          <w:szCs w:val="21"/>
          <w:shd w:val="clear" w:color="auto" w:fill="FFFFFF"/>
        </w:rPr>
        <w:t>危险废物贮存污染控制标准</w:t>
      </w:r>
    </w:p>
    <w:p>
      <w:pPr>
        <w:pStyle w:val="24"/>
        <w:tabs>
          <w:tab w:val="left" w:pos="2268"/>
        </w:tabs>
        <w:ind w:left="420" w:firstLine="0" w:firstLineChars="0"/>
        <w:rPr>
          <w:rFonts w:ascii="瀹嬩綋" w:eastAsia="瀹嬩綋"/>
          <w:color w:val="000000"/>
          <w:szCs w:val="21"/>
          <w:shd w:val="clear" w:color="auto" w:fill="FFFFFF"/>
        </w:rPr>
      </w:pPr>
      <w:r>
        <w:rPr>
          <w:rFonts w:ascii="Times New Roman"/>
        </w:rPr>
        <w:t xml:space="preserve">GB 18599 </w:t>
      </w:r>
      <w:r>
        <w:rPr>
          <w:rFonts w:hint="eastAsia" w:ascii="瀹嬩綋" w:eastAsia="瀹嬩綋"/>
          <w:color w:val="000000"/>
          <w:szCs w:val="21"/>
          <w:shd w:val="clear" w:color="auto" w:fill="FFFFFF"/>
        </w:rPr>
        <w:t>一般</w:t>
      </w:r>
      <w:r>
        <w:rPr>
          <w:rFonts w:ascii="瀹嬩綋" w:eastAsia="瀹嬩綋"/>
          <w:color w:val="000000"/>
          <w:szCs w:val="21"/>
          <w:shd w:val="clear" w:color="auto" w:fill="FFFFFF"/>
        </w:rPr>
        <w:t>工业固体废物贮存、处置</w:t>
      </w:r>
      <w:r>
        <w:rPr>
          <w:rFonts w:hint="eastAsia" w:ascii="瀹嬩綋" w:eastAsia="瀹嬩綋"/>
          <w:color w:val="000000"/>
          <w:szCs w:val="21"/>
          <w:shd w:val="clear" w:color="auto" w:fill="FFFFFF"/>
        </w:rPr>
        <w:t>场</w:t>
      </w:r>
      <w:r>
        <w:rPr>
          <w:rFonts w:ascii="瀹嬩綋" w:eastAsia="瀹嬩綋"/>
          <w:color w:val="000000"/>
          <w:szCs w:val="21"/>
          <w:shd w:val="clear" w:color="auto" w:fill="FFFFFF"/>
        </w:rPr>
        <w:t>污染控制标准</w:t>
      </w:r>
    </w:p>
    <w:p>
      <w:pPr>
        <w:pStyle w:val="24"/>
        <w:ind w:left="420" w:firstLine="0" w:firstLineChars="0"/>
        <w:rPr>
          <w:rFonts w:ascii="Times New Roman"/>
        </w:rPr>
      </w:pPr>
      <w:r>
        <w:rPr>
          <w:rFonts w:ascii="Times New Roman"/>
        </w:rPr>
        <w:t xml:space="preserve">GB/T 19001 </w:t>
      </w:r>
      <w:r>
        <w:rPr>
          <w:rFonts w:hint="eastAsia" w:ascii="Times New Roman"/>
        </w:rPr>
        <w:t>质量管理体系要求</w:t>
      </w:r>
    </w:p>
    <w:p>
      <w:pPr>
        <w:pStyle w:val="24"/>
        <w:ind w:left="420" w:firstLine="0" w:firstLineChars="0"/>
        <w:rPr>
          <w:rFonts w:ascii="Times New Roman"/>
        </w:rPr>
      </w:pPr>
      <w:r>
        <w:rPr>
          <w:rFonts w:ascii="Times New Roman"/>
        </w:rPr>
        <w:t xml:space="preserve">GB/T 24001 </w:t>
      </w:r>
      <w:r>
        <w:rPr>
          <w:rFonts w:hint="eastAsia" w:ascii="Times New Roman"/>
        </w:rPr>
        <w:t>环境管理体系要求及使用指南</w:t>
      </w:r>
    </w:p>
    <w:p>
      <w:pPr>
        <w:pStyle w:val="24"/>
        <w:ind w:left="420" w:firstLine="0" w:firstLineChars="0"/>
        <w:rPr>
          <w:rFonts w:ascii="Times New Roman"/>
        </w:rPr>
      </w:pPr>
      <w:r>
        <w:rPr>
          <w:rFonts w:ascii="Times New Roman"/>
        </w:rPr>
        <w:t xml:space="preserve">GB/T 20102 </w:t>
      </w:r>
      <w:r>
        <w:rPr>
          <w:rFonts w:hint="eastAsia" w:ascii="Times New Roman"/>
        </w:rPr>
        <w:t>玻璃</w:t>
      </w:r>
      <w:r>
        <w:rPr>
          <w:rFonts w:ascii="Times New Roman"/>
        </w:rPr>
        <w:t>纤维网格布</w:t>
      </w:r>
      <w:r>
        <w:rPr>
          <w:rFonts w:hint="eastAsia" w:ascii="Times New Roman"/>
        </w:rPr>
        <w:t>耐碱</w:t>
      </w:r>
      <w:r>
        <w:rPr>
          <w:rFonts w:ascii="Times New Roman"/>
        </w:rPr>
        <w:t>性试验</w:t>
      </w:r>
      <w:r>
        <w:rPr>
          <w:rFonts w:hint="eastAsia" w:ascii="Times New Roman"/>
        </w:rPr>
        <w:t>方法 氢氧化钠</w:t>
      </w:r>
      <w:r>
        <w:rPr>
          <w:rFonts w:ascii="Times New Roman"/>
        </w:rPr>
        <w:t>溶液浸泡法</w:t>
      </w:r>
    </w:p>
    <w:p>
      <w:pPr>
        <w:pStyle w:val="24"/>
        <w:ind w:left="420" w:firstLine="0" w:firstLineChars="0"/>
        <w:rPr>
          <w:rFonts w:ascii="Times New Roman" w:hAnsi="宋体"/>
          <w:bCs/>
          <w:color w:val="000000"/>
        </w:rPr>
      </w:pPr>
      <w:r>
        <w:rPr>
          <w:rFonts w:hint="eastAsia" w:ascii="Times New Roman" w:hAnsi="宋体"/>
          <w:bCs/>
          <w:color w:val="000000"/>
        </w:rPr>
        <w:t>GB/T 45001 职业健康安全管理体系  要求及使用指南</w:t>
      </w:r>
    </w:p>
    <w:p>
      <w:pPr>
        <w:pStyle w:val="24"/>
        <w:ind w:left="420" w:firstLine="0" w:firstLineChars="0"/>
        <w:rPr>
          <w:rFonts w:ascii="Times New Roman"/>
        </w:rPr>
      </w:pPr>
      <w:r>
        <w:rPr>
          <w:rFonts w:hint="eastAsia" w:ascii="Times New Roman" w:hAnsi="宋体"/>
          <w:bCs/>
          <w:color w:val="000000"/>
        </w:rPr>
        <w:t>GB 50325 民用建筑工程室内环境污染控制规范</w:t>
      </w:r>
    </w:p>
    <w:p>
      <w:pPr>
        <w:pStyle w:val="24"/>
        <w:ind w:left="420" w:firstLine="0" w:firstLineChars="0"/>
        <w:rPr>
          <w:rFonts w:ascii="Times New Roman"/>
        </w:rPr>
      </w:pPr>
      <w:r>
        <w:rPr>
          <w:rFonts w:ascii="Times New Roman"/>
        </w:rPr>
        <w:t xml:space="preserve">FZ/T 01143 </w:t>
      </w:r>
      <w:r>
        <w:rPr>
          <w:rFonts w:hint="eastAsia" w:ascii="Times New Roman"/>
        </w:rPr>
        <w:t>涂层织物 低温耐折性能试验方法</w:t>
      </w:r>
    </w:p>
    <w:p>
      <w:pPr>
        <w:pStyle w:val="24"/>
        <w:ind w:left="420" w:firstLine="0" w:firstLineChars="0"/>
        <w:rPr>
          <w:rFonts w:ascii="Times New Roman"/>
        </w:rPr>
      </w:pPr>
      <w:r>
        <w:rPr>
          <w:rFonts w:ascii="Times New Roman"/>
        </w:rPr>
        <w:t>JC</w:t>
      </w:r>
      <w:r>
        <w:rPr>
          <w:rFonts w:hint="eastAsia" w:ascii="Times New Roman"/>
        </w:rPr>
        <w:t xml:space="preserve">/T </w:t>
      </w:r>
      <w:r>
        <w:rPr>
          <w:rFonts w:ascii="Times New Roman"/>
        </w:rPr>
        <w:t>561.2 增强用玻璃纤维网布 第2部分: 聚合物基外墙外保温用玻璃纤维网布</w:t>
      </w:r>
    </w:p>
    <w:p>
      <w:pPr>
        <w:pStyle w:val="24"/>
        <w:ind w:left="420" w:firstLine="0" w:firstLineChars="0"/>
        <w:rPr>
          <w:rFonts w:ascii="Times New Roman"/>
          <w:color w:val="000000"/>
        </w:rPr>
      </w:pPr>
      <w:r>
        <w:rPr>
          <w:rFonts w:hint="eastAsia" w:ascii="Times New Roman"/>
          <w:color w:val="000000"/>
        </w:rPr>
        <w:t>JC/T</w:t>
      </w:r>
      <w:r>
        <w:rPr>
          <w:rFonts w:ascii="Times New Roman"/>
          <w:color w:val="000000"/>
        </w:rPr>
        <w:t xml:space="preserve"> </w:t>
      </w:r>
      <w:r>
        <w:rPr>
          <w:rFonts w:hint="eastAsia" w:ascii="Times New Roman"/>
          <w:color w:val="000000"/>
        </w:rPr>
        <w:t>841</w:t>
      </w:r>
      <w:r>
        <w:rPr>
          <w:rFonts w:ascii="Times New Roman"/>
          <w:color w:val="000000"/>
        </w:rPr>
        <w:t xml:space="preserve"> </w:t>
      </w:r>
      <w:r>
        <w:rPr>
          <w:rFonts w:hint="eastAsia" w:ascii="Times New Roman"/>
          <w:color w:val="000000"/>
        </w:rPr>
        <w:t>耐碱玻璃纤维</w:t>
      </w:r>
      <w:r>
        <w:rPr>
          <w:rFonts w:ascii="Times New Roman"/>
          <w:color w:val="000000"/>
        </w:rPr>
        <w:t>网布</w:t>
      </w:r>
    </w:p>
    <w:p>
      <w:pPr>
        <w:pStyle w:val="76"/>
        <w:spacing w:before="312" w:after="312"/>
        <w:rPr>
          <w:bCs/>
          <w:color w:val="000000"/>
          <w:szCs w:val="21"/>
        </w:rPr>
      </w:pPr>
      <w:bookmarkStart w:id="21" w:name="_Toc524004352"/>
      <w:bookmarkEnd w:id="21"/>
      <w:bookmarkStart w:id="22" w:name="_Toc511069681"/>
      <w:bookmarkStart w:id="23" w:name="_Toc532820948"/>
      <w:bookmarkStart w:id="24" w:name="_Toc521666152"/>
      <w:bookmarkStart w:id="25" w:name="_Toc532820820"/>
      <w:bookmarkStart w:id="26" w:name="_Toc509139383"/>
      <w:bookmarkStart w:id="27" w:name="_Toc509984954"/>
      <w:bookmarkStart w:id="28" w:name="_Toc524004773"/>
      <w:bookmarkStart w:id="29" w:name="_Toc519084143"/>
      <w:r>
        <w:rPr>
          <w:rFonts w:hint="eastAsia"/>
          <w:bCs/>
          <w:color w:val="000000"/>
          <w:szCs w:val="21"/>
        </w:rPr>
        <w:t>术语和定义</w:t>
      </w:r>
      <w:bookmarkEnd w:id="22"/>
      <w:bookmarkEnd w:id="23"/>
      <w:bookmarkEnd w:id="24"/>
      <w:bookmarkEnd w:id="25"/>
      <w:bookmarkEnd w:id="26"/>
      <w:bookmarkEnd w:id="27"/>
      <w:bookmarkEnd w:id="28"/>
      <w:bookmarkEnd w:id="29"/>
    </w:p>
    <w:p>
      <w:pPr>
        <w:pStyle w:val="24"/>
        <w:ind w:left="420" w:firstLine="0" w:firstLineChars="0"/>
        <w:rPr>
          <w:color w:val="000000"/>
        </w:rPr>
      </w:pPr>
      <w:bookmarkStart w:id="30" w:name="_Toc6509"/>
      <w:r>
        <w:rPr>
          <w:rFonts w:hint="eastAsia"/>
          <w:color w:val="000000"/>
        </w:rPr>
        <w:t>下列术语和定义适用于本文件。</w:t>
      </w:r>
    </w:p>
    <w:p>
      <w:pPr>
        <w:pStyle w:val="62"/>
        <w:spacing w:before="156" w:after="156"/>
      </w:pPr>
      <w:bookmarkStart w:id="31" w:name="_Toc532820821"/>
      <w:bookmarkEnd w:id="31"/>
      <w:bookmarkStart w:id="32" w:name="_Toc532820949"/>
      <w:bookmarkEnd w:id="32"/>
    </w:p>
    <w:p>
      <w:pPr>
        <w:widowControl/>
        <w:tabs>
          <w:tab w:val="center" w:pos="4201"/>
          <w:tab w:val="right" w:leader="dot" w:pos="9298"/>
        </w:tabs>
        <w:autoSpaceDE w:val="0"/>
        <w:autoSpaceDN w:val="0"/>
        <w:ind w:firstLine="420" w:firstLineChars="200"/>
        <w:rPr>
          <w:sz w:val="24"/>
        </w:rPr>
      </w:pPr>
      <w:r>
        <w:rPr>
          <w:rFonts w:hint="eastAsia" w:eastAsia="黑体"/>
        </w:rPr>
        <w:t>绿色建材</w:t>
      </w:r>
      <w:r>
        <w:rPr>
          <w:rFonts w:eastAsia="黑体"/>
        </w:rPr>
        <w:t xml:space="preserve">  green building materials</w:t>
      </w:r>
    </w:p>
    <w:p>
      <w:pPr>
        <w:widowControl/>
        <w:tabs>
          <w:tab w:val="center" w:pos="4201"/>
          <w:tab w:val="right" w:leader="dot" w:pos="9298"/>
        </w:tabs>
        <w:autoSpaceDE w:val="0"/>
        <w:autoSpaceDN w:val="0"/>
        <w:ind w:firstLine="420" w:firstLineChars="200"/>
        <w:rPr>
          <w:kern w:val="0"/>
          <w:szCs w:val="20"/>
        </w:rPr>
      </w:pPr>
      <w:r>
        <w:rPr>
          <w:rFonts w:hint="eastAsia"/>
          <w:kern w:val="0"/>
          <w:szCs w:val="20"/>
        </w:rPr>
        <w:t>在全生命周期内可减少对天然资源消耗和减轻对生态环境影响，具有</w:t>
      </w:r>
      <w:r>
        <w:rPr>
          <w:rFonts w:hint="eastAsia" w:asciiTheme="minorEastAsia" w:hAnsiTheme="minorEastAsia" w:eastAsiaTheme="minorEastAsia"/>
          <w:kern w:val="0"/>
          <w:szCs w:val="20"/>
        </w:rPr>
        <w:t>“</w:t>
      </w:r>
      <w:r>
        <w:rPr>
          <w:rFonts w:hint="eastAsia"/>
          <w:kern w:val="0"/>
          <w:szCs w:val="20"/>
        </w:rPr>
        <w:t>节能、减排、安全、便利和可循环</w:t>
      </w:r>
      <w:r>
        <w:rPr>
          <w:rFonts w:hint="eastAsia" w:asciiTheme="minorEastAsia" w:hAnsiTheme="minorEastAsia" w:eastAsiaTheme="minorEastAsia"/>
          <w:kern w:val="0"/>
          <w:szCs w:val="20"/>
        </w:rPr>
        <w:t>”</w:t>
      </w:r>
      <w:r>
        <w:rPr>
          <w:rFonts w:hint="eastAsia"/>
          <w:kern w:val="0"/>
          <w:szCs w:val="20"/>
        </w:rPr>
        <w:t>特征的建材产品。</w:t>
      </w:r>
    </w:p>
    <w:p>
      <w:pPr>
        <w:pStyle w:val="62"/>
        <w:spacing w:before="156" w:after="156"/>
      </w:pPr>
      <w:bookmarkStart w:id="33" w:name="_Toc532820822"/>
      <w:bookmarkEnd w:id="33"/>
      <w:bookmarkStart w:id="34" w:name="_Toc532820950"/>
      <w:bookmarkEnd w:id="34"/>
    </w:p>
    <w:p>
      <w:pPr>
        <w:widowControl/>
        <w:tabs>
          <w:tab w:val="center" w:pos="4201"/>
          <w:tab w:val="right" w:leader="dot" w:pos="9298"/>
        </w:tabs>
        <w:autoSpaceDE w:val="0"/>
        <w:autoSpaceDN w:val="0"/>
        <w:ind w:firstLine="420" w:firstLineChars="200"/>
        <w:rPr>
          <w:rFonts w:eastAsia="黑体"/>
        </w:rPr>
      </w:pPr>
      <w:r>
        <w:rPr>
          <w:rFonts w:hint="eastAsia" w:eastAsia="黑体"/>
        </w:rPr>
        <w:t>绿色建材评价</w:t>
      </w:r>
      <w:r>
        <w:rPr>
          <w:rFonts w:eastAsia="黑体"/>
        </w:rPr>
        <w:t xml:space="preserve"> green building materials</w:t>
      </w:r>
      <w:r>
        <w:rPr>
          <w:sz w:val="24"/>
        </w:rPr>
        <w:t xml:space="preserve"> </w:t>
      </w:r>
      <w:r>
        <w:rPr>
          <w:rFonts w:eastAsia="黑体"/>
        </w:rPr>
        <w:t xml:space="preserve">assessment </w:t>
      </w:r>
    </w:p>
    <w:p>
      <w:pPr>
        <w:widowControl/>
        <w:tabs>
          <w:tab w:val="center" w:pos="4201"/>
          <w:tab w:val="right" w:leader="dot" w:pos="9298"/>
        </w:tabs>
        <w:autoSpaceDE w:val="0"/>
        <w:autoSpaceDN w:val="0"/>
        <w:ind w:firstLine="420" w:firstLineChars="200"/>
        <w:rPr>
          <w:kern w:val="0"/>
          <w:szCs w:val="20"/>
        </w:rPr>
      </w:pPr>
      <w:r>
        <w:rPr>
          <w:rFonts w:hint="eastAsia"/>
          <w:kern w:val="0"/>
          <w:szCs w:val="20"/>
        </w:rPr>
        <w:t>依据绿色建材评价技术标准，按照程序和要求对申请开展评价的建材产品进行评价，确认其等级的活动。</w:t>
      </w:r>
    </w:p>
    <w:p>
      <w:pPr>
        <w:pStyle w:val="62"/>
        <w:spacing w:before="156" w:after="156"/>
      </w:pPr>
      <w:bookmarkStart w:id="35" w:name="_Toc532820951"/>
      <w:bookmarkEnd w:id="35"/>
      <w:bookmarkStart w:id="36" w:name="_Toc532820823"/>
      <w:bookmarkEnd w:id="36"/>
    </w:p>
    <w:p>
      <w:pPr>
        <w:widowControl/>
        <w:tabs>
          <w:tab w:val="center" w:pos="4201"/>
          <w:tab w:val="right" w:leader="dot" w:pos="9298"/>
        </w:tabs>
        <w:autoSpaceDE w:val="0"/>
        <w:autoSpaceDN w:val="0"/>
        <w:ind w:firstLine="420" w:firstLineChars="200"/>
        <w:rPr>
          <w:rFonts w:eastAsia="黑体"/>
        </w:rPr>
      </w:pPr>
      <w:r>
        <w:rPr>
          <w:rFonts w:hint="eastAsia" w:eastAsia="黑体"/>
        </w:rPr>
        <w:t>评价等级</w:t>
      </w:r>
      <w:r>
        <w:rPr>
          <w:rFonts w:eastAsia="黑体"/>
        </w:rPr>
        <w:t xml:space="preserve"> assessment level</w:t>
      </w:r>
    </w:p>
    <w:p>
      <w:pPr>
        <w:widowControl/>
        <w:tabs>
          <w:tab w:val="center" w:pos="4201"/>
          <w:tab w:val="right" w:leader="dot" w:pos="9298"/>
        </w:tabs>
        <w:autoSpaceDE w:val="0"/>
        <w:autoSpaceDN w:val="0"/>
        <w:ind w:firstLine="420" w:firstLineChars="200"/>
        <w:rPr>
          <w:kern w:val="0"/>
          <w:szCs w:val="20"/>
        </w:rPr>
      </w:pPr>
      <w:r>
        <w:rPr>
          <w:rFonts w:hint="eastAsia"/>
          <w:kern w:val="0"/>
          <w:szCs w:val="20"/>
        </w:rPr>
        <w:t>产品评价结果所达到的绿色建材级别，由低到高分为一星级、二星级和三星级。</w:t>
      </w:r>
    </w:p>
    <w:p>
      <w:pPr>
        <w:pStyle w:val="62"/>
        <w:spacing w:before="156" w:after="156"/>
      </w:pPr>
      <w:bookmarkStart w:id="37" w:name="_Toc532820824"/>
      <w:bookmarkEnd w:id="37"/>
      <w:bookmarkStart w:id="38" w:name="_Toc532820952"/>
      <w:bookmarkEnd w:id="38"/>
      <w:bookmarkStart w:id="39" w:name="_Toc16661"/>
      <w:bookmarkStart w:id="40" w:name="_Toc384816550"/>
      <w:bookmarkStart w:id="41" w:name="_Toc363024794"/>
      <w:bookmarkStart w:id="42" w:name="_Toc397348590"/>
      <w:bookmarkStart w:id="43" w:name="_Toc396118203"/>
      <w:bookmarkStart w:id="44" w:name="_Toc396134034"/>
      <w:bookmarkStart w:id="45" w:name="OLE_LINK6"/>
      <w:bookmarkStart w:id="46" w:name="_Toc397433562"/>
      <w:bookmarkStart w:id="47" w:name="_Toc382580630"/>
      <w:bookmarkStart w:id="48" w:name="_Toc406143967"/>
      <w:bookmarkStart w:id="49" w:name="OLE_LINK5"/>
      <w:bookmarkStart w:id="50" w:name="_Toc350863991"/>
    </w:p>
    <w:bookmarkEnd w:id="39"/>
    <w:p>
      <w:pPr>
        <w:widowControl/>
        <w:tabs>
          <w:tab w:val="center" w:pos="4201"/>
          <w:tab w:val="right" w:leader="dot" w:pos="9298"/>
        </w:tabs>
        <w:autoSpaceDE w:val="0"/>
        <w:autoSpaceDN w:val="0"/>
        <w:ind w:firstLine="420" w:firstLineChars="200"/>
        <w:rPr>
          <w:rFonts w:eastAsia="黑体"/>
        </w:rPr>
      </w:pPr>
      <w:r>
        <w:rPr>
          <w:rFonts w:hint="eastAsia" w:eastAsia="黑体"/>
        </w:rPr>
        <w:t>环境产品声明</w:t>
      </w:r>
      <w:r>
        <w:rPr>
          <w:rFonts w:eastAsia="黑体"/>
        </w:rPr>
        <w:t xml:space="preserve"> environmental product declaration</w:t>
      </w:r>
    </w:p>
    <w:p>
      <w:pPr>
        <w:pStyle w:val="24"/>
        <w:rPr>
          <w:rFonts w:ascii="Times New Roman"/>
        </w:rPr>
      </w:pPr>
      <w:r>
        <w:rPr>
          <w:rFonts w:hint="eastAsia" w:ascii="Times New Roman"/>
        </w:rPr>
        <w:t>提供基于预设参数的量化环境数据的环境声明，必要时包括附加环境信息。</w:t>
      </w:r>
    </w:p>
    <w:p>
      <w:pPr>
        <w:pStyle w:val="62"/>
        <w:spacing w:before="156" w:after="156"/>
        <w:rPr>
          <w:color w:val="FF0000"/>
        </w:rPr>
      </w:pPr>
      <w:bookmarkStart w:id="51" w:name="_Toc30452"/>
    </w:p>
    <w:bookmarkEnd w:id="51"/>
    <w:p>
      <w:pPr>
        <w:widowControl/>
        <w:tabs>
          <w:tab w:val="center" w:pos="4201"/>
          <w:tab w:val="right" w:leader="dot" w:pos="9298"/>
        </w:tabs>
        <w:autoSpaceDE w:val="0"/>
        <w:autoSpaceDN w:val="0"/>
        <w:ind w:firstLine="420" w:firstLineChars="200"/>
        <w:rPr>
          <w:rFonts w:eastAsia="黑体"/>
          <w:color w:val="000000" w:themeColor="text1"/>
          <w14:textFill>
            <w14:solidFill>
              <w14:schemeClr w14:val="tx1"/>
            </w14:solidFill>
          </w14:textFill>
        </w:rPr>
      </w:pPr>
      <w:r>
        <w:rPr>
          <w:rFonts w:hint="eastAsia" w:eastAsia="黑体"/>
          <w:color w:val="000000" w:themeColor="text1"/>
          <w14:textFill>
            <w14:solidFill>
              <w14:schemeClr w14:val="tx1"/>
            </w14:solidFill>
          </w14:textFill>
        </w:rPr>
        <w:t>碳足迹</w:t>
      </w:r>
      <w:r>
        <w:rPr>
          <w:rFonts w:eastAsia="黑体"/>
          <w:color w:val="000000" w:themeColor="text1"/>
          <w14:textFill>
            <w14:solidFill>
              <w14:schemeClr w14:val="tx1"/>
            </w14:solidFill>
          </w14:textFill>
        </w:rPr>
        <w:t xml:space="preserve">  </w:t>
      </w:r>
      <w:r>
        <w:fldChar w:fldCharType="begin"/>
      </w:r>
      <w:r>
        <w:instrText xml:space="preserve"> HYPERLINK "http://www.baidu.com/link?url=NM-sDc8vF8f6LBJJjre3x3OgH29MNSR7nUOi6mno3-iVlHb3Zlvs9wTbxnKcKC6gPud9_XI7Qg3qobY6J2p3_MuxwSugBbZWQE3OggbMvUq" \t "https://www.baidu.com/_blank" </w:instrText>
      </w:r>
      <w:r>
        <w:fldChar w:fldCharType="separate"/>
      </w:r>
      <w:r>
        <w:rPr>
          <w:rFonts w:eastAsia="黑体"/>
          <w:color w:val="000000" w:themeColor="text1"/>
          <w14:textFill>
            <w14:solidFill>
              <w14:schemeClr w14:val="tx1"/>
            </w14:solidFill>
          </w14:textFill>
        </w:rPr>
        <w:t>carbon footprint</w:t>
      </w:r>
      <w:r>
        <w:rPr>
          <w:rFonts w:eastAsia="黑体"/>
          <w:color w:val="000000" w:themeColor="text1"/>
          <w14:textFill>
            <w14:solidFill>
              <w14:schemeClr w14:val="tx1"/>
            </w14:solidFill>
          </w14:textFill>
        </w:rPr>
        <w:fldChar w:fldCharType="end"/>
      </w:r>
    </w:p>
    <w:p>
      <w:pPr>
        <w:pStyle w:val="24"/>
        <w:rPr>
          <w:rFonts w:ascii="Times New Roman"/>
          <w:color w:val="000000" w:themeColor="text1"/>
          <w14:textFill>
            <w14:solidFill>
              <w14:schemeClr w14:val="tx1"/>
            </w14:solidFill>
          </w14:textFill>
        </w:rPr>
      </w:pPr>
      <w:r>
        <w:rPr>
          <w:rFonts w:hint="eastAsia" w:ascii="Times New Roman"/>
          <w:color w:val="000000" w:themeColor="text1"/>
          <w14:textFill>
            <w14:solidFill>
              <w14:schemeClr w14:val="tx1"/>
            </w14:solidFill>
          </w14:textFill>
        </w:rPr>
        <w:t>用以量化过程、过程系统或产品系统温室气体排放的参数，以表现它们对气候变化的贡献。</w:t>
      </w:r>
    </w:p>
    <w:p>
      <w:pPr>
        <w:pStyle w:val="62"/>
        <w:spacing w:before="156" w:after="156"/>
      </w:pPr>
    </w:p>
    <w:p>
      <w:pPr>
        <w:widowControl/>
        <w:tabs>
          <w:tab w:val="center" w:pos="4201"/>
          <w:tab w:val="right" w:leader="dot" w:pos="9298"/>
        </w:tabs>
        <w:autoSpaceDE w:val="0"/>
        <w:autoSpaceDN w:val="0"/>
        <w:ind w:firstLine="420" w:firstLineChars="200"/>
        <w:rPr>
          <w:rFonts w:eastAsia="黑体"/>
          <w:color w:val="000000" w:themeColor="text1"/>
          <w14:textFill>
            <w14:solidFill>
              <w14:schemeClr w14:val="tx1"/>
            </w14:solidFill>
          </w14:textFill>
        </w:rPr>
      </w:pPr>
      <w:r>
        <w:rPr>
          <w:rFonts w:hint="eastAsia" w:eastAsia="黑体"/>
          <w:color w:val="000000" w:themeColor="text1"/>
          <w14:textFill>
            <w14:solidFill>
              <w14:schemeClr w14:val="tx1"/>
            </w14:solidFill>
          </w14:textFill>
        </w:rPr>
        <w:t>耐碱网格布</w:t>
      </w:r>
      <w:r>
        <w:rPr>
          <w:rFonts w:eastAsia="黑体"/>
          <w:color w:val="000000" w:themeColor="text1"/>
          <w14:textFill>
            <w14:solidFill>
              <w14:schemeClr w14:val="tx1"/>
            </w14:solidFill>
          </w14:textFill>
        </w:rPr>
        <w:t xml:space="preserve"> alkali-resistant mesh</w:t>
      </w:r>
    </w:p>
    <w:p>
      <w:pPr>
        <w:pStyle w:val="24"/>
        <w:rPr>
          <w:color w:val="000000" w:themeColor="text1"/>
          <w14:textFill>
            <w14:solidFill>
              <w14:schemeClr w14:val="tx1"/>
            </w14:solidFill>
          </w14:textFill>
        </w:rPr>
      </w:pPr>
      <w:r>
        <w:rPr>
          <w:rFonts w:hint="eastAsia"/>
          <w:color w:val="000000" w:themeColor="text1"/>
          <w14:textFill>
            <w14:solidFill>
              <w14:schemeClr w14:val="tx1"/>
            </w14:solidFill>
          </w14:textFill>
        </w:rPr>
        <w:t>采用耐碱玻璃纤维、中碱玻璃纤维、无碱玻璃纤维或玄武岩纤维等无机纤维织造的具有较强耐碱性能的网格状织物，根据需要可采取有机材料涂覆处理。包括耐碱玻璃纤维网格布、中碱玻璃纤维网格布、无碱玻璃纤维网格布和玄武岩纤维网格布等。</w:t>
      </w:r>
    </w:p>
    <w:bookmarkEnd w:id="30"/>
    <w:bookmarkEnd w:id="40"/>
    <w:bookmarkEnd w:id="41"/>
    <w:bookmarkEnd w:id="42"/>
    <w:bookmarkEnd w:id="43"/>
    <w:bookmarkEnd w:id="44"/>
    <w:bookmarkEnd w:id="45"/>
    <w:bookmarkEnd w:id="46"/>
    <w:bookmarkEnd w:id="47"/>
    <w:bookmarkEnd w:id="48"/>
    <w:bookmarkEnd w:id="49"/>
    <w:bookmarkEnd w:id="50"/>
    <w:p>
      <w:pPr>
        <w:pStyle w:val="76"/>
        <w:spacing w:before="312" w:after="312"/>
        <w:rPr>
          <w:rFonts w:hAnsi="黑体"/>
          <w:bCs/>
          <w:color w:val="000000"/>
          <w:szCs w:val="21"/>
        </w:rPr>
      </w:pPr>
      <w:bookmarkStart w:id="52" w:name="_Toc532820957"/>
      <w:bookmarkStart w:id="53" w:name="_Toc532820829"/>
      <w:bookmarkStart w:id="54" w:name="_Toc462063257"/>
      <w:bookmarkStart w:id="55" w:name="_Toc406486353"/>
      <w:r>
        <w:rPr>
          <w:rFonts w:hint="eastAsia" w:hAnsi="黑体"/>
          <w:bCs/>
          <w:color w:val="000000"/>
          <w:szCs w:val="21"/>
        </w:rPr>
        <w:t>评价要求</w:t>
      </w:r>
      <w:bookmarkEnd w:id="52"/>
      <w:bookmarkEnd w:id="53"/>
      <w:bookmarkEnd w:id="54"/>
      <w:bookmarkEnd w:id="55"/>
    </w:p>
    <w:p>
      <w:pPr>
        <w:pStyle w:val="62"/>
        <w:spacing w:before="156" w:after="156"/>
        <w:rPr>
          <w:rFonts w:hAnsi="黑体"/>
          <w:bCs/>
          <w:color w:val="000000"/>
        </w:rPr>
      </w:pPr>
      <w:bookmarkStart w:id="56" w:name="_Toc459107153"/>
      <w:bookmarkStart w:id="57" w:name="_Toc22141"/>
      <w:bookmarkStart w:id="58" w:name="_Toc532820958"/>
      <w:bookmarkStart w:id="59" w:name="_Toc532820830"/>
      <w:bookmarkStart w:id="60" w:name="_Toc406486354"/>
      <w:bookmarkStart w:id="61" w:name="_Toc456611366"/>
      <w:bookmarkStart w:id="62" w:name="_Toc384816564"/>
      <w:bookmarkStart w:id="63" w:name="_Toc360632439"/>
      <w:bookmarkStart w:id="64" w:name="_Toc350864000"/>
      <w:bookmarkStart w:id="65" w:name="_Toc360436761"/>
      <w:bookmarkStart w:id="66" w:name="_Toc360436848"/>
      <w:bookmarkStart w:id="67" w:name="_Toc396134049"/>
      <w:bookmarkStart w:id="68" w:name="_Toc406486355"/>
      <w:r>
        <w:rPr>
          <w:rFonts w:hint="eastAsia" w:hAnsi="黑体"/>
          <w:bCs/>
          <w:color w:val="000000"/>
        </w:rPr>
        <w:t>一般要求</w:t>
      </w:r>
      <w:bookmarkEnd w:id="56"/>
      <w:bookmarkEnd w:id="57"/>
      <w:bookmarkEnd w:id="58"/>
      <w:bookmarkEnd w:id="59"/>
      <w:bookmarkEnd w:id="60"/>
      <w:bookmarkEnd w:id="61"/>
    </w:p>
    <w:p>
      <w:pPr>
        <w:pStyle w:val="61"/>
        <w:spacing w:before="156" w:after="156"/>
        <w:rPr>
          <w:rFonts w:ascii="Times New Roman" w:hAnsi="宋体" w:eastAsia="宋体"/>
          <w:bCs/>
          <w:color w:val="000000" w:themeColor="text1"/>
          <w14:textFill>
            <w14:solidFill>
              <w14:schemeClr w14:val="tx1"/>
            </w14:solidFill>
          </w14:textFill>
        </w:rPr>
      </w:pPr>
      <w:bookmarkStart w:id="69" w:name="_Toc436234466"/>
      <w:r>
        <w:rPr>
          <w:rFonts w:hint="eastAsia" w:ascii="Times New Roman" w:hAnsi="宋体" w:eastAsia="宋体"/>
          <w:bCs/>
          <w:color w:val="000000" w:themeColor="text1"/>
          <w14:textFill>
            <w14:solidFill>
              <w14:schemeClr w14:val="tx1"/>
            </w14:solidFill>
          </w14:textFill>
        </w:rPr>
        <w:t>产品生产</w:t>
      </w:r>
      <w:r>
        <w:rPr>
          <w:rFonts w:ascii="Times New Roman" w:hAnsi="宋体" w:eastAsia="宋体"/>
          <w:bCs/>
          <w:color w:val="000000" w:themeColor="text1"/>
          <w14:textFill>
            <w14:solidFill>
              <w14:schemeClr w14:val="tx1"/>
            </w14:solidFill>
          </w14:textFill>
        </w:rPr>
        <w:t>企业的污染物排放状况，应符合</w:t>
      </w:r>
      <w:r>
        <w:rPr>
          <w:rFonts w:hint="eastAsia" w:ascii="Times New Roman" w:hAnsi="宋体" w:eastAsia="宋体"/>
          <w:bCs/>
          <w:color w:val="000000" w:themeColor="text1"/>
          <w14:textFill>
            <w14:solidFill>
              <w14:schemeClr w14:val="tx1"/>
            </w14:solidFill>
          </w14:textFill>
        </w:rPr>
        <w:t>相关</w:t>
      </w:r>
      <w:r>
        <w:rPr>
          <w:rFonts w:ascii="Times New Roman" w:hAnsi="宋体" w:eastAsia="宋体"/>
          <w:bCs/>
          <w:color w:val="000000" w:themeColor="text1"/>
          <w14:textFill>
            <w14:solidFill>
              <w14:schemeClr w14:val="tx1"/>
            </w14:solidFill>
          </w14:textFill>
        </w:rPr>
        <w:t>环境保护法律法规，</w:t>
      </w:r>
      <w:r>
        <w:rPr>
          <w:rFonts w:hint="eastAsia" w:ascii="Times New Roman" w:hAnsi="宋体" w:eastAsia="宋体"/>
          <w:bCs/>
          <w:color w:val="000000" w:themeColor="text1"/>
          <w14:textFill>
            <w14:solidFill>
              <w14:schemeClr w14:val="tx1"/>
            </w14:solidFill>
          </w14:textFill>
        </w:rPr>
        <w:t>达到国家</w:t>
      </w:r>
      <w:r>
        <w:rPr>
          <w:rFonts w:ascii="Times New Roman" w:hAnsi="宋体" w:eastAsia="宋体"/>
          <w:bCs/>
          <w:color w:val="000000" w:themeColor="text1"/>
          <w14:textFill>
            <w14:solidFill>
              <w14:schemeClr w14:val="tx1"/>
            </w14:solidFill>
          </w14:textFill>
        </w:rPr>
        <w:t>或地方污染物排放标准</w:t>
      </w:r>
      <w:r>
        <w:rPr>
          <w:rFonts w:hint="eastAsia" w:ascii="Times New Roman" w:hAnsi="宋体" w:eastAsia="宋体"/>
          <w:bCs/>
          <w:color w:val="000000" w:themeColor="text1"/>
          <w14:textFill>
            <w14:solidFill>
              <w14:schemeClr w14:val="tx1"/>
            </w14:solidFill>
          </w14:textFill>
        </w:rPr>
        <w:t>的</w:t>
      </w:r>
      <w:r>
        <w:rPr>
          <w:rFonts w:ascii="Times New Roman" w:hAnsi="宋体" w:eastAsia="宋体"/>
          <w:bCs/>
          <w:color w:val="000000" w:themeColor="text1"/>
          <w14:textFill>
            <w14:solidFill>
              <w14:schemeClr w14:val="tx1"/>
            </w14:solidFill>
          </w14:textFill>
        </w:rPr>
        <w:t>要求，</w:t>
      </w:r>
      <w:r>
        <w:rPr>
          <w:rFonts w:hint="eastAsia" w:ascii="Times New Roman" w:hAnsi="宋体" w:eastAsia="宋体"/>
          <w:bCs/>
          <w:color w:val="000000" w:themeColor="text1"/>
          <w14:textFill>
            <w14:solidFill>
              <w14:schemeClr w14:val="tx1"/>
            </w14:solidFill>
          </w14:textFill>
        </w:rPr>
        <w:t>且生产企业近三年无重大环境污染事件和重大安全事故。</w:t>
      </w:r>
    </w:p>
    <w:p>
      <w:pPr>
        <w:pStyle w:val="61"/>
        <w:spacing w:before="156" w:after="156"/>
        <w:rPr>
          <w:rFonts w:ascii="Times New Roman" w:hAnsi="宋体" w:eastAsia="宋体"/>
          <w:bCs/>
          <w:color w:val="000000"/>
        </w:rPr>
      </w:pPr>
      <w:r>
        <w:rPr>
          <w:rFonts w:hint="eastAsia" w:ascii="Times New Roman" w:hAnsi="宋体" w:eastAsia="宋体"/>
          <w:bCs/>
          <w:color w:val="000000"/>
        </w:rPr>
        <w:t>一般固体废弃物的收集、贮存、处置应符合</w:t>
      </w:r>
      <w:r>
        <w:rPr>
          <w:rFonts w:ascii="Times New Roman" w:hAnsi="宋体" w:eastAsia="宋体"/>
          <w:bCs/>
          <w:color w:val="000000"/>
        </w:rPr>
        <w:t>GB 18599</w:t>
      </w:r>
      <w:r>
        <w:rPr>
          <w:rFonts w:hint="eastAsia" w:ascii="Times New Roman" w:hAnsi="宋体" w:eastAsia="宋体"/>
          <w:bCs/>
          <w:color w:val="000000"/>
        </w:rPr>
        <w:t>的相关规定。危险废物的贮存应符合</w:t>
      </w:r>
      <w:r>
        <w:rPr>
          <w:rFonts w:ascii="Times New Roman" w:hAnsi="宋体" w:eastAsia="宋体"/>
          <w:bCs/>
          <w:color w:val="000000"/>
        </w:rPr>
        <w:t>GB 18597</w:t>
      </w:r>
      <w:r>
        <w:rPr>
          <w:rFonts w:hint="eastAsia" w:ascii="Times New Roman" w:hAnsi="宋体" w:eastAsia="宋体"/>
          <w:bCs/>
          <w:color w:val="000000"/>
        </w:rPr>
        <w:t>的相关规定，后续应交付持有危险废物经营许可证的单位处置。</w:t>
      </w:r>
    </w:p>
    <w:p>
      <w:pPr>
        <w:pStyle w:val="61"/>
        <w:spacing w:before="156" w:after="156"/>
      </w:pPr>
      <w:r>
        <w:rPr>
          <w:rFonts w:hint="eastAsia" w:ascii="Times New Roman" w:hAnsi="宋体" w:eastAsia="宋体"/>
          <w:bCs/>
          <w:color w:val="000000" w:themeColor="text1"/>
          <w14:textFill>
            <w14:solidFill>
              <w14:schemeClr w14:val="tx1"/>
            </w14:solidFill>
          </w14:textFill>
        </w:rPr>
        <w:t>生产企业应采用国家鼓励的先进技术工艺，不应使用国家或有关部门发布的淘汰或禁止的技术、工艺、装备及相关物质。</w:t>
      </w:r>
    </w:p>
    <w:p>
      <w:pPr>
        <w:pStyle w:val="61"/>
        <w:spacing w:before="156" w:after="156"/>
        <w:rPr>
          <w:rFonts w:ascii="Times New Roman" w:hAnsi="宋体" w:eastAsia="宋体"/>
          <w:bCs/>
          <w:color w:val="000000"/>
        </w:rPr>
      </w:pPr>
      <w:r>
        <w:rPr>
          <w:rFonts w:hint="eastAsia" w:ascii="Times New Roman" w:hAnsi="宋体" w:eastAsia="宋体"/>
          <w:bCs/>
          <w:color w:val="000000"/>
        </w:rPr>
        <w:t>生产企业应按照</w:t>
      </w:r>
      <w:r>
        <w:rPr>
          <w:rFonts w:ascii="Times New Roman" w:hAnsi="宋体" w:eastAsia="宋体"/>
          <w:bCs/>
          <w:color w:val="000000"/>
        </w:rPr>
        <w:t>GB/T 19001</w:t>
      </w:r>
      <w:r>
        <w:rPr>
          <w:rFonts w:hint="eastAsia" w:ascii="Times New Roman" w:hAnsi="宋体" w:eastAsia="宋体"/>
          <w:bCs/>
          <w:color w:val="000000"/>
        </w:rPr>
        <w:t>、</w:t>
      </w:r>
      <w:r>
        <w:rPr>
          <w:rFonts w:ascii="Times New Roman" w:hAnsi="宋体" w:eastAsia="宋体"/>
          <w:bCs/>
          <w:color w:val="000000"/>
        </w:rPr>
        <w:t>GB/T 24001和</w:t>
      </w:r>
      <w:r>
        <w:rPr>
          <w:rFonts w:hint="eastAsia" w:ascii="Times New Roman" w:hAnsi="宋体" w:eastAsia="宋体"/>
          <w:bCs/>
          <w:color w:val="000000"/>
        </w:rPr>
        <w:t>GB/T 45001的规定分别建立质量管理体系、环境管理体系和职业安全健康管理体系。</w:t>
      </w:r>
    </w:p>
    <w:p>
      <w:pPr>
        <w:pStyle w:val="61"/>
        <w:spacing w:before="156" w:after="156"/>
        <w:rPr>
          <w:rFonts w:ascii="Times New Roman" w:hAnsi="宋体" w:eastAsia="宋体"/>
          <w:bCs/>
          <w:color w:val="000000"/>
        </w:rPr>
      </w:pPr>
      <w:r>
        <w:rPr>
          <w:rFonts w:hint="eastAsia" w:ascii="Times New Roman" w:hAnsi="宋体" w:eastAsia="宋体"/>
          <w:bCs/>
          <w:color w:val="000000"/>
        </w:rPr>
        <w:t>产品基本性能应符合JC/T 561.2、</w:t>
      </w:r>
      <w:r>
        <w:rPr>
          <w:rFonts w:ascii="Times New Roman" w:hAnsi="宋体" w:eastAsia="宋体"/>
          <w:bCs/>
          <w:color w:val="000000"/>
        </w:rPr>
        <w:t>JC/T 841</w:t>
      </w:r>
      <w:r>
        <w:rPr>
          <w:rFonts w:hint="eastAsia" w:ascii="Times New Roman" w:hAnsi="宋体" w:eastAsia="宋体"/>
          <w:bCs/>
          <w:color w:val="000000"/>
        </w:rPr>
        <w:t>等现行标准的要求。</w:t>
      </w:r>
    </w:p>
    <w:bookmarkEnd w:id="69"/>
    <w:p>
      <w:pPr>
        <w:pStyle w:val="62"/>
        <w:spacing w:before="156" w:after="156"/>
        <w:rPr>
          <w:color w:val="000000"/>
        </w:rPr>
      </w:pPr>
      <w:bookmarkStart w:id="70" w:name="_Toc532820959"/>
      <w:bookmarkStart w:id="71" w:name="_Toc462063260"/>
      <w:bookmarkStart w:id="72" w:name="_Toc532820831"/>
      <w:bookmarkStart w:id="73" w:name="_Toc31135"/>
      <w:r>
        <w:rPr>
          <w:rFonts w:hint="eastAsia"/>
          <w:color w:val="000000"/>
        </w:rPr>
        <w:t>评价指标要求</w:t>
      </w:r>
      <w:bookmarkEnd w:id="62"/>
      <w:bookmarkEnd w:id="63"/>
      <w:bookmarkEnd w:id="64"/>
      <w:bookmarkEnd w:id="65"/>
      <w:bookmarkEnd w:id="66"/>
      <w:bookmarkEnd w:id="67"/>
      <w:bookmarkEnd w:id="68"/>
      <w:bookmarkEnd w:id="70"/>
      <w:bookmarkEnd w:id="71"/>
      <w:bookmarkEnd w:id="72"/>
      <w:bookmarkEnd w:id="73"/>
    </w:p>
    <w:p>
      <w:pPr>
        <w:pStyle w:val="24"/>
        <w:rPr>
          <w:rFonts w:ascii="Times New Roman"/>
        </w:rPr>
      </w:pPr>
      <w:r>
        <w:rPr>
          <w:rFonts w:hint="eastAsia" w:ascii="Times New Roman"/>
        </w:rPr>
        <w:t>耐碱网格布的评价指标包括资源属性指标、环境属性指标和品质属性指标。指标体系由一级指标和二级指标组成，</w:t>
      </w:r>
      <w:r>
        <w:rPr>
          <w:rFonts w:ascii="Times New Roman"/>
        </w:rPr>
        <w:t>评价指标见表1</w:t>
      </w:r>
      <w:r>
        <w:rPr>
          <w:rFonts w:hint="eastAsia" w:ascii="Times New Roman"/>
        </w:rPr>
        <w:t>。</w:t>
      </w:r>
    </w:p>
    <w:p>
      <w:pPr>
        <w:pStyle w:val="24"/>
        <w:rPr>
          <w:rFonts w:ascii="Times New Roman"/>
          <w:color w:val="FF0000"/>
        </w:rPr>
      </w:pPr>
    </w:p>
    <w:p>
      <w:pPr>
        <w:pStyle w:val="24"/>
        <w:rPr>
          <w:rFonts w:ascii="Times New Roman"/>
          <w:color w:val="FF0000"/>
        </w:rPr>
      </w:pPr>
    </w:p>
    <w:p>
      <w:pPr>
        <w:pStyle w:val="24"/>
        <w:rPr>
          <w:rFonts w:ascii="Times New Roman"/>
          <w:color w:val="FF0000"/>
        </w:rPr>
      </w:pPr>
    </w:p>
    <w:p>
      <w:pPr>
        <w:pStyle w:val="24"/>
        <w:rPr>
          <w:rFonts w:ascii="Times New Roman"/>
          <w:color w:val="FF0000"/>
        </w:rPr>
      </w:pPr>
    </w:p>
    <w:p>
      <w:pPr>
        <w:pStyle w:val="76"/>
        <w:numPr>
          <w:ilvl w:val="0"/>
          <w:numId w:val="0"/>
        </w:numPr>
        <w:spacing w:before="156" w:beforeLines="50" w:after="156" w:afterLines="50"/>
        <w:jc w:val="center"/>
        <w:outlineLvl w:val="9"/>
        <w:rPr>
          <w:rFonts w:ascii="Times New Roman"/>
        </w:rPr>
      </w:pPr>
      <w:r>
        <w:rPr>
          <w:rFonts w:hint="eastAsia" w:ascii="Times New Roman"/>
        </w:rPr>
        <w:t>表</w:t>
      </w:r>
      <w:r>
        <w:rPr>
          <w:rFonts w:ascii="Times New Roman"/>
        </w:rPr>
        <w:t>1</w:t>
      </w:r>
      <w:r>
        <w:rPr>
          <w:rFonts w:hint="eastAsia" w:ascii="Times New Roman"/>
        </w:rPr>
        <w:t>耐碱网格布评价指标要求</w:t>
      </w:r>
    </w:p>
    <w:tbl>
      <w:tblPr>
        <w:tblStyle w:val="33"/>
        <w:tblW w:w="5401"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79"/>
        <w:gridCol w:w="2151"/>
        <w:gridCol w:w="990"/>
        <w:gridCol w:w="1662"/>
        <w:gridCol w:w="62"/>
        <w:gridCol w:w="1598"/>
        <w:gridCol w:w="35"/>
        <w:gridCol w:w="1631"/>
        <w:gridCol w:w="12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473" w:type="pct"/>
            <w:vMerge w:val="restart"/>
            <w:noWrap/>
            <w:vAlign w:val="center"/>
          </w:tcPr>
          <w:p>
            <w:pPr>
              <w:widowControl/>
              <w:jc w:val="center"/>
              <w:rPr>
                <w:color w:val="000000"/>
                <w:kern w:val="0"/>
                <w:sz w:val="18"/>
                <w:szCs w:val="18"/>
              </w:rPr>
            </w:pPr>
            <w:r>
              <w:rPr>
                <w:color w:val="000000"/>
                <w:kern w:val="0"/>
                <w:sz w:val="18"/>
                <w:szCs w:val="18"/>
              </w:rPr>
              <w:t>一级指标</w:t>
            </w:r>
          </w:p>
        </w:tc>
        <w:tc>
          <w:tcPr>
            <w:tcW w:w="1040" w:type="pct"/>
            <w:vMerge w:val="restart"/>
            <w:noWrap/>
            <w:vAlign w:val="center"/>
          </w:tcPr>
          <w:p>
            <w:pPr>
              <w:widowControl/>
              <w:jc w:val="center"/>
              <w:rPr>
                <w:color w:val="000000"/>
                <w:kern w:val="0"/>
                <w:sz w:val="18"/>
                <w:szCs w:val="18"/>
              </w:rPr>
            </w:pPr>
            <w:r>
              <w:rPr>
                <w:color w:val="000000"/>
                <w:kern w:val="0"/>
                <w:sz w:val="18"/>
                <w:szCs w:val="18"/>
              </w:rPr>
              <w:t>二级指标</w:t>
            </w:r>
          </w:p>
        </w:tc>
        <w:tc>
          <w:tcPr>
            <w:tcW w:w="479" w:type="pct"/>
            <w:vMerge w:val="restart"/>
            <w:noWrap/>
            <w:vAlign w:val="center"/>
          </w:tcPr>
          <w:p>
            <w:pPr>
              <w:widowControl/>
              <w:jc w:val="center"/>
              <w:rPr>
                <w:color w:val="000000"/>
                <w:kern w:val="0"/>
                <w:sz w:val="18"/>
                <w:szCs w:val="18"/>
              </w:rPr>
            </w:pPr>
            <w:r>
              <w:rPr>
                <w:color w:val="000000"/>
                <w:kern w:val="0"/>
                <w:sz w:val="18"/>
                <w:szCs w:val="18"/>
              </w:rPr>
              <w:t>单位</w:t>
            </w:r>
          </w:p>
        </w:tc>
        <w:tc>
          <w:tcPr>
            <w:tcW w:w="2412" w:type="pct"/>
            <w:gridSpan w:val="5"/>
            <w:noWrap/>
            <w:vAlign w:val="center"/>
          </w:tcPr>
          <w:p>
            <w:pPr>
              <w:widowControl/>
              <w:jc w:val="center"/>
              <w:rPr>
                <w:color w:val="000000"/>
                <w:kern w:val="0"/>
                <w:sz w:val="18"/>
                <w:szCs w:val="18"/>
              </w:rPr>
            </w:pPr>
            <w:r>
              <w:rPr>
                <w:color w:val="000000"/>
                <w:kern w:val="0"/>
                <w:sz w:val="18"/>
                <w:szCs w:val="18"/>
              </w:rPr>
              <w:t>基准值</w:t>
            </w:r>
          </w:p>
        </w:tc>
        <w:tc>
          <w:tcPr>
            <w:tcW w:w="595" w:type="pct"/>
            <w:vMerge w:val="restart"/>
            <w:vAlign w:val="center"/>
          </w:tcPr>
          <w:p>
            <w:pPr>
              <w:widowControl/>
              <w:jc w:val="center"/>
              <w:rPr>
                <w:color w:val="000000"/>
                <w:kern w:val="0"/>
                <w:sz w:val="18"/>
                <w:szCs w:val="18"/>
              </w:rPr>
            </w:pPr>
            <w:r>
              <w:rPr>
                <w:color w:val="000000"/>
                <w:kern w:val="0"/>
                <w:sz w:val="18"/>
                <w:szCs w:val="18"/>
              </w:rPr>
              <w:t>评价依据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473" w:type="pct"/>
            <w:vMerge w:val="continue"/>
            <w:noWrap/>
            <w:vAlign w:val="center"/>
          </w:tcPr>
          <w:p>
            <w:pPr>
              <w:widowControl/>
              <w:jc w:val="center"/>
              <w:rPr>
                <w:color w:val="000000"/>
                <w:kern w:val="0"/>
                <w:sz w:val="18"/>
                <w:szCs w:val="18"/>
              </w:rPr>
            </w:pPr>
          </w:p>
        </w:tc>
        <w:tc>
          <w:tcPr>
            <w:tcW w:w="1040" w:type="pct"/>
            <w:vMerge w:val="continue"/>
            <w:noWrap/>
            <w:vAlign w:val="center"/>
          </w:tcPr>
          <w:p>
            <w:pPr>
              <w:widowControl/>
              <w:jc w:val="center"/>
              <w:rPr>
                <w:color w:val="000000"/>
                <w:kern w:val="0"/>
                <w:sz w:val="18"/>
                <w:szCs w:val="18"/>
              </w:rPr>
            </w:pPr>
          </w:p>
        </w:tc>
        <w:tc>
          <w:tcPr>
            <w:tcW w:w="479" w:type="pct"/>
            <w:vMerge w:val="continue"/>
            <w:noWrap/>
            <w:vAlign w:val="center"/>
          </w:tcPr>
          <w:p>
            <w:pPr>
              <w:widowControl/>
              <w:jc w:val="center"/>
              <w:rPr>
                <w:color w:val="000000"/>
                <w:kern w:val="0"/>
                <w:sz w:val="18"/>
                <w:szCs w:val="18"/>
              </w:rPr>
            </w:pPr>
          </w:p>
        </w:tc>
        <w:tc>
          <w:tcPr>
            <w:tcW w:w="804" w:type="pct"/>
            <w:noWrap/>
            <w:vAlign w:val="center"/>
          </w:tcPr>
          <w:p>
            <w:pPr>
              <w:widowControl/>
              <w:jc w:val="center"/>
              <w:rPr>
                <w:color w:val="000000"/>
                <w:kern w:val="0"/>
                <w:sz w:val="18"/>
                <w:szCs w:val="18"/>
              </w:rPr>
            </w:pPr>
            <w:r>
              <w:rPr>
                <w:color w:val="000000"/>
                <w:kern w:val="0"/>
                <w:sz w:val="18"/>
                <w:szCs w:val="18"/>
              </w:rPr>
              <w:t>一星级</w:t>
            </w:r>
          </w:p>
        </w:tc>
        <w:tc>
          <w:tcPr>
            <w:tcW w:w="803" w:type="pct"/>
            <w:gridSpan w:val="2"/>
            <w:vAlign w:val="center"/>
          </w:tcPr>
          <w:p>
            <w:pPr>
              <w:widowControl/>
              <w:jc w:val="center"/>
              <w:rPr>
                <w:color w:val="000000"/>
                <w:kern w:val="0"/>
                <w:sz w:val="18"/>
                <w:szCs w:val="18"/>
              </w:rPr>
            </w:pPr>
            <w:r>
              <w:rPr>
                <w:color w:val="000000"/>
                <w:kern w:val="0"/>
                <w:sz w:val="18"/>
                <w:szCs w:val="18"/>
              </w:rPr>
              <w:t>二星级</w:t>
            </w:r>
          </w:p>
        </w:tc>
        <w:tc>
          <w:tcPr>
            <w:tcW w:w="806" w:type="pct"/>
            <w:gridSpan w:val="2"/>
            <w:vAlign w:val="center"/>
          </w:tcPr>
          <w:p>
            <w:pPr>
              <w:widowControl/>
              <w:jc w:val="center"/>
              <w:rPr>
                <w:color w:val="000000"/>
                <w:kern w:val="0"/>
                <w:sz w:val="18"/>
                <w:szCs w:val="18"/>
              </w:rPr>
            </w:pPr>
            <w:r>
              <w:rPr>
                <w:color w:val="000000"/>
                <w:kern w:val="0"/>
                <w:sz w:val="18"/>
                <w:szCs w:val="18"/>
              </w:rPr>
              <w:t>三星级</w:t>
            </w:r>
          </w:p>
        </w:tc>
        <w:tc>
          <w:tcPr>
            <w:tcW w:w="595" w:type="pct"/>
            <w:vMerge w:val="continue"/>
          </w:tcPr>
          <w:p>
            <w:pPr>
              <w:widowControl/>
              <w:jc w:val="center"/>
              <w:rPr>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473" w:type="pct"/>
            <w:noWrap/>
            <w:vAlign w:val="center"/>
          </w:tcPr>
          <w:p>
            <w:pPr>
              <w:jc w:val="center"/>
              <w:rPr>
                <w:color w:val="000000"/>
                <w:kern w:val="0"/>
                <w:sz w:val="18"/>
                <w:szCs w:val="18"/>
              </w:rPr>
            </w:pPr>
            <w:r>
              <w:rPr>
                <w:color w:val="000000"/>
                <w:kern w:val="0"/>
                <w:sz w:val="18"/>
                <w:szCs w:val="18"/>
              </w:rPr>
              <w:t>资源属性</w:t>
            </w:r>
          </w:p>
        </w:tc>
        <w:tc>
          <w:tcPr>
            <w:tcW w:w="1040" w:type="pct"/>
            <w:noWrap/>
            <w:vAlign w:val="center"/>
          </w:tcPr>
          <w:p>
            <w:pPr>
              <w:widowControl/>
              <w:jc w:val="center"/>
              <w:rPr>
                <w:color w:val="000000" w:themeColor="text1"/>
                <w:kern w:val="0"/>
                <w:sz w:val="18"/>
                <w:szCs w:val="18"/>
                <w14:textFill>
                  <w14:solidFill>
                    <w14:schemeClr w14:val="tx1"/>
                  </w14:solidFill>
                </w14:textFill>
              </w:rPr>
            </w:pPr>
            <w:r>
              <w:rPr>
                <w:color w:val="000000" w:themeColor="text1"/>
                <w:kern w:val="0"/>
                <w:sz w:val="18"/>
                <w:szCs w:val="18"/>
                <w14:textFill>
                  <w14:solidFill>
                    <w14:schemeClr w14:val="tx1"/>
                  </w14:solidFill>
                </w14:textFill>
              </w:rPr>
              <w:t>原料纱</w:t>
            </w:r>
          </w:p>
        </w:tc>
        <w:tc>
          <w:tcPr>
            <w:tcW w:w="479" w:type="pct"/>
            <w:noWrap/>
            <w:vAlign w:val="center"/>
          </w:tcPr>
          <w:p>
            <w:pPr>
              <w:widowControl/>
              <w:jc w:val="center"/>
              <w:rPr>
                <w:color w:val="000000" w:themeColor="text1"/>
                <w:kern w:val="0"/>
                <w:sz w:val="18"/>
                <w:szCs w:val="18"/>
                <w14:textFill>
                  <w14:solidFill>
                    <w14:schemeClr w14:val="tx1"/>
                  </w14:solidFill>
                </w14:textFill>
              </w:rPr>
            </w:pPr>
            <w:r>
              <w:rPr>
                <w:color w:val="000000" w:themeColor="text1"/>
                <w:kern w:val="0"/>
                <w:sz w:val="18"/>
                <w:szCs w:val="18"/>
                <w14:textFill>
                  <w14:solidFill>
                    <w14:schemeClr w14:val="tx1"/>
                  </w14:solidFill>
                </w14:textFill>
              </w:rPr>
              <w:t>—</w:t>
            </w:r>
          </w:p>
        </w:tc>
        <w:tc>
          <w:tcPr>
            <w:tcW w:w="2412" w:type="pct"/>
            <w:gridSpan w:val="5"/>
            <w:noWrap/>
            <w:vAlign w:val="center"/>
          </w:tcPr>
          <w:p>
            <w:pPr>
              <w:widowControl/>
              <w:jc w:val="center"/>
              <w:rPr>
                <w:color w:val="000000" w:themeColor="text1"/>
                <w:kern w:val="0"/>
                <w:sz w:val="18"/>
                <w:szCs w:val="18"/>
                <w14:textFill>
                  <w14:solidFill>
                    <w14:schemeClr w14:val="tx1"/>
                  </w14:solidFill>
                </w14:textFill>
              </w:rPr>
            </w:pPr>
            <w:r>
              <w:rPr>
                <w:color w:val="000000" w:themeColor="text1"/>
                <w:kern w:val="0"/>
                <w:sz w:val="18"/>
                <w:szCs w:val="18"/>
                <w14:textFill>
                  <w14:solidFill>
                    <w14:schemeClr w14:val="tx1"/>
                  </w14:solidFill>
                </w14:textFill>
              </w:rPr>
              <w:t>不得使用玻璃纤维陶土坩埚拉丝生产工艺与装备生产的原料纱，且原料纱的碱金属氧化物含量不应大于12.4%。</w:t>
            </w:r>
          </w:p>
        </w:tc>
        <w:tc>
          <w:tcPr>
            <w:tcW w:w="595" w:type="pct"/>
          </w:tcPr>
          <w:p>
            <w:pPr>
              <w:jc w:val="center"/>
              <w:rPr>
                <w:color w:val="000000" w:themeColor="text1"/>
                <w:kern w:val="0"/>
                <w:sz w:val="18"/>
                <w:szCs w:val="18"/>
                <w14:textFill>
                  <w14:solidFill>
                    <w14:schemeClr w14:val="tx1"/>
                  </w14:solidFill>
                </w14:textFill>
              </w:rPr>
            </w:pPr>
            <w:r>
              <w:rPr>
                <w:rFonts w:hint="eastAsia"/>
                <w:color w:val="000000" w:themeColor="text1"/>
                <w:kern w:val="0"/>
                <w:sz w:val="18"/>
                <w:szCs w:val="18"/>
                <w14:textFill>
                  <w14:solidFill>
                    <w14:schemeClr w14:val="tx1"/>
                  </w14:solidFill>
                </w14:textFill>
              </w:rPr>
              <w:t>现场核查并按照</w:t>
            </w:r>
            <w:r>
              <w:rPr>
                <w:color w:val="000000" w:themeColor="text1"/>
                <w:kern w:val="0"/>
                <w:sz w:val="18"/>
                <w:szCs w:val="18"/>
                <w14:textFill>
                  <w14:solidFill>
                    <w14:schemeClr w14:val="tx1"/>
                  </w14:solidFill>
                </w14:textFill>
              </w:rPr>
              <w:t>GB/T 1549提供证明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9" w:hRule="atLeast"/>
          <w:jc w:val="center"/>
        </w:trPr>
        <w:tc>
          <w:tcPr>
            <w:tcW w:w="473" w:type="pct"/>
            <w:vMerge w:val="restart"/>
            <w:noWrap/>
            <w:vAlign w:val="center"/>
          </w:tcPr>
          <w:p>
            <w:pPr>
              <w:jc w:val="center"/>
              <w:rPr>
                <w:color w:val="000000"/>
                <w:kern w:val="0"/>
                <w:sz w:val="18"/>
                <w:szCs w:val="18"/>
              </w:rPr>
            </w:pPr>
            <w:r>
              <w:rPr>
                <w:color w:val="000000"/>
                <w:kern w:val="0"/>
                <w:sz w:val="18"/>
                <w:szCs w:val="18"/>
              </w:rPr>
              <w:t>环境属性</w:t>
            </w:r>
          </w:p>
        </w:tc>
        <w:tc>
          <w:tcPr>
            <w:tcW w:w="1040" w:type="pct"/>
            <w:noWrap/>
            <w:vAlign w:val="center"/>
          </w:tcPr>
          <w:p>
            <w:pPr>
              <w:jc w:val="center"/>
              <w:rPr>
                <w:color w:val="000000" w:themeColor="text1"/>
                <w:kern w:val="0"/>
                <w:sz w:val="18"/>
                <w:szCs w:val="18"/>
                <w14:textFill>
                  <w14:solidFill>
                    <w14:schemeClr w14:val="tx1"/>
                  </w14:solidFill>
                </w14:textFill>
              </w:rPr>
            </w:pPr>
            <w:r>
              <w:rPr>
                <w:color w:val="000000" w:themeColor="text1"/>
                <w:sz w:val="18"/>
                <w:szCs w:val="18"/>
                <w14:textFill>
                  <w14:solidFill>
                    <w14:schemeClr w14:val="tx1"/>
                  </w14:solidFill>
                </w14:textFill>
              </w:rPr>
              <w:t>生产废料综合处置率</w:t>
            </w:r>
          </w:p>
        </w:tc>
        <w:tc>
          <w:tcPr>
            <w:tcW w:w="479" w:type="pct"/>
            <w:noWrap/>
            <w:vAlign w:val="center"/>
          </w:tcPr>
          <w:p>
            <w:pPr>
              <w:widowControl/>
              <w:tabs>
                <w:tab w:val="center" w:pos="4201"/>
                <w:tab w:val="right" w:leader="dot" w:pos="9298"/>
              </w:tabs>
              <w:autoSpaceDE w:val="0"/>
              <w:autoSpaceDN w:val="0"/>
              <w:jc w:val="center"/>
              <w:rPr>
                <w:color w:val="000000" w:themeColor="text1"/>
                <w:kern w:val="0"/>
                <w:sz w:val="18"/>
                <w:szCs w:val="18"/>
                <w14:textFill>
                  <w14:solidFill>
                    <w14:schemeClr w14:val="tx1"/>
                  </w14:solidFill>
                </w14:textFill>
              </w:rPr>
            </w:pPr>
            <w:r>
              <w:rPr>
                <w:color w:val="000000" w:themeColor="text1"/>
                <w:kern w:val="0"/>
                <w:sz w:val="18"/>
                <w:szCs w:val="18"/>
                <w14:textFill>
                  <w14:solidFill>
                    <w14:schemeClr w14:val="tx1"/>
                  </w14:solidFill>
                </w14:textFill>
              </w:rPr>
              <w:t>%</w:t>
            </w:r>
          </w:p>
        </w:tc>
        <w:tc>
          <w:tcPr>
            <w:tcW w:w="834" w:type="pct"/>
            <w:gridSpan w:val="2"/>
            <w:noWrap/>
            <w:vAlign w:val="center"/>
          </w:tcPr>
          <w:p>
            <w:pPr>
              <w:jc w:val="center"/>
              <w:rPr>
                <w:color w:val="000000" w:themeColor="text1"/>
                <w:kern w:val="0"/>
                <w:sz w:val="18"/>
                <w:szCs w:val="18"/>
                <w14:textFill>
                  <w14:solidFill>
                    <w14:schemeClr w14:val="tx1"/>
                  </w14:solidFill>
                </w14:textFill>
              </w:rPr>
            </w:pPr>
            <w:r>
              <w:rPr>
                <w:color w:val="000000" w:themeColor="text1"/>
                <w:kern w:val="0"/>
                <w:sz w:val="18"/>
                <w:szCs w:val="18"/>
                <w14:textFill>
                  <w14:solidFill>
                    <w14:schemeClr w14:val="tx1"/>
                  </w14:solidFill>
                </w14:textFill>
              </w:rPr>
              <w:t>≥95</w:t>
            </w:r>
          </w:p>
        </w:tc>
        <w:tc>
          <w:tcPr>
            <w:tcW w:w="1579" w:type="pct"/>
            <w:gridSpan w:val="3"/>
            <w:vAlign w:val="center"/>
          </w:tcPr>
          <w:p>
            <w:pPr>
              <w:jc w:val="center"/>
              <w:rPr>
                <w:color w:val="000000" w:themeColor="text1"/>
                <w:kern w:val="0"/>
                <w:sz w:val="18"/>
                <w:szCs w:val="18"/>
                <w14:textFill>
                  <w14:solidFill>
                    <w14:schemeClr w14:val="tx1"/>
                  </w14:solidFill>
                </w14:textFill>
              </w:rPr>
            </w:pPr>
            <w:r>
              <w:rPr>
                <w:color w:val="000000" w:themeColor="text1"/>
                <w:kern w:val="0"/>
                <w:sz w:val="18"/>
                <w:szCs w:val="18"/>
                <w14:textFill>
                  <w14:solidFill>
                    <w14:schemeClr w14:val="tx1"/>
                  </w14:solidFill>
                </w14:textFill>
              </w:rPr>
              <w:t>100</w:t>
            </w:r>
          </w:p>
        </w:tc>
        <w:tc>
          <w:tcPr>
            <w:tcW w:w="595" w:type="pct"/>
            <w:vAlign w:val="center"/>
          </w:tcPr>
          <w:p>
            <w:pPr>
              <w:jc w:val="center"/>
              <w:rPr>
                <w:color w:val="000000" w:themeColor="text1"/>
                <w:kern w:val="0"/>
                <w:sz w:val="18"/>
                <w:szCs w:val="18"/>
                <w14:textFill>
                  <w14:solidFill>
                    <w14:schemeClr w14:val="tx1"/>
                  </w14:solidFill>
                </w14:textFill>
              </w:rPr>
            </w:pPr>
            <w:r>
              <w:rPr>
                <w:color w:val="000000" w:themeColor="text1"/>
                <w:kern w:val="0"/>
                <w:sz w:val="18"/>
                <w:szCs w:val="18"/>
                <w14:textFill>
                  <w14:solidFill>
                    <w14:schemeClr w14:val="tx1"/>
                  </w14:solidFill>
                </w14:textFill>
              </w:rPr>
              <w:t xml:space="preserve">附录A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7" w:hRule="atLeast"/>
          <w:jc w:val="center"/>
        </w:trPr>
        <w:tc>
          <w:tcPr>
            <w:tcW w:w="473" w:type="pct"/>
            <w:vMerge w:val="continue"/>
            <w:noWrap/>
            <w:vAlign w:val="center"/>
          </w:tcPr>
          <w:p>
            <w:pPr>
              <w:jc w:val="center"/>
              <w:rPr>
                <w:color w:val="000000"/>
                <w:kern w:val="0"/>
                <w:sz w:val="18"/>
                <w:szCs w:val="18"/>
              </w:rPr>
            </w:pPr>
          </w:p>
        </w:tc>
        <w:tc>
          <w:tcPr>
            <w:tcW w:w="1040" w:type="pct"/>
            <w:noWrap/>
            <w:vAlign w:val="center"/>
          </w:tcPr>
          <w:p>
            <w:pPr>
              <w:jc w:val="center"/>
              <w:rPr>
                <w:color w:val="000000" w:themeColor="text1"/>
                <w:kern w:val="0"/>
                <w:sz w:val="18"/>
                <w:szCs w:val="18"/>
                <w14:textFill>
                  <w14:solidFill>
                    <w14:schemeClr w14:val="tx1"/>
                  </w14:solidFill>
                </w14:textFill>
              </w:rPr>
            </w:pPr>
            <w:r>
              <w:rPr>
                <w:color w:val="000000" w:themeColor="text1"/>
                <w:kern w:val="0"/>
                <w:sz w:val="18"/>
                <w:szCs w:val="18"/>
                <w14:textFill>
                  <w14:solidFill>
                    <w14:schemeClr w14:val="tx1"/>
                  </w14:solidFill>
                </w14:textFill>
              </w:rPr>
              <w:t>废水排放</w:t>
            </w:r>
          </w:p>
        </w:tc>
        <w:tc>
          <w:tcPr>
            <w:tcW w:w="479" w:type="pct"/>
            <w:noWrap/>
            <w:vAlign w:val="center"/>
          </w:tcPr>
          <w:p>
            <w:pPr>
              <w:jc w:val="center"/>
              <w:rPr>
                <w:color w:val="000000" w:themeColor="text1"/>
                <w:kern w:val="0"/>
                <w:sz w:val="18"/>
                <w:szCs w:val="18"/>
                <w14:textFill>
                  <w14:solidFill>
                    <w14:schemeClr w14:val="tx1"/>
                  </w14:solidFill>
                </w14:textFill>
              </w:rPr>
            </w:pPr>
            <w:r>
              <w:rPr>
                <w:color w:val="000000" w:themeColor="text1"/>
                <w:kern w:val="0"/>
                <w:sz w:val="18"/>
                <w:szCs w:val="18"/>
                <w14:textFill>
                  <w14:solidFill>
                    <w14:schemeClr w14:val="tx1"/>
                  </w14:solidFill>
                </w14:textFill>
              </w:rPr>
              <w:t>—</w:t>
            </w:r>
          </w:p>
        </w:tc>
        <w:tc>
          <w:tcPr>
            <w:tcW w:w="834" w:type="pct"/>
            <w:gridSpan w:val="2"/>
            <w:noWrap/>
            <w:vAlign w:val="center"/>
          </w:tcPr>
          <w:p>
            <w:pPr>
              <w:jc w:val="center"/>
              <w:rPr>
                <w:color w:val="000000" w:themeColor="text1"/>
                <w:kern w:val="0"/>
                <w:sz w:val="18"/>
                <w:szCs w:val="18"/>
                <w14:textFill>
                  <w14:solidFill>
                    <w14:schemeClr w14:val="tx1"/>
                  </w14:solidFill>
                </w14:textFill>
              </w:rPr>
            </w:pPr>
            <w:r>
              <w:rPr>
                <w:color w:val="000000" w:themeColor="text1"/>
                <w:kern w:val="0"/>
                <w:sz w:val="18"/>
                <w:szCs w:val="18"/>
                <w14:textFill>
                  <w14:solidFill>
                    <w14:schemeClr w14:val="tx1"/>
                  </w14:solidFill>
                </w14:textFill>
              </w:rPr>
              <w:t>—</w:t>
            </w:r>
          </w:p>
        </w:tc>
        <w:tc>
          <w:tcPr>
            <w:tcW w:w="790" w:type="pct"/>
            <w:gridSpan w:val="2"/>
            <w:vAlign w:val="center"/>
          </w:tcPr>
          <w:p>
            <w:pPr>
              <w:jc w:val="center"/>
              <w:rPr>
                <w:color w:val="000000" w:themeColor="text1"/>
                <w:kern w:val="0"/>
                <w:sz w:val="18"/>
                <w:szCs w:val="18"/>
                <w14:textFill>
                  <w14:solidFill>
                    <w14:schemeClr w14:val="tx1"/>
                  </w14:solidFill>
                </w14:textFill>
              </w:rPr>
            </w:pPr>
            <w:r>
              <w:rPr>
                <w:color w:val="000000" w:themeColor="text1"/>
                <w:kern w:val="0"/>
                <w:sz w:val="18"/>
                <w:szCs w:val="18"/>
                <w14:textFill>
                  <w14:solidFill>
                    <w14:schemeClr w14:val="tx1"/>
                  </w14:solidFill>
                </w14:textFill>
              </w:rPr>
              <w:t>—</w:t>
            </w:r>
          </w:p>
        </w:tc>
        <w:tc>
          <w:tcPr>
            <w:tcW w:w="789" w:type="pct"/>
            <w:vAlign w:val="center"/>
          </w:tcPr>
          <w:p>
            <w:pPr>
              <w:jc w:val="center"/>
              <w:rPr>
                <w:color w:val="000000" w:themeColor="text1"/>
                <w:kern w:val="0"/>
                <w:sz w:val="18"/>
                <w:szCs w:val="18"/>
                <w14:textFill>
                  <w14:solidFill>
                    <w14:schemeClr w14:val="tx1"/>
                  </w14:solidFill>
                </w14:textFill>
              </w:rPr>
            </w:pPr>
            <w:r>
              <w:rPr>
                <w:color w:val="000000" w:themeColor="text1"/>
                <w:kern w:val="0"/>
                <w:sz w:val="18"/>
                <w:szCs w:val="18"/>
                <w14:textFill>
                  <w14:solidFill>
                    <w14:schemeClr w14:val="tx1"/>
                  </w14:solidFill>
                </w14:textFill>
              </w:rPr>
              <w:t>无废水外排，可循环利用</w:t>
            </w:r>
          </w:p>
        </w:tc>
        <w:tc>
          <w:tcPr>
            <w:tcW w:w="595" w:type="pct"/>
            <w:vAlign w:val="center"/>
          </w:tcPr>
          <w:p>
            <w:pPr>
              <w:jc w:val="center"/>
              <w:rPr>
                <w:color w:val="000000" w:themeColor="text1"/>
                <w:kern w:val="0"/>
                <w:sz w:val="18"/>
                <w:szCs w:val="18"/>
                <w14:textFill>
                  <w14:solidFill>
                    <w14:schemeClr w14:val="tx1"/>
                  </w14:solidFill>
                </w14:textFill>
              </w:rPr>
            </w:pPr>
            <w:r>
              <w:rPr>
                <w:color w:val="000000" w:themeColor="text1"/>
                <w:kern w:val="0"/>
                <w:sz w:val="18"/>
                <w:szCs w:val="18"/>
                <w14:textFill>
                  <w14:solidFill>
                    <w14:schemeClr w14:val="tx1"/>
                  </w14:solidFill>
                </w14:textFill>
              </w:rPr>
              <w:t>提供证明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7" w:hRule="atLeast"/>
          <w:jc w:val="center"/>
        </w:trPr>
        <w:tc>
          <w:tcPr>
            <w:tcW w:w="473" w:type="pct"/>
            <w:vMerge w:val="continue"/>
            <w:noWrap/>
            <w:vAlign w:val="center"/>
          </w:tcPr>
          <w:p>
            <w:pPr>
              <w:jc w:val="center"/>
              <w:rPr>
                <w:color w:val="000000"/>
                <w:kern w:val="0"/>
                <w:sz w:val="18"/>
                <w:szCs w:val="18"/>
              </w:rPr>
            </w:pPr>
          </w:p>
        </w:tc>
        <w:tc>
          <w:tcPr>
            <w:tcW w:w="1040" w:type="pct"/>
            <w:noWrap/>
            <w:vAlign w:val="center"/>
          </w:tcPr>
          <w:p>
            <w:pPr>
              <w:jc w:val="center"/>
              <w:rPr>
                <w:color w:val="000000" w:themeColor="text1"/>
                <w:kern w:val="0"/>
                <w:sz w:val="18"/>
                <w:szCs w:val="18"/>
                <w14:textFill>
                  <w14:solidFill>
                    <w14:schemeClr w14:val="tx1"/>
                  </w14:solidFill>
                </w14:textFill>
              </w:rPr>
            </w:pPr>
            <w:r>
              <w:rPr>
                <w:color w:val="000000" w:themeColor="text1"/>
                <w:kern w:val="0"/>
                <w:sz w:val="18"/>
                <w:szCs w:val="18"/>
                <w14:textFill>
                  <w14:solidFill>
                    <w14:schemeClr w14:val="tx1"/>
                  </w14:solidFill>
                </w14:textFill>
              </w:rPr>
              <w:t>生产场所苯系物排放</w:t>
            </w:r>
          </w:p>
        </w:tc>
        <w:tc>
          <w:tcPr>
            <w:tcW w:w="479" w:type="pct"/>
            <w:noWrap/>
            <w:vAlign w:val="center"/>
          </w:tcPr>
          <w:p>
            <w:pPr>
              <w:jc w:val="center"/>
              <w:rPr>
                <w:color w:val="000000" w:themeColor="text1"/>
                <w:kern w:val="0"/>
                <w:sz w:val="18"/>
                <w:szCs w:val="18"/>
                <w14:textFill>
                  <w14:solidFill>
                    <w14:schemeClr w14:val="tx1"/>
                  </w14:solidFill>
                </w14:textFill>
              </w:rPr>
            </w:pPr>
            <w:r>
              <w:rPr>
                <w:color w:val="000000" w:themeColor="text1"/>
                <w:kern w:val="0"/>
                <w:sz w:val="18"/>
                <w:szCs w:val="18"/>
                <w14:textFill>
                  <w14:solidFill>
                    <w14:schemeClr w14:val="tx1"/>
                  </w14:solidFill>
                </w14:textFill>
              </w:rPr>
              <w:t>mg/m</w:t>
            </w:r>
            <w:r>
              <w:rPr>
                <w:color w:val="000000" w:themeColor="text1"/>
                <w:kern w:val="0"/>
                <w:sz w:val="18"/>
                <w:szCs w:val="18"/>
                <w:vertAlign w:val="superscript"/>
                <w14:textFill>
                  <w14:solidFill>
                    <w14:schemeClr w14:val="tx1"/>
                  </w14:solidFill>
                </w14:textFill>
              </w:rPr>
              <w:t>3</w:t>
            </w:r>
          </w:p>
        </w:tc>
        <w:tc>
          <w:tcPr>
            <w:tcW w:w="834" w:type="pct"/>
            <w:gridSpan w:val="2"/>
            <w:noWrap/>
            <w:vAlign w:val="center"/>
          </w:tcPr>
          <w:p>
            <w:pPr>
              <w:jc w:val="center"/>
              <w:rPr>
                <w:color w:val="000000" w:themeColor="text1"/>
                <w:kern w:val="0"/>
                <w:sz w:val="18"/>
                <w:szCs w:val="18"/>
                <w14:textFill>
                  <w14:solidFill>
                    <w14:schemeClr w14:val="tx1"/>
                  </w14:solidFill>
                </w14:textFill>
              </w:rPr>
            </w:pPr>
            <w:r>
              <w:rPr>
                <w:color w:val="000000" w:themeColor="text1"/>
                <w:kern w:val="0"/>
                <w:sz w:val="18"/>
                <w:szCs w:val="18"/>
                <w14:textFill>
                  <w14:solidFill>
                    <w14:schemeClr w14:val="tx1"/>
                  </w14:solidFill>
                </w14:textFill>
              </w:rPr>
              <w:t>应采取局部气体收集措施，并具备废气收集处理系统</w:t>
            </w:r>
          </w:p>
        </w:tc>
        <w:tc>
          <w:tcPr>
            <w:tcW w:w="1579" w:type="pct"/>
            <w:gridSpan w:val="3"/>
            <w:vAlign w:val="center"/>
          </w:tcPr>
          <w:p>
            <w:pPr>
              <w:jc w:val="center"/>
              <w:rPr>
                <w:color w:val="000000" w:themeColor="text1"/>
                <w:kern w:val="0"/>
                <w:sz w:val="18"/>
                <w:szCs w:val="18"/>
                <w14:textFill>
                  <w14:solidFill>
                    <w14:schemeClr w14:val="tx1"/>
                  </w14:solidFill>
                </w14:textFill>
              </w:rPr>
            </w:pPr>
            <w:r>
              <w:rPr>
                <w:color w:val="000000" w:themeColor="text1"/>
                <w:kern w:val="0"/>
                <w:sz w:val="18"/>
                <w:szCs w:val="18"/>
                <w14:textFill>
                  <w14:solidFill>
                    <w14:schemeClr w14:val="tx1"/>
                  </w14:solidFill>
                </w14:textFill>
              </w:rPr>
              <w:t>≤40</w:t>
            </w:r>
          </w:p>
        </w:tc>
        <w:tc>
          <w:tcPr>
            <w:tcW w:w="595" w:type="pct"/>
            <w:vAlign w:val="center"/>
          </w:tcPr>
          <w:p>
            <w:pPr>
              <w:jc w:val="center"/>
              <w:rPr>
                <w:color w:val="000000" w:themeColor="text1"/>
                <w:kern w:val="0"/>
                <w:sz w:val="18"/>
                <w:szCs w:val="18"/>
                <w14:textFill>
                  <w14:solidFill>
                    <w14:schemeClr w14:val="tx1"/>
                  </w14:solidFill>
                </w14:textFill>
              </w:rPr>
            </w:pPr>
            <w:r>
              <w:rPr>
                <w:rFonts w:hint="eastAsia"/>
                <w:color w:val="000000" w:themeColor="text1"/>
                <w:kern w:val="0"/>
                <w:sz w:val="18"/>
                <w:szCs w:val="18"/>
                <w14:textFill>
                  <w14:solidFill>
                    <w14:schemeClr w14:val="tx1"/>
                  </w14:solidFill>
                </w14:textFill>
              </w:rPr>
              <w:t>现场核查或</w:t>
            </w:r>
            <w:r>
              <w:rPr>
                <w:color w:val="000000" w:themeColor="text1"/>
                <w:kern w:val="0"/>
                <w:sz w:val="18"/>
                <w:szCs w:val="18"/>
                <w14:textFill>
                  <w14:solidFill>
                    <w14:schemeClr w14:val="tx1"/>
                  </w14:solidFill>
                </w14:textFill>
              </w:rPr>
              <w:t>提供第三方报告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7" w:hRule="atLeast"/>
          <w:jc w:val="center"/>
        </w:trPr>
        <w:tc>
          <w:tcPr>
            <w:tcW w:w="473" w:type="pct"/>
            <w:vMerge w:val="continue"/>
            <w:noWrap/>
            <w:vAlign w:val="center"/>
          </w:tcPr>
          <w:p>
            <w:pPr>
              <w:jc w:val="center"/>
              <w:rPr>
                <w:color w:val="000000"/>
                <w:kern w:val="0"/>
                <w:sz w:val="18"/>
                <w:szCs w:val="18"/>
              </w:rPr>
            </w:pPr>
          </w:p>
        </w:tc>
        <w:tc>
          <w:tcPr>
            <w:tcW w:w="1040" w:type="pct"/>
            <w:noWrap/>
            <w:vAlign w:val="center"/>
          </w:tcPr>
          <w:p>
            <w:pPr>
              <w:jc w:val="center"/>
              <w:rPr>
                <w:color w:val="000000" w:themeColor="text1"/>
                <w:kern w:val="0"/>
                <w:sz w:val="18"/>
                <w:szCs w:val="18"/>
                <w14:textFill>
                  <w14:solidFill>
                    <w14:schemeClr w14:val="tx1"/>
                  </w14:solidFill>
                </w14:textFill>
              </w:rPr>
            </w:pPr>
            <w:r>
              <w:rPr>
                <w:color w:val="000000" w:themeColor="text1"/>
                <w:kern w:val="0"/>
                <w:sz w:val="18"/>
                <w:szCs w:val="18"/>
                <w14:textFill>
                  <w14:solidFill>
                    <w14:schemeClr w14:val="tx1"/>
                  </w14:solidFill>
                </w14:textFill>
              </w:rPr>
              <w:t>产品环境影响和碳足迹</w:t>
            </w:r>
          </w:p>
        </w:tc>
        <w:tc>
          <w:tcPr>
            <w:tcW w:w="479" w:type="pct"/>
            <w:noWrap/>
            <w:vAlign w:val="center"/>
          </w:tcPr>
          <w:p>
            <w:pPr>
              <w:jc w:val="center"/>
              <w:rPr>
                <w:color w:val="000000" w:themeColor="text1"/>
                <w:kern w:val="0"/>
                <w:sz w:val="18"/>
                <w:szCs w:val="18"/>
                <w14:textFill>
                  <w14:solidFill>
                    <w14:schemeClr w14:val="tx1"/>
                  </w14:solidFill>
                </w14:textFill>
              </w:rPr>
            </w:pPr>
            <w:r>
              <w:rPr>
                <w:color w:val="000000" w:themeColor="text1"/>
                <w:kern w:val="0"/>
                <w:sz w:val="18"/>
                <w:szCs w:val="18"/>
                <w14:textFill>
                  <w14:solidFill>
                    <w14:schemeClr w14:val="tx1"/>
                  </w14:solidFill>
                </w14:textFill>
              </w:rPr>
              <w:t>—</w:t>
            </w:r>
          </w:p>
        </w:tc>
        <w:tc>
          <w:tcPr>
            <w:tcW w:w="2412" w:type="pct"/>
            <w:gridSpan w:val="5"/>
            <w:noWrap/>
            <w:vAlign w:val="center"/>
          </w:tcPr>
          <w:p>
            <w:pPr>
              <w:jc w:val="center"/>
              <w:rPr>
                <w:color w:val="000000" w:themeColor="text1"/>
                <w:kern w:val="0"/>
                <w:sz w:val="18"/>
                <w:szCs w:val="18"/>
                <w14:textFill>
                  <w14:solidFill>
                    <w14:schemeClr w14:val="tx1"/>
                  </w14:solidFill>
                </w14:textFill>
              </w:rPr>
            </w:pPr>
            <w:r>
              <w:rPr>
                <w:color w:val="000000" w:themeColor="text1"/>
                <w:kern w:val="0"/>
                <w:sz w:val="18"/>
                <w:szCs w:val="18"/>
                <w14:textFill>
                  <w14:solidFill>
                    <w14:schemeClr w14:val="tx1"/>
                  </w14:solidFill>
                </w14:textFill>
              </w:rPr>
              <w:t>进行环境产品声明（EPD）和碳足迹分析</w:t>
            </w:r>
          </w:p>
        </w:tc>
        <w:tc>
          <w:tcPr>
            <w:tcW w:w="595" w:type="pct"/>
          </w:tcPr>
          <w:p>
            <w:pPr>
              <w:jc w:val="center"/>
              <w:rPr>
                <w:rFonts w:eastAsiaTheme="minorEastAsia"/>
                <w:color w:val="000000" w:themeColor="text1"/>
                <w:kern w:val="0"/>
                <w:sz w:val="18"/>
                <w:szCs w:val="18"/>
                <w14:textFill>
                  <w14:solidFill>
                    <w14:schemeClr w14:val="tx1"/>
                  </w14:solidFill>
                </w14:textFill>
              </w:rPr>
            </w:pPr>
            <w:r>
              <w:rPr>
                <w:rFonts w:eastAsiaTheme="minorEastAsia"/>
                <w:color w:val="000000" w:themeColor="text1"/>
                <w:kern w:val="0"/>
                <w:sz w:val="18"/>
                <w:szCs w:val="18"/>
                <w14:textFill>
                  <w14:solidFill>
                    <w14:schemeClr w14:val="tx1"/>
                  </w14:solidFill>
                </w14:textFill>
              </w:rPr>
              <w:t>提供有效期内</w:t>
            </w:r>
            <w:r>
              <w:rPr>
                <w:rFonts w:hint="eastAsia" w:eastAsiaTheme="minorEastAsia"/>
                <w:color w:val="000000" w:themeColor="text1"/>
                <w:kern w:val="0"/>
                <w:sz w:val="18"/>
                <w:szCs w:val="18"/>
                <w14:textFill>
                  <w14:solidFill>
                    <w14:schemeClr w14:val="tx1"/>
                  </w14:solidFill>
                </w14:textFill>
              </w:rPr>
              <w:t>的</w:t>
            </w:r>
            <w:r>
              <w:rPr>
                <w:rFonts w:eastAsiaTheme="minorEastAsia"/>
                <w:color w:val="000000" w:themeColor="text1"/>
                <w:kern w:val="0"/>
                <w:sz w:val="18"/>
                <w:szCs w:val="18"/>
                <w14:textFill>
                  <w14:solidFill>
                    <w14:schemeClr w14:val="tx1"/>
                  </w14:solidFill>
                </w14:textFill>
              </w:rPr>
              <w:t>第三方机构出具证明文件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7" w:hRule="atLeast"/>
          <w:jc w:val="center"/>
        </w:trPr>
        <w:tc>
          <w:tcPr>
            <w:tcW w:w="473" w:type="pct"/>
            <w:vMerge w:val="continue"/>
            <w:noWrap/>
            <w:vAlign w:val="center"/>
          </w:tcPr>
          <w:p>
            <w:pPr>
              <w:jc w:val="center"/>
              <w:rPr>
                <w:color w:val="000000"/>
                <w:kern w:val="0"/>
                <w:sz w:val="18"/>
                <w:szCs w:val="18"/>
              </w:rPr>
            </w:pPr>
          </w:p>
        </w:tc>
        <w:tc>
          <w:tcPr>
            <w:tcW w:w="1040" w:type="pct"/>
            <w:noWrap/>
            <w:vAlign w:val="center"/>
          </w:tcPr>
          <w:p>
            <w:pPr>
              <w:jc w:val="center"/>
              <w:rPr>
                <w:color w:val="000000" w:themeColor="text1"/>
                <w:kern w:val="0"/>
                <w:sz w:val="18"/>
                <w:szCs w:val="18"/>
                <w14:textFill>
                  <w14:solidFill>
                    <w14:schemeClr w14:val="tx1"/>
                  </w14:solidFill>
                </w14:textFill>
              </w:rPr>
            </w:pPr>
            <w:r>
              <w:rPr>
                <w:color w:val="000000" w:themeColor="text1"/>
                <w:kern w:val="0"/>
                <w:sz w:val="18"/>
                <w:szCs w:val="18"/>
                <w14:textFill>
                  <w14:solidFill>
                    <w14:schemeClr w14:val="tx1"/>
                  </w14:solidFill>
                </w14:textFill>
              </w:rPr>
              <w:t>总挥发性有机化合物</w:t>
            </w:r>
            <w:r>
              <w:rPr>
                <w:color w:val="000000" w:themeColor="text1"/>
                <w:kern w:val="0"/>
                <w:sz w:val="18"/>
                <w:szCs w:val="18"/>
                <w:vertAlign w:val="superscript"/>
                <w14:textFill>
                  <w14:solidFill>
                    <w14:schemeClr w14:val="tx1"/>
                  </w14:solidFill>
                </w14:textFill>
              </w:rPr>
              <w:t>a</w:t>
            </w:r>
          </w:p>
        </w:tc>
        <w:tc>
          <w:tcPr>
            <w:tcW w:w="479" w:type="pct"/>
            <w:noWrap/>
            <w:vAlign w:val="center"/>
          </w:tcPr>
          <w:p>
            <w:pPr>
              <w:jc w:val="center"/>
              <w:rPr>
                <w:color w:val="000000" w:themeColor="text1"/>
                <w:kern w:val="0"/>
                <w:sz w:val="18"/>
                <w:szCs w:val="18"/>
                <w14:textFill>
                  <w14:solidFill>
                    <w14:schemeClr w14:val="tx1"/>
                  </w14:solidFill>
                </w14:textFill>
              </w:rPr>
            </w:pPr>
            <w:r>
              <w:rPr>
                <w:color w:val="000000" w:themeColor="text1"/>
                <w:kern w:val="0"/>
                <w:sz w:val="18"/>
                <w:szCs w:val="18"/>
                <w14:textFill>
                  <w14:solidFill>
                    <w14:schemeClr w14:val="tx1"/>
                  </w14:solidFill>
                </w14:textFill>
              </w:rPr>
              <w:t>mg/m</w:t>
            </w:r>
            <w:r>
              <w:rPr>
                <w:color w:val="000000" w:themeColor="text1"/>
                <w:kern w:val="0"/>
                <w:sz w:val="18"/>
                <w:szCs w:val="18"/>
                <w:vertAlign w:val="superscript"/>
                <w14:textFill>
                  <w14:solidFill>
                    <w14:schemeClr w14:val="tx1"/>
                  </w14:solidFill>
                </w14:textFill>
              </w:rPr>
              <w:t>3</w:t>
            </w:r>
          </w:p>
        </w:tc>
        <w:tc>
          <w:tcPr>
            <w:tcW w:w="2412" w:type="pct"/>
            <w:gridSpan w:val="5"/>
            <w:noWrap/>
            <w:vAlign w:val="center"/>
          </w:tcPr>
          <w:p>
            <w:pPr>
              <w:jc w:val="center"/>
              <w:rPr>
                <w:color w:val="000000" w:themeColor="text1"/>
                <w:kern w:val="0"/>
                <w:sz w:val="18"/>
                <w:szCs w:val="18"/>
                <w14:textFill>
                  <w14:solidFill>
                    <w14:schemeClr w14:val="tx1"/>
                  </w14:solidFill>
                </w14:textFill>
              </w:rPr>
            </w:pPr>
            <w:r>
              <w:rPr>
                <w:color w:val="000000" w:themeColor="text1"/>
                <w:kern w:val="0"/>
                <w:sz w:val="18"/>
                <w:szCs w:val="18"/>
                <w14:textFill>
                  <w14:solidFill>
                    <w14:schemeClr w14:val="tx1"/>
                  </w14:solidFill>
                </w14:textFill>
              </w:rPr>
              <w:t>≤0.050</w:t>
            </w:r>
          </w:p>
        </w:tc>
        <w:tc>
          <w:tcPr>
            <w:tcW w:w="595" w:type="pct"/>
          </w:tcPr>
          <w:p>
            <w:pPr>
              <w:jc w:val="center"/>
              <w:rPr>
                <w:color w:val="000000" w:themeColor="text1"/>
                <w:kern w:val="0"/>
                <w:sz w:val="18"/>
                <w:szCs w:val="18"/>
                <w14:textFill>
                  <w14:solidFill>
                    <w14:schemeClr w14:val="tx1"/>
                  </w14:solidFill>
                </w14:textFill>
              </w:rPr>
            </w:pPr>
            <w:r>
              <w:rPr>
                <w:color w:val="000000" w:themeColor="text1"/>
                <w:kern w:val="0"/>
                <w:sz w:val="18"/>
                <w:szCs w:val="18"/>
                <w14:textFill>
                  <w14:solidFill>
                    <w14:schemeClr w14:val="tx1"/>
                  </w14:solidFill>
                </w14:textFill>
              </w:rPr>
              <w:t>GB 50325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jc w:val="center"/>
        </w:trPr>
        <w:tc>
          <w:tcPr>
            <w:tcW w:w="473" w:type="pct"/>
            <w:vMerge w:val="restart"/>
            <w:noWrap/>
            <w:vAlign w:val="center"/>
          </w:tcPr>
          <w:p>
            <w:pPr>
              <w:jc w:val="center"/>
              <w:rPr>
                <w:color w:val="000000" w:themeColor="text1"/>
                <w:kern w:val="0"/>
                <w:sz w:val="18"/>
                <w:szCs w:val="18"/>
                <w:highlight w:val="yellow"/>
                <w14:textFill>
                  <w14:solidFill>
                    <w14:schemeClr w14:val="tx1"/>
                  </w14:solidFill>
                </w14:textFill>
              </w:rPr>
            </w:pPr>
            <w:r>
              <w:rPr>
                <w:color w:val="000000" w:themeColor="text1"/>
                <w:kern w:val="0"/>
                <w:sz w:val="18"/>
                <w:szCs w:val="18"/>
                <w14:textFill>
                  <w14:solidFill>
                    <w14:schemeClr w14:val="tx1"/>
                  </w14:solidFill>
                </w14:textFill>
              </w:rPr>
              <w:t>品质属性</w:t>
            </w:r>
          </w:p>
        </w:tc>
        <w:tc>
          <w:tcPr>
            <w:tcW w:w="1040" w:type="pct"/>
            <w:noWrap/>
            <w:vAlign w:val="center"/>
          </w:tcPr>
          <w:p>
            <w:pPr>
              <w:jc w:val="center"/>
              <w:rPr>
                <w:color w:val="000000" w:themeColor="text1"/>
                <w:kern w:val="0"/>
                <w:sz w:val="18"/>
                <w:szCs w:val="18"/>
                <w14:textFill>
                  <w14:solidFill>
                    <w14:schemeClr w14:val="tx1"/>
                  </w14:solidFill>
                </w14:textFill>
              </w:rPr>
            </w:pPr>
            <w:r>
              <w:rPr>
                <w:color w:val="000000" w:themeColor="text1"/>
                <w:kern w:val="0"/>
                <w:sz w:val="18"/>
                <w:szCs w:val="18"/>
                <w14:textFill>
                  <w14:solidFill>
                    <w14:schemeClr w14:val="tx1"/>
                  </w14:solidFill>
                </w14:textFill>
              </w:rPr>
              <w:t>拉伸断裂强力（经、纬向）</w:t>
            </w:r>
          </w:p>
        </w:tc>
        <w:tc>
          <w:tcPr>
            <w:tcW w:w="479" w:type="pct"/>
            <w:noWrap/>
            <w:vAlign w:val="center"/>
          </w:tcPr>
          <w:p>
            <w:pPr>
              <w:jc w:val="center"/>
              <w:rPr>
                <w:color w:val="000000" w:themeColor="text1"/>
                <w:kern w:val="0"/>
                <w:sz w:val="18"/>
                <w:szCs w:val="18"/>
                <w14:textFill>
                  <w14:solidFill>
                    <w14:schemeClr w14:val="tx1"/>
                  </w14:solidFill>
                </w14:textFill>
              </w:rPr>
            </w:pPr>
            <w:r>
              <w:rPr>
                <w:color w:val="000000" w:themeColor="text1"/>
                <w:kern w:val="0"/>
                <w:sz w:val="18"/>
                <w:szCs w:val="18"/>
                <w14:textFill>
                  <w14:solidFill>
                    <w14:schemeClr w14:val="tx1"/>
                  </w14:solidFill>
                </w14:textFill>
              </w:rPr>
              <w:t>—</w:t>
            </w:r>
          </w:p>
        </w:tc>
        <w:tc>
          <w:tcPr>
            <w:tcW w:w="804" w:type="pct"/>
            <w:noWrap/>
            <w:vAlign w:val="center"/>
          </w:tcPr>
          <w:p>
            <w:pPr>
              <w:widowControl/>
              <w:jc w:val="center"/>
              <w:rPr>
                <w:color w:val="000000" w:themeColor="text1"/>
                <w:kern w:val="0"/>
                <w:sz w:val="18"/>
                <w:szCs w:val="18"/>
                <w14:textFill>
                  <w14:solidFill>
                    <w14:schemeClr w14:val="tx1"/>
                  </w14:solidFill>
                </w14:textFill>
              </w:rPr>
            </w:pPr>
            <w:r>
              <w:rPr>
                <w:color w:val="000000" w:themeColor="text1"/>
                <w:kern w:val="0"/>
                <w:sz w:val="18"/>
                <w:szCs w:val="18"/>
                <w14:textFill>
                  <w14:solidFill>
                    <w14:schemeClr w14:val="tx1"/>
                  </w14:solidFill>
                </w14:textFill>
              </w:rPr>
              <w:t>满足相应产品标准的要求</w:t>
            </w:r>
          </w:p>
        </w:tc>
        <w:tc>
          <w:tcPr>
            <w:tcW w:w="803" w:type="pct"/>
            <w:gridSpan w:val="2"/>
            <w:vAlign w:val="center"/>
          </w:tcPr>
          <w:p>
            <w:pPr>
              <w:jc w:val="center"/>
              <w:rPr>
                <w:color w:val="000000" w:themeColor="text1"/>
                <w:kern w:val="0"/>
                <w:sz w:val="18"/>
                <w:szCs w:val="18"/>
                <w14:textFill>
                  <w14:solidFill>
                    <w14:schemeClr w14:val="tx1"/>
                  </w14:solidFill>
                </w14:textFill>
              </w:rPr>
            </w:pPr>
            <w:r>
              <w:rPr>
                <w:color w:val="000000" w:themeColor="text1"/>
                <w:kern w:val="0"/>
                <w:sz w:val="18"/>
                <w:szCs w:val="18"/>
                <w14:textFill>
                  <w14:solidFill>
                    <w14:schemeClr w14:val="tx1"/>
                  </w14:solidFill>
                </w14:textFill>
              </w:rPr>
              <w:t>不小于相应产品标准的要1.05倍</w:t>
            </w:r>
          </w:p>
        </w:tc>
        <w:tc>
          <w:tcPr>
            <w:tcW w:w="806" w:type="pct"/>
            <w:gridSpan w:val="2"/>
            <w:vAlign w:val="center"/>
          </w:tcPr>
          <w:p>
            <w:pPr>
              <w:jc w:val="center"/>
              <w:rPr>
                <w:color w:val="000000" w:themeColor="text1"/>
                <w:kern w:val="0"/>
                <w:sz w:val="18"/>
                <w:szCs w:val="18"/>
                <w14:textFill>
                  <w14:solidFill>
                    <w14:schemeClr w14:val="tx1"/>
                  </w14:solidFill>
                </w14:textFill>
              </w:rPr>
            </w:pPr>
            <w:r>
              <w:rPr>
                <w:color w:val="000000" w:themeColor="text1"/>
                <w:kern w:val="0"/>
                <w:sz w:val="18"/>
                <w:szCs w:val="18"/>
                <w14:textFill>
                  <w14:solidFill>
                    <w14:schemeClr w14:val="tx1"/>
                  </w14:solidFill>
                </w14:textFill>
              </w:rPr>
              <w:t>不小于相应产品标准的要求1.1倍</w:t>
            </w:r>
          </w:p>
        </w:tc>
        <w:tc>
          <w:tcPr>
            <w:tcW w:w="595" w:type="pct"/>
            <w:vAlign w:val="center"/>
          </w:tcPr>
          <w:p>
            <w:pPr>
              <w:jc w:val="center"/>
              <w:rPr>
                <w:color w:val="000000" w:themeColor="text1"/>
                <w:kern w:val="0"/>
                <w:sz w:val="18"/>
                <w:szCs w:val="18"/>
                <w14:textFill>
                  <w14:solidFill>
                    <w14:schemeClr w14:val="tx1"/>
                  </w14:solidFill>
                </w14:textFill>
              </w:rPr>
            </w:pPr>
            <w:r>
              <w:rPr>
                <w:color w:val="000000" w:themeColor="text1"/>
                <w:kern w:val="0"/>
                <w:sz w:val="18"/>
                <w:szCs w:val="18"/>
                <w14:textFill>
                  <w14:solidFill>
                    <w14:schemeClr w14:val="tx1"/>
                  </w14:solidFill>
                </w14:textFill>
              </w:rPr>
              <w:t>GB/T 7689.5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jc w:val="center"/>
        </w:trPr>
        <w:tc>
          <w:tcPr>
            <w:tcW w:w="473" w:type="pct"/>
            <w:vMerge w:val="continue"/>
            <w:noWrap/>
            <w:vAlign w:val="center"/>
          </w:tcPr>
          <w:p>
            <w:pPr>
              <w:jc w:val="center"/>
              <w:rPr>
                <w:color w:val="000000"/>
                <w:kern w:val="0"/>
                <w:sz w:val="18"/>
                <w:szCs w:val="18"/>
                <w:highlight w:val="yellow"/>
              </w:rPr>
            </w:pPr>
          </w:p>
        </w:tc>
        <w:tc>
          <w:tcPr>
            <w:tcW w:w="1040" w:type="pct"/>
            <w:noWrap/>
            <w:vAlign w:val="center"/>
          </w:tcPr>
          <w:p>
            <w:pPr>
              <w:jc w:val="center"/>
              <w:rPr>
                <w:color w:val="000000" w:themeColor="text1"/>
                <w:kern w:val="0"/>
                <w:szCs w:val="21"/>
                <w:vertAlign w:val="superscript"/>
                <w14:textFill>
                  <w14:solidFill>
                    <w14:schemeClr w14:val="tx1"/>
                  </w14:solidFill>
                </w14:textFill>
              </w:rPr>
            </w:pPr>
            <w:r>
              <w:rPr>
                <w:color w:val="000000" w:themeColor="text1"/>
                <w:kern w:val="0"/>
                <w:sz w:val="18"/>
                <w:szCs w:val="18"/>
                <w14:textFill>
                  <w14:solidFill>
                    <w14:schemeClr w14:val="tx1"/>
                  </w14:solidFill>
                </w14:textFill>
              </w:rPr>
              <w:t>耐碱性（</w:t>
            </w:r>
            <w:r>
              <w:rPr>
                <w:sz w:val="18"/>
                <w:szCs w:val="18"/>
              </w:rPr>
              <w:t>5%NaOH浸泡28天）</w:t>
            </w:r>
            <w:r>
              <w:rPr>
                <w:color w:val="000000" w:themeColor="text1"/>
                <w:kern w:val="0"/>
                <w:sz w:val="18"/>
                <w:szCs w:val="18"/>
                <w14:textFill>
                  <w14:solidFill>
                    <w14:schemeClr w14:val="tx1"/>
                  </w14:solidFill>
                </w14:textFill>
              </w:rPr>
              <w:t>（经、纬向）</w:t>
            </w:r>
          </w:p>
        </w:tc>
        <w:tc>
          <w:tcPr>
            <w:tcW w:w="479" w:type="pct"/>
            <w:noWrap/>
            <w:vAlign w:val="center"/>
          </w:tcPr>
          <w:p>
            <w:pPr>
              <w:jc w:val="center"/>
              <w:rPr>
                <w:color w:val="000000" w:themeColor="text1"/>
                <w:kern w:val="0"/>
                <w:sz w:val="18"/>
                <w:szCs w:val="18"/>
                <w14:textFill>
                  <w14:solidFill>
                    <w14:schemeClr w14:val="tx1"/>
                  </w14:solidFill>
                </w14:textFill>
              </w:rPr>
            </w:pPr>
            <w:r>
              <w:rPr>
                <w:color w:val="000000" w:themeColor="text1"/>
                <w:kern w:val="0"/>
                <w:sz w:val="18"/>
                <w:szCs w:val="18"/>
                <w14:textFill>
                  <w14:solidFill>
                    <w14:schemeClr w14:val="tx1"/>
                  </w14:solidFill>
                </w14:textFill>
              </w:rPr>
              <w:t>—</w:t>
            </w:r>
          </w:p>
        </w:tc>
        <w:tc>
          <w:tcPr>
            <w:tcW w:w="804" w:type="pct"/>
            <w:noWrap/>
            <w:vAlign w:val="center"/>
          </w:tcPr>
          <w:p>
            <w:pPr>
              <w:jc w:val="center"/>
              <w:rPr>
                <w:color w:val="000000" w:themeColor="text1"/>
                <w:kern w:val="0"/>
                <w:sz w:val="18"/>
                <w:szCs w:val="18"/>
                <w14:textFill>
                  <w14:solidFill>
                    <w14:schemeClr w14:val="tx1"/>
                  </w14:solidFill>
                </w14:textFill>
              </w:rPr>
            </w:pPr>
            <w:r>
              <w:rPr>
                <w:color w:val="000000" w:themeColor="text1"/>
                <w:kern w:val="0"/>
                <w:sz w:val="18"/>
                <w:szCs w:val="18"/>
                <w14:textFill>
                  <w14:solidFill>
                    <w14:schemeClr w14:val="tx1"/>
                  </w14:solidFill>
                </w14:textFill>
              </w:rPr>
              <w:t>拉伸断裂强力保留率≥50%</w:t>
            </w:r>
          </w:p>
        </w:tc>
        <w:tc>
          <w:tcPr>
            <w:tcW w:w="803" w:type="pct"/>
            <w:gridSpan w:val="2"/>
            <w:noWrap/>
            <w:vAlign w:val="center"/>
          </w:tcPr>
          <w:p>
            <w:pPr>
              <w:jc w:val="center"/>
              <w:rPr>
                <w:color w:val="000000" w:themeColor="text1"/>
                <w:kern w:val="0"/>
                <w:sz w:val="18"/>
                <w:szCs w:val="18"/>
                <w14:textFill>
                  <w14:solidFill>
                    <w14:schemeClr w14:val="tx1"/>
                  </w14:solidFill>
                </w14:textFill>
              </w:rPr>
            </w:pPr>
            <w:r>
              <w:rPr>
                <w:color w:val="000000" w:themeColor="text1"/>
                <w:kern w:val="0"/>
                <w:sz w:val="18"/>
                <w:szCs w:val="18"/>
                <w14:textFill>
                  <w14:solidFill>
                    <w14:schemeClr w14:val="tx1"/>
                  </w14:solidFill>
                </w14:textFill>
              </w:rPr>
              <w:t>拉伸断裂强力保留率≥65%</w:t>
            </w:r>
          </w:p>
        </w:tc>
        <w:tc>
          <w:tcPr>
            <w:tcW w:w="806" w:type="pct"/>
            <w:gridSpan w:val="2"/>
            <w:vAlign w:val="center"/>
          </w:tcPr>
          <w:p>
            <w:pPr>
              <w:jc w:val="center"/>
              <w:rPr>
                <w:color w:val="000000" w:themeColor="text1"/>
                <w:kern w:val="0"/>
                <w:sz w:val="18"/>
                <w:szCs w:val="18"/>
                <w14:textFill>
                  <w14:solidFill>
                    <w14:schemeClr w14:val="tx1"/>
                  </w14:solidFill>
                </w14:textFill>
              </w:rPr>
            </w:pPr>
            <w:r>
              <w:rPr>
                <w:color w:val="000000" w:themeColor="text1"/>
                <w:kern w:val="0"/>
                <w:sz w:val="18"/>
                <w:szCs w:val="18"/>
                <w14:textFill>
                  <w14:solidFill>
                    <w14:schemeClr w14:val="tx1"/>
                  </w14:solidFill>
                </w14:textFill>
              </w:rPr>
              <w:t>拉伸断裂强力保留率≥80%</w:t>
            </w:r>
          </w:p>
        </w:tc>
        <w:tc>
          <w:tcPr>
            <w:tcW w:w="595" w:type="pct"/>
            <w:vAlign w:val="center"/>
          </w:tcPr>
          <w:p>
            <w:pPr>
              <w:jc w:val="center"/>
              <w:rPr>
                <w:color w:val="000000" w:themeColor="text1"/>
                <w:kern w:val="0"/>
                <w:sz w:val="18"/>
                <w:szCs w:val="18"/>
                <w14:textFill>
                  <w14:solidFill>
                    <w14:schemeClr w14:val="tx1"/>
                  </w14:solidFill>
                </w14:textFill>
              </w:rPr>
            </w:pPr>
            <w:r>
              <w:rPr>
                <w:color w:val="000000" w:themeColor="text1"/>
                <w:kern w:val="0"/>
                <w:sz w:val="18"/>
                <w:szCs w:val="18"/>
                <w14:textFill>
                  <w14:solidFill>
                    <w14:schemeClr w14:val="tx1"/>
                  </w14:solidFill>
                </w14:textFill>
              </w:rPr>
              <w:t>GB/T 20212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jc w:val="center"/>
        </w:trPr>
        <w:tc>
          <w:tcPr>
            <w:tcW w:w="473" w:type="pct"/>
            <w:vMerge w:val="continue"/>
            <w:noWrap/>
            <w:vAlign w:val="center"/>
          </w:tcPr>
          <w:p>
            <w:pPr>
              <w:jc w:val="center"/>
              <w:rPr>
                <w:color w:val="000000"/>
                <w:kern w:val="0"/>
                <w:sz w:val="18"/>
                <w:szCs w:val="18"/>
                <w:highlight w:val="yellow"/>
              </w:rPr>
            </w:pPr>
          </w:p>
        </w:tc>
        <w:tc>
          <w:tcPr>
            <w:tcW w:w="1040" w:type="pct"/>
            <w:noWrap/>
            <w:vAlign w:val="center"/>
          </w:tcPr>
          <w:p>
            <w:pPr>
              <w:jc w:val="center"/>
              <w:rPr>
                <w:kern w:val="0"/>
                <w:sz w:val="18"/>
                <w:szCs w:val="18"/>
                <w:highlight w:val="yellow"/>
              </w:rPr>
            </w:pPr>
            <w:r>
              <w:rPr>
                <w:kern w:val="0"/>
                <w:sz w:val="18"/>
                <w:szCs w:val="18"/>
              </w:rPr>
              <w:t>耐折性</w:t>
            </w:r>
            <w:r>
              <w:rPr>
                <w:rFonts w:hint="eastAsia"/>
                <w:kern w:val="0"/>
                <w:sz w:val="18"/>
                <w:szCs w:val="18"/>
              </w:rPr>
              <w:t>（25℃）</w:t>
            </w:r>
            <w:r>
              <w:rPr>
                <w:color w:val="000000" w:themeColor="text1"/>
                <w:kern w:val="0"/>
                <w:sz w:val="18"/>
                <w:szCs w:val="18"/>
                <w14:textFill>
                  <w14:solidFill>
                    <w14:schemeClr w14:val="tx1"/>
                  </w14:solidFill>
                </w14:textFill>
              </w:rPr>
              <w:t>（经、纬向）</w:t>
            </w:r>
          </w:p>
        </w:tc>
        <w:tc>
          <w:tcPr>
            <w:tcW w:w="479" w:type="pct"/>
            <w:noWrap/>
            <w:vAlign w:val="center"/>
          </w:tcPr>
          <w:p>
            <w:pPr>
              <w:jc w:val="center"/>
              <w:rPr>
                <w:kern w:val="0"/>
                <w:sz w:val="18"/>
                <w:szCs w:val="18"/>
              </w:rPr>
            </w:pPr>
            <w:r>
              <w:rPr>
                <w:kern w:val="0"/>
                <w:sz w:val="18"/>
                <w:szCs w:val="18"/>
              </w:rPr>
              <w:t>次</w:t>
            </w:r>
          </w:p>
        </w:tc>
        <w:tc>
          <w:tcPr>
            <w:tcW w:w="2412" w:type="pct"/>
            <w:gridSpan w:val="5"/>
            <w:noWrap/>
            <w:vAlign w:val="center"/>
          </w:tcPr>
          <w:p>
            <w:pPr>
              <w:jc w:val="center"/>
              <w:rPr>
                <w:kern w:val="0"/>
                <w:sz w:val="18"/>
                <w:szCs w:val="18"/>
              </w:rPr>
            </w:pPr>
            <w:r>
              <w:rPr>
                <w:color w:val="000000" w:themeColor="text1"/>
                <w:kern w:val="0"/>
                <w:sz w:val="18"/>
                <w:szCs w:val="18"/>
                <w14:textFill>
                  <w14:solidFill>
                    <w14:schemeClr w14:val="tx1"/>
                  </w14:solidFill>
                </w14:textFill>
              </w:rPr>
              <w:t>≥</w:t>
            </w:r>
            <w:r>
              <w:rPr>
                <w:kern w:val="0"/>
                <w:sz w:val="18"/>
                <w:szCs w:val="18"/>
              </w:rPr>
              <w:t>1000</w:t>
            </w:r>
          </w:p>
        </w:tc>
        <w:tc>
          <w:tcPr>
            <w:tcW w:w="595" w:type="pct"/>
            <w:vAlign w:val="center"/>
          </w:tcPr>
          <w:p>
            <w:pPr>
              <w:jc w:val="center"/>
              <w:rPr>
                <w:kern w:val="0"/>
                <w:sz w:val="18"/>
                <w:szCs w:val="18"/>
              </w:rPr>
            </w:pPr>
            <w:r>
              <w:rPr>
                <w:kern w:val="0"/>
                <w:sz w:val="18"/>
                <w:szCs w:val="18"/>
              </w:rPr>
              <w:t>FZ/T 01143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jc w:val="center"/>
        </w:trPr>
        <w:tc>
          <w:tcPr>
            <w:tcW w:w="473" w:type="pct"/>
            <w:vMerge w:val="continue"/>
            <w:noWrap/>
            <w:vAlign w:val="center"/>
          </w:tcPr>
          <w:p>
            <w:pPr>
              <w:jc w:val="center"/>
              <w:rPr>
                <w:color w:val="000000"/>
                <w:kern w:val="0"/>
                <w:sz w:val="18"/>
                <w:szCs w:val="18"/>
                <w:highlight w:val="yellow"/>
              </w:rPr>
            </w:pPr>
          </w:p>
        </w:tc>
        <w:tc>
          <w:tcPr>
            <w:tcW w:w="1040" w:type="pct"/>
            <w:noWrap/>
            <w:vAlign w:val="center"/>
          </w:tcPr>
          <w:p>
            <w:pPr>
              <w:jc w:val="center"/>
              <w:rPr>
                <w:color w:val="000000" w:themeColor="text1"/>
                <w:kern w:val="0"/>
                <w:sz w:val="18"/>
                <w:szCs w:val="18"/>
                <w14:textFill>
                  <w14:solidFill>
                    <w14:schemeClr w14:val="tx1"/>
                  </w14:solidFill>
                </w14:textFill>
              </w:rPr>
            </w:pPr>
            <w:r>
              <w:rPr>
                <w:color w:val="000000" w:themeColor="text1"/>
                <w:kern w:val="0"/>
                <w:sz w:val="18"/>
                <w:szCs w:val="18"/>
                <w14:textFill>
                  <w14:solidFill>
                    <w14:schemeClr w14:val="tx1"/>
                  </w14:solidFill>
                </w14:textFill>
              </w:rPr>
              <w:t>耐碱玻璃纤维网格布氧化锆含量</w:t>
            </w:r>
          </w:p>
        </w:tc>
        <w:tc>
          <w:tcPr>
            <w:tcW w:w="479" w:type="pct"/>
            <w:noWrap/>
            <w:vAlign w:val="center"/>
          </w:tcPr>
          <w:p>
            <w:pPr>
              <w:jc w:val="center"/>
              <w:rPr>
                <w:color w:val="000000" w:themeColor="text1"/>
                <w:kern w:val="0"/>
                <w:sz w:val="18"/>
                <w:szCs w:val="18"/>
                <w14:textFill>
                  <w14:solidFill>
                    <w14:schemeClr w14:val="tx1"/>
                  </w14:solidFill>
                </w14:textFill>
              </w:rPr>
            </w:pPr>
            <w:r>
              <w:rPr>
                <w:color w:val="000000" w:themeColor="text1"/>
                <w:kern w:val="0"/>
                <w:sz w:val="18"/>
                <w:szCs w:val="18"/>
                <w14:textFill>
                  <w14:solidFill>
                    <w14:schemeClr w14:val="tx1"/>
                  </w14:solidFill>
                </w14:textFill>
              </w:rPr>
              <w:t>%</w:t>
            </w:r>
          </w:p>
        </w:tc>
        <w:tc>
          <w:tcPr>
            <w:tcW w:w="2412" w:type="pct"/>
            <w:gridSpan w:val="5"/>
            <w:noWrap/>
            <w:vAlign w:val="center"/>
          </w:tcPr>
          <w:p>
            <w:pPr>
              <w:jc w:val="center"/>
              <w:rPr>
                <w:color w:val="000000" w:themeColor="text1"/>
                <w:kern w:val="0"/>
                <w:sz w:val="18"/>
                <w:szCs w:val="18"/>
                <w14:textFill>
                  <w14:solidFill>
                    <w14:schemeClr w14:val="tx1"/>
                  </w14:solidFill>
                </w14:textFill>
              </w:rPr>
            </w:pPr>
            <w:r>
              <w:rPr>
                <w:color w:val="000000" w:themeColor="text1"/>
                <w:kern w:val="0"/>
                <w:sz w:val="18"/>
                <w:szCs w:val="18"/>
                <w14:textFill>
                  <w14:solidFill>
                    <w14:schemeClr w14:val="tx1"/>
                  </w14:solidFill>
                </w14:textFill>
              </w:rPr>
              <w:t>≥16.0</w:t>
            </w:r>
          </w:p>
        </w:tc>
        <w:tc>
          <w:tcPr>
            <w:tcW w:w="595" w:type="pct"/>
            <w:vAlign w:val="center"/>
          </w:tcPr>
          <w:p>
            <w:pPr>
              <w:jc w:val="center"/>
              <w:rPr>
                <w:color w:val="000000" w:themeColor="text1"/>
                <w:kern w:val="0"/>
                <w:sz w:val="18"/>
                <w:szCs w:val="18"/>
                <w14:textFill>
                  <w14:solidFill>
                    <w14:schemeClr w14:val="tx1"/>
                  </w14:solidFill>
                </w14:textFill>
              </w:rPr>
            </w:pPr>
            <w:r>
              <w:rPr>
                <w:color w:val="000000" w:themeColor="text1"/>
                <w:kern w:val="0"/>
                <w:sz w:val="18"/>
                <w:szCs w:val="18"/>
                <w14:textFill>
                  <w14:solidFill>
                    <w14:schemeClr w14:val="tx1"/>
                  </w14:solidFill>
                </w14:textFill>
              </w:rPr>
              <w:t>GB/T 1549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jc w:val="center"/>
        </w:trPr>
        <w:tc>
          <w:tcPr>
            <w:tcW w:w="5000" w:type="pct"/>
            <w:gridSpan w:val="9"/>
            <w:noWrap/>
            <w:vAlign w:val="center"/>
          </w:tcPr>
          <w:p>
            <w:pPr>
              <w:ind w:firstLine="540" w:firstLineChars="300"/>
              <w:rPr>
                <w:color w:val="000000" w:themeColor="text1"/>
                <w:kern w:val="0"/>
                <w:sz w:val="18"/>
                <w:szCs w:val="18"/>
                <w14:textFill>
                  <w14:solidFill>
                    <w14:schemeClr w14:val="tx1"/>
                  </w14:solidFill>
                </w14:textFill>
              </w:rPr>
            </w:pPr>
            <w:r>
              <w:rPr>
                <w:color w:val="000000" w:themeColor="text1"/>
                <w:kern w:val="0"/>
                <w:sz w:val="18"/>
                <w:szCs w:val="18"/>
                <w14:textFill>
                  <w14:solidFill>
                    <w14:schemeClr w14:val="tx1"/>
                  </w14:solidFill>
                </w14:textFill>
              </w:rPr>
              <w:t>a产品用作室内增强材料时，评价此项指标。</w:t>
            </w:r>
          </w:p>
        </w:tc>
      </w:tr>
    </w:tbl>
    <w:p>
      <w:pPr>
        <w:tabs>
          <w:tab w:val="left" w:pos="4965"/>
        </w:tabs>
      </w:pPr>
    </w:p>
    <w:p>
      <w:pPr>
        <w:pStyle w:val="76"/>
        <w:spacing w:before="312" w:after="312"/>
        <w:rPr>
          <w:rFonts w:hAnsi="黑体"/>
          <w:bCs/>
          <w:color w:val="000000"/>
          <w:szCs w:val="21"/>
        </w:rPr>
      </w:pPr>
      <w:bookmarkStart w:id="74" w:name="_Toc532820960"/>
      <w:bookmarkStart w:id="75" w:name="_Toc532820832"/>
      <w:r>
        <w:rPr>
          <w:rFonts w:hint="eastAsia" w:hAnsi="黑体"/>
          <w:bCs/>
          <w:color w:val="000000"/>
          <w:szCs w:val="21"/>
        </w:rPr>
        <w:t>评价方法</w:t>
      </w:r>
      <w:bookmarkEnd w:id="74"/>
      <w:bookmarkEnd w:id="75"/>
    </w:p>
    <w:p>
      <w:pPr>
        <w:pStyle w:val="62"/>
        <w:spacing w:before="156" w:after="156"/>
        <w:rPr>
          <w:rFonts w:ascii="Times New Roman" w:eastAsia="宋体"/>
          <w:color w:val="000000"/>
        </w:rPr>
      </w:pPr>
      <w:r>
        <w:rPr>
          <w:rFonts w:hint="eastAsia" w:ascii="Times New Roman" w:eastAsia="宋体"/>
        </w:rPr>
        <w:t>生产企业应按第4章的规定提供有效期内的相关证明文件。</w:t>
      </w:r>
    </w:p>
    <w:p>
      <w:pPr>
        <w:pStyle w:val="62"/>
        <w:spacing w:before="156" w:after="156"/>
        <w:rPr>
          <w:rFonts w:ascii="Times New Roman" w:eastAsiaTheme="minorEastAsia"/>
          <w:color w:val="000000" w:themeColor="text1"/>
          <w14:textFill>
            <w14:solidFill>
              <w14:schemeClr w14:val="tx1"/>
            </w14:solidFill>
          </w14:textFill>
        </w:rPr>
        <w:sectPr>
          <w:pgSz w:w="11906" w:h="16838"/>
          <w:pgMar w:top="567" w:right="1134" w:bottom="1134" w:left="1418" w:header="1418" w:footer="1134" w:gutter="0"/>
          <w:pgNumType w:start="1"/>
          <w:cols w:space="720" w:num="1"/>
          <w:formProt w:val="0"/>
          <w:docGrid w:type="lines" w:linePitch="312" w:charSpace="0"/>
        </w:sectPr>
      </w:pPr>
      <w:r>
        <w:rPr>
          <w:rFonts w:hint="eastAsia" w:ascii="Times New Roman" w:eastAsia="宋体"/>
          <w:kern w:val="2"/>
          <w:szCs w:val="20"/>
        </w:rPr>
        <w:t>用符合性评价，</w:t>
      </w:r>
      <w:r>
        <w:rPr>
          <w:rFonts w:hint="eastAsia" w:ascii="宋体" w:hAnsi="宋体" w:eastAsia="宋体"/>
          <w:color w:val="000000"/>
        </w:rPr>
        <w:t>生产企业满足第</w:t>
      </w:r>
      <w:r>
        <w:rPr>
          <w:rFonts w:ascii="Times New Roman" w:eastAsia="宋体"/>
          <w:color w:val="000000"/>
        </w:rPr>
        <w:t>4</w:t>
      </w:r>
      <w:r>
        <w:rPr>
          <w:rFonts w:hint="eastAsia" w:ascii="宋体" w:hAnsi="宋体" w:eastAsia="宋体"/>
          <w:color w:val="000000"/>
        </w:rPr>
        <w:t>章对应评价等级的全部要求时，判定评价结果符合该评价等级规定</w:t>
      </w:r>
      <w:r>
        <w:rPr>
          <w:rFonts w:hint="eastAsia" w:ascii="Times New Roman" w:eastAsia="宋体"/>
        </w:rPr>
        <w:t>。</w:t>
      </w:r>
    </w:p>
    <w:p>
      <w:pPr>
        <w:pStyle w:val="131"/>
        <w:ind w:left="0"/>
      </w:pPr>
      <w:bookmarkStart w:id="76" w:name="_Toc532820839"/>
      <w:bookmarkEnd w:id="76"/>
      <w:bookmarkStart w:id="77" w:name="_Toc532820968"/>
      <w:bookmarkEnd w:id="77"/>
      <w:bookmarkStart w:id="78" w:name="_Toc532820967"/>
      <w:bookmarkEnd w:id="78"/>
      <w:bookmarkStart w:id="79" w:name="_Toc532820840"/>
      <w:bookmarkEnd w:id="79"/>
      <w:r>
        <w:br w:type="textWrapping"/>
      </w:r>
      <w:bookmarkStart w:id="80" w:name="_Toc524004822"/>
      <w:bookmarkStart w:id="81" w:name="_Toc532820969"/>
      <w:bookmarkStart w:id="82" w:name="_Toc532820841"/>
      <w:r>
        <w:rPr>
          <w:rFonts w:hint="eastAsia"/>
        </w:rPr>
        <w:t>（规范性附录）</w:t>
      </w:r>
      <w:r>
        <w:br w:type="textWrapping"/>
      </w:r>
      <w:bookmarkEnd w:id="80"/>
      <w:r>
        <w:rPr>
          <w:rFonts w:hint="eastAsia"/>
        </w:rPr>
        <w:t>耐碱网格布评价指标计算方法</w:t>
      </w:r>
      <w:bookmarkEnd w:id="81"/>
      <w:bookmarkEnd w:id="82"/>
    </w:p>
    <w:p>
      <w:pPr>
        <w:pStyle w:val="66"/>
        <w:spacing w:before="312" w:after="312"/>
      </w:pPr>
      <w:r>
        <w:rPr>
          <w:rFonts w:hint="eastAsia"/>
        </w:rPr>
        <w:t>生产废料综合处置率</w:t>
      </w:r>
    </w:p>
    <w:p>
      <w:pPr>
        <w:pStyle w:val="24"/>
        <w:spacing w:line="520" w:lineRule="exact"/>
        <w:rPr>
          <w:rFonts w:ascii="Times New Roman"/>
        </w:rPr>
      </w:pPr>
      <w:r>
        <w:rPr>
          <w:rFonts w:hint="eastAsia" w:ascii="Times New Roman"/>
        </w:rPr>
        <w:t>宜以近12个月作为统计期计算生产废料综合处置</w:t>
      </w:r>
      <w:r>
        <w:rPr>
          <w:rFonts w:ascii="Times New Roman"/>
        </w:rPr>
        <w:t>率</w:t>
      </w:r>
      <w:r>
        <w:rPr>
          <w:rFonts w:hint="eastAsia" w:ascii="Times New Roman"/>
        </w:rPr>
        <w:t>的平均值。企业正式投产不足12个月时，统计期可适当缩短，但不应少于6个月。按公式（</w:t>
      </w:r>
      <w:r>
        <w:rPr>
          <w:rFonts w:ascii="Times New Roman"/>
          <w:szCs w:val="21"/>
        </w:rPr>
        <w:t>A.2</w:t>
      </w:r>
      <w:r>
        <w:rPr>
          <w:rFonts w:hint="eastAsia" w:ascii="Times New Roman"/>
        </w:rPr>
        <w:t>）计算：</w:t>
      </w:r>
    </w:p>
    <w:p>
      <w:pPr>
        <w:pStyle w:val="24"/>
        <w:spacing w:line="480" w:lineRule="auto"/>
        <w:rPr>
          <w:rFonts w:ascii="Times New Roman"/>
        </w:rPr>
      </w:pPr>
      <m:oMath>
        <m:r>
          <m:rPr/>
          <w:rPr>
            <w:rFonts w:ascii="Cambria Math" w:hAnsi="Cambria Math"/>
          </w:rPr>
          <m:t xml:space="preserve">                        R=</m:t>
        </m:r>
        <m:f>
          <m:fPr>
            <m:ctrlPr>
              <w:rPr>
                <w:rFonts w:ascii="Cambria Math" w:hAnsi="Cambria Math"/>
                <w:i/>
              </w:rPr>
            </m:ctrlPr>
          </m:fPr>
          <m:num>
            <m:sSub>
              <m:sSubPr>
                <m:ctrlPr>
                  <w:rPr>
                    <w:rFonts w:ascii="Cambria Math" w:hAnsi="Cambria Math"/>
                    <w:i/>
                  </w:rPr>
                </m:ctrlPr>
              </m:sSubPr>
              <m:e>
                <m:r>
                  <m:rPr/>
                  <w:rPr>
                    <w:rFonts w:ascii="Cambria Math" w:hAnsi="Cambria Math"/>
                  </w:rPr>
                  <m:t>M</m:t>
                </m:r>
                <m:ctrlPr>
                  <w:rPr>
                    <w:rFonts w:ascii="Cambria Math" w:hAnsi="Cambria Math"/>
                    <w:i/>
                  </w:rPr>
                </m:ctrlPr>
              </m:e>
              <m:sub>
                <m:r>
                  <m:rPr/>
                  <w:rPr>
                    <w:rFonts w:ascii="Cambria Math" w:hAnsi="Cambria Math"/>
                  </w:rPr>
                  <m:t>r</m:t>
                </m:r>
                <m:ctrlPr>
                  <w:rPr>
                    <w:rFonts w:ascii="Cambria Math" w:hAnsi="Cambria Math"/>
                    <w:i/>
                  </w:rPr>
                </m:ctrlPr>
              </m:sub>
            </m:sSub>
            <m:ctrlPr>
              <w:rPr>
                <w:rFonts w:ascii="Cambria Math" w:hAnsi="Cambria Math"/>
                <w:i/>
              </w:rPr>
            </m:ctrlPr>
          </m:num>
          <m:den>
            <m:sSub>
              <m:sSubPr>
                <m:ctrlPr>
                  <w:rPr>
                    <w:rFonts w:ascii="Cambria Math" w:hAnsi="Cambria Math"/>
                    <w:i/>
                  </w:rPr>
                </m:ctrlPr>
              </m:sSubPr>
              <m:e>
                <m:r>
                  <m:rPr/>
                  <w:rPr>
                    <w:rFonts w:ascii="Cambria Math" w:hAnsi="Cambria Math"/>
                  </w:rPr>
                  <m:t>M</m:t>
                </m:r>
                <m:ctrlPr>
                  <w:rPr>
                    <w:rFonts w:ascii="Cambria Math" w:hAnsi="Cambria Math"/>
                    <w:i/>
                  </w:rPr>
                </m:ctrlPr>
              </m:e>
              <m:sub>
                <m:r>
                  <m:rPr/>
                  <w:rPr>
                    <w:rFonts w:ascii="Cambria Math" w:hAnsi="Cambria Math"/>
                  </w:rPr>
                  <m:t>p</m:t>
                </m:r>
                <m:ctrlPr>
                  <w:rPr>
                    <w:rFonts w:ascii="Cambria Math" w:hAnsi="Cambria Math"/>
                    <w:i/>
                  </w:rPr>
                </m:ctrlPr>
              </m:sub>
            </m:sSub>
            <m:ctrlPr>
              <w:rPr>
                <w:rFonts w:ascii="Cambria Math" w:hAnsi="Cambria Math"/>
                <w:i/>
              </w:rPr>
            </m:ctrlPr>
          </m:den>
        </m:f>
        <m:r>
          <m:rPr/>
          <w:rPr>
            <w:rFonts w:ascii="Cambria Math" w:hAnsi="Cambria Math"/>
          </w:rPr>
          <m:t xml:space="preserve">×100% </m:t>
        </m:r>
      </m:oMath>
      <w:r>
        <w:rPr>
          <w:rFonts w:hint="eastAsia" w:ascii="Times New Roman"/>
          <w:color w:val="000000" w:themeColor="text1"/>
          <w14:textFill>
            <w14:solidFill>
              <w14:schemeClr w14:val="tx1"/>
            </w14:solidFill>
          </w14:textFill>
        </w:rPr>
        <w:t>………………………（A.</w:t>
      </w:r>
      <w:r>
        <w:rPr>
          <w:rFonts w:ascii="Times New Roman"/>
          <w:color w:val="000000" w:themeColor="text1"/>
          <w14:textFill>
            <w14:solidFill>
              <w14:schemeClr w14:val="tx1"/>
            </w14:solidFill>
          </w14:textFill>
        </w:rPr>
        <w:t>2</w:t>
      </w:r>
      <w:r>
        <w:rPr>
          <w:rFonts w:hint="eastAsia" w:ascii="Times New Roman"/>
          <w:color w:val="000000" w:themeColor="text1"/>
          <w14:textFill>
            <w14:solidFill>
              <w14:schemeClr w14:val="tx1"/>
            </w14:solidFill>
          </w14:textFill>
        </w:rPr>
        <w:t>）</w:t>
      </w:r>
    </w:p>
    <w:p>
      <w:pPr>
        <w:spacing w:line="520" w:lineRule="exact"/>
        <w:ind w:firstLine="420" w:firstLineChars="200"/>
        <w:rPr>
          <w:szCs w:val="21"/>
        </w:rPr>
      </w:pPr>
      <w:r>
        <w:rPr>
          <w:rFonts w:hint="eastAsia"/>
          <w:szCs w:val="21"/>
        </w:rPr>
        <w:t>式中：</w:t>
      </w:r>
    </w:p>
    <w:p>
      <w:pPr>
        <w:spacing w:line="520" w:lineRule="exact"/>
        <w:ind w:firstLine="420" w:firstLineChars="200"/>
        <w:rPr>
          <w:szCs w:val="21"/>
        </w:rPr>
      </w:pPr>
      <w:r>
        <w:rPr>
          <w:i/>
          <w:szCs w:val="21"/>
        </w:rPr>
        <w:t>Mr</w:t>
      </w:r>
      <w:r>
        <w:rPr>
          <w:szCs w:val="21"/>
        </w:rPr>
        <w:t>——</w:t>
      </w:r>
      <w:r>
        <w:rPr>
          <w:rFonts w:hint="eastAsia"/>
          <w:szCs w:val="21"/>
        </w:rPr>
        <w:t>统计期内</w:t>
      </w:r>
      <w:r>
        <w:rPr>
          <w:rFonts w:hint="eastAsia"/>
          <w:kern w:val="0"/>
          <w:szCs w:val="20"/>
        </w:rPr>
        <w:t>综合处置</w:t>
      </w:r>
      <w:r>
        <w:rPr>
          <w:rFonts w:hint="eastAsia"/>
          <w:szCs w:val="21"/>
        </w:rPr>
        <w:t>的生产废料</w:t>
      </w:r>
      <w:r>
        <w:rPr>
          <w:szCs w:val="21"/>
        </w:rPr>
        <w:t>量</w:t>
      </w:r>
      <w:r>
        <w:rPr>
          <w:rFonts w:hint="eastAsia"/>
          <w:szCs w:val="21"/>
        </w:rPr>
        <w:t>，单位为千克（</w:t>
      </w:r>
      <w:r>
        <w:rPr>
          <w:szCs w:val="21"/>
        </w:rPr>
        <w:t>kg</w:t>
      </w:r>
      <w:r>
        <w:rPr>
          <w:rFonts w:hint="eastAsia"/>
          <w:szCs w:val="21"/>
        </w:rPr>
        <w:t>）；</w:t>
      </w:r>
    </w:p>
    <w:p>
      <w:pPr>
        <w:spacing w:line="520" w:lineRule="exact"/>
        <w:ind w:firstLine="420" w:firstLineChars="200"/>
        <w:rPr>
          <w:szCs w:val="21"/>
        </w:rPr>
      </w:pPr>
      <w:r>
        <w:rPr>
          <w:i/>
          <w:szCs w:val="21"/>
        </w:rPr>
        <w:t>Mp</w:t>
      </w:r>
      <w:r>
        <w:rPr>
          <w:szCs w:val="21"/>
        </w:rPr>
        <w:t>——</w:t>
      </w:r>
      <w:r>
        <w:rPr>
          <w:rFonts w:hint="eastAsia"/>
          <w:szCs w:val="21"/>
        </w:rPr>
        <w:t>统计期内生产产生的</w:t>
      </w:r>
      <w:r>
        <w:rPr>
          <w:szCs w:val="21"/>
        </w:rPr>
        <w:t>废料</w:t>
      </w:r>
      <w:r>
        <w:rPr>
          <w:rFonts w:hint="eastAsia"/>
          <w:szCs w:val="21"/>
        </w:rPr>
        <w:t>总量，单位为千克（</w:t>
      </w:r>
      <w:r>
        <w:rPr>
          <w:szCs w:val="21"/>
        </w:rPr>
        <w:t>kg</w:t>
      </w:r>
      <w:r>
        <w:rPr>
          <w:rFonts w:hint="eastAsia"/>
          <w:szCs w:val="21"/>
        </w:rPr>
        <w:t>）；</w:t>
      </w:r>
    </w:p>
    <w:p>
      <w:pPr>
        <w:spacing w:line="520" w:lineRule="exact"/>
        <w:ind w:firstLine="420" w:firstLineChars="200"/>
        <w:rPr>
          <w:szCs w:val="21"/>
        </w:rPr>
      </w:pPr>
      <w:r>
        <w:rPr>
          <w:i/>
          <w:szCs w:val="21"/>
        </w:rPr>
        <w:t>R</w:t>
      </w:r>
      <w:r>
        <w:rPr>
          <w:szCs w:val="21"/>
        </w:rPr>
        <w:t>——</w:t>
      </w:r>
      <w:r>
        <w:rPr>
          <w:rFonts w:hint="eastAsia"/>
          <w:kern w:val="0"/>
          <w:szCs w:val="20"/>
        </w:rPr>
        <w:t>生产废料</w:t>
      </w:r>
      <w:r>
        <w:rPr>
          <w:kern w:val="0"/>
          <w:szCs w:val="20"/>
        </w:rPr>
        <w:t>回收</w:t>
      </w:r>
      <w:r>
        <w:rPr>
          <w:rFonts w:hint="eastAsia"/>
          <w:kern w:val="0"/>
          <w:szCs w:val="20"/>
        </w:rPr>
        <w:t>利用率</w:t>
      </w:r>
      <w:r>
        <w:rPr>
          <w:rFonts w:hint="eastAsia"/>
          <w:szCs w:val="21"/>
        </w:rPr>
        <w:t>，</w:t>
      </w:r>
      <w:r>
        <w:rPr>
          <w:szCs w:val="21"/>
        </w:rPr>
        <w:t>%</w:t>
      </w:r>
      <w:r>
        <w:rPr>
          <w:rFonts w:hint="eastAsia"/>
          <w:szCs w:val="21"/>
        </w:rPr>
        <w:t>。</w:t>
      </w:r>
    </w:p>
    <w:p>
      <w:pPr>
        <w:spacing w:line="520" w:lineRule="exact"/>
        <w:ind w:firstLine="420" w:firstLineChars="200"/>
        <w:rPr>
          <w:szCs w:val="21"/>
        </w:rPr>
      </w:pPr>
    </w:p>
    <w:p>
      <w:pPr>
        <w:widowControl/>
        <w:jc w:val="left"/>
        <w:rPr>
          <w:szCs w:val="21"/>
        </w:rPr>
      </w:pPr>
    </w:p>
    <w:sectPr>
      <w:pgSz w:w="11906" w:h="16838"/>
      <w:pgMar w:top="567" w:right="1134" w:bottom="1134" w:left="1418" w:header="1418" w:footer="1134" w:gutter="0"/>
      <w:cols w:space="720" w:num="1"/>
      <w:formProt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MS Mincho">
    <w:altName w:val="MS Gothic"/>
    <w:panose1 w:val="02020609040205080304"/>
    <w:charset w:val="80"/>
    <w:family w:val="roman"/>
    <w:pitch w:val="default"/>
    <w:sig w:usb0="00000000" w:usb1="00000000" w:usb2="00000010" w:usb3="00000000" w:csb0="00020000" w:csb1="00000000"/>
  </w:font>
  <w:font w:name="瀹嬩綋">
    <w:altName w:val="宋体"/>
    <w:panose1 w:val="00000000000000000000"/>
    <w:charset w:val="86"/>
    <w:family w:val="roman"/>
    <w:pitch w:val="default"/>
    <w:sig w:usb0="00000000" w:usb1="00000000" w:usb2="00000010" w:usb3="00000000" w:csb0="00040000" w:csb1="00000000"/>
  </w:font>
  <w:font w:name="Cambria Math">
    <w:panose1 w:val="02040503050406030204"/>
    <w:charset w:val="00"/>
    <w:family w:val="roman"/>
    <w:pitch w:val="default"/>
    <w:sig w:usb0="E00006FF" w:usb1="420024FF" w:usb2="02000000" w:usb3="00000000" w:csb0="2000019F" w:csb1="00000000"/>
  </w:font>
  <w:font w:name="MS Gothic">
    <w:panose1 w:val="020B0609070205080204"/>
    <w:charset w:val="80"/>
    <w:family w:val="auto"/>
    <w:pitch w:val="default"/>
    <w:sig w:usb0="E00002FF" w:usb1="6AC7FDFB" w:usb2="08000012" w:usb3="00000000" w:csb0="4002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800109378"/>
    </w:sdtPr>
    <w:sdtContent>
      <w:p>
        <w:pPr>
          <w:pStyle w:val="18"/>
          <w:jc w:val="center"/>
        </w:pPr>
        <w:r>
          <w:fldChar w:fldCharType="begin"/>
        </w:r>
        <w:r>
          <w:instrText xml:space="preserve">PAGE   \* MERGEFORMAT</w:instrText>
        </w:r>
        <w:r>
          <w:fldChar w:fldCharType="separate"/>
        </w:r>
        <w:r>
          <w:rPr>
            <w:lang w:val="zh-CN"/>
          </w:rPr>
          <w:t>4</w:t>
        </w:r>
        <w:r>
          <w:fldChar w:fldCharType="end"/>
        </w:r>
      </w:p>
    </w:sdtContent>
  </w:sdt>
  <w:p>
    <w:pPr>
      <w:pStyle w:val="11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1"/>
    </w:pPr>
    <w:r>
      <w:t>T/ CECS 1000X—XXXX</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79102AD"/>
    <w:multiLevelType w:val="multilevel"/>
    <w:tmpl w:val="079102AD"/>
    <w:lvl w:ilvl="0" w:tentative="0">
      <w:start w:val="1"/>
      <w:numFmt w:val="decimal"/>
      <w:pStyle w:val="71"/>
      <w:suff w:val="nothing"/>
      <w:lvlText w:val="注%1："/>
      <w:lvlJc w:val="left"/>
      <w:pPr>
        <w:ind w:left="811" w:hanging="448"/>
      </w:pPr>
      <w:rPr>
        <w:rFonts w:hint="eastAsia" w:ascii="黑体" w:eastAsia="黑体" w:cs="Times New Roman"/>
        <w:b w:val="0"/>
        <w:i w:val="0"/>
        <w:sz w:val="18"/>
      </w:rPr>
    </w:lvl>
    <w:lvl w:ilvl="1" w:tentative="0">
      <w:start w:val="1"/>
      <w:numFmt w:val="lowerLetter"/>
      <w:lvlText w:val="%2)"/>
      <w:lvlJc w:val="left"/>
      <w:pPr>
        <w:tabs>
          <w:tab w:val="left" w:pos="0"/>
        </w:tabs>
        <w:ind w:left="992" w:hanging="629"/>
      </w:pPr>
      <w:rPr>
        <w:rFonts w:hint="eastAsia" w:cs="Times New Roman"/>
      </w:rPr>
    </w:lvl>
    <w:lvl w:ilvl="2" w:tentative="0">
      <w:start w:val="1"/>
      <w:numFmt w:val="lowerRoman"/>
      <w:lvlText w:val="%3."/>
      <w:lvlJc w:val="right"/>
      <w:pPr>
        <w:tabs>
          <w:tab w:val="left" w:pos="0"/>
        </w:tabs>
        <w:ind w:left="992" w:hanging="629"/>
      </w:pPr>
      <w:rPr>
        <w:rFonts w:hint="eastAsia" w:cs="Times New Roman"/>
      </w:rPr>
    </w:lvl>
    <w:lvl w:ilvl="3" w:tentative="0">
      <w:start w:val="1"/>
      <w:numFmt w:val="decimal"/>
      <w:lvlText w:val="%4."/>
      <w:lvlJc w:val="left"/>
      <w:pPr>
        <w:tabs>
          <w:tab w:val="left" w:pos="0"/>
        </w:tabs>
        <w:ind w:left="992" w:hanging="629"/>
      </w:pPr>
      <w:rPr>
        <w:rFonts w:hint="eastAsia" w:cs="Times New Roman"/>
      </w:rPr>
    </w:lvl>
    <w:lvl w:ilvl="4" w:tentative="0">
      <w:start w:val="1"/>
      <w:numFmt w:val="lowerLetter"/>
      <w:lvlText w:val="%5)"/>
      <w:lvlJc w:val="left"/>
      <w:pPr>
        <w:tabs>
          <w:tab w:val="left" w:pos="0"/>
        </w:tabs>
        <w:ind w:left="992" w:hanging="629"/>
      </w:pPr>
      <w:rPr>
        <w:rFonts w:hint="eastAsia" w:cs="Times New Roman"/>
      </w:rPr>
    </w:lvl>
    <w:lvl w:ilvl="5" w:tentative="0">
      <w:start w:val="1"/>
      <w:numFmt w:val="lowerRoman"/>
      <w:lvlText w:val="%6."/>
      <w:lvlJc w:val="right"/>
      <w:pPr>
        <w:tabs>
          <w:tab w:val="left" w:pos="0"/>
        </w:tabs>
        <w:ind w:left="992" w:hanging="629"/>
      </w:pPr>
      <w:rPr>
        <w:rFonts w:hint="eastAsia" w:cs="Times New Roman"/>
      </w:rPr>
    </w:lvl>
    <w:lvl w:ilvl="6" w:tentative="0">
      <w:start w:val="1"/>
      <w:numFmt w:val="decimal"/>
      <w:lvlText w:val="%7."/>
      <w:lvlJc w:val="left"/>
      <w:pPr>
        <w:tabs>
          <w:tab w:val="left" w:pos="0"/>
        </w:tabs>
        <w:ind w:left="992" w:hanging="629"/>
      </w:pPr>
      <w:rPr>
        <w:rFonts w:hint="eastAsia" w:cs="Times New Roman"/>
      </w:rPr>
    </w:lvl>
    <w:lvl w:ilvl="7" w:tentative="0">
      <w:start w:val="1"/>
      <w:numFmt w:val="lowerLetter"/>
      <w:lvlText w:val="%8)"/>
      <w:lvlJc w:val="left"/>
      <w:pPr>
        <w:tabs>
          <w:tab w:val="left" w:pos="0"/>
        </w:tabs>
        <w:ind w:left="992" w:hanging="629"/>
      </w:pPr>
      <w:rPr>
        <w:rFonts w:hint="eastAsia" w:cs="Times New Roman"/>
      </w:rPr>
    </w:lvl>
    <w:lvl w:ilvl="8" w:tentative="0">
      <w:start w:val="1"/>
      <w:numFmt w:val="lowerRoman"/>
      <w:lvlText w:val="%9."/>
      <w:lvlJc w:val="right"/>
      <w:pPr>
        <w:tabs>
          <w:tab w:val="left" w:pos="0"/>
        </w:tabs>
        <w:ind w:left="992" w:hanging="629"/>
      </w:pPr>
      <w:rPr>
        <w:rFonts w:hint="eastAsia" w:cs="Times New Roman"/>
      </w:rPr>
    </w:lvl>
  </w:abstractNum>
  <w:abstractNum w:abstractNumId="1">
    <w:nsid w:val="093C6778"/>
    <w:multiLevelType w:val="multilevel"/>
    <w:tmpl w:val="093C6778"/>
    <w:lvl w:ilvl="0" w:tentative="0">
      <w:start w:val="1"/>
      <w:numFmt w:val="decimal"/>
      <w:pStyle w:val="53"/>
      <w:suff w:val="nothing"/>
      <w:lvlText w:val="示例%1："/>
      <w:lvlJc w:val="left"/>
      <w:pPr>
        <w:ind w:firstLine="397"/>
      </w:pPr>
      <w:rPr>
        <w:rFonts w:hint="eastAsia" w:ascii="黑体" w:eastAsia="黑体" w:cs="Times New Roman"/>
        <w:sz w:val="18"/>
      </w:rPr>
    </w:lvl>
    <w:lvl w:ilvl="1" w:tentative="0">
      <w:start w:val="1"/>
      <w:numFmt w:val="lowerLetter"/>
      <w:lvlText w:val="%2)"/>
      <w:lvlJc w:val="left"/>
      <w:pPr>
        <w:ind w:left="840" w:hanging="420"/>
      </w:pPr>
      <w:rPr>
        <w:rFonts w:hint="eastAsia" w:cs="Times New Roman"/>
      </w:rPr>
    </w:lvl>
    <w:lvl w:ilvl="2" w:tentative="0">
      <w:start w:val="1"/>
      <w:numFmt w:val="lowerRoman"/>
      <w:lvlText w:val="%3."/>
      <w:lvlJc w:val="right"/>
      <w:pPr>
        <w:ind w:left="1260" w:hanging="420"/>
      </w:pPr>
      <w:rPr>
        <w:rFonts w:hint="eastAsia" w:cs="Times New Roman"/>
      </w:rPr>
    </w:lvl>
    <w:lvl w:ilvl="3" w:tentative="0">
      <w:start w:val="1"/>
      <w:numFmt w:val="decimal"/>
      <w:lvlText w:val="%4."/>
      <w:lvlJc w:val="left"/>
      <w:pPr>
        <w:ind w:left="1680" w:hanging="420"/>
      </w:pPr>
      <w:rPr>
        <w:rFonts w:hint="eastAsia" w:cs="Times New Roman"/>
      </w:rPr>
    </w:lvl>
    <w:lvl w:ilvl="4" w:tentative="0">
      <w:start w:val="1"/>
      <w:numFmt w:val="lowerLetter"/>
      <w:lvlText w:val="%5)"/>
      <w:lvlJc w:val="left"/>
      <w:pPr>
        <w:ind w:left="2100" w:hanging="420"/>
      </w:pPr>
      <w:rPr>
        <w:rFonts w:hint="eastAsia" w:cs="Times New Roman"/>
      </w:rPr>
    </w:lvl>
    <w:lvl w:ilvl="5" w:tentative="0">
      <w:start w:val="1"/>
      <w:numFmt w:val="lowerRoman"/>
      <w:lvlText w:val="%6."/>
      <w:lvlJc w:val="right"/>
      <w:pPr>
        <w:ind w:left="2520" w:hanging="420"/>
      </w:pPr>
      <w:rPr>
        <w:rFonts w:hint="eastAsia" w:cs="Times New Roman"/>
      </w:rPr>
    </w:lvl>
    <w:lvl w:ilvl="6" w:tentative="0">
      <w:start w:val="1"/>
      <w:numFmt w:val="decimal"/>
      <w:lvlText w:val="%7."/>
      <w:lvlJc w:val="left"/>
      <w:pPr>
        <w:ind w:left="2940" w:hanging="420"/>
      </w:pPr>
      <w:rPr>
        <w:rFonts w:hint="eastAsia" w:cs="Times New Roman"/>
      </w:rPr>
    </w:lvl>
    <w:lvl w:ilvl="7" w:tentative="0">
      <w:start w:val="1"/>
      <w:numFmt w:val="lowerLetter"/>
      <w:lvlText w:val="%8)"/>
      <w:lvlJc w:val="left"/>
      <w:pPr>
        <w:ind w:left="3360" w:hanging="420"/>
      </w:pPr>
      <w:rPr>
        <w:rFonts w:hint="eastAsia" w:cs="Times New Roman"/>
      </w:rPr>
    </w:lvl>
    <w:lvl w:ilvl="8" w:tentative="0">
      <w:start w:val="1"/>
      <w:numFmt w:val="lowerRoman"/>
      <w:lvlText w:val="%9."/>
      <w:lvlJc w:val="right"/>
      <w:pPr>
        <w:ind w:left="3780" w:hanging="420"/>
      </w:pPr>
      <w:rPr>
        <w:rFonts w:hint="eastAsia" w:cs="Times New Roman"/>
      </w:rPr>
    </w:lvl>
  </w:abstractNum>
  <w:abstractNum w:abstractNumId="2">
    <w:nsid w:val="0AE367E9"/>
    <w:multiLevelType w:val="multilevel"/>
    <w:tmpl w:val="0AE367E9"/>
    <w:lvl w:ilvl="0" w:tentative="0">
      <w:start w:val="1"/>
      <w:numFmt w:val="none"/>
      <w:pStyle w:val="99"/>
      <w:suff w:val="nothing"/>
      <w:lvlText w:val="%1示例："/>
      <w:lvlJc w:val="left"/>
      <w:pPr>
        <w:ind w:firstLine="363"/>
      </w:pPr>
      <w:rPr>
        <w:rFonts w:hint="eastAsia" w:ascii="黑体" w:eastAsia="黑体" w:cs="Times New Roman"/>
        <w:b w:val="0"/>
        <w:i w:val="0"/>
        <w:sz w:val="18"/>
        <w:szCs w:val="18"/>
      </w:rPr>
    </w:lvl>
    <w:lvl w:ilvl="1" w:tentative="0">
      <w:start w:val="1"/>
      <w:numFmt w:val="lowerLetter"/>
      <w:lvlText w:val="%2)"/>
      <w:lvlJc w:val="left"/>
      <w:pPr>
        <w:tabs>
          <w:tab w:val="left" w:pos="363"/>
        </w:tabs>
        <w:ind w:firstLine="363"/>
      </w:pPr>
      <w:rPr>
        <w:rFonts w:hint="eastAsia" w:cs="Times New Roman"/>
      </w:rPr>
    </w:lvl>
    <w:lvl w:ilvl="2" w:tentative="0">
      <w:start w:val="1"/>
      <w:numFmt w:val="lowerRoman"/>
      <w:lvlText w:val="%3."/>
      <w:lvlJc w:val="right"/>
      <w:pPr>
        <w:tabs>
          <w:tab w:val="left" w:pos="363"/>
        </w:tabs>
        <w:ind w:firstLine="363"/>
      </w:pPr>
      <w:rPr>
        <w:rFonts w:hint="eastAsia" w:cs="Times New Roman"/>
      </w:rPr>
    </w:lvl>
    <w:lvl w:ilvl="3" w:tentative="0">
      <w:start w:val="1"/>
      <w:numFmt w:val="decimal"/>
      <w:lvlText w:val="%4."/>
      <w:lvlJc w:val="left"/>
      <w:pPr>
        <w:tabs>
          <w:tab w:val="left" w:pos="363"/>
        </w:tabs>
        <w:ind w:firstLine="363"/>
      </w:pPr>
      <w:rPr>
        <w:rFonts w:hint="eastAsia" w:cs="Times New Roman"/>
      </w:rPr>
    </w:lvl>
    <w:lvl w:ilvl="4" w:tentative="0">
      <w:start w:val="1"/>
      <w:numFmt w:val="lowerLetter"/>
      <w:lvlText w:val="%5)"/>
      <w:lvlJc w:val="left"/>
      <w:pPr>
        <w:tabs>
          <w:tab w:val="left" w:pos="363"/>
        </w:tabs>
        <w:ind w:firstLine="363"/>
      </w:pPr>
      <w:rPr>
        <w:rFonts w:hint="eastAsia" w:cs="Times New Roman"/>
      </w:rPr>
    </w:lvl>
    <w:lvl w:ilvl="5" w:tentative="0">
      <w:start w:val="1"/>
      <w:numFmt w:val="lowerRoman"/>
      <w:lvlText w:val="%6."/>
      <w:lvlJc w:val="right"/>
      <w:pPr>
        <w:tabs>
          <w:tab w:val="left" w:pos="363"/>
        </w:tabs>
        <w:ind w:firstLine="363"/>
      </w:pPr>
      <w:rPr>
        <w:rFonts w:hint="eastAsia" w:cs="Times New Roman"/>
      </w:rPr>
    </w:lvl>
    <w:lvl w:ilvl="6" w:tentative="0">
      <w:start w:val="1"/>
      <w:numFmt w:val="decimal"/>
      <w:lvlText w:val="%7."/>
      <w:lvlJc w:val="left"/>
      <w:pPr>
        <w:tabs>
          <w:tab w:val="left" w:pos="363"/>
        </w:tabs>
        <w:ind w:firstLine="363"/>
      </w:pPr>
      <w:rPr>
        <w:rFonts w:hint="eastAsia" w:cs="Times New Roman"/>
      </w:rPr>
    </w:lvl>
    <w:lvl w:ilvl="7" w:tentative="0">
      <w:start w:val="1"/>
      <w:numFmt w:val="lowerLetter"/>
      <w:lvlText w:val="%8)"/>
      <w:lvlJc w:val="left"/>
      <w:pPr>
        <w:tabs>
          <w:tab w:val="left" w:pos="363"/>
        </w:tabs>
        <w:ind w:firstLine="363"/>
      </w:pPr>
      <w:rPr>
        <w:rFonts w:hint="eastAsia" w:cs="Times New Roman"/>
      </w:rPr>
    </w:lvl>
    <w:lvl w:ilvl="8" w:tentative="0">
      <w:start w:val="1"/>
      <w:numFmt w:val="lowerRoman"/>
      <w:lvlText w:val="%9."/>
      <w:lvlJc w:val="right"/>
      <w:pPr>
        <w:tabs>
          <w:tab w:val="left" w:pos="363"/>
        </w:tabs>
        <w:ind w:firstLine="363"/>
      </w:pPr>
      <w:rPr>
        <w:rFonts w:hint="eastAsia" w:cs="Times New Roman"/>
      </w:rPr>
    </w:lvl>
  </w:abstractNum>
  <w:abstractNum w:abstractNumId="3">
    <w:nsid w:val="0DDE2B46"/>
    <w:multiLevelType w:val="multilevel"/>
    <w:tmpl w:val="0DDE2B46"/>
    <w:lvl w:ilvl="0" w:tentative="0">
      <w:start w:val="1"/>
      <w:numFmt w:val="lowerLetter"/>
      <w:pStyle w:val="134"/>
      <w:suff w:val="nothing"/>
      <w:lvlText w:val="%1   "/>
      <w:lvlJc w:val="left"/>
      <w:pPr>
        <w:ind w:left="544" w:hanging="181"/>
      </w:pPr>
      <w:rPr>
        <w:rFonts w:hint="eastAsia" w:ascii="宋体" w:eastAsia="宋体" w:cs="Times New Roman"/>
        <w:b w:val="0"/>
        <w:i w:val="0"/>
        <w:sz w:val="18"/>
        <w:vertAlign w:val="superscript"/>
      </w:rPr>
    </w:lvl>
    <w:lvl w:ilvl="1" w:tentative="0">
      <w:start w:val="1"/>
      <w:numFmt w:val="lowerLetter"/>
      <w:lvlText w:val="%2"/>
      <w:lvlJc w:val="left"/>
      <w:pPr>
        <w:tabs>
          <w:tab w:val="left" w:pos="57"/>
        </w:tabs>
        <w:ind w:left="363" w:hanging="363"/>
      </w:pPr>
      <w:rPr>
        <w:rFonts w:hint="eastAsia" w:cs="Times New Roman"/>
      </w:rPr>
    </w:lvl>
    <w:lvl w:ilvl="2" w:tentative="0">
      <w:start w:val="1"/>
      <w:numFmt w:val="lowerRoman"/>
      <w:lvlText w:val="%3."/>
      <w:lvlJc w:val="right"/>
      <w:pPr>
        <w:tabs>
          <w:tab w:val="left" w:pos="57"/>
        </w:tabs>
        <w:ind w:left="363" w:hanging="363"/>
      </w:pPr>
      <w:rPr>
        <w:rFonts w:hint="eastAsia" w:cs="Times New Roman"/>
      </w:rPr>
    </w:lvl>
    <w:lvl w:ilvl="3" w:tentative="0">
      <w:start w:val="1"/>
      <w:numFmt w:val="decimal"/>
      <w:lvlText w:val="%4."/>
      <w:lvlJc w:val="left"/>
      <w:pPr>
        <w:tabs>
          <w:tab w:val="left" w:pos="57"/>
        </w:tabs>
        <w:ind w:left="363" w:hanging="363"/>
      </w:pPr>
      <w:rPr>
        <w:rFonts w:hint="eastAsia" w:cs="Times New Roman"/>
      </w:rPr>
    </w:lvl>
    <w:lvl w:ilvl="4" w:tentative="0">
      <w:start w:val="1"/>
      <w:numFmt w:val="lowerLetter"/>
      <w:lvlText w:val="%5)"/>
      <w:lvlJc w:val="left"/>
      <w:pPr>
        <w:tabs>
          <w:tab w:val="left" w:pos="57"/>
        </w:tabs>
        <w:ind w:left="363" w:hanging="363"/>
      </w:pPr>
      <w:rPr>
        <w:rFonts w:hint="eastAsia" w:cs="Times New Roman"/>
      </w:rPr>
    </w:lvl>
    <w:lvl w:ilvl="5" w:tentative="0">
      <w:start w:val="1"/>
      <w:numFmt w:val="lowerRoman"/>
      <w:lvlText w:val="%6."/>
      <w:lvlJc w:val="right"/>
      <w:pPr>
        <w:tabs>
          <w:tab w:val="left" w:pos="57"/>
        </w:tabs>
        <w:ind w:left="363" w:hanging="363"/>
      </w:pPr>
      <w:rPr>
        <w:rFonts w:hint="eastAsia" w:cs="Times New Roman"/>
      </w:rPr>
    </w:lvl>
    <w:lvl w:ilvl="6" w:tentative="0">
      <w:start w:val="1"/>
      <w:numFmt w:val="decimal"/>
      <w:lvlText w:val="%7."/>
      <w:lvlJc w:val="left"/>
      <w:pPr>
        <w:tabs>
          <w:tab w:val="left" w:pos="57"/>
        </w:tabs>
        <w:ind w:left="363" w:hanging="363"/>
      </w:pPr>
      <w:rPr>
        <w:rFonts w:hint="eastAsia" w:cs="Times New Roman"/>
      </w:rPr>
    </w:lvl>
    <w:lvl w:ilvl="7" w:tentative="0">
      <w:start w:val="1"/>
      <w:numFmt w:val="lowerLetter"/>
      <w:lvlText w:val="%8)"/>
      <w:lvlJc w:val="left"/>
      <w:pPr>
        <w:tabs>
          <w:tab w:val="left" w:pos="57"/>
        </w:tabs>
        <w:ind w:left="363" w:hanging="363"/>
      </w:pPr>
      <w:rPr>
        <w:rFonts w:hint="eastAsia" w:cs="Times New Roman"/>
      </w:rPr>
    </w:lvl>
    <w:lvl w:ilvl="8" w:tentative="0">
      <w:start w:val="1"/>
      <w:numFmt w:val="lowerRoman"/>
      <w:lvlText w:val="%9."/>
      <w:lvlJc w:val="right"/>
      <w:pPr>
        <w:tabs>
          <w:tab w:val="left" w:pos="57"/>
        </w:tabs>
        <w:ind w:left="363" w:hanging="363"/>
      </w:pPr>
      <w:rPr>
        <w:rFonts w:hint="eastAsia" w:cs="Times New Roman"/>
      </w:rPr>
    </w:lvl>
  </w:abstractNum>
  <w:abstractNum w:abstractNumId="4">
    <w:nsid w:val="1DBF583A"/>
    <w:multiLevelType w:val="multilevel"/>
    <w:tmpl w:val="1DBF583A"/>
    <w:lvl w:ilvl="0" w:tentative="0">
      <w:start w:val="1"/>
      <w:numFmt w:val="decimal"/>
      <w:pStyle w:val="59"/>
      <w:suff w:val="nothing"/>
      <w:lvlText w:val="注%1："/>
      <w:lvlJc w:val="left"/>
      <w:pPr>
        <w:ind w:left="811" w:hanging="448"/>
      </w:pPr>
      <w:rPr>
        <w:rFonts w:hint="eastAsia" w:ascii="黑体" w:eastAsia="黑体" w:cs="Times New Roman"/>
        <w:b w:val="0"/>
        <w:i w:val="0"/>
        <w:sz w:val="18"/>
        <w:szCs w:val="18"/>
        <w:vertAlign w:val="baseline"/>
      </w:rPr>
    </w:lvl>
    <w:lvl w:ilvl="1" w:tentative="0">
      <w:start w:val="1"/>
      <w:numFmt w:val="lowerLetter"/>
      <w:lvlText w:val="%2)"/>
      <w:lvlJc w:val="left"/>
      <w:pPr>
        <w:tabs>
          <w:tab w:val="left" w:pos="180"/>
        </w:tabs>
        <w:ind w:left="1172" w:hanging="629"/>
      </w:pPr>
      <w:rPr>
        <w:rFonts w:hint="eastAsia" w:cs="Times New Roman"/>
        <w:vertAlign w:val="baseline"/>
      </w:rPr>
    </w:lvl>
    <w:lvl w:ilvl="2" w:tentative="0">
      <w:start w:val="1"/>
      <w:numFmt w:val="lowerRoman"/>
      <w:lvlText w:val="%3."/>
      <w:lvlJc w:val="right"/>
      <w:pPr>
        <w:tabs>
          <w:tab w:val="left" w:pos="180"/>
        </w:tabs>
        <w:ind w:left="1172" w:hanging="629"/>
      </w:pPr>
      <w:rPr>
        <w:rFonts w:hint="eastAsia" w:cs="Times New Roman"/>
        <w:vertAlign w:val="baseline"/>
      </w:rPr>
    </w:lvl>
    <w:lvl w:ilvl="3" w:tentative="0">
      <w:start w:val="1"/>
      <w:numFmt w:val="decimal"/>
      <w:lvlText w:val="%4."/>
      <w:lvlJc w:val="left"/>
      <w:pPr>
        <w:tabs>
          <w:tab w:val="left" w:pos="180"/>
        </w:tabs>
        <w:ind w:left="1172" w:hanging="629"/>
      </w:pPr>
      <w:rPr>
        <w:rFonts w:hint="eastAsia" w:cs="Times New Roman"/>
        <w:vertAlign w:val="baseline"/>
      </w:rPr>
    </w:lvl>
    <w:lvl w:ilvl="4" w:tentative="0">
      <w:start w:val="1"/>
      <w:numFmt w:val="lowerLetter"/>
      <w:lvlText w:val="%5)"/>
      <w:lvlJc w:val="left"/>
      <w:pPr>
        <w:tabs>
          <w:tab w:val="left" w:pos="180"/>
        </w:tabs>
        <w:ind w:left="1172" w:hanging="629"/>
      </w:pPr>
      <w:rPr>
        <w:rFonts w:hint="eastAsia" w:cs="Times New Roman"/>
        <w:vertAlign w:val="baseline"/>
      </w:rPr>
    </w:lvl>
    <w:lvl w:ilvl="5" w:tentative="0">
      <w:start w:val="1"/>
      <w:numFmt w:val="lowerRoman"/>
      <w:lvlText w:val="%6."/>
      <w:lvlJc w:val="right"/>
      <w:pPr>
        <w:tabs>
          <w:tab w:val="left" w:pos="180"/>
        </w:tabs>
        <w:ind w:left="1172" w:hanging="629"/>
      </w:pPr>
      <w:rPr>
        <w:rFonts w:hint="eastAsia" w:cs="Times New Roman"/>
        <w:vertAlign w:val="baseline"/>
      </w:rPr>
    </w:lvl>
    <w:lvl w:ilvl="6" w:tentative="0">
      <w:start w:val="1"/>
      <w:numFmt w:val="decimal"/>
      <w:lvlText w:val="%7."/>
      <w:lvlJc w:val="left"/>
      <w:pPr>
        <w:tabs>
          <w:tab w:val="left" w:pos="180"/>
        </w:tabs>
        <w:ind w:left="1172" w:hanging="629"/>
      </w:pPr>
      <w:rPr>
        <w:rFonts w:hint="eastAsia" w:cs="Times New Roman"/>
        <w:vertAlign w:val="baseline"/>
      </w:rPr>
    </w:lvl>
    <w:lvl w:ilvl="7" w:tentative="0">
      <w:start w:val="1"/>
      <w:numFmt w:val="lowerLetter"/>
      <w:lvlText w:val="%8)"/>
      <w:lvlJc w:val="left"/>
      <w:pPr>
        <w:tabs>
          <w:tab w:val="left" w:pos="180"/>
        </w:tabs>
        <w:ind w:left="1172" w:hanging="629"/>
      </w:pPr>
      <w:rPr>
        <w:rFonts w:hint="eastAsia" w:cs="Times New Roman"/>
        <w:vertAlign w:val="baseline"/>
      </w:rPr>
    </w:lvl>
    <w:lvl w:ilvl="8" w:tentative="0">
      <w:start w:val="1"/>
      <w:numFmt w:val="lowerRoman"/>
      <w:lvlText w:val="%9."/>
      <w:lvlJc w:val="right"/>
      <w:pPr>
        <w:tabs>
          <w:tab w:val="left" w:pos="180"/>
        </w:tabs>
        <w:ind w:left="1172" w:hanging="629"/>
      </w:pPr>
      <w:rPr>
        <w:rFonts w:hint="eastAsia" w:cs="Times New Roman"/>
        <w:vertAlign w:val="baseline"/>
      </w:rPr>
    </w:lvl>
  </w:abstractNum>
  <w:abstractNum w:abstractNumId="5">
    <w:nsid w:val="1FC91163"/>
    <w:multiLevelType w:val="multilevel"/>
    <w:tmpl w:val="1FC91163"/>
    <w:lvl w:ilvl="0" w:tentative="0">
      <w:start w:val="1"/>
      <w:numFmt w:val="decimal"/>
      <w:pStyle w:val="76"/>
      <w:suff w:val="nothing"/>
      <w:lvlText w:val="%1　"/>
      <w:lvlJc w:val="left"/>
      <w:rPr>
        <w:rFonts w:hint="eastAsia" w:ascii="黑体" w:hAnsi="Times New Roman" w:eastAsia="黑体" w:cs="Times New Roman"/>
        <w:b w:val="0"/>
        <w:i w:val="0"/>
        <w:sz w:val="21"/>
        <w:szCs w:val="21"/>
      </w:rPr>
    </w:lvl>
    <w:lvl w:ilvl="1" w:tentative="0">
      <w:start w:val="1"/>
      <w:numFmt w:val="decimal"/>
      <w:pStyle w:val="62"/>
      <w:suff w:val="nothing"/>
      <w:lvlText w:val="%1.%2　"/>
      <w:lvlJc w:val="left"/>
      <w:rPr>
        <w:rFonts w:hint="eastAsia" w:ascii="黑体" w:hAnsi="Times New Roman" w:eastAsia="黑体" w:cs="Times New Roman"/>
        <w:b w:val="0"/>
        <w:bCs w:val="0"/>
        <w:i w:val="0"/>
        <w:iCs w:val="0"/>
        <w:caps w:val="0"/>
        <w:strike w:val="0"/>
        <w:dstrike w:val="0"/>
        <w:vanish w:val="0"/>
        <w:color w:val="000000"/>
        <w:spacing w:val="0"/>
        <w:kern w:val="0"/>
        <w:position w:val="0"/>
        <w:sz w:val="21"/>
        <w:szCs w:val="21"/>
        <w:u w:val="none"/>
        <w:vertAlign w:val="baseline"/>
        <w14:shadow w14:blurRad="0" w14:dist="0" w14:dir="0" w14:sx="0" w14:sy="0" w14:kx="0" w14:ky="0" w14:algn="none">
          <w14:srgbClr w14:val="000000"/>
        </w14:shadow>
      </w:rPr>
    </w:lvl>
    <w:lvl w:ilvl="2" w:tentative="0">
      <w:start w:val="1"/>
      <w:numFmt w:val="decimal"/>
      <w:pStyle w:val="61"/>
      <w:suff w:val="nothing"/>
      <w:lvlText w:val="%1.%2.%3　"/>
      <w:lvlJc w:val="left"/>
      <w:pPr>
        <w:ind w:left="0"/>
      </w:pPr>
      <w:rPr>
        <w:rFonts w:hint="default" w:ascii="Times New Roman" w:hAnsi="Times New Roman" w:eastAsia="黑体" w:cs="Times New Roman"/>
        <w:b w:val="0"/>
        <w:i w:val="0"/>
        <w:sz w:val="21"/>
      </w:rPr>
    </w:lvl>
    <w:lvl w:ilvl="3" w:tentative="0">
      <w:start w:val="1"/>
      <w:numFmt w:val="decimal"/>
      <w:pStyle w:val="60"/>
      <w:suff w:val="nothing"/>
      <w:lvlText w:val="%1.%2.%3.%4　"/>
      <w:lvlJc w:val="left"/>
      <w:rPr>
        <w:rFonts w:hint="eastAsia" w:ascii="黑体" w:hAnsi="Times New Roman" w:eastAsia="黑体" w:cs="Times New Roman"/>
        <w:b w:val="0"/>
        <w:i w:val="0"/>
        <w:sz w:val="21"/>
      </w:rPr>
    </w:lvl>
    <w:lvl w:ilvl="4" w:tentative="0">
      <w:start w:val="1"/>
      <w:numFmt w:val="decimal"/>
      <w:pStyle w:val="89"/>
      <w:suff w:val="nothing"/>
      <w:lvlText w:val="%1.%2.%3.%4.%5　"/>
      <w:lvlJc w:val="left"/>
      <w:rPr>
        <w:rFonts w:hint="eastAsia" w:ascii="黑体" w:hAnsi="Times New Roman" w:eastAsia="黑体" w:cs="Times New Roman"/>
        <w:b w:val="0"/>
        <w:i w:val="0"/>
        <w:sz w:val="21"/>
      </w:rPr>
    </w:lvl>
    <w:lvl w:ilvl="5" w:tentative="0">
      <w:start w:val="1"/>
      <w:numFmt w:val="decimal"/>
      <w:pStyle w:val="114"/>
      <w:suff w:val="nothing"/>
      <w:lvlText w:val="%1.%2.%3.%4.%5.%6　"/>
      <w:lvlJc w:val="left"/>
      <w:rPr>
        <w:rFonts w:hint="eastAsia" w:ascii="黑体" w:hAnsi="Times New Roman" w:eastAsia="黑体" w:cs="Times New Roman"/>
        <w:b w:val="0"/>
        <w:i w:val="0"/>
        <w:sz w:val="21"/>
      </w:rPr>
    </w:lvl>
    <w:lvl w:ilvl="6" w:tentative="0">
      <w:start w:val="1"/>
      <w:numFmt w:val="decimal"/>
      <w:suff w:val="nothing"/>
      <w:lvlText w:val="%1%2.%3.%4.%5.%6.%7　"/>
      <w:lvlJc w:val="left"/>
      <w:rPr>
        <w:rFonts w:hint="eastAsia" w:ascii="黑体" w:hAnsi="Times New Roman" w:eastAsia="黑体" w:cs="Times New Roman"/>
        <w:b w:val="0"/>
        <w:i w:val="0"/>
        <w:sz w:val="21"/>
      </w:rPr>
    </w:lvl>
    <w:lvl w:ilvl="7" w:tentative="0">
      <w:start w:val="1"/>
      <w:numFmt w:val="decimal"/>
      <w:lvlText w:val="%1.%2.%3.%4.%5.%6.%7.%8"/>
      <w:lvlJc w:val="left"/>
      <w:pPr>
        <w:tabs>
          <w:tab w:val="left" w:pos="4351"/>
        </w:tabs>
        <w:ind w:left="3969" w:hanging="1418"/>
      </w:pPr>
      <w:rPr>
        <w:rFonts w:hint="eastAsia" w:cs="Times New Roman"/>
      </w:rPr>
    </w:lvl>
    <w:lvl w:ilvl="8" w:tentative="0">
      <w:start w:val="1"/>
      <w:numFmt w:val="decimal"/>
      <w:lvlText w:val="%1.%2.%3.%4.%5.%6.%7.%8.%9"/>
      <w:lvlJc w:val="left"/>
      <w:pPr>
        <w:tabs>
          <w:tab w:val="left" w:pos="4777"/>
        </w:tabs>
        <w:ind w:left="4677" w:hanging="1700"/>
      </w:pPr>
      <w:rPr>
        <w:rFonts w:hint="eastAsia" w:cs="Times New Roman"/>
      </w:rPr>
    </w:lvl>
  </w:abstractNum>
  <w:abstractNum w:abstractNumId="6">
    <w:nsid w:val="2A8F7113"/>
    <w:multiLevelType w:val="multilevel"/>
    <w:tmpl w:val="2A8F7113"/>
    <w:lvl w:ilvl="0" w:tentative="0">
      <w:start w:val="1"/>
      <w:numFmt w:val="upperLetter"/>
      <w:pStyle w:val="93"/>
      <w:suff w:val="space"/>
      <w:lvlText w:val="%1"/>
      <w:lvlJc w:val="left"/>
      <w:pPr>
        <w:ind w:left="623" w:hanging="425"/>
      </w:pPr>
      <w:rPr>
        <w:rFonts w:hint="eastAsia" w:cs="Times New Roman"/>
      </w:rPr>
    </w:lvl>
    <w:lvl w:ilvl="1" w:tentative="0">
      <w:start w:val="1"/>
      <w:numFmt w:val="decimal"/>
      <w:pStyle w:val="142"/>
      <w:suff w:val="nothing"/>
      <w:lvlText w:val="图%1.%2　"/>
      <w:lvlJc w:val="left"/>
      <w:pPr>
        <w:ind w:left="1190" w:hanging="567"/>
      </w:pPr>
      <w:rPr>
        <w:rFonts w:hint="eastAsia" w:cs="Times New Roman"/>
      </w:rPr>
    </w:lvl>
    <w:lvl w:ilvl="2" w:tentative="0">
      <w:start w:val="1"/>
      <w:numFmt w:val="decimal"/>
      <w:lvlText w:val="%1.%2.%3"/>
      <w:lvlJc w:val="left"/>
      <w:pPr>
        <w:tabs>
          <w:tab w:val="left" w:pos="1616"/>
        </w:tabs>
        <w:ind w:left="1616" w:hanging="567"/>
      </w:pPr>
      <w:rPr>
        <w:rFonts w:hint="eastAsia" w:cs="Times New Roman"/>
      </w:rPr>
    </w:lvl>
    <w:lvl w:ilvl="3" w:tentative="0">
      <w:start w:val="1"/>
      <w:numFmt w:val="decimal"/>
      <w:lvlText w:val="%1.%2.%3.%4"/>
      <w:lvlJc w:val="left"/>
      <w:pPr>
        <w:tabs>
          <w:tab w:val="left" w:pos="2914"/>
        </w:tabs>
        <w:ind w:left="2182" w:hanging="708"/>
      </w:pPr>
      <w:rPr>
        <w:rFonts w:hint="eastAsia" w:cs="Times New Roman"/>
      </w:rPr>
    </w:lvl>
    <w:lvl w:ilvl="4" w:tentative="0">
      <w:start w:val="1"/>
      <w:numFmt w:val="decimal"/>
      <w:lvlText w:val="%1.%2.%3.%4.%5"/>
      <w:lvlJc w:val="left"/>
      <w:pPr>
        <w:tabs>
          <w:tab w:val="left" w:pos="3699"/>
        </w:tabs>
        <w:ind w:left="2749" w:hanging="850"/>
      </w:pPr>
      <w:rPr>
        <w:rFonts w:hint="eastAsia" w:cs="Times New Roman"/>
      </w:rPr>
    </w:lvl>
    <w:lvl w:ilvl="5" w:tentative="0">
      <w:start w:val="1"/>
      <w:numFmt w:val="decimal"/>
      <w:lvlText w:val="%1.%2.%3.%4.%5.%6"/>
      <w:lvlJc w:val="left"/>
      <w:pPr>
        <w:tabs>
          <w:tab w:val="left" w:pos="4484"/>
        </w:tabs>
        <w:ind w:left="3458" w:hanging="1134"/>
      </w:pPr>
      <w:rPr>
        <w:rFonts w:hint="eastAsia" w:cs="Times New Roman"/>
      </w:rPr>
    </w:lvl>
    <w:lvl w:ilvl="6" w:tentative="0">
      <w:start w:val="1"/>
      <w:numFmt w:val="decimal"/>
      <w:lvlText w:val="%1.%2.%3.%4.%5.%6.%7"/>
      <w:lvlJc w:val="left"/>
      <w:pPr>
        <w:tabs>
          <w:tab w:val="left" w:pos="5269"/>
        </w:tabs>
        <w:ind w:left="4025" w:hanging="1276"/>
      </w:pPr>
      <w:rPr>
        <w:rFonts w:hint="eastAsia" w:cs="Times New Roman"/>
      </w:rPr>
    </w:lvl>
    <w:lvl w:ilvl="7" w:tentative="0">
      <w:start w:val="1"/>
      <w:numFmt w:val="decimal"/>
      <w:lvlText w:val="%1.%2.%3.%4.%5.%6.%7.%8"/>
      <w:lvlJc w:val="left"/>
      <w:pPr>
        <w:tabs>
          <w:tab w:val="left" w:pos="6054"/>
        </w:tabs>
        <w:ind w:left="4592" w:hanging="1418"/>
      </w:pPr>
      <w:rPr>
        <w:rFonts w:hint="eastAsia" w:cs="Times New Roman"/>
      </w:rPr>
    </w:lvl>
    <w:lvl w:ilvl="8" w:tentative="0">
      <w:start w:val="1"/>
      <w:numFmt w:val="decimal"/>
      <w:lvlText w:val="%1.%2.%3.%4.%5.%6.%7.%8.%9"/>
      <w:lvlJc w:val="left"/>
      <w:pPr>
        <w:tabs>
          <w:tab w:val="left" w:pos="6840"/>
        </w:tabs>
        <w:ind w:left="5300" w:hanging="1700"/>
      </w:pPr>
      <w:rPr>
        <w:rFonts w:hint="eastAsia" w:cs="Times New Roman"/>
      </w:rPr>
    </w:lvl>
  </w:abstractNum>
  <w:abstractNum w:abstractNumId="7">
    <w:nsid w:val="2C5917C3"/>
    <w:multiLevelType w:val="multilevel"/>
    <w:tmpl w:val="2C5917C3"/>
    <w:lvl w:ilvl="0" w:tentative="0">
      <w:start w:val="1"/>
      <w:numFmt w:val="none"/>
      <w:pStyle w:val="112"/>
      <w:suff w:val="nothing"/>
      <w:lvlText w:val="%1——"/>
      <w:lvlJc w:val="left"/>
      <w:pPr>
        <w:ind w:left="833" w:hanging="408"/>
      </w:pPr>
      <w:rPr>
        <w:rFonts w:hint="eastAsia" w:cs="Times New Roman"/>
      </w:rPr>
    </w:lvl>
    <w:lvl w:ilvl="1" w:tentative="0">
      <w:start w:val="1"/>
      <w:numFmt w:val="bullet"/>
      <w:pStyle w:val="120"/>
      <w:lvlText w:val=""/>
      <w:lvlJc w:val="left"/>
      <w:pPr>
        <w:tabs>
          <w:tab w:val="left" w:pos="760"/>
        </w:tabs>
        <w:ind w:left="1264" w:hanging="413"/>
      </w:pPr>
      <w:rPr>
        <w:rFonts w:hint="default" w:ascii="Symbol" w:hAnsi="Symbol"/>
        <w:color w:val="auto"/>
      </w:rPr>
    </w:lvl>
    <w:lvl w:ilvl="2" w:tentative="0">
      <w:start w:val="1"/>
      <w:numFmt w:val="bullet"/>
      <w:pStyle w:val="67"/>
      <w:lvlText w:val=""/>
      <w:lvlJc w:val="left"/>
      <w:pPr>
        <w:tabs>
          <w:tab w:val="left" w:pos="1678"/>
        </w:tabs>
        <w:ind w:left="1678" w:hanging="414"/>
      </w:pPr>
      <w:rPr>
        <w:rFonts w:hint="default" w:ascii="Symbol" w:hAnsi="Symbol"/>
        <w:color w:val="auto"/>
      </w:rPr>
    </w:lvl>
    <w:lvl w:ilvl="3" w:tentative="0">
      <w:start w:val="1"/>
      <w:numFmt w:val="decimal"/>
      <w:lvlText w:val="%4."/>
      <w:lvlJc w:val="left"/>
      <w:pPr>
        <w:tabs>
          <w:tab w:val="left" w:pos="2071"/>
        </w:tabs>
        <w:ind w:left="1884" w:hanging="528"/>
      </w:pPr>
      <w:rPr>
        <w:rFonts w:hint="eastAsia" w:cs="Times New Roman"/>
      </w:rPr>
    </w:lvl>
    <w:lvl w:ilvl="4" w:tentative="0">
      <w:start w:val="1"/>
      <w:numFmt w:val="lowerLetter"/>
      <w:lvlText w:val="%5)"/>
      <w:lvlJc w:val="left"/>
      <w:pPr>
        <w:tabs>
          <w:tab w:val="left" w:pos="2383"/>
        </w:tabs>
        <w:ind w:left="2196" w:hanging="528"/>
      </w:pPr>
      <w:rPr>
        <w:rFonts w:hint="eastAsia" w:cs="Times New Roman"/>
      </w:rPr>
    </w:lvl>
    <w:lvl w:ilvl="5" w:tentative="0">
      <w:start w:val="1"/>
      <w:numFmt w:val="lowerRoman"/>
      <w:lvlText w:val="%6."/>
      <w:lvlJc w:val="right"/>
      <w:pPr>
        <w:tabs>
          <w:tab w:val="left" w:pos="2695"/>
        </w:tabs>
        <w:ind w:left="2508" w:hanging="528"/>
      </w:pPr>
      <w:rPr>
        <w:rFonts w:hint="eastAsia" w:cs="Times New Roman"/>
      </w:rPr>
    </w:lvl>
    <w:lvl w:ilvl="6" w:tentative="0">
      <w:start w:val="1"/>
      <w:numFmt w:val="decimal"/>
      <w:lvlText w:val="%7."/>
      <w:lvlJc w:val="left"/>
      <w:pPr>
        <w:tabs>
          <w:tab w:val="left" w:pos="3007"/>
        </w:tabs>
        <w:ind w:left="2820" w:hanging="528"/>
      </w:pPr>
      <w:rPr>
        <w:rFonts w:hint="eastAsia" w:cs="Times New Roman"/>
      </w:rPr>
    </w:lvl>
    <w:lvl w:ilvl="7" w:tentative="0">
      <w:start w:val="1"/>
      <w:numFmt w:val="lowerLetter"/>
      <w:lvlText w:val="%8)"/>
      <w:lvlJc w:val="left"/>
      <w:pPr>
        <w:tabs>
          <w:tab w:val="left" w:pos="3319"/>
        </w:tabs>
        <w:ind w:left="3132" w:hanging="528"/>
      </w:pPr>
      <w:rPr>
        <w:rFonts w:hint="eastAsia" w:cs="Times New Roman"/>
      </w:rPr>
    </w:lvl>
    <w:lvl w:ilvl="8" w:tentative="0">
      <w:start w:val="1"/>
      <w:numFmt w:val="lowerRoman"/>
      <w:lvlText w:val="%9."/>
      <w:lvlJc w:val="right"/>
      <w:pPr>
        <w:tabs>
          <w:tab w:val="left" w:pos="3631"/>
        </w:tabs>
        <w:ind w:left="3444" w:hanging="528"/>
      </w:pPr>
      <w:rPr>
        <w:rFonts w:hint="eastAsia" w:cs="Times New Roman"/>
      </w:rPr>
    </w:lvl>
  </w:abstractNum>
  <w:abstractNum w:abstractNumId="8">
    <w:nsid w:val="3D733618"/>
    <w:multiLevelType w:val="multilevel"/>
    <w:tmpl w:val="3D733618"/>
    <w:lvl w:ilvl="0" w:tentative="0">
      <w:start w:val="1"/>
      <w:numFmt w:val="decimal"/>
      <w:pStyle w:val="25"/>
      <w:lvlText w:val="%1)"/>
      <w:lvlJc w:val="left"/>
      <w:pPr>
        <w:tabs>
          <w:tab w:val="left" w:pos="0"/>
        </w:tabs>
        <w:ind w:left="720" w:hanging="357"/>
      </w:pPr>
      <w:rPr>
        <w:rFonts w:hint="eastAsia" w:cs="Times New Roman"/>
      </w:rPr>
    </w:lvl>
    <w:lvl w:ilvl="1" w:tentative="0">
      <w:start w:val="1"/>
      <w:numFmt w:val="lowerLetter"/>
      <w:lvlText w:val="%2)"/>
      <w:lvlJc w:val="left"/>
      <w:pPr>
        <w:tabs>
          <w:tab w:val="left" w:pos="504"/>
        </w:tabs>
        <w:ind w:left="544" w:hanging="544"/>
      </w:pPr>
      <w:rPr>
        <w:rFonts w:hint="eastAsia" w:cs="Times New Roman"/>
      </w:rPr>
    </w:lvl>
    <w:lvl w:ilvl="2" w:tentative="0">
      <w:start w:val="1"/>
      <w:numFmt w:val="lowerRoman"/>
      <w:lvlText w:val="%3."/>
      <w:lvlJc w:val="right"/>
      <w:pPr>
        <w:tabs>
          <w:tab w:val="left" w:pos="532"/>
        </w:tabs>
        <w:ind w:left="544" w:hanging="544"/>
      </w:pPr>
      <w:rPr>
        <w:rFonts w:hint="eastAsia" w:cs="Times New Roman"/>
      </w:rPr>
    </w:lvl>
    <w:lvl w:ilvl="3" w:tentative="0">
      <w:start w:val="1"/>
      <w:numFmt w:val="decimal"/>
      <w:lvlText w:val="%4."/>
      <w:lvlJc w:val="left"/>
      <w:pPr>
        <w:tabs>
          <w:tab w:val="left" w:pos="560"/>
        </w:tabs>
        <w:ind w:left="544" w:hanging="544"/>
      </w:pPr>
      <w:rPr>
        <w:rFonts w:hint="eastAsia" w:cs="Times New Roman"/>
      </w:rPr>
    </w:lvl>
    <w:lvl w:ilvl="4" w:tentative="0">
      <w:start w:val="1"/>
      <w:numFmt w:val="lowerLetter"/>
      <w:lvlText w:val="%5)"/>
      <w:lvlJc w:val="left"/>
      <w:pPr>
        <w:tabs>
          <w:tab w:val="left" w:pos="588"/>
        </w:tabs>
        <w:ind w:left="544" w:hanging="544"/>
      </w:pPr>
      <w:rPr>
        <w:rFonts w:hint="eastAsia" w:cs="Times New Roman"/>
      </w:rPr>
    </w:lvl>
    <w:lvl w:ilvl="5" w:tentative="0">
      <w:start w:val="1"/>
      <w:numFmt w:val="lowerRoman"/>
      <w:lvlText w:val="%6."/>
      <w:lvlJc w:val="right"/>
      <w:pPr>
        <w:tabs>
          <w:tab w:val="left" w:pos="616"/>
        </w:tabs>
        <w:ind w:left="544" w:hanging="544"/>
      </w:pPr>
      <w:rPr>
        <w:rFonts w:hint="eastAsia" w:cs="Times New Roman"/>
      </w:rPr>
    </w:lvl>
    <w:lvl w:ilvl="6" w:tentative="0">
      <w:start w:val="1"/>
      <w:numFmt w:val="decimal"/>
      <w:lvlText w:val="%7."/>
      <w:lvlJc w:val="left"/>
      <w:pPr>
        <w:tabs>
          <w:tab w:val="left" w:pos="644"/>
        </w:tabs>
        <w:ind w:left="544" w:hanging="544"/>
      </w:pPr>
      <w:rPr>
        <w:rFonts w:hint="eastAsia" w:cs="Times New Roman"/>
      </w:rPr>
    </w:lvl>
    <w:lvl w:ilvl="7" w:tentative="0">
      <w:start w:val="1"/>
      <w:numFmt w:val="lowerLetter"/>
      <w:lvlText w:val="%8)"/>
      <w:lvlJc w:val="left"/>
      <w:pPr>
        <w:tabs>
          <w:tab w:val="left" w:pos="672"/>
        </w:tabs>
        <w:ind w:left="544" w:hanging="544"/>
      </w:pPr>
      <w:rPr>
        <w:rFonts w:hint="eastAsia" w:cs="Times New Roman"/>
      </w:rPr>
    </w:lvl>
    <w:lvl w:ilvl="8" w:tentative="0">
      <w:start w:val="1"/>
      <w:numFmt w:val="lowerRoman"/>
      <w:lvlText w:val="%9."/>
      <w:lvlJc w:val="right"/>
      <w:pPr>
        <w:tabs>
          <w:tab w:val="left" w:pos="700"/>
        </w:tabs>
        <w:ind w:left="544" w:hanging="544"/>
      </w:pPr>
      <w:rPr>
        <w:rFonts w:hint="eastAsia" w:cs="Times New Roman"/>
      </w:rPr>
    </w:lvl>
  </w:abstractNum>
  <w:abstractNum w:abstractNumId="9">
    <w:nsid w:val="44C50F90"/>
    <w:multiLevelType w:val="multilevel"/>
    <w:tmpl w:val="44C50F90"/>
    <w:lvl w:ilvl="0" w:tentative="0">
      <w:start w:val="1"/>
      <w:numFmt w:val="lowerLetter"/>
      <w:pStyle w:val="91"/>
      <w:lvlText w:val="%1)"/>
      <w:lvlJc w:val="left"/>
      <w:pPr>
        <w:tabs>
          <w:tab w:val="left" w:pos="840"/>
        </w:tabs>
        <w:ind w:left="839" w:hanging="419"/>
      </w:pPr>
      <w:rPr>
        <w:rFonts w:hint="eastAsia" w:ascii="宋体" w:eastAsia="宋体" w:cs="Times New Roman"/>
        <w:b w:val="0"/>
        <w:i w:val="0"/>
        <w:sz w:val="21"/>
        <w:szCs w:val="21"/>
      </w:rPr>
    </w:lvl>
    <w:lvl w:ilvl="1" w:tentative="0">
      <w:start w:val="1"/>
      <w:numFmt w:val="decimal"/>
      <w:pStyle w:val="74"/>
      <w:lvlText w:val="%2)"/>
      <w:lvlJc w:val="left"/>
      <w:pPr>
        <w:tabs>
          <w:tab w:val="left" w:pos="1260"/>
        </w:tabs>
        <w:ind w:left="1259" w:hanging="419"/>
      </w:pPr>
      <w:rPr>
        <w:rFonts w:hint="eastAsia" w:cs="Times New Roman"/>
      </w:rPr>
    </w:lvl>
    <w:lvl w:ilvl="2" w:tentative="0">
      <w:start w:val="1"/>
      <w:numFmt w:val="decimal"/>
      <w:pStyle w:val="78"/>
      <w:lvlText w:val="(%3)"/>
      <w:lvlJc w:val="left"/>
      <w:pPr>
        <w:tabs>
          <w:tab w:val="left" w:pos="0"/>
        </w:tabs>
        <w:ind w:left="1679" w:hanging="420"/>
      </w:pPr>
      <w:rPr>
        <w:rFonts w:hint="eastAsia" w:ascii="宋体" w:eastAsia="宋体" w:cs="Times New Roman"/>
        <w:b w:val="0"/>
        <w:i w:val="0"/>
        <w:sz w:val="21"/>
        <w:szCs w:val="21"/>
      </w:rPr>
    </w:lvl>
    <w:lvl w:ilvl="3" w:tentative="0">
      <w:start w:val="1"/>
      <w:numFmt w:val="decimal"/>
      <w:lvlText w:val="%4."/>
      <w:lvlJc w:val="left"/>
      <w:pPr>
        <w:tabs>
          <w:tab w:val="left" w:pos="2100"/>
        </w:tabs>
        <w:ind w:left="2099" w:hanging="419"/>
      </w:pPr>
      <w:rPr>
        <w:rFonts w:hint="eastAsia" w:cs="Times New Roman"/>
      </w:rPr>
    </w:lvl>
    <w:lvl w:ilvl="4" w:tentative="0">
      <w:start w:val="1"/>
      <w:numFmt w:val="lowerLetter"/>
      <w:lvlText w:val="%5)"/>
      <w:lvlJc w:val="left"/>
      <w:pPr>
        <w:tabs>
          <w:tab w:val="left" w:pos="2520"/>
        </w:tabs>
        <w:ind w:left="2519" w:hanging="419"/>
      </w:pPr>
      <w:rPr>
        <w:rFonts w:hint="eastAsia" w:cs="Times New Roman"/>
      </w:rPr>
    </w:lvl>
    <w:lvl w:ilvl="5" w:tentative="0">
      <w:start w:val="1"/>
      <w:numFmt w:val="lowerRoman"/>
      <w:lvlText w:val="%6."/>
      <w:lvlJc w:val="right"/>
      <w:pPr>
        <w:tabs>
          <w:tab w:val="left" w:pos="2940"/>
        </w:tabs>
        <w:ind w:left="2939" w:hanging="419"/>
      </w:pPr>
      <w:rPr>
        <w:rFonts w:hint="eastAsia" w:cs="Times New Roman"/>
      </w:rPr>
    </w:lvl>
    <w:lvl w:ilvl="6" w:tentative="0">
      <w:start w:val="1"/>
      <w:numFmt w:val="decimal"/>
      <w:lvlText w:val="%7."/>
      <w:lvlJc w:val="left"/>
      <w:pPr>
        <w:tabs>
          <w:tab w:val="left" w:pos="3360"/>
        </w:tabs>
        <w:ind w:left="3359" w:hanging="419"/>
      </w:pPr>
      <w:rPr>
        <w:rFonts w:hint="eastAsia" w:cs="Times New Roman"/>
      </w:rPr>
    </w:lvl>
    <w:lvl w:ilvl="7" w:tentative="0">
      <w:start w:val="1"/>
      <w:numFmt w:val="lowerLetter"/>
      <w:lvlText w:val="%8)"/>
      <w:lvlJc w:val="left"/>
      <w:pPr>
        <w:tabs>
          <w:tab w:val="left" w:pos="3780"/>
        </w:tabs>
        <w:ind w:left="3779" w:hanging="419"/>
      </w:pPr>
      <w:rPr>
        <w:rFonts w:hint="eastAsia" w:cs="Times New Roman"/>
      </w:rPr>
    </w:lvl>
    <w:lvl w:ilvl="8" w:tentative="0">
      <w:start w:val="1"/>
      <w:numFmt w:val="lowerRoman"/>
      <w:lvlText w:val="%9."/>
      <w:lvlJc w:val="right"/>
      <w:pPr>
        <w:tabs>
          <w:tab w:val="left" w:pos="4200"/>
        </w:tabs>
        <w:ind w:left="4199" w:hanging="419"/>
      </w:pPr>
      <w:rPr>
        <w:rFonts w:hint="eastAsia" w:cs="Times New Roman"/>
      </w:rPr>
    </w:lvl>
  </w:abstractNum>
  <w:abstractNum w:abstractNumId="10">
    <w:nsid w:val="4B733A5F"/>
    <w:multiLevelType w:val="multilevel"/>
    <w:tmpl w:val="4B733A5F"/>
    <w:lvl w:ilvl="0" w:tentative="0">
      <w:start w:val="1"/>
      <w:numFmt w:val="decimal"/>
      <w:pStyle w:val="75"/>
      <w:suff w:val="nothing"/>
      <w:lvlText w:val="示例%1："/>
      <w:lvlJc w:val="left"/>
      <w:pPr>
        <w:ind w:firstLine="363"/>
      </w:pPr>
      <w:rPr>
        <w:rFonts w:hint="eastAsia" w:ascii="黑体" w:hAnsi="Times New Roman" w:eastAsia="黑体" w:cs="Times New Roman"/>
        <w:b w:val="0"/>
        <w:i w:val="0"/>
        <w:sz w:val="18"/>
        <w:szCs w:val="18"/>
        <w:vertAlign w:val="baseline"/>
      </w:rPr>
    </w:lvl>
    <w:lvl w:ilvl="1" w:tentative="0">
      <w:start w:val="1"/>
      <w:numFmt w:val="none"/>
      <w:suff w:val="space"/>
      <w:lvlText w:val=""/>
      <w:lvlJc w:val="left"/>
      <w:rPr>
        <w:rFonts w:hint="eastAsia" w:cs="Times New Roman"/>
        <w:vertAlign w:val="baseline"/>
      </w:rPr>
    </w:lvl>
    <w:lvl w:ilvl="2" w:tentative="0">
      <w:start w:val="1"/>
      <w:numFmt w:val="decimal"/>
      <w:suff w:val="space"/>
      <w:lvlText w:val="2.2.%3"/>
      <w:lvlJc w:val="left"/>
      <w:rPr>
        <w:rFonts w:hint="eastAsia" w:cs="Times New Roman"/>
        <w:vertAlign w:val="baseline"/>
      </w:rPr>
    </w:lvl>
    <w:lvl w:ilvl="3" w:tentative="0">
      <w:start w:val="1"/>
      <w:numFmt w:val="decimal"/>
      <w:lvlText w:val="%4."/>
      <w:lvlJc w:val="left"/>
      <w:pPr>
        <w:tabs>
          <w:tab w:val="left" w:pos="0"/>
        </w:tabs>
        <w:ind w:left="992" w:hanging="629"/>
      </w:pPr>
      <w:rPr>
        <w:rFonts w:hint="eastAsia" w:cs="Times New Roman"/>
        <w:vertAlign w:val="baseline"/>
      </w:rPr>
    </w:lvl>
    <w:lvl w:ilvl="4" w:tentative="0">
      <w:start w:val="1"/>
      <w:numFmt w:val="lowerLetter"/>
      <w:lvlText w:val="%5)"/>
      <w:lvlJc w:val="left"/>
      <w:pPr>
        <w:tabs>
          <w:tab w:val="left" w:pos="0"/>
        </w:tabs>
        <w:ind w:left="992" w:hanging="629"/>
      </w:pPr>
      <w:rPr>
        <w:rFonts w:hint="eastAsia" w:cs="Times New Roman"/>
        <w:vertAlign w:val="baseline"/>
      </w:rPr>
    </w:lvl>
    <w:lvl w:ilvl="5" w:tentative="0">
      <w:start w:val="1"/>
      <w:numFmt w:val="lowerRoman"/>
      <w:lvlText w:val="%6."/>
      <w:lvlJc w:val="right"/>
      <w:pPr>
        <w:tabs>
          <w:tab w:val="left" w:pos="0"/>
        </w:tabs>
        <w:ind w:left="992" w:hanging="629"/>
      </w:pPr>
      <w:rPr>
        <w:rFonts w:hint="eastAsia" w:cs="Times New Roman"/>
        <w:vertAlign w:val="baseline"/>
      </w:rPr>
    </w:lvl>
    <w:lvl w:ilvl="6" w:tentative="0">
      <w:start w:val="1"/>
      <w:numFmt w:val="decimal"/>
      <w:lvlText w:val="%7."/>
      <w:lvlJc w:val="left"/>
      <w:pPr>
        <w:tabs>
          <w:tab w:val="left" w:pos="0"/>
        </w:tabs>
        <w:ind w:left="992" w:hanging="629"/>
      </w:pPr>
      <w:rPr>
        <w:rFonts w:hint="eastAsia" w:cs="Times New Roman"/>
        <w:vertAlign w:val="baseline"/>
      </w:rPr>
    </w:lvl>
    <w:lvl w:ilvl="7" w:tentative="0">
      <w:start w:val="1"/>
      <w:numFmt w:val="lowerLetter"/>
      <w:lvlText w:val="%8)"/>
      <w:lvlJc w:val="left"/>
      <w:pPr>
        <w:tabs>
          <w:tab w:val="left" w:pos="0"/>
        </w:tabs>
        <w:ind w:left="992" w:hanging="629"/>
      </w:pPr>
      <w:rPr>
        <w:rFonts w:hint="eastAsia" w:cs="Times New Roman"/>
        <w:vertAlign w:val="baseline"/>
      </w:rPr>
    </w:lvl>
    <w:lvl w:ilvl="8" w:tentative="0">
      <w:start w:val="1"/>
      <w:numFmt w:val="lowerRoman"/>
      <w:lvlText w:val="%9."/>
      <w:lvlJc w:val="right"/>
      <w:pPr>
        <w:tabs>
          <w:tab w:val="left" w:pos="0"/>
        </w:tabs>
        <w:ind w:left="992" w:hanging="629"/>
      </w:pPr>
      <w:rPr>
        <w:rFonts w:hint="eastAsia" w:cs="Times New Roman"/>
        <w:vertAlign w:val="baseline"/>
      </w:rPr>
    </w:lvl>
  </w:abstractNum>
  <w:abstractNum w:abstractNumId="11">
    <w:nsid w:val="557C2AF5"/>
    <w:multiLevelType w:val="multilevel"/>
    <w:tmpl w:val="557C2AF5"/>
    <w:lvl w:ilvl="0" w:tentative="0">
      <w:start w:val="1"/>
      <w:numFmt w:val="decimal"/>
      <w:pStyle w:val="84"/>
      <w:suff w:val="nothing"/>
      <w:lvlText w:val="图%1　"/>
      <w:lvlJc w:val="left"/>
      <w:rPr>
        <w:rFonts w:hint="eastAsia" w:ascii="黑体" w:hAnsi="Times New Roman" w:eastAsia="黑体" w:cs="Times New Roman"/>
        <w:b w:val="0"/>
        <w:i w:val="0"/>
        <w:sz w:val="21"/>
      </w:rPr>
    </w:lvl>
    <w:lvl w:ilvl="1" w:tentative="0">
      <w:start w:val="1"/>
      <w:numFmt w:val="decimal"/>
      <w:suff w:val="nothing"/>
      <w:lvlText w:val="%1%2　"/>
      <w:lvlJc w:val="left"/>
      <w:rPr>
        <w:rFonts w:hint="default" w:ascii="Times New Roman" w:hAnsi="Times New Roman" w:eastAsia="黑体" w:cs="Times New Roman"/>
        <w:b w:val="0"/>
        <w:i w:val="0"/>
        <w:sz w:val="21"/>
      </w:rPr>
    </w:lvl>
    <w:lvl w:ilvl="2" w:tentative="0">
      <w:start w:val="1"/>
      <w:numFmt w:val="decimal"/>
      <w:suff w:val="nothing"/>
      <w:lvlText w:val="%1%2.%3　"/>
      <w:lvlJc w:val="left"/>
      <w:rPr>
        <w:rFonts w:hint="default" w:ascii="Times New Roman" w:hAnsi="Times New Roman" w:eastAsia="黑体" w:cs="Times New Roman"/>
        <w:b w:val="0"/>
        <w:i w:val="0"/>
        <w:sz w:val="21"/>
      </w:rPr>
    </w:lvl>
    <w:lvl w:ilvl="3" w:tentative="0">
      <w:start w:val="1"/>
      <w:numFmt w:val="decimal"/>
      <w:suff w:val="nothing"/>
      <w:lvlText w:val="%1%2.%3.%4　"/>
      <w:lvlJc w:val="left"/>
      <w:rPr>
        <w:rFonts w:hint="default" w:ascii="Times New Roman" w:hAnsi="Times New Roman" w:eastAsia="黑体" w:cs="Times New Roman"/>
        <w:b w:val="0"/>
        <w:i w:val="0"/>
        <w:sz w:val="21"/>
      </w:rPr>
    </w:lvl>
    <w:lvl w:ilvl="4" w:tentative="0">
      <w:start w:val="1"/>
      <w:numFmt w:val="decimal"/>
      <w:suff w:val="nothing"/>
      <w:lvlText w:val="%1%2.%3.%4.%5　"/>
      <w:lvlJc w:val="left"/>
      <w:rPr>
        <w:rFonts w:hint="default" w:ascii="Times New Roman" w:hAnsi="Times New Roman" w:eastAsia="黑体" w:cs="Times New Roman"/>
        <w:b w:val="0"/>
        <w:i w:val="0"/>
        <w:sz w:val="21"/>
      </w:rPr>
    </w:lvl>
    <w:lvl w:ilvl="5" w:tentative="0">
      <w:start w:val="1"/>
      <w:numFmt w:val="decimal"/>
      <w:suff w:val="nothing"/>
      <w:lvlText w:val="%1%2.%3.%4.%5.%6　"/>
      <w:lvlJc w:val="left"/>
      <w:rPr>
        <w:rFonts w:hint="default" w:ascii="Times New Roman" w:hAnsi="Times New Roman" w:eastAsia="黑体" w:cs="Times New Roman"/>
        <w:b w:val="0"/>
        <w:i w:val="0"/>
        <w:sz w:val="21"/>
      </w:rPr>
    </w:lvl>
    <w:lvl w:ilvl="6" w:tentative="0">
      <w:start w:val="1"/>
      <w:numFmt w:val="decimal"/>
      <w:suff w:val="nothing"/>
      <w:lvlText w:val="%1%2.%3.%4.%5.%6.%7　"/>
      <w:lvlJc w:val="left"/>
      <w:rPr>
        <w:rFonts w:hint="default" w:ascii="Times New Roman" w:hAnsi="Times New Roman" w:eastAsia="黑体" w:cs="Times New Roman"/>
        <w:b w:val="0"/>
        <w:i w:val="0"/>
        <w:sz w:val="21"/>
      </w:rPr>
    </w:lvl>
    <w:lvl w:ilvl="7" w:tentative="0">
      <w:start w:val="1"/>
      <w:numFmt w:val="decimal"/>
      <w:lvlText w:val="%1.%2.%3.%4.%5.%6.%7.%8"/>
      <w:lvlJc w:val="left"/>
      <w:pPr>
        <w:tabs>
          <w:tab w:val="left" w:pos="4351"/>
        </w:tabs>
        <w:ind w:left="3969" w:hanging="1418"/>
      </w:pPr>
      <w:rPr>
        <w:rFonts w:hint="eastAsia" w:cs="Times New Roman"/>
      </w:rPr>
    </w:lvl>
    <w:lvl w:ilvl="8" w:tentative="0">
      <w:start w:val="1"/>
      <w:numFmt w:val="decimal"/>
      <w:lvlText w:val="%1.%2.%3.%4.%5.%6.%7.%8.%9"/>
      <w:lvlJc w:val="left"/>
      <w:pPr>
        <w:tabs>
          <w:tab w:val="left" w:pos="4777"/>
        </w:tabs>
        <w:ind w:left="4677" w:hanging="1700"/>
      </w:pPr>
      <w:rPr>
        <w:rFonts w:hint="eastAsia" w:cs="Times New Roman"/>
      </w:rPr>
    </w:lvl>
  </w:abstractNum>
  <w:abstractNum w:abstractNumId="12">
    <w:nsid w:val="60B55DC2"/>
    <w:multiLevelType w:val="multilevel"/>
    <w:tmpl w:val="60B55DC2"/>
    <w:lvl w:ilvl="0" w:tentative="0">
      <w:start w:val="1"/>
      <w:numFmt w:val="upperLetter"/>
      <w:pStyle w:val="133"/>
      <w:lvlText w:val="%1"/>
      <w:lvlJc w:val="left"/>
      <w:pPr>
        <w:tabs>
          <w:tab w:val="left" w:pos="0"/>
        </w:tabs>
        <w:ind w:hanging="425"/>
      </w:pPr>
      <w:rPr>
        <w:rFonts w:hint="eastAsia" w:cs="Times New Roman"/>
      </w:rPr>
    </w:lvl>
    <w:lvl w:ilvl="1" w:tentative="0">
      <w:start w:val="1"/>
      <w:numFmt w:val="decimal"/>
      <w:pStyle w:val="135"/>
      <w:suff w:val="nothing"/>
      <w:lvlText w:val="表%1.%2　"/>
      <w:lvlJc w:val="left"/>
      <w:pPr>
        <w:ind w:left="567" w:hanging="567"/>
      </w:pPr>
      <w:rPr>
        <w:rFonts w:hint="eastAsia" w:cs="Times New Roman"/>
      </w:rPr>
    </w:lvl>
    <w:lvl w:ilvl="2" w:tentative="0">
      <w:start w:val="1"/>
      <w:numFmt w:val="decimal"/>
      <w:lvlText w:val="%1.%2.%3"/>
      <w:lvlJc w:val="left"/>
      <w:pPr>
        <w:tabs>
          <w:tab w:val="left" w:pos="993"/>
        </w:tabs>
        <w:ind w:left="993" w:hanging="567"/>
      </w:pPr>
      <w:rPr>
        <w:rFonts w:hint="eastAsia" w:cs="Times New Roman"/>
      </w:rPr>
    </w:lvl>
    <w:lvl w:ilvl="3" w:tentative="0">
      <w:start w:val="1"/>
      <w:numFmt w:val="decimal"/>
      <w:lvlText w:val="%1.%2.%3.%4"/>
      <w:lvlJc w:val="left"/>
      <w:pPr>
        <w:tabs>
          <w:tab w:val="left" w:pos="2291"/>
        </w:tabs>
        <w:ind w:left="1559" w:hanging="708"/>
      </w:pPr>
      <w:rPr>
        <w:rFonts w:hint="eastAsia" w:cs="Times New Roman"/>
      </w:rPr>
    </w:lvl>
    <w:lvl w:ilvl="4" w:tentative="0">
      <w:start w:val="1"/>
      <w:numFmt w:val="decimal"/>
      <w:lvlText w:val="%1.%2.%3.%4.%5"/>
      <w:lvlJc w:val="left"/>
      <w:pPr>
        <w:tabs>
          <w:tab w:val="left" w:pos="3076"/>
        </w:tabs>
        <w:ind w:left="2126" w:hanging="850"/>
      </w:pPr>
      <w:rPr>
        <w:rFonts w:hint="eastAsia" w:cs="Times New Roman"/>
      </w:rPr>
    </w:lvl>
    <w:lvl w:ilvl="5" w:tentative="0">
      <w:start w:val="1"/>
      <w:numFmt w:val="decimal"/>
      <w:lvlText w:val="%1.%2.%3.%4.%5.%6"/>
      <w:lvlJc w:val="left"/>
      <w:pPr>
        <w:tabs>
          <w:tab w:val="left" w:pos="3861"/>
        </w:tabs>
        <w:ind w:left="2835" w:hanging="1134"/>
      </w:pPr>
      <w:rPr>
        <w:rFonts w:hint="eastAsia" w:cs="Times New Roman"/>
      </w:rPr>
    </w:lvl>
    <w:lvl w:ilvl="6" w:tentative="0">
      <w:start w:val="1"/>
      <w:numFmt w:val="decimal"/>
      <w:lvlText w:val="%1.%2.%3.%4.%5.%6.%7"/>
      <w:lvlJc w:val="left"/>
      <w:pPr>
        <w:tabs>
          <w:tab w:val="left" w:pos="4646"/>
        </w:tabs>
        <w:ind w:left="3402" w:hanging="1276"/>
      </w:pPr>
      <w:rPr>
        <w:rFonts w:hint="eastAsia" w:cs="Times New Roman"/>
      </w:rPr>
    </w:lvl>
    <w:lvl w:ilvl="7" w:tentative="0">
      <w:start w:val="1"/>
      <w:numFmt w:val="decimal"/>
      <w:lvlText w:val="%1.%2.%3.%4.%5.%6.%7.%8"/>
      <w:lvlJc w:val="left"/>
      <w:pPr>
        <w:tabs>
          <w:tab w:val="left" w:pos="5431"/>
        </w:tabs>
        <w:ind w:left="3969" w:hanging="1418"/>
      </w:pPr>
      <w:rPr>
        <w:rFonts w:hint="eastAsia" w:cs="Times New Roman"/>
      </w:rPr>
    </w:lvl>
    <w:lvl w:ilvl="8" w:tentative="0">
      <w:start w:val="1"/>
      <w:numFmt w:val="decimal"/>
      <w:lvlText w:val="%1.%2.%3.%4.%5.%6.%7.%8.%9"/>
      <w:lvlJc w:val="left"/>
      <w:pPr>
        <w:tabs>
          <w:tab w:val="left" w:pos="6217"/>
        </w:tabs>
        <w:ind w:left="4677" w:hanging="1700"/>
      </w:pPr>
      <w:rPr>
        <w:rFonts w:hint="eastAsia" w:cs="Times New Roman"/>
      </w:rPr>
    </w:lvl>
  </w:abstractNum>
  <w:abstractNum w:abstractNumId="13">
    <w:nsid w:val="646260FA"/>
    <w:multiLevelType w:val="multilevel"/>
    <w:tmpl w:val="646260FA"/>
    <w:lvl w:ilvl="0" w:tentative="0">
      <w:start w:val="1"/>
      <w:numFmt w:val="decimal"/>
      <w:pStyle w:val="145"/>
      <w:suff w:val="nothing"/>
      <w:lvlText w:val="表%1　"/>
      <w:lvlJc w:val="left"/>
      <w:rPr>
        <w:rFonts w:hint="eastAsia" w:ascii="黑体" w:hAnsi="Times New Roman" w:eastAsia="黑体" w:cs="Times New Roman"/>
        <w:b w:val="0"/>
        <w:i w:val="0"/>
        <w:sz w:val="21"/>
      </w:rPr>
    </w:lvl>
    <w:lvl w:ilvl="1" w:tentative="0">
      <w:start w:val="1"/>
      <w:numFmt w:val="decimal"/>
      <w:lvlText w:val="%1.%2"/>
      <w:lvlJc w:val="left"/>
      <w:pPr>
        <w:tabs>
          <w:tab w:val="left" w:pos="992"/>
        </w:tabs>
        <w:ind w:left="992" w:hanging="567"/>
      </w:pPr>
      <w:rPr>
        <w:rFonts w:hint="eastAsia" w:cs="Times New Roman"/>
      </w:rPr>
    </w:lvl>
    <w:lvl w:ilvl="2" w:tentative="0">
      <w:start w:val="1"/>
      <w:numFmt w:val="decimal"/>
      <w:lvlText w:val="%1.%2.%3"/>
      <w:lvlJc w:val="left"/>
      <w:pPr>
        <w:tabs>
          <w:tab w:val="left" w:pos="1418"/>
        </w:tabs>
        <w:ind w:left="1418" w:hanging="567"/>
      </w:pPr>
      <w:rPr>
        <w:rFonts w:hint="eastAsia" w:cs="Times New Roman"/>
      </w:rPr>
    </w:lvl>
    <w:lvl w:ilvl="3" w:tentative="0">
      <w:start w:val="1"/>
      <w:numFmt w:val="decimal"/>
      <w:lvlText w:val="%1.%2.%3.%4"/>
      <w:lvlJc w:val="left"/>
      <w:pPr>
        <w:tabs>
          <w:tab w:val="left" w:pos="1984"/>
        </w:tabs>
        <w:ind w:left="1984" w:hanging="708"/>
      </w:pPr>
      <w:rPr>
        <w:rFonts w:hint="eastAsia" w:cs="Times New Roman"/>
      </w:rPr>
    </w:lvl>
    <w:lvl w:ilvl="4" w:tentative="0">
      <w:start w:val="1"/>
      <w:numFmt w:val="decimal"/>
      <w:lvlText w:val="%1.%2.%3.%4.%5"/>
      <w:lvlJc w:val="left"/>
      <w:pPr>
        <w:tabs>
          <w:tab w:val="left" w:pos="2551"/>
        </w:tabs>
        <w:ind w:left="2551" w:hanging="850"/>
      </w:pPr>
      <w:rPr>
        <w:rFonts w:hint="eastAsia" w:cs="Times New Roman"/>
      </w:rPr>
    </w:lvl>
    <w:lvl w:ilvl="5" w:tentative="0">
      <w:start w:val="1"/>
      <w:numFmt w:val="decimal"/>
      <w:lvlText w:val="%1.%2.%3.%4.%5.%6"/>
      <w:lvlJc w:val="left"/>
      <w:pPr>
        <w:tabs>
          <w:tab w:val="left" w:pos="3260"/>
        </w:tabs>
        <w:ind w:left="3260" w:hanging="1134"/>
      </w:pPr>
      <w:rPr>
        <w:rFonts w:hint="eastAsia" w:cs="Times New Roman"/>
      </w:rPr>
    </w:lvl>
    <w:lvl w:ilvl="6" w:tentative="0">
      <w:start w:val="1"/>
      <w:numFmt w:val="decimal"/>
      <w:lvlText w:val="%1.%2.%3.%4.%5.%6.%7"/>
      <w:lvlJc w:val="left"/>
      <w:pPr>
        <w:tabs>
          <w:tab w:val="left" w:pos="3827"/>
        </w:tabs>
        <w:ind w:left="3827" w:hanging="1276"/>
      </w:pPr>
      <w:rPr>
        <w:rFonts w:hint="eastAsia" w:cs="Times New Roman"/>
      </w:rPr>
    </w:lvl>
    <w:lvl w:ilvl="7" w:tentative="0">
      <w:start w:val="1"/>
      <w:numFmt w:val="decimal"/>
      <w:lvlText w:val="%1.%2.%3.%4.%5.%6.%7.%8"/>
      <w:lvlJc w:val="left"/>
      <w:pPr>
        <w:tabs>
          <w:tab w:val="left" w:pos="4394"/>
        </w:tabs>
        <w:ind w:left="4394" w:hanging="1418"/>
      </w:pPr>
      <w:rPr>
        <w:rFonts w:hint="eastAsia" w:cs="Times New Roman"/>
      </w:rPr>
    </w:lvl>
    <w:lvl w:ilvl="8" w:tentative="0">
      <w:start w:val="1"/>
      <w:numFmt w:val="decimal"/>
      <w:lvlText w:val="%1.%2.%3.%4.%5.%6.%7.%8.%9"/>
      <w:lvlJc w:val="left"/>
      <w:pPr>
        <w:tabs>
          <w:tab w:val="left" w:pos="5102"/>
        </w:tabs>
        <w:ind w:left="5102" w:hanging="1700"/>
      </w:pPr>
      <w:rPr>
        <w:rFonts w:hint="eastAsia" w:cs="Times New Roman"/>
      </w:rPr>
    </w:lvl>
  </w:abstractNum>
  <w:abstractNum w:abstractNumId="14">
    <w:nsid w:val="657D3FBC"/>
    <w:multiLevelType w:val="multilevel"/>
    <w:tmpl w:val="657D3FBC"/>
    <w:lvl w:ilvl="0" w:tentative="0">
      <w:start w:val="1"/>
      <w:numFmt w:val="upperLetter"/>
      <w:pStyle w:val="131"/>
      <w:suff w:val="nothing"/>
      <w:lvlText w:val="附　录　%1"/>
      <w:lvlJc w:val="left"/>
      <w:pPr>
        <w:ind w:left="3119"/>
      </w:pPr>
      <w:rPr>
        <w:rFonts w:hint="eastAsia" w:ascii="黑体" w:hAnsi="Times New Roman" w:eastAsia="黑体" w:cs="Times New Roman"/>
        <w:b w:val="0"/>
        <w:i w:val="0"/>
        <w:spacing w:val="0"/>
        <w:w w:val="100"/>
        <w:sz w:val="21"/>
      </w:rPr>
    </w:lvl>
    <w:lvl w:ilvl="1" w:tentative="0">
      <w:start w:val="1"/>
      <w:numFmt w:val="decimal"/>
      <w:pStyle w:val="66"/>
      <w:suff w:val="nothing"/>
      <w:lvlText w:val="%1.%2　"/>
      <w:lvlJc w:val="left"/>
      <w:rPr>
        <w:rFonts w:hint="eastAsia" w:ascii="黑体" w:hAnsi="Times New Roman" w:eastAsia="黑体" w:cs="Times New Roman"/>
        <w:b w:val="0"/>
        <w:i w:val="0"/>
        <w:snapToGrid/>
        <w:spacing w:val="0"/>
        <w:w w:val="100"/>
        <w:kern w:val="21"/>
        <w:sz w:val="21"/>
      </w:rPr>
    </w:lvl>
    <w:lvl w:ilvl="2" w:tentative="0">
      <w:start w:val="1"/>
      <w:numFmt w:val="decimal"/>
      <w:pStyle w:val="65"/>
      <w:suff w:val="nothing"/>
      <w:lvlText w:val="%1.%2.%3　"/>
      <w:lvlJc w:val="left"/>
      <w:rPr>
        <w:rFonts w:hint="eastAsia" w:ascii="黑体" w:hAnsi="Times New Roman" w:eastAsia="黑体" w:cs="Times New Roman"/>
        <w:b w:val="0"/>
        <w:i w:val="0"/>
        <w:sz w:val="21"/>
      </w:rPr>
    </w:lvl>
    <w:lvl w:ilvl="3" w:tentative="0">
      <w:start w:val="1"/>
      <w:numFmt w:val="decimal"/>
      <w:pStyle w:val="83"/>
      <w:suff w:val="nothing"/>
      <w:lvlText w:val="%1.%2.%3.%4　"/>
      <w:lvlJc w:val="left"/>
      <w:rPr>
        <w:rFonts w:hint="eastAsia" w:ascii="黑体" w:hAnsi="Times New Roman" w:eastAsia="黑体" w:cs="Times New Roman"/>
        <w:b w:val="0"/>
        <w:i w:val="0"/>
        <w:sz w:val="21"/>
      </w:rPr>
    </w:lvl>
    <w:lvl w:ilvl="4" w:tentative="0">
      <w:start w:val="1"/>
      <w:numFmt w:val="decimal"/>
      <w:pStyle w:val="82"/>
      <w:suff w:val="nothing"/>
      <w:lvlText w:val="%1.%2.%3.%4.%5　"/>
      <w:lvlJc w:val="left"/>
      <w:rPr>
        <w:rFonts w:hint="eastAsia" w:ascii="黑体" w:hAnsi="Times New Roman" w:eastAsia="黑体" w:cs="Times New Roman"/>
        <w:b w:val="0"/>
        <w:i w:val="0"/>
        <w:sz w:val="21"/>
      </w:rPr>
    </w:lvl>
    <w:lvl w:ilvl="5" w:tentative="0">
      <w:start w:val="1"/>
      <w:numFmt w:val="decimal"/>
      <w:suff w:val="nothing"/>
      <w:lvlText w:val="%1.%2.%3.%4.%5.%6　"/>
      <w:lvlJc w:val="left"/>
      <w:rPr>
        <w:rFonts w:hint="eastAsia" w:ascii="黑体" w:hAnsi="Times New Roman" w:eastAsia="黑体" w:cs="Times New Roman"/>
        <w:b w:val="0"/>
        <w:i w:val="0"/>
        <w:sz w:val="21"/>
      </w:rPr>
    </w:lvl>
    <w:lvl w:ilvl="6" w:tentative="0">
      <w:start w:val="1"/>
      <w:numFmt w:val="decimal"/>
      <w:suff w:val="nothing"/>
      <w:lvlText w:val="%1.%2.%3.%4.%5.%6.%7　"/>
      <w:lvlJc w:val="left"/>
      <w:rPr>
        <w:rFonts w:hint="eastAsia" w:ascii="黑体" w:hAnsi="Times New Roman" w:eastAsia="黑体" w:cs="Times New Roman"/>
        <w:b w:val="0"/>
        <w:i w:val="0"/>
        <w:sz w:val="21"/>
      </w:rPr>
    </w:lvl>
    <w:lvl w:ilvl="7" w:tentative="0">
      <w:start w:val="1"/>
      <w:numFmt w:val="decimal"/>
      <w:lvlText w:val="%1.%2.%3.%4.%5.%6.%7.%8"/>
      <w:lvlJc w:val="left"/>
      <w:pPr>
        <w:tabs>
          <w:tab w:val="left" w:pos="4394"/>
        </w:tabs>
        <w:ind w:left="4394" w:hanging="1418"/>
      </w:pPr>
      <w:rPr>
        <w:rFonts w:hint="eastAsia" w:cs="Times New Roman"/>
      </w:rPr>
    </w:lvl>
    <w:lvl w:ilvl="8" w:tentative="0">
      <w:start w:val="1"/>
      <w:numFmt w:val="decimal"/>
      <w:lvlText w:val="%1.%2.%3.%4.%5.%6.%7.%8.%9"/>
      <w:lvlJc w:val="left"/>
      <w:pPr>
        <w:tabs>
          <w:tab w:val="left" w:pos="5102"/>
        </w:tabs>
        <w:ind w:left="5102" w:hanging="1700"/>
      </w:pPr>
      <w:rPr>
        <w:rFonts w:hint="eastAsia" w:cs="Times New Roman"/>
      </w:rPr>
    </w:lvl>
  </w:abstractNum>
  <w:abstractNum w:abstractNumId="15">
    <w:nsid w:val="6D6C07CD"/>
    <w:multiLevelType w:val="multilevel"/>
    <w:tmpl w:val="6D6C07CD"/>
    <w:lvl w:ilvl="0" w:tentative="0">
      <w:start w:val="1"/>
      <w:numFmt w:val="lowerLetter"/>
      <w:pStyle w:val="143"/>
      <w:lvlText w:val="%1)"/>
      <w:lvlJc w:val="left"/>
      <w:pPr>
        <w:tabs>
          <w:tab w:val="left" w:pos="839"/>
        </w:tabs>
        <w:ind w:left="839" w:hanging="419"/>
      </w:pPr>
      <w:rPr>
        <w:rFonts w:hint="eastAsia" w:ascii="宋体" w:eastAsia="宋体" w:cs="Times New Roman"/>
        <w:b w:val="0"/>
        <w:i w:val="0"/>
        <w:sz w:val="21"/>
      </w:rPr>
    </w:lvl>
    <w:lvl w:ilvl="1" w:tentative="0">
      <w:start w:val="1"/>
      <w:numFmt w:val="decimal"/>
      <w:pStyle w:val="140"/>
      <w:lvlText w:val="%2)"/>
      <w:lvlJc w:val="left"/>
      <w:pPr>
        <w:tabs>
          <w:tab w:val="left" w:pos="840"/>
        </w:tabs>
        <w:ind w:left="839" w:hanging="419"/>
      </w:pPr>
      <w:rPr>
        <w:rFonts w:hint="eastAsia" w:ascii="宋体" w:eastAsia="宋体" w:cs="Times New Roman"/>
        <w:b w:val="0"/>
        <w:i w:val="0"/>
        <w:sz w:val="21"/>
      </w:rPr>
    </w:lvl>
    <w:lvl w:ilvl="2" w:tentative="0">
      <w:start w:val="1"/>
      <w:numFmt w:val="lowerRoman"/>
      <w:lvlText w:val="%3."/>
      <w:lvlJc w:val="right"/>
      <w:pPr>
        <w:tabs>
          <w:tab w:val="left" w:pos="1260"/>
        </w:tabs>
        <w:ind w:left="1259" w:hanging="419"/>
      </w:pPr>
      <w:rPr>
        <w:rFonts w:hint="eastAsia" w:cs="Times New Roman"/>
      </w:rPr>
    </w:lvl>
    <w:lvl w:ilvl="3" w:tentative="0">
      <w:start w:val="1"/>
      <w:numFmt w:val="decimal"/>
      <w:lvlText w:val="%4."/>
      <w:lvlJc w:val="left"/>
      <w:pPr>
        <w:tabs>
          <w:tab w:val="left" w:pos="1680"/>
        </w:tabs>
        <w:ind w:left="1679" w:hanging="419"/>
      </w:pPr>
      <w:rPr>
        <w:rFonts w:hint="eastAsia" w:cs="Times New Roman"/>
      </w:rPr>
    </w:lvl>
    <w:lvl w:ilvl="4" w:tentative="0">
      <w:start w:val="1"/>
      <w:numFmt w:val="lowerLetter"/>
      <w:lvlText w:val="%5)"/>
      <w:lvlJc w:val="left"/>
      <w:pPr>
        <w:tabs>
          <w:tab w:val="left" w:pos="2100"/>
        </w:tabs>
        <w:ind w:left="2099" w:hanging="419"/>
      </w:pPr>
      <w:rPr>
        <w:rFonts w:hint="eastAsia" w:cs="Times New Roman"/>
      </w:rPr>
    </w:lvl>
    <w:lvl w:ilvl="5" w:tentative="0">
      <w:start w:val="1"/>
      <w:numFmt w:val="lowerRoman"/>
      <w:lvlText w:val="%6."/>
      <w:lvlJc w:val="right"/>
      <w:pPr>
        <w:tabs>
          <w:tab w:val="left" w:pos="2520"/>
        </w:tabs>
        <w:ind w:left="2519" w:hanging="419"/>
      </w:pPr>
      <w:rPr>
        <w:rFonts w:hint="eastAsia" w:cs="Times New Roman"/>
      </w:rPr>
    </w:lvl>
    <w:lvl w:ilvl="6" w:tentative="0">
      <w:start w:val="1"/>
      <w:numFmt w:val="decimal"/>
      <w:lvlText w:val="%7."/>
      <w:lvlJc w:val="left"/>
      <w:pPr>
        <w:tabs>
          <w:tab w:val="left" w:pos="2940"/>
        </w:tabs>
        <w:ind w:left="2939" w:hanging="419"/>
      </w:pPr>
      <w:rPr>
        <w:rFonts w:hint="eastAsia" w:cs="Times New Roman"/>
      </w:rPr>
    </w:lvl>
    <w:lvl w:ilvl="7" w:tentative="0">
      <w:start w:val="1"/>
      <w:numFmt w:val="lowerLetter"/>
      <w:lvlText w:val="%8)"/>
      <w:lvlJc w:val="left"/>
      <w:pPr>
        <w:tabs>
          <w:tab w:val="left" w:pos="3360"/>
        </w:tabs>
        <w:ind w:left="3359" w:hanging="419"/>
      </w:pPr>
      <w:rPr>
        <w:rFonts w:hint="eastAsia" w:cs="Times New Roman"/>
      </w:rPr>
    </w:lvl>
    <w:lvl w:ilvl="8" w:tentative="0">
      <w:start w:val="1"/>
      <w:numFmt w:val="lowerRoman"/>
      <w:lvlText w:val="%9."/>
      <w:lvlJc w:val="right"/>
      <w:pPr>
        <w:tabs>
          <w:tab w:val="left" w:pos="3780"/>
        </w:tabs>
        <w:ind w:left="3779" w:hanging="419"/>
      </w:pPr>
      <w:rPr>
        <w:rFonts w:hint="eastAsia" w:cs="Times New Roman"/>
      </w:rPr>
    </w:lvl>
  </w:abstractNum>
  <w:num w:numId="1">
    <w:abstractNumId w:val="8"/>
  </w:num>
  <w:num w:numId="2">
    <w:abstractNumId w:val="1"/>
  </w:num>
  <w:num w:numId="3">
    <w:abstractNumId w:val="4"/>
  </w:num>
  <w:num w:numId="4">
    <w:abstractNumId w:val="5"/>
  </w:num>
  <w:num w:numId="5">
    <w:abstractNumId w:val="14"/>
  </w:num>
  <w:num w:numId="6">
    <w:abstractNumId w:val="7"/>
  </w:num>
  <w:num w:numId="7">
    <w:abstractNumId w:val="0"/>
  </w:num>
  <w:num w:numId="8">
    <w:abstractNumId w:val="9"/>
  </w:num>
  <w:num w:numId="9">
    <w:abstractNumId w:val="10"/>
  </w:num>
  <w:num w:numId="10">
    <w:abstractNumId w:val="11"/>
  </w:num>
  <w:num w:numId="11">
    <w:abstractNumId w:val="6"/>
  </w:num>
  <w:num w:numId="12">
    <w:abstractNumId w:val="2"/>
  </w:num>
  <w:num w:numId="13">
    <w:abstractNumId w:val="12"/>
  </w:num>
  <w:num w:numId="14">
    <w:abstractNumId w:val="3"/>
  </w:num>
  <w:num w:numId="15">
    <w:abstractNumId w:val="15"/>
  </w:num>
  <w:num w:numId="16">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oNotHyphenateCaps/>
  <w:drawingGridHorizontalSpacing w:val="105"/>
  <w:drawingGridVerticalSpacing w:val="156"/>
  <w:noPunctuationKerning w:val="1"/>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YzNjBkOTgyNWQ1YTMxYzM3MzMwNWFiODNmOWIzYWMifQ=="/>
  </w:docVars>
  <w:rsids>
    <w:rsidRoot w:val="00035925"/>
    <w:rsid w:val="00000244"/>
    <w:rsid w:val="0000057D"/>
    <w:rsid w:val="000017EB"/>
    <w:rsid w:val="0000185F"/>
    <w:rsid w:val="0000485B"/>
    <w:rsid w:val="00004F9D"/>
    <w:rsid w:val="000054E3"/>
    <w:rsid w:val="0000586F"/>
    <w:rsid w:val="00005B9A"/>
    <w:rsid w:val="0000660B"/>
    <w:rsid w:val="00007C76"/>
    <w:rsid w:val="00007D81"/>
    <w:rsid w:val="00010050"/>
    <w:rsid w:val="000106F7"/>
    <w:rsid w:val="000108D0"/>
    <w:rsid w:val="00011893"/>
    <w:rsid w:val="00011E53"/>
    <w:rsid w:val="00012DFC"/>
    <w:rsid w:val="00013A8A"/>
    <w:rsid w:val="00013D86"/>
    <w:rsid w:val="00013E02"/>
    <w:rsid w:val="00014679"/>
    <w:rsid w:val="0001468D"/>
    <w:rsid w:val="0001506B"/>
    <w:rsid w:val="00016C35"/>
    <w:rsid w:val="000172E4"/>
    <w:rsid w:val="0002060A"/>
    <w:rsid w:val="00020702"/>
    <w:rsid w:val="0002143C"/>
    <w:rsid w:val="0002146B"/>
    <w:rsid w:val="00021539"/>
    <w:rsid w:val="0002268F"/>
    <w:rsid w:val="00022FEE"/>
    <w:rsid w:val="000231DC"/>
    <w:rsid w:val="000235A5"/>
    <w:rsid w:val="00023E16"/>
    <w:rsid w:val="00025A65"/>
    <w:rsid w:val="00026AD6"/>
    <w:rsid w:val="00026C31"/>
    <w:rsid w:val="00026F4A"/>
    <w:rsid w:val="00027280"/>
    <w:rsid w:val="000278CD"/>
    <w:rsid w:val="0002791E"/>
    <w:rsid w:val="00027BA1"/>
    <w:rsid w:val="00030A91"/>
    <w:rsid w:val="00030FBA"/>
    <w:rsid w:val="00031779"/>
    <w:rsid w:val="000320A7"/>
    <w:rsid w:val="000329F4"/>
    <w:rsid w:val="00032D39"/>
    <w:rsid w:val="0003378C"/>
    <w:rsid w:val="00033E42"/>
    <w:rsid w:val="00034087"/>
    <w:rsid w:val="0003477E"/>
    <w:rsid w:val="000358A8"/>
    <w:rsid w:val="00035925"/>
    <w:rsid w:val="00041E53"/>
    <w:rsid w:val="0004265C"/>
    <w:rsid w:val="000457E2"/>
    <w:rsid w:val="0004614E"/>
    <w:rsid w:val="000467DB"/>
    <w:rsid w:val="0004726A"/>
    <w:rsid w:val="00047FF5"/>
    <w:rsid w:val="000500C1"/>
    <w:rsid w:val="0005037C"/>
    <w:rsid w:val="000512FF"/>
    <w:rsid w:val="0005171B"/>
    <w:rsid w:val="00052742"/>
    <w:rsid w:val="00053C73"/>
    <w:rsid w:val="000545BF"/>
    <w:rsid w:val="00055F03"/>
    <w:rsid w:val="000562E6"/>
    <w:rsid w:val="00057875"/>
    <w:rsid w:val="00057B4A"/>
    <w:rsid w:val="00061D7B"/>
    <w:rsid w:val="000621EC"/>
    <w:rsid w:val="00062AE8"/>
    <w:rsid w:val="000633B0"/>
    <w:rsid w:val="00063740"/>
    <w:rsid w:val="000658F0"/>
    <w:rsid w:val="000668AE"/>
    <w:rsid w:val="00066F2E"/>
    <w:rsid w:val="0006772D"/>
    <w:rsid w:val="00067CDF"/>
    <w:rsid w:val="00071402"/>
    <w:rsid w:val="00071516"/>
    <w:rsid w:val="000729D9"/>
    <w:rsid w:val="000741CD"/>
    <w:rsid w:val="00074212"/>
    <w:rsid w:val="000742E2"/>
    <w:rsid w:val="00074421"/>
    <w:rsid w:val="00074FBE"/>
    <w:rsid w:val="00075B19"/>
    <w:rsid w:val="00075E0D"/>
    <w:rsid w:val="00076375"/>
    <w:rsid w:val="000764F8"/>
    <w:rsid w:val="00076841"/>
    <w:rsid w:val="000804E4"/>
    <w:rsid w:val="00080979"/>
    <w:rsid w:val="00080E14"/>
    <w:rsid w:val="00081AB1"/>
    <w:rsid w:val="00081AFA"/>
    <w:rsid w:val="00083A09"/>
    <w:rsid w:val="00083E1F"/>
    <w:rsid w:val="000850B6"/>
    <w:rsid w:val="000860DB"/>
    <w:rsid w:val="00086665"/>
    <w:rsid w:val="0009005E"/>
    <w:rsid w:val="00090CC3"/>
    <w:rsid w:val="00090DEC"/>
    <w:rsid w:val="00092158"/>
    <w:rsid w:val="00092857"/>
    <w:rsid w:val="000939BC"/>
    <w:rsid w:val="000942C3"/>
    <w:rsid w:val="00094376"/>
    <w:rsid w:val="000945A4"/>
    <w:rsid w:val="00094B93"/>
    <w:rsid w:val="000A0407"/>
    <w:rsid w:val="000A20A9"/>
    <w:rsid w:val="000A225F"/>
    <w:rsid w:val="000A45C4"/>
    <w:rsid w:val="000A48B1"/>
    <w:rsid w:val="000A50D8"/>
    <w:rsid w:val="000A69F5"/>
    <w:rsid w:val="000A7631"/>
    <w:rsid w:val="000B030E"/>
    <w:rsid w:val="000B0CA3"/>
    <w:rsid w:val="000B0E5F"/>
    <w:rsid w:val="000B12CD"/>
    <w:rsid w:val="000B2BF9"/>
    <w:rsid w:val="000B3143"/>
    <w:rsid w:val="000B5676"/>
    <w:rsid w:val="000B570A"/>
    <w:rsid w:val="000B7B01"/>
    <w:rsid w:val="000B7CCA"/>
    <w:rsid w:val="000C077F"/>
    <w:rsid w:val="000C1E5C"/>
    <w:rsid w:val="000C213D"/>
    <w:rsid w:val="000C3DC0"/>
    <w:rsid w:val="000C4932"/>
    <w:rsid w:val="000C52FC"/>
    <w:rsid w:val="000C5A28"/>
    <w:rsid w:val="000C5C0A"/>
    <w:rsid w:val="000C6257"/>
    <w:rsid w:val="000C6699"/>
    <w:rsid w:val="000C6B05"/>
    <w:rsid w:val="000C6BE8"/>
    <w:rsid w:val="000C6CF8"/>
    <w:rsid w:val="000C6DD6"/>
    <w:rsid w:val="000C73D4"/>
    <w:rsid w:val="000D0513"/>
    <w:rsid w:val="000D0AE6"/>
    <w:rsid w:val="000D3D4C"/>
    <w:rsid w:val="000D4F51"/>
    <w:rsid w:val="000D50E1"/>
    <w:rsid w:val="000D718B"/>
    <w:rsid w:val="000E0C46"/>
    <w:rsid w:val="000E50FB"/>
    <w:rsid w:val="000E6E69"/>
    <w:rsid w:val="000E72A9"/>
    <w:rsid w:val="000E7493"/>
    <w:rsid w:val="000F0053"/>
    <w:rsid w:val="000F030C"/>
    <w:rsid w:val="000F035D"/>
    <w:rsid w:val="000F129C"/>
    <w:rsid w:val="000F2D4D"/>
    <w:rsid w:val="000F325D"/>
    <w:rsid w:val="000F60B3"/>
    <w:rsid w:val="000F740A"/>
    <w:rsid w:val="00102F7F"/>
    <w:rsid w:val="00103EC5"/>
    <w:rsid w:val="001042C3"/>
    <w:rsid w:val="00104510"/>
    <w:rsid w:val="00104B0C"/>
    <w:rsid w:val="001056DE"/>
    <w:rsid w:val="00106C29"/>
    <w:rsid w:val="00107398"/>
    <w:rsid w:val="001108A3"/>
    <w:rsid w:val="00110C37"/>
    <w:rsid w:val="00111592"/>
    <w:rsid w:val="001124C0"/>
    <w:rsid w:val="00113E00"/>
    <w:rsid w:val="00113F4B"/>
    <w:rsid w:val="00115197"/>
    <w:rsid w:val="00116351"/>
    <w:rsid w:val="001166B5"/>
    <w:rsid w:val="001224BB"/>
    <w:rsid w:val="00123E86"/>
    <w:rsid w:val="00124496"/>
    <w:rsid w:val="001260ED"/>
    <w:rsid w:val="00127D9D"/>
    <w:rsid w:val="001303AA"/>
    <w:rsid w:val="00130714"/>
    <w:rsid w:val="00131608"/>
    <w:rsid w:val="0013175F"/>
    <w:rsid w:val="00133A06"/>
    <w:rsid w:val="00134A4E"/>
    <w:rsid w:val="00135BCD"/>
    <w:rsid w:val="00137572"/>
    <w:rsid w:val="00141218"/>
    <w:rsid w:val="00141593"/>
    <w:rsid w:val="00144BDF"/>
    <w:rsid w:val="00144F49"/>
    <w:rsid w:val="00145CBE"/>
    <w:rsid w:val="001469B5"/>
    <w:rsid w:val="0015002E"/>
    <w:rsid w:val="00151106"/>
    <w:rsid w:val="001512B4"/>
    <w:rsid w:val="00151606"/>
    <w:rsid w:val="001525A9"/>
    <w:rsid w:val="00152D27"/>
    <w:rsid w:val="00152D78"/>
    <w:rsid w:val="00153507"/>
    <w:rsid w:val="00156600"/>
    <w:rsid w:val="0015684E"/>
    <w:rsid w:val="00156C0D"/>
    <w:rsid w:val="001573DB"/>
    <w:rsid w:val="001600C0"/>
    <w:rsid w:val="0016010E"/>
    <w:rsid w:val="0016136B"/>
    <w:rsid w:val="001620A5"/>
    <w:rsid w:val="00164B75"/>
    <w:rsid w:val="00164E53"/>
    <w:rsid w:val="00165904"/>
    <w:rsid w:val="00165CDF"/>
    <w:rsid w:val="0016699D"/>
    <w:rsid w:val="0016782D"/>
    <w:rsid w:val="00173D54"/>
    <w:rsid w:val="001740E4"/>
    <w:rsid w:val="00175159"/>
    <w:rsid w:val="00175590"/>
    <w:rsid w:val="00175DA8"/>
    <w:rsid w:val="00176208"/>
    <w:rsid w:val="001762A3"/>
    <w:rsid w:val="00176783"/>
    <w:rsid w:val="00176828"/>
    <w:rsid w:val="00176F9C"/>
    <w:rsid w:val="001800D9"/>
    <w:rsid w:val="001809C6"/>
    <w:rsid w:val="0018211B"/>
    <w:rsid w:val="00182B0F"/>
    <w:rsid w:val="00183E3D"/>
    <w:rsid w:val="001840D3"/>
    <w:rsid w:val="001849C0"/>
    <w:rsid w:val="00185C5F"/>
    <w:rsid w:val="00185F44"/>
    <w:rsid w:val="00186B75"/>
    <w:rsid w:val="00187AF0"/>
    <w:rsid w:val="001900F8"/>
    <w:rsid w:val="00191258"/>
    <w:rsid w:val="00192680"/>
    <w:rsid w:val="00192769"/>
    <w:rsid w:val="00192FAB"/>
    <w:rsid w:val="00193037"/>
    <w:rsid w:val="00193A2C"/>
    <w:rsid w:val="00195195"/>
    <w:rsid w:val="00195E6A"/>
    <w:rsid w:val="00196B85"/>
    <w:rsid w:val="00196E9F"/>
    <w:rsid w:val="001A21D5"/>
    <w:rsid w:val="001A288E"/>
    <w:rsid w:val="001A2C67"/>
    <w:rsid w:val="001A3C5D"/>
    <w:rsid w:val="001A3D07"/>
    <w:rsid w:val="001A49B8"/>
    <w:rsid w:val="001A5EE1"/>
    <w:rsid w:val="001B2A0B"/>
    <w:rsid w:val="001B324F"/>
    <w:rsid w:val="001B3FCF"/>
    <w:rsid w:val="001B6C7B"/>
    <w:rsid w:val="001B6DC2"/>
    <w:rsid w:val="001B7C90"/>
    <w:rsid w:val="001C0871"/>
    <w:rsid w:val="001C149C"/>
    <w:rsid w:val="001C1E5C"/>
    <w:rsid w:val="001C21AC"/>
    <w:rsid w:val="001C2A8F"/>
    <w:rsid w:val="001C365D"/>
    <w:rsid w:val="001C4191"/>
    <w:rsid w:val="001C47BA"/>
    <w:rsid w:val="001C5397"/>
    <w:rsid w:val="001C59EA"/>
    <w:rsid w:val="001C621B"/>
    <w:rsid w:val="001C6DEA"/>
    <w:rsid w:val="001C74B4"/>
    <w:rsid w:val="001D03A7"/>
    <w:rsid w:val="001D09E5"/>
    <w:rsid w:val="001D3BD6"/>
    <w:rsid w:val="001D406C"/>
    <w:rsid w:val="001D41EE"/>
    <w:rsid w:val="001D45A6"/>
    <w:rsid w:val="001D5EF5"/>
    <w:rsid w:val="001E0380"/>
    <w:rsid w:val="001E07DF"/>
    <w:rsid w:val="001E13B1"/>
    <w:rsid w:val="001E3AF9"/>
    <w:rsid w:val="001E67B4"/>
    <w:rsid w:val="001E6F79"/>
    <w:rsid w:val="001F0C55"/>
    <w:rsid w:val="001F2612"/>
    <w:rsid w:val="001F3A19"/>
    <w:rsid w:val="001F41DD"/>
    <w:rsid w:val="001F448B"/>
    <w:rsid w:val="001F4564"/>
    <w:rsid w:val="002008C7"/>
    <w:rsid w:val="00201A86"/>
    <w:rsid w:val="002028B8"/>
    <w:rsid w:val="00203915"/>
    <w:rsid w:val="00204037"/>
    <w:rsid w:val="00206E20"/>
    <w:rsid w:val="00207BFB"/>
    <w:rsid w:val="00210FBD"/>
    <w:rsid w:val="0021182B"/>
    <w:rsid w:val="002127B6"/>
    <w:rsid w:val="002137F2"/>
    <w:rsid w:val="002153C5"/>
    <w:rsid w:val="00216484"/>
    <w:rsid w:val="00216CD4"/>
    <w:rsid w:val="0022005A"/>
    <w:rsid w:val="00222C31"/>
    <w:rsid w:val="00222EA9"/>
    <w:rsid w:val="002246F6"/>
    <w:rsid w:val="00231C04"/>
    <w:rsid w:val="00233D66"/>
    <w:rsid w:val="00234467"/>
    <w:rsid w:val="00234BC5"/>
    <w:rsid w:val="00235134"/>
    <w:rsid w:val="00236299"/>
    <w:rsid w:val="002365EB"/>
    <w:rsid w:val="00237D8D"/>
    <w:rsid w:val="0024138F"/>
    <w:rsid w:val="00241DA2"/>
    <w:rsid w:val="00242221"/>
    <w:rsid w:val="00243E77"/>
    <w:rsid w:val="002446DE"/>
    <w:rsid w:val="002451ED"/>
    <w:rsid w:val="00245ACF"/>
    <w:rsid w:val="00247FEE"/>
    <w:rsid w:val="00250997"/>
    <w:rsid w:val="00250E7D"/>
    <w:rsid w:val="00251B17"/>
    <w:rsid w:val="00251C88"/>
    <w:rsid w:val="002532EA"/>
    <w:rsid w:val="00253A42"/>
    <w:rsid w:val="00254528"/>
    <w:rsid w:val="00255038"/>
    <w:rsid w:val="002565D5"/>
    <w:rsid w:val="0026055F"/>
    <w:rsid w:val="00260A9C"/>
    <w:rsid w:val="00260F97"/>
    <w:rsid w:val="00262297"/>
    <w:rsid w:val="002622C0"/>
    <w:rsid w:val="00262E2F"/>
    <w:rsid w:val="002633AF"/>
    <w:rsid w:val="00263555"/>
    <w:rsid w:val="00263994"/>
    <w:rsid w:val="00264626"/>
    <w:rsid w:val="00266CEA"/>
    <w:rsid w:val="002679A7"/>
    <w:rsid w:val="00267FBB"/>
    <w:rsid w:val="00274770"/>
    <w:rsid w:val="0027494A"/>
    <w:rsid w:val="00274E65"/>
    <w:rsid w:val="00274EF8"/>
    <w:rsid w:val="00275A90"/>
    <w:rsid w:val="002778AE"/>
    <w:rsid w:val="002778F6"/>
    <w:rsid w:val="00277DB7"/>
    <w:rsid w:val="00277E88"/>
    <w:rsid w:val="002805AC"/>
    <w:rsid w:val="00280719"/>
    <w:rsid w:val="002807EB"/>
    <w:rsid w:val="00281FEA"/>
    <w:rsid w:val="0028269A"/>
    <w:rsid w:val="00282C6B"/>
    <w:rsid w:val="00283590"/>
    <w:rsid w:val="00286973"/>
    <w:rsid w:val="00286DA1"/>
    <w:rsid w:val="00286FF9"/>
    <w:rsid w:val="002870E9"/>
    <w:rsid w:val="002872F8"/>
    <w:rsid w:val="00287B0C"/>
    <w:rsid w:val="00290C72"/>
    <w:rsid w:val="00290C91"/>
    <w:rsid w:val="00291079"/>
    <w:rsid w:val="00291122"/>
    <w:rsid w:val="00291B71"/>
    <w:rsid w:val="00293FB6"/>
    <w:rsid w:val="00294E70"/>
    <w:rsid w:val="002952F0"/>
    <w:rsid w:val="00296D7B"/>
    <w:rsid w:val="00297514"/>
    <w:rsid w:val="00297A23"/>
    <w:rsid w:val="00297F31"/>
    <w:rsid w:val="002A0186"/>
    <w:rsid w:val="002A101A"/>
    <w:rsid w:val="002A1924"/>
    <w:rsid w:val="002A1EE7"/>
    <w:rsid w:val="002A2A69"/>
    <w:rsid w:val="002A5E0D"/>
    <w:rsid w:val="002A70B9"/>
    <w:rsid w:val="002A741C"/>
    <w:rsid w:val="002A7420"/>
    <w:rsid w:val="002A780D"/>
    <w:rsid w:val="002B02C4"/>
    <w:rsid w:val="002B0D51"/>
    <w:rsid w:val="002B0F12"/>
    <w:rsid w:val="002B104C"/>
    <w:rsid w:val="002B1308"/>
    <w:rsid w:val="002B1B9D"/>
    <w:rsid w:val="002B4554"/>
    <w:rsid w:val="002C0949"/>
    <w:rsid w:val="002C2D73"/>
    <w:rsid w:val="002C5324"/>
    <w:rsid w:val="002C6C09"/>
    <w:rsid w:val="002C7095"/>
    <w:rsid w:val="002C72D8"/>
    <w:rsid w:val="002C7F22"/>
    <w:rsid w:val="002D0AC5"/>
    <w:rsid w:val="002D11FA"/>
    <w:rsid w:val="002D15AD"/>
    <w:rsid w:val="002D223B"/>
    <w:rsid w:val="002D61EB"/>
    <w:rsid w:val="002D6773"/>
    <w:rsid w:val="002E0560"/>
    <w:rsid w:val="002E0DDF"/>
    <w:rsid w:val="002E0E6B"/>
    <w:rsid w:val="002E18A3"/>
    <w:rsid w:val="002E2906"/>
    <w:rsid w:val="002E2FB4"/>
    <w:rsid w:val="002E3014"/>
    <w:rsid w:val="002E3622"/>
    <w:rsid w:val="002E5635"/>
    <w:rsid w:val="002E64C3"/>
    <w:rsid w:val="002E668D"/>
    <w:rsid w:val="002E6A2C"/>
    <w:rsid w:val="002E703A"/>
    <w:rsid w:val="002E7540"/>
    <w:rsid w:val="002F045D"/>
    <w:rsid w:val="002F13D7"/>
    <w:rsid w:val="002F1D8C"/>
    <w:rsid w:val="002F21DA"/>
    <w:rsid w:val="002F26D2"/>
    <w:rsid w:val="002F297A"/>
    <w:rsid w:val="002F298C"/>
    <w:rsid w:val="002F5624"/>
    <w:rsid w:val="002F5DC5"/>
    <w:rsid w:val="002F780C"/>
    <w:rsid w:val="002F7DFC"/>
    <w:rsid w:val="00300592"/>
    <w:rsid w:val="00300785"/>
    <w:rsid w:val="003010DD"/>
    <w:rsid w:val="00301F39"/>
    <w:rsid w:val="00302BB0"/>
    <w:rsid w:val="003030B3"/>
    <w:rsid w:val="0030450E"/>
    <w:rsid w:val="00304BAE"/>
    <w:rsid w:val="00304F3B"/>
    <w:rsid w:val="00306027"/>
    <w:rsid w:val="00306224"/>
    <w:rsid w:val="0030645A"/>
    <w:rsid w:val="0030677F"/>
    <w:rsid w:val="00311057"/>
    <w:rsid w:val="00311A1D"/>
    <w:rsid w:val="00311DB0"/>
    <w:rsid w:val="00311E55"/>
    <w:rsid w:val="0031255C"/>
    <w:rsid w:val="00312AC2"/>
    <w:rsid w:val="00312ED9"/>
    <w:rsid w:val="003156B1"/>
    <w:rsid w:val="0031749B"/>
    <w:rsid w:val="003177A2"/>
    <w:rsid w:val="00317ADF"/>
    <w:rsid w:val="00317D95"/>
    <w:rsid w:val="00320090"/>
    <w:rsid w:val="00322B77"/>
    <w:rsid w:val="00323EA3"/>
    <w:rsid w:val="00324AC6"/>
    <w:rsid w:val="0032509E"/>
    <w:rsid w:val="00325262"/>
    <w:rsid w:val="00325926"/>
    <w:rsid w:val="00325B2E"/>
    <w:rsid w:val="00325E72"/>
    <w:rsid w:val="00326800"/>
    <w:rsid w:val="00326ACC"/>
    <w:rsid w:val="0032709E"/>
    <w:rsid w:val="00327A8A"/>
    <w:rsid w:val="00330696"/>
    <w:rsid w:val="00330775"/>
    <w:rsid w:val="00330B68"/>
    <w:rsid w:val="00330F67"/>
    <w:rsid w:val="00332263"/>
    <w:rsid w:val="003356EB"/>
    <w:rsid w:val="003361C7"/>
    <w:rsid w:val="00336610"/>
    <w:rsid w:val="00336BFF"/>
    <w:rsid w:val="003370F2"/>
    <w:rsid w:val="00340232"/>
    <w:rsid w:val="00340611"/>
    <w:rsid w:val="003407A2"/>
    <w:rsid w:val="0034117C"/>
    <w:rsid w:val="0034199F"/>
    <w:rsid w:val="003421C4"/>
    <w:rsid w:val="00343F73"/>
    <w:rsid w:val="00344B5E"/>
    <w:rsid w:val="00345060"/>
    <w:rsid w:val="00345E85"/>
    <w:rsid w:val="003462B9"/>
    <w:rsid w:val="00346B39"/>
    <w:rsid w:val="00347491"/>
    <w:rsid w:val="00347F92"/>
    <w:rsid w:val="00350F7A"/>
    <w:rsid w:val="00352977"/>
    <w:rsid w:val="00353101"/>
    <w:rsid w:val="0035323B"/>
    <w:rsid w:val="00353344"/>
    <w:rsid w:val="00355EC7"/>
    <w:rsid w:val="003609D2"/>
    <w:rsid w:val="00362042"/>
    <w:rsid w:val="00363F22"/>
    <w:rsid w:val="003640B8"/>
    <w:rsid w:val="003652AA"/>
    <w:rsid w:val="00366152"/>
    <w:rsid w:val="0037178C"/>
    <w:rsid w:val="00371A28"/>
    <w:rsid w:val="00372F05"/>
    <w:rsid w:val="00373F1D"/>
    <w:rsid w:val="00374E54"/>
    <w:rsid w:val="00375564"/>
    <w:rsid w:val="00375FCC"/>
    <w:rsid w:val="003762E4"/>
    <w:rsid w:val="00376686"/>
    <w:rsid w:val="00376BEE"/>
    <w:rsid w:val="00376C3D"/>
    <w:rsid w:val="00377980"/>
    <w:rsid w:val="00380BB4"/>
    <w:rsid w:val="003817BE"/>
    <w:rsid w:val="0038274A"/>
    <w:rsid w:val="003827DA"/>
    <w:rsid w:val="00382E12"/>
    <w:rsid w:val="00383191"/>
    <w:rsid w:val="00383AF2"/>
    <w:rsid w:val="003845BE"/>
    <w:rsid w:val="00384E64"/>
    <w:rsid w:val="00386264"/>
    <w:rsid w:val="00386DED"/>
    <w:rsid w:val="00386EE3"/>
    <w:rsid w:val="00390D6C"/>
    <w:rsid w:val="003912E7"/>
    <w:rsid w:val="00391EAE"/>
    <w:rsid w:val="003922AD"/>
    <w:rsid w:val="00393947"/>
    <w:rsid w:val="00393C6E"/>
    <w:rsid w:val="0039438B"/>
    <w:rsid w:val="0039443A"/>
    <w:rsid w:val="00395276"/>
    <w:rsid w:val="003960A6"/>
    <w:rsid w:val="003975C4"/>
    <w:rsid w:val="003976EA"/>
    <w:rsid w:val="003A0581"/>
    <w:rsid w:val="003A1203"/>
    <w:rsid w:val="003A2275"/>
    <w:rsid w:val="003A22A0"/>
    <w:rsid w:val="003A60C7"/>
    <w:rsid w:val="003A6A4F"/>
    <w:rsid w:val="003A6B5F"/>
    <w:rsid w:val="003A7088"/>
    <w:rsid w:val="003A7DD0"/>
    <w:rsid w:val="003B00DF"/>
    <w:rsid w:val="003B0EB7"/>
    <w:rsid w:val="003B0FEB"/>
    <w:rsid w:val="003B1275"/>
    <w:rsid w:val="003B137A"/>
    <w:rsid w:val="003B153A"/>
    <w:rsid w:val="003B1778"/>
    <w:rsid w:val="003B2589"/>
    <w:rsid w:val="003B27AE"/>
    <w:rsid w:val="003B322B"/>
    <w:rsid w:val="003B3250"/>
    <w:rsid w:val="003B4DB3"/>
    <w:rsid w:val="003B5830"/>
    <w:rsid w:val="003B6475"/>
    <w:rsid w:val="003B65DD"/>
    <w:rsid w:val="003B71F7"/>
    <w:rsid w:val="003C01D2"/>
    <w:rsid w:val="003C0DEE"/>
    <w:rsid w:val="003C11CB"/>
    <w:rsid w:val="003C1785"/>
    <w:rsid w:val="003C1CCD"/>
    <w:rsid w:val="003C1F06"/>
    <w:rsid w:val="003C25EE"/>
    <w:rsid w:val="003C293E"/>
    <w:rsid w:val="003C3276"/>
    <w:rsid w:val="003C4EFE"/>
    <w:rsid w:val="003C523D"/>
    <w:rsid w:val="003C75F3"/>
    <w:rsid w:val="003C76A4"/>
    <w:rsid w:val="003C7715"/>
    <w:rsid w:val="003C78A3"/>
    <w:rsid w:val="003D04E8"/>
    <w:rsid w:val="003D1906"/>
    <w:rsid w:val="003D1C21"/>
    <w:rsid w:val="003D25B8"/>
    <w:rsid w:val="003D7573"/>
    <w:rsid w:val="003D79F0"/>
    <w:rsid w:val="003E1867"/>
    <w:rsid w:val="003E4581"/>
    <w:rsid w:val="003E5729"/>
    <w:rsid w:val="003E6A2F"/>
    <w:rsid w:val="003E7859"/>
    <w:rsid w:val="003E7F02"/>
    <w:rsid w:val="003F00FC"/>
    <w:rsid w:val="003F0165"/>
    <w:rsid w:val="003F026D"/>
    <w:rsid w:val="003F2353"/>
    <w:rsid w:val="003F30CE"/>
    <w:rsid w:val="003F4445"/>
    <w:rsid w:val="003F4B5C"/>
    <w:rsid w:val="003F4EE0"/>
    <w:rsid w:val="003F7590"/>
    <w:rsid w:val="003F7AA1"/>
    <w:rsid w:val="00400B7D"/>
    <w:rsid w:val="00402153"/>
    <w:rsid w:val="004025B9"/>
    <w:rsid w:val="00402FC1"/>
    <w:rsid w:val="00403130"/>
    <w:rsid w:val="00403F50"/>
    <w:rsid w:val="0040437C"/>
    <w:rsid w:val="0040588A"/>
    <w:rsid w:val="0040724B"/>
    <w:rsid w:val="00407859"/>
    <w:rsid w:val="004104C7"/>
    <w:rsid w:val="00410B39"/>
    <w:rsid w:val="00412775"/>
    <w:rsid w:val="004129AD"/>
    <w:rsid w:val="004144D7"/>
    <w:rsid w:val="004152B4"/>
    <w:rsid w:val="00416560"/>
    <w:rsid w:val="0041711E"/>
    <w:rsid w:val="00417CAD"/>
    <w:rsid w:val="0042121A"/>
    <w:rsid w:val="00421786"/>
    <w:rsid w:val="00422EE5"/>
    <w:rsid w:val="0042480E"/>
    <w:rsid w:val="00424D79"/>
    <w:rsid w:val="00425082"/>
    <w:rsid w:val="00425084"/>
    <w:rsid w:val="004259E5"/>
    <w:rsid w:val="00426D1B"/>
    <w:rsid w:val="00427381"/>
    <w:rsid w:val="004308E9"/>
    <w:rsid w:val="00430FA8"/>
    <w:rsid w:val="00431585"/>
    <w:rsid w:val="00431DEB"/>
    <w:rsid w:val="00433046"/>
    <w:rsid w:val="00433158"/>
    <w:rsid w:val="00434D50"/>
    <w:rsid w:val="004356BF"/>
    <w:rsid w:val="004361C6"/>
    <w:rsid w:val="004361E1"/>
    <w:rsid w:val="004362A4"/>
    <w:rsid w:val="004367DD"/>
    <w:rsid w:val="00436CF5"/>
    <w:rsid w:val="00437508"/>
    <w:rsid w:val="0044257B"/>
    <w:rsid w:val="004425B8"/>
    <w:rsid w:val="004427ED"/>
    <w:rsid w:val="00442C34"/>
    <w:rsid w:val="00443799"/>
    <w:rsid w:val="00444003"/>
    <w:rsid w:val="004442AC"/>
    <w:rsid w:val="004442BC"/>
    <w:rsid w:val="0044452B"/>
    <w:rsid w:val="00444714"/>
    <w:rsid w:val="00444806"/>
    <w:rsid w:val="00444886"/>
    <w:rsid w:val="00445449"/>
    <w:rsid w:val="00445B77"/>
    <w:rsid w:val="0044662F"/>
    <w:rsid w:val="00446B29"/>
    <w:rsid w:val="0044756C"/>
    <w:rsid w:val="00447F96"/>
    <w:rsid w:val="00450C05"/>
    <w:rsid w:val="00450E00"/>
    <w:rsid w:val="00450E3C"/>
    <w:rsid w:val="00452B82"/>
    <w:rsid w:val="00452F64"/>
    <w:rsid w:val="00453541"/>
    <w:rsid w:val="00453F9A"/>
    <w:rsid w:val="004568D0"/>
    <w:rsid w:val="00456CFA"/>
    <w:rsid w:val="00461E11"/>
    <w:rsid w:val="00462C9A"/>
    <w:rsid w:val="004631F2"/>
    <w:rsid w:val="0046359D"/>
    <w:rsid w:val="004641CF"/>
    <w:rsid w:val="00464B1C"/>
    <w:rsid w:val="00465159"/>
    <w:rsid w:val="00465485"/>
    <w:rsid w:val="00465FDA"/>
    <w:rsid w:val="00466398"/>
    <w:rsid w:val="00466A30"/>
    <w:rsid w:val="00466E4B"/>
    <w:rsid w:val="00471E91"/>
    <w:rsid w:val="0047389C"/>
    <w:rsid w:val="00474675"/>
    <w:rsid w:val="0047470C"/>
    <w:rsid w:val="00475260"/>
    <w:rsid w:val="00475383"/>
    <w:rsid w:val="0048056F"/>
    <w:rsid w:val="0048090C"/>
    <w:rsid w:val="00481848"/>
    <w:rsid w:val="00482C03"/>
    <w:rsid w:val="0048348B"/>
    <w:rsid w:val="00484AE2"/>
    <w:rsid w:val="00484FEF"/>
    <w:rsid w:val="00485CB5"/>
    <w:rsid w:val="00485DF8"/>
    <w:rsid w:val="0048621E"/>
    <w:rsid w:val="00487115"/>
    <w:rsid w:val="004875E4"/>
    <w:rsid w:val="004912FB"/>
    <w:rsid w:val="00491400"/>
    <w:rsid w:val="00494ABE"/>
    <w:rsid w:val="00495B03"/>
    <w:rsid w:val="00495B6A"/>
    <w:rsid w:val="00496011"/>
    <w:rsid w:val="004979AE"/>
    <w:rsid w:val="004A00BB"/>
    <w:rsid w:val="004A0F36"/>
    <w:rsid w:val="004A1929"/>
    <w:rsid w:val="004A1FA0"/>
    <w:rsid w:val="004A2AEB"/>
    <w:rsid w:val="004A35F9"/>
    <w:rsid w:val="004A3C43"/>
    <w:rsid w:val="004A4CE1"/>
    <w:rsid w:val="004A529B"/>
    <w:rsid w:val="004A55C1"/>
    <w:rsid w:val="004A604C"/>
    <w:rsid w:val="004A6856"/>
    <w:rsid w:val="004B08BD"/>
    <w:rsid w:val="004B1310"/>
    <w:rsid w:val="004B1B0B"/>
    <w:rsid w:val="004B22A4"/>
    <w:rsid w:val="004B24C1"/>
    <w:rsid w:val="004B2619"/>
    <w:rsid w:val="004B67BD"/>
    <w:rsid w:val="004B7575"/>
    <w:rsid w:val="004C057E"/>
    <w:rsid w:val="004C0A35"/>
    <w:rsid w:val="004C14F8"/>
    <w:rsid w:val="004C292F"/>
    <w:rsid w:val="004C3239"/>
    <w:rsid w:val="004C32B3"/>
    <w:rsid w:val="004C658A"/>
    <w:rsid w:val="004C7AA8"/>
    <w:rsid w:val="004D0877"/>
    <w:rsid w:val="004D0938"/>
    <w:rsid w:val="004D1DA8"/>
    <w:rsid w:val="004D4363"/>
    <w:rsid w:val="004D630B"/>
    <w:rsid w:val="004D6599"/>
    <w:rsid w:val="004D730A"/>
    <w:rsid w:val="004E27D6"/>
    <w:rsid w:val="004E2F9D"/>
    <w:rsid w:val="004E35A5"/>
    <w:rsid w:val="004E485C"/>
    <w:rsid w:val="004E5981"/>
    <w:rsid w:val="004E5D30"/>
    <w:rsid w:val="004E73DE"/>
    <w:rsid w:val="004F3546"/>
    <w:rsid w:val="004F454B"/>
    <w:rsid w:val="004F45AC"/>
    <w:rsid w:val="004F4C11"/>
    <w:rsid w:val="004F51A5"/>
    <w:rsid w:val="004F56DD"/>
    <w:rsid w:val="004F6536"/>
    <w:rsid w:val="00501270"/>
    <w:rsid w:val="005014FD"/>
    <w:rsid w:val="00501710"/>
    <w:rsid w:val="005020C0"/>
    <w:rsid w:val="005027C0"/>
    <w:rsid w:val="0050288A"/>
    <w:rsid w:val="0050319B"/>
    <w:rsid w:val="005034DB"/>
    <w:rsid w:val="00503C64"/>
    <w:rsid w:val="00504618"/>
    <w:rsid w:val="00505159"/>
    <w:rsid w:val="0050565C"/>
    <w:rsid w:val="005073BE"/>
    <w:rsid w:val="00507AB4"/>
    <w:rsid w:val="00510280"/>
    <w:rsid w:val="0051059E"/>
    <w:rsid w:val="00512B98"/>
    <w:rsid w:val="00512EB6"/>
    <w:rsid w:val="00513D73"/>
    <w:rsid w:val="0051410F"/>
    <w:rsid w:val="00514A43"/>
    <w:rsid w:val="00514C77"/>
    <w:rsid w:val="005174E5"/>
    <w:rsid w:val="00517E36"/>
    <w:rsid w:val="00517F1B"/>
    <w:rsid w:val="00520D87"/>
    <w:rsid w:val="00522393"/>
    <w:rsid w:val="00522620"/>
    <w:rsid w:val="00522A7C"/>
    <w:rsid w:val="00523E5A"/>
    <w:rsid w:val="005240DE"/>
    <w:rsid w:val="00524BBC"/>
    <w:rsid w:val="00525656"/>
    <w:rsid w:val="00526E44"/>
    <w:rsid w:val="0053026F"/>
    <w:rsid w:val="00531F41"/>
    <w:rsid w:val="0053387A"/>
    <w:rsid w:val="0053496D"/>
    <w:rsid w:val="00534C02"/>
    <w:rsid w:val="005352F6"/>
    <w:rsid w:val="00537721"/>
    <w:rsid w:val="00537729"/>
    <w:rsid w:val="00541316"/>
    <w:rsid w:val="005418EA"/>
    <w:rsid w:val="0054264B"/>
    <w:rsid w:val="00542BD3"/>
    <w:rsid w:val="005431CC"/>
    <w:rsid w:val="00543604"/>
    <w:rsid w:val="00543786"/>
    <w:rsid w:val="005443FE"/>
    <w:rsid w:val="005446E7"/>
    <w:rsid w:val="0054777A"/>
    <w:rsid w:val="0055095F"/>
    <w:rsid w:val="005533D7"/>
    <w:rsid w:val="00555259"/>
    <w:rsid w:val="0055671B"/>
    <w:rsid w:val="005571C9"/>
    <w:rsid w:val="005604DC"/>
    <w:rsid w:val="0056334E"/>
    <w:rsid w:val="0056347E"/>
    <w:rsid w:val="00563807"/>
    <w:rsid w:val="00563B1A"/>
    <w:rsid w:val="00563F7B"/>
    <w:rsid w:val="0056592C"/>
    <w:rsid w:val="00565E5B"/>
    <w:rsid w:val="00570017"/>
    <w:rsid w:val="005703DE"/>
    <w:rsid w:val="00570609"/>
    <w:rsid w:val="005736D0"/>
    <w:rsid w:val="005739F7"/>
    <w:rsid w:val="0057443E"/>
    <w:rsid w:val="005747BC"/>
    <w:rsid w:val="00575EA2"/>
    <w:rsid w:val="00580A52"/>
    <w:rsid w:val="00580B5C"/>
    <w:rsid w:val="00580EBD"/>
    <w:rsid w:val="005825B2"/>
    <w:rsid w:val="0058464E"/>
    <w:rsid w:val="00584740"/>
    <w:rsid w:val="00584BE7"/>
    <w:rsid w:val="00585B04"/>
    <w:rsid w:val="0058614B"/>
    <w:rsid w:val="005861AC"/>
    <w:rsid w:val="005919D4"/>
    <w:rsid w:val="00594960"/>
    <w:rsid w:val="00594D00"/>
    <w:rsid w:val="005954A6"/>
    <w:rsid w:val="00595B90"/>
    <w:rsid w:val="00597006"/>
    <w:rsid w:val="005971A1"/>
    <w:rsid w:val="005A013A"/>
    <w:rsid w:val="005A01CB"/>
    <w:rsid w:val="005A0224"/>
    <w:rsid w:val="005A2E89"/>
    <w:rsid w:val="005A3712"/>
    <w:rsid w:val="005A43FA"/>
    <w:rsid w:val="005A5513"/>
    <w:rsid w:val="005A5701"/>
    <w:rsid w:val="005A58FF"/>
    <w:rsid w:val="005A5EAF"/>
    <w:rsid w:val="005A6213"/>
    <w:rsid w:val="005A64C0"/>
    <w:rsid w:val="005B09A4"/>
    <w:rsid w:val="005B3C11"/>
    <w:rsid w:val="005B48DA"/>
    <w:rsid w:val="005B5955"/>
    <w:rsid w:val="005B72AE"/>
    <w:rsid w:val="005B73CE"/>
    <w:rsid w:val="005B7B09"/>
    <w:rsid w:val="005C1C28"/>
    <w:rsid w:val="005C284D"/>
    <w:rsid w:val="005C5090"/>
    <w:rsid w:val="005C66CD"/>
    <w:rsid w:val="005C6B4B"/>
    <w:rsid w:val="005C6DB5"/>
    <w:rsid w:val="005D2580"/>
    <w:rsid w:val="005D270A"/>
    <w:rsid w:val="005D4603"/>
    <w:rsid w:val="005D61CE"/>
    <w:rsid w:val="005E0CAE"/>
    <w:rsid w:val="005E153F"/>
    <w:rsid w:val="005E1940"/>
    <w:rsid w:val="005E19E7"/>
    <w:rsid w:val="005E2B98"/>
    <w:rsid w:val="005E4228"/>
    <w:rsid w:val="005E4AEE"/>
    <w:rsid w:val="005E5773"/>
    <w:rsid w:val="005E7FFD"/>
    <w:rsid w:val="005F0A37"/>
    <w:rsid w:val="005F1815"/>
    <w:rsid w:val="005F248D"/>
    <w:rsid w:val="005F2714"/>
    <w:rsid w:val="005F2A1F"/>
    <w:rsid w:val="005F35BB"/>
    <w:rsid w:val="005F5341"/>
    <w:rsid w:val="005F5430"/>
    <w:rsid w:val="00601AEF"/>
    <w:rsid w:val="006030B6"/>
    <w:rsid w:val="006039C5"/>
    <w:rsid w:val="0060454E"/>
    <w:rsid w:val="00604FDB"/>
    <w:rsid w:val="00606F22"/>
    <w:rsid w:val="00610D82"/>
    <w:rsid w:val="006113E7"/>
    <w:rsid w:val="006118D2"/>
    <w:rsid w:val="00611C57"/>
    <w:rsid w:val="006143C8"/>
    <w:rsid w:val="00616C8E"/>
    <w:rsid w:val="0061716C"/>
    <w:rsid w:val="006203C3"/>
    <w:rsid w:val="006205BE"/>
    <w:rsid w:val="00622825"/>
    <w:rsid w:val="006243A1"/>
    <w:rsid w:val="006244FA"/>
    <w:rsid w:val="006253D3"/>
    <w:rsid w:val="00626490"/>
    <w:rsid w:val="006305DA"/>
    <w:rsid w:val="00632668"/>
    <w:rsid w:val="0063281F"/>
    <w:rsid w:val="00632E56"/>
    <w:rsid w:val="00633A53"/>
    <w:rsid w:val="006356ED"/>
    <w:rsid w:val="00635CBA"/>
    <w:rsid w:val="00636E62"/>
    <w:rsid w:val="00640E4F"/>
    <w:rsid w:val="00643186"/>
    <w:rsid w:val="0064338B"/>
    <w:rsid w:val="00643BF9"/>
    <w:rsid w:val="0064485B"/>
    <w:rsid w:val="006456E2"/>
    <w:rsid w:val="00645E5F"/>
    <w:rsid w:val="00646542"/>
    <w:rsid w:val="006470CC"/>
    <w:rsid w:val="006475D7"/>
    <w:rsid w:val="00647B45"/>
    <w:rsid w:val="006504F4"/>
    <w:rsid w:val="006513C9"/>
    <w:rsid w:val="0065241A"/>
    <w:rsid w:val="00653515"/>
    <w:rsid w:val="00653B58"/>
    <w:rsid w:val="00654BC9"/>
    <w:rsid w:val="006552FD"/>
    <w:rsid w:val="00655785"/>
    <w:rsid w:val="0065596F"/>
    <w:rsid w:val="00657F0F"/>
    <w:rsid w:val="00662400"/>
    <w:rsid w:val="0066272A"/>
    <w:rsid w:val="00663597"/>
    <w:rsid w:val="00663AF3"/>
    <w:rsid w:val="006643BA"/>
    <w:rsid w:val="00665B57"/>
    <w:rsid w:val="00666B6C"/>
    <w:rsid w:val="00666F2A"/>
    <w:rsid w:val="00671274"/>
    <w:rsid w:val="00671D4E"/>
    <w:rsid w:val="0067214D"/>
    <w:rsid w:val="00672C33"/>
    <w:rsid w:val="00672CCC"/>
    <w:rsid w:val="00674950"/>
    <w:rsid w:val="00674D60"/>
    <w:rsid w:val="00674F45"/>
    <w:rsid w:val="006758ED"/>
    <w:rsid w:val="0067592F"/>
    <w:rsid w:val="00675BB5"/>
    <w:rsid w:val="006760E2"/>
    <w:rsid w:val="00676CAB"/>
    <w:rsid w:val="00676EE0"/>
    <w:rsid w:val="006770C1"/>
    <w:rsid w:val="00680DCF"/>
    <w:rsid w:val="00681E97"/>
    <w:rsid w:val="00682574"/>
    <w:rsid w:val="00682682"/>
    <w:rsid w:val="00682702"/>
    <w:rsid w:val="00682790"/>
    <w:rsid w:val="0068344B"/>
    <w:rsid w:val="006845CF"/>
    <w:rsid w:val="0068631B"/>
    <w:rsid w:val="00686757"/>
    <w:rsid w:val="0069146A"/>
    <w:rsid w:val="00691BA7"/>
    <w:rsid w:val="00691BAB"/>
    <w:rsid w:val="00692368"/>
    <w:rsid w:val="00692918"/>
    <w:rsid w:val="00692D6B"/>
    <w:rsid w:val="00693350"/>
    <w:rsid w:val="006945C7"/>
    <w:rsid w:val="00696ACC"/>
    <w:rsid w:val="00697843"/>
    <w:rsid w:val="006A047F"/>
    <w:rsid w:val="006A1F1E"/>
    <w:rsid w:val="006A2423"/>
    <w:rsid w:val="006A274A"/>
    <w:rsid w:val="006A2EBC"/>
    <w:rsid w:val="006A429F"/>
    <w:rsid w:val="006A5EA0"/>
    <w:rsid w:val="006A61DD"/>
    <w:rsid w:val="006A782A"/>
    <w:rsid w:val="006A783B"/>
    <w:rsid w:val="006A7B33"/>
    <w:rsid w:val="006B10A8"/>
    <w:rsid w:val="006B2277"/>
    <w:rsid w:val="006B2421"/>
    <w:rsid w:val="006B297F"/>
    <w:rsid w:val="006B2A3C"/>
    <w:rsid w:val="006B3CBC"/>
    <w:rsid w:val="006B4E13"/>
    <w:rsid w:val="006B4E2D"/>
    <w:rsid w:val="006B75DD"/>
    <w:rsid w:val="006B77A2"/>
    <w:rsid w:val="006C0561"/>
    <w:rsid w:val="006C140D"/>
    <w:rsid w:val="006C53E6"/>
    <w:rsid w:val="006C67E0"/>
    <w:rsid w:val="006C7ABA"/>
    <w:rsid w:val="006D0D60"/>
    <w:rsid w:val="006D1122"/>
    <w:rsid w:val="006D12FA"/>
    <w:rsid w:val="006D25D8"/>
    <w:rsid w:val="006D2A33"/>
    <w:rsid w:val="006D2D05"/>
    <w:rsid w:val="006D343E"/>
    <w:rsid w:val="006D3B7C"/>
    <w:rsid w:val="006D3C00"/>
    <w:rsid w:val="006D4F83"/>
    <w:rsid w:val="006D5C0A"/>
    <w:rsid w:val="006D7649"/>
    <w:rsid w:val="006D7BF8"/>
    <w:rsid w:val="006E0394"/>
    <w:rsid w:val="006E0490"/>
    <w:rsid w:val="006E3675"/>
    <w:rsid w:val="006E3D97"/>
    <w:rsid w:val="006E4009"/>
    <w:rsid w:val="006E43B7"/>
    <w:rsid w:val="006E4A7F"/>
    <w:rsid w:val="006E5522"/>
    <w:rsid w:val="006E57F3"/>
    <w:rsid w:val="006E61F9"/>
    <w:rsid w:val="006E6FE8"/>
    <w:rsid w:val="006F0255"/>
    <w:rsid w:val="006F02A8"/>
    <w:rsid w:val="006F03B0"/>
    <w:rsid w:val="006F0B19"/>
    <w:rsid w:val="006F137A"/>
    <w:rsid w:val="006F2091"/>
    <w:rsid w:val="006F2427"/>
    <w:rsid w:val="006F26A2"/>
    <w:rsid w:val="006F3506"/>
    <w:rsid w:val="006F35A7"/>
    <w:rsid w:val="006F3E11"/>
    <w:rsid w:val="006F413F"/>
    <w:rsid w:val="006F568F"/>
    <w:rsid w:val="006F714A"/>
    <w:rsid w:val="006F7E71"/>
    <w:rsid w:val="00701231"/>
    <w:rsid w:val="007019B2"/>
    <w:rsid w:val="00701A83"/>
    <w:rsid w:val="00701A8C"/>
    <w:rsid w:val="00703220"/>
    <w:rsid w:val="00704DF6"/>
    <w:rsid w:val="00705309"/>
    <w:rsid w:val="007058AD"/>
    <w:rsid w:val="0070651C"/>
    <w:rsid w:val="00706940"/>
    <w:rsid w:val="00707088"/>
    <w:rsid w:val="00710050"/>
    <w:rsid w:val="007107D7"/>
    <w:rsid w:val="007108D6"/>
    <w:rsid w:val="007112B8"/>
    <w:rsid w:val="00711D7C"/>
    <w:rsid w:val="007125B9"/>
    <w:rsid w:val="00712D53"/>
    <w:rsid w:val="007132A3"/>
    <w:rsid w:val="007142DD"/>
    <w:rsid w:val="007159C9"/>
    <w:rsid w:val="00715D15"/>
    <w:rsid w:val="00716421"/>
    <w:rsid w:val="00717216"/>
    <w:rsid w:val="007206AB"/>
    <w:rsid w:val="00721F66"/>
    <w:rsid w:val="00722619"/>
    <w:rsid w:val="0072465C"/>
    <w:rsid w:val="00724C75"/>
    <w:rsid w:val="00724EFB"/>
    <w:rsid w:val="007266C5"/>
    <w:rsid w:val="00726A7A"/>
    <w:rsid w:val="00726D61"/>
    <w:rsid w:val="00727C0C"/>
    <w:rsid w:val="0073004A"/>
    <w:rsid w:val="00730DED"/>
    <w:rsid w:val="0073118B"/>
    <w:rsid w:val="00731822"/>
    <w:rsid w:val="007322D2"/>
    <w:rsid w:val="00732C8C"/>
    <w:rsid w:val="00732E0A"/>
    <w:rsid w:val="00733555"/>
    <w:rsid w:val="00736923"/>
    <w:rsid w:val="0073747F"/>
    <w:rsid w:val="0073770D"/>
    <w:rsid w:val="00740882"/>
    <w:rsid w:val="00740DE5"/>
    <w:rsid w:val="00740EE0"/>
    <w:rsid w:val="007419C3"/>
    <w:rsid w:val="007430B9"/>
    <w:rsid w:val="007438E7"/>
    <w:rsid w:val="00743E02"/>
    <w:rsid w:val="007456EB"/>
    <w:rsid w:val="00745C60"/>
    <w:rsid w:val="00746614"/>
    <w:rsid w:val="007466B5"/>
    <w:rsid w:val="007467A7"/>
    <w:rsid w:val="007469DD"/>
    <w:rsid w:val="00747210"/>
    <w:rsid w:val="0074724C"/>
    <w:rsid w:val="0074741B"/>
    <w:rsid w:val="0074759E"/>
    <w:rsid w:val="007478EA"/>
    <w:rsid w:val="00750F9B"/>
    <w:rsid w:val="00752802"/>
    <w:rsid w:val="0075415C"/>
    <w:rsid w:val="007541E2"/>
    <w:rsid w:val="00754BF7"/>
    <w:rsid w:val="00754E32"/>
    <w:rsid w:val="00757266"/>
    <w:rsid w:val="00761F07"/>
    <w:rsid w:val="00762BB7"/>
    <w:rsid w:val="00762F0A"/>
    <w:rsid w:val="00763502"/>
    <w:rsid w:val="0076545F"/>
    <w:rsid w:val="00765678"/>
    <w:rsid w:val="0076604C"/>
    <w:rsid w:val="00771383"/>
    <w:rsid w:val="00771CF1"/>
    <w:rsid w:val="00772393"/>
    <w:rsid w:val="007728CD"/>
    <w:rsid w:val="00774B79"/>
    <w:rsid w:val="00774EC0"/>
    <w:rsid w:val="00775B23"/>
    <w:rsid w:val="00775CF4"/>
    <w:rsid w:val="00776534"/>
    <w:rsid w:val="0078013C"/>
    <w:rsid w:val="00780D44"/>
    <w:rsid w:val="007814FC"/>
    <w:rsid w:val="00783946"/>
    <w:rsid w:val="007848C7"/>
    <w:rsid w:val="00787A31"/>
    <w:rsid w:val="007913AB"/>
    <w:rsid w:val="007914F7"/>
    <w:rsid w:val="007950F9"/>
    <w:rsid w:val="007953C0"/>
    <w:rsid w:val="0079693F"/>
    <w:rsid w:val="0079789A"/>
    <w:rsid w:val="007A07AD"/>
    <w:rsid w:val="007A1C89"/>
    <w:rsid w:val="007A2A84"/>
    <w:rsid w:val="007A2C9F"/>
    <w:rsid w:val="007A4DB7"/>
    <w:rsid w:val="007A5167"/>
    <w:rsid w:val="007B1625"/>
    <w:rsid w:val="007B1DE9"/>
    <w:rsid w:val="007B4914"/>
    <w:rsid w:val="007B4AA0"/>
    <w:rsid w:val="007B7048"/>
    <w:rsid w:val="007B706E"/>
    <w:rsid w:val="007B71EB"/>
    <w:rsid w:val="007B722E"/>
    <w:rsid w:val="007C0311"/>
    <w:rsid w:val="007C0AB3"/>
    <w:rsid w:val="007C14A0"/>
    <w:rsid w:val="007C27DC"/>
    <w:rsid w:val="007C3AE1"/>
    <w:rsid w:val="007C3B95"/>
    <w:rsid w:val="007C49F4"/>
    <w:rsid w:val="007C4D04"/>
    <w:rsid w:val="007C5DB3"/>
    <w:rsid w:val="007C6205"/>
    <w:rsid w:val="007C686A"/>
    <w:rsid w:val="007C728E"/>
    <w:rsid w:val="007D0376"/>
    <w:rsid w:val="007D1198"/>
    <w:rsid w:val="007D198D"/>
    <w:rsid w:val="007D2A1F"/>
    <w:rsid w:val="007D2C53"/>
    <w:rsid w:val="007D2C7F"/>
    <w:rsid w:val="007D37BD"/>
    <w:rsid w:val="007D3D22"/>
    <w:rsid w:val="007D3D60"/>
    <w:rsid w:val="007D41DA"/>
    <w:rsid w:val="007D4574"/>
    <w:rsid w:val="007D511F"/>
    <w:rsid w:val="007D55D2"/>
    <w:rsid w:val="007D7435"/>
    <w:rsid w:val="007E1980"/>
    <w:rsid w:val="007E1CC3"/>
    <w:rsid w:val="007E3304"/>
    <w:rsid w:val="007E3332"/>
    <w:rsid w:val="007E3E14"/>
    <w:rsid w:val="007E4B76"/>
    <w:rsid w:val="007E4FA0"/>
    <w:rsid w:val="007E54C0"/>
    <w:rsid w:val="007E5EA8"/>
    <w:rsid w:val="007E7328"/>
    <w:rsid w:val="007F0C99"/>
    <w:rsid w:val="007F0CF1"/>
    <w:rsid w:val="007F0E7F"/>
    <w:rsid w:val="007F12A5"/>
    <w:rsid w:val="007F2486"/>
    <w:rsid w:val="007F2A07"/>
    <w:rsid w:val="007F3EB3"/>
    <w:rsid w:val="007F431D"/>
    <w:rsid w:val="007F48FA"/>
    <w:rsid w:val="007F4CF1"/>
    <w:rsid w:val="007F546D"/>
    <w:rsid w:val="007F636E"/>
    <w:rsid w:val="007F6DC7"/>
    <w:rsid w:val="007F758D"/>
    <w:rsid w:val="007F771A"/>
    <w:rsid w:val="007F7D52"/>
    <w:rsid w:val="00800006"/>
    <w:rsid w:val="0080016A"/>
    <w:rsid w:val="0080150D"/>
    <w:rsid w:val="0080205A"/>
    <w:rsid w:val="00803E29"/>
    <w:rsid w:val="00805220"/>
    <w:rsid w:val="00805276"/>
    <w:rsid w:val="0080612F"/>
    <w:rsid w:val="0080654C"/>
    <w:rsid w:val="00806FB5"/>
    <w:rsid w:val="008071C6"/>
    <w:rsid w:val="0080751F"/>
    <w:rsid w:val="00810BEB"/>
    <w:rsid w:val="00811E81"/>
    <w:rsid w:val="00812607"/>
    <w:rsid w:val="00813BAB"/>
    <w:rsid w:val="008144B2"/>
    <w:rsid w:val="00815241"/>
    <w:rsid w:val="00817A00"/>
    <w:rsid w:val="008215A8"/>
    <w:rsid w:val="0082247B"/>
    <w:rsid w:val="008224ED"/>
    <w:rsid w:val="00823017"/>
    <w:rsid w:val="0082476D"/>
    <w:rsid w:val="0082519E"/>
    <w:rsid w:val="00825935"/>
    <w:rsid w:val="00825FE1"/>
    <w:rsid w:val="008264A1"/>
    <w:rsid w:val="00826A7C"/>
    <w:rsid w:val="008314E3"/>
    <w:rsid w:val="00831EDE"/>
    <w:rsid w:val="00831F0A"/>
    <w:rsid w:val="00832793"/>
    <w:rsid w:val="00832922"/>
    <w:rsid w:val="00832B53"/>
    <w:rsid w:val="008347DC"/>
    <w:rsid w:val="00835DB3"/>
    <w:rsid w:val="00835F1D"/>
    <w:rsid w:val="0083617B"/>
    <w:rsid w:val="0083659B"/>
    <w:rsid w:val="008371BD"/>
    <w:rsid w:val="0083781B"/>
    <w:rsid w:val="00837BF3"/>
    <w:rsid w:val="00840D53"/>
    <w:rsid w:val="008412D0"/>
    <w:rsid w:val="00843831"/>
    <w:rsid w:val="00843E4B"/>
    <w:rsid w:val="008447D5"/>
    <w:rsid w:val="00845E6E"/>
    <w:rsid w:val="00846346"/>
    <w:rsid w:val="00847A6C"/>
    <w:rsid w:val="008504A8"/>
    <w:rsid w:val="00850DDA"/>
    <w:rsid w:val="0085282E"/>
    <w:rsid w:val="00853B4E"/>
    <w:rsid w:val="008556E3"/>
    <w:rsid w:val="00855D63"/>
    <w:rsid w:val="00855E4F"/>
    <w:rsid w:val="00855FC0"/>
    <w:rsid w:val="008605BB"/>
    <w:rsid w:val="00860B2C"/>
    <w:rsid w:val="008614B9"/>
    <w:rsid w:val="00861DE2"/>
    <w:rsid w:val="00862977"/>
    <w:rsid w:val="00862A61"/>
    <w:rsid w:val="00863429"/>
    <w:rsid w:val="00871039"/>
    <w:rsid w:val="0087198C"/>
    <w:rsid w:val="00872174"/>
    <w:rsid w:val="00872396"/>
    <w:rsid w:val="0087295F"/>
    <w:rsid w:val="00872A76"/>
    <w:rsid w:val="00872C1F"/>
    <w:rsid w:val="00873163"/>
    <w:rsid w:val="00873B42"/>
    <w:rsid w:val="00874D5E"/>
    <w:rsid w:val="00874F05"/>
    <w:rsid w:val="00874FBF"/>
    <w:rsid w:val="00875320"/>
    <w:rsid w:val="00880035"/>
    <w:rsid w:val="00881574"/>
    <w:rsid w:val="008816C0"/>
    <w:rsid w:val="00883692"/>
    <w:rsid w:val="00884A30"/>
    <w:rsid w:val="00885253"/>
    <w:rsid w:val="008856D8"/>
    <w:rsid w:val="00885BAF"/>
    <w:rsid w:val="00890DD9"/>
    <w:rsid w:val="00891057"/>
    <w:rsid w:val="00891181"/>
    <w:rsid w:val="0089121C"/>
    <w:rsid w:val="008921C3"/>
    <w:rsid w:val="0089220B"/>
    <w:rsid w:val="008928FA"/>
    <w:rsid w:val="008929FD"/>
    <w:rsid w:val="00892D47"/>
    <w:rsid w:val="00892E82"/>
    <w:rsid w:val="0089307B"/>
    <w:rsid w:val="00893C2B"/>
    <w:rsid w:val="00894B11"/>
    <w:rsid w:val="008960D0"/>
    <w:rsid w:val="0089635F"/>
    <w:rsid w:val="00897B80"/>
    <w:rsid w:val="008A01C7"/>
    <w:rsid w:val="008A0AFD"/>
    <w:rsid w:val="008A2759"/>
    <w:rsid w:val="008A3EA7"/>
    <w:rsid w:val="008A68D3"/>
    <w:rsid w:val="008A740C"/>
    <w:rsid w:val="008A7752"/>
    <w:rsid w:val="008A7EFA"/>
    <w:rsid w:val="008B0F2B"/>
    <w:rsid w:val="008B2A8C"/>
    <w:rsid w:val="008B2B96"/>
    <w:rsid w:val="008B2BFF"/>
    <w:rsid w:val="008B2D06"/>
    <w:rsid w:val="008B678B"/>
    <w:rsid w:val="008B6C3F"/>
    <w:rsid w:val="008B7539"/>
    <w:rsid w:val="008C0AC4"/>
    <w:rsid w:val="008C1B58"/>
    <w:rsid w:val="008C1EDE"/>
    <w:rsid w:val="008C2DB9"/>
    <w:rsid w:val="008C39AE"/>
    <w:rsid w:val="008C3E16"/>
    <w:rsid w:val="008C590D"/>
    <w:rsid w:val="008C5EC4"/>
    <w:rsid w:val="008C5F51"/>
    <w:rsid w:val="008C7838"/>
    <w:rsid w:val="008D0D7C"/>
    <w:rsid w:val="008D1357"/>
    <w:rsid w:val="008D3AAA"/>
    <w:rsid w:val="008D3D25"/>
    <w:rsid w:val="008D5186"/>
    <w:rsid w:val="008D5A0B"/>
    <w:rsid w:val="008D7796"/>
    <w:rsid w:val="008E031B"/>
    <w:rsid w:val="008E0404"/>
    <w:rsid w:val="008E10F2"/>
    <w:rsid w:val="008E128A"/>
    <w:rsid w:val="008E1389"/>
    <w:rsid w:val="008E1C0F"/>
    <w:rsid w:val="008E30DC"/>
    <w:rsid w:val="008E32C8"/>
    <w:rsid w:val="008E3F16"/>
    <w:rsid w:val="008E4E3B"/>
    <w:rsid w:val="008E64AD"/>
    <w:rsid w:val="008E6B63"/>
    <w:rsid w:val="008E7029"/>
    <w:rsid w:val="008E7BC3"/>
    <w:rsid w:val="008E7DC6"/>
    <w:rsid w:val="008E7EF6"/>
    <w:rsid w:val="008F19E2"/>
    <w:rsid w:val="008F1F98"/>
    <w:rsid w:val="008F3603"/>
    <w:rsid w:val="008F3716"/>
    <w:rsid w:val="008F5596"/>
    <w:rsid w:val="008F6758"/>
    <w:rsid w:val="008F6ADB"/>
    <w:rsid w:val="009001A6"/>
    <w:rsid w:val="00901218"/>
    <w:rsid w:val="00902288"/>
    <w:rsid w:val="0090247E"/>
    <w:rsid w:val="00903A55"/>
    <w:rsid w:val="00903BEF"/>
    <w:rsid w:val="009040DD"/>
    <w:rsid w:val="00904215"/>
    <w:rsid w:val="0090511A"/>
    <w:rsid w:val="00905949"/>
    <w:rsid w:val="00905A04"/>
    <w:rsid w:val="00905B47"/>
    <w:rsid w:val="009065BC"/>
    <w:rsid w:val="009066E5"/>
    <w:rsid w:val="0090672E"/>
    <w:rsid w:val="0090681B"/>
    <w:rsid w:val="0091029D"/>
    <w:rsid w:val="009110FD"/>
    <w:rsid w:val="00911579"/>
    <w:rsid w:val="009121E2"/>
    <w:rsid w:val="009126C8"/>
    <w:rsid w:val="00912E13"/>
    <w:rsid w:val="0091331C"/>
    <w:rsid w:val="00913ADB"/>
    <w:rsid w:val="00913B74"/>
    <w:rsid w:val="009148A7"/>
    <w:rsid w:val="00917C57"/>
    <w:rsid w:val="00920628"/>
    <w:rsid w:val="00920666"/>
    <w:rsid w:val="00921D77"/>
    <w:rsid w:val="00922338"/>
    <w:rsid w:val="009224FC"/>
    <w:rsid w:val="00922590"/>
    <w:rsid w:val="00922794"/>
    <w:rsid w:val="009228A1"/>
    <w:rsid w:val="00922D05"/>
    <w:rsid w:val="00922D60"/>
    <w:rsid w:val="00923687"/>
    <w:rsid w:val="0092479E"/>
    <w:rsid w:val="009247BB"/>
    <w:rsid w:val="00925F22"/>
    <w:rsid w:val="009279DE"/>
    <w:rsid w:val="00927F73"/>
    <w:rsid w:val="00930116"/>
    <w:rsid w:val="009309E6"/>
    <w:rsid w:val="00930E18"/>
    <w:rsid w:val="0093324C"/>
    <w:rsid w:val="00933658"/>
    <w:rsid w:val="0093415D"/>
    <w:rsid w:val="009348E5"/>
    <w:rsid w:val="00934955"/>
    <w:rsid w:val="00934E07"/>
    <w:rsid w:val="00936759"/>
    <w:rsid w:val="0093716F"/>
    <w:rsid w:val="00940403"/>
    <w:rsid w:val="00940D1D"/>
    <w:rsid w:val="00941B9B"/>
    <w:rsid w:val="0094212C"/>
    <w:rsid w:val="009437F0"/>
    <w:rsid w:val="00944729"/>
    <w:rsid w:val="0095060E"/>
    <w:rsid w:val="009539F4"/>
    <w:rsid w:val="00953E3E"/>
    <w:rsid w:val="00954689"/>
    <w:rsid w:val="00955EF5"/>
    <w:rsid w:val="009617C9"/>
    <w:rsid w:val="00961C93"/>
    <w:rsid w:val="009640A0"/>
    <w:rsid w:val="00964E44"/>
    <w:rsid w:val="00965324"/>
    <w:rsid w:val="009657CE"/>
    <w:rsid w:val="00965BA5"/>
    <w:rsid w:val="00966101"/>
    <w:rsid w:val="00966887"/>
    <w:rsid w:val="00967B0E"/>
    <w:rsid w:val="0097091E"/>
    <w:rsid w:val="00970C55"/>
    <w:rsid w:val="00971287"/>
    <w:rsid w:val="00975FDD"/>
    <w:rsid w:val="009760D3"/>
    <w:rsid w:val="00976393"/>
    <w:rsid w:val="00977132"/>
    <w:rsid w:val="009818D5"/>
    <w:rsid w:val="00981A4B"/>
    <w:rsid w:val="00981B06"/>
    <w:rsid w:val="009823BD"/>
    <w:rsid w:val="00982501"/>
    <w:rsid w:val="00983B93"/>
    <w:rsid w:val="00983C26"/>
    <w:rsid w:val="00983E81"/>
    <w:rsid w:val="009847EE"/>
    <w:rsid w:val="009857B6"/>
    <w:rsid w:val="00985811"/>
    <w:rsid w:val="009859D4"/>
    <w:rsid w:val="00985CAF"/>
    <w:rsid w:val="009877D3"/>
    <w:rsid w:val="00990263"/>
    <w:rsid w:val="00991701"/>
    <w:rsid w:val="009919E9"/>
    <w:rsid w:val="00992415"/>
    <w:rsid w:val="0099402A"/>
    <w:rsid w:val="009948F6"/>
    <w:rsid w:val="009949E3"/>
    <w:rsid w:val="00994E8F"/>
    <w:rsid w:val="009951DC"/>
    <w:rsid w:val="009959BB"/>
    <w:rsid w:val="0099635F"/>
    <w:rsid w:val="009970F9"/>
    <w:rsid w:val="00997158"/>
    <w:rsid w:val="0099787F"/>
    <w:rsid w:val="00997CE0"/>
    <w:rsid w:val="009A0117"/>
    <w:rsid w:val="009A1476"/>
    <w:rsid w:val="009A1661"/>
    <w:rsid w:val="009A3A7C"/>
    <w:rsid w:val="009A3BDA"/>
    <w:rsid w:val="009A44A6"/>
    <w:rsid w:val="009A5877"/>
    <w:rsid w:val="009A5D82"/>
    <w:rsid w:val="009A62E3"/>
    <w:rsid w:val="009B040D"/>
    <w:rsid w:val="009B073F"/>
    <w:rsid w:val="009B12D1"/>
    <w:rsid w:val="009B1AE4"/>
    <w:rsid w:val="009B2ADB"/>
    <w:rsid w:val="009B3851"/>
    <w:rsid w:val="009B3B7E"/>
    <w:rsid w:val="009B3D20"/>
    <w:rsid w:val="009B54D6"/>
    <w:rsid w:val="009B603A"/>
    <w:rsid w:val="009B6D50"/>
    <w:rsid w:val="009B7755"/>
    <w:rsid w:val="009B78A7"/>
    <w:rsid w:val="009C0F33"/>
    <w:rsid w:val="009C2A1C"/>
    <w:rsid w:val="009C2D0E"/>
    <w:rsid w:val="009C2DC3"/>
    <w:rsid w:val="009C30F9"/>
    <w:rsid w:val="009C324A"/>
    <w:rsid w:val="009C34AD"/>
    <w:rsid w:val="009C3DAC"/>
    <w:rsid w:val="009C42E0"/>
    <w:rsid w:val="009C502B"/>
    <w:rsid w:val="009C5215"/>
    <w:rsid w:val="009C6A72"/>
    <w:rsid w:val="009C70AB"/>
    <w:rsid w:val="009C7500"/>
    <w:rsid w:val="009D0793"/>
    <w:rsid w:val="009D0EB7"/>
    <w:rsid w:val="009D1229"/>
    <w:rsid w:val="009D1DD4"/>
    <w:rsid w:val="009D20E3"/>
    <w:rsid w:val="009D3A21"/>
    <w:rsid w:val="009D426E"/>
    <w:rsid w:val="009D4601"/>
    <w:rsid w:val="009D465A"/>
    <w:rsid w:val="009D474D"/>
    <w:rsid w:val="009D5362"/>
    <w:rsid w:val="009D55E4"/>
    <w:rsid w:val="009D72FC"/>
    <w:rsid w:val="009E0C5B"/>
    <w:rsid w:val="009E0C96"/>
    <w:rsid w:val="009E1314"/>
    <w:rsid w:val="009E1415"/>
    <w:rsid w:val="009E2062"/>
    <w:rsid w:val="009E264B"/>
    <w:rsid w:val="009E4060"/>
    <w:rsid w:val="009E4130"/>
    <w:rsid w:val="009E6116"/>
    <w:rsid w:val="009E6FA3"/>
    <w:rsid w:val="009E75CF"/>
    <w:rsid w:val="009F0377"/>
    <w:rsid w:val="009F0C20"/>
    <w:rsid w:val="009F12D6"/>
    <w:rsid w:val="009F1746"/>
    <w:rsid w:val="009F65BF"/>
    <w:rsid w:val="009F68E2"/>
    <w:rsid w:val="009F724B"/>
    <w:rsid w:val="00A00512"/>
    <w:rsid w:val="00A02E43"/>
    <w:rsid w:val="00A03FE0"/>
    <w:rsid w:val="00A05871"/>
    <w:rsid w:val="00A06233"/>
    <w:rsid w:val="00A063E7"/>
    <w:rsid w:val="00A065F9"/>
    <w:rsid w:val="00A07F34"/>
    <w:rsid w:val="00A11E36"/>
    <w:rsid w:val="00A12782"/>
    <w:rsid w:val="00A15086"/>
    <w:rsid w:val="00A16BF1"/>
    <w:rsid w:val="00A20556"/>
    <w:rsid w:val="00A21AF9"/>
    <w:rsid w:val="00A22087"/>
    <w:rsid w:val="00A22154"/>
    <w:rsid w:val="00A228D0"/>
    <w:rsid w:val="00A23AB7"/>
    <w:rsid w:val="00A25055"/>
    <w:rsid w:val="00A2516A"/>
    <w:rsid w:val="00A2573E"/>
    <w:rsid w:val="00A25C38"/>
    <w:rsid w:val="00A26D4A"/>
    <w:rsid w:val="00A27562"/>
    <w:rsid w:val="00A305AD"/>
    <w:rsid w:val="00A31798"/>
    <w:rsid w:val="00A3283B"/>
    <w:rsid w:val="00A33B92"/>
    <w:rsid w:val="00A36BBE"/>
    <w:rsid w:val="00A37FE3"/>
    <w:rsid w:val="00A406E5"/>
    <w:rsid w:val="00A41329"/>
    <w:rsid w:val="00A414AE"/>
    <w:rsid w:val="00A41DC6"/>
    <w:rsid w:val="00A4307A"/>
    <w:rsid w:val="00A4409B"/>
    <w:rsid w:val="00A449FB"/>
    <w:rsid w:val="00A45A71"/>
    <w:rsid w:val="00A47DEA"/>
    <w:rsid w:val="00A47EBB"/>
    <w:rsid w:val="00A50852"/>
    <w:rsid w:val="00A51CDD"/>
    <w:rsid w:val="00A5379D"/>
    <w:rsid w:val="00A547BF"/>
    <w:rsid w:val="00A54B0A"/>
    <w:rsid w:val="00A56460"/>
    <w:rsid w:val="00A56753"/>
    <w:rsid w:val="00A5711D"/>
    <w:rsid w:val="00A579A5"/>
    <w:rsid w:val="00A61606"/>
    <w:rsid w:val="00A62FA6"/>
    <w:rsid w:val="00A647CB"/>
    <w:rsid w:val="00A64CD9"/>
    <w:rsid w:val="00A653C8"/>
    <w:rsid w:val="00A65BB9"/>
    <w:rsid w:val="00A667A7"/>
    <w:rsid w:val="00A66BC3"/>
    <w:rsid w:val="00A66DD6"/>
    <w:rsid w:val="00A66FD5"/>
    <w:rsid w:val="00A6730D"/>
    <w:rsid w:val="00A678DF"/>
    <w:rsid w:val="00A67954"/>
    <w:rsid w:val="00A67CF0"/>
    <w:rsid w:val="00A71625"/>
    <w:rsid w:val="00A71B9B"/>
    <w:rsid w:val="00A724C3"/>
    <w:rsid w:val="00A7268D"/>
    <w:rsid w:val="00A73FA2"/>
    <w:rsid w:val="00A7441B"/>
    <w:rsid w:val="00A746F8"/>
    <w:rsid w:val="00A751C7"/>
    <w:rsid w:val="00A75267"/>
    <w:rsid w:val="00A75C35"/>
    <w:rsid w:val="00A769DF"/>
    <w:rsid w:val="00A76A1D"/>
    <w:rsid w:val="00A8059D"/>
    <w:rsid w:val="00A8325A"/>
    <w:rsid w:val="00A83779"/>
    <w:rsid w:val="00A84821"/>
    <w:rsid w:val="00A85593"/>
    <w:rsid w:val="00A85C5C"/>
    <w:rsid w:val="00A85E71"/>
    <w:rsid w:val="00A86F5E"/>
    <w:rsid w:val="00A87844"/>
    <w:rsid w:val="00A87DA1"/>
    <w:rsid w:val="00A9055B"/>
    <w:rsid w:val="00A90D05"/>
    <w:rsid w:val="00A92972"/>
    <w:rsid w:val="00A92A43"/>
    <w:rsid w:val="00A94E27"/>
    <w:rsid w:val="00A95AA1"/>
    <w:rsid w:val="00A9639A"/>
    <w:rsid w:val="00A96488"/>
    <w:rsid w:val="00A964E2"/>
    <w:rsid w:val="00A96607"/>
    <w:rsid w:val="00A9724F"/>
    <w:rsid w:val="00AA038C"/>
    <w:rsid w:val="00AA0799"/>
    <w:rsid w:val="00AA218C"/>
    <w:rsid w:val="00AA42F1"/>
    <w:rsid w:val="00AA5FA9"/>
    <w:rsid w:val="00AA6D8C"/>
    <w:rsid w:val="00AA7A09"/>
    <w:rsid w:val="00AB031C"/>
    <w:rsid w:val="00AB053C"/>
    <w:rsid w:val="00AB06EF"/>
    <w:rsid w:val="00AB0FD6"/>
    <w:rsid w:val="00AB1184"/>
    <w:rsid w:val="00AB1D5B"/>
    <w:rsid w:val="00AB1DFF"/>
    <w:rsid w:val="00AB2110"/>
    <w:rsid w:val="00AB3424"/>
    <w:rsid w:val="00AB392C"/>
    <w:rsid w:val="00AB3B50"/>
    <w:rsid w:val="00AB41BF"/>
    <w:rsid w:val="00AB68C3"/>
    <w:rsid w:val="00AC05B1"/>
    <w:rsid w:val="00AC1236"/>
    <w:rsid w:val="00AC1C79"/>
    <w:rsid w:val="00AC4EC6"/>
    <w:rsid w:val="00AC6BC3"/>
    <w:rsid w:val="00AD1760"/>
    <w:rsid w:val="00AD19FF"/>
    <w:rsid w:val="00AD1AFA"/>
    <w:rsid w:val="00AD356C"/>
    <w:rsid w:val="00AD3ADB"/>
    <w:rsid w:val="00AD3B99"/>
    <w:rsid w:val="00AD453F"/>
    <w:rsid w:val="00AD4B98"/>
    <w:rsid w:val="00AD4D47"/>
    <w:rsid w:val="00AD5BDD"/>
    <w:rsid w:val="00AD6669"/>
    <w:rsid w:val="00AD7E94"/>
    <w:rsid w:val="00AE15C8"/>
    <w:rsid w:val="00AE2914"/>
    <w:rsid w:val="00AE42EE"/>
    <w:rsid w:val="00AE45EB"/>
    <w:rsid w:val="00AE5E89"/>
    <w:rsid w:val="00AE6D15"/>
    <w:rsid w:val="00AE70CE"/>
    <w:rsid w:val="00AE74FF"/>
    <w:rsid w:val="00AE7E41"/>
    <w:rsid w:val="00AF0030"/>
    <w:rsid w:val="00AF07C2"/>
    <w:rsid w:val="00AF25B8"/>
    <w:rsid w:val="00AF26FE"/>
    <w:rsid w:val="00AF3EB4"/>
    <w:rsid w:val="00AF46D3"/>
    <w:rsid w:val="00AF694F"/>
    <w:rsid w:val="00B015B4"/>
    <w:rsid w:val="00B04182"/>
    <w:rsid w:val="00B04A60"/>
    <w:rsid w:val="00B05436"/>
    <w:rsid w:val="00B05CF4"/>
    <w:rsid w:val="00B0625D"/>
    <w:rsid w:val="00B07AE3"/>
    <w:rsid w:val="00B106E8"/>
    <w:rsid w:val="00B11075"/>
    <w:rsid w:val="00B11430"/>
    <w:rsid w:val="00B11FA4"/>
    <w:rsid w:val="00B13295"/>
    <w:rsid w:val="00B13597"/>
    <w:rsid w:val="00B13F51"/>
    <w:rsid w:val="00B165A1"/>
    <w:rsid w:val="00B16FCA"/>
    <w:rsid w:val="00B174ED"/>
    <w:rsid w:val="00B204AA"/>
    <w:rsid w:val="00B212E3"/>
    <w:rsid w:val="00B21427"/>
    <w:rsid w:val="00B22DA7"/>
    <w:rsid w:val="00B2329F"/>
    <w:rsid w:val="00B23455"/>
    <w:rsid w:val="00B24F12"/>
    <w:rsid w:val="00B263B3"/>
    <w:rsid w:val="00B27ABB"/>
    <w:rsid w:val="00B306F8"/>
    <w:rsid w:val="00B32139"/>
    <w:rsid w:val="00B33F22"/>
    <w:rsid w:val="00B34009"/>
    <w:rsid w:val="00B34339"/>
    <w:rsid w:val="00B3440A"/>
    <w:rsid w:val="00B353EB"/>
    <w:rsid w:val="00B355F6"/>
    <w:rsid w:val="00B359B3"/>
    <w:rsid w:val="00B35AB3"/>
    <w:rsid w:val="00B36D12"/>
    <w:rsid w:val="00B4005E"/>
    <w:rsid w:val="00B40B95"/>
    <w:rsid w:val="00B41960"/>
    <w:rsid w:val="00B43380"/>
    <w:rsid w:val="00B439C4"/>
    <w:rsid w:val="00B44F93"/>
    <w:rsid w:val="00B4535E"/>
    <w:rsid w:val="00B4590C"/>
    <w:rsid w:val="00B4624C"/>
    <w:rsid w:val="00B46BF6"/>
    <w:rsid w:val="00B509D0"/>
    <w:rsid w:val="00B50D63"/>
    <w:rsid w:val="00B52224"/>
    <w:rsid w:val="00B52A8C"/>
    <w:rsid w:val="00B54385"/>
    <w:rsid w:val="00B55FD1"/>
    <w:rsid w:val="00B6057A"/>
    <w:rsid w:val="00B6068D"/>
    <w:rsid w:val="00B60EDE"/>
    <w:rsid w:val="00B61270"/>
    <w:rsid w:val="00B623D9"/>
    <w:rsid w:val="00B625BF"/>
    <w:rsid w:val="00B634DA"/>
    <w:rsid w:val="00B636A8"/>
    <w:rsid w:val="00B6568F"/>
    <w:rsid w:val="00B665C6"/>
    <w:rsid w:val="00B73D20"/>
    <w:rsid w:val="00B74A23"/>
    <w:rsid w:val="00B75F83"/>
    <w:rsid w:val="00B7642C"/>
    <w:rsid w:val="00B80563"/>
    <w:rsid w:val="00B805AF"/>
    <w:rsid w:val="00B81C78"/>
    <w:rsid w:val="00B8346C"/>
    <w:rsid w:val="00B85BC6"/>
    <w:rsid w:val="00B85EF9"/>
    <w:rsid w:val="00B869EC"/>
    <w:rsid w:val="00B87680"/>
    <w:rsid w:val="00B87EC7"/>
    <w:rsid w:val="00B87ECB"/>
    <w:rsid w:val="00B90444"/>
    <w:rsid w:val="00B9380A"/>
    <w:rsid w:val="00B9397A"/>
    <w:rsid w:val="00B9494B"/>
    <w:rsid w:val="00B95084"/>
    <w:rsid w:val="00B9633D"/>
    <w:rsid w:val="00B96628"/>
    <w:rsid w:val="00B970EE"/>
    <w:rsid w:val="00B97746"/>
    <w:rsid w:val="00BA1396"/>
    <w:rsid w:val="00BA19EE"/>
    <w:rsid w:val="00BA2EBE"/>
    <w:rsid w:val="00BA3605"/>
    <w:rsid w:val="00BA454E"/>
    <w:rsid w:val="00BA52D5"/>
    <w:rsid w:val="00BA7B51"/>
    <w:rsid w:val="00BA7E69"/>
    <w:rsid w:val="00BB03DB"/>
    <w:rsid w:val="00BB0519"/>
    <w:rsid w:val="00BB0C5C"/>
    <w:rsid w:val="00BB0DB6"/>
    <w:rsid w:val="00BB0F28"/>
    <w:rsid w:val="00BB3191"/>
    <w:rsid w:val="00BB39D5"/>
    <w:rsid w:val="00BB3DCF"/>
    <w:rsid w:val="00BB4344"/>
    <w:rsid w:val="00BB4456"/>
    <w:rsid w:val="00BB458A"/>
    <w:rsid w:val="00BB4826"/>
    <w:rsid w:val="00BB4C8B"/>
    <w:rsid w:val="00BB6BA8"/>
    <w:rsid w:val="00BC0208"/>
    <w:rsid w:val="00BC03F8"/>
    <w:rsid w:val="00BC0A80"/>
    <w:rsid w:val="00BC0D03"/>
    <w:rsid w:val="00BC130E"/>
    <w:rsid w:val="00BC1ACA"/>
    <w:rsid w:val="00BC3740"/>
    <w:rsid w:val="00BC3991"/>
    <w:rsid w:val="00BC3AB7"/>
    <w:rsid w:val="00BC3C70"/>
    <w:rsid w:val="00BC3FD5"/>
    <w:rsid w:val="00BC4E76"/>
    <w:rsid w:val="00BC7AF5"/>
    <w:rsid w:val="00BD00D3"/>
    <w:rsid w:val="00BD0DA0"/>
    <w:rsid w:val="00BD1659"/>
    <w:rsid w:val="00BD3AA9"/>
    <w:rsid w:val="00BD3E30"/>
    <w:rsid w:val="00BD4A18"/>
    <w:rsid w:val="00BD4FAA"/>
    <w:rsid w:val="00BD67CE"/>
    <w:rsid w:val="00BD69E8"/>
    <w:rsid w:val="00BD6DB2"/>
    <w:rsid w:val="00BD755B"/>
    <w:rsid w:val="00BE02CE"/>
    <w:rsid w:val="00BE11CF"/>
    <w:rsid w:val="00BE21AB"/>
    <w:rsid w:val="00BE29BB"/>
    <w:rsid w:val="00BE3BFB"/>
    <w:rsid w:val="00BE55CB"/>
    <w:rsid w:val="00BE6581"/>
    <w:rsid w:val="00BF011B"/>
    <w:rsid w:val="00BF1566"/>
    <w:rsid w:val="00BF3BEB"/>
    <w:rsid w:val="00BF5B98"/>
    <w:rsid w:val="00BF617A"/>
    <w:rsid w:val="00BF69E6"/>
    <w:rsid w:val="00BF74DD"/>
    <w:rsid w:val="00BF7534"/>
    <w:rsid w:val="00C011D1"/>
    <w:rsid w:val="00C034FD"/>
    <w:rsid w:val="00C0379D"/>
    <w:rsid w:val="00C03931"/>
    <w:rsid w:val="00C04AD1"/>
    <w:rsid w:val="00C05FE3"/>
    <w:rsid w:val="00C06B9F"/>
    <w:rsid w:val="00C06EC1"/>
    <w:rsid w:val="00C10A0C"/>
    <w:rsid w:val="00C12612"/>
    <w:rsid w:val="00C153A4"/>
    <w:rsid w:val="00C15745"/>
    <w:rsid w:val="00C15E16"/>
    <w:rsid w:val="00C1678C"/>
    <w:rsid w:val="00C1751A"/>
    <w:rsid w:val="00C206E2"/>
    <w:rsid w:val="00C2136D"/>
    <w:rsid w:val="00C214EE"/>
    <w:rsid w:val="00C21DD5"/>
    <w:rsid w:val="00C21F1D"/>
    <w:rsid w:val="00C21F82"/>
    <w:rsid w:val="00C22467"/>
    <w:rsid w:val="00C2314B"/>
    <w:rsid w:val="00C2428E"/>
    <w:rsid w:val="00C24971"/>
    <w:rsid w:val="00C24E87"/>
    <w:rsid w:val="00C25B01"/>
    <w:rsid w:val="00C25C00"/>
    <w:rsid w:val="00C26BE5"/>
    <w:rsid w:val="00C26E4D"/>
    <w:rsid w:val="00C271FC"/>
    <w:rsid w:val="00C2766C"/>
    <w:rsid w:val="00C27909"/>
    <w:rsid w:val="00C27B03"/>
    <w:rsid w:val="00C31287"/>
    <w:rsid w:val="00C314E1"/>
    <w:rsid w:val="00C3243D"/>
    <w:rsid w:val="00C33810"/>
    <w:rsid w:val="00C3385F"/>
    <w:rsid w:val="00C33BBA"/>
    <w:rsid w:val="00C34397"/>
    <w:rsid w:val="00C36040"/>
    <w:rsid w:val="00C378E9"/>
    <w:rsid w:val="00C37D5B"/>
    <w:rsid w:val="00C4095D"/>
    <w:rsid w:val="00C40F02"/>
    <w:rsid w:val="00C4146E"/>
    <w:rsid w:val="00C41BFA"/>
    <w:rsid w:val="00C428F1"/>
    <w:rsid w:val="00C42BA9"/>
    <w:rsid w:val="00C42CE1"/>
    <w:rsid w:val="00C44731"/>
    <w:rsid w:val="00C44C4F"/>
    <w:rsid w:val="00C44FA3"/>
    <w:rsid w:val="00C451A4"/>
    <w:rsid w:val="00C471B4"/>
    <w:rsid w:val="00C51B32"/>
    <w:rsid w:val="00C51E9E"/>
    <w:rsid w:val="00C534AD"/>
    <w:rsid w:val="00C546B2"/>
    <w:rsid w:val="00C547B9"/>
    <w:rsid w:val="00C54AC6"/>
    <w:rsid w:val="00C556C5"/>
    <w:rsid w:val="00C55959"/>
    <w:rsid w:val="00C5609C"/>
    <w:rsid w:val="00C5623A"/>
    <w:rsid w:val="00C56945"/>
    <w:rsid w:val="00C57470"/>
    <w:rsid w:val="00C57C36"/>
    <w:rsid w:val="00C57CB6"/>
    <w:rsid w:val="00C601D2"/>
    <w:rsid w:val="00C6283C"/>
    <w:rsid w:val="00C62F88"/>
    <w:rsid w:val="00C635F4"/>
    <w:rsid w:val="00C64FDE"/>
    <w:rsid w:val="00C65254"/>
    <w:rsid w:val="00C65BCC"/>
    <w:rsid w:val="00C65E80"/>
    <w:rsid w:val="00C66970"/>
    <w:rsid w:val="00C716AC"/>
    <w:rsid w:val="00C727B1"/>
    <w:rsid w:val="00C7364B"/>
    <w:rsid w:val="00C745D3"/>
    <w:rsid w:val="00C748C8"/>
    <w:rsid w:val="00C75A1E"/>
    <w:rsid w:val="00C7738E"/>
    <w:rsid w:val="00C81B4C"/>
    <w:rsid w:val="00C8280B"/>
    <w:rsid w:val="00C83876"/>
    <w:rsid w:val="00C84917"/>
    <w:rsid w:val="00C8691C"/>
    <w:rsid w:val="00C87860"/>
    <w:rsid w:val="00C87FD9"/>
    <w:rsid w:val="00C90068"/>
    <w:rsid w:val="00C903CA"/>
    <w:rsid w:val="00C90694"/>
    <w:rsid w:val="00C90973"/>
    <w:rsid w:val="00C90D4D"/>
    <w:rsid w:val="00C9173B"/>
    <w:rsid w:val="00C91766"/>
    <w:rsid w:val="00C91E77"/>
    <w:rsid w:val="00C928C2"/>
    <w:rsid w:val="00C935FF"/>
    <w:rsid w:val="00C9446F"/>
    <w:rsid w:val="00C9491B"/>
    <w:rsid w:val="00C9515B"/>
    <w:rsid w:val="00C95429"/>
    <w:rsid w:val="00C954FB"/>
    <w:rsid w:val="00C97432"/>
    <w:rsid w:val="00CA0859"/>
    <w:rsid w:val="00CA168A"/>
    <w:rsid w:val="00CA2ED7"/>
    <w:rsid w:val="00CA357E"/>
    <w:rsid w:val="00CA44F9"/>
    <w:rsid w:val="00CA4A69"/>
    <w:rsid w:val="00CA50A9"/>
    <w:rsid w:val="00CA6D1C"/>
    <w:rsid w:val="00CA6D90"/>
    <w:rsid w:val="00CA7C2A"/>
    <w:rsid w:val="00CB00C1"/>
    <w:rsid w:val="00CB0532"/>
    <w:rsid w:val="00CB10B3"/>
    <w:rsid w:val="00CB10CF"/>
    <w:rsid w:val="00CB20C8"/>
    <w:rsid w:val="00CB22D8"/>
    <w:rsid w:val="00CB3113"/>
    <w:rsid w:val="00CB4AC6"/>
    <w:rsid w:val="00CB4B88"/>
    <w:rsid w:val="00CB4FAE"/>
    <w:rsid w:val="00CB6C8C"/>
    <w:rsid w:val="00CB6E47"/>
    <w:rsid w:val="00CB708E"/>
    <w:rsid w:val="00CC1650"/>
    <w:rsid w:val="00CC17B7"/>
    <w:rsid w:val="00CC2EC6"/>
    <w:rsid w:val="00CC32AE"/>
    <w:rsid w:val="00CC3E0C"/>
    <w:rsid w:val="00CC4C3E"/>
    <w:rsid w:val="00CC58D3"/>
    <w:rsid w:val="00CC784D"/>
    <w:rsid w:val="00CC799D"/>
    <w:rsid w:val="00CC7AA5"/>
    <w:rsid w:val="00CC7CF5"/>
    <w:rsid w:val="00CD050D"/>
    <w:rsid w:val="00CD0D5C"/>
    <w:rsid w:val="00CD2303"/>
    <w:rsid w:val="00CD31D5"/>
    <w:rsid w:val="00CD33A8"/>
    <w:rsid w:val="00CD3961"/>
    <w:rsid w:val="00CD3E3C"/>
    <w:rsid w:val="00CD45BE"/>
    <w:rsid w:val="00CD76C4"/>
    <w:rsid w:val="00CE0874"/>
    <w:rsid w:val="00CE2C25"/>
    <w:rsid w:val="00CE5C62"/>
    <w:rsid w:val="00CE601A"/>
    <w:rsid w:val="00CE61CF"/>
    <w:rsid w:val="00CE6CFF"/>
    <w:rsid w:val="00CE7D08"/>
    <w:rsid w:val="00CF3404"/>
    <w:rsid w:val="00CF6B99"/>
    <w:rsid w:val="00CF6D58"/>
    <w:rsid w:val="00CF74A9"/>
    <w:rsid w:val="00D005B7"/>
    <w:rsid w:val="00D00D88"/>
    <w:rsid w:val="00D030EF"/>
    <w:rsid w:val="00D0337B"/>
    <w:rsid w:val="00D053DA"/>
    <w:rsid w:val="00D055AA"/>
    <w:rsid w:val="00D05BAC"/>
    <w:rsid w:val="00D060D0"/>
    <w:rsid w:val="00D0687F"/>
    <w:rsid w:val="00D06D0E"/>
    <w:rsid w:val="00D06F07"/>
    <w:rsid w:val="00D079B2"/>
    <w:rsid w:val="00D106C0"/>
    <w:rsid w:val="00D11346"/>
    <w:rsid w:val="00D114E9"/>
    <w:rsid w:val="00D121A0"/>
    <w:rsid w:val="00D126CA"/>
    <w:rsid w:val="00D1340C"/>
    <w:rsid w:val="00D13571"/>
    <w:rsid w:val="00D13C8A"/>
    <w:rsid w:val="00D15608"/>
    <w:rsid w:val="00D17345"/>
    <w:rsid w:val="00D17D2A"/>
    <w:rsid w:val="00D20D50"/>
    <w:rsid w:val="00D211B2"/>
    <w:rsid w:val="00D22F6A"/>
    <w:rsid w:val="00D237EB"/>
    <w:rsid w:val="00D314AA"/>
    <w:rsid w:val="00D31B8D"/>
    <w:rsid w:val="00D331BE"/>
    <w:rsid w:val="00D34211"/>
    <w:rsid w:val="00D353D9"/>
    <w:rsid w:val="00D35F96"/>
    <w:rsid w:val="00D36702"/>
    <w:rsid w:val="00D37B78"/>
    <w:rsid w:val="00D40CDD"/>
    <w:rsid w:val="00D40E17"/>
    <w:rsid w:val="00D42231"/>
    <w:rsid w:val="00D429C6"/>
    <w:rsid w:val="00D43E25"/>
    <w:rsid w:val="00D45F3A"/>
    <w:rsid w:val="00D46677"/>
    <w:rsid w:val="00D4710D"/>
    <w:rsid w:val="00D47748"/>
    <w:rsid w:val="00D51B3A"/>
    <w:rsid w:val="00D523A6"/>
    <w:rsid w:val="00D539CC"/>
    <w:rsid w:val="00D53AF5"/>
    <w:rsid w:val="00D54CC3"/>
    <w:rsid w:val="00D552C9"/>
    <w:rsid w:val="00D55D59"/>
    <w:rsid w:val="00D57316"/>
    <w:rsid w:val="00D60364"/>
    <w:rsid w:val="00D6041A"/>
    <w:rsid w:val="00D608ED"/>
    <w:rsid w:val="00D60DAB"/>
    <w:rsid w:val="00D6215F"/>
    <w:rsid w:val="00D633EB"/>
    <w:rsid w:val="00D636CB"/>
    <w:rsid w:val="00D63E05"/>
    <w:rsid w:val="00D64105"/>
    <w:rsid w:val="00D64710"/>
    <w:rsid w:val="00D6481E"/>
    <w:rsid w:val="00D64FB1"/>
    <w:rsid w:val="00D70900"/>
    <w:rsid w:val="00D71080"/>
    <w:rsid w:val="00D718E9"/>
    <w:rsid w:val="00D7196E"/>
    <w:rsid w:val="00D72DE9"/>
    <w:rsid w:val="00D73022"/>
    <w:rsid w:val="00D740A2"/>
    <w:rsid w:val="00D771F2"/>
    <w:rsid w:val="00D806A6"/>
    <w:rsid w:val="00D82FF7"/>
    <w:rsid w:val="00D837C6"/>
    <w:rsid w:val="00D83AE4"/>
    <w:rsid w:val="00D847FE"/>
    <w:rsid w:val="00D84926"/>
    <w:rsid w:val="00D855E3"/>
    <w:rsid w:val="00D85840"/>
    <w:rsid w:val="00D85CC0"/>
    <w:rsid w:val="00D87B05"/>
    <w:rsid w:val="00D90F55"/>
    <w:rsid w:val="00D91257"/>
    <w:rsid w:val="00D92306"/>
    <w:rsid w:val="00D9430F"/>
    <w:rsid w:val="00D944E3"/>
    <w:rsid w:val="00D964EA"/>
    <w:rsid w:val="00D966D0"/>
    <w:rsid w:val="00D96A50"/>
    <w:rsid w:val="00D96C8A"/>
    <w:rsid w:val="00D97DD7"/>
    <w:rsid w:val="00DA01CC"/>
    <w:rsid w:val="00DA0C59"/>
    <w:rsid w:val="00DA12FD"/>
    <w:rsid w:val="00DA1757"/>
    <w:rsid w:val="00DA314C"/>
    <w:rsid w:val="00DA3991"/>
    <w:rsid w:val="00DA4C44"/>
    <w:rsid w:val="00DA53CE"/>
    <w:rsid w:val="00DA5BAD"/>
    <w:rsid w:val="00DA698C"/>
    <w:rsid w:val="00DA6A97"/>
    <w:rsid w:val="00DA6DA9"/>
    <w:rsid w:val="00DA7BB8"/>
    <w:rsid w:val="00DB0476"/>
    <w:rsid w:val="00DB0EFA"/>
    <w:rsid w:val="00DB2E97"/>
    <w:rsid w:val="00DB5175"/>
    <w:rsid w:val="00DB5F3D"/>
    <w:rsid w:val="00DB6841"/>
    <w:rsid w:val="00DB6BFE"/>
    <w:rsid w:val="00DB6C3B"/>
    <w:rsid w:val="00DB76E7"/>
    <w:rsid w:val="00DB7C49"/>
    <w:rsid w:val="00DB7E6C"/>
    <w:rsid w:val="00DC230C"/>
    <w:rsid w:val="00DC332F"/>
    <w:rsid w:val="00DC3867"/>
    <w:rsid w:val="00DC6616"/>
    <w:rsid w:val="00DC691E"/>
    <w:rsid w:val="00DC695A"/>
    <w:rsid w:val="00DC7385"/>
    <w:rsid w:val="00DD238F"/>
    <w:rsid w:val="00DD2823"/>
    <w:rsid w:val="00DD3BF3"/>
    <w:rsid w:val="00DD5605"/>
    <w:rsid w:val="00DD5A29"/>
    <w:rsid w:val="00DD5D9D"/>
    <w:rsid w:val="00DD7E47"/>
    <w:rsid w:val="00DE02CC"/>
    <w:rsid w:val="00DE0CF2"/>
    <w:rsid w:val="00DE0F13"/>
    <w:rsid w:val="00DE1743"/>
    <w:rsid w:val="00DE2CAE"/>
    <w:rsid w:val="00DE30F6"/>
    <w:rsid w:val="00DE35CB"/>
    <w:rsid w:val="00DE48AA"/>
    <w:rsid w:val="00DE54B3"/>
    <w:rsid w:val="00DE5840"/>
    <w:rsid w:val="00DE7EE8"/>
    <w:rsid w:val="00DF1B8D"/>
    <w:rsid w:val="00DF1E2D"/>
    <w:rsid w:val="00DF21E9"/>
    <w:rsid w:val="00DF26B8"/>
    <w:rsid w:val="00DF2B31"/>
    <w:rsid w:val="00DF3B79"/>
    <w:rsid w:val="00DF6087"/>
    <w:rsid w:val="00DF6FD4"/>
    <w:rsid w:val="00DF7801"/>
    <w:rsid w:val="00E00F14"/>
    <w:rsid w:val="00E01C12"/>
    <w:rsid w:val="00E03F7B"/>
    <w:rsid w:val="00E04053"/>
    <w:rsid w:val="00E045BA"/>
    <w:rsid w:val="00E06386"/>
    <w:rsid w:val="00E06FA6"/>
    <w:rsid w:val="00E1022D"/>
    <w:rsid w:val="00E10505"/>
    <w:rsid w:val="00E12972"/>
    <w:rsid w:val="00E12B19"/>
    <w:rsid w:val="00E14E67"/>
    <w:rsid w:val="00E15C63"/>
    <w:rsid w:val="00E15F48"/>
    <w:rsid w:val="00E170C9"/>
    <w:rsid w:val="00E1785D"/>
    <w:rsid w:val="00E200DE"/>
    <w:rsid w:val="00E21F39"/>
    <w:rsid w:val="00E23AB1"/>
    <w:rsid w:val="00E23ACC"/>
    <w:rsid w:val="00E23DFE"/>
    <w:rsid w:val="00E24402"/>
    <w:rsid w:val="00E24704"/>
    <w:rsid w:val="00E24871"/>
    <w:rsid w:val="00E24EB4"/>
    <w:rsid w:val="00E25246"/>
    <w:rsid w:val="00E252EA"/>
    <w:rsid w:val="00E308B3"/>
    <w:rsid w:val="00E30EE8"/>
    <w:rsid w:val="00E313F7"/>
    <w:rsid w:val="00E31558"/>
    <w:rsid w:val="00E320ED"/>
    <w:rsid w:val="00E32928"/>
    <w:rsid w:val="00E33069"/>
    <w:rsid w:val="00E33AFB"/>
    <w:rsid w:val="00E33C2C"/>
    <w:rsid w:val="00E34218"/>
    <w:rsid w:val="00E344C1"/>
    <w:rsid w:val="00E35CC8"/>
    <w:rsid w:val="00E37B61"/>
    <w:rsid w:val="00E4009B"/>
    <w:rsid w:val="00E416A1"/>
    <w:rsid w:val="00E426BD"/>
    <w:rsid w:val="00E43362"/>
    <w:rsid w:val="00E445D2"/>
    <w:rsid w:val="00E45242"/>
    <w:rsid w:val="00E45DE4"/>
    <w:rsid w:val="00E46282"/>
    <w:rsid w:val="00E464BE"/>
    <w:rsid w:val="00E4763D"/>
    <w:rsid w:val="00E5195A"/>
    <w:rsid w:val="00E5216E"/>
    <w:rsid w:val="00E521C2"/>
    <w:rsid w:val="00E5240C"/>
    <w:rsid w:val="00E54527"/>
    <w:rsid w:val="00E54960"/>
    <w:rsid w:val="00E55BE8"/>
    <w:rsid w:val="00E57EC4"/>
    <w:rsid w:val="00E60C60"/>
    <w:rsid w:val="00E6180A"/>
    <w:rsid w:val="00E619C5"/>
    <w:rsid w:val="00E631AB"/>
    <w:rsid w:val="00E63599"/>
    <w:rsid w:val="00E63CCA"/>
    <w:rsid w:val="00E63D8F"/>
    <w:rsid w:val="00E6532F"/>
    <w:rsid w:val="00E70AA3"/>
    <w:rsid w:val="00E70E82"/>
    <w:rsid w:val="00E71D61"/>
    <w:rsid w:val="00E71DB0"/>
    <w:rsid w:val="00E71DD4"/>
    <w:rsid w:val="00E73A5E"/>
    <w:rsid w:val="00E7488B"/>
    <w:rsid w:val="00E75D30"/>
    <w:rsid w:val="00E774A4"/>
    <w:rsid w:val="00E7752F"/>
    <w:rsid w:val="00E7767C"/>
    <w:rsid w:val="00E8048D"/>
    <w:rsid w:val="00E806B1"/>
    <w:rsid w:val="00E810FC"/>
    <w:rsid w:val="00E81140"/>
    <w:rsid w:val="00E81509"/>
    <w:rsid w:val="00E82344"/>
    <w:rsid w:val="00E8281D"/>
    <w:rsid w:val="00E83370"/>
    <w:rsid w:val="00E836B7"/>
    <w:rsid w:val="00E843CB"/>
    <w:rsid w:val="00E84C82"/>
    <w:rsid w:val="00E84D64"/>
    <w:rsid w:val="00E8580B"/>
    <w:rsid w:val="00E86813"/>
    <w:rsid w:val="00E86822"/>
    <w:rsid w:val="00E87408"/>
    <w:rsid w:val="00E874C7"/>
    <w:rsid w:val="00E87C73"/>
    <w:rsid w:val="00E87EB9"/>
    <w:rsid w:val="00E9008F"/>
    <w:rsid w:val="00E91462"/>
    <w:rsid w:val="00E914C4"/>
    <w:rsid w:val="00E9221A"/>
    <w:rsid w:val="00E934F5"/>
    <w:rsid w:val="00E935AE"/>
    <w:rsid w:val="00E93CDA"/>
    <w:rsid w:val="00E93E37"/>
    <w:rsid w:val="00E93E7F"/>
    <w:rsid w:val="00E9461E"/>
    <w:rsid w:val="00E94C2E"/>
    <w:rsid w:val="00E954F0"/>
    <w:rsid w:val="00E96961"/>
    <w:rsid w:val="00E96C60"/>
    <w:rsid w:val="00E96F99"/>
    <w:rsid w:val="00E97C9A"/>
    <w:rsid w:val="00E97F0B"/>
    <w:rsid w:val="00EA38AB"/>
    <w:rsid w:val="00EA3E2B"/>
    <w:rsid w:val="00EA3EB1"/>
    <w:rsid w:val="00EA4737"/>
    <w:rsid w:val="00EA56F1"/>
    <w:rsid w:val="00EA608C"/>
    <w:rsid w:val="00EA619A"/>
    <w:rsid w:val="00EA620A"/>
    <w:rsid w:val="00EA665E"/>
    <w:rsid w:val="00EA66FE"/>
    <w:rsid w:val="00EA6A05"/>
    <w:rsid w:val="00EA6E66"/>
    <w:rsid w:val="00EA72EC"/>
    <w:rsid w:val="00EB11CB"/>
    <w:rsid w:val="00EB120E"/>
    <w:rsid w:val="00EB2326"/>
    <w:rsid w:val="00EB275A"/>
    <w:rsid w:val="00EB42D9"/>
    <w:rsid w:val="00EB44CF"/>
    <w:rsid w:val="00EB786A"/>
    <w:rsid w:val="00EB7C65"/>
    <w:rsid w:val="00EC02F7"/>
    <w:rsid w:val="00EC0316"/>
    <w:rsid w:val="00EC09CB"/>
    <w:rsid w:val="00EC1578"/>
    <w:rsid w:val="00EC1C72"/>
    <w:rsid w:val="00EC2B06"/>
    <w:rsid w:val="00EC3669"/>
    <w:rsid w:val="00EC3CC9"/>
    <w:rsid w:val="00EC443B"/>
    <w:rsid w:val="00EC51DF"/>
    <w:rsid w:val="00EC680A"/>
    <w:rsid w:val="00EC6CD2"/>
    <w:rsid w:val="00EC78E4"/>
    <w:rsid w:val="00ED0EE7"/>
    <w:rsid w:val="00ED2EA9"/>
    <w:rsid w:val="00ED40A9"/>
    <w:rsid w:val="00ED47AC"/>
    <w:rsid w:val="00ED5D6C"/>
    <w:rsid w:val="00ED75CB"/>
    <w:rsid w:val="00EE048B"/>
    <w:rsid w:val="00EE0859"/>
    <w:rsid w:val="00EE0C63"/>
    <w:rsid w:val="00EE0DC7"/>
    <w:rsid w:val="00EE146A"/>
    <w:rsid w:val="00EE2BED"/>
    <w:rsid w:val="00EE2C72"/>
    <w:rsid w:val="00EE374B"/>
    <w:rsid w:val="00EE37E2"/>
    <w:rsid w:val="00EE3A64"/>
    <w:rsid w:val="00EE4CAA"/>
    <w:rsid w:val="00EE5173"/>
    <w:rsid w:val="00EE5607"/>
    <w:rsid w:val="00EE6445"/>
    <w:rsid w:val="00EE7E34"/>
    <w:rsid w:val="00EF06E1"/>
    <w:rsid w:val="00EF36EF"/>
    <w:rsid w:val="00EF3EB3"/>
    <w:rsid w:val="00EF4F4C"/>
    <w:rsid w:val="00EF50BC"/>
    <w:rsid w:val="00EF7970"/>
    <w:rsid w:val="00F0130C"/>
    <w:rsid w:val="00F020B5"/>
    <w:rsid w:val="00F02F75"/>
    <w:rsid w:val="00F03B98"/>
    <w:rsid w:val="00F05119"/>
    <w:rsid w:val="00F06821"/>
    <w:rsid w:val="00F0693F"/>
    <w:rsid w:val="00F07249"/>
    <w:rsid w:val="00F10418"/>
    <w:rsid w:val="00F11BB5"/>
    <w:rsid w:val="00F12F8D"/>
    <w:rsid w:val="00F1371C"/>
    <w:rsid w:val="00F13D63"/>
    <w:rsid w:val="00F1417B"/>
    <w:rsid w:val="00F14CFB"/>
    <w:rsid w:val="00F14FB9"/>
    <w:rsid w:val="00F15253"/>
    <w:rsid w:val="00F1670C"/>
    <w:rsid w:val="00F16DDB"/>
    <w:rsid w:val="00F1754A"/>
    <w:rsid w:val="00F17733"/>
    <w:rsid w:val="00F20394"/>
    <w:rsid w:val="00F211CC"/>
    <w:rsid w:val="00F229C7"/>
    <w:rsid w:val="00F23FB5"/>
    <w:rsid w:val="00F251B7"/>
    <w:rsid w:val="00F26417"/>
    <w:rsid w:val="00F265BE"/>
    <w:rsid w:val="00F2669D"/>
    <w:rsid w:val="00F2690E"/>
    <w:rsid w:val="00F27077"/>
    <w:rsid w:val="00F273E8"/>
    <w:rsid w:val="00F30A4C"/>
    <w:rsid w:val="00F3311B"/>
    <w:rsid w:val="00F345B3"/>
    <w:rsid w:val="00F34B99"/>
    <w:rsid w:val="00F374C8"/>
    <w:rsid w:val="00F4459E"/>
    <w:rsid w:val="00F44A11"/>
    <w:rsid w:val="00F46378"/>
    <w:rsid w:val="00F50D89"/>
    <w:rsid w:val="00F51FC6"/>
    <w:rsid w:val="00F52DAB"/>
    <w:rsid w:val="00F53282"/>
    <w:rsid w:val="00F53EB6"/>
    <w:rsid w:val="00F543F0"/>
    <w:rsid w:val="00F546EE"/>
    <w:rsid w:val="00F561CF"/>
    <w:rsid w:val="00F5718A"/>
    <w:rsid w:val="00F57647"/>
    <w:rsid w:val="00F609B1"/>
    <w:rsid w:val="00F6138B"/>
    <w:rsid w:val="00F6199D"/>
    <w:rsid w:val="00F65283"/>
    <w:rsid w:val="00F66ED7"/>
    <w:rsid w:val="00F67F1B"/>
    <w:rsid w:val="00F70624"/>
    <w:rsid w:val="00F70DCF"/>
    <w:rsid w:val="00F71F83"/>
    <w:rsid w:val="00F7290D"/>
    <w:rsid w:val="00F74A16"/>
    <w:rsid w:val="00F75D38"/>
    <w:rsid w:val="00F77607"/>
    <w:rsid w:val="00F8088F"/>
    <w:rsid w:val="00F8121A"/>
    <w:rsid w:val="00F81318"/>
    <w:rsid w:val="00F81D29"/>
    <w:rsid w:val="00F827C6"/>
    <w:rsid w:val="00F839AB"/>
    <w:rsid w:val="00F83E5C"/>
    <w:rsid w:val="00F855B5"/>
    <w:rsid w:val="00F858BE"/>
    <w:rsid w:val="00F85A3B"/>
    <w:rsid w:val="00F85C2A"/>
    <w:rsid w:val="00F85CE9"/>
    <w:rsid w:val="00F875A7"/>
    <w:rsid w:val="00F900BD"/>
    <w:rsid w:val="00F91C4D"/>
    <w:rsid w:val="00F92FD9"/>
    <w:rsid w:val="00F940F7"/>
    <w:rsid w:val="00F949A6"/>
    <w:rsid w:val="00F94E93"/>
    <w:rsid w:val="00F96F1A"/>
    <w:rsid w:val="00FA459A"/>
    <w:rsid w:val="00FA629B"/>
    <w:rsid w:val="00FA6684"/>
    <w:rsid w:val="00FA6817"/>
    <w:rsid w:val="00FA731E"/>
    <w:rsid w:val="00FA7F4E"/>
    <w:rsid w:val="00FB0178"/>
    <w:rsid w:val="00FB1F41"/>
    <w:rsid w:val="00FB2B38"/>
    <w:rsid w:val="00FB3741"/>
    <w:rsid w:val="00FB6293"/>
    <w:rsid w:val="00FB6A50"/>
    <w:rsid w:val="00FB6D42"/>
    <w:rsid w:val="00FB6FDB"/>
    <w:rsid w:val="00FC0542"/>
    <w:rsid w:val="00FC0C1C"/>
    <w:rsid w:val="00FC0EFF"/>
    <w:rsid w:val="00FC4AFD"/>
    <w:rsid w:val="00FC4EBA"/>
    <w:rsid w:val="00FC5CCB"/>
    <w:rsid w:val="00FC6358"/>
    <w:rsid w:val="00FC65BD"/>
    <w:rsid w:val="00FC79CE"/>
    <w:rsid w:val="00FD0522"/>
    <w:rsid w:val="00FD0C25"/>
    <w:rsid w:val="00FD0E95"/>
    <w:rsid w:val="00FD1ECB"/>
    <w:rsid w:val="00FD2EA6"/>
    <w:rsid w:val="00FD320D"/>
    <w:rsid w:val="00FD510E"/>
    <w:rsid w:val="00FD7070"/>
    <w:rsid w:val="00FD722B"/>
    <w:rsid w:val="00FD7D61"/>
    <w:rsid w:val="00FD7FDF"/>
    <w:rsid w:val="00FE03BA"/>
    <w:rsid w:val="00FE11C6"/>
    <w:rsid w:val="00FE23DE"/>
    <w:rsid w:val="00FE5566"/>
    <w:rsid w:val="00FE5ABF"/>
    <w:rsid w:val="00FE68C8"/>
    <w:rsid w:val="00FE6BD3"/>
    <w:rsid w:val="00FE6D99"/>
    <w:rsid w:val="00FE7EDA"/>
    <w:rsid w:val="00FF03A0"/>
    <w:rsid w:val="00FF2190"/>
    <w:rsid w:val="00FF240B"/>
    <w:rsid w:val="00FF6959"/>
    <w:rsid w:val="00FF7A19"/>
    <w:rsid w:val="097266C0"/>
    <w:rsid w:val="14B41379"/>
    <w:rsid w:val="2E3E0F1F"/>
    <w:rsid w:val="3EB96DF7"/>
    <w:rsid w:val="45A9403B"/>
    <w:rsid w:val="5DE913F3"/>
    <w:rsid w:val="78DA11F9"/>
    <w:rsid w:val="7E8D348F"/>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qFormat="1" w:unhideWhenUsed="0" w:uiPriority="99" w:name="index 1"/>
    <w:lsdException w:qFormat="1" w:unhideWhenUsed="0" w:uiPriority="99" w:name="index 2"/>
    <w:lsdException w:qFormat="1" w:unhideWhenUsed="0" w:uiPriority="99" w:name="index 3"/>
    <w:lsdException w:qFormat="1" w:unhideWhenUsed="0" w:uiPriority="99" w:name="index 4"/>
    <w:lsdException w:qFormat="1" w:unhideWhenUsed="0" w:uiPriority="99" w:name="index 5"/>
    <w:lsdException w:qFormat="1" w:unhideWhenUsed="0" w:uiPriority="99" w:name="index 6"/>
    <w:lsdException w:qFormat="1" w:unhideWhenUsed="0" w:uiPriority="99" w:name="index 7"/>
    <w:lsdException w:qFormat="1" w:unhideWhenUsed="0" w:uiPriority="99" w:name="index 8"/>
    <w:lsdException w:qFormat="1" w:unhideWhenUsed="0" w:uiPriority="99" w:name="index 9"/>
    <w:lsdException w:qFormat="1" w:unhideWhenUsed="0" w:uiPriority="99" w:name="toc 1"/>
    <w:lsdException w:qFormat="1" w:unhideWhenUsed="0" w:uiPriority="99" w:name="toc 2"/>
    <w:lsdException w:qFormat="1" w:unhideWhenUsed="0" w:uiPriority="99" w:name="toc 3"/>
    <w:lsdException w:qFormat="1" w:unhideWhenUsed="0" w:uiPriority="99" w:name="toc 4"/>
    <w:lsdException w:qFormat="1" w:unhideWhenUsed="0" w:uiPriority="99" w:name="toc 5"/>
    <w:lsdException w:qFormat="1" w:unhideWhenUsed="0" w:uiPriority="99" w:name="toc 6"/>
    <w:lsdException w:qFormat="1" w:unhideWhenUsed="0" w:uiPriority="99" w:name="toc 7"/>
    <w:lsdException w:qFormat="1" w:unhideWhenUsed="0" w:uiPriority="99" w:name="toc 8"/>
    <w:lsdException w:qFormat="1" w:unhideWhenUsed="0" w:uiPriority="99" w:name="toc 9"/>
    <w:lsdException w:uiPriority="99" w:name="Normal Indent"/>
    <w:lsdException w:qFormat="1" w:unhideWhenUsed="0" w:uiPriority="99" w:name="footnote text"/>
    <w:lsdException w:qFormat="1" w:unhideWhenUsed="0" w:uiPriority="99" w:name="annotation text"/>
    <w:lsdException w:qFormat="1" w:unhideWhenUsed="0" w:uiPriority="99" w:semiHidden="0" w:name="header"/>
    <w:lsdException w:qFormat="1" w:unhideWhenUsed="0" w:uiPriority="99" w:semiHidden="0" w:name="footer"/>
    <w:lsdException w:qFormat="1" w:unhideWhenUsed="0" w:uiPriority="99" w:name="index heading"/>
    <w:lsdException w:qFormat="1" w:unhideWhenUsed="0" w:uiPriority="99" w:semiHidden="0" w:name="caption"/>
    <w:lsdException w:uiPriority="99" w:name="table of figures"/>
    <w:lsdException w:uiPriority="99" w:name="envelope address"/>
    <w:lsdException w:uiPriority="99" w:name="envelope return"/>
    <w:lsdException w:qFormat="1" w:unhideWhenUsed="0" w:uiPriority="99" w:name="footnote reference"/>
    <w:lsdException w:qFormat="1" w:unhideWhenUsed="0" w:uiPriority="99" w:name="annotation reference"/>
    <w:lsdException w:uiPriority="99" w:name="line number"/>
    <w:lsdException w:qFormat="1" w:unhideWhenUsed="0" w:uiPriority="99" w:semiHidden="0" w:name="page number"/>
    <w:lsdException w:qFormat="1" w:unhideWhenUsed="0" w:uiPriority="99" w:name="endnote reference"/>
    <w:lsdException w:qFormat="1" w:unhideWhenUsed="0"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qFormat="1" w:unhideWhenUsed="0" w:uiPriority="99" w:semiHidden="0" w:name="FollowedHyperlink"/>
    <w:lsdException w:qFormat="1" w:unhideWhenUsed="0" w:uiPriority="0" w:semiHidden="0" w:name="Strong" w:locked="1"/>
    <w:lsdException w:qFormat="1" w:unhideWhenUsed="0" w:uiPriority="0" w:semiHidden="0" w:name="Emphasis" w:locked="1"/>
    <w:lsdException w:qFormat="1" w:unhideWhenUsed="0"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qFormat="1" w:unhideWhenUsed="0" w:uiPriority="99" w:semiHidden="0" w:name="Table Grid"/>
    <w:lsdException w:uiPriority="99" w:name="Table Theme"/>
    <w:lsdException w:qFormat="1" w:unhideWhenUsed="0" w:uiPriority="99"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43"/>
    <w:qFormat/>
    <w:uiPriority w:val="99"/>
    <w:pPr>
      <w:keepNext/>
      <w:keepLines/>
      <w:spacing w:before="340" w:after="330" w:line="578" w:lineRule="auto"/>
      <w:outlineLvl w:val="0"/>
    </w:pPr>
    <w:rPr>
      <w:b/>
      <w:bCs/>
      <w:kern w:val="44"/>
      <w:sz w:val="44"/>
      <w:szCs w:val="44"/>
    </w:rPr>
  </w:style>
  <w:style w:type="paragraph" w:styleId="3">
    <w:name w:val="heading 3"/>
    <w:basedOn w:val="1"/>
    <w:next w:val="1"/>
    <w:link w:val="42"/>
    <w:semiHidden/>
    <w:unhideWhenUsed/>
    <w:qFormat/>
    <w:locked/>
    <w:uiPriority w:val="0"/>
    <w:pPr>
      <w:keepNext/>
      <w:keepLines/>
      <w:spacing w:before="260" w:after="260" w:line="416" w:lineRule="auto"/>
      <w:outlineLvl w:val="2"/>
    </w:pPr>
    <w:rPr>
      <w:b/>
      <w:bCs/>
      <w:sz w:val="32"/>
      <w:szCs w:val="32"/>
    </w:rPr>
  </w:style>
  <w:style w:type="character" w:default="1" w:styleId="35">
    <w:name w:val="Default Paragraph Font"/>
    <w:semiHidden/>
    <w:unhideWhenUsed/>
    <w:qFormat/>
    <w:uiPriority w:val="1"/>
  </w:style>
  <w:style w:type="table" w:default="1" w:styleId="33">
    <w:name w:val="Normal Table"/>
    <w:semiHidden/>
    <w:unhideWhenUsed/>
    <w:qFormat/>
    <w:uiPriority w:val="99"/>
    <w:tblPr>
      <w:tblCellMar>
        <w:top w:w="0" w:type="dxa"/>
        <w:left w:w="108" w:type="dxa"/>
        <w:bottom w:w="0" w:type="dxa"/>
        <w:right w:w="108" w:type="dxa"/>
      </w:tblCellMar>
    </w:tblPr>
  </w:style>
  <w:style w:type="paragraph" w:styleId="4">
    <w:name w:val="toc 7"/>
    <w:basedOn w:val="1"/>
    <w:next w:val="1"/>
    <w:semiHidden/>
    <w:qFormat/>
    <w:uiPriority w:val="99"/>
    <w:pPr>
      <w:tabs>
        <w:tab w:val="right" w:leader="dot" w:pos="9241"/>
      </w:tabs>
      <w:ind w:firstLine="505" w:firstLineChars="500"/>
      <w:jc w:val="left"/>
    </w:pPr>
    <w:rPr>
      <w:rFonts w:ascii="宋体"/>
      <w:szCs w:val="21"/>
    </w:rPr>
  </w:style>
  <w:style w:type="paragraph" w:styleId="5">
    <w:name w:val="index 8"/>
    <w:basedOn w:val="1"/>
    <w:next w:val="1"/>
    <w:semiHidden/>
    <w:qFormat/>
    <w:uiPriority w:val="99"/>
    <w:pPr>
      <w:ind w:left="1680" w:hanging="210"/>
      <w:jc w:val="left"/>
    </w:pPr>
    <w:rPr>
      <w:rFonts w:ascii="Calibri" w:hAnsi="Calibri"/>
      <w:sz w:val="20"/>
      <w:szCs w:val="20"/>
    </w:rPr>
  </w:style>
  <w:style w:type="paragraph" w:styleId="6">
    <w:name w:val="caption"/>
    <w:basedOn w:val="1"/>
    <w:next w:val="1"/>
    <w:qFormat/>
    <w:uiPriority w:val="99"/>
    <w:pPr>
      <w:spacing w:before="152" w:after="160"/>
    </w:pPr>
    <w:rPr>
      <w:rFonts w:ascii="Arial" w:hAnsi="Arial" w:eastAsia="黑体" w:cs="Arial"/>
      <w:sz w:val="20"/>
      <w:szCs w:val="20"/>
    </w:rPr>
  </w:style>
  <w:style w:type="paragraph" w:styleId="7">
    <w:name w:val="index 5"/>
    <w:basedOn w:val="1"/>
    <w:next w:val="1"/>
    <w:semiHidden/>
    <w:qFormat/>
    <w:uiPriority w:val="99"/>
    <w:pPr>
      <w:ind w:left="1050" w:hanging="210"/>
      <w:jc w:val="left"/>
    </w:pPr>
    <w:rPr>
      <w:rFonts w:ascii="Calibri" w:hAnsi="Calibri"/>
      <w:sz w:val="20"/>
      <w:szCs w:val="20"/>
    </w:rPr>
  </w:style>
  <w:style w:type="paragraph" w:styleId="8">
    <w:name w:val="Document Map"/>
    <w:basedOn w:val="1"/>
    <w:link w:val="44"/>
    <w:semiHidden/>
    <w:qFormat/>
    <w:uiPriority w:val="99"/>
    <w:pPr>
      <w:shd w:val="clear" w:color="auto" w:fill="000080"/>
    </w:pPr>
  </w:style>
  <w:style w:type="paragraph" w:styleId="9">
    <w:name w:val="annotation text"/>
    <w:basedOn w:val="1"/>
    <w:link w:val="45"/>
    <w:semiHidden/>
    <w:qFormat/>
    <w:uiPriority w:val="99"/>
    <w:pPr>
      <w:jc w:val="left"/>
    </w:pPr>
  </w:style>
  <w:style w:type="paragraph" w:styleId="10">
    <w:name w:val="index 6"/>
    <w:basedOn w:val="1"/>
    <w:next w:val="1"/>
    <w:semiHidden/>
    <w:qFormat/>
    <w:uiPriority w:val="99"/>
    <w:pPr>
      <w:ind w:left="1260" w:hanging="210"/>
      <w:jc w:val="left"/>
    </w:pPr>
    <w:rPr>
      <w:rFonts w:ascii="Calibri" w:hAnsi="Calibri"/>
      <w:sz w:val="20"/>
      <w:szCs w:val="20"/>
    </w:rPr>
  </w:style>
  <w:style w:type="paragraph" w:styleId="11">
    <w:name w:val="index 4"/>
    <w:basedOn w:val="1"/>
    <w:next w:val="1"/>
    <w:semiHidden/>
    <w:qFormat/>
    <w:uiPriority w:val="99"/>
    <w:pPr>
      <w:ind w:left="840" w:hanging="210"/>
      <w:jc w:val="left"/>
    </w:pPr>
    <w:rPr>
      <w:rFonts w:ascii="Calibri" w:hAnsi="Calibri"/>
      <w:sz w:val="20"/>
      <w:szCs w:val="20"/>
    </w:rPr>
  </w:style>
  <w:style w:type="paragraph" w:styleId="12">
    <w:name w:val="toc 5"/>
    <w:basedOn w:val="1"/>
    <w:next w:val="1"/>
    <w:semiHidden/>
    <w:qFormat/>
    <w:uiPriority w:val="99"/>
    <w:pPr>
      <w:tabs>
        <w:tab w:val="right" w:leader="dot" w:pos="9241"/>
      </w:tabs>
      <w:ind w:firstLine="300" w:firstLineChars="300"/>
      <w:jc w:val="left"/>
    </w:pPr>
    <w:rPr>
      <w:rFonts w:ascii="宋体"/>
      <w:szCs w:val="21"/>
    </w:rPr>
  </w:style>
  <w:style w:type="paragraph" w:styleId="13">
    <w:name w:val="toc 3"/>
    <w:basedOn w:val="1"/>
    <w:next w:val="1"/>
    <w:semiHidden/>
    <w:qFormat/>
    <w:uiPriority w:val="99"/>
    <w:pPr>
      <w:tabs>
        <w:tab w:val="right" w:leader="dot" w:pos="9241"/>
      </w:tabs>
      <w:ind w:firstLine="102" w:firstLineChars="100"/>
      <w:jc w:val="left"/>
    </w:pPr>
    <w:rPr>
      <w:rFonts w:ascii="宋体"/>
      <w:szCs w:val="21"/>
    </w:rPr>
  </w:style>
  <w:style w:type="paragraph" w:styleId="14">
    <w:name w:val="toc 8"/>
    <w:basedOn w:val="1"/>
    <w:next w:val="1"/>
    <w:semiHidden/>
    <w:qFormat/>
    <w:uiPriority w:val="99"/>
    <w:pPr>
      <w:tabs>
        <w:tab w:val="right" w:leader="dot" w:pos="9241"/>
      </w:tabs>
      <w:ind w:firstLine="607" w:firstLineChars="600"/>
      <w:jc w:val="left"/>
    </w:pPr>
    <w:rPr>
      <w:rFonts w:ascii="宋体"/>
      <w:szCs w:val="21"/>
    </w:rPr>
  </w:style>
  <w:style w:type="paragraph" w:styleId="15">
    <w:name w:val="index 3"/>
    <w:basedOn w:val="1"/>
    <w:next w:val="1"/>
    <w:semiHidden/>
    <w:qFormat/>
    <w:uiPriority w:val="99"/>
    <w:pPr>
      <w:ind w:left="630" w:hanging="210"/>
      <w:jc w:val="left"/>
    </w:pPr>
    <w:rPr>
      <w:rFonts w:ascii="Calibri" w:hAnsi="Calibri"/>
      <w:sz w:val="20"/>
      <w:szCs w:val="20"/>
    </w:rPr>
  </w:style>
  <w:style w:type="paragraph" w:styleId="16">
    <w:name w:val="endnote text"/>
    <w:basedOn w:val="1"/>
    <w:link w:val="46"/>
    <w:semiHidden/>
    <w:qFormat/>
    <w:uiPriority w:val="99"/>
    <w:pPr>
      <w:snapToGrid w:val="0"/>
      <w:jc w:val="left"/>
    </w:pPr>
  </w:style>
  <w:style w:type="paragraph" w:styleId="17">
    <w:name w:val="Balloon Text"/>
    <w:basedOn w:val="1"/>
    <w:link w:val="47"/>
    <w:semiHidden/>
    <w:qFormat/>
    <w:uiPriority w:val="99"/>
    <w:rPr>
      <w:sz w:val="18"/>
      <w:szCs w:val="18"/>
    </w:rPr>
  </w:style>
  <w:style w:type="paragraph" w:styleId="18">
    <w:name w:val="footer"/>
    <w:basedOn w:val="1"/>
    <w:link w:val="48"/>
    <w:qFormat/>
    <w:uiPriority w:val="99"/>
    <w:pPr>
      <w:snapToGrid w:val="0"/>
      <w:ind w:right="210" w:rightChars="100"/>
      <w:jc w:val="right"/>
    </w:pPr>
    <w:rPr>
      <w:sz w:val="18"/>
      <w:szCs w:val="18"/>
    </w:rPr>
  </w:style>
  <w:style w:type="paragraph" w:styleId="19">
    <w:name w:val="header"/>
    <w:basedOn w:val="1"/>
    <w:link w:val="49"/>
    <w:qFormat/>
    <w:uiPriority w:val="99"/>
    <w:pPr>
      <w:snapToGrid w:val="0"/>
      <w:jc w:val="left"/>
    </w:pPr>
    <w:rPr>
      <w:sz w:val="18"/>
      <w:szCs w:val="18"/>
    </w:rPr>
  </w:style>
  <w:style w:type="paragraph" w:styleId="20">
    <w:name w:val="toc 1"/>
    <w:basedOn w:val="1"/>
    <w:next w:val="1"/>
    <w:semiHidden/>
    <w:qFormat/>
    <w:uiPriority w:val="99"/>
    <w:pPr>
      <w:tabs>
        <w:tab w:val="right" w:leader="dot" w:pos="9241"/>
      </w:tabs>
      <w:spacing w:beforeLines="25" w:afterLines="25"/>
      <w:jc w:val="left"/>
    </w:pPr>
    <w:rPr>
      <w:rFonts w:ascii="宋体"/>
      <w:szCs w:val="21"/>
    </w:rPr>
  </w:style>
  <w:style w:type="paragraph" w:styleId="21">
    <w:name w:val="toc 4"/>
    <w:basedOn w:val="1"/>
    <w:next w:val="1"/>
    <w:semiHidden/>
    <w:qFormat/>
    <w:uiPriority w:val="99"/>
    <w:pPr>
      <w:tabs>
        <w:tab w:val="right" w:leader="dot" w:pos="9241"/>
      </w:tabs>
      <w:ind w:firstLine="198" w:firstLineChars="200"/>
      <w:jc w:val="left"/>
    </w:pPr>
    <w:rPr>
      <w:rFonts w:ascii="宋体"/>
      <w:szCs w:val="21"/>
    </w:rPr>
  </w:style>
  <w:style w:type="paragraph" w:styleId="22">
    <w:name w:val="index heading"/>
    <w:basedOn w:val="1"/>
    <w:next w:val="23"/>
    <w:semiHidden/>
    <w:qFormat/>
    <w:uiPriority w:val="99"/>
    <w:pPr>
      <w:spacing w:before="120" w:after="120"/>
      <w:jc w:val="center"/>
    </w:pPr>
    <w:rPr>
      <w:rFonts w:ascii="Calibri" w:hAnsi="Calibri"/>
      <w:b/>
      <w:bCs/>
      <w:iCs/>
      <w:szCs w:val="20"/>
    </w:rPr>
  </w:style>
  <w:style w:type="paragraph" w:styleId="23">
    <w:name w:val="index 1"/>
    <w:basedOn w:val="1"/>
    <w:next w:val="24"/>
    <w:semiHidden/>
    <w:qFormat/>
    <w:uiPriority w:val="99"/>
    <w:pPr>
      <w:tabs>
        <w:tab w:val="right" w:leader="dot" w:pos="9299"/>
      </w:tabs>
      <w:jc w:val="left"/>
    </w:pPr>
    <w:rPr>
      <w:rFonts w:ascii="宋体"/>
      <w:szCs w:val="21"/>
    </w:rPr>
  </w:style>
  <w:style w:type="paragraph" w:customStyle="1" w:styleId="24">
    <w:name w:val="段"/>
    <w:link w:val="55"/>
    <w:qFormat/>
    <w:uiPriority w:val="99"/>
    <w:pPr>
      <w:tabs>
        <w:tab w:val="center" w:pos="4201"/>
        <w:tab w:val="right" w:leader="dot" w:pos="9298"/>
      </w:tabs>
      <w:autoSpaceDE w:val="0"/>
      <w:autoSpaceDN w:val="0"/>
      <w:ind w:firstLine="420" w:firstLineChars="200"/>
      <w:jc w:val="both"/>
    </w:pPr>
    <w:rPr>
      <w:rFonts w:ascii="宋体" w:hAnsi="Times New Roman" w:eastAsia="宋体" w:cs="Times New Roman"/>
      <w:sz w:val="21"/>
      <w:lang w:val="en-US" w:eastAsia="zh-CN" w:bidi="ar-SA"/>
    </w:rPr>
  </w:style>
  <w:style w:type="paragraph" w:styleId="25">
    <w:name w:val="footnote text"/>
    <w:basedOn w:val="1"/>
    <w:link w:val="50"/>
    <w:semiHidden/>
    <w:qFormat/>
    <w:uiPriority w:val="99"/>
    <w:pPr>
      <w:numPr>
        <w:ilvl w:val="0"/>
        <w:numId w:val="1"/>
      </w:numPr>
      <w:snapToGrid w:val="0"/>
      <w:jc w:val="left"/>
    </w:pPr>
    <w:rPr>
      <w:rFonts w:ascii="宋体"/>
      <w:sz w:val="18"/>
      <w:szCs w:val="18"/>
    </w:rPr>
  </w:style>
  <w:style w:type="paragraph" w:styleId="26">
    <w:name w:val="toc 6"/>
    <w:basedOn w:val="1"/>
    <w:next w:val="1"/>
    <w:semiHidden/>
    <w:qFormat/>
    <w:uiPriority w:val="99"/>
    <w:pPr>
      <w:tabs>
        <w:tab w:val="right" w:leader="dot" w:pos="9241"/>
      </w:tabs>
      <w:ind w:firstLine="403" w:firstLineChars="400"/>
      <w:jc w:val="left"/>
    </w:pPr>
    <w:rPr>
      <w:rFonts w:ascii="宋体"/>
      <w:szCs w:val="21"/>
    </w:rPr>
  </w:style>
  <w:style w:type="paragraph" w:styleId="27">
    <w:name w:val="index 7"/>
    <w:basedOn w:val="1"/>
    <w:next w:val="1"/>
    <w:semiHidden/>
    <w:qFormat/>
    <w:uiPriority w:val="99"/>
    <w:pPr>
      <w:ind w:left="1470" w:hanging="210"/>
      <w:jc w:val="left"/>
    </w:pPr>
    <w:rPr>
      <w:rFonts w:ascii="Calibri" w:hAnsi="Calibri"/>
      <w:sz w:val="20"/>
      <w:szCs w:val="20"/>
    </w:rPr>
  </w:style>
  <w:style w:type="paragraph" w:styleId="28">
    <w:name w:val="index 9"/>
    <w:basedOn w:val="1"/>
    <w:next w:val="1"/>
    <w:semiHidden/>
    <w:qFormat/>
    <w:uiPriority w:val="99"/>
    <w:pPr>
      <w:ind w:left="1890" w:hanging="210"/>
      <w:jc w:val="left"/>
    </w:pPr>
    <w:rPr>
      <w:rFonts w:ascii="Calibri" w:hAnsi="Calibri"/>
      <w:sz w:val="20"/>
      <w:szCs w:val="20"/>
    </w:rPr>
  </w:style>
  <w:style w:type="paragraph" w:styleId="29">
    <w:name w:val="toc 2"/>
    <w:basedOn w:val="1"/>
    <w:next w:val="1"/>
    <w:semiHidden/>
    <w:qFormat/>
    <w:uiPriority w:val="99"/>
    <w:pPr>
      <w:tabs>
        <w:tab w:val="right" w:leader="dot" w:pos="9241"/>
      </w:tabs>
    </w:pPr>
    <w:rPr>
      <w:rFonts w:ascii="宋体"/>
      <w:szCs w:val="21"/>
    </w:rPr>
  </w:style>
  <w:style w:type="paragraph" w:styleId="30">
    <w:name w:val="toc 9"/>
    <w:basedOn w:val="1"/>
    <w:next w:val="1"/>
    <w:semiHidden/>
    <w:qFormat/>
    <w:uiPriority w:val="99"/>
    <w:pPr>
      <w:ind w:left="1470"/>
      <w:jc w:val="left"/>
    </w:pPr>
    <w:rPr>
      <w:sz w:val="20"/>
      <w:szCs w:val="20"/>
    </w:rPr>
  </w:style>
  <w:style w:type="paragraph" w:styleId="31">
    <w:name w:val="index 2"/>
    <w:basedOn w:val="1"/>
    <w:next w:val="1"/>
    <w:semiHidden/>
    <w:qFormat/>
    <w:uiPriority w:val="99"/>
    <w:pPr>
      <w:ind w:left="420" w:hanging="210"/>
      <w:jc w:val="left"/>
    </w:pPr>
    <w:rPr>
      <w:rFonts w:ascii="Calibri" w:hAnsi="Calibri"/>
      <w:sz w:val="20"/>
      <w:szCs w:val="20"/>
    </w:rPr>
  </w:style>
  <w:style w:type="paragraph" w:styleId="32">
    <w:name w:val="annotation subject"/>
    <w:basedOn w:val="9"/>
    <w:next w:val="9"/>
    <w:link w:val="51"/>
    <w:semiHidden/>
    <w:qFormat/>
    <w:uiPriority w:val="99"/>
    <w:rPr>
      <w:b/>
      <w:bCs/>
    </w:rPr>
  </w:style>
  <w:style w:type="table" w:styleId="34">
    <w:name w:val="Table Grid"/>
    <w:basedOn w:val="33"/>
    <w:qFormat/>
    <w:uiPriority w:val="99"/>
    <w:rPr>
      <w:rFonts w:ascii="宋体"/>
      <w:sz w:val="18"/>
      <w:szCs w:val="18"/>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character" w:styleId="36">
    <w:name w:val="endnote reference"/>
    <w:semiHidden/>
    <w:qFormat/>
    <w:uiPriority w:val="99"/>
    <w:rPr>
      <w:rFonts w:cs="Times New Roman"/>
      <w:vertAlign w:val="superscript"/>
    </w:rPr>
  </w:style>
  <w:style w:type="character" w:styleId="37">
    <w:name w:val="page number"/>
    <w:qFormat/>
    <w:uiPriority w:val="99"/>
    <w:rPr>
      <w:rFonts w:ascii="Times New Roman" w:hAnsi="Times New Roman" w:eastAsia="宋体" w:cs="Times New Roman"/>
      <w:sz w:val="18"/>
    </w:rPr>
  </w:style>
  <w:style w:type="character" w:styleId="38">
    <w:name w:val="FollowedHyperlink"/>
    <w:qFormat/>
    <w:uiPriority w:val="99"/>
    <w:rPr>
      <w:rFonts w:cs="Times New Roman"/>
      <w:color w:val="800080"/>
      <w:u w:val="single"/>
    </w:rPr>
  </w:style>
  <w:style w:type="character" w:styleId="39">
    <w:name w:val="Hyperlink"/>
    <w:qFormat/>
    <w:uiPriority w:val="99"/>
    <w:rPr>
      <w:rFonts w:cs="Times New Roman"/>
      <w:color w:val="0000FF"/>
      <w:spacing w:val="0"/>
      <w:w w:val="100"/>
      <w:sz w:val="21"/>
      <w:u w:val="single"/>
      <w:lang w:val="en-US" w:eastAsia="zh-CN"/>
    </w:rPr>
  </w:style>
  <w:style w:type="character" w:styleId="40">
    <w:name w:val="annotation reference"/>
    <w:semiHidden/>
    <w:qFormat/>
    <w:uiPriority w:val="99"/>
    <w:rPr>
      <w:rFonts w:cs="Times New Roman"/>
      <w:sz w:val="21"/>
    </w:rPr>
  </w:style>
  <w:style w:type="character" w:styleId="41">
    <w:name w:val="footnote reference"/>
    <w:semiHidden/>
    <w:qFormat/>
    <w:uiPriority w:val="99"/>
    <w:rPr>
      <w:rFonts w:cs="Times New Roman"/>
      <w:vertAlign w:val="superscript"/>
    </w:rPr>
  </w:style>
  <w:style w:type="character" w:customStyle="1" w:styleId="42">
    <w:name w:val="标题 3 Char"/>
    <w:basedOn w:val="35"/>
    <w:link w:val="3"/>
    <w:semiHidden/>
    <w:qFormat/>
    <w:uiPriority w:val="0"/>
    <w:rPr>
      <w:b/>
      <w:bCs/>
      <w:kern w:val="2"/>
      <w:sz w:val="32"/>
      <w:szCs w:val="32"/>
    </w:rPr>
  </w:style>
  <w:style w:type="character" w:customStyle="1" w:styleId="43">
    <w:name w:val="标题 1 Char"/>
    <w:link w:val="2"/>
    <w:qFormat/>
    <w:locked/>
    <w:uiPriority w:val="99"/>
    <w:rPr>
      <w:rFonts w:cs="Times New Roman"/>
      <w:b/>
      <w:bCs/>
      <w:kern w:val="44"/>
      <w:sz w:val="44"/>
      <w:szCs w:val="44"/>
    </w:rPr>
  </w:style>
  <w:style w:type="character" w:customStyle="1" w:styleId="44">
    <w:name w:val="文档结构图 Char"/>
    <w:link w:val="8"/>
    <w:semiHidden/>
    <w:qFormat/>
    <w:uiPriority w:val="99"/>
    <w:rPr>
      <w:sz w:val="0"/>
      <w:szCs w:val="0"/>
    </w:rPr>
  </w:style>
  <w:style w:type="character" w:customStyle="1" w:styleId="45">
    <w:name w:val="批注文字 Char"/>
    <w:link w:val="9"/>
    <w:qFormat/>
    <w:locked/>
    <w:uiPriority w:val="99"/>
    <w:rPr>
      <w:kern w:val="2"/>
      <w:sz w:val="24"/>
    </w:rPr>
  </w:style>
  <w:style w:type="character" w:customStyle="1" w:styleId="46">
    <w:name w:val="尾注文本 Char"/>
    <w:link w:val="16"/>
    <w:semiHidden/>
    <w:qFormat/>
    <w:uiPriority w:val="99"/>
    <w:rPr>
      <w:szCs w:val="24"/>
    </w:rPr>
  </w:style>
  <w:style w:type="character" w:customStyle="1" w:styleId="47">
    <w:name w:val="批注框文本 Char"/>
    <w:link w:val="17"/>
    <w:qFormat/>
    <w:locked/>
    <w:uiPriority w:val="99"/>
    <w:rPr>
      <w:kern w:val="2"/>
      <w:sz w:val="18"/>
    </w:rPr>
  </w:style>
  <w:style w:type="character" w:customStyle="1" w:styleId="48">
    <w:name w:val="页脚 Char"/>
    <w:link w:val="18"/>
    <w:qFormat/>
    <w:uiPriority w:val="99"/>
    <w:rPr>
      <w:sz w:val="18"/>
      <w:szCs w:val="18"/>
    </w:rPr>
  </w:style>
  <w:style w:type="character" w:customStyle="1" w:styleId="49">
    <w:name w:val="页眉 Char"/>
    <w:link w:val="19"/>
    <w:semiHidden/>
    <w:qFormat/>
    <w:uiPriority w:val="99"/>
    <w:rPr>
      <w:sz w:val="18"/>
      <w:szCs w:val="18"/>
    </w:rPr>
  </w:style>
  <w:style w:type="character" w:customStyle="1" w:styleId="50">
    <w:name w:val="脚注文本 Char"/>
    <w:link w:val="25"/>
    <w:semiHidden/>
    <w:qFormat/>
    <w:uiPriority w:val="99"/>
    <w:rPr>
      <w:sz w:val="18"/>
      <w:szCs w:val="18"/>
    </w:rPr>
  </w:style>
  <w:style w:type="character" w:customStyle="1" w:styleId="51">
    <w:name w:val="批注主题 Char"/>
    <w:link w:val="32"/>
    <w:qFormat/>
    <w:locked/>
    <w:uiPriority w:val="99"/>
    <w:rPr>
      <w:b/>
      <w:kern w:val="2"/>
      <w:sz w:val="24"/>
    </w:rPr>
  </w:style>
  <w:style w:type="character" w:customStyle="1" w:styleId="52">
    <w:name w:val="首示例 Char"/>
    <w:link w:val="53"/>
    <w:qFormat/>
    <w:locked/>
    <w:uiPriority w:val="99"/>
    <w:rPr>
      <w:rFonts w:ascii="宋体" w:eastAsia="宋体"/>
      <w:kern w:val="2"/>
      <w:sz w:val="18"/>
      <w:lang w:val="en-US" w:eastAsia="zh-CN"/>
    </w:rPr>
  </w:style>
  <w:style w:type="paragraph" w:customStyle="1" w:styleId="53">
    <w:name w:val="首示例"/>
    <w:next w:val="24"/>
    <w:link w:val="52"/>
    <w:qFormat/>
    <w:uiPriority w:val="99"/>
    <w:pPr>
      <w:numPr>
        <w:ilvl w:val="0"/>
        <w:numId w:val="2"/>
      </w:numPr>
      <w:tabs>
        <w:tab w:val="left" w:pos="360"/>
      </w:tabs>
      <w:ind w:firstLine="0"/>
    </w:pPr>
    <w:rPr>
      <w:rFonts w:ascii="宋体" w:hAnsi="宋体" w:eastAsia="宋体" w:cs="Times New Roman"/>
      <w:kern w:val="2"/>
      <w:sz w:val="18"/>
      <w:szCs w:val="18"/>
      <w:lang w:val="en-US" w:eastAsia="zh-CN" w:bidi="ar-SA"/>
    </w:rPr>
  </w:style>
  <w:style w:type="character" w:customStyle="1" w:styleId="54">
    <w:name w:val="发布"/>
    <w:qFormat/>
    <w:uiPriority w:val="99"/>
    <w:rPr>
      <w:rFonts w:ascii="黑体" w:eastAsia="黑体"/>
      <w:spacing w:val="85"/>
      <w:w w:val="100"/>
      <w:position w:val="3"/>
      <w:sz w:val="28"/>
    </w:rPr>
  </w:style>
  <w:style w:type="character" w:customStyle="1" w:styleId="55">
    <w:name w:val="段 Char"/>
    <w:link w:val="24"/>
    <w:qFormat/>
    <w:locked/>
    <w:uiPriority w:val="99"/>
    <w:rPr>
      <w:rFonts w:ascii="宋体"/>
      <w:sz w:val="21"/>
      <w:lang w:val="en-US" w:eastAsia="zh-CN"/>
    </w:rPr>
  </w:style>
  <w:style w:type="character" w:customStyle="1" w:styleId="56">
    <w:name w:val="附录公式 Char"/>
    <w:link w:val="57"/>
    <w:qFormat/>
    <w:locked/>
    <w:uiPriority w:val="99"/>
    <w:rPr>
      <w:rFonts w:ascii="宋体" w:cs="Times New Roman"/>
      <w:sz w:val="21"/>
      <w:lang w:val="en-US" w:eastAsia="zh-CN" w:bidi="ar-SA"/>
    </w:rPr>
  </w:style>
  <w:style w:type="paragraph" w:customStyle="1" w:styleId="57">
    <w:name w:val="附录公式"/>
    <w:basedOn w:val="24"/>
    <w:next w:val="24"/>
    <w:link w:val="56"/>
    <w:qFormat/>
    <w:uiPriority w:val="99"/>
  </w:style>
  <w:style w:type="paragraph" w:customStyle="1" w:styleId="58">
    <w:name w:val="图的脚注"/>
    <w:next w:val="24"/>
    <w:qFormat/>
    <w:uiPriority w:val="99"/>
    <w:pPr>
      <w:widowControl w:val="0"/>
      <w:ind w:left="840" w:leftChars="200" w:hanging="420" w:hangingChars="200"/>
      <w:jc w:val="both"/>
    </w:pPr>
    <w:rPr>
      <w:rFonts w:ascii="宋体" w:hAnsi="Times New Roman" w:eastAsia="宋体" w:cs="Times New Roman"/>
      <w:sz w:val="18"/>
      <w:lang w:val="en-US" w:eastAsia="zh-CN" w:bidi="ar-SA"/>
    </w:rPr>
  </w:style>
  <w:style w:type="paragraph" w:customStyle="1" w:styleId="59">
    <w:name w:val="注×：（正文）"/>
    <w:qFormat/>
    <w:uiPriority w:val="99"/>
    <w:pPr>
      <w:numPr>
        <w:ilvl w:val="0"/>
        <w:numId w:val="3"/>
      </w:numPr>
      <w:jc w:val="both"/>
    </w:pPr>
    <w:rPr>
      <w:rFonts w:ascii="宋体" w:hAnsi="Times New Roman" w:eastAsia="宋体" w:cs="Times New Roman"/>
      <w:sz w:val="18"/>
      <w:szCs w:val="18"/>
      <w:lang w:val="en-US" w:eastAsia="zh-CN" w:bidi="ar-SA"/>
    </w:rPr>
  </w:style>
  <w:style w:type="paragraph" w:customStyle="1" w:styleId="60">
    <w:name w:val="三级条标题"/>
    <w:basedOn w:val="61"/>
    <w:next w:val="24"/>
    <w:qFormat/>
    <w:uiPriority w:val="99"/>
    <w:pPr>
      <w:numPr>
        <w:ilvl w:val="3"/>
      </w:numPr>
      <w:outlineLvl w:val="4"/>
    </w:pPr>
  </w:style>
  <w:style w:type="paragraph" w:customStyle="1" w:styleId="61">
    <w:name w:val="二级条标题"/>
    <w:basedOn w:val="62"/>
    <w:next w:val="24"/>
    <w:qFormat/>
    <w:uiPriority w:val="99"/>
    <w:pPr>
      <w:numPr>
        <w:ilvl w:val="2"/>
      </w:numPr>
      <w:spacing w:before="50" w:after="50"/>
      <w:outlineLvl w:val="3"/>
    </w:pPr>
  </w:style>
  <w:style w:type="paragraph" w:customStyle="1" w:styleId="62">
    <w:name w:val="一级条标题"/>
    <w:next w:val="24"/>
    <w:qFormat/>
    <w:uiPriority w:val="99"/>
    <w:pPr>
      <w:numPr>
        <w:ilvl w:val="1"/>
        <w:numId w:val="4"/>
      </w:numPr>
      <w:spacing w:beforeLines="50" w:afterLines="50"/>
      <w:outlineLvl w:val="2"/>
    </w:pPr>
    <w:rPr>
      <w:rFonts w:ascii="黑体" w:hAnsi="Times New Roman" w:eastAsia="黑体" w:cs="Times New Roman"/>
      <w:sz w:val="21"/>
      <w:szCs w:val="21"/>
      <w:lang w:val="en-US" w:eastAsia="zh-CN" w:bidi="ar-SA"/>
    </w:rPr>
  </w:style>
  <w:style w:type="paragraph" w:customStyle="1" w:styleId="63">
    <w:name w:val="注：（正文）"/>
    <w:basedOn w:val="64"/>
    <w:next w:val="24"/>
    <w:qFormat/>
    <w:uiPriority w:val="99"/>
  </w:style>
  <w:style w:type="paragraph" w:customStyle="1" w:styleId="64">
    <w:name w:val="注："/>
    <w:next w:val="24"/>
    <w:qFormat/>
    <w:uiPriority w:val="99"/>
    <w:pPr>
      <w:widowControl w:val="0"/>
      <w:autoSpaceDE w:val="0"/>
      <w:autoSpaceDN w:val="0"/>
      <w:ind w:left="726" w:hanging="363"/>
      <w:jc w:val="both"/>
    </w:pPr>
    <w:rPr>
      <w:rFonts w:ascii="宋体" w:hAnsi="Times New Roman" w:eastAsia="宋体" w:cs="Times New Roman"/>
      <w:sz w:val="18"/>
      <w:szCs w:val="18"/>
      <w:lang w:val="en-US" w:eastAsia="zh-CN" w:bidi="ar-SA"/>
    </w:rPr>
  </w:style>
  <w:style w:type="paragraph" w:customStyle="1" w:styleId="65">
    <w:name w:val="附录一级条标题"/>
    <w:basedOn w:val="66"/>
    <w:next w:val="24"/>
    <w:qFormat/>
    <w:uiPriority w:val="99"/>
    <w:pPr>
      <w:numPr>
        <w:ilvl w:val="2"/>
      </w:numPr>
      <w:tabs>
        <w:tab w:val="left" w:pos="360"/>
      </w:tabs>
      <w:autoSpaceDN w:val="0"/>
      <w:spacing w:beforeLines="50" w:afterLines="50"/>
      <w:outlineLvl w:val="2"/>
    </w:pPr>
  </w:style>
  <w:style w:type="paragraph" w:customStyle="1" w:styleId="66">
    <w:name w:val="附录章标题"/>
    <w:next w:val="24"/>
    <w:qFormat/>
    <w:uiPriority w:val="99"/>
    <w:pPr>
      <w:numPr>
        <w:ilvl w:val="1"/>
        <w:numId w:val="5"/>
      </w:numPr>
      <w:tabs>
        <w:tab w:val="left" w:pos="360"/>
      </w:tabs>
      <w:wordWrap w:val="0"/>
      <w:overflowPunct w:val="0"/>
      <w:autoSpaceDE w:val="0"/>
      <w:spacing w:beforeLines="100" w:afterLines="100"/>
      <w:jc w:val="both"/>
      <w:textAlignment w:val="baseline"/>
      <w:outlineLvl w:val="1"/>
    </w:pPr>
    <w:rPr>
      <w:rFonts w:ascii="黑体" w:hAnsi="Times New Roman" w:eastAsia="黑体" w:cs="Times New Roman"/>
      <w:kern w:val="21"/>
      <w:sz w:val="21"/>
      <w:lang w:val="en-US" w:eastAsia="zh-CN" w:bidi="ar-SA"/>
    </w:rPr>
  </w:style>
  <w:style w:type="paragraph" w:customStyle="1" w:styleId="67">
    <w:name w:val="列项◆（三级）"/>
    <w:basedOn w:val="1"/>
    <w:qFormat/>
    <w:uiPriority w:val="99"/>
    <w:pPr>
      <w:numPr>
        <w:ilvl w:val="2"/>
        <w:numId w:val="6"/>
      </w:numPr>
    </w:pPr>
    <w:rPr>
      <w:rFonts w:ascii="宋体"/>
      <w:szCs w:val="21"/>
    </w:rPr>
  </w:style>
  <w:style w:type="paragraph" w:customStyle="1" w:styleId="68">
    <w:name w:val="封面一致性程度标识"/>
    <w:basedOn w:val="69"/>
    <w:qFormat/>
    <w:uiPriority w:val="99"/>
    <w:pPr>
      <w:spacing w:before="440"/>
    </w:pPr>
    <w:rPr>
      <w:rFonts w:ascii="宋体" w:eastAsia="宋体"/>
    </w:rPr>
  </w:style>
  <w:style w:type="paragraph" w:customStyle="1" w:styleId="69">
    <w:name w:val="封面标准英文名称"/>
    <w:basedOn w:val="70"/>
    <w:qFormat/>
    <w:uiPriority w:val="99"/>
    <w:pPr>
      <w:spacing w:before="370" w:line="400" w:lineRule="exact"/>
    </w:pPr>
    <w:rPr>
      <w:rFonts w:ascii="Times New Roman"/>
      <w:sz w:val="28"/>
      <w:szCs w:val="28"/>
    </w:rPr>
  </w:style>
  <w:style w:type="paragraph" w:customStyle="1" w:styleId="70">
    <w:name w:val="封面标准名称"/>
    <w:qFormat/>
    <w:uiPriority w:val="99"/>
    <w:pPr>
      <w:framePr w:w="9639" w:h="6917" w:hRule="exact" w:wrap="auto" w:vAnchor="page" w:hAnchor="page" w:xAlign="center" w:y="6408" w:anchorLock="1"/>
      <w:widowControl w:val="0"/>
      <w:spacing w:line="680" w:lineRule="exact"/>
      <w:jc w:val="center"/>
      <w:textAlignment w:val="center"/>
    </w:pPr>
    <w:rPr>
      <w:rFonts w:ascii="黑体" w:hAnsi="Times New Roman" w:eastAsia="黑体" w:cs="Times New Roman"/>
      <w:sz w:val="52"/>
      <w:lang w:val="en-US" w:eastAsia="zh-CN" w:bidi="ar-SA"/>
    </w:rPr>
  </w:style>
  <w:style w:type="paragraph" w:customStyle="1" w:styleId="71">
    <w:name w:val="注×："/>
    <w:qFormat/>
    <w:uiPriority w:val="99"/>
    <w:pPr>
      <w:widowControl w:val="0"/>
      <w:numPr>
        <w:ilvl w:val="0"/>
        <w:numId w:val="7"/>
      </w:numPr>
      <w:autoSpaceDE w:val="0"/>
      <w:autoSpaceDN w:val="0"/>
      <w:jc w:val="both"/>
    </w:pPr>
    <w:rPr>
      <w:rFonts w:ascii="宋体" w:hAnsi="Times New Roman" w:eastAsia="宋体" w:cs="Times New Roman"/>
      <w:sz w:val="18"/>
      <w:szCs w:val="18"/>
      <w:lang w:val="en-US" w:eastAsia="zh-CN" w:bidi="ar-SA"/>
    </w:rPr>
  </w:style>
  <w:style w:type="paragraph" w:customStyle="1" w:styleId="72">
    <w:name w:val="示例内容"/>
    <w:qFormat/>
    <w:uiPriority w:val="99"/>
    <w:pPr>
      <w:ind w:firstLine="200" w:firstLineChars="200"/>
    </w:pPr>
    <w:rPr>
      <w:rFonts w:ascii="宋体" w:hAnsi="Times New Roman" w:eastAsia="宋体" w:cs="Times New Roman"/>
      <w:sz w:val="18"/>
      <w:szCs w:val="18"/>
      <w:lang w:val="en-US" w:eastAsia="zh-CN" w:bidi="ar-SA"/>
    </w:rPr>
  </w:style>
  <w:style w:type="paragraph" w:customStyle="1" w:styleId="73">
    <w:name w:val="前言、引言标题"/>
    <w:next w:val="24"/>
    <w:qFormat/>
    <w:uiPriority w:val="99"/>
    <w:pPr>
      <w:keepNext/>
      <w:pageBreakBefore/>
      <w:shd w:val="clear" w:color="FFFFFF" w:fill="FFFFFF"/>
      <w:spacing w:before="640" w:after="560"/>
      <w:jc w:val="center"/>
      <w:outlineLvl w:val="0"/>
    </w:pPr>
    <w:rPr>
      <w:rFonts w:ascii="黑体" w:hAnsi="Times New Roman" w:eastAsia="黑体" w:cs="Times New Roman"/>
      <w:sz w:val="32"/>
      <w:lang w:val="en-US" w:eastAsia="zh-CN" w:bidi="ar-SA"/>
    </w:rPr>
  </w:style>
  <w:style w:type="paragraph" w:customStyle="1" w:styleId="74">
    <w:name w:val="数字编号列项（二级）"/>
    <w:qFormat/>
    <w:uiPriority w:val="99"/>
    <w:pPr>
      <w:numPr>
        <w:ilvl w:val="1"/>
        <w:numId w:val="8"/>
      </w:numPr>
      <w:jc w:val="both"/>
    </w:pPr>
    <w:rPr>
      <w:rFonts w:ascii="宋体" w:hAnsi="Times New Roman" w:eastAsia="宋体" w:cs="Times New Roman"/>
      <w:sz w:val="21"/>
      <w:lang w:val="en-US" w:eastAsia="zh-CN" w:bidi="ar-SA"/>
    </w:rPr>
  </w:style>
  <w:style w:type="paragraph" w:customStyle="1" w:styleId="75">
    <w:name w:val="示例×："/>
    <w:basedOn w:val="76"/>
    <w:qFormat/>
    <w:uiPriority w:val="99"/>
    <w:pPr>
      <w:numPr>
        <w:numId w:val="9"/>
      </w:numPr>
      <w:spacing w:beforeLines="0" w:afterLines="0"/>
      <w:outlineLvl w:val="9"/>
    </w:pPr>
    <w:rPr>
      <w:rFonts w:ascii="宋体" w:eastAsia="宋体"/>
      <w:sz w:val="18"/>
      <w:szCs w:val="18"/>
    </w:rPr>
  </w:style>
  <w:style w:type="paragraph" w:customStyle="1" w:styleId="76">
    <w:name w:val="章标题"/>
    <w:next w:val="24"/>
    <w:qFormat/>
    <w:uiPriority w:val="99"/>
    <w:pPr>
      <w:numPr>
        <w:ilvl w:val="0"/>
        <w:numId w:val="4"/>
      </w:numPr>
      <w:spacing w:beforeLines="100" w:afterLines="100"/>
      <w:jc w:val="both"/>
      <w:outlineLvl w:val="1"/>
    </w:pPr>
    <w:rPr>
      <w:rFonts w:ascii="黑体" w:hAnsi="Times New Roman" w:eastAsia="黑体" w:cs="Times New Roman"/>
      <w:sz w:val="21"/>
      <w:lang w:val="en-US" w:eastAsia="zh-CN" w:bidi="ar-SA"/>
    </w:rPr>
  </w:style>
  <w:style w:type="paragraph" w:customStyle="1" w:styleId="77">
    <w:name w:val="列项说明数字编号"/>
    <w:qFormat/>
    <w:uiPriority w:val="99"/>
    <w:pPr>
      <w:ind w:left="600" w:leftChars="400" w:hanging="200" w:hangingChars="200"/>
    </w:pPr>
    <w:rPr>
      <w:rFonts w:ascii="宋体" w:hAnsi="Times New Roman" w:eastAsia="宋体" w:cs="Times New Roman"/>
      <w:sz w:val="21"/>
      <w:lang w:val="en-US" w:eastAsia="zh-CN" w:bidi="ar-SA"/>
    </w:rPr>
  </w:style>
  <w:style w:type="paragraph" w:customStyle="1" w:styleId="78">
    <w:name w:val="编号列项（三级）"/>
    <w:qFormat/>
    <w:uiPriority w:val="99"/>
    <w:pPr>
      <w:numPr>
        <w:ilvl w:val="2"/>
        <w:numId w:val="8"/>
      </w:numPr>
    </w:pPr>
    <w:rPr>
      <w:rFonts w:ascii="宋体" w:hAnsi="Times New Roman" w:eastAsia="宋体" w:cs="Times New Roman"/>
      <w:sz w:val="21"/>
      <w:lang w:val="en-US" w:eastAsia="zh-CN" w:bidi="ar-SA"/>
    </w:rPr>
  </w:style>
  <w:style w:type="paragraph" w:customStyle="1" w:styleId="79">
    <w:name w:val="图标脚注说明"/>
    <w:basedOn w:val="24"/>
    <w:qFormat/>
    <w:uiPriority w:val="99"/>
    <w:pPr>
      <w:ind w:left="840" w:hanging="420" w:firstLineChars="0"/>
    </w:pPr>
    <w:rPr>
      <w:sz w:val="18"/>
      <w:szCs w:val="18"/>
    </w:rPr>
  </w:style>
  <w:style w:type="paragraph" w:customStyle="1" w:styleId="80">
    <w:name w:val="附录四级无"/>
    <w:basedOn w:val="81"/>
    <w:qFormat/>
    <w:uiPriority w:val="99"/>
    <w:pPr>
      <w:tabs>
        <w:tab w:val="left" w:pos="360"/>
      </w:tabs>
      <w:spacing w:beforeLines="0" w:afterLines="0"/>
    </w:pPr>
    <w:rPr>
      <w:rFonts w:ascii="宋体" w:eastAsia="宋体"/>
      <w:szCs w:val="21"/>
    </w:rPr>
  </w:style>
  <w:style w:type="paragraph" w:customStyle="1" w:styleId="81">
    <w:name w:val="附录四级条标题"/>
    <w:basedOn w:val="82"/>
    <w:next w:val="24"/>
    <w:qFormat/>
    <w:uiPriority w:val="99"/>
    <w:pPr>
      <w:numPr>
        <w:ilvl w:val="0"/>
        <w:numId w:val="0"/>
      </w:numPr>
      <w:tabs>
        <w:tab w:val="left" w:pos="360"/>
      </w:tabs>
      <w:outlineLvl w:val="5"/>
    </w:pPr>
  </w:style>
  <w:style w:type="paragraph" w:customStyle="1" w:styleId="82">
    <w:name w:val="附录三级条标题"/>
    <w:basedOn w:val="83"/>
    <w:next w:val="24"/>
    <w:qFormat/>
    <w:uiPriority w:val="99"/>
    <w:pPr>
      <w:numPr>
        <w:ilvl w:val="4"/>
      </w:numPr>
      <w:tabs>
        <w:tab w:val="left" w:pos="360"/>
      </w:tabs>
      <w:outlineLvl w:val="4"/>
    </w:pPr>
  </w:style>
  <w:style w:type="paragraph" w:customStyle="1" w:styleId="83">
    <w:name w:val="附录二级条标题"/>
    <w:basedOn w:val="1"/>
    <w:next w:val="24"/>
    <w:qFormat/>
    <w:uiPriority w:val="99"/>
    <w:pPr>
      <w:widowControl/>
      <w:numPr>
        <w:ilvl w:val="3"/>
        <w:numId w:val="5"/>
      </w:numPr>
      <w:tabs>
        <w:tab w:val="left" w:pos="360"/>
      </w:tabs>
      <w:wordWrap w:val="0"/>
      <w:overflowPunct w:val="0"/>
      <w:autoSpaceDE w:val="0"/>
      <w:autoSpaceDN w:val="0"/>
      <w:spacing w:beforeLines="50" w:afterLines="50"/>
      <w:textAlignment w:val="baseline"/>
      <w:outlineLvl w:val="3"/>
    </w:pPr>
    <w:rPr>
      <w:rFonts w:ascii="黑体" w:eastAsia="黑体"/>
      <w:kern w:val="21"/>
      <w:szCs w:val="20"/>
    </w:rPr>
  </w:style>
  <w:style w:type="paragraph" w:customStyle="1" w:styleId="84">
    <w:name w:val="正文图标题"/>
    <w:next w:val="24"/>
    <w:qFormat/>
    <w:uiPriority w:val="99"/>
    <w:pPr>
      <w:numPr>
        <w:ilvl w:val="0"/>
        <w:numId w:val="10"/>
      </w:numPr>
      <w:tabs>
        <w:tab w:val="left" w:pos="360"/>
      </w:tabs>
      <w:spacing w:beforeLines="50" w:afterLines="50"/>
      <w:jc w:val="center"/>
    </w:pPr>
    <w:rPr>
      <w:rFonts w:ascii="黑体" w:hAnsi="Times New Roman" w:eastAsia="黑体" w:cs="Times New Roman"/>
      <w:sz w:val="21"/>
      <w:lang w:val="en-US" w:eastAsia="zh-CN" w:bidi="ar-SA"/>
    </w:rPr>
  </w:style>
  <w:style w:type="paragraph" w:customStyle="1" w:styleId="85">
    <w:name w:val="附录公式编号制表符"/>
    <w:basedOn w:val="1"/>
    <w:next w:val="24"/>
    <w:qFormat/>
    <w:uiPriority w:val="99"/>
    <w:pPr>
      <w:widowControl/>
      <w:tabs>
        <w:tab w:val="center" w:pos="4201"/>
        <w:tab w:val="right" w:leader="dot" w:pos="9298"/>
      </w:tabs>
      <w:autoSpaceDE w:val="0"/>
      <w:autoSpaceDN w:val="0"/>
    </w:pPr>
    <w:rPr>
      <w:rFonts w:ascii="宋体"/>
      <w:kern w:val="0"/>
      <w:szCs w:val="20"/>
    </w:rPr>
  </w:style>
  <w:style w:type="paragraph" w:customStyle="1" w:styleId="86">
    <w:name w:val="标准书眉一"/>
    <w:qFormat/>
    <w:uiPriority w:val="99"/>
    <w:pPr>
      <w:jc w:val="both"/>
    </w:pPr>
    <w:rPr>
      <w:rFonts w:ascii="Times New Roman" w:hAnsi="Times New Roman" w:eastAsia="宋体" w:cs="Times New Roman"/>
      <w:lang w:val="en-US" w:eastAsia="zh-CN" w:bidi="ar-SA"/>
    </w:rPr>
  </w:style>
  <w:style w:type="paragraph" w:customStyle="1" w:styleId="87">
    <w:name w:val="封面标准代替信息"/>
    <w:uiPriority w:val="99"/>
    <w:pPr>
      <w:framePr w:w="9140" w:h="1242" w:hRule="exact" w:hSpace="284" w:wrap="auto" w:vAnchor="page" w:hAnchor="page" w:x="1645" w:y="2910" w:anchorLock="1"/>
      <w:spacing w:before="57" w:line="280" w:lineRule="exact"/>
      <w:jc w:val="right"/>
    </w:pPr>
    <w:rPr>
      <w:rFonts w:ascii="宋体" w:hAnsi="Times New Roman" w:eastAsia="宋体" w:cs="Times New Roman"/>
      <w:sz w:val="21"/>
      <w:szCs w:val="21"/>
      <w:lang w:val="en-US" w:eastAsia="zh-CN" w:bidi="ar-SA"/>
    </w:rPr>
  </w:style>
  <w:style w:type="paragraph" w:customStyle="1" w:styleId="88">
    <w:name w:val="标准标志"/>
    <w:next w:val="1"/>
    <w:qFormat/>
    <w:uiPriority w:val="99"/>
    <w:pPr>
      <w:framePr w:w="2546" w:h="1389" w:hRule="exact" w:hSpace="181" w:vSpace="181" w:wrap="auto" w:vAnchor="margin" w:hAnchor="margin" w:x="6522" w:y="398" w:anchorLock="1"/>
      <w:shd w:val="solid" w:color="FFFFFF" w:fill="FFFFFF"/>
      <w:spacing w:line="240" w:lineRule="atLeast"/>
      <w:jc w:val="right"/>
    </w:pPr>
    <w:rPr>
      <w:rFonts w:ascii="Times New Roman" w:hAnsi="Times New Roman" w:eastAsia="宋体" w:cs="Times New Roman"/>
      <w:b/>
      <w:w w:val="170"/>
      <w:sz w:val="96"/>
      <w:szCs w:val="96"/>
      <w:lang w:val="en-US" w:eastAsia="zh-CN" w:bidi="ar-SA"/>
    </w:rPr>
  </w:style>
  <w:style w:type="paragraph" w:customStyle="1" w:styleId="89">
    <w:name w:val="四级条标题"/>
    <w:basedOn w:val="60"/>
    <w:next w:val="24"/>
    <w:qFormat/>
    <w:uiPriority w:val="99"/>
    <w:pPr>
      <w:numPr>
        <w:ilvl w:val="4"/>
      </w:numPr>
      <w:outlineLvl w:val="5"/>
    </w:pPr>
  </w:style>
  <w:style w:type="paragraph" w:customStyle="1" w:styleId="90">
    <w:name w:val="正文公式编号制表符"/>
    <w:basedOn w:val="24"/>
    <w:next w:val="24"/>
    <w:qFormat/>
    <w:uiPriority w:val="99"/>
    <w:pPr>
      <w:ind w:firstLine="0" w:firstLineChars="0"/>
    </w:pPr>
  </w:style>
  <w:style w:type="paragraph" w:customStyle="1" w:styleId="91">
    <w:name w:val="字母编号列项（一级）"/>
    <w:qFormat/>
    <w:uiPriority w:val="99"/>
    <w:pPr>
      <w:numPr>
        <w:ilvl w:val="0"/>
        <w:numId w:val="8"/>
      </w:numPr>
      <w:jc w:val="both"/>
    </w:pPr>
    <w:rPr>
      <w:rFonts w:ascii="宋体" w:hAnsi="Times New Roman" w:eastAsia="宋体" w:cs="Times New Roman"/>
      <w:sz w:val="21"/>
      <w:lang w:val="en-US" w:eastAsia="zh-CN" w:bidi="ar-SA"/>
    </w:rPr>
  </w:style>
  <w:style w:type="paragraph" w:customStyle="1" w:styleId="92">
    <w:name w:val="条文脚注"/>
    <w:basedOn w:val="25"/>
    <w:qFormat/>
    <w:uiPriority w:val="99"/>
    <w:pPr>
      <w:numPr>
        <w:numId w:val="0"/>
      </w:numPr>
      <w:jc w:val="both"/>
    </w:pPr>
  </w:style>
  <w:style w:type="paragraph" w:customStyle="1" w:styleId="93">
    <w:name w:val="附录图标号"/>
    <w:basedOn w:val="1"/>
    <w:qFormat/>
    <w:uiPriority w:val="99"/>
    <w:pPr>
      <w:keepNext/>
      <w:pageBreakBefore/>
      <w:widowControl/>
      <w:numPr>
        <w:ilvl w:val="0"/>
        <w:numId w:val="11"/>
      </w:numPr>
      <w:spacing w:line="14" w:lineRule="exact"/>
      <w:ind w:left="0" w:firstLine="363"/>
      <w:jc w:val="center"/>
      <w:outlineLvl w:val="0"/>
    </w:pPr>
    <w:rPr>
      <w:color w:val="FFFFFF"/>
    </w:rPr>
  </w:style>
  <w:style w:type="paragraph" w:customStyle="1" w:styleId="94">
    <w:name w:val="示例后文字"/>
    <w:basedOn w:val="24"/>
    <w:next w:val="24"/>
    <w:qFormat/>
    <w:uiPriority w:val="99"/>
    <w:pPr>
      <w:ind w:firstLine="360"/>
    </w:pPr>
    <w:rPr>
      <w:sz w:val="18"/>
    </w:rPr>
  </w:style>
  <w:style w:type="paragraph" w:customStyle="1" w:styleId="95">
    <w:name w:val="发布部门"/>
    <w:next w:val="24"/>
    <w:qFormat/>
    <w:uiPriority w:val="99"/>
    <w:pPr>
      <w:framePr w:w="7938" w:h="1134" w:hRule="exact" w:hSpace="125" w:vSpace="181" w:wrap="auto" w:vAnchor="page" w:hAnchor="page" w:x="2150" w:y="14630" w:anchorLock="1"/>
      <w:jc w:val="center"/>
    </w:pPr>
    <w:rPr>
      <w:rFonts w:ascii="宋体" w:hAnsi="Times New Roman" w:eastAsia="宋体" w:cs="Times New Roman"/>
      <w:b/>
      <w:spacing w:val="20"/>
      <w:w w:val="135"/>
      <w:sz w:val="28"/>
      <w:lang w:val="en-US" w:eastAsia="zh-CN" w:bidi="ar-SA"/>
    </w:rPr>
  </w:style>
  <w:style w:type="paragraph" w:customStyle="1" w:styleId="96">
    <w:name w:val="参考文献"/>
    <w:basedOn w:val="1"/>
    <w:next w:val="24"/>
    <w:qFormat/>
    <w:uiPriority w:val="99"/>
    <w:pPr>
      <w:keepNext/>
      <w:pageBreakBefore/>
      <w:widowControl/>
      <w:shd w:val="clear" w:color="FFFFFF" w:fill="FFFFFF"/>
      <w:spacing w:before="640" w:after="200"/>
      <w:jc w:val="center"/>
      <w:outlineLvl w:val="0"/>
    </w:pPr>
    <w:rPr>
      <w:rFonts w:ascii="黑体" w:eastAsia="黑体"/>
      <w:kern w:val="0"/>
      <w:szCs w:val="20"/>
    </w:rPr>
  </w:style>
  <w:style w:type="paragraph" w:customStyle="1" w:styleId="97">
    <w:name w:val="封面标准号1"/>
    <w:qFormat/>
    <w:uiPriority w:val="99"/>
    <w:pPr>
      <w:widowControl w:val="0"/>
      <w:kinsoku w:val="0"/>
      <w:overflowPunct w:val="0"/>
      <w:autoSpaceDE w:val="0"/>
      <w:autoSpaceDN w:val="0"/>
      <w:spacing w:before="308"/>
      <w:jc w:val="right"/>
      <w:textAlignment w:val="center"/>
    </w:pPr>
    <w:rPr>
      <w:rFonts w:ascii="Times New Roman" w:hAnsi="Times New Roman" w:eastAsia="宋体" w:cs="Times New Roman"/>
      <w:sz w:val="28"/>
      <w:lang w:val="en-US" w:eastAsia="zh-CN" w:bidi="ar-SA"/>
    </w:rPr>
  </w:style>
  <w:style w:type="paragraph" w:customStyle="1" w:styleId="98">
    <w:name w:val="其他标准称谓"/>
    <w:next w:val="1"/>
    <w:qFormat/>
    <w:uiPriority w:val="99"/>
    <w:pPr>
      <w:framePr w:hSpace="181" w:vSpace="181" w:wrap="auto" w:vAnchor="page" w:hAnchor="page" w:x="1419" w:y="2286" w:anchorLock="1"/>
      <w:spacing w:line="240" w:lineRule="atLeast"/>
      <w:jc w:val="distribute"/>
    </w:pPr>
    <w:rPr>
      <w:rFonts w:ascii="黑体" w:hAnsi="宋体" w:eastAsia="黑体" w:cs="Times New Roman"/>
      <w:spacing w:val="-40"/>
      <w:sz w:val="48"/>
      <w:szCs w:val="52"/>
      <w:lang w:val="en-US" w:eastAsia="zh-CN" w:bidi="ar-SA"/>
    </w:rPr>
  </w:style>
  <w:style w:type="paragraph" w:customStyle="1" w:styleId="99">
    <w:name w:val="示例"/>
    <w:next w:val="72"/>
    <w:qFormat/>
    <w:uiPriority w:val="99"/>
    <w:pPr>
      <w:widowControl w:val="0"/>
      <w:numPr>
        <w:ilvl w:val="0"/>
        <w:numId w:val="12"/>
      </w:numPr>
      <w:jc w:val="both"/>
    </w:pPr>
    <w:rPr>
      <w:rFonts w:ascii="宋体" w:hAnsi="Times New Roman" w:eastAsia="宋体" w:cs="Times New Roman"/>
      <w:sz w:val="18"/>
      <w:szCs w:val="18"/>
      <w:lang w:val="en-US" w:eastAsia="zh-CN" w:bidi="ar-SA"/>
    </w:rPr>
  </w:style>
  <w:style w:type="paragraph" w:customStyle="1" w:styleId="100">
    <w:name w:val="封面标准文稿编辑信息"/>
    <w:basedOn w:val="101"/>
    <w:qFormat/>
    <w:uiPriority w:val="99"/>
    <w:pPr>
      <w:spacing w:before="180" w:line="180" w:lineRule="exact"/>
    </w:pPr>
    <w:rPr>
      <w:sz w:val="21"/>
    </w:rPr>
  </w:style>
  <w:style w:type="paragraph" w:customStyle="1" w:styleId="101">
    <w:name w:val="封面标准文稿类别"/>
    <w:basedOn w:val="68"/>
    <w:qFormat/>
    <w:uiPriority w:val="99"/>
    <w:pPr>
      <w:spacing w:after="160" w:line="240" w:lineRule="auto"/>
    </w:pPr>
    <w:rPr>
      <w:sz w:val="24"/>
    </w:rPr>
  </w:style>
  <w:style w:type="paragraph" w:customStyle="1" w:styleId="102">
    <w:name w:val="实施日期"/>
    <w:basedOn w:val="103"/>
    <w:qFormat/>
    <w:uiPriority w:val="99"/>
    <w:pPr>
      <w:framePr w:vAnchor="page" w:hAnchor="text"/>
      <w:jc w:val="right"/>
    </w:pPr>
  </w:style>
  <w:style w:type="paragraph" w:customStyle="1" w:styleId="103">
    <w:name w:val="发布日期"/>
    <w:qFormat/>
    <w:uiPriority w:val="99"/>
    <w:pPr>
      <w:framePr w:w="3997" w:h="471" w:hRule="exact" w:vSpace="181" w:wrap="auto" w:vAnchor="margin" w:hAnchor="page" w:x="7089" w:y="14097" w:anchorLock="1"/>
    </w:pPr>
    <w:rPr>
      <w:rFonts w:ascii="Times New Roman" w:hAnsi="Times New Roman" w:eastAsia="黑体" w:cs="Times New Roman"/>
      <w:sz w:val="28"/>
      <w:lang w:val="en-US" w:eastAsia="zh-CN" w:bidi="ar-SA"/>
    </w:rPr>
  </w:style>
  <w:style w:type="paragraph" w:customStyle="1" w:styleId="104">
    <w:name w:val="附录标题"/>
    <w:basedOn w:val="24"/>
    <w:next w:val="24"/>
    <w:qFormat/>
    <w:uiPriority w:val="99"/>
    <w:pPr>
      <w:ind w:firstLine="0" w:firstLineChars="0"/>
      <w:jc w:val="center"/>
    </w:pPr>
    <w:rPr>
      <w:rFonts w:ascii="黑体" w:eastAsia="黑体"/>
    </w:rPr>
  </w:style>
  <w:style w:type="paragraph" w:customStyle="1" w:styleId="105">
    <w:name w:val="封面标准号2"/>
    <w:qFormat/>
    <w:uiPriority w:val="99"/>
    <w:pPr>
      <w:framePr w:w="9140" w:h="1242" w:hRule="exact" w:hSpace="284" w:wrap="auto" w:vAnchor="page" w:hAnchor="page" w:x="1645" w:y="2910" w:anchorLock="1"/>
      <w:spacing w:before="357" w:line="280" w:lineRule="exact"/>
      <w:jc w:val="right"/>
    </w:pPr>
    <w:rPr>
      <w:rFonts w:ascii="黑体" w:hAnsi="Times New Roman" w:eastAsia="黑体" w:cs="Times New Roman"/>
      <w:sz w:val="28"/>
      <w:szCs w:val="28"/>
      <w:lang w:val="en-US" w:eastAsia="zh-CN" w:bidi="ar-SA"/>
    </w:rPr>
  </w:style>
  <w:style w:type="paragraph" w:customStyle="1" w:styleId="106">
    <w:name w:val="一级无"/>
    <w:basedOn w:val="62"/>
    <w:qFormat/>
    <w:uiPriority w:val="99"/>
    <w:pPr>
      <w:spacing w:beforeLines="0" w:afterLines="0"/>
    </w:pPr>
    <w:rPr>
      <w:rFonts w:ascii="宋体" w:eastAsia="宋体"/>
    </w:rPr>
  </w:style>
  <w:style w:type="paragraph" w:customStyle="1" w:styleId="107">
    <w:name w:val="标准称谓"/>
    <w:next w:val="1"/>
    <w:qFormat/>
    <w:uiPriority w:val="99"/>
    <w:pPr>
      <w:framePr w:w="9639" w:h="624" w:hRule="exact" w:hSpace="181" w:vSpace="181" w:wrap="auto" w:vAnchor="page" w:hAnchor="page" w:x="1419" w:y="2286" w:anchorLock="1"/>
      <w:widowControl w:val="0"/>
      <w:kinsoku w:val="0"/>
      <w:overflowPunct w:val="0"/>
      <w:autoSpaceDE w:val="0"/>
      <w:autoSpaceDN w:val="0"/>
      <w:spacing w:line="240" w:lineRule="atLeast"/>
      <w:jc w:val="distribute"/>
    </w:pPr>
    <w:rPr>
      <w:rFonts w:ascii="宋体" w:hAnsi="Times New Roman" w:eastAsia="宋体" w:cs="Times New Roman"/>
      <w:b/>
      <w:bCs/>
      <w:spacing w:val="20"/>
      <w:w w:val="148"/>
      <w:sz w:val="48"/>
      <w:lang w:val="en-US" w:eastAsia="zh-CN" w:bidi="ar-SA"/>
    </w:rPr>
  </w:style>
  <w:style w:type="paragraph" w:customStyle="1" w:styleId="108">
    <w:name w:val="附录一级无"/>
    <w:basedOn w:val="65"/>
    <w:qFormat/>
    <w:uiPriority w:val="99"/>
    <w:pPr>
      <w:tabs>
        <w:tab w:val="clear" w:pos="360"/>
      </w:tabs>
      <w:spacing w:beforeLines="0" w:afterLines="0"/>
    </w:pPr>
    <w:rPr>
      <w:rFonts w:ascii="宋体" w:eastAsia="宋体"/>
      <w:szCs w:val="21"/>
    </w:rPr>
  </w:style>
  <w:style w:type="paragraph" w:customStyle="1" w:styleId="109">
    <w:name w:val="封面标准英文名称2"/>
    <w:basedOn w:val="69"/>
    <w:qFormat/>
    <w:uiPriority w:val="99"/>
    <w:pPr>
      <w:framePr w:y="4469"/>
    </w:pPr>
  </w:style>
  <w:style w:type="paragraph" w:customStyle="1" w:styleId="110">
    <w:name w:val="标准书脚_奇数页"/>
    <w:qFormat/>
    <w:uiPriority w:val="99"/>
    <w:pPr>
      <w:spacing w:before="120"/>
      <w:ind w:right="198"/>
      <w:jc w:val="right"/>
    </w:pPr>
    <w:rPr>
      <w:rFonts w:ascii="宋体" w:hAnsi="Times New Roman" w:eastAsia="宋体" w:cs="Times New Roman"/>
      <w:sz w:val="18"/>
      <w:szCs w:val="18"/>
      <w:lang w:val="en-US" w:eastAsia="zh-CN" w:bidi="ar-SA"/>
    </w:rPr>
  </w:style>
  <w:style w:type="paragraph" w:customStyle="1" w:styleId="111">
    <w:name w:val="标准书眉_奇数页"/>
    <w:next w:val="1"/>
    <w:qFormat/>
    <w:uiPriority w:val="99"/>
    <w:pPr>
      <w:tabs>
        <w:tab w:val="center" w:pos="4154"/>
        <w:tab w:val="right" w:pos="8306"/>
      </w:tabs>
      <w:spacing w:after="220"/>
      <w:jc w:val="right"/>
    </w:pPr>
    <w:rPr>
      <w:rFonts w:ascii="黑体" w:hAnsi="Times New Roman" w:eastAsia="黑体" w:cs="Times New Roman"/>
      <w:sz w:val="21"/>
      <w:szCs w:val="21"/>
      <w:lang w:val="en-US" w:eastAsia="zh-CN" w:bidi="ar-SA"/>
    </w:rPr>
  </w:style>
  <w:style w:type="paragraph" w:customStyle="1" w:styleId="112">
    <w:name w:val="列项——（一级）"/>
    <w:uiPriority w:val="99"/>
    <w:pPr>
      <w:widowControl w:val="0"/>
      <w:numPr>
        <w:ilvl w:val="0"/>
        <w:numId w:val="6"/>
      </w:numPr>
      <w:jc w:val="both"/>
    </w:pPr>
    <w:rPr>
      <w:rFonts w:ascii="宋体" w:hAnsi="Times New Roman" w:eastAsia="宋体" w:cs="Times New Roman"/>
      <w:sz w:val="21"/>
      <w:lang w:val="en-US" w:eastAsia="zh-CN" w:bidi="ar-SA"/>
    </w:rPr>
  </w:style>
  <w:style w:type="paragraph" w:customStyle="1" w:styleId="113">
    <w:name w:val="封面正文"/>
    <w:qFormat/>
    <w:uiPriority w:val="99"/>
    <w:pPr>
      <w:jc w:val="both"/>
    </w:pPr>
    <w:rPr>
      <w:rFonts w:ascii="Times New Roman" w:hAnsi="Times New Roman" w:eastAsia="宋体" w:cs="Times New Roman"/>
      <w:lang w:val="en-US" w:eastAsia="zh-CN" w:bidi="ar-SA"/>
    </w:rPr>
  </w:style>
  <w:style w:type="paragraph" w:customStyle="1" w:styleId="114">
    <w:name w:val="五级条标题"/>
    <w:basedOn w:val="89"/>
    <w:next w:val="24"/>
    <w:qFormat/>
    <w:uiPriority w:val="99"/>
    <w:pPr>
      <w:numPr>
        <w:ilvl w:val="5"/>
      </w:numPr>
      <w:outlineLvl w:val="6"/>
    </w:pPr>
  </w:style>
  <w:style w:type="paragraph" w:customStyle="1" w:styleId="115">
    <w:name w:val="标准书眉_偶数页"/>
    <w:basedOn w:val="111"/>
    <w:next w:val="1"/>
    <w:qFormat/>
    <w:uiPriority w:val="99"/>
    <w:pPr>
      <w:jc w:val="left"/>
    </w:pPr>
  </w:style>
  <w:style w:type="paragraph" w:customStyle="1" w:styleId="116">
    <w:name w:val="目次、标准名称标题"/>
    <w:basedOn w:val="1"/>
    <w:next w:val="24"/>
    <w:qFormat/>
    <w:uiPriority w:val="99"/>
    <w:pPr>
      <w:keepNext/>
      <w:pageBreakBefore/>
      <w:widowControl/>
      <w:shd w:val="clear" w:color="FFFFFF" w:fill="FFFFFF"/>
      <w:spacing w:before="640" w:after="560" w:line="460" w:lineRule="exact"/>
      <w:jc w:val="center"/>
      <w:outlineLvl w:val="0"/>
    </w:pPr>
    <w:rPr>
      <w:rFonts w:ascii="黑体" w:eastAsia="黑体"/>
      <w:kern w:val="0"/>
      <w:sz w:val="32"/>
      <w:szCs w:val="20"/>
    </w:rPr>
  </w:style>
  <w:style w:type="paragraph" w:customStyle="1" w:styleId="117">
    <w:name w:val="封面标准名称2"/>
    <w:basedOn w:val="70"/>
    <w:qFormat/>
    <w:uiPriority w:val="99"/>
    <w:pPr>
      <w:framePr w:y="4469"/>
      <w:spacing w:beforeLines="630"/>
    </w:pPr>
  </w:style>
  <w:style w:type="paragraph" w:customStyle="1" w:styleId="118">
    <w:name w:val="附录五级无"/>
    <w:basedOn w:val="119"/>
    <w:qFormat/>
    <w:uiPriority w:val="99"/>
    <w:pPr>
      <w:tabs>
        <w:tab w:val="left" w:pos="360"/>
      </w:tabs>
      <w:spacing w:beforeLines="0" w:afterLines="0"/>
    </w:pPr>
    <w:rPr>
      <w:rFonts w:ascii="宋体" w:eastAsia="宋体"/>
      <w:szCs w:val="21"/>
    </w:rPr>
  </w:style>
  <w:style w:type="paragraph" w:customStyle="1" w:styleId="119">
    <w:name w:val="附录五级条标题"/>
    <w:basedOn w:val="81"/>
    <w:next w:val="24"/>
    <w:qFormat/>
    <w:uiPriority w:val="99"/>
    <w:pPr>
      <w:numPr>
        <w:ilvl w:val="6"/>
      </w:numPr>
      <w:outlineLvl w:val="6"/>
    </w:pPr>
  </w:style>
  <w:style w:type="paragraph" w:customStyle="1" w:styleId="120">
    <w:name w:val="列项●（二级）"/>
    <w:qFormat/>
    <w:uiPriority w:val="99"/>
    <w:pPr>
      <w:numPr>
        <w:ilvl w:val="1"/>
        <w:numId w:val="6"/>
      </w:numPr>
      <w:tabs>
        <w:tab w:val="left" w:pos="840"/>
      </w:tabs>
      <w:jc w:val="both"/>
    </w:pPr>
    <w:rPr>
      <w:rFonts w:ascii="宋体" w:hAnsi="Times New Roman" w:eastAsia="宋体" w:cs="Times New Roman"/>
      <w:sz w:val="21"/>
      <w:lang w:val="en-US" w:eastAsia="zh-CN" w:bidi="ar-SA"/>
    </w:rPr>
  </w:style>
  <w:style w:type="paragraph" w:customStyle="1" w:styleId="121">
    <w:name w:val="其他发布日期"/>
    <w:basedOn w:val="103"/>
    <w:qFormat/>
    <w:uiPriority w:val="99"/>
    <w:pPr>
      <w:framePr w:vAnchor="page" w:hAnchor="text" w:x="1419"/>
    </w:pPr>
  </w:style>
  <w:style w:type="paragraph" w:customStyle="1" w:styleId="122">
    <w:name w:val="标准书脚_偶数页"/>
    <w:qFormat/>
    <w:uiPriority w:val="99"/>
    <w:pPr>
      <w:spacing w:before="120"/>
      <w:ind w:left="221"/>
    </w:pPr>
    <w:rPr>
      <w:rFonts w:ascii="宋体" w:hAnsi="Times New Roman" w:eastAsia="宋体" w:cs="Times New Roman"/>
      <w:sz w:val="18"/>
      <w:szCs w:val="18"/>
      <w:lang w:val="en-US" w:eastAsia="zh-CN" w:bidi="ar-SA"/>
    </w:rPr>
  </w:style>
  <w:style w:type="paragraph" w:customStyle="1" w:styleId="123">
    <w:name w:val="三级无"/>
    <w:basedOn w:val="60"/>
    <w:qFormat/>
    <w:uiPriority w:val="99"/>
    <w:pPr>
      <w:spacing w:beforeLines="0" w:afterLines="0"/>
    </w:pPr>
    <w:rPr>
      <w:rFonts w:ascii="宋体" w:eastAsia="宋体"/>
    </w:rPr>
  </w:style>
  <w:style w:type="paragraph" w:customStyle="1" w:styleId="124">
    <w:name w:val="二级无"/>
    <w:basedOn w:val="61"/>
    <w:uiPriority w:val="99"/>
    <w:pPr>
      <w:spacing w:beforeLines="0" w:afterLines="0"/>
    </w:pPr>
    <w:rPr>
      <w:rFonts w:ascii="宋体" w:eastAsia="宋体"/>
    </w:rPr>
  </w:style>
  <w:style w:type="paragraph" w:customStyle="1" w:styleId="125">
    <w:name w:val="封面一致性程度标识2"/>
    <w:basedOn w:val="68"/>
    <w:qFormat/>
    <w:uiPriority w:val="99"/>
    <w:pPr>
      <w:framePr w:y="4469"/>
    </w:pPr>
  </w:style>
  <w:style w:type="paragraph" w:customStyle="1" w:styleId="126">
    <w:name w:val="目次、索引正文"/>
    <w:uiPriority w:val="99"/>
    <w:pPr>
      <w:spacing w:line="320" w:lineRule="exact"/>
      <w:jc w:val="both"/>
    </w:pPr>
    <w:rPr>
      <w:rFonts w:ascii="宋体" w:hAnsi="Times New Roman" w:eastAsia="宋体" w:cs="Times New Roman"/>
      <w:sz w:val="21"/>
      <w:lang w:val="en-US" w:eastAsia="zh-CN" w:bidi="ar-SA"/>
    </w:rPr>
  </w:style>
  <w:style w:type="paragraph" w:customStyle="1" w:styleId="127">
    <w:name w:val="参考文献、索引标题"/>
    <w:basedOn w:val="1"/>
    <w:next w:val="24"/>
    <w:uiPriority w:val="99"/>
    <w:pPr>
      <w:keepNext/>
      <w:pageBreakBefore/>
      <w:widowControl/>
      <w:shd w:val="clear" w:color="FFFFFF" w:fill="FFFFFF"/>
      <w:spacing w:before="640" w:after="200"/>
      <w:jc w:val="center"/>
      <w:outlineLvl w:val="0"/>
    </w:pPr>
    <w:rPr>
      <w:rFonts w:ascii="黑体" w:eastAsia="黑体"/>
      <w:kern w:val="0"/>
      <w:szCs w:val="20"/>
    </w:rPr>
  </w:style>
  <w:style w:type="paragraph" w:customStyle="1" w:styleId="128">
    <w:name w:val="其他发布部门"/>
    <w:basedOn w:val="95"/>
    <w:uiPriority w:val="99"/>
    <w:pPr>
      <w:framePr w:y="15310"/>
      <w:spacing w:line="240" w:lineRule="atLeast"/>
    </w:pPr>
    <w:rPr>
      <w:rFonts w:ascii="黑体" w:eastAsia="黑体"/>
      <w:b w:val="0"/>
    </w:rPr>
  </w:style>
  <w:style w:type="paragraph" w:customStyle="1" w:styleId="129">
    <w:name w:val="封面标准文稿编辑信息2"/>
    <w:basedOn w:val="100"/>
    <w:qFormat/>
    <w:uiPriority w:val="99"/>
    <w:pPr>
      <w:framePr w:y="4469"/>
    </w:pPr>
  </w:style>
  <w:style w:type="paragraph" w:customStyle="1" w:styleId="130">
    <w:name w:val="列项说明"/>
    <w:basedOn w:val="1"/>
    <w:qFormat/>
    <w:uiPriority w:val="99"/>
    <w:pPr>
      <w:adjustRightInd w:val="0"/>
      <w:spacing w:line="320" w:lineRule="exact"/>
      <w:ind w:left="400" w:leftChars="200" w:hanging="200" w:hangingChars="200"/>
      <w:jc w:val="left"/>
      <w:textAlignment w:val="baseline"/>
    </w:pPr>
    <w:rPr>
      <w:rFonts w:ascii="宋体"/>
      <w:kern w:val="0"/>
      <w:szCs w:val="20"/>
    </w:rPr>
  </w:style>
  <w:style w:type="paragraph" w:customStyle="1" w:styleId="131">
    <w:name w:val="附录标识"/>
    <w:basedOn w:val="1"/>
    <w:next w:val="24"/>
    <w:qFormat/>
    <w:uiPriority w:val="99"/>
    <w:pPr>
      <w:keepNext/>
      <w:widowControl/>
      <w:numPr>
        <w:ilvl w:val="0"/>
        <w:numId w:val="5"/>
      </w:numPr>
      <w:shd w:val="clear" w:color="FFFFFF" w:fill="FFFFFF"/>
      <w:tabs>
        <w:tab w:val="left" w:pos="360"/>
        <w:tab w:val="left" w:pos="6405"/>
      </w:tabs>
      <w:spacing w:before="640" w:after="280"/>
      <w:jc w:val="center"/>
      <w:outlineLvl w:val="0"/>
    </w:pPr>
    <w:rPr>
      <w:rFonts w:ascii="黑体" w:eastAsia="黑体"/>
      <w:kern w:val="0"/>
      <w:szCs w:val="20"/>
    </w:rPr>
  </w:style>
  <w:style w:type="paragraph" w:customStyle="1" w:styleId="132">
    <w:name w:val="四级无"/>
    <w:basedOn w:val="89"/>
    <w:qFormat/>
    <w:uiPriority w:val="99"/>
    <w:pPr>
      <w:spacing w:beforeLines="0" w:afterLines="0"/>
    </w:pPr>
    <w:rPr>
      <w:rFonts w:ascii="宋体" w:eastAsia="宋体"/>
    </w:rPr>
  </w:style>
  <w:style w:type="paragraph" w:customStyle="1" w:styleId="133">
    <w:name w:val="附录表标号"/>
    <w:basedOn w:val="1"/>
    <w:next w:val="24"/>
    <w:qFormat/>
    <w:uiPriority w:val="99"/>
    <w:pPr>
      <w:numPr>
        <w:ilvl w:val="0"/>
        <w:numId w:val="13"/>
      </w:numPr>
      <w:tabs>
        <w:tab w:val="clear" w:pos="0"/>
      </w:tabs>
      <w:spacing w:line="14" w:lineRule="exact"/>
      <w:ind w:left="811" w:hanging="448"/>
      <w:jc w:val="center"/>
      <w:outlineLvl w:val="0"/>
    </w:pPr>
    <w:rPr>
      <w:color w:val="FFFFFF"/>
    </w:rPr>
  </w:style>
  <w:style w:type="paragraph" w:customStyle="1" w:styleId="134">
    <w:name w:val="图表脚注说明"/>
    <w:basedOn w:val="1"/>
    <w:uiPriority w:val="99"/>
    <w:pPr>
      <w:numPr>
        <w:ilvl w:val="0"/>
        <w:numId w:val="14"/>
      </w:numPr>
    </w:pPr>
    <w:rPr>
      <w:rFonts w:ascii="宋体"/>
      <w:sz w:val="18"/>
      <w:szCs w:val="18"/>
    </w:rPr>
  </w:style>
  <w:style w:type="paragraph" w:customStyle="1" w:styleId="135">
    <w:name w:val="附录表标题"/>
    <w:basedOn w:val="1"/>
    <w:next w:val="24"/>
    <w:qFormat/>
    <w:uiPriority w:val="99"/>
    <w:pPr>
      <w:numPr>
        <w:ilvl w:val="1"/>
        <w:numId w:val="13"/>
      </w:numPr>
      <w:tabs>
        <w:tab w:val="left" w:pos="180"/>
      </w:tabs>
      <w:spacing w:beforeLines="50" w:afterLines="50"/>
      <w:ind w:left="0" w:firstLine="0"/>
      <w:jc w:val="center"/>
    </w:pPr>
    <w:rPr>
      <w:rFonts w:ascii="黑体" w:eastAsia="黑体"/>
      <w:szCs w:val="21"/>
    </w:rPr>
  </w:style>
  <w:style w:type="paragraph" w:customStyle="1" w:styleId="136">
    <w:name w:val="终结线"/>
    <w:basedOn w:val="1"/>
    <w:uiPriority w:val="99"/>
    <w:pPr>
      <w:framePr w:hSpace="181" w:vSpace="181" w:wrap="auto" w:vAnchor="text" w:hAnchor="margin" w:xAlign="center" w:y="285"/>
    </w:pPr>
  </w:style>
  <w:style w:type="paragraph" w:customStyle="1" w:styleId="137">
    <w:name w:val="附录二级无"/>
    <w:basedOn w:val="83"/>
    <w:qFormat/>
    <w:uiPriority w:val="99"/>
    <w:pPr>
      <w:tabs>
        <w:tab w:val="clear" w:pos="360"/>
      </w:tabs>
      <w:spacing w:beforeLines="0" w:afterLines="0"/>
    </w:pPr>
    <w:rPr>
      <w:rFonts w:ascii="宋体" w:eastAsia="宋体"/>
      <w:szCs w:val="21"/>
    </w:rPr>
  </w:style>
  <w:style w:type="paragraph" w:customStyle="1" w:styleId="138">
    <w:name w:val="其他标准标志"/>
    <w:basedOn w:val="88"/>
    <w:qFormat/>
    <w:uiPriority w:val="99"/>
    <w:pPr>
      <w:framePr w:w="6101" w:vAnchor="page" w:hAnchor="page" w:x="4673" w:y="942"/>
    </w:pPr>
    <w:rPr>
      <w:w w:val="130"/>
    </w:rPr>
  </w:style>
  <w:style w:type="paragraph" w:customStyle="1" w:styleId="139">
    <w:name w:val="附录三级无"/>
    <w:basedOn w:val="82"/>
    <w:uiPriority w:val="99"/>
    <w:pPr>
      <w:tabs>
        <w:tab w:val="clear" w:pos="360"/>
      </w:tabs>
      <w:spacing w:beforeLines="0" w:afterLines="0"/>
    </w:pPr>
    <w:rPr>
      <w:rFonts w:ascii="宋体" w:eastAsia="宋体"/>
      <w:szCs w:val="21"/>
    </w:rPr>
  </w:style>
  <w:style w:type="paragraph" w:customStyle="1" w:styleId="140">
    <w:name w:val="附录数字编号列项（二级）"/>
    <w:uiPriority w:val="99"/>
    <w:pPr>
      <w:numPr>
        <w:ilvl w:val="1"/>
        <w:numId w:val="15"/>
      </w:numPr>
    </w:pPr>
    <w:rPr>
      <w:rFonts w:ascii="宋体" w:hAnsi="Times New Roman" w:eastAsia="宋体" w:cs="Times New Roman"/>
      <w:sz w:val="21"/>
      <w:lang w:val="en-US" w:eastAsia="zh-CN" w:bidi="ar-SA"/>
    </w:rPr>
  </w:style>
  <w:style w:type="paragraph" w:customStyle="1" w:styleId="141">
    <w:name w:val="五级无"/>
    <w:basedOn w:val="114"/>
    <w:qFormat/>
    <w:uiPriority w:val="99"/>
    <w:pPr>
      <w:spacing w:beforeLines="0" w:afterLines="0"/>
    </w:pPr>
    <w:rPr>
      <w:rFonts w:ascii="宋体" w:eastAsia="宋体"/>
    </w:rPr>
  </w:style>
  <w:style w:type="paragraph" w:customStyle="1" w:styleId="142">
    <w:name w:val="附录图标题"/>
    <w:basedOn w:val="1"/>
    <w:next w:val="24"/>
    <w:qFormat/>
    <w:uiPriority w:val="99"/>
    <w:pPr>
      <w:numPr>
        <w:ilvl w:val="1"/>
        <w:numId w:val="11"/>
      </w:numPr>
      <w:tabs>
        <w:tab w:val="left" w:pos="363"/>
      </w:tabs>
      <w:spacing w:beforeLines="50" w:afterLines="50"/>
      <w:ind w:left="0" w:firstLine="0"/>
      <w:jc w:val="center"/>
    </w:pPr>
    <w:rPr>
      <w:rFonts w:ascii="黑体" w:eastAsia="黑体"/>
      <w:szCs w:val="21"/>
    </w:rPr>
  </w:style>
  <w:style w:type="paragraph" w:customStyle="1" w:styleId="143">
    <w:name w:val="附录字母编号列项（一级）"/>
    <w:qFormat/>
    <w:uiPriority w:val="99"/>
    <w:pPr>
      <w:numPr>
        <w:ilvl w:val="0"/>
        <w:numId w:val="15"/>
      </w:numPr>
    </w:pPr>
    <w:rPr>
      <w:rFonts w:ascii="宋体" w:hAnsi="Times New Roman" w:eastAsia="宋体" w:cs="Times New Roman"/>
      <w:sz w:val="21"/>
      <w:lang w:val="en-US" w:eastAsia="zh-CN" w:bidi="ar-SA"/>
    </w:rPr>
  </w:style>
  <w:style w:type="paragraph" w:customStyle="1" w:styleId="144">
    <w:name w:val="文献分类号"/>
    <w:qFormat/>
    <w:uiPriority w:val="99"/>
    <w:pPr>
      <w:framePr w:hSpace="180" w:vSpace="180" w:wrap="auto" w:vAnchor="margin" w:hAnchor="margin" w:y="1" w:anchorLock="1"/>
      <w:widowControl w:val="0"/>
      <w:textAlignment w:val="center"/>
    </w:pPr>
    <w:rPr>
      <w:rFonts w:ascii="黑体" w:hAnsi="Times New Roman" w:eastAsia="黑体" w:cs="Times New Roman"/>
      <w:sz w:val="21"/>
      <w:szCs w:val="21"/>
      <w:lang w:val="en-US" w:eastAsia="zh-CN" w:bidi="ar-SA"/>
    </w:rPr>
  </w:style>
  <w:style w:type="paragraph" w:customStyle="1" w:styleId="145">
    <w:name w:val="正文表标题"/>
    <w:next w:val="24"/>
    <w:qFormat/>
    <w:uiPriority w:val="99"/>
    <w:pPr>
      <w:numPr>
        <w:ilvl w:val="0"/>
        <w:numId w:val="16"/>
      </w:numPr>
      <w:tabs>
        <w:tab w:val="left" w:pos="360"/>
      </w:tabs>
      <w:spacing w:beforeLines="50" w:afterLines="50"/>
      <w:jc w:val="center"/>
    </w:pPr>
    <w:rPr>
      <w:rFonts w:ascii="黑体" w:hAnsi="Times New Roman" w:eastAsia="黑体" w:cs="Times New Roman"/>
      <w:sz w:val="21"/>
      <w:lang w:val="en-US" w:eastAsia="zh-CN" w:bidi="ar-SA"/>
    </w:rPr>
  </w:style>
  <w:style w:type="paragraph" w:customStyle="1" w:styleId="146">
    <w:name w:val="其他实施日期"/>
    <w:basedOn w:val="102"/>
    <w:uiPriority w:val="99"/>
  </w:style>
  <w:style w:type="paragraph" w:customStyle="1" w:styleId="147">
    <w:name w:val="封面标准文稿类别2"/>
    <w:basedOn w:val="101"/>
    <w:qFormat/>
    <w:uiPriority w:val="99"/>
    <w:pPr>
      <w:framePr w:y="4469"/>
    </w:pPr>
  </w:style>
  <w:style w:type="paragraph" w:customStyle="1" w:styleId="148">
    <w:name w:val="Default"/>
    <w:qFormat/>
    <w:uiPriority w:val="99"/>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149">
    <w:name w:val="TOC 标题1"/>
    <w:basedOn w:val="2"/>
    <w:next w:val="1"/>
    <w:qFormat/>
    <w:uiPriority w:val="99"/>
    <w:pPr>
      <w:widowControl/>
      <w:spacing w:before="480" w:after="0" w:line="276" w:lineRule="auto"/>
      <w:jc w:val="left"/>
      <w:outlineLvl w:val="9"/>
    </w:pPr>
    <w:rPr>
      <w:rFonts w:ascii="Cambria" w:hAnsi="Cambria"/>
      <w:color w:val="365F91"/>
      <w:kern w:val="0"/>
      <w:sz w:val="28"/>
      <w:szCs w:val="28"/>
    </w:rPr>
  </w:style>
  <w:style w:type="paragraph" w:styleId="150">
    <w:name w:val="List Paragraph"/>
    <w:basedOn w:val="1"/>
    <w:qFormat/>
    <w:uiPriority w:val="99"/>
    <w:pPr>
      <w:ind w:firstLine="420" w:firstLineChars="200"/>
    </w:pPr>
  </w:style>
  <w:style w:type="paragraph" w:customStyle="1" w:styleId="151">
    <w:name w:val="TOC 标题11"/>
    <w:basedOn w:val="2"/>
    <w:next w:val="1"/>
    <w:qFormat/>
    <w:uiPriority w:val="99"/>
    <w:pPr>
      <w:widowControl/>
      <w:spacing w:before="480" w:after="0" w:line="276" w:lineRule="auto"/>
      <w:jc w:val="left"/>
      <w:outlineLvl w:val="9"/>
    </w:pPr>
    <w:rPr>
      <w:rFonts w:ascii="Cambria" w:hAnsi="Cambria"/>
      <w:color w:val="365F91"/>
      <w:kern w:val="0"/>
      <w:sz w:val="28"/>
      <w:szCs w:val="28"/>
    </w:rPr>
  </w:style>
  <w:style w:type="character" w:styleId="152">
    <w:name w:val="Placeholder Text"/>
    <w:basedOn w:val="35"/>
    <w:semiHidden/>
    <w:qFormat/>
    <w:uiPriority w:val="99"/>
    <w:rPr>
      <w:color w:val="808080"/>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4A61A01-A7A4-460C-ADE7-2FD6D41B9876}">
  <ds:schemaRefs/>
</ds:datastoreItem>
</file>

<file path=docProps/app.xml><?xml version="1.0" encoding="utf-8"?>
<Properties xmlns="http://schemas.openxmlformats.org/officeDocument/2006/extended-properties" xmlns:vt="http://schemas.openxmlformats.org/officeDocument/2006/docPropsVTypes">
  <Template>Normal</Template>
  <Company>CABR</Company>
  <Pages>8</Pages>
  <Words>642</Words>
  <Characters>3665</Characters>
  <Lines>30</Lines>
  <Paragraphs>8</Paragraphs>
  <TotalTime>2</TotalTime>
  <ScaleCrop>false</ScaleCrop>
  <LinksUpToDate>false</LinksUpToDate>
  <CharactersWithSpaces>4299</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2023-06-18T02:43:00Z</dcterms:created>
  <dc:creator>CNIS</dc:creator>
  <cp:lastModifiedBy>Linna</cp:lastModifiedBy>
  <cp:lastPrinted>2019-12-02T00:48:00Z</cp:lastPrinted>
  <dcterms:modified xsi:type="dcterms:W3CDTF">2023-12-04T02:27:06Z</dcterms:modified>
  <dc:title>标准名称</dc:title>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88CAE6611FB14C1D906AF9824828FEF3</vt:lpwstr>
  </property>
</Properties>
</file>