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color w:val="000000" w:themeColor="text1"/>
          <w14:textFill>
            <w14:solidFill>
              <w14:schemeClr w14:val="tx1"/>
            </w14:solidFill>
          </w14:textFill>
        </w:rPr>
      </w:pPr>
      <w:r>
        <w:drawing>
          <wp:anchor distT="0" distB="0" distL="114300" distR="114300" simplePos="0" relativeHeight="251661312" behindDoc="0" locked="0" layoutInCell="1" allowOverlap="1">
            <wp:simplePos x="0" y="0"/>
            <wp:positionH relativeFrom="column">
              <wp:posOffset>73660</wp:posOffset>
            </wp:positionH>
            <wp:positionV relativeFrom="paragraph">
              <wp:posOffset>-134620</wp:posOffset>
            </wp:positionV>
            <wp:extent cx="1356995" cy="897255"/>
            <wp:effectExtent l="0" t="0" r="14605" b="17145"/>
            <wp:wrapNone/>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24"/>
                    <a:stretch>
                      <a:fillRect/>
                    </a:stretch>
                  </pic:blipFill>
                  <pic:spPr>
                    <a:xfrm>
                      <a:off x="0" y="0"/>
                      <a:ext cx="1356995" cy="897255"/>
                    </a:xfrm>
                    <a:prstGeom prst="rect">
                      <a:avLst/>
                    </a:prstGeom>
                    <a:noFill/>
                    <a:ln>
                      <a:noFill/>
                    </a:ln>
                  </pic:spPr>
                </pic:pic>
              </a:graphicData>
            </a:graphic>
          </wp:anchor>
        </w:drawing>
      </w:r>
    </w:p>
    <w:p>
      <w:pPr>
        <w:spacing w:line="240" w:lineRule="auto"/>
        <w:ind w:firstLine="723"/>
        <w:jc w:val="right"/>
        <w:rPr>
          <w:color w:val="000000" w:themeColor="text1"/>
          <w:sz w:val="28"/>
          <w:szCs w:val="28"/>
          <w14:textFill>
            <w14:solidFill>
              <w14:schemeClr w14:val="tx1"/>
            </w14:solidFill>
          </w14:textFill>
        </w:rPr>
      </w:pPr>
      <w:r>
        <w:rPr>
          <w:b/>
          <w:bCs/>
          <w:kern w:val="0"/>
          <w:sz w:val="36"/>
          <w:szCs w:val="36"/>
        </w:rPr>
        <w:t xml:space="preserve">T/CECS </w:t>
      </w:r>
      <w:r>
        <w:rPr>
          <w:kern w:val="0"/>
          <w:sz w:val="36"/>
          <w:szCs w:val="36"/>
        </w:rPr>
        <w:t>XXX- 202X</w:t>
      </w:r>
    </w:p>
    <w:p>
      <w:pPr>
        <w:ind w:firstLine="480"/>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104775</wp:posOffset>
                </wp:positionH>
                <wp:positionV relativeFrom="paragraph">
                  <wp:posOffset>71755</wp:posOffset>
                </wp:positionV>
                <wp:extent cx="5156835" cy="2540"/>
                <wp:effectExtent l="0" t="0" r="0" b="0"/>
                <wp:wrapNone/>
                <wp:docPr id="2" name="直接连接符 41"/>
                <wp:cNvGraphicFramePr/>
                <a:graphic xmlns:a="http://schemas.openxmlformats.org/drawingml/2006/main">
                  <a:graphicData uri="http://schemas.microsoft.com/office/word/2010/wordprocessingShape">
                    <wps:wsp>
                      <wps:cNvCnPr>
                        <a:cxnSpLocks noChangeShapeType="1"/>
                      </wps:cNvCnPr>
                      <wps:spPr bwMode="auto">
                        <a:xfrm flipV="1">
                          <a:off x="0" y="0"/>
                          <a:ext cx="5156835" cy="2540"/>
                        </a:xfrm>
                        <a:prstGeom prst="straightConnector1">
                          <a:avLst/>
                        </a:prstGeom>
                        <a:noFill/>
                        <a:ln w="15875">
                          <a:solidFill>
                            <a:srgbClr val="000000"/>
                          </a:solidFill>
                          <a:miter lim="800000"/>
                        </a:ln>
                      </wps:spPr>
                      <wps:bodyPr/>
                    </wps:wsp>
                  </a:graphicData>
                </a:graphic>
              </wp:anchor>
            </w:drawing>
          </mc:Choice>
          <mc:Fallback>
            <w:pict>
              <v:shape id="直接连接符 41" o:spid="_x0000_s1026" o:spt="32" type="#_x0000_t32" style="position:absolute;left:0pt;flip:y;margin-left:8.25pt;margin-top:5.65pt;height:0.2pt;width:406.05pt;z-index:251660288;mso-width-relative:page;mso-height-relative:page;" filled="f" stroked="t" coordsize="21600,21600" o:gfxdata="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ye0or1wAAAAgBAAAPAAAAAAAAAAEAIAAAACIAAABkcnMvZG93bnJl&#10;di54bWxQSwECFAAUAAAACACHTuJAzhJy7f4BAADUAwAADgAAAAAAAAABACAAAAAmAQAAZHJzL2Uy&#10;b0RvYy54bWxQSwUGAAAAAAYABgBZAQAAlgUAAAAA&#10;">
                <v:fill on="f" focussize="0,0"/>
                <v:stroke weight="1.25pt" color="#000000" miterlimit="8" joinstyle="miter"/>
                <v:imagedata o:title=""/>
                <o:lock v:ext="edit" aspectratio="f"/>
              </v:shape>
            </w:pict>
          </mc:Fallback>
        </mc:AlternateContent>
      </w:r>
    </w:p>
    <w:p>
      <w:pPr>
        <w:pStyle w:val="4"/>
        <w:ind w:firstLine="723"/>
        <w:rPr>
          <w:b/>
          <w:color w:val="000000" w:themeColor="text1"/>
          <w:sz w:val="36"/>
          <w:szCs w:val="36"/>
          <w14:textFill>
            <w14:solidFill>
              <w14:schemeClr w14:val="tx1"/>
            </w14:solidFill>
          </w14:textFill>
        </w:rPr>
      </w:pPr>
    </w:p>
    <w:p>
      <w:pPr>
        <w:pStyle w:val="4"/>
        <w:ind w:firstLine="723"/>
        <w:rPr>
          <w:b/>
          <w:color w:val="000000" w:themeColor="text1"/>
          <w:sz w:val="36"/>
          <w:szCs w:val="36"/>
          <w14:textFill>
            <w14:solidFill>
              <w14:schemeClr w14:val="tx1"/>
            </w14:solidFill>
          </w14:textFill>
        </w:rPr>
      </w:pPr>
    </w:p>
    <w:p>
      <w:pPr>
        <w:pStyle w:val="4"/>
        <w:ind w:firstLine="723"/>
        <w:rPr>
          <w:b/>
          <w:color w:val="000000" w:themeColor="text1"/>
          <w:sz w:val="36"/>
          <w:szCs w:val="36"/>
          <w14:textFill>
            <w14:solidFill>
              <w14:schemeClr w14:val="tx1"/>
            </w14:solidFill>
          </w14:textFill>
        </w:rPr>
      </w:pPr>
    </w:p>
    <w:p>
      <w:pPr>
        <w:pStyle w:val="4"/>
        <w:ind w:firstLine="0" w:firstLineChars="0"/>
        <w:jc w:val="center"/>
        <w:rPr>
          <w:rFonts w:ascii="黑体" w:hAnsi="黑体" w:eastAsia="黑体" w:cs="黑体"/>
          <w:b/>
          <w:color w:val="000000" w:themeColor="text1"/>
          <w:sz w:val="52"/>
          <w:szCs w:val="52"/>
          <w14:textFill>
            <w14:solidFill>
              <w14:schemeClr w14:val="tx1"/>
            </w14:solidFill>
          </w14:textFill>
        </w:rPr>
      </w:pPr>
      <w:r>
        <w:rPr>
          <w:rFonts w:hint="eastAsia" w:ascii="宋体" w:hAnsi="宋体" w:cs="宋体"/>
          <w:bCs/>
          <w:color w:val="000000" w:themeColor="text1"/>
          <w:sz w:val="28"/>
          <w:szCs w:val="28"/>
          <w14:textFill>
            <w14:solidFill>
              <w14:schemeClr w14:val="tx1"/>
            </w14:solidFill>
          </w14:textFill>
        </w:rPr>
        <w:t>中国工程建设标准化协会标准</w:t>
      </w:r>
    </w:p>
    <w:p>
      <w:pPr>
        <w:pStyle w:val="4"/>
        <w:ind w:firstLine="723"/>
        <w:rPr>
          <w:b/>
          <w:color w:val="000000" w:themeColor="text1"/>
          <w:sz w:val="36"/>
          <w:szCs w:val="36"/>
          <w14:textFill>
            <w14:solidFill>
              <w14:schemeClr w14:val="tx1"/>
            </w14:solidFill>
          </w14:textFill>
        </w:rPr>
      </w:pPr>
    </w:p>
    <w:p>
      <w:pPr>
        <w:pStyle w:val="4"/>
        <w:ind w:firstLine="723"/>
        <w:rPr>
          <w:b/>
          <w:color w:val="000000" w:themeColor="text1"/>
          <w:sz w:val="36"/>
          <w:szCs w:val="36"/>
          <w14:textFill>
            <w14:solidFill>
              <w14:schemeClr w14:val="tx1"/>
            </w14:solidFill>
          </w14:textFill>
        </w:rPr>
      </w:pPr>
    </w:p>
    <w:p>
      <w:pPr>
        <w:bidi w:val="0"/>
        <w:ind w:left="0" w:leftChars="0" w:firstLine="0" w:firstLineChars="0"/>
        <w:jc w:val="center"/>
        <w:rPr>
          <w:rFonts w:hint="eastAsia" w:ascii="黑体" w:hAnsi="黑体" w:eastAsia="黑体" w:cs="黑体"/>
          <w:sz w:val="44"/>
          <w:szCs w:val="44"/>
        </w:rPr>
      </w:pPr>
      <w:bookmarkStart w:id="0" w:name="_Toc9136"/>
      <w:r>
        <w:rPr>
          <w:rFonts w:hint="eastAsia" w:ascii="黑体" w:hAnsi="黑体" w:eastAsia="黑体" w:cs="黑体"/>
          <w:sz w:val="44"/>
          <w:szCs w:val="44"/>
        </w:rPr>
        <w:t>河湖底泥洗脱净化工程设计标准</w:t>
      </w:r>
      <w:bookmarkEnd w:id="0"/>
    </w:p>
    <w:p>
      <w:pPr>
        <w:bidi w:val="0"/>
        <w:ind w:left="0" w:leftChars="0" w:firstLine="0" w:firstLineChars="0"/>
        <w:jc w:val="center"/>
        <w:rPr>
          <w:rFonts w:hint="eastAsia" w:ascii="黑体" w:hAnsi="黑体" w:eastAsia="黑体" w:cs="黑体"/>
          <w:sz w:val="44"/>
          <w:szCs w:val="44"/>
        </w:rPr>
      </w:pPr>
      <w:r>
        <w:rPr>
          <w:rFonts w:hint="eastAsia"/>
        </w:rPr>
        <w:t>Design standard of river and lake sediment elution and purification engineering</w:t>
      </w:r>
    </w:p>
    <w:p>
      <w:pPr>
        <w:bidi w:val="0"/>
        <w:ind w:left="0" w:leftChars="0" w:firstLine="0" w:firstLineChars="0"/>
        <w:jc w:val="center"/>
        <w:rPr>
          <w:b/>
          <w:bCs/>
          <w:sz w:val="36"/>
          <w:szCs w:val="36"/>
        </w:rPr>
      </w:pPr>
      <w:bookmarkStart w:id="1" w:name="_Toc27440"/>
      <w:r>
        <w:rPr>
          <w:rFonts w:hint="eastAsia"/>
          <w:b/>
          <w:bCs/>
          <w:sz w:val="36"/>
          <w:szCs w:val="36"/>
        </w:rPr>
        <w:t>（</w:t>
      </w:r>
      <w:r>
        <w:rPr>
          <w:rFonts w:hint="eastAsia"/>
          <w:b/>
          <w:bCs/>
          <w:sz w:val="36"/>
          <w:szCs w:val="36"/>
          <w:lang w:val="en-US" w:eastAsia="zh-CN"/>
        </w:rPr>
        <w:t>征求意见</w:t>
      </w:r>
      <w:r>
        <w:rPr>
          <w:rFonts w:hint="eastAsia"/>
          <w:b/>
          <w:bCs/>
          <w:sz w:val="36"/>
          <w:szCs w:val="36"/>
        </w:rPr>
        <w:t>稿）</w:t>
      </w:r>
      <w:bookmarkEnd w:id="1"/>
    </w:p>
    <w:p>
      <w:pPr>
        <w:pStyle w:val="4"/>
        <w:ind w:firstLine="723"/>
        <w:rPr>
          <w:b/>
          <w:color w:val="000000" w:themeColor="text1"/>
          <w:sz w:val="36"/>
          <w:szCs w:val="36"/>
          <w14:textFill>
            <w14:solidFill>
              <w14:schemeClr w14:val="tx1"/>
            </w14:solidFill>
          </w14:textFill>
        </w:rPr>
      </w:pPr>
    </w:p>
    <w:p>
      <w:pPr>
        <w:pStyle w:val="4"/>
        <w:ind w:firstLine="723"/>
        <w:rPr>
          <w:b/>
          <w:color w:val="000000" w:themeColor="text1"/>
          <w:sz w:val="36"/>
          <w:szCs w:val="36"/>
          <w14:textFill>
            <w14:solidFill>
              <w14:schemeClr w14:val="tx1"/>
            </w14:solidFill>
          </w14:textFill>
        </w:rPr>
      </w:pPr>
    </w:p>
    <w:p>
      <w:pPr>
        <w:pStyle w:val="4"/>
        <w:ind w:firstLine="723"/>
        <w:rPr>
          <w:b/>
          <w:color w:val="000000" w:themeColor="text1"/>
          <w:sz w:val="36"/>
          <w:szCs w:val="36"/>
          <w14:textFill>
            <w14:solidFill>
              <w14:schemeClr w14:val="tx1"/>
            </w14:solidFill>
          </w14:textFill>
        </w:rPr>
      </w:pPr>
    </w:p>
    <w:p>
      <w:pPr>
        <w:pStyle w:val="4"/>
        <w:ind w:firstLine="723"/>
        <w:rPr>
          <w:b/>
          <w:color w:val="000000" w:themeColor="text1"/>
          <w:sz w:val="36"/>
          <w:szCs w:val="36"/>
          <w14:textFill>
            <w14:solidFill>
              <w14:schemeClr w14:val="tx1"/>
            </w14:solidFill>
          </w14:textFill>
        </w:rPr>
      </w:pPr>
    </w:p>
    <w:p>
      <w:pPr>
        <w:pStyle w:val="4"/>
        <w:ind w:firstLine="723"/>
        <w:rPr>
          <w:b/>
          <w:color w:val="000000" w:themeColor="text1"/>
          <w:sz w:val="36"/>
          <w:szCs w:val="36"/>
          <w14:textFill>
            <w14:solidFill>
              <w14:schemeClr w14:val="tx1"/>
            </w14:solidFill>
          </w14:textFill>
        </w:rPr>
      </w:pPr>
    </w:p>
    <w:p>
      <w:pPr>
        <w:pStyle w:val="4"/>
        <w:ind w:firstLine="723"/>
        <w:rPr>
          <w:b/>
          <w:color w:val="000000" w:themeColor="text1"/>
          <w:sz w:val="36"/>
          <w:szCs w:val="36"/>
          <w14:textFill>
            <w14:solidFill>
              <w14:schemeClr w14:val="tx1"/>
            </w14:solidFill>
          </w14:textFill>
        </w:rPr>
      </w:pPr>
    </w:p>
    <w:p>
      <w:pPr>
        <w:pStyle w:val="4"/>
        <w:ind w:firstLine="723"/>
        <w:rPr>
          <w:b/>
          <w:color w:val="000000" w:themeColor="text1"/>
          <w:sz w:val="36"/>
          <w:szCs w:val="36"/>
          <w14:textFill>
            <w14:solidFill>
              <w14:schemeClr w14:val="tx1"/>
            </w14:solidFill>
          </w14:textFill>
        </w:rPr>
      </w:pPr>
    </w:p>
    <w:p>
      <w:pPr>
        <w:pStyle w:val="4"/>
        <w:ind w:firstLine="723"/>
        <w:rPr>
          <w:b/>
          <w:color w:val="000000" w:themeColor="text1"/>
          <w:sz w:val="36"/>
          <w:szCs w:val="36"/>
          <w14:textFill>
            <w14:solidFill>
              <w14:schemeClr w14:val="tx1"/>
            </w14:solidFill>
          </w14:textFill>
        </w:rPr>
      </w:pPr>
    </w:p>
    <w:p>
      <w:pPr>
        <w:pStyle w:val="4"/>
        <w:ind w:firstLine="723"/>
        <w:rPr>
          <w:b/>
          <w:color w:val="000000" w:themeColor="text1"/>
          <w:sz w:val="36"/>
          <w:szCs w:val="36"/>
          <w14:textFill>
            <w14:solidFill>
              <w14:schemeClr w14:val="tx1"/>
            </w14:solidFill>
          </w14:textFill>
        </w:rPr>
      </w:pPr>
    </w:p>
    <w:p>
      <w:pPr>
        <w:spacing w:line="240" w:lineRule="auto"/>
        <w:ind w:firstLine="480"/>
        <w:jc w:val="center"/>
        <w:rPr>
          <w:sz w:val="21"/>
          <w:szCs w:val="24"/>
        </w:rPr>
      </w:pPr>
      <w:r>
        <w:rPr>
          <w:szCs w:val="24"/>
        </w:rPr>
        <w:t>****</w:t>
      </w:r>
      <w:r>
        <w:rPr>
          <w:rFonts w:hint="eastAsia"/>
          <w:szCs w:val="24"/>
        </w:rPr>
        <w:t>出版社</w:t>
      </w:r>
    </w:p>
    <w:p>
      <w:pPr>
        <w:pStyle w:val="4"/>
        <w:ind w:firstLine="0" w:firstLineChars="0"/>
        <w:rPr>
          <w:b/>
          <w:color w:val="000000" w:themeColor="text1"/>
          <w:sz w:val="36"/>
          <w:szCs w:val="36"/>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cols w:space="720" w:num="1"/>
          <w:titlePg/>
          <w:docGrid w:type="lines" w:linePitch="326" w:charSpace="0"/>
        </w:sectPr>
      </w:pPr>
    </w:p>
    <w:p>
      <w:pPr>
        <w:ind w:firstLine="0" w:firstLineChars="0"/>
        <w:jc w:val="both"/>
        <w:rPr>
          <w:kern w:val="0"/>
          <w:sz w:val="28"/>
        </w:rPr>
      </w:pPr>
    </w:p>
    <w:p>
      <w:pPr>
        <w:ind w:firstLine="0" w:firstLineChars="0"/>
        <w:jc w:val="center"/>
        <w:rPr>
          <w:kern w:val="0"/>
          <w:sz w:val="28"/>
        </w:rPr>
      </w:pPr>
      <w:r>
        <w:rPr>
          <w:kern w:val="0"/>
          <w:sz w:val="28"/>
        </w:rPr>
        <w:t>中国工程建设标准化协会标准</w:t>
      </w:r>
    </w:p>
    <w:p>
      <w:pPr>
        <w:ind w:firstLine="560"/>
        <w:jc w:val="center"/>
        <w:rPr>
          <w:color w:val="0000FF"/>
          <w:kern w:val="0"/>
          <w:sz w:val="28"/>
          <w:szCs w:val="28"/>
        </w:rPr>
      </w:pPr>
    </w:p>
    <w:p>
      <w:pPr>
        <w:bidi w:val="0"/>
        <w:ind w:left="0" w:leftChars="0" w:firstLine="0" w:firstLineChars="0"/>
        <w:jc w:val="center"/>
        <w:rPr>
          <w:rFonts w:hint="eastAsia" w:ascii="黑体" w:hAnsi="黑体" w:eastAsia="黑体" w:cs="黑体"/>
          <w:sz w:val="44"/>
          <w:szCs w:val="44"/>
        </w:rPr>
      </w:pPr>
      <w:bookmarkStart w:id="2" w:name="_Toc16425"/>
      <w:r>
        <w:rPr>
          <w:rFonts w:hint="eastAsia" w:ascii="黑体" w:hAnsi="黑体" w:eastAsia="黑体" w:cs="黑体"/>
          <w:sz w:val="44"/>
          <w:szCs w:val="44"/>
        </w:rPr>
        <w:t>河湖底泥洗脱净化工程设计标准</w:t>
      </w:r>
      <w:bookmarkEnd w:id="2"/>
    </w:p>
    <w:p>
      <w:pPr>
        <w:bidi w:val="0"/>
        <w:ind w:left="0" w:leftChars="0" w:firstLine="0" w:firstLineChars="0"/>
        <w:jc w:val="center"/>
        <w:rPr>
          <w:rFonts w:hint="eastAsia" w:ascii="黑体" w:hAnsi="黑体" w:eastAsia="黑体" w:cs="黑体"/>
          <w:sz w:val="44"/>
          <w:szCs w:val="44"/>
        </w:rPr>
      </w:pPr>
      <w:r>
        <w:rPr>
          <w:rFonts w:hint="eastAsia"/>
        </w:rPr>
        <w:t>Design standard of river and lake sediment elution and purification engineering</w:t>
      </w:r>
    </w:p>
    <w:p>
      <w:pPr>
        <w:widowControl/>
        <w:snapToGrid w:val="0"/>
        <w:ind w:left="0" w:leftChars="0" w:firstLine="0" w:firstLineChars="0"/>
        <w:jc w:val="both"/>
        <w:rPr>
          <w:rFonts w:eastAsia="黑体"/>
          <w:kern w:val="0"/>
          <w:sz w:val="44"/>
          <w:szCs w:val="44"/>
        </w:rPr>
      </w:pPr>
    </w:p>
    <w:p>
      <w:pPr>
        <w:ind w:firstLine="0" w:firstLineChars="0"/>
        <w:rPr>
          <w:color w:val="0000FF"/>
          <w:kern w:val="0"/>
        </w:rPr>
      </w:pPr>
    </w:p>
    <w:p>
      <w:pPr>
        <w:bidi w:val="0"/>
        <w:ind w:left="0" w:leftChars="0" w:firstLine="0" w:firstLineChars="0"/>
        <w:jc w:val="center"/>
        <w:rPr>
          <w:b/>
          <w:bCs/>
        </w:rPr>
      </w:pPr>
      <w:bookmarkStart w:id="3" w:name="_Toc21311"/>
      <w:r>
        <w:rPr>
          <w:b/>
          <w:bCs/>
        </w:rPr>
        <w:t>T/CECS *** -20XX</w:t>
      </w:r>
      <w:bookmarkEnd w:id="3"/>
    </w:p>
    <w:p>
      <w:pPr>
        <w:ind w:firstLine="482"/>
        <w:jc w:val="center"/>
        <w:rPr>
          <w:b/>
          <w:color w:val="0000FF"/>
          <w:kern w:val="0"/>
        </w:rPr>
      </w:pPr>
    </w:p>
    <w:p>
      <w:pPr>
        <w:ind w:firstLine="2880" w:firstLineChars="1200"/>
        <w:rPr>
          <w:color w:val="0000FF"/>
          <w:kern w:val="0"/>
        </w:rPr>
      </w:pPr>
    </w:p>
    <w:p>
      <w:pPr>
        <w:ind w:firstLine="2880" w:firstLineChars="1200"/>
        <w:rPr>
          <w:color w:val="0000FF"/>
          <w:kern w:val="0"/>
        </w:rPr>
      </w:pPr>
    </w:p>
    <w:p>
      <w:pPr>
        <w:ind w:firstLine="2880" w:firstLineChars="1200"/>
        <w:rPr>
          <w:color w:val="0000FF"/>
          <w:kern w:val="0"/>
        </w:rPr>
      </w:pPr>
    </w:p>
    <w:p>
      <w:pPr>
        <w:ind w:firstLine="2880" w:firstLineChars="1200"/>
        <w:rPr>
          <w:color w:val="0000FF"/>
          <w:kern w:val="0"/>
        </w:rPr>
      </w:pPr>
    </w:p>
    <w:p>
      <w:pPr>
        <w:ind w:firstLine="2520" w:firstLineChars="1200"/>
        <w:rPr>
          <w:kern w:val="0"/>
          <w:sz w:val="21"/>
          <w:szCs w:val="21"/>
        </w:rPr>
      </w:pPr>
      <w:r>
        <w:rPr>
          <w:kern w:val="0"/>
          <w:sz w:val="21"/>
          <w:szCs w:val="21"/>
        </w:rPr>
        <w:t>主编单位：</w:t>
      </w:r>
    </w:p>
    <w:p>
      <w:pPr>
        <w:ind w:firstLine="2520" w:firstLineChars="1200"/>
        <w:rPr>
          <w:kern w:val="0"/>
          <w:sz w:val="21"/>
          <w:szCs w:val="21"/>
        </w:rPr>
      </w:pPr>
      <w:r>
        <w:rPr>
          <w:kern w:val="0"/>
          <w:sz w:val="21"/>
          <w:szCs w:val="21"/>
        </w:rPr>
        <w:t>批准单位：中国工程建设标准化协会</w:t>
      </w:r>
    </w:p>
    <w:p>
      <w:pPr>
        <w:ind w:firstLine="2520" w:firstLineChars="1200"/>
        <w:rPr>
          <w:kern w:val="0"/>
          <w:sz w:val="21"/>
          <w:szCs w:val="21"/>
        </w:rPr>
      </w:pPr>
      <w:r>
        <w:rPr>
          <w:kern w:val="0"/>
          <w:sz w:val="21"/>
          <w:szCs w:val="21"/>
        </w:rPr>
        <w:t>施行日期：20XX年</w:t>
      </w:r>
      <w:r>
        <w:rPr>
          <w:rFonts w:hint="eastAsia"/>
          <w:kern w:val="0"/>
          <w:sz w:val="21"/>
          <w:szCs w:val="21"/>
        </w:rPr>
        <w:t>XX</w:t>
      </w:r>
      <w:r>
        <w:rPr>
          <w:kern w:val="0"/>
          <w:sz w:val="21"/>
          <w:szCs w:val="21"/>
        </w:rPr>
        <w:t>月</w:t>
      </w:r>
      <w:r>
        <w:rPr>
          <w:rFonts w:hint="eastAsia"/>
          <w:kern w:val="0"/>
          <w:sz w:val="21"/>
          <w:szCs w:val="21"/>
        </w:rPr>
        <w:t>XX</w:t>
      </w:r>
      <w:r>
        <w:rPr>
          <w:kern w:val="0"/>
          <w:sz w:val="21"/>
          <w:szCs w:val="21"/>
        </w:rPr>
        <w:t>日</w:t>
      </w:r>
    </w:p>
    <w:p>
      <w:pPr>
        <w:ind w:firstLine="480"/>
        <w:jc w:val="center"/>
        <w:rPr>
          <w:kern w:val="0"/>
        </w:rPr>
      </w:pPr>
    </w:p>
    <w:p>
      <w:pPr>
        <w:ind w:firstLine="480"/>
        <w:jc w:val="center"/>
        <w:rPr>
          <w:kern w:val="0"/>
        </w:rPr>
      </w:pPr>
    </w:p>
    <w:p>
      <w:pPr>
        <w:ind w:firstLine="480"/>
        <w:jc w:val="center"/>
        <w:rPr>
          <w:kern w:val="0"/>
        </w:rPr>
      </w:pPr>
    </w:p>
    <w:p>
      <w:pPr>
        <w:ind w:firstLine="480"/>
        <w:jc w:val="center"/>
        <w:rPr>
          <w:kern w:val="0"/>
        </w:rPr>
      </w:pPr>
    </w:p>
    <w:p>
      <w:pPr>
        <w:bidi w:val="0"/>
      </w:pPr>
    </w:p>
    <w:p>
      <w:pPr>
        <w:bidi w:val="0"/>
      </w:pPr>
    </w:p>
    <w:p>
      <w:pPr>
        <w:bidi w:val="0"/>
      </w:pPr>
    </w:p>
    <w:p>
      <w:pPr>
        <w:bidi w:val="0"/>
      </w:pPr>
    </w:p>
    <w:p>
      <w:pPr>
        <w:ind w:firstLine="480"/>
        <w:jc w:val="center"/>
        <w:rPr>
          <w:kern w:val="0"/>
        </w:rPr>
      </w:pPr>
    </w:p>
    <w:p>
      <w:pPr>
        <w:ind w:firstLine="420"/>
        <w:jc w:val="center"/>
        <w:rPr>
          <w:kern w:val="0"/>
          <w:sz w:val="21"/>
          <w:szCs w:val="21"/>
        </w:rPr>
      </w:pPr>
      <w:r>
        <w:rPr>
          <w:rFonts w:hint="eastAsia"/>
          <w:kern w:val="0"/>
          <w:sz w:val="21"/>
          <w:szCs w:val="21"/>
        </w:rPr>
        <w:t>XXXX出版社</w:t>
      </w:r>
    </w:p>
    <w:p>
      <w:pPr>
        <w:widowControl/>
        <w:adjustRightInd w:val="0"/>
        <w:snapToGrid w:val="0"/>
        <w:ind w:firstLine="480"/>
        <w:jc w:val="center"/>
        <w:rPr>
          <w:rFonts w:ascii="宋体" w:hAnsi="宋体" w:cs="宋体"/>
          <w:b/>
          <w:kern w:val="44"/>
          <w:sz w:val="28"/>
          <w:szCs w:val="21"/>
        </w:rPr>
      </w:pPr>
      <w:r>
        <w:rPr>
          <w:rFonts w:hint="eastAsia"/>
          <w:kern w:val="0"/>
        </w:rPr>
        <w:t>2</w:t>
      </w:r>
      <w:r>
        <w:rPr>
          <w:kern w:val="0"/>
        </w:rPr>
        <w:t>02</w:t>
      </w:r>
      <w:r>
        <w:rPr>
          <w:rFonts w:hint="eastAsia"/>
          <w:kern w:val="0"/>
          <w:lang w:val="en-US" w:eastAsia="zh-CN"/>
        </w:rPr>
        <w:t>4</w:t>
      </w:r>
      <w:r>
        <w:rPr>
          <w:kern w:val="0"/>
        </w:rPr>
        <w:t xml:space="preserve"> </w:t>
      </w:r>
      <w:r>
        <w:rPr>
          <w:rFonts w:hint="eastAsia"/>
          <w:kern w:val="0"/>
        </w:rPr>
        <w:t>北京</w:t>
      </w:r>
    </w:p>
    <w:p>
      <w:pPr>
        <w:ind w:left="0" w:leftChars="0" w:firstLine="0" w:firstLineChars="0"/>
        <w:rPr>
          <w:rFonts w:hAnsi="宋体"/>
          <w:sz w:val="28"/>
          <w:szCs w:val="28"/>
        </w:rPr>
        <w:sectPr>
          <w:footerReference r:id="rId12" w:type="first"/>
          <w:footerReference r:id="rId11" w:type="default"/>
          <w:pgSz w:w="11906" w:h="16838"/>
          <w:pgMar w:top="1440" w:right="1800" w:bottom="1440" w:left="1800" w:header="851" w:footer="992" w:gutter="0"/>
          <w:pgBorders>
            <w:top w:val="none" w:sz="0" w:space="0"/>
            <w:left w:val="none" w:sz="0" w:space="0"/>
            <w:bottom w:val="none" w:sz="0" w:space="0"/>
            <w:right w:val="none" w:sz="0" w:space="0"/>
          </w:pgBorders>
          <w:cols w:space="720" w:num="1"/>
          <w:titlePg/>
          <w:docGrid w:type="lines" w:linePitch="326" w:charSpace="0"/>
        </w:sectPr>
      </w:pPr>
    </w:p>
    <w:p>
      <w:pPr>
        <w:keepNext w:val="0"/>
        <w:keepLines w:val="0"/>
        <w:pageBreakBefore w:val="0"/>
        <w:widowControl w:val="0"/>
        <w:kinsoku/>
        <w:wordWrap/>
        <w:overflowPunct/>
        <w:topLinePunct w:val="0"/>
        <w:autoSpaceDE/>
        <w:autoSpaceDN/>
        <w:bidi w:val="0"/>
        <w:adjustRightInd/>
        <w:snapToGrid/>
        <w:spacing w:before="313" w:beforeLines="100" w:after="313" w:afterLines="100"/>
        <w:ind w:left="0" w:leftChars="0" w:firstLine="0" w:firstLineChars="0"/>
        <w:jc w:val="center"/>
        <w:textAlignment w:val="auto"/>
        <w:rPr>
          <w:rFonts w:ascii="Times New Roman" w:hAnsi="宋体" w:eastAsia="宋体" w:cs="Times New Roman"/>
          <w:color w:val="000000"/>
          <w:sz w:val="24"/>
          <w:szCs w:val="24"/>
          <w:lang w:val="en-US" w:eastAsia="zh-CN" w:bidi="ar-SA"/>
        </w:rPr>
      </w:pPr>
      <w:bookmarkStart w:id="4" w:name="_Toc26281"/>
      <w:r>
        <w:rPr>
          <w:rFonts w:hint="eastAsia" w:ascii="黑体" w:hAnsi="黑体" w:eastAsia="黑体" w:cs="黑体"/>
          <w:sz w:val="28"/>
          <w:szCs w:val="28"/>
        </w:rPr>
        <w:t>前  言</w:t>
      </w:r>
      <w:bookmarkEnd w:id="4"/>
    </w:p>
    <w:p>
      <w:pPr>
        <w:widowControl w:val="0"/>
        <w:autoSpaceDE w:val="0"/>
        <w:autoSpaceDN w:val="0"/>
        <w:adjustRightInd w:val="0"/>
        <w:snapToGrid w:val="0"/>
        <w:spacing w:line="360" w:lineRule="auto"/>
        <w:ind w:firstLine="480" w:firstLineChars="200"/>
        <w:jc w:val="both"/>
        <w:rPr>
          <w:rFonts w:ascii="Times New Roman" w:hAnsi="宋体" w:eastAsia="宋体" w:cs="Times New Roman"/>
          <w:color w:val="000000"/>
          <w:sz w:val="24"/>
          <w:szCs w:val="24"/>
          <w:lang w:val="en-US" w:eastAsia="zh-CN" w:bidi="ar-SA"/>
        </w:rPr>
      </w:pPr>
      <w:r>
        <w:rPr>
          <w:rFonts w:ascii="Times New Roman" w:hAnsi="宋体" w:eastAsia="宋体" w:cs="Times New Roman"/>
          <w:color w:val="000000"/>
          <w:sz w:val="24"/>
          <w:szCs w:val="24"/>
          <w:lang w:val="en-US" w:eastAsia="zh-CN" w:bidi="ar-SA"/>
        </w:rPr>
        <w:t>根据</w:t>
      </w:r>
      <w:r>
        <w:rPr>
          <w:rFonts w:hint="eastAsia" w:ascii="Times New Roman" w:hAnsi="宋体" w:eastAsia="宋体" w:cs="Times New Roman"/>
          <w:color w:val="000000"/>
          <w:sz w:val="24"/>
          <w:szCs w:val="24"/>
          <w:lang w:val="en-US" w:eastAsia="zh-CN" w:bidi="ar-SA"/>
        </w:rPr>
        <w:t>中国工程建设标准化协会《关于印发</w:t>
      </w:r>
      <w:r>
        <w:rPr>
          <w:rFonts w:ascii="Times New Roman" w:hAnsi="宋体" w:eastAsia="宋体" w:cs="Times New Roman"/>
          <w:color w:val="000000"/>
          <w:sz w:val="24"/>
          <w:szCs w:val="24"/>
          <w:lang w:val="en-US" w:eastAsia="zh-CN" w:bidi="ar-SA"/>
        </w:rPr>
        <w:t>&lt;202</w:t>
      </w:r>
      <w:r>
        <w:rPr>
          <w:rFonts w:hint="eastAsia" w:ascii="Times New Roman" w:hAnsi="宋体" w:eastAsia="宋体" w:cs="Times New Roman"/>
          <w:color w:val="000000"/>
          <w:sz w:val="24"/>
          <w:szCs w:val="24"/>
          <w:lang w:val="en-US" w:eastAsia="zh-CN" w:bidi="ar-SA"/>
        </w:rPr>
        <w:t>2</w:t>
      </w:r>
      <w:r>
        <w:rPr>
          <w:rFonts w:ascii="Times New Roman" w:hAnsi="宋体" w:eastAsia="宋体" w:cs="Times New Roman"/>
          <w:color w:val="000000"/>
          <w:sz w:val="24"/>
          <w:szCs w:val="24"/>
          <w:lang w:val="en-US" w:eastAsia="zh-CN" w:bidi="ar-SA"/>
        </w:rPr>
        <w:t>年第</w:t>
      </w:r>
      <w:r>
        <w:rPr>
          <w:rFonts w:hint="eastAsia" w:ascii="Times New Roman" w:hAnsi="宋体" w:eastAsia="宋体" w:cs="Times New Roman"/>
          <w:color w:val="000000"/>
          <w:sz w:val="24"/>
          <w:szCs w:val="24"/>
          <w:lang w:val="en-US" w:eastAsia="zh-CN" w:bidi="ar-SA"/>
        </w:rPr>
        <w:t>二</w:t>
      </w:r>
      <w:r>
        <w:rPr>
          <w:rFonts w:ascii="Times New Roman" w:hAnsi="宋体" w:eastAsia="宋体" w:cs="Times New Roman"/>
          <w:color w:val="000000"/>
          <w:sz w:val="24"/>
          <w:szCs w:val="24"/>
          <w:lang w:val="en-US" w:eastAsia="zh-CN" w:bidi="ar-SA"/>
        </w:rPr>
        <w:t>批协会标准制订、修订计划&gt;的通知》（建标协字[202</w:t>
      </w:r>
      <w:r>
        <w:rPr>
          <w:rFonts w:hint="eastAsia" w:ascii="Times New Roman" w:hAnsi="宋体" w:eastAsia="宋体" w:cs="Times New Roman"/>
          <w:color w:val="000000"/>
          <w:sz w:val="24"/>
          <w:szCs w:val="24"/>
          <w:lang w:val="en-US" w:eastAsia="zh-CN" w:bidi="ar-SA"/>
        </w:rPr>
        <w:t>2</w:t>
      </w:r>
      <w:r>
        <w:rPr>
          <w:rFonts w:ascii="Times New Roman" w:hAnsi="宋体" w:eastAsia="宋体" w:cs="Times New Roman"/>
          <w:color w:val="000000"/>
          <w:sz w:val="24"/>
          <w:szCs w:val="24"/>
          <w:lang w:val="en-US" w:eastAsia="zh-CN" w:bidi="ar-SA"/>
        </w:rPr>
        <w:t>]</w:t>
      </w:r>
      <w:r>
        <w:rPr>
          <w:rFonts w:hint="eastAsia" w:ascii="Times New Roman" w:hAnsi="宋体" w:eastAsia="宋体" w:cs="Times New Roman"/>
          <w:color w:val="000000"/>
          <w:sz w:val="24"/>
          <w:szCs w:val="24"/>
          <w:lang w:val="en-US" w:eastAsia="zh-CN" w:bidi="ar-SA"/>
        </w:rPr>
        <w:t>57</w:t>
      </w:r>
      <w:r>
        <w:rPr>
          <w:rFonts w:ascii="Times New Roman" w:hAnsi="宋体" w:eastAsia="宋体" w:cs="Times New Roman"/>
          <w:color w:val="000000"/>
          <w:sz w:val="24"/>
          <w:szCs w:val="24"/>
          <w:lang w:val="en-US" w:eastAsia="zh-CN" w:bidi="ar-SA"/>
        </w:rPr>
        <w:t>号）的要求，</w:t>
      </w:r>
      <w:r>
        <w:rPr>
          <w:rFonts w:hint="eastAsia" w:ascii="Times New Roman" w:hAnsi="宋体" w:eastAsia="宋体" w:cs="Times New Roman"/>
          <w:color w:val="000000"/>
          <w:sz w:val="24"/>
          <w:szCs w:val="24"/>
          <w:lang w:val="en-US" w:eastAsia="zh-CN" w:bidi="ar-SA"/>
        </w:rPr>
        <w:t>编制组经广泛调查研究，认真总结实践经验，参考有关国内先进标准，并在广泛征求意见的基础上，制定本标准</w:t>
      </w:r>
      <w:r>
        <w:rPr>
          <w:rFonts w:ascii="Times New Roman" w:hAnsi="宋体" w:eastAsia="宋体" w:cs="Times New Roman"/>
          <w:color w:val="000000"/>
          <w:sz w:val="24"/>
          <w:szCs w:val="24"/>
          <w:lang w:val="en-US" w:eastAsia="zh-CN" w:bidi="ar-SA"/>
        </w:rPr>
        <w:t>。</w:t>
      </w:r>
    </w:p>
    <w:p>
      <w:pPr>
        <w:widowControl w:val="0"/>
        <w:autoSpaceDE w:val="0"/>
        <w:autoSpaceDN w:val="0"/>
        <w:adjustRightInd w:val="0"/>
        <w:snapToGrid w:val="0"/>
        <w:spacing w:line="360" w:lineRule="auto"/>
        <w:ind w:firstLine="480" w:firstLineChars="200"/>
        <w:jc w:val="both"/>
        <w:rPr>
          <w:rFonts w:hint="eastAsia" w:ascii="Times New Roman" w:hAnsi="宋体" w:eastAsia="宋体" w:cs="Times New Roman"/>
          <w:color w:val="auto"/>
          <w:sz w:val="24"/>
          <w:szCs w:val="24"/>
          <w:lang w:val="en-US" w:eastAsia="zh-CN" w:bidi="ar-SA"/>
        </w:rPr>
      </w:pPr>
      <w:r>
        <w:rPr>
          <w:rFonts w:ascii="Times New Roman" w:hAnsi="宋体" w:eastAsia="宋体" w:cs="Times New Roman"/>
          <w:color w:val="auto"/>
          <w:sz w:val="24"/>
          <w:szCs w:val="24"/>
          <w:lang w:val="en-US" w:eastAsia="zh-CN" w:bidi="ar-SA"/>
        </w:rPr>
        <w:t>本</w:t>
      </w:r>
      <w:r>
        <w:rPr>
          <w:rFonts w:hint="eastAsia" w:ascii="Times New Roman" w:hAnsi="宋体" w:eastAsia="宋体" w:cs="Times New Roman"/>
          <w:color w:val="auto"/>
          <w:sz w:val="24"/>
          <w:szCs w:val="24"/>
          <w:lang w:val="en-US" w:eastAsia="zh-CN" w:bidi="ar-SA"/>
        </w:rPr>
        <w:t>标准</w:t>
      </w:r>
      <w:r>
        <w:rPr>
          <w:rFonts w:ascii="Times New Roman" w:hAnsi="宋体" w:eastAsia="宋体" w:cs="Times New Roman"/>
          <w:color w:val="auto"/>
          <w:sz w:val="24"/>
          <w:szCs w:val="24"/>
          <w:lang w:val="en-US" w:eastAsia="zh-CN" w:bidi="ar-SA"/>
        </w:rPr>
        <w:t>共分</w:t>
      </w:r>
      <w:r>
        <w:rPr>
          <w:rFonts w:hint="eastAsia" w:ascii="Times New Roman" w:hAnsi="宋体" w:eastAsia="宋体" w:cs="Times New Roman"/>
          <w:color w:val="auto"/>
          <w:sz w:val="24"/>
          <w:szCs w:val="24"/>
          <w:lang w:val="en-US" w:eastAsia="zh-CN" w:bidi="ar-SA"/>
        </w:rPr>
        <w:t>5</w:t>
      </w:r>
      <w:r>
        <w:rPr>
          <w:rFonts w:ascii="Times New Roman" w:hAnsi="宋体" w:eastAsia="宋体" w:cs="Times New Roman"/>
          <w:color w:val="auto"/>
          <w:sz w:val="24"/>
          <w:szCs w:val="24"/>
          <w:lang w:val="en-US" w:eastAsia="zh-CN" w:bidi="ar-SA"/>
        </w:rPr>
        <w:t>章和</w:t>
      </w:r>
      <w:r>
        <w:rPr>
          <w:rFonts w:hint="eastAsia" w:ascii="Times New Roman" w:hAnsi="宋体" w:eastAsia="宋体" w:cs="Times New Roman"/>
          <w:color w:val="auto"/>
          <w:sz w:val="24"/>
          <w:szCs w:val="24"/>
          <w:lang w:val="en-US" w:eastAsia="zh-CN" w:bidi="ar-SA"/>
        </w:rPr>
        <w:t>1</w:t>
      </w:r>
      <w:r>
        <w:rPr>
          <w:rFonts w:ascii="Times New Roman" w:hAnsi="宋体" w:eastAsia="宋体" w:cs="Times New Roman"/>
          <w:color w:val="auto"/>
          <w:sz w:val="24"/>
          <w:szCs w:val="24"/>
          <w:lang w:val="en-US" w:eastAsia="zh-CN" w:bidi="ar-SA"/>
        </w:rPr>
        <w:t>个附录，主要技术内容</w:t>
      </w:r>
      <w:r>
        <w:rPr>
          <w:rFonts w:hint="eastAsia" w:ascii="Times New Roman" w:hAnsi="宋体" w:eastAsia="宋体" w:cs="Times New Roman"/>
          <w:color w:val="auto"/>
          <w:sz w:val="24"/>
          <w:szCs w:val="24"/>
          <w:lang w:val="en-US" w:eastAsia="zh-CN" w:bidi="ar-SA"/>
        </w:rPr>
        <w:t>包括：总则、术语、基本规定、工程设计、监测与控制。</w:t>
      </w:r>
    </w:p>
    <w:p>
      <w:pPr>
        <w:widowControl w:val="0"/>
        <w:autoSpaceDE w:val="0"/>
        <w:autoSpaceDN w:val="0"/>
        <w:adjustRightInd w:val="0"/>
        <w:snapToGrid w:val="0"/>
        <w:spacing w:line="360" w:lineRule="auto"/>
        <w:ind w:firstLine="480" w:firstLineChars="200"/>
        <w:jc w:val="both"/>
        <w:rPr>
          <w:rFonts w:hint="default" w:ascii="Times New Roman" w:hAnsi="宋体" w:eastAsia="宋体" w:cs="Times New Roman"/>
          <w:color w:val="000000"/>
          <w:sz w:val="24"/>
          <w:szCs w:val="24"/>
          <w:lang w:val="en-US" w:eastAsia="zh-CN" w:bidi="ar-SA"/>
        </w:rPr>
      </w:pPr>
      <w:r>
        <w:rPr>
          <w:rFonts w:hint="eastAsia" w:ascii="Times New Roman" w:hAnsi="宋体" w:eastAsia="宋体" w:cs="Times New Roman"/>
          <w:color w:val="000000"/>
          <w:sz w:val="24"/>
          <w:szCs w:val="24"/>
          <w:lang w:val="en-US" w:eastAsia="zh-CN" w:bidi="ar-SA"/>
        </w:rPr>
        <w:t>本标准的某些内容可能直接或间接涉及专利，本标准的发布机构不承担识别这些专利的责任。</w:t>
      </w:r>
    </w:p>
    <w:p>
      <w:pPr>
        <w:widowControl w:val="0"/>
        <w:autoSpaceDE w:val="0"/>
        <w:autoSpaceDN w:val="0"/>
        <w:adjustRightInd w:val="0"/>
        <w:snapToGrid w:val="0"/>
        <w:spacing w:line="360" w:lineRule="auto"/>
        <w:ind w:firstLine="480" w:firstLineChars="200"/>
        <w:jc w:val="both"/>
        <w:rPr>
          <w:rFonts w:hint="default" w:ascii="Times New Roman" w:hAnsi="宋体" w:eastAsia="宋体" w:cs="Times New Roman"/>
          <w:color w:val="000000"/>
          <w:sz w:val="24"/>
          <w:szCs w:val="24"/>
          <w:lang w:val="en-US" w:eastAsia="zh-CN" w:bidi="ar-SA"/>
        </w:rPr>
      </w:pPr>
      <w:r>
        <w:rPr>
          <w:rFonts w:hint="eastAsia" w:ascii="Times New Roman" w:hAnsi="宋体" w:eastAsia="宋体" w:cs="Times New Roman"/>
          <w:color w:val="000000"/>
          <w:sz w:val="24"/>
          <w:szCs w:val="24"/>
          <w:lang w:val="en-US" w:eastAsia="zh-CN" w:bidi="ar-SA"/>
        </w:rPr>
        <w:t>本标准由中国工程建设标准化协会城市给水排水专业委员会归口管理，由中国市政工程中南设计研究总院有限公司负责具体技术内容的解释。执行过程中，如有意见或建议，请反馈给中国市政工程中南设计研究总院有限公司（地址：湖北省武汉市江岸区解放公园路8号，邮编：430010，邮箱</w:t>
      </w:r>
      <w:r>
        <w:rPr>
          <w:rFonts w:hint="eastAsia" w:ascii="Times New Roman" w:hAnsi="宋体" w:eastAsia="宋体" w:cs="Times New Roman"/>
          <w:color w:val="auto"/>
          <w:sz w:val="24"/>
          <w:szCs w:val="24"/>
          <w:lang w:val="en-US" w:eastAsia="zh-CN" w:bidi="ar-SA"/>
        </w:rPr>
        <w:t>：XXXXX）</w:t>
      </w:r>
      <w:r>
        <w:rPr>
          <w:rFonts w:hint="eastAsia" w:ascii="Times New Roman" w:hAnsi="宋体" w:eastAsia="宋体" w:cs="Times New Roman"/>
          <w:color w:val="000000"/>
          <w:sz w:val="24"/>
          <w:szCs w:val="24"/>
          <w:lang w:val="en-US" w:eastAsia="zh-CN" w:bidi="ar-SA"/>
        </w:rPr>
        <w:t>。</w:t>
      </w:r>
    </w:p>
    <w:p>
      <w:pPr>
        <w:widowControl w:val="0"/>
        <w:autoSpaceDE w:val="0"/>
        <w:autoSpaceDN w:val="0"/>
        <w:adjustRightInd w:val="0"/>
        <w:snapToGrid w:val="0"/>
        <w:spacing w:line="360" w:lineRule="auto"/>
        <w:ind w:firstLine="0"/>
        <w:jc w:val="both"/>
        <w:rPr>
          <w:rFonts w:ascii="宋体" w:hAnsi="宋体" w:eastAsia="等线" w:cs="宋体"/>
          <w:color w:val="000000"/>
          <w:sz w:val="24"/>
          <w:szCs w:val="24"/>
          <w:lang w:val="en-US" w:eastAsia="zh-CN" w:bidi="ar-SA"/>
        </w:rPr>
      </w:pPr>
      <w:r>
        <w:rPr>
          <w:rFonts w:ascii="Times New Roman" w:hAnsi="宋体" w:eastAsia="宋体" w:cs="Times New Roman"/>
          <w:color w:val="000000"/>
          <w:sz w:val="24"/>
          <w:szCs w:val="24"/>
          <w:lang w:val="en-US" w:eastAsia="zh-CN" w:bidi="ar-SA"/>
        </w:rPr>
        <w:t>主编单位：</w:t>
      </w:r>
      <w:r>
        <w:rPr>
          <w:rFonts w:hint="eastAsia" w:ascii="Times New Roman" w:hAnsi="宋体" w:eastAsia="宋体" w:cs="Times New Roman"/>
          <w:color w:val="000000"/>
          <w:sz w:val="24"/>
          <w:szCs w:val="24"/>
          <w:lang w:val="en-US" w:eastAsia="zh-CN" w:bidi="ar-SA"/>
        </w:rPr>
        <w:t>中国市政工程中南设计研究总院有限公司</w:t>
      </w:r>
    </w:p>
    <w:p>
      <w:pPr>
        <w:widowControl w:val="0"/>
        <w:autoSpaceDE w:val="0"/>
        <w:autoSpaceDN w:val="0"/>
        <w:adjustRightInd w:val="0"/>
        <w:snapToGrid w:val="0"/>
        <w:spacing w:line="360" w:lineRule="auto"/>
        <w:ind w:firstLine="1200" w:firstLineChars="500"/>
        <w:rPr>
          <w:rFonts w:hint="eastAsia" w:cs="宋体" w:asciiTheme="minorEastAsia" w:hAnsiTheme="minorEastAsia" w:eastAsiaTheme="minorEastAsia"/>
          <w:color w:val="000000"/>
          <w:sz w:val="24"/>
          <w:szCs w:val="24"/>
          <w:lang w:val="en-US" w:eastAsia="zh-CN" w:bidi="ar-SA"/>
        </w:rPr>
      </w:pPr>
      <w:bookmarkStart w:id="5" w:name="_Toc32340"/>
      <w:r>
        <w:rPr>
          <w:rFonts w:hint="eastAsia" w:cs="宋体" w:asciiTheme="minorEastAsia" w:hAnsiTheme="minorEastAsia" w:eastAsiaTheme="minorEastAsia"/>
          <w:color w:val="000000"/>
          <w:sz w:val="24"/>
          <w:szCs w:val="24"/>
          <w:lang w:val="en-US" w:eastAsia="zh-CN" w:bidi="ar-SA"/>
        </w:rPr>
        <w:t>安徽雷克环境科技有限公司</w:t>
      </w:r>
      <w:bookmarkEnd w:id="5"/>
    </w:p>
    <w:p>
      <w:pPr>
        <w:widowControl w:val="0"/>
        <w:autoSpaceDE w:val="0"/>
        <w:autoSpaceDN w:val="0"/>
        <w:adjustRightInd w:val="0"/>
        <w:snapToGrid w:val="0"/>
        <w:spacing w:line="360" w:lineRule="auto"/>
        <w:rPr>
          <w:rFonts w:hint="eastAsia" w:cs="宋体" w:asciiTheme="minorEastAsia" w:hAnsiTheme="minorEastAsia" w:eastAsiaTheme="minorEastAsia"/>
          <w:color w:val="000000"/>
          <w:sz w:val="24"/>
          <w:szCs w:val="24"/>
          <w:lang w:val="en-US" w:eastAsia="zh-CN" w:bidi="ar-SA"/>
        </w:rPr>
      </w:pPr>
      <w:r>
        <w:rPr>
          <w:rFonts w:cs="Times New Roman" w:asciiTheme="minorEastAsia" w:hAnsiTheme="minorEastAsia" w:eastAsiaTheme="minorEastAsia"/>
          <w:color w:val="000000"/>
          <w:sz w:val="24"/>
          <w:szCs w:val="24"/>
          <w:lang w:val="en-US" w:eastAsia="zh-CN" w:bidi="ar-SA"/>
        </w:rPr>
        <w:t>参编单位</w:t>
      </w:r>
      <w:r>
        <w:rPr>
          <w:rFonts w:hint="eastAsia" w:cs="宋体" w:asciiTheme="minorEastAsia" w:hAnsiTheme="minorEastAsia" w:eastAsiaTheme="minorEastAsia"/>
          <w:color w:val="000000"/>
          <w:sz w:val="24"/>
          <w:szCs w:val="24"/>
          <w:lang w:val="en-US" w:eastAsia="zh-CN" w:bidi="ar-SA"/>
        </w:rPr>
        <w:t>：中国电建集团华东勘测设计研究院有限公司</w:t>
      </w:r>
    </w:p>
    <w:p>
      <w:pPr>
        <w:widowControl w:val="0"/>
        <w:autoSpaceDE w:val="0"/>
        <w:autoSpaceDN w:val="0"/>
        <w:adjustRightInd w:val="0"/>
        <w:snapToGrid w:val="0"/>
        <w:spacing w:line="360" w:lineRule="auto"/>
        <w:ind w:firstLine="1200" w:firstLineChars="500"/>
        <w:jc w:val="both"/>
        <w:rPr>
          <w:rFonts w:hint="eastAsia" w:cs="宋体" w:asciiTheme="minorEastAsia" w:hAnsiTheme="minorEastAsia" w:eastAsiaTheme="minorEastAsia"/>
          <w:color w:val="000000"/>
          <w:sz w:val="24"/>
          <w:szCs w:val="24"/>
          <w:lang w:val="en-US" w:eastAsia="zh-CN" w:bidi="ar-SA"/>
        </w:rPr>
      </w:pPr>
      <w:bookmarkStart w:id="6" w:name="_Toc22987"/>
      <w:r>
        <w:rPr>
          <w:rFonts w:hint="eastAsia" w:cs="宋体" w:asciiTheme="minorEastAsia" w:hAnsiTheme="minorEastAsia" w:eastAsiaTheme="minorEastAsia"/>
          <w:color w:val="000000"/>
          <w:sz w:val="24"/>
          <w:szCs w:val="24"/>
          <w:lang w:val="en-US" w:eastAsia="zh-CN" w:bidi="ar-SA"/>
        </w:rPr>
        <w:t>长江水利委员会长江勘测规划设计研究院</w:t>
      </w:r>
      <w:bookmarkEnd w:id="6"/>
    </w:p>
    <w:p>
      <w:pPr>
        <w:widowControl w:val="0"/>
        <w:autoSpaceDE w:val="0"/>
        <w:autoSpaceDN w:val="0"/>
        <w:adjustRightInd w:val="0"/>
        <w:snapToGrid w:val="0"/>
        <w:spacing w:line="360" w:lineRule="auto"/>
        <w:ind w:firstLine="1200" w:firstLineChars="500"/>
        <w:jc w:val="both"/>
        <w:rPr>
          <w:rFonts w:hint="eastAsia" w:cs="宋体" w:asciiTheme="minorEastAsia" w:hAnsiTheme="minorEastAsia" w:eastAsiaTheme="minorEastAsia"/>
          <w:color w:val="000000"/>
          <w:sz w:val="24"/>
          <w:szCs w:val="24"/>
          <w:lang w:val="en-US" w:eastAsia="zh-CN" w:bidi="ar-SA"/>
        </w:rPr>
      </w:pPr>
      <w:bookmarkStart w:id="7" w:name="_Toc22384"/>
      <w:r>
        <w:rPr>
          <w:rFonts w:hint="eastAsia" w:cs="宋体" w:asciiTheme="minorEastAsia" w:hAnsiTheme="minorEastAsia" w:eastAsiaTheme="minorEastAsia"/>
          <w:color w:val="000000"/>
          <w:sz w:val="24"/>
          <w:szCs w:val="24"/>
          <w:lang w:val="en-US" w:eastAsia="zh-CN" w:bidi="ar-SA"/>
        </w:rPr>
        <w:t>黄河勘测规划设计研究院有限公司</w:t>
      </w:r>
      <w:bookmarkEnd w:id="7"/>
    </w:p>
    <w:p>
      <w:pPr>
        <w:widowControl w:val="0"/>
        <w:autoSpaceDE w:val="0"/>
        <w:autoSpaceDN w:val="0"/>
        <w:adjustRightInd w:val="0"/>
        <w:snapToGrid w:val="0"/>
        <w:spacing w:line="360" w:lineRule="auto"/>
        <w:ind w:firstLine="1200" w:firstLineChars="500"/>
        <w:jc w:val="both"/>
        <w:rPr>
          <w:rFonts w:hint="eastAsia" w:cs="宋体" w:asciiTheme="minorEastAsia" w:hAnsiTheme="minorEastAsia" w:eastAsiaTheme="minorEastAsia"/>
          <w:color w:val="000000"/>
          <w:sz w:val="24"/>
          <w:szCs w:val="24"/>
          <w:lang w:val="en-US" w:eastAsia="zh-CN" w:bidi="ar-SA"/>
        </w:rPr>
      </w:pPr>
      <w:bookmarkStart w:id="8" w:name="_Toc2066"/>
      <w:r>
        <w:rPr>
          <w:rFonts w:hint="eastAsia" w:cs="宋体" w:asciiTheme="minorEastAsia" w:hAnsiTheme="minorEastAsia" w:eastAsiaTheme="minorEastAsia"/>
          <w:color w:val="000000"/>
          <w:sz w:val="24"/>
          <w:szCs w:val="24"/>
          <w:lang w:val="en-US" w:eastAsia="zh-CN" w:bidi="ar-SA"/>
        </w:rPr>
        <w:t>安徽省水利水电勘测设计研究总院有限公司</w:t>
      </w:r>
      <w:bookmarkEnd w:id="8"/>
    </w:p>
    <w:p>
      <w:pPr>
        <w:keepNext w:val="0"/>
        <w:keepLines w:val="0"/>
        <w:pageBreakBefore w:val="0"/>
        <w:widowControl w:val="0"/>
        <w:kinsoku/>
        <w:wordWrap/>
        <w:overflowPunct/>
        <w:topLinePunct w:val="0"/>
        <w:autoSpaceDE w:val="0"/>
        <w:autoSpaceDN w:val="0"/>
        <w:bidi w:val="0"/>
        <w:adjustRightInd w:val="0"/>
        <w:snapToGrid w:val="0"/>
        <w:spacing w:line="360" w:lineRule="auto"/>
        <w:ind w:firstLine="1200" w:firstLineChars="500"/>
        <w:textAlignment w:val="auto"/>
        <w:rPr>
          <w:rFonts w:hint="eastAsia" w:cs="宋体" w:asciiTheme="minorEastAsia" w:hAnsiTheme="minorEastAsia" w:eastAsiaTheme="minorEastAsia"/>
          <w:color w:val="000000"/>
          <w:sz w:val="24"/>
          <w:szCs w:val="24"/>
          <w:lang w:val="en-US" w:eastAsia="zh-CN" w:bidi="ar-SA"/>
        </w:rPr>
      </w:pPr>
      <w:bookmarkStart w:id="9" w:name="_Toc11373"/>
      <w:r>
        <w:rPr>
          <w:rFonts w:hint="eastAsia" w:cs="宋体" w:asciiTheme="minorEastAsia" w:hAnsiTheme="minorEastAsia" w:eastAsiaTheme="minorEastAsia"/>
          <w:color w:val="000000"/>
          <w:sz w:val="24"/>
          <w:szCs w:val="24"/>
          <w:lang w:val="en-US" w:eastAsia="zh-CN" w:bidi="ar-SA"/>
        </w:rPr>
        <w:t>长江生态环保集团有限公司</w:t>
      </w:r>
      <w:bookmarkEnd w:id="9"/>
    </w:p>
    <w:p>
      <w:pPr>
        <w:keepNext w:val="0"/>
        <w:keepLines w:val="0"/>
        <w:pageBreakBefore w:val="0"/>
        <w:widowControl w:val="0"/>
        <w:kinsoku/>
        <w:wordWrap/>
        <w:overflowPunct/>
        <w:topLinePunct w:val="0"/>
        <w:autoSpaceDE w:val="0"/>
        <w:autoSpaceDN w:val="0"/>
        <w:bidi w:val="0"/>
        <w:adjustRightInd w:val="0"/>
        <w:snapToGrid w:val="0"/>
        <w:spacing w:line="360" w:lineRule="auto"/>
        <w:ind w:firstLine="1200" w:firstLineChars="500"/>
        <w:textAlignment w:val="auto"/>
        <w:rPr>
          <w:rFonts w:hint="eastAsia" w:cs="宋体" w:asciiTheme="minorEastAsia" w:hAnsiTheme="minorEastAsia" w:eastAsiaTheme="minorEastAsia"/>
          <w:color w:val="000000"/>
          <w:sz w:val="24"/>
          <w:szCs w:val="24"/>
          <w:lang w:val="en-US" w:eastAsia="zh-CN" w:bidi="ar-SA"/>
        </w:rPr>
      </w:pPr>
      <w:bookmarkStart w:id="10" w:name="_Toc17355"/>
      <w:r>
        <w:rPr>
          <w:rFonts w:hint="eastAsia" w:cs="宋体" w:asciiTheme="minorEastAsia" w:hAnsiTheme="minorEastAsia" w:eastAsiaTheme="minorEastAsia"/>
          <w:color w:val="000000"/>
          <w:sz w:val="24"/>
          <w:szCs w:val="24"/>
          <w:lang w:val="en-US" w:eastAsia="zh-CN" w:bidi="ar-SA"/>
        </w:rPr>
        <w:t>中电建生态环境集团有限公司</w:t>
      </w:r>
      <w:bookmarkEnd w:id="10"/>
    </w:p>
    <w:p>
      <w:pPr>
        <w:keepNext w:val="0"/>
        <w:keepLines w:val="0"/>
        <w:pageBreakBefore w:val="0"/>
        <w:widowControl w:val="0"/>
        <w:kinsoku/>
        <w:wordWrap/>
        <w:overflowPunct/>
        <w:topLinePunct w:val="0"/>
        <w:autoSpaceDE w:val="0"/>
        <w:autoSpaceDN w:val="0"/>
        <w:bidi w:val="0"/>
        <w:adjustRightInd w:val="0"/>
        <w:snapToGrid w:val="0"/>
        <w:spacing w:line="360" w:lineRule="auto"/>
        <w:ind w:firstLine="1200" w:firstLineChars="500"/>
        <w:textAlignment w:val="auto"/>
        <w:rPr>
          <w:rFonts w:hint="default" w:cs="宋体" w:asciiTheme="minorEastAsia" w:hAnsiTheme="minorEastAsia" w:eastAsiaTheme="minorEastAsia"/>
          <w:color w:val="000000"/>
          <w:sz w:val="24"/>
          <w:szCs w:val="24"/>
          <w:lang w:val="en-US" w:eastAsia="zh-CN" w:bidi="ar-SA"/>
        </w:rPr>
      </w:pPr>
      <w:r>
        <w:rPr>
          <w:rFonts w:hint="eastAsia" w:cs="宋体" w:asciiTheme="minorEastAsia" w:hAnsiTheme="minorEastAsia" w:eastAsiaTheme="minorEastAsia"/>
          <w:color w:val="000000"/>
          <w:sz w:val="24"/>
          <w:szCs w:val="24"/>
          <w:lang w:val="en-US" w:eastAsia="zh-CN" w:bidi="ar-SA"/>
        </w:rPr>
        <w:t>北控水务集团</w:t>
      </w:r>
    </w:p>
    <w:p>
      <w:pPr>
        <w:widowControl w:val="0"/>
        <w:autoSpaceDE w:val="0"/>
        <w:autoSpaceDN w:val="0"/>
        <w:adjustRightInd w:val="0"/>
        <w:snapToGrid w:val="0"/>
        <w:spacing w:line="360" w:lineRule="auto"/>
        <w:ind w:firstLine="1200" w:firstLineChars="500"/>
        <w:jc w:val="both"/>
        <w:rPr>
          <w:rFonts w:cs="Times New Roman" w:asciiTheme="minorEastAsia" w:hAnsiTheme="minorEastAsia" w:eastAsiaTheme="minorEastAsia"/>
          <w:color w:val="000000"/>
          <w:sz w:val="24"/>
          <w:szCs w:val="24"/>
          <w:lang w:val="en-US" w:eastAsia="zh-CN" w:bidi="ar-SA"/>
        </w:rPr>
      </w:pPr>
      <w:r>
        <w:rPr>
          <w:rFonts w:hint="eastAsia" w:cs="Times New Roman" w:asciiTheme="minorEastAsia" w:hAnsiTheme="minorEastAsia" w:eastAsiaTheme="minorEastAsia"/>
          <w:color w:val="000000"/>
          <w:sz w:val="24"/>
          <w:szCs w:val="24"/>
          <w:lang w:val="en-US" w:eastAsia="zh-CN" w:bidi="ar-SA"/>
        </w:rPr>
        <w:t>河海大学</w:t>
      </w:r>
    </w:p>
    <w:p>
      <w:pPr>
        <w:bidi w:val="0"/>
        <w:rPr>
          <w:rFonts w:ascii="Times New Roman" w:hAnsi="Times New Roman" w:eastAsia="宋体" w:cs="Times New Roman"/>
        </w:rPr>
      </w:pPr>
      <w:bookmarkStart w:id="11" w:name="_Toc15057"/>
      <w:r>
        <w:rPr>
          <w:rFonts w:ascii="Times New Roman" w:hAnsi="Times New Roman" w:eastAsia="宋体" w:cs="Times New Roman"/>
        </w:rPr>
        <w:t>主要起草人：******</w:t>
      </w:r>
      <w:bookmarkEnd w:id="11"/>
    </w:p>
    <w:p>
      <w:pPr>
        <w:bidi w:val="0"/>
        <w:rPr>
          <w:rFonts w:ascii="Times New Roman" w:hAnsi="Times New Roman" w:eastAsia="宋体" w:cs="Times New Roman"/>
        </w:rPr>
      </w:pPr>
      <w:bookmarkStart w:id="12" w:name="_Toc32525"/>
      <w:r>
        <w:rPr>
          <w:rFonts w:ascii="Times New Roman" w:hAnsi="Times New Roman" w:eastAsia="宋体" w:cs="Times New Roman"/>
        </w:rPr>
        <w:t>主要审查人：******</w:t>
      </w:r>
      <w:bookmarkEnd w:id="12"/>
    </w:p>
    <w:p>
      <w:pPr>
        <w:pStyle w:val="19"/>
        <w:ind w:firstLine="420"/>
        <w:rPr>
          <w:rFonts w:ascii="宋体" w:hAnsi="宋体" w:cs="宋体"/>
          <w:color w:val="000000" w:themeColor="text1"/>
          <w:szCs w:val="21"/>
          <w14:textFill>
            <w14:solidFill>
              <w14:schemeClr w14:val="tx1"/>
            </w14:solidFill>
          </w14:textFill>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8"/>
          <w:szCs w:val="28"/>
          <w:lang w:val="en-US" w:eastAsia="zh-CN" w:bidi="ar-SA"/>
        </w:rPr>
        <w:sectPr>
          <w:headerReference r:id="rId15" w:type="first"/>
          <w:footerReference r:id="rId18" w:type="first"/>
          <w:headerReference r:id="rId13" w:type="default"/>
          <w:footerReference r:id="rId16" w:type="default"/>
          <w:headerReference r:id="rId14" w:type="even"/>
          <w:footerReference r:id="rId17"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titlePg/>
          <w:docGrid w:type="lines" w:linePitch="312" w:charSpace="0"/>
        </w:sectPr>
      </w:pPr>
    </w:p>
    <w:sdt>
      <w:sdtPr>
        <w:rPr>
          <w:rFonts w:ascii="宋体" w:hAnsi="宋体" w:eastAsia="宋体" w:cs="Times New Roman"/>
          <w:kern w:val="2"/>
          <w:sz w:val="28"/>
          <w:szCs w:val="28"/>
          <w:lang w:val="en-US" w:eastAsia="zh-CN" w:bidi="ar-SA"/>
        </w:rPr>
        <w:id w:val="147465845"/>
        <w15:color w:val="DBDBDB"/>
        <w:docPartObj>
          <w:docPartGallery w:val="Table of Contents"/>
          <w:docPartUnique/>
        </w:docPartObj>
      </w:sdtPr>
      <w:sdtEndPr>
        <w:rPr>
          <w:rFonts w:hint="eastAsia" w:ascii="Times New Roman" w:hAnsi="Times New Roman" w:eastAsia="宋体" w:cs="Times New Roman"/>
          <w:b/>
          <w:kern w:val="2"/>
          <w:sz w:val="24"/>
          <w:szCs w:val="28"/>
          <w:lang w:val="en-US" w:eastAsia="zh-CN" w:bidi="ar-SA"/>
        </w:rPr>
      </w:sdtEndPr>
      <w:sdtContent>
        <w:p>
          <w:pPr>
            <w:spacing w:before="0" w:beforeLines="0" w:after="0" w:afterLines="0" w:line="240" w:lineRule="auto"/>
            <w:ind w:left="0" w:leftChars="0" w:right="0" w:rightChars="0" w:firstLine="0" w:firstLineChars="0"/>
            <w:jc w:val="center"/>
            <w:rPr>
              <w:rFonts w:hint="eastAsia" w:ascii="Times New Roman" w:hAnsi="Times New Roman" w:eastAsia="宋体" w:cs="Times New Roman"/>
              <w:b/>
              <w:kern w:val="2"/>
              <w:sz w:val="24"/>
              <w:szCs w:val="28"/>
              <w:lang w:val="en-US" w:eastAsia="zh-CN" w:bidi="ar-SA"/>
            </w:rPr>
          </w:pPr>
          <w:r>
            <w:rPr>
              <w:rFonts w:hint="eastAsia" w:ascii="宋体" w:hAnsi="宋体" w:cs="Times New Roman"/>
              <w:kern w:val="2"/>
              <w:sz w:val="28"/>
              <w:szCs w:val="28"/>
              <w:lang w:val="en-US" w:eastAsia="zh-CN" w:bidi="ar-SA"/>
            </w:rPr>
            <w:t>目  次</w:t>
          </w:r>
          <w:r>
            <w:rPr>
              <w:rFonts w:hint="eastAsia" w:eastAsia="宋体"/>
              <w:sz w:val="28"/>
              <w:szCs w:val="28"/>
              <w:lang w:val="en-US" w:eastAsia="zh-CN"/>
            </w:rPr>
            <w:fldChar w:fldCharType="begin"/>
          </w:r>
          <w:r>
            <w:rPr>
              <w:rFonts w:hint="eastAsia" w:eastAsia="宋体"/>
              <w:sz w:val="28"/>
              <w:szCs w:val="28"/>
              <w:lang w:val="en-US" w:eastAsia="zh-CN"/>
            </w:rPr>
            <w:instrText xml:space="preserve">TOC \o "1-2" \h \u </w:instrText>
          </w:r>
          <w:r>
            <w:rPr>
              <w:rFonts w:hint="eastAsia" w:eastAsia="宋体"/>
              <w:sz w:val="28"/>
              <w:szCs w:val="28"/>
              <w:lang w:val="en-US" w:eastAsia="zh-CN"/>
            </w:rPr>
            <w:fldChar w:fldCharType="separate"/>
          </w:r>
        </w:p>
        <w:p>
          <w:pPr>
            <w:pStyle w:val="10"/>
            <w:tabs>
              <w:tab w:val="right" w:leader="dot" w:pos="8306"/>
            </w:tabs>
            <w:rPr>
              <w:rFonts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_Toc11202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szCs w:val="30"/>
            </w:rPr>
            <w:t xml:space="preserve">1 </w:t>
          </w:r>
          <w:r>
            <w:rPr>
              <w:rFonts w:hint="default" w:ascii="Times New Roman" w:hAnsi="Times New Roman" w:cs="Times New Roman" w:eastAsiaTheme="majorEastAsia"/>
              <w:szCs w:val="30"/>
              <w:lang w:val="en-US" w:eastAsia="zh-CN"/>
            </w:rPr>
            <w:t xml:space="preserve"> </w:t>
          </w:r>
          <w:r>
            <w:rPr>
              <w:rFonts w:hint="default" w:ascii="Times New Roman" w:hAnsi="Times New Roman" w:cs="Times New Roman" w:eastAsiaTheme="majorEastAsia"/>
              <w:szCs w:val="30"/>
            </w:rPr>
            <w:t>总则</w:t>
          </w:r>
          <w:r>
            <w:rPr>
              <w:rFonts w:ascii="Times New Roman" w:hAnsi="Times New Roman" w:cs="Times New Roman"/>
            </w:rPr>
            <w:tab/>
          </w:r>
          <w:r>
            <w:rPr>
              <w:rFonts w:hint="default" w:ascii="Times New Roman" w:hAnsi="Times New Roman" w:cs="Times New Roman"/>
              <w:lang w:eastAsia="zh-CN"/>
            </w:rPr>
            <w:t>（</w:t>
          </w:r>
          <w:r>
            <w:rPr>
              <w:rFonts w:hint="default" w:ascii="Times New Roman" w:hAnsi="Times New Roman" w:eastAsia="宋体" w:cs="Times New Roman"/>
              <w:kern w:val="2"/>
              <w:sz w:val="21"/>
              <w:szCs w:val="21"/>
              <w:lang w:val="en-US" w:eastAsia="zh-CN" w:bidi="ar-SA"/>
            </w:rPr>
            <w:fldChar w:fldCharType="begin"/>
          </w:r>
          <w:r>
            <w:rPr>
              <w:rFonts w:hint="default" w:ascii="Times New Roman" w:hAnsi="Times New Roman" w:eastAsia="宋体" w:cs="Times New Roman"/>
              <w:kern w:val="2"/>
              <w:sz w:val="21"/>
              <w:szCs w:val="21"/>
              <w:lang w:val="en-US" w:eastAsia="zh-CN" w:bidi="ar-SA"/>
            </w:rPr>
            <w:instrText xml:space="preserve"> PAGEREF _Toc26706 \h </w:instrText>
          </w:r>
          <w:r>
            <w:rPr>
              <w:rFonts w:hint="default" w:ascii="Times New Roman" w:hAnsi="Times New Roman" w:eastAsia="宋体" w:cs="Times New Roman"/>
              <w:kern w:val="2"/>
              <w:sz w:val="21"/>
              <w:szCs w:val="21"/>
              <w:lang w:val="en-US" w:eastAsia="zh-CN" w:bidi="ar-SA"/>
            </w:rPr>
            <w:fldChar w:fldCharType="separate"/>
          </w:r>
          <w:r>
            <w:rPr>
              <w:rFonts w:hint="default" w:ascii="Times New Roman" w:hAnsi="Times New Roman" w:eastAsia="宋体" w:cs="Times New Roman"/>
              <w:kern w:val="2"/>
              <w:sz w:val="21"/>
              <w:szCs w:val="21"/>
              <w:lang w:val="en-US" w:eastAsia="zh-CN" w:bidi="ar-SA"/>
            </w:rPr>
            <w:t>1</w:t>
          </w:r>
          <w:r>
            <w:rPr>
              <w:rFonts w:hint="default" w:ascii="Times New Roman" w:hAnsi="Times New Roman" w:eastAsia="宋体" w:cs="Times New Roman"/>
              <w:kern w:val="2"/>
              <w:sz w:val="21"/>
              <w:szCs w:val="21"/>
              <w:lang w:val="en-US" w:eastAsia="zh-CN" w:bidi="ar-SA"/>
            </w:rPr>
            <w:fldChar w:fldCharType="end"/>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0"/>
            <w:tabs>
              <w:tab w:val="right" w:leader="dot" w:pos="8306"/>
            </w:tabs>
            <w:rPr>
              <w:rFonts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_Toc29604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szCs w:val="30"/>
            </w:rPr>
            <w:t xml:space="preserve">2 </w:t>
          </w:r>
          <w:r>
            <w:rPr>
              <w:rFonts w:hint="default" w:ascii="Times New Roman" w:hAnsi="Times New Roman" w:cs="Times New Roman" w:eastAsiaTheme="majorEastAsia"/>
              <w:szCs w:val="30"/>
              <w:lang w:val="en-US" w:eastAsia="zh-CN"/>
            </w:rPr>
            <w:t xml:space="preserve"> </w:t>
          </w:r>
          <w:r>
            <w:rPr>
              <w:rFonts w:hint="default" w:ascii="Times New Roman" w:hAnsi="Times New Roman" w:cs="Times New Roman" w:eastAsiaTheme="majorEastAsia"/>
              <w:szCs w:val="30"/>
            </w:rPr>
            <w:t>术语</w:t>
          </w:r>
          <w:r>
            <w:rPr>
              <w:rFonts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2</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0"/>
            <w:tabs>
              <w:tab w:val="right" w:leader="dot" w:pos="8306"/>
            </w:tabs>
            <w:rPr>
              <w:rFonts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_Toc9163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kern w:val="2"/>
              <w:sz w:val="24"/>
              <w:szCs w:val="30"/>
              <w:lang w:val="en-US" w:eastAsia="zh-CN" w:bidi="ar-SA"/>
            </w:rPr>
            <w:t>3</w:t>
          </w:r>
          <w:r>
            <w:rPr>
              <w:rFonts w:hint="default" w:ascii="Times New Roman" w:hAnsi="Times New Roman" w:cs="Times New Roman" w:eastAsiaTheme="majorEastAsia"/>
              <w:szCs w:val="30"/>
            </w:rPr>
            <w:t xml:space="preserve"> </w:t>
          </w:r>
          <w:r>
            <w:rPr>
              <w:rFonts w:hint="default" w:ascii="Times New Roman" w:hAnsi="Times New Roman" w:cs="Times New Roman" w:eastAsiaTheme="majorEastAsia"/>
              <w:szCs w:val="30"/>
              <w:lang w:val="en-US" w:eastAsia="zh-CN"/>
            </w:rPr>
            <w:t xml:space="preserve"> </w:t>
          </w:r>
          <w:r>
            <w:rPr>
              <w:rFonts w:hint="default" w:ascii="Times New Roman" w:hAnsi="Times New Roman" w:cs="Times New Roman" w:eastAsiaTheme="majorEastAsia"/>
              <w:szCs w:val="30"/>
            </w:rPr>
            <w:t>基本规定</w:t>
          </w:r>
          <w:r>
            <w:rPr>
              <w:rFonts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4</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0"/>
            <w:tabs>
              <w:tab w:val="right" w:leader="dot" w:pos="8306"/>
            </w:tabs>
            <w:rPr>
              <w:rFonts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_Toc5219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kern w:val="2"/>
              <w:sz w:val="24"/>
              <w:szCs w:val="30"/>
              <w:lang w:val="en-US" w:eastAsia="zh-CN" w:bidi="ar-SA"/>
            </w:rPr>
            <w:t>4</w:t>
          </w:r>
          <w:r>
            <w:rPr>
              <w:rFonts w:hint="default" w:ascii="Times New Roman" w:hAnsi="Times New Roman" w:cs="Times New Roman" w:eastAsiaTheme="majorEastAsia"/>
              <w:szCs w:val="30"/>
              <w:lang w:val="en-US" w:eastAsia="zh-CN"/>
            </w:rPr>
            <w:t xml:space="preserve">  </w:t>
          </w:r>
          <w:r>
            <w:rPr>
              <w:rFonts w:hint="default" w:ascii="Times New Roman" w:hAnsi="Times New Roman" w:cs="Times New Roman" w:eastAsiaTheme="majorEastAsia"/>
              <w:szCs w:val="30"/>
            </w:rPr>
            <w:t>工程设计</w:t>
          </w:r>
          <w:r>
            <w:rPr>
              <w:rFonts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5</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1"/>
            <w:tabs>
              <w:tab w:val="right" w:leader="dot" w:pos="8306"/>
            </w:tabs>
            <w:rPr>
              <w:rFonts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_Toc13857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kern w:val="2"/>
              <w:sz w:val="24"/>
              <w:szCs w:val="30"/>
              <w:lang w:val="en-US" w:eastAsia="zh-CN" w:bidi="ar-SA"/>
            </w:rPr>
            <w:t>4.1</w:t>
          </w:r>
          <w:r>
            <w:rPr>
              <w:rFonts w:hint="default" w:ascii="Times New Roman" w:hAnsi="Times New Roman" w:eastAsia="宋体" w:cs="Times New Roman"/>
              <w:szCs w:val="28"/>
              <w:lang w:val="en-US" w:eastAsia="zh-CN"/>
            </w:rPr>
            <w:t xml:space="preserve">  采样勘查</w:t>
          </w:r>
          <w:r>
            <w:rPr>
              <w:rFonts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5</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1"/>
            <w:tabs>
              <w:tab w:val="right" w:leader="dot" w:pos="8306"/>
            </w:tabs>
            <w:rPr>
              <w:rFonts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_Toc21062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kern w:val="2"/>
              <w:sz w:val="24"/>
              <w:szCs w:val="30"/>
              <w:lang w:val="en-US" w:eastAsia="zh-CN" w:bidi="ar-SA"/>
            </w:rPr>
            <w:t>4.2</w:t>
          </w:r>
          <w:r>
            <w:rPr>
              <w:rFonts w:hint="default" w:ascii="Times New Roman" w:hAnsi="Times New Roman" w:eastAsia="宋体" w:cs="Times New Roman"/>
              <w:szCs w:val="28"/>
            </w:rPr>
            <w:t xml:space="preserve"> </w:t>
          </w:r>
          <w:r>
            <w:rPr>
              <w:rFonts w:hint="default" w:ascii="Times New Roman" w:hAnsi="Times New Roman" w:eastAsia="宋体" w:cs="Times New Roman"/>
              <w:szCs w:val="28"/>
              <w:lang w:val="en-US" w:eastAsia="zh-CN"/>
            </w:rPr>
            <w:t xml:space="preserve"> 系统设计</w:t>
          </w:r>
          <w:r>
            <w:rPr>
              <w:rFonts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5</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1"/>
            <w:tabs>
              <w:tab w:val="right" w:leader="dot" w:pos="8306"/>
            </w:tabs>
            <w:rPr>
              <w:rFonts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_Toc9710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kern w:val="2"/>
              <w:sz w:val="24"/>
              <w:szCs w:val="30"/>
              <w:lang w:val="en-US" w:eastAsia="zh-CN" w:bidi="ar-SA"/>
            </w:rPr>
            <w:t>4.3</w:t>
          </w:r>
          <w:r>
            <w:rPr>
              <w:rFonts w:hint="default" w:ascii="Times New Roman" w:hAnsi="Times New Roman" w:eastAsia="宋体" w:cs="Times New Roman"/>
              <w:szCs w:val="28"/>
              <w:lang w:val="en-US" w:eastAsia="zh-CN"/>
            </w:rPr>
            <w:t xml:space="preserve">  </w:t>
          </w:r>
          <w:r>
            <w:rPr>
              <w:rFonts w:hint="default" w:ascii="Times New Roman" w:hAnsi="Times New Roman" w:eastAsia="宋体" w:cs="Times New Roman"/>
              <w:szCs w:val="28"/>
            </w:rPr>
            <w:t>洗脱</w:t>
          </w:r>
          <w:r>
            <w:rPr>
              <w:rFonts w:hint="default" w:ascii="Times New Roman" w:hAnsi="Times New Roman" w:eastAsia="宋体" w:cs="Times New Roman"/>
              <w:szCs w:val="28"/>
              <w:lang w:val="en-US" w:eastAsia="zh-CN"/>
            </w:rPr>
            <w:t>工艺</w:t>
          </w:r>
          <w:r>
            <w:rPr>
              <w:rFonts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7</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1"/>
            <w:tabs>
              <w:tab w:val="right" w:leader="dot" w:pos="8306"/>
            </w:tabs>
            <w:rPr>
              <w:rFonts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_Toc28191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kern w:val="2"/>
              <w:sz w:val="24"/>
              <w:szCs w:val="30"/>
              <w:lang w:val="en-US" w:eastAsia="zh-CN" w:bidi="ar-SA"/>
            </w:rPr>
            <w:t>4.4</w:t>
          </w:r>
          <w:r>
            <w:rPr>
              <w:rFonts w:hint="default" w:ascii="Times New Roman" w:hAnsi="Times New Roman" w:eastAsia="宋体" w:cs="Times New Roman"/>
              <w:szCs w:val="28"/>
            </w:rPr>
            <w:t xml:space="preserve"> </w:t>
          </w:r>
          <w:r>
            <w:rPr>
              <w:rFonts w:hint="default" w:ascii="Times New Roman" w:hAnsi="Times New Roman" w:eastAsia="宋体" w:cs="Times New Roman"/>
              <w:szCs w:val="28"/>
              <w:lang w:val="en-US" w:eastAsia="zh-CN"/>
            </w:rPr>
            <w:t xml:space="preserve"> </w:t>
          </w:r>
          <w:r>
            <w:rPr>
              <w:rFonts w:hint="default" w:ascii="Times New Roman" w:hAnsi="Times New Roman" w:eastAsia="宋体" w:cs="Times New Roman"/>
              <w:szCs w:val="28"/>
            </w:rPr>
            <w:t>污泥</w:t>
          </w:r>
          <w:r>
            <w:rPr>
              <w:rFonts w:hint="default" w:ascii="Times New Roman" w:hAnsi="Times New Roman" w:eastAsia="宋体" w:cs="Times New Roman"/>
              <w:szCs w:val="28"/>
              <w:lang w:val="en-US" w:eastAsia="zh-CN"/>
            </w:rPr>
            <w:t>处置</w:t>
          </w:r>
          <w:r>
            <w:rPr>
              <w:rFonts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8</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1"/>
            <w:tabs>
              <w:tab w:val="right" w:leader="dot" w:pos="8306"/>
            </w:tabs>
            <w:rPr>
              <w:rFonts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_Toc22980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kern w:val="2"/>
              <w:sz w:val="24"/>
              <w:szCs w:val="30"/>
              <w:lang w:val="en-US" w:eastAsia="zh-CN" w:bidi="ar-SA"/>
            </w:rPr>
            <w:t>4.5</w:t>
          </w:r>
          <w:r>
            <w:rPr>
              <w:rFonts w:hint="default" w:ascii="Times New Roman" w:hAnsi="Times New Roman" w:eastAsia="宋体" w:cs="Times New Roman"/>
              <w:szCs w:val="28"/>
              <w:lang w:val="en-US" w:eastAsia="zh-CN"/>
            </w:rPr>
            <w:t xml:space="preserve">  </w:t>
          </w:r>
          <w:r>
            <w:rPr>
              <w:rFonts w:hint="default" w:ascii="Times New Roman" w:hAnsi="Times New Roman" w:eastAsia="宋体" w:cs="Times New Roman"/>
              <w:szCs w:val="28"/>
            </w:rPr>
            <w:t>余水</w:t>
          </w:r>
          <w:r>
            <w:rPr>
              <w:rFonts w:hint="default" w:ascii="Times New Roman" w:hAnsi="Times New Roman" w:eastAsia="宋体" w:cs="Times New Roman"/>
              <w:szCs w:val="28"/>
              <w:lang w:val="en-US" w:eastAsia="zh-CN"/>
            </w:rPr>
            <w:t>处理</w:t>
          </w:r>
          <w:r>
            <w:rPr>
              <w:rFonts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8</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0"/>
            <w:tabs>
              <w:tab w:val="right" w:leader="dot" w:pos="8306"/>
            </w:tabs>
            <w:rPr>
              <w:rFonts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_Toc24858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kern w:val="2"/>
              <w:sz w:val="24"/>
              <w:szCs w:val="30"/>
              <w:lang w:val="en-US" w:eastAsia="zh-CN" w:bidi="ar-SA"/>
            </w:rPr>
            <w:t>5</w:t>
          </w:r>
          <w:r>
            <w:rPr>
              <w:rFonts w:hint="default" w:ascii="Times New Roman" w:hAnsi="Times New Roman" w:cs="Times New Roman" w:eastAsiaTheme="majorEastAsia"/>
              <w:szCs w:val="30"/>
            </w:rPr>
            <w:t xml:space="preserve"> </w:t>
          </w:r>
          <w:r>
            <w:rPr>
              <w:rFonts w:hint="default" w:ascii="Times New Roman" w:hAnsi="Times New Roman" w:cs="Times New Roman" w:eastAsiaTheme="majorEastAsia"/>
              <w:szCs w:val="30"/>
              <w:lang w:val="en-US" w:eastAsia="zh-CN"/>
            </w:rPr>
            <w:t xml:space="preserve"> </w:t>
          </w:r>
          <w:r>
            <w:rPr>
              <w:rFonts w:hint="default" w:ascii="Times New Roman" w:hAnsi="Times New Roman" w:cs="Times New Roman" w:eastAsiaTheme="majorEastAsia"/>
              <w:szCs w:val="30"/>
            </w:rPr>
            <w:t>监测与控制</w:t>
          </w:r>
          <w:r>
            <w:rPr>
              <w:rFonts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9</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1"/>
            <w:tabs>
              <w:tab w:val="right" w:leader="dot" w:pos="8306"/>
            </w:tabs>
            <w:rPr>
              <w:rFonts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_Toc26488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kern w:val="2"/>
              <w:sz w:val="24"/>
              <w:szCs w:val="30"/>
              <w:lang w:val="en-US" w:eastAsia="zh-CN" w:bidi="ar-SA"/>
            </w:rPr>
            <w:t>5.1</w:t>
          </w:r>
          <w:r>
            <w:rPr>
              <w:rFonts w:hint="default" w:ascii="Times New Roman" w:hAnsi="Times New Roman" w:eastAsia="宋体" w:cs="Times New Roman"/>
              <w:szCs w:val="28"/>
              <w:lang w:val="en-US" w:eastAsia="zh-CN"/>
            </w:rPr>
            <w:t xml:space="preserve"> </w:t>
          </w:r>
          <w:r>
            <w:rPr>
              <w:rFonts w:hint="default" w:ascii="Times New Roman" w:hAnsi="Times New Roman" w:eastAsia="宋体" w:cs="Times New Roman"/>
              <w:szCs w:val="28"/>
            </w:rPr>
            <w:t xml:space="preserve"> 监测</w:t>
          </w:r>
          <w:r>
            <w:rPr>
              <w:rFonts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9</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1"/>
            <w:tabs>
              <w:tab w:val="right" w:leader="dot" w:pos="8306"/>
            </w:tabs>
            <w:rPr>
              <w:rFonts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_Toc19885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kern w:val="2"/>
              <w:sz w:val="24"/>
              <w:szCs w:val="30"/>
              <w:lang w:val="en-US" w:eastAsia="zh-CN" w:bidi="ar-SA"/>
            </w:rPr>
            <w:t>5.2</w:t>
          </w:r>
          <w:r>
            <w:rPr>
              <w:rFonts w:hint="default" w:ascii="Times New Roman" w:hAnsi="Times New Roman" w:eastAsia="宋体" w:cs="Times New Roman"/>
              <w:szCs w:val="28"/>
            </w:rPr>
            <w:t xml:space="preserve"> </w:t>
          </w:r>
          <w:r>
            <w:rPr>
              <w:rFonts w:hint="default" w:ascii="Times New Roman" w:hAnsi="Times New Roman" w:eastAsia="宋体" w:cs="Times New Roman"/>
              <w:szCs w:val="28"/>
              <w:lang w:val="en-US" w:eastAsia="zh-CN"/>
            </w:rPr>
            <w:t xml:space="preserve"> </w:t>
          </w:r>
          <w:r>
            <w:rPr>
              <w:rFonts w:hint="default" w:ascii="Times New Roman" w:hAnsi="Times New Roman" w:eastAsia="宋体" w:cs="Times New Roman"/>
              <w:szCs w:val="28"/>
            </w:rPr>
            <w:t>控制</w:t>
          </w:r>
          <w:r>
            <w:rPr>
              <w:rFonts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9</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0"/>
            <w:tabs>
              <w:tab w:val="right" w:leader="dot" w:pos="8306"/>
            </w:tabs>
            <w:rPr>
              <w:rFonts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_Toc980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szCs w:val="30"/>
            </w:rPr>
            <w:t>附录</w:t>
          </w:r>
          <w:r>
            <w:rPr>
              <w:rFonts w:ascii="Times New Roman" w:hAnsi="Times New Roman" w:cs="Times New Roman"/>
            </w:rPr>
            <w:tab/>
          </w:r>
          <w:r>
            <w:rPr>
              <w:rFonts w:hint="default" w:ascii="Times New Roman" w:hAnsi="Times New Roman" w:cs="Times New Roman"/>
              <w:lang w:eastAsia="zh-CN"/>
            </w:rPr>
            <w:t>（</w:t>
          </w:r>
          <w:r>
            <w:rPr>
              <w:rFonts w:hint="default" w:ascii="Times New Roman" w:hAnsi="Times New Roman" w:eastAsia="宋体" w:cs="Times New Roman"/>
              <w:kern w:val="2"/>
              <w:sz w:val="21"/>
              <w:szCs w:val="21"/>
              <w:lang w:val="en-US" w:eastAsia="zh-CN" w:bidi="ar-SA"/>
            </w:rPr>
            <w:fldChar w:fldCharType="begin"/>
          </w:r>
          <w:r>
            <w:rPr>
              <w:rFonts w:hint="default" w:ascii="Times New Roman" w:hAnsi="Times New Roman" w:eastAsia="宋体" w:cs="Times New Roman"/>
              <w:kern w:val="2"/>
              <w:sz w:val="21"/>
              <w:szCs w:val="21"/>
              <w:lang w:val="en-US" w:eastAsia="zh-CN" w:bidi="ar-SA"/>
            </w:rPr>
            <w:instrText xml:space="preserve"> PAGEREF _Toc26706 \h </w:instrText>
          </w:r>
          <w:r>
            <w:rPr>
              <w:rFonts w:hint="default" w:ascii="Times New Roman" w:hAnsi="Times New Roman" w:eastAsia="宋体" w:cs="Times New Roman"/>
              <w:kern w:val="2"/>
              <w:sz w:val="21"/>
              <w:szCs w:val="21"/>
              <w:lang w:val="en-US" w:eastAsia="zh-CN" w:bidi="ar-SA"/>
            </w:rPr>
            <w:fldChar w:fldCharType="separate"/>
          </w:r>
          <w:r>
            <w:rPr>
              <w:rFonts w:hint="default" w:ascii="Times New Roman" w:hAnsi="Times New Roman" w:eastAsia="宋体" w:cs="Times New Roman"/>
              <w:kern w:val="2"/>
              <w:sz w:val="21"/>
              <w:szCs w:val="21"/>
              <w:lang w:val="en-US" w:eastAsia="zh-CN" w:bidi="ar-SA"/>
            </w:rPr>
            <w:t>1</w:t>
          </w:r>
          <w:r>
            <w:rPr>
              <w:rFonts w:hint="default" w:ascii="Times New Roman" w:hAnsi="Times New Roman" w:eastAsia="宋体" w:cs="Times New Roman"/>
              <w:kern w:val="2"/>
              <w:sz w:val="21"/>
              <w:szCs w:val="21"/>
              <w:lang w:val="en-US" w:eastAsia="zh-CN" w:bidi="ar-SA"/>
            </w:rPr>
            <w:fldChar w:fldCharType="end"/>
          </w:r>
          <w:r>
            <w:rPr>
              <w:rFonts w:hint="default" w:ascii="Times New Roman" w:hAnsi="Times New Roman" w:cs="Times New Roman"/>
              <w:kern w:val="2"/>
              <w:sz w:val="21"/>
              <w:szCs w:val="21"/>
              <w:lang w:val="en-US" w:eastAsia="zh-CN" w:bidi="ar-SA"/>
            </w:rPr>
            <w:t>0</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0"/>
            <w:tabs>
              <w:tab w:val="right" w:leader="dot" w:pos="8306"/>
            </w:tabs>
            <w:rPr>
              <w:rFonts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_Toc26873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szCs w:val="30"/>
              <w:lang w:val="en-US" w:eastAsia="zh-CN"/>
            </w:rPr>
            <w:t>本标准用词说明</w:t>
          </w:r>
          <w:r>
            <w:rPr>
              <w:rFonts w:ascii="Times New Roman" w:hAnsi="Times New Roman" w:cs="Times New Roman"/>
            </w:rPr>
            <w:tab/>
          </w:r>
          <w:r>
            <w:rPr>
              <w:rFonts w:hint="default" w:ascii="Times New Roman" w:hAnsi="Times New Roman" w:cs="Times New Roman"/>
              <w:lang w:eastAsia="zh-CN"/>
            </w:rPr>
            <w:t>（</w:t>
          </w:r>
          <w:r>
            <w:rPr>
              <w:rFonts w:hint="default" w:ascii="Times New Roman" w:hAnsi="Times New Roman" w:eastAsia="宋体" w:cs="Times New Roman"/>
              <w:kern w:val="2"/>
              <w:sz w:val="21"/>
              <w:szCs w:val="21"/>
              <w:lang w:val="en-US" w:eastAsia="zh-CN" w:bidi="ar-SA"/>
            </w:rPr>
            <w:fldChar w:fldCharType="begin"/>
          </w:r>
          <w:r>
            <w:rPr>
              <w:rFonts w:hint="default" w:ascii="Times New Roman" w:hAnsi="Times New Roman" w:eastAsia="宋体" w:cs="Times New Roman"/>
              <w:kern w:val="2"/>
              <w:sz w:val="21"/>
              <w:szCs w:val="21"/>
              <w:lang w:val="en-US" w:eastAsia="zh-CN" w:bidi="ar-SA"/>
            </w:rPr>
            <w:instrText xml:space="preserve"> PAGEREF _Toc26706 \h </w:instrText>
          </w:r>
          <w:r>
            <w:rPr>
              <w:rFonts w:hint="default" w:ascii="Times New Roman" w:hAnsi="Times New Roman" w:eastAsia="宋体" w:cs="Times New Roman"/>
              <w:kern w:val="2"/>
              <w:sz w:val="21"/>
              <w:szCs w:val="21"/>
              <w:lang w:val="en-US" w:eastAsia="zh-CN" w:bidi="ar-SA"/>
            </w:rPr>
            <w:fldChar w:fldCharType="separate"/>
          </w:r>
          <w:r>
            <w:rPr>
              <w:rFonts w:hint="default" w:ascii="Times New Roman" w:hAnsi="Times New Roman" w:eastAsia="宋体" w:cs="Times New Roman"/>
              <w:kern w:val="2"/>
              <w:sz w:val="21"/>
              <w:szCs w:val="21"/>
              <w:lang w:val="en-US" w:eastAsia="zh-CN" w:bidi="ar-SA"/>
            </w:rPr>
            <w:t>1</w:t>
          </w:r>
          <w:r>
            <w:rPr>
              <w:rFonts w:hint="default" w:ascii="Times New Roman" w:hAnsi="Times New Roman" w:eastAsia="宋体" w:cs="Times New Roman"/>
              <w:kern w:val="2"/>
              <w:sz w:val="21"/>
              <w:szCs w:val="21"/>
              <w:lang w:val="en-US" w:eastAsia="zh-CN" w:bidi="ar-SA"/>
            </w:rPr>
            <w:fldChar w:fldCharType="end"/>
          </w:r>
          <w:r>
            <w:rPr>
              <w:rFonts w:hint="default" w:ascii="Times New Roman" w:hAnsi="Times New Roman" w:cs="Times New Roman"/>
              <w:kern w:val="2"/>
              <w:sz w:val="21"/>
              <w:szCs w:val="21"/>
              <w:lang w:val="en-US" w:eastAsia="zh-CN" w:bidi="ar-SA"/>
            </w:rPr>
            <w:t>2</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0"/>
            <w:tabs>
              <w:tab w:val="right" w:leader="dot" w:pos="8306"/>
            </w:tabs>
            <w:rPr>
              <w:rFonts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_Toc7407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szCs w:val="30"/>
              <w:lang w:val="en-US" w:eastAsia="zh-CN"/>
            </w:rPr>
            <w:t>引用标准名录</w:t>
          </w:r>
          <w:r>
            <w:rPr>
              <w:rFonts w:ascii="Times New Roman" w:hAnsi="Times New Roman" w:cs="Times New Roman"/>
            </w:rPr>
            <w:tab/>
          </w:r>
          <w:r>
            <w:rPr>
              <w:rFonts w:hint="default" w:ascii="Times New Roman" w:hAnsi="Times New Roman" w:cs="Times New Roman"/>
              <w:lang w:eastAsia="zh-CN"/>
            </w:rPr>
            <w:t>（</w:t>
          </w:r>
          <w:r>
            <w:rPr>
              <w:rFonts w:hint="default" w:ascii="Times New Roman" w:hAnsi="Times New Roman" w:eastAsia="宋体" w:cs="Times New Roman"/>
              <w:kern w:val="2"/>
              <w:sz w:val="21"/>
              <w:szCs w:val="21"/>
              <w:lang w:val="en-US" w:eastAsia="zh-CN" w:bidi="ar-SA"/>
            </w:rPr>
            <w:fldChar w:fldCharType="begin"/>
          </w:r>
          <w:r>
            <w:rPr>
              <w:rFonts w:hint="default" w:ascii="Times New Roman" w:hAnsi="Times New Roman" w:eastAsia="宋体" w:cs="Times New Roman"/>
              <w:kern w:val="2"/>
              <w:sz w:val="21"/>
              <w:szCs w:val="21"/>
              <w:lang w:val="en-US" w:eastAsia="zh-CN" w:bidi="ar-SA"/>
            </w:rPr>
            <w:instrText xml:space="preserve"> PAGEREF _Toc26706 \h </w:instrText>
          </w:r>
          <w:r>
            <w:rPr>
              <w:rFonts w:hint="default" w:ascii="Times New Roman" w:hAnsi="Times New Roman" w:eastAsia="宋体" w:cs="Times New Roman"/>
              <w:kern w:val="2"/>
              <w:sz w:val="21"/>
              <w:szCs w:val="21"/>
              <w:lang w:val="en-US" w:eastAsia="zh-CN" w:bidi="ar-SA"/>
            </w:rPr>
            <w:fldChar w:fldCharType="separate"/>
          </w:r>
          <w:r>
            <w:rPr>
              <w:rFonts w:hint="default" w:ascii="Times New Roman" w:hAnsi="Times New Roman" w:eastAsia="宋体" w:cs="Times New Roman"/>
              <w:kern w:val="2"/>
              <w:sz w:val="21"/>
              <w:szCs w:val="21"/>
              <w:lang w:val="en-US" w:eastAsia="zh-CN" w:bidi="ar-SA"/>
            </w:rPr>
            <w:t>1</w:t>
          </w:r>
          <w:r>
            <w:rPr>
              <w:rFonts w:hint="default" w:ascii="Times New Roman" w:hAnsi="Times New Roman" w:eastAsia="宋体" w:cs="Times New Roman"/>
              <w:kern w:val="2"/>
              <w:sz w:val="21"/>
              <w:szCs w:val="21"/>
              <w:lang w:val="en-US" w:eastAsia="zh-CN" w:bidi="ar-SA"/>
            </w:rPr>
            <w:fldChar w:fldCharType="end"/>
          </w:r>
          <w:r>
            <w:rPr>
              <w:rFonts w:hint="default" w:ascii="Times New Roman" w:hAnsi="Times New Roman" w:cs="Times New Roman"/>
              <w:kern w:val="2"/>
              <w:sz w:val="21"/>
              <w:szCs w:val="21"/>
              <w:lang w:val="en-US" w:eastAsia="zh-CN" w:bidi="ar-SA"/>
            </w:rPr>
            <w:t>3</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spacing w:before="0" w:beforeLines="0" w:after="0" w:afterLines="0" w:line="240" w:lineRule="auto"/>
            <w:ind w:left="0" w:leftChars="0" w:right="0" w:rightChars="0" w:firstLine="0" w:firstLineChars="0"/>
            <w:jc w:val="center"/>
            <w:rPr>
              <w:rFonts w:hint="eastAsia" w:eastAsia="宋体"/>
              <w:sz w:val="28"/>
              <w:szCs w:val="28"/>
              <w:lang w:val="en-US" w:eastAsia="zh-CN"/>
            </w:rPr>
          </w:pPr>
          <w:r>
            <w:rPr>
              <w:rFonts w:hint="eastAsia" w:eastAsia="宋体"/>
              <w:b/>
              <w:szCs w:val="28"/>
              <w:lang w:val="en-US" w:eastAsia="zh-CN"/>
            </w:rPr>
            <w:fldChar w:fldCharType="end"/>
          </w:r>
        </w:p>
      </w:sdtContent>
    </w:sdt>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ind w:left="0" w:leftChars="0" w:firstLine="0" w:firstLineChars="0"/>
        <w:sectPr>
          <w:footerReference r:id="rId20" w:type="first"/>
          <w:footerReference r:id="rId1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bidi w:val="0"/>
        <w:ind w:left="0" w:leftChars="0" w:firstLine="0" w:firstLineChars="0"/>
      </w:pPr>
    </w:p>
    <w:p>
      <w:pPr>
        <w:bidi w:val="0"/>
        <w:ind w:left="0" w:leftChars="0" w:firstLine="0" w:firstLineChars="0"/>
        <w:jc w:val="center"/>
        <w:rPr>
          <w:rFonts w:hint="eastAsia"/>
          <w:b/>
          <w:bCs/>
          <w:sz w:val="28"/>
          <w:szCs w:val="28"/>
          <w:lang w:val="en-US" w:eastAsia="zh-CN"/>
        </w:rPr>
      </w:pPr>
      <w:r>
        <w:rPr>
          <w:rFonts w:hint="eastAsia"/>
          <w:b/>
          <w:bCs/>
          <w:sz w:val="28"/>
          <w:szCs w:val="28"/>
          <w:lang w:val="en-US" w:eastAsia="zh-CN"/>
        </w:rPr>
        <w:t>Contents</w:t>
      </w:r>
    </w:p>
    <w:p>
      <w:pPr>
        <w:pStyle w:val="10"/>
        <w:tabs>
          <w:tab w:val="right" w:leader="dot" w:pos="8306"/>
        </w:tabs>
        <w:rPr>
          <w:rFonts w:hint="default"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_Toc26706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szCs w:val="30"/>
        </w:rPr>
        <w:t>1 General</w:t>
      </w:r>
      <w:r>
        <w:rPr>
          <w:rFonts w:hint="default" w:ascii="Times New Roman" w:hAnsi="Times New Roman" w:cs="Times New Roman" w:eastAsiaTheme="majorEastAsia"/>
          <w:szCs w:val="30"/>
          <w:lang w:val="en-US" w:eastAsia="zh-CN"/>
        </w:rPr>
        <w:t xml:space="preserve"> </w:t>
      </w:r>
      <w:r>
        <w:rPr>
          <w:rFonts w:hint="default" w:ascii="Times New Roman" w:hAnsi="Times New Roman" w:cs="Times New Roman" w:eastAsiaTheme="majorEastAsia"/>
          <w:szCs w:val="30"/>
        </w:rPr>
        <w:t>provisions</w:t>
      </w:r>
      <w:r>
        <w:rPr>
          <w:rFonts w:hint="default" w:ascii="Times New Roman" w:hAnsi="Times New Roman" w:cs="Times New Roman"/>
        </w:rPr>
        <w:tab/>
      </w:r>
      <w:r>
        <w:rPr>
          <w:rFonts w:hint="default" w:ascii="Times New Roman" w:hAnsi="Times New Roman" w:cs="Times New Roman"/>
          <w:lang w:eastAsia="zh-CN"/>
        </w:rPr>
        <w:t>（</w:t>
      </w:r>
      <w:r>
        <w:rPr>
          <w:rFonts w:hint="default" w:ascii="Times New Roman" w:hAnsi="Times New Roman" w:eastAsia="宋体" w:cs="Times New Roman"/>
          <w:kern w:val="2"/>
          <w:sz w:val="21"/>
          <w:szCs w:val="21"/>
          <w:lang w:val="en-US" w:eastAsia="zh-CN" w:bidi="ar-SA"/>
        </w:rPr>
        <w:fldChar w:fldCharType="begin"/>
      </w:r>
      <w:r>
        <w:rPr>
          <w:rFonts w:hint="default" w:ascii="Times New Roman" w:hAnsi="Times New Roman" w:eastAsia="宋体" w:cs="Times New Roman"/>
          <w:kern w:val="2"/>
          <w:sz w:val="21"/>
          <w:szCs w:val="21"/>
          <w:lang w:val="en-US" w:eastAsia="zh-CN" w:bidi="ar-SA"/>
        </w:rPr>
        <w:instrText xml:space="preserve"> PAGEREF _Toc26706 \h </w:instrText>
      </w:r>
      <w:r>
        <w:rPr>
          <w:rFonts w:hint="default" w:ascii="Times New Roman" w:hAnsi="Times New Roman" w:eastAsia="宋体" w:cs="Times New Roman"/>
          <w:kern w:val="2"/>
          <w:sz w:val="21"/>
          <w:szCs w:val="21"/>
          <w:lang w:val="en-US" w:eastAsia="zh-CN" w:bidi="ar-SA"/>
        </w:rPr>
        <w:fldChar w:fldCharType="separate"/>
      </w:r>
      <w:r>
        <w:rPr>
          <w:rFonts w:hint="default" w:ascii="Times New Roman" w:hAnsi="Times New Roman" w:eastAsia="宋体" w:cs="Times New Roman"/>
          <w:kern w:val="2"/>
          <w:sz w:val="21"/>
          <w:szCs w:val="21"/>
          <w:lang w:val="en-US" w:eastAsia="zh-CN" w:bidi="ar-SA"/>
        </w:rPr>
        <w:t>1</w:t>
      </w:r>
      <w:r>
        <w:rPr>
          <w:rFonts w:hint="default" w:ascii="Times New Roman" w:hAnsi="Times New Roman" w:eastAsia="宋体" w:cs="Times New Roman"/>
          <w:kern w:val="2"/>
          <w:sz w:val="21"/>
          <w:szCs w:val="21"/>
          <w:lang w:val="en-US" w:eastAsia="zh-CN" w:bidi="ar-SA"/>
        </w:rPr>
        <w:fldChar w:fldCharType="end"/>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0"/>
        <w:tabs>
          <w:tab w:val="right" w:leader="dot" w:pos="8306"/>
        </w:tabs>
        <w:rPr>
          <w:rFonts w:hint="default"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_Toc28460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szCs w:val="30"/>
        </w:rPr>
        <w:t xml:space="preserve">2 </w:t>
      </w:r>
      <w:r>
        <w:rPr>
          <w:rFonts w:hint="default" w:ascii="Times New Roman" w:hAnsi="Times New Roman" w:cs="Times New Roman" w:eastAsiaTheme="majorEastAsia"/>
          <w:szCs w:val="30"/>
          <w:lang w:val="en-US" w:eastAsia="zh-CN"/>
        </w:rPr>
        <w:t>Terms</w:t>
      </w:r>
      <w:r>
        <w:rPr>
          <w:rFonts w:hint="default" w:ascii="Times New Roman" w:hAnsi="Times New Roman" w:cs="Times New Roman"/>
        </w:rPr>
        <w:tab/>
      </w:r>
      <w:r>
        <w:rPr>
          <w:rFonts w:hint="default" w:ascii="Times New Roman" w:hAnsi="Times New Roman" w:cs="Times New Roman"/>
          <w:lang w:eastAsia="zh-CN"/>
        </w:rPr>
        <w:t>（</w:t>
      </w:r>
      <w:r>
        <w:rPr>
          <w:rFonts w:hint="default" w:ascii="Times New Roman" w:hAnsi="Times New Roman" w:eastAsia="宋体" w:cs="Times New Roman"/>
          <w:kern w:val="2"/>
          <w:sz w:val="21"/>
          <w:szCs w:val="21"/>
          <w:lang w:val="en-US" w:eastAsia="zh-CN" w:bidi="ar-SA"/>
        </w:rPr>
        <w:t>2</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0"/>
        <w:tabs>
          <w:tab w:val="right" w:leader="dot" w:pos="8306"/>
        </w:tabs>
        <w:rPr>
          <w:rFonts w:hint="default"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_Toc26765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szCs w:val="30"/>
        </w:rPr>
        <w:t xml:space="preserve">3 </w:t>
      </w:r>
      <w:r>
        <w:rPr>
          <w:rFonts w:hint="default" w:ascii="Times New Roman" w:hAnsi="Times New Roman" w:cs="Times New Roman" w:eastAsiaTheme="majorEastAsia"/>
          <w:szCs w:val="30"/>
          <w:lang w:val="en-US" w:eastAsia="zh-CN"/>
        </w:rPr>
        <w:t>Basic</w:t>
      </w:r>
      <w:r>
        <w:rPr>
          <w:rFonts w:hint="default" w:ascii="Times New Roman" w:hAnsi="Times New Roman" w:cs="Times New Roman" w:eastAsiaTheme="majorEastAsia"/>
          <w:szCs w:val="30"/>
        </w:rPr>
        <w:t xml:space="preserve"> </w:t>
      </w:r>
      <w:r>
        <w:rPr>
          <w:rFonts w:hint="default" w:ascii="Times New Roman" w:hAnsi="Times New Roman" w:cs="Times New Roman" w:eastAsiaTheme="majorEastAsia"/>
          <w:szCs w:val="30"/>
          <w:lang w:val="en-US" w:eastAsia="zh-CN"/>
        </w:rPr>
        <w:t>requirements</w:t>
      </w:r>
      <w:r>
        <w:rPr>
          <w:rFonts w:hint="default"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4</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0"/>
        <w:tabs>
          <w:tab w:val="right" w:leader="dot" w:pos="8306"/>
        </w:tabs>
        <w:rPr>
          <w:rFonts w:hint="default"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_Toc16139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szCs w:val="30"/>
        </w:rPr>
        <w:t>4</w:t>
      </w:r>
      <w:r>
        <w:rPr>
          <w:rFonts w:hint="default" w:ascii="Times New Roman" w:hAnsi="Times New Roman" w:cs="Times New Roman" w:eastAsiaTheme="majorEastAsia"/>
          <w:szCs w:val="30"/>
          <w:lang w:val="en-US" w:eastAsia="zh-CN"/>
        </w:rPr>
        <w:t xml:space="preserve"> </w:t>
      </w:r>
      <w:r>
        <w:rPr>
          <w:rFonts w:hint="default" w:ascii="Times New Roman" w:hAnsi="Times New Roman" w:cs="Times New Roman" w:eastAsiaTheme="majorEastAsia"/>
          <w:szCs w:val="30"/>
        </w:rPr>
        <w:t>Engineering design</w:t>
      </w:r>
      <w:r>
        <w:rPr>
          <w:rFonts w:hint="default"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5</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1"/>
        <w:tabs>
          <w:tab w:val="right" w:leader="dot" w:pos="8306"/>
        </w:tabs>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4.1 Sampling survey</w:t>
      </w:r>
      <w:r>
        <w:rPr>
          <w:rFonts w:hint="default" w:ascii="Times New Roman" w:hAnsi="Times New Roman" w:cs="Times New Roman"/>
        </w:rPr>
        <w:tab/>
      </w:r>
      <w:r>
        <w:rPr>
          <w:rFonts w:hint="default" w:ascii="Times New Roman" w:hAnsi="Times New Roman" w:eastAsia="宋体" w:cs="Times New Roman"/>
          <w:lang w:val="en-US" w:eastAsia="zh-CN"/>
        </w:rPr>
        <w:t>（</w:t>
      </w:r>
      <w:r>
        <w:rPr>
          <w:rFonts w:hint="default" w:ascii="Times New Roman" w:hAnsi="Times New Roman" w:cs="Times New Roman"/>
          <w:kern w:val="2"/>
          <w:sz w:val="21"/>
          <w:szCs w:val="21"/>
          <w:lang w:val="en-US" w:eastAsia="zh-CN" w:bidi="ar-SA"/>
        </w:rPr>
        <w:t>5</w:t>
      </w:r>
      <w:r>
        <w:rPr>
          <w:rFonts w:hint="default" w:ascii="Times New Roman" w:hAnsi="Times New Roman" w:eastAsia="宋体" w:cs="Times New Roman"/>
          <w:lang w:val="en-US" w:eastAsia="zh-CN"/>
        </w:rPr>
        <w:t>）</w:t>
      </w:r>
    </w:p>
    <w:p>
      <w:pPr>
        <w:pStyle w:val="11"/>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fldChar w:fldCharType="begin"/>
      </w:r>
      <w:r>
        <w:rPr>
          <w:rFonts w:hint="default" w:ascii="Times New Roman" w:hAnsi="Times New Roman" w:eastAsia="宋体" w:cs="Times New Roman"/>
          <w:sz w:val="21"/>
          <w:szCs w:val="21"/>
          <w:lang w:val="en-US" w:eastAsia="zh-CN"/>
        </w:rPr>
        <w:instrText xml:space="preserve"> HYPERLINK \l _Toc28261 </w:instrText>
      </w:r>
      <w:r>
        <w:rPr>
          <w:rFonts w:hint="default" w:ascii="Times New Roman" w:hAnsi="Times New Roman" w:eastAsia="宋体" w:cs="Times New Roman"/>
          <w:sz w:val="21"/>
          <w:szCs w:val="21"/>
          <w:lang w:val="en-US" w:eastAsia="zh-CN"/>
        </w:rPr>
        <w:fldChar w:fldCharType="separate"/>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w:t>
      </w:r>
      <w:r>
        <w:rPr>
          <w:rFonts w:hint="default" w:ascii="Times New Roman" w:hAnsi="Times New Roman" w:cs="Times New Roman"/>
          <w:sz w:val="21"/>
          <w:szCs w:val="21"/>
          <w:lang w:val="en-US" w:eastAsia="zh-CN"/>
        </w:rPr>
        <w:t>2</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System design</w:t>
      </w:r>
      <w:r>
        <w:rPr>
          <w:rFonts w:hint="default"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5</w:t>
      </w:r>
      <w:r>
        <w:rPr>
          <w:rFonts w:hint="default" w:ascii="Times New Roman" w:hAnsi="Times New Roman" w:cs="Times New Roman"/>
          <w:lang w:eastAsia="zh-CN"/>
        </w:rPr>
        <w:t>）</w:t>
      </w:r>
      <w:r>
        <w:rPr>
          <w:rFonts w:hint="default" w:ascii="Times New Roman" w:hAnsi="Times New Roman" w:eastAsia="宋体" w:cs="Times New Roman"/>
          <w:sz w:val="21"/>
          <w:szCs w:val="21"/>
          <w:lang w:val="en-US" w:eastAsia="zh-CN"/>
        </w:rPr>
        <w:fldChar w:fldCharType="end"/>
      </w:r>
    </w:p>
    <w:p>
      <w:pPr>
        <w:pStyle w:val="11"/>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fldChar w:fldCharType="begin"/>
      </w:r>
      <w:r>
        <w:rPr>
          <w:rFonts w:hint="default" w:ascii="Times New Roman" w:hAnsi="Times New Roman" w:eastAsia="宋体" w:cs="Times New Roman"/>
          <w:sz w:val="21"/>
          <w:szCs w:val="21"/>
          <w:lang w:val="en-US" w:eastAsia="zh-CN"/>
        </w:rPr>
        <w:instrText xml:space="preserve"> HYPERLINK \l _Toc6093 </w:instrText>
      </w:r>
      <w:r>
        <w:rPr>
          <w:rFonts w:hint="default" w:ascii="Times New Roman" w:hAnsi="Times New Roman" w:eastAsia="宋体" w:cs="Times New Roman"/>
          <w:sz w:val="21"/>
          <w:szCs w:val="21"/>
          <w:lang w:val="en-US" w:eastAsia="zh-CN"/>
        </w:rPr>
        <w:fldChar w:fldCharType="separate"/>
      </w:r>
      <w:r>
        <w:rPr>
          <w:rFonts w:hint="default" w:ascii="Times New Roman" w:hAnsi="Times New Roman" w:eastAsia="宋体" w:cs="Times New Roman"/>
          <w:sz w:val="21"/>
          <w:szCs w:val="21"/>
        </w:rPr>
        <w:t>4.</w:t>
      </w:r>
      <w:r>
        <w:rPr>
          <w:rFonts w:hint="default" w:ascii="Times New Roman" w:hAnsi="Times New Roman" w:cs="Times New Roman"/>
          <w:sz w:val="21"/>
          <w:szCs w:val="21"/>
          <w:lang w:val="en-US" w:eastAsia="zh-CN"/>
        </w:rPr>
        <w:t>3</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Elution process</w:t>
      </w:r>
      <w:r>
        <w:rPr>
          <w:rFonts w:hint="default"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7</w:t>
      </w:r>
      <w:r>
        <w:rPr>
          <w:rFonts w:hint="default" w:ascii="Times New Roman" w:hAnsi="Times New Roman" w:cs="Times New Roman"/>
          <w:lang w:eastAsia="zh-CN"/>
        </w:rPr>
        <w:t>）</w:t>
      </w:r>
      <w:r>
        <w:rPr>
          <w:rFonts w:hint="default" w:ascii="Times New Roman" w:hAnsi="Times New Roman" w:eastAsia="宋体" w:cs="Times New Roman"/>
          <w:sz w:val="21"/>
          <w:szCs w:val="21"/>
          <w:lang w:val="en-US" w:eastAsia="zh-CN"/>
        </w:rPr>
        <w:fldChar w:fldCharType="end"/>
      </w:r>
    </w:p>
    <w:p>
      <w:pPr>
        <w:pStyle w:val="11"/>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fldChar w:fldCharType="begin"/>
      </w:r>
      <w:r>
        <w:rPr>
          <w:rFonts w:hint="default" w:ascii="Times New Roman" w:hAnsi="Times New Roman" w:eastAsia="宋体" w:cs="Times New Roman"/>
          <w:sz w:val="21"/>
          <w:szCs w:val="21"/>
          <w:lang w:val="en-US" w:eastAsia="zh-CN"/>
        </w:rPr>
        <w:instrText xml:space="preserve"> HYPERLINK \l _Toc17761 </w:instrText>
      </w:r>
      <w:r>
        <w:rPr>
          <w:rFonts w:hint="default" w:ascii="Times New Roman" w:hAnsi="Times New Roman" w:eastAsia="宋体" w:cs="Times New Roman"/>
          <w:sz w:val="21"/>
          <w:szCs w:val="21"/>
          <w:lang w:val="en-US" w:eastAsia="zh-CN"/>
        </w:rPr>
        <w:fldChar w:fldCharType="separate"/>
      </w:r>
      <w:r>
        <w:rPr>
          <w:rFonts w:hint="default" w:ascii="Times New Roman" w:hAnsi="Times New Roman" w:eastAsia="宋体" w:cs="Times New Roman"/>
          <w:sz w:val="21"/>
          <w:szCs w:val="21"/>
        </w:rPr>
        <w:t>4.</w:t>
      </w:r>
      <w:r>
        <w:rPr>
          <w:rFonts w:hint="default" w:ascii="Times New Roman" w:hAnsi="Times New Roman" w:cs="Times New Roman"/>
          <w:sz w:val="21"/>
          <w:szCs w:val="21"/>
          <w:lang w:val="en-US" w:eastAsia="zh-CN"/>
        </w:rPr>
        <w:t>4</w:t>
      </w:r>
      <w:r>
        <w:rPr>
          <w:rFonts w:hint="default" w:ascii="Times New Roman" w:hAnsi="Times New Roman" w:eastAsia="宋体" w:cs="Times New Roman"/>
          <w:sz w:val="21"/>
          <w:szCs w:val="21"/>
        </w:rPr>
        <w:t xml:space="preserve"> Sludge disposal</w:t>
      </w:r>
      <w:r>
        <w:rPr>
          <w:rFonts w:hint="default"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8</w:t>
      </w:r>
      <w:r>
        <w:rPr>
          <w:rFonts w:hint="default" w:ascii="Times New Roman" w:hAnsi="Times New Roman" w:cs="Times New Roman"/>
          <w:lang w:eastAsia="zh-CN"/>
        </w:rPr>
        <w:t>）</w:t>
      </w:r>
      <w:r>
        <w:rPr>
          <w:rFonts w:hint="default" w:ascii="Times New Roman" w:hAnsi="Times New Roman" w:eastAsia="宋体" w:cs="Times New Roman"/>
          <w:sz w:val="21"/>
          <w:szCs w:val="21"/>
          <w:lang w:val="en-US" w:eastAsia="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eastAsia="宋体" w:cs="Times New Roman"/>
          <w:sz w:val="21"/>
          <w:szCs w:val="21"/>
          <w:lang w:val="en-US" w:eastAsia="zh-CN"/>
        </w:rPr>
        <w:fldChar w:fldCharType="begin"/>
      </w:r>
      <w:r>
        <w:rPr>
          <w:rFonts w:hint="default" w:ascii="Times New Roman" w:hAnsi="Times New Roman" w:eastAsia="宋体" w:cs="Times New Roman"/>
          <w:sz w:val="21"/>
          <w:szCs w:val="21"/>
          <w:lang w:val="en-US" w:eastAsia="zh-CN"/>
        </w:rPr>
        <w:instrText xml:space="preserve"> HYPERLINK \l _Toc3758 </w:instrText>
      </w:r>
      <w:r>
        <w:rPr>
          <w:rFonts w:hint="default" w:ascii="Times New Roman" w:hAnsi="Times New Roman" w:eastAsia="宋体" w:cs="Times New Roman"/>
          <w:sz w:val="21"/>
          <w:szCs w:val="21"/>
          <w:lang w:val="en-US" w:eastAsia="zh-CN"/>
        </w:rPr>
        <w:fldChar w:fldCharType="separate"/>
      </w:r>
      <w:r>
        <w:rPr>
          <w:rFonts w:hint="default" w:ascii="Times New Roman" w:hAnsi="Times New Roman" w:eastAsia="宋体" w:cs="Times New Roman"/>
          <w:sz w:val="21"/>
          <w:szCs w:val="21"/>
        </w:rPr>
        <w:t>4.</w:t>
      </w:r>
      <w:r>
        <w:rPr>
          <w:rFonts w:hint="default" w:ascii="Times New Roman" w:hAnsi="Times New Roman" w:cs="Times New Roman"/>
          <w:sz w:val="21"/>
          <w:szCs w:val="21"/>
          <w:lang w:val="en-US" w:eastAsia="zh-CN"/>
        </w:rPr>
        <w:t>5</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Waste water disposal</w:t>
      </w:r>
      <w:r>
        <w:rPr>
          <w:rFonts w:hint="default"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8</w:t>
      </w:r>
      <w:r>
        <w:rPr>
          <w:rFonts w:hint="default" w:ascii="Times New Roman" w:hAnsi="Times New Roman" w:cs="Times New Roman"/>
          <w:lang w:eastAsia="zh-CN"/>
        </w:rPr>
        <w:t>）</w:t>
      </w:r>
      <w:r>
        <w:rPr>
          <w:rFonts w:hint="default" w:ascii="Times New Roman" w:hAnsi="Times New Roman" w:eastAsia="宋体" w:cs="Times New Roman"/>
          <w:sz w:val="21"/>
          <w:szCs w:val="21"/>
          <w:lang w:val="en-US" w:eastAsia="zh-CN"/>
        </w:rPr>
        <w:fldChar w:fldCharType="end"/>
      </w:r>
    </w:p>
    <w:p>
      <w:pPr>
        <w:pStyle w:val="10"/>
        <w:tabs>
          <w:tab w:val="right" w:leader="dot" w:pos="8306"/>
        </w:tabs>
        <w:rPr>
          <w:rFonts w:hint="default"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_Toc3676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szCs w:val="30"/>
        </w:rPr>
        <w:t>5</w:t>
      </w:r>
      <w:r>
        <w:rPr>
          <w:rFonts w:hint="default" w:ascii="Times New Roman" w:hAnsi="Times New Roman" w:cs="Times New Roman" w:eastAsiaTheme="majorEastAsia"/>
          <w:szCs w:val="30"/>
          <w:lang w:val="en-US" w:eastAsia="zh-CN"/>
        </w:rPr>
        <w:t xml:space="preserve"> </w:t>
      </w:r>
      <w:r>
        <w:rPr>
          <w:rFonts w:hint="default" w:ascii="Times New Roman" w:hAnsi="Times New Roman" w:cs="Times New Roman" w:eastAsiaTheme="majorEastAsia"/>
          <w:szCs w:val="30"/>
        </w:rPr>
        <w:t>Monitoring and control</w:t>
      </w:r>
      <w:r>
        <w:rPr>
          <w:rFonts w:hint="default"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9</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1"/>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fldChar w:fldCharType="begin"/>
      </w:r>
      <w:r>
        <w:rPr>
          <w:rFonts w:hint="default" w:ascii="Times New Roman" w:hAnsi="Times New Roman" w:eastAsia="宋体" w:cs="Times New Roman"/>
          <w:sz w:val="21"/>
          <w:szCs w:val="21"/>
          <w:lang w:val="en-US" w:eastAsia="zh-CN"/>
        </w:rPr>
        <w:instrText xml:space="preserve"> HYPERLINK \l _Toc18306 </w:instrText>
      </w:r>
      <w:r>
        <w:rPr>
          <w:rFonts w:hint="default" w:ascii="Times New Roman" w:hAnsi="Times New Roman" w:eastAsia="宋体" w:cs="Times New Roman"/>
          <w:sz w:val="21"/>
          <w:szCs w:val="21"/>
          <w:lang w:val="en-US" w:eastAsia="zh-CN"/>
        </w:rPr>
        <w:fldChar w:fldCharType="separate"/>
      </w:r>
      <w:r>
        <w:rPr>
          <w:rFonts w:hint="default" w:ascii="Times New Roman" w:hAnsi="Times New Roman" w:eastAsia="宋体" w:cs="Times New Roman"/>
          <w:sz w:val="21"/>
          <w:szCs w:val="21"/>
        </w:rPr>
        <w:t xml:space="preserve">5.1 </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rPr>
        <w:t>onitor</w:t>
      </w:r>
      <w:r>
        <w:rPr>
          <w:rFonts w:hint="default"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9</w:t>
      </w:r>
      <w:r>
        <w:rPr>
          <w:rFonts w:hint="default" w:ascii="Times New Roman" w:hAnsi="Times New Roman" w:cs="Times New Roman"/>
          <w:lang w:eastAsia="zh-CN"/>
        </w:rPr>
        <w:t>）</w:t>
      </w:r>
      <w:r>
        <w:rPr>
          <w:rFonts w:hint="default" w:ascii="Times New Roman" w:hAnsi="Times New Roman" w:eastAsia="宋体" w:cs="Times New Roman"/>
          <w:sz w:val="21"/>
          <w:szCs w:val="21"/>
          <w:lang w:val="en-US" w:eastAsia="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eastAsia="宋体" w:cs="Times New Roman"/>
          <w:sz w:val="21"/>
          <w:szCs w:val="21"/>
          <w:lang w:val="en-US" w:eastAsia="zh-CN"/>
        </w:rPr>
        <w:fldChar w:fldCharType="begin"/>
      </w:r>
      <w:r>
        <w:rPr>
          <w:rFonts w:hint="default" w:ascii="Times New Roman" w:hAnsi="Times New Roman" w:eastAsia="宋体" w:cs="Times New Roman"/>
          <w:sz w:val="21"/>
          <w:szCs w:val="21"/>
          <w:lang w:val="en-US" w:eastAsia="zh-CN"/>
        </w:rPr>
        <w:instrText xml:space="preserve"> HYPERLINK \l _Toc21173 </w:instrText>
      </w:r>
      <w:r>
        <w:rPr>
          <w:rFonts w:hint="default" w:ascii="Times New Roman" w:hAnsi="Times New Roman" w:eastAsia="宋体" w:cs="Times New Roman"/>
          <w:sz w:val="21"/>
          <w:szCs w:val="21"/>
          <w:lang w:val="en-US" w:eastAsia="zh-CN"/>
        </w:rPr>
        <w:fldChar w:fldCharType="separate"/>
      </w:r>
      <w:r>
        <w:rPr>
          <w:rFonts w:hint="default" w:ascii="Times New Roman" w:hAnsi="Times New Roman" w:eastAsia="宋体" w:cs="Times New Roman"/>
          <w:sz w:val="21"/>
          <w:szCs w:val="21"/>
        </w:rPr>
        <w:t>5.2 Controls</w:t>
      </w:r>
      <w:r>
        <w:rPr>
          <w:rFonts w:hint="default"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9</w:t>
      </w:r>
      <w:r>
        <w:rPr>
          <w:rFonts w:hint="default" w:ascii="Times New Roman" w:hAnsi="Times New Roman" w:cs="Times New Roman"/>
          <w:lang w:eastAsia="zh-CN"/>
        </w:rPr>
        <w:t>）</w:t>
      </w:r>
      <w:r>
        <w:rPr>
          <w:rFonts w:hint="default" w:ascii="Times New Roman" w:hAnsi="Times New Roman" w:eastAsia="宋体" w:cs="Times New Roman"/>
          <w:sz w:val="21"/>
          <w:szCs w:val="21"/>
          <w:lang w:val="en-US" w:eastAsia="zh-CN"/>
        </w:rPr>
        <w:fldChar w:fldCharType="end"/>
      </w:r>
    </w:p>
    <w:p>
      <w:pPr>
        <w:pStyle w:val="10"/>
        <w:tabs>
          <w:tab w:val="right" w:leader="dot" w:pos="8306"/>
        </w:tabs>
        <w:rPr>
          <w:rFonts w:hint="default" w:ascii="Times New Roman" w:hAnsi="Times New Roman" w:cs="Times New Roma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_Toc12187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szCs w:val="30"/>
          <w:lang w:val="en-US" w:eastAsia="zh-CN"/>
        </w:rPr>
        <w:t>A</w:t>
      </w:r>
      <w:r>
        <w:rPr>
          <w:rFonts w:hint="default" w:ascii="Times New Roman" w:hAnsi="Times New Roman" w:cs="Times New Roman" w:eastAsiaTheme="majorEastAsia"/>
          <w:szCs w:val="30"/>
        </w:rPr>
        <w:t>ppendix</w:t>
      </w:r>
      <w:r>
        <w:rPr>
          <w:rFonts w:hint="default" w:ascii="Times New Roman" w:hAnsi="Times New Roman" w:cs="Times New Roman"/>
        </w:rPr>
        <w:tab/>
      </w:r>
      <w:r>
        <w:rPr>
          <w:rFonts w:hint="default" w:ascii="Times New Roman" w:hAnsi="Times New Roman" w:cs="Times New Roman"/>
          <w:lang w:eastAsia="zh-CN"/>
        </w:rPr>
        <w:t>（</w:t>
      </w:r>
      <w:r>
        <w:rPr>
          <w:rFonts w:hint="default" w:ascii="Times New Roman" w:hAnsi="Times New Roman" w:cs="Times New Roman"/>
          <w:kern w:val="2"/>
          <w:sz w:val="21"/>
          <w:szCs w:val="21"/>
          <w:lang w:val="en-US" w:eastAsia="zh-CN" w:bidi="ar-SA"/>
        </w:rPr>
        <w:t>10</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0"/>
        <w:tabs>
          <w:tab w:val="right" w:leader="dot" w:pos="8306"/>
        </w:tabs>
        <w:rPr>
          <w:rFonts w:hint="default" w:ascii="Times New Roman" w:hAnsi="Times New Roman" w:cs="Times New Roman"/>
          <w:b/>
          <w:bCs/>
          <w:sz w:val="28"/>
          <w:szCs w:val="28"/>
          <w:lang w:val="en-US" w:eastAsia="zh-CN"/>
        </w:rPr>
      </w:pPr>
      <w:r>
        <w:rPr>
          <w:rFonts w:hint="default" w:ascii="Times New Roman" w:hAnsi="Times New Roman" w:eastAsia="宋体" w:cs="Times New Roman"/>
          <w:szCs w:val="28"/>
          <w:lang w:val="en-US" w:eastAsia="zh-CN"/>
        </w:rPr>
        <w:fldChar w:fldCharType="begin"/>
      </w:r>
      <w:r>
        <w:rPr>
          <w:rFonts w:hint="default" w:ascii="Times New Roman" w:hAnsi="Times New Roman" w:eastAsia="宋体" w:cs="Times New Roman"/>
          <w:szCs w:val="28"/>
          <w:lang w:val="en-US" w:eastAsia="zh-CN"/>
        </w:rPr>
        <w:instrText xml:space="preserve"> HYPERLINK \l _Toc30238 </w:instrText>
      </w:r>
      <w:r>
        <w:rPr>
          <w:rFonts w:hint="default" w:ascii="Times New Roman" w:hAnsi="Times New Roman" w:eastAsia="宋体" w:cs="Times New Roman"/>
          <w:szCs w:val="28"/>
          <w:lang w:val="en-US" w:eastAsia="zh-CN"/>
        </w:rPr>
        <w:fldChar w:fldCharType="separate"/>
      </w:r>
      <w:r>
        <w:rPr>
          <w:rFonts w:hint="default" w:ascii="Times New Roman" w:hAnsi="Times New Roman" w:cs="Times New Roman" w:eastAsiaTheme="majorEastAsia"/>
          <w:szCs w:val="30"/>
          <w:lang w:val="en-US" w:eastAsia="zh-CN"/>
        </w:rPr>
        <w:t>Explanation of wording in this standard</w:t>
      </w:r>
      <w:r>
        <w:rPr>
          <w:rFonts w:hint="default" w:ascii="Times New Roman" w:hAnsi="Times New Roman" w:cs="Times New Roman"/>
        </w:rPr>
        <w:tab/>
      </w:r>
      <w:r>
        <w:rPr>
          <w:rFonts w:hint="default" w:ascii="Times New Roman" w:hAnsi="Times New Roman" w:cs="Times New Roman"/>
          <w:lang w:eastAsia="zh-CN"/>
        </w:rPr>
        <w:t>（</w:t>
      </w:r>
      <w:r>
        <w:rPr>
          <w:rFonts w:hint="default" w:ascii="Times New Roman" w:hAnsi="Times New Roman" w:eastAsia="宋体" w:cs="Times New Roman"/>
          <w:kern w:val="2"/>
          <w:sz w:val="21"/>
          <w:szCs w:val="21"/>
          <w:lang w:val="en-US" w:eastAsia="zh-CN" w:bidi="ar-SA"/>
        </w:rPr>
        <w:t>1</w:t>
      </w:r>
      <w:r>
        <w:rPr>
          <w:rFonts w:hint="default" w:ascii="Times New Roman" w:hAnsi="Times New Roman" w:cs="Times New Roman"/>
          <w:kern w:val="2"/>
          <w:sz w:val="21"/>
          <w:szCs w:val="21"/>
          <w:lang w:val="en-US" w:eastAsia="zh-CN" w:bidi="ar-SA"/>
        </w:rPr>
        <w:t>2</w:t>
      </w:r>
      <w:r>
        <w:rPr>
          <w:rFonts w:hint="default" w:ascii="Times New Roman" w:hAnsi="Times New Roman" w:cs="Times New Roman"/>
          <w:lang w:eastAsia="zh-CN"/>
        </w:rPr>
        <w:t>）</w:t>
      </w:r>
      <w:r>
        <w:rPr>
          <w:rFonts w:hint="default" w:ascii="Times New Roman" w:hAnsi="Times New Roman" w:eastAsia="宋体" w:cs="Times New Roman"/>
          <w:szCs w:val="28"/>
          <w:lang w:val="en-US" w:eastAsia="zh-CN"/>
        </w:rPr>
        <w:fldChar w:fldCharType="end"/>
      </w:r>
    </w:p>
    <w:p>
      <w:pPr>
        <w:pStyle w:val="10"/>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default" w:ascii="Times New Roman" w:hAnsi="Times New Roman" w:cs="Times New Roman" w:eastAsiaTheme="majorEastAsia"/>
          <w:lang w:val="en-US" w:eastAsia="zh-CN"/>
        </w:rPr>
        <w:fldChar w:fldCharType="begin"/>
      </w:r>
      <w:r>
        <w:rPr>
          <w:rFonts w:hint="default" w:ascii="Times New Roman" w:hAnsi="Times New Roman" w:cs="Times New Roman" w:eastAsiaTheme="majorEastAsia"/>
          <w:lang w:val="en-US" w:eastAsia="zh-CN"/>
        </w:rPr>
        <w:instrText xml:space="preserve"> HYPERLINK \l _Toc16615 </w:instrText>
      </w:r>
      <w:r>
        <w:rPr>
          <w:rFonts w:hint="default" w:ascii="Times New Roman" w:hAnsi="Times New Roman" w:cs="Times New Roman" w:eastAsiaTheme="majorEastAsia"/>
          <w:lang w:val="en-US" w:eastAsia="zh-CN"/>
        </w:rPr>
        <w:fldChar w:fldCharType="separate"/>
      </w:r>
      <w:r>
        <w:rPr>
          <w:rFonts w:hint="default" w:ascii="Times New Roman" w:hAnsi="Times New Roman" w:cs="Times New Roman" w:eastAsiaTheme="majorEastAsia"/>
          <w:szCs w:val="30"/>
          <w:lang w:val="en-US" w:eastAsia="zh-CN"/>
        </w:rPr>
        <w:t>List of quoted standards..................................................................</w:t>
      </w:r>
      <w:r>
        <w:rPr>
          <w:rFonts w:hint="eastAsia" w:cs="Times New Roman" w:eastAsiaTheme="majorEastAsia"/>
          <w:szCs w:val="30"/>
          <w:lang w:val="en-US" w:eastAsia="zh-CN"/>
        </w:rPr>
        <w:t>.........</w:t>
      </w:r>
      <w:r>
        <w:rPr>
          <w:rFonts w:hint="default" w:ascii="Times New Roman" w:hAnsi="Times New Roman" w:cs="Times New Roman" w:eastAsiaTheme="majorEastAsia"/>
          <w:szCs w:val="30"/>
          <w:lang w:val="en-US" w:eastAsia="zh-CN"/>
        </w:rPr>
        <w:t>.....</w:t>
      </w:r>
      <w:r>
        <w:rPr>
          <w:rFonts w:hint="default" w:ascii="Times New Roman" w:hAnsi="Times New Roman" w:cs="Times New Roman"/>
          <w:lang w:eastAsia="zh-CN"/>
        </w:rPr>
        <w:t>（</w:t>
      </w:r>
      <w:r>
        <w:rPr>
          <w:rFonts w:hint="default" w:ascii="Times New Roman" w:hAnsi="Times New Roman" w:eastAsia="宋体" w:cs="Times New Roman"/>
          <w:kern w:val="2"/>
          <w:sz w:val="21"/>
          <w:szCs w:val="21"/>
          <w:lang w:val="en-US" w:eastAsia="zh-CN" w:bidi="ar-SA"/>
        </w:rPr>
        <w:fldChar w:fldCharType="begin"/>
      </w:r>
      <w:r>
        <w:rPr>
          <w:rFonts w:hint="default" w:ascii="Times New Roman" w:hAnsi="Times New Roman" w:eastAsia="宋体" w:cs="Times New Roman"/>
          <w:kern w:val="2"/>
          <w:sz w:val="21"/>
          <w:szCs w:val="21"/>
          <w:lang w:val="en-US" w:eastAsia="zh-CN" w:bidi="ar-SA"/>
        </w:rPr>
        <w:instrText xml:space="preserve"> PAGEREF _Toc26706 \h </w:instrText>
      </w:r>
      <w:r>
        <w:rPr>
          <w:rFonts w:hint="default" w:ascii="Times New Roman" w:hAnsi="Times New Roman" w:eastAsia="宋体" w:cs="Times New Roman"/>
          <w:kern w:val="2"/>
          <w:sz w:val="21"/>
          <w:szCs w:val="21"/>
          <w:lang w:val="en-US" w:eastAsia="zh-CN" w:bidi="ar-SA"/>
        </w:rPr>
        <w:fldChar w:fldCharType="separate"/>
      </w:r>
      <w:r>
        <w:rPr>
          <w:rFonts w:hint="default" w:ascii="Times New Roman" w:hAnsi="Times New Roman" w:eastAsia="宋体" w:cs="Times New Roman"/>
          <w:kern w:val="2"/>
          <w:sz w:val="21"/>
          <w:szCs w:val="21"/>
          <w:lang w:val="en-US" w:eastAsia="zh-CN" w:bidi="ar-SA"/>
        </w:rPr>
        <w:t>1</w:t>
      </w:r>
      <w:r>
        <w:rPr>
          <w:rFonts w:hint="default" w:ascii="Times New Roman" w:hAnsi="Times New Roman" w:eastAsia="宋体" w:cs="Times New Roman"/>
          <w:kern w:val="2"/>
          <w:sz w:val="21"/>
          <w:szCs w:val="21"/>
          <w:lang w:val="en-US" w:eastAsia="zh-CN" w:bidi="ar-SA"/>
        </w:rPr>
        <w:fldChar w:fldCharType="end"/>
      </w:r>
      <w:r>
        <w:rPr>
          <w:rFonts w:hint="default" w:ascii="Times New Roman" w:hAnsi="Times New Roman" w:cs="Times New Roman"/>
          <w:kern w:val="2"/>
          <w:sz w:val="21"/>
          <w:szCs w:val="21"/>
          <w:lang w:val="en-US" w:eastAsia="zh-CN" w:bidi="ar-SA"/>
        </w:rPr>
        <w:t>3</w:t>
      </w:r>
      <w:r>
        <w:rPr>
          <w:rFonts w:hint="default" w:ascii="Times New Roman" w:hAnsi="Times New Roman" w:cs="Times New Roman"/>
          <w:lang w:eastAsia="zh-CN"/>
        </w:rPr>
        <w:t>）</w:t>
      </w:r>
      <w:r>
        <w:rPr>
          <w:rFonts w:hint="default" w:ascii="Times New Roman" w:hAnsi="Times New Roman" w:cs="Times New Roman" w:eastAsiaTheme="majorEastAsia"/>
        </w:rPr>
        <w:tab/>
      </w:r>
      <w:r>
        <w:rPr>
          <w:rFonts w:hint="default" w:ascii="Times New Roman" w:hAnsi="Times New Roman" w:cs="Times New Roman" w:eastAsiaTheme="majorEastAsia"/>
          <w:lang w:val="en-US" w:eastAsia="zh-CN"/>
        </w:rPr>
        <w:fldChar w:fldCharType="end"/>
      </w:r>
    </w:p>
    <w:p>
      <w:pPr>
        <w:pStyle w:val="10"/>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p>
    <w:p>
      <w:pPr>
        <w:pStyle w:val="10"/>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p>
    <w:p>
      <w:pPr>
        <w:pStyle w:val="10"/>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lang w:val="en-US" w:eastAsia="zh-CN"/>
        </w:rPr>
        <w:sectPr>
          <w:footerReference r:id="rId21"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tab/>
      </w:r>
    </w:p>
    <w:p>
      <w:pPr>
        <w:pStyle w:val="2"/>
        <w:bidi w:val="0"/>
        <w:ind w:left="0" w:leftChars="0" w:firstLine="0" w:firstLineChars="0"/>
        <w:jc w:val="center"/>
        <w:rPr>
          <w:rFonts w:hint="eastAsia" w:asciiTheme="majorEastAsia" w:hAnsiTheme="majorEastAsia" w:eastAsiaTheme="majorEastAsia" w:cstheme="majorEastAsia"/>
          <w:sz w:val="30"/>
          <w:szCs w:val="30"/>
        </w:rPr>
      </w:pPr>
      <w:bookmarkStart w:id="13" w:name="_Toc3409"/>
      <w:bookmarkStart w:id="14" w:name="_Toc15952"/>
      <w:bookmarkStart w:id="15" w:name="_Toc28202"/>
      <w:bookmarkStart w:id="16" w:name="_Toc13146"/>
      <w:bookmarkStart w:id="17" w:name="_Toc11202"/>
      <w:bookmarkStart w:id="18" w:name="_Toc18000"/>
      <w:bookmarkStart w:id="19" w:name="_Toc31259"/>
      <w:bookmarkStart w:id="20" w:name="_Toc19530"/>
      <w:bookmarkStart w:id="21" w:name="_Toc19762"/>
      <w:bookmarkStart w:id="22" w:name="_Toc24655"/>
      <w:bookmarkStart w:id="23" w:name="_Toc30654"/>
      <w:bookmarkStart w:id="24" w:name="_Toc135987279"/>
      <w:bookmarkStart w:id="25" w:name="_Toc18791"/>
      <w:bookmarkStart w:id="26" w:name="_Toc6795"/>
      <w:bookmarkStart w:id="27" w:name="_Toc11828"/>
      <w:bookmarkStart w:id="28" w:name="_Toc8864"/>
      <w:r>
        <w:rPr>
          <w:rFonts w:hint="eastAsia" w:asciiTheme="majorEastAsia" w:hAnsiTheme="majorEastAsia" w:eastAsiaTheme="majorEastAsia" w:cstheme="majorEastAsia"/>
          <w:sz w:val="30"/>
          <w:szCs w:val="30"/>
        </w:rPr>
        <w:t xml:space="preserve">1 </w:t>
      </w:r>
      <w:r>
        <w:rPr>
          <w:rFonts w:hint="eastAsia" w:asciiTheme="majorEastAsia" w:hAnsiTheme="majorEastAsia" w:eastAsiaTheme="majorEastAsia" w:cstheme="majorEastAsia"/>
          <w:sz w:val="30"/>
          <w:szCs w:val="30"/>
          <w:lang w:val="en-US" w:eastAsia="zh-CN"/>
        </w:rPr>
        <w:t xml:space="preserve"> </w:t>
      </w:r>
      <w:r>
        <w:rPr>
          <w:rFonts w:hint="eastAsia" w:asciiTheme="majorEastAsia" w:hAnsiTheme="majorEastAsia" w:eastAsiaTheme="majorEastAsia" w:cstheme="majorEastAsia"/>
          <w:sz w:val="30"/>
          <w:szCs w:val="30"/>
        </w:rPr>
        <w:t>总则</w:t>
      </w:r>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p>
    <w:p>
      <w:pPr>
        <w:ind w:firstLine="0" w:firstLineChars="0"/>
        <w:rPr>
          <w:rFonts w:hint="eastAsia"/>
          <w:color w:val="000000" w:themeColor="text1"/>
          <w:sz w:val="24"/>
          <w:szCs w:val="24"/>
          <w:lang w:eastAsia="zh-CN"/>
          <w14:textFill>
            <w14:solidFill>
              <w14:schemeClr w14:val="tx1"/>
            </w14:solidFill>
          </w14:textFill>
        </w:rPr>
      </w:pPr>
      <w:bookmarkStart w:id="29" w:name="_Toc35009534"/>
      <w:bookmarkStart w:id="30" w:name="_Toc35003289"/>
      <w:bookmarkStart w:id="31" w:name="_Toc34753353"/>
      <w:bookmarkStart w:id="32" w:name="_Toc34753260"/>
      <w:r>
        <w:rPr>
          <w:b/>
          <w:bCs/>
          <w:color w:val="000000" w:themeColor="text1"/>
          <w:sz w:val="24"/>
          <w:szCs w:val="24"/>
          <w14:textFill>
            <w14:solidFill>
              <w14:schemeClr w14:val="tx1"/>
            </w14:solidFill>
          </w14:textFill>
        </w:rPr>
        <w:t>1.0.1</w:t>
      </w:r>
      <w:r>
        <w:rPr>
          <w:color w:val="000000" w:themeColor="text1"/>
          <w:sz w:val="24"/>
          <w:szCs w:val="24"/>
          <w14:textFill>
            <w14:solidFill>
              <w14:schemeClr w14:val="tx1"/>
            </w14:solidFill>
          </w14:textFill>
        </w:rPr>
        <w:t xml:space="preserve">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为</w:t>
      </w:r>
      <w:r>
        <w:rPr>
          <w:rFonts w:hint="eastAsia"/>
          <w:color w:val="000000" w:themeColor="text1"/>
          <w:sz w:val="24"/>
          <w:szCs w:val="24"/>
          <w:lang w:val="en-US" w:eastAsia="zh-CN"/>
          <w14:textFill>
            <w14:solidFill>
              <w14:schemeClr w14:val="tx1"/>
            </w14:solidFill>
          </w14:textFill>
        </w:rPr>
        <w:t>规范</w:t>
      </w:r>
      <w:r>
        <w:rPr>
          <w:rFonts w:hint="eastAsia"/>
          <w:color w:val="000000" w:themeColor="text1"/>
          <w:sz w:val="24"/>
          <w:szCs w:val="24"/>
          <w14:textFill>
            <w14:solidFill>
              <w14:schemeClr w14:val="tx1"/>
            </w14:solidFill>
          </w14:textFill>
        </w:rPr>
        <w:t>河湖水体内源污染治理</w:t>
      </w:r>
      <w:r>
        <w:rPr>
          <w:rFonts w:hint="eastAsia"/>
          <w:color w:val="000000" w:themeColor="text1"/>
          <w:sz w:val="24"/>
          <w:szCs w:val="24"/>
          <w:lang w:val="en-US" w:eastAsia="zh-CN"/>
          <w14:textFill>
            <w14:solidFill>
              <w14:schemeClr w14:val="tx1"/>
            </w14:solidFill>
          </w14:textFill>
        </w:rPr>
        <w:t>中底泥洗脱净化</w:t>
      </w:r>
      <w:r>
        <w:rPr>
          <w:rFonts w:hint="eastAsia"/>
          <w:color w:val="000000" w:themeColor="text1"/>
          <w:sz w:val="24"/>
          <w:szCs w:val="24"/>
          <w14:textFill>
            <w14:solidFill>
              <w14:schemeClr w14:val="tx1"/>
            </w14:solidFill>
          </w14:textFill>
        </w:rPr>
        <w:t>工程</w:t>
      </w:r>
      <w:r>
        <w:rPr>
          <w:rFonts w:hint="eastAsia"/>
          <w:color w:val="000000" w:themeColor="text1"/>
          <w:sz w:val="24"/>
          <w:szCs w:val="24"/>
          <w:lang w:val="en-US" w:eastAsia="zh-CN"/>
          <w14:textFill>
            <w14:solidFill>
              <w14:schemeClr w14:val="tx1"/>
            </w14:solidFill>
          </w14:textFill>
        </w:rPr>
        <w:t>的设计，做到技术先进、经济合理、安全可靠，制定本标准</w:t>
      </w:r>
      <w:bookmarkEnd w:id="29"/>
      <w:bookmarkEnd w:id="30"/>
      <w:bookmarkEnd w:id="31"/>
      <w:bookmarkEnd w:id="32"/>
      <w:r>
        <w:rPr>
          <w:rFonts w:hint="eastAsia"/>
          <w:color w:val="000000" w:themeColor="text1"/>
          <w:sz w:val="24"/>
          <w:szCs w:val="24"/>
          <w:lang w:eastAsia="zh-CN"/>
          <w14:textFill>
            <w14:solidFill>
              <w14:schemeClr w14:val="tx1"/>
            </w14:solidFill>
          </w14:textFill>
        </w:rPr>
        <w:t>。</w:t>
      </w:r>
    </w:p>
    <w:p>
      <w:pPr>
        <w:pStyle w:val="30"/>
        <w:spacing w:line="360" w:lineRule="auto"/>
        <w:ind w:left="0" w:leftChars="0" w:firstLine="0" w:firstLineChars="0"/>
        <w:rPr>
          <w:rStyle w:val="29"/>
          <w:rFonts w:hint="eastAsia" w:ascii="Times New Roman" w:hAnsi="Times New Roman" w:eastAsia="华文楷体" w:cs="Times New Roman"/>
          <w:bCs/>
          <w:color w:val="auto"/>
          <w:kern w:val="2"/>
          <w:sz w:val="21"/>
          <w:szCs w:val="21"/>
          <w:lang w:val="en-US" w:eastAsia="zh-CN" w:bidi="ar-SA"/>
        </w:rPr>
      </w:pPr>
      <w:r>
        <w:rPr>
          <w:rStyle w:val="29"/>
          <w:rFonts w:hint="eastAsia" w:ascii="Times New Roman" w:hAnsi="Times New Roman" w:eastAsia="华文楷体" w:cs="Times New Roman"/>
          <w:bCs/>
          <w:color w:val="auto"/>
          <w:kern w:val="2"/>
          <w:sz w:val="21"/>
          <w:szCs w:val="21"/>
          <w:lang w:val="en-US" w:eastAsia="zh-CN" w:bidi="ar-SA"/>
        </w:rPr>
        <w:t>【条文说明】本条说明编制目的。</w:t>
      </w:r>
    </w:p>
    <w:p>
      <w:pPr>
        <w:pStyle w:val="30"/>
        <w:spacing w:line="360" w:lineRule="auto"/>
        <w:ind w:firstLine="480"/>
        <w:rPr>
          <w:rStyle w:val="29"/>
          <w:rFonts w:hint="eastAsia" w:ascii="Times New Roman" w:hAnsi="Times New Roman" w:eastAsia="华文楷体" w:cs="Times New Roman"/>
          <w:bCs/>
          <w:color w:val="auto"/>
          <w:kern w:val="2"/>
          <w:sz w:val="21"/>
          <w:szCs w:val="21"/>
          <w:lang w:val="en-US" w:eastAsia="zh-CN" w:bidi="ar-SA"/>
        </w:rPr>
      </w:pPr>
      <w:r>
        <w:rPr>
          <w:rStyle w:val="29"/>
          <w:rFonts w:hint="eastAsia" w:ascii="Times New Roman" w:hAnsi="Times New Roman" w:eastAsia="华文楷体" w:cs="Times New Roman"/>
          <w:bCs/>
          <w:color w:val="auto"/>
          <w:kern w:val="2"/>
          <w:sz w:val="21"/>
          <w:szCs w:val="21"/>
          <w:lang w:val="en-US" w:eastAsia="zh-CN" w:bidi="ar-SA"/>
        </w:rPr>
        <w:t>水体底质是水生态系统的重要组成部分，是水生植物立地和生长的基质，底质的修复有利于水生植物的生长，进一步恢复和重建良好的水生生态系统。通过底质洗脱，清除底泥有机质和水体悬浮物，提高水体透明度和光照强度，为沉水植物的萌发和生长创造良好的水体生境，促进水体向草型生态转化，逐渐恢复水体生态系统和水体自组织功能，实现以太阳能为主要驱动力的生态完整性修复，持续、稳定地改善水环境。</w:t>
      </w:r>
    </w:p>
    <w:p>
      <w:pPr>
        <w:pStyle w:val="30"/>
        <w:spacing w:line="360" w:lineRule="auto"/>
        <w:ind w:firstLine="480"/>
        <w:rPr>
          <w:rStyle w:val="29"/>
          <w:rFonts w:hint="eastAsia" w:ascii="Times New Roman" w:hAnsi="Times New Roman" w:eastAsia="华文楷体" w:cs="Times New Roman"/>
          <w:bCs/>
          <w:color w:val="auto"/>
          <w:kern w:val="2"/>
          <w:sz w:val="21"/>
          <w:szCs w:val="21"/>
          <w:lang w:val="en-US" w:eastAsia="zh-CN" w:bidi="ar-SA"/>
        </w:rPr>
      </w:pPr>
      <w:r>
        <w:rPr>
          <w:rStyle w:val="29"/>
          <w:rFonts w:hint="eastAsia" w:ascii="Times New Roman" w:hAnsi="Times New Roman" w:eastAsia="华文楷体" w:cs="Times New Roman"/>
          <w:bCs/>
          <w:color w:val="auto"/>
          <w:kern w:val="2"/>
          <w:sz w:val="21"/>
          <w:szCs w:val="21"/>
          <w:lang w:val="en-US" w:eastAsia="zh-CN" w:bidi="ar-SA"/>
        </w:rPr>
        <w:t>底泥洗脱是通过物理扰动在泥-水界面产生湍流，使胶体沉积物翻滚、碰撞、摩擦，无机颗粒重力沉降、原位覆盖，粒径较小的胶体级污染物随水泵出，经絮凝沉淀后压滤外运，絮凝分离后的清水回流河道。底泥洗脱可使水体透明度不断提高，较大粒径的无机泥沙覆盖河床，从而构建稳定、清晰的泥-水界面，满足沉水植物萌发、生长的光照要求和基质条件，改善水体生境，促进生态恢复。</w:t>
      </w:r>
    </w:p>
    <w:p>
      <w:pPr>
        <w:ind w:firstLine="0" w:firstLineChars="0"/>
        <w:rPr>
          <w:rFonts w:hint="eastAsia"/>
          <w:color w:val="000000" w:themeColor="text1"/>
          <w:sz w:val="24"/>
          <w:szCs w:val="24"/>
          <w14:textFill>
            <w14:solidFill>
              <w14:schemeClr w14:val="tx1"/>
            </w14:solidFill>
          </w14:textFill>
        </w:rPr>
      </w:pPr>
      <w:bookmarkStart w:id="33" w:name="_Toc35003290"/>
      <w:bookmarkStart w:id="34" w:name="_Toc34753261"/>
      <w:bookmarkStart w:id="35" w:name="_Toc34753354"/>
      <w:bookmarkStart w:id="36" w:name="_Toc35009535"/>
      <w:r>
        <w:rPr>
          <w:rFonts w:ascii="Times New Roman" w:hAnsi="Times New Roman" w:eastAsia="宋体" w:cs="Times New Roman"/>
          <w:b/>
          <w:bCs/>
          <w:color w:val="000000" w:themeColor="text1"/>
          <w:sz w:val="24"/>
          <w:szCs w:val="24"/>
          <w14:textFill>
            <w14:solidFill>
              <w14:schemeClr w14:val="tx1"/>
            </w14:solidFill>
          </w14:textFill>
        </w:rPr>
        <w:t>1.0.2</w:t>
      </w:r>
      <w:r>
        <w:rPr>
          <w:color w:val="000000" w:themeColor="text1"/>
          <w:sz w:val="24"/>
          <w:szCs w:val="24"/>
          <w14:textFill>
            <w14:solidFill>
              <w14:schemeClr w14:val="tx1"/>
            </w14:solidFill>
          </w14:textFill>
        </w:rPr>
        <w:t xml:space="preserve">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本标准适用于</w:t>
      </w:r>
      <w:r>
        <w:rPr>
          <w:rFonts w:hint="eastAsia"/>
          <w:color w:val="000000" w:themeColor="text1"/>
          <w:sz w:val="24"/>
          <w:szCs w:val="24"/>
          <w:lang w:val="en-US" w:eastAsia="zh-CN"/>
          <w14:textFill>
            <w14:solidFill>
              <w14:schemeClr w14:val="tx1"/>
            </w14:solidFill>
          </w14:textFill>
        </w:rPr>
        <w:t>以削减河湖底泥污染和修复水体生境为目标的底泥洗脱净化工程设计</w:t>
      </w:r>
      <w:r>
        <w:rPr>
          <w:rFonts w:hint="eastAsia"/>
          <w:color w:val="000000" w:themeColor="text1"/>
          <w:sz w:val="24"/>
          <w:szCs w:val="24"/>
          <w14:textFill>
            <w14:solidFill>
              <w14:schemeClr w14:val="tx1"/>
            </w14:solidFill>
          </w14:textFill>
        </w:rPr>
        <w:t>。</w:t>
      </w:r>
      <w:bookmarkEnd w:id="33"/>
      <w:bookmarkEnd w:id="34"/>
      <w:bookmarkEnd w:id="35"/>
      <w:bookmarkEnd w:id="36"/>
    </w:p>
    <w:p>
      <w:pPr>
        <w:spacing w:line="360" w:lineRule="auto"/>
        <w:ind w:left="0" w:leftChars="0" w:firstLine="0" w:firstLineChars="0"/>
        <w:rPr>
          <w:rStyle w:val="29"/>
          <w:rFonts w:ascii="Times New Roman" w:hAnsi="Times New Roman" w:eastAsia="华文楷体"/>
          <w:bCs/>
          <w:color w:val="auto"/>
          <w:sz w:val="21"/>
          <w:szCs w:val="21"/>
        </w:rPr>
      </w:pPr>
      <w:r>
        <w:rPr>
          <w:rStyle w:val="29"/>
          <w:rFonts w:ascii="Times New Roman" w:hAnsi="Times New Roman" w:eastAsia="华文楷体"/>
          <w:bCs/>
          <w:color w:val="auto"/>
          <w:sz w:val="21"/>
          <w:szCs w:val="21"/>
        </w:rPr>
        <w:t>【条文说明】明确本</w:t>
      </w:r>
      <w:r>
        <w:rPr>
          <w:rStyle w:val="29"/>
          <w:rFonts w:hint="eastAsia" w:ascii="Times New Roman" w:hAnsi="Times New Roman" w:eastAsia="华文楷体"/>
          <w:bCs/>
          <w:color w:val="auto"/>
          <w:sz w:val="21"/>
          <w:szCs w:val="21"/>
          <w:lang w:val="en-US" w:eastAsia="zh-CN"/>
        </w:rPr>
        <w:t>标准</w:t>
      </w:r>
      <w:r>
        <w:rPr>
          <w:rStyle w:val="29"/>
          <w:rFonts w:ascii="Times New Roman" w:hAnsi="Times New Roman" w:eastAsia="华文楷体"/>
          <w:bCs/>
          <w:color w:val="auto"/>
          <w:sz w:val="21"/>
          <w:szCs w:val="21"/>
        </w:rPr>
        <w:t>的适用范围。</w:t>
      </w:r>
    </w:p>
    <w:p>
      <w:pPr>
        <w:ind w:firstLine="0" w:firstLineChars="0"/>
        <w:rPr>
          <w:rFonts w:hint="eastAsia"/>
          <w:color w:val="000000" w:themeColor="text1"/>
          <w:sz w:val="24"/>
          <w:szCs w:val="24"/>
          <w:lang w:val="en-US" w:eastAsia="zh-CN"/>
          <w14:textFill>
            <w14:solidFill>
              <w14:schemeClr w14:val="tx1"/>
            </w14:solidFill>
          </w14:textFill>
        </w:rPr>
      </w:pPr>
      <w:bookmarkStart w:id="37" w:name="_Toc34753262"/>
      <w:bookmarkStart w:id="38" w:name="_Toc35009536"/>
      <w:bookmarkStart w:id="39" w:name="_Toc34753355"/>
      <w:bookmarkStart w:id="40" w:name="_Toc35003291"/>
      <w:r>
        <w:rPr>
          <w:rFonts w:ascii="Times New Roman" w:hAnsi="Times New Roman" w:eastAsia="宋体" w:cs="Times New Roman"/>
          <w:b/>
          <w:bCs/>
          <w:color w:val="000000" w:themeColor="text1"/>
          <w:sz w:val="24"/>
          <w:szCs w:val="24"/>
          <w14:textFill>
            <w14:solidFill>
              <w14:schemeClr w14:val="tx1"/>
            </w14:solidFill>
          </w14:textFill>
        </w:rPr>
        <w:t>1.0.3</w:t>
      </w:r>
      <w:r>
        <w:rPr>
          <w:color w:val="000000" w:themeColor="text1"/>
          <w:sz w:val="24"/>
          <w:szCs w:val="24"/>
          <w14:textFill>
            <w14:solidFill>
              <w14:schemeClr w14:val="tx1"/>
            </w14:solidFill>
          </w14:textFill>
        </w:rPr>
        <w:t xml:space="preserve">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底泥洗脱</w:t>
      </w:r>
      <w:r>
        <w:rPr>
          <w:rFonts w:hint="eastAsia"/>
          <w:color w:val="000000" w:themeColor="text1"/>
          <w:sz w:val="24"/>
          <w:szCs w:val="24"/>
          <w:lang w:val="en-US" w:eastAsia="zh-CN"/>
          <w14:textFill>
            <w14:solidFill>
              <w14:schemeClr w14:val="tx1"/>
            </w14:solidFill>
          </w14:textFill>
        </w:rPr>
        <w:t>净化</w:t>
      </w:r>
      <w:r>
        <w:rPr>
          <w:rFonts w:hint="eastAsia"/>
          <w:color w:val="000000" w:themeColor="text1"/>
          <w:sz w:val="24"/>
          <w:szCs w:val="24"/>
          <w14:textFill>
            <w14:solidFill>
              <w14:schemeClr w14:val="tx1"/>
            </w14:solidFill>
          </w14:textFill>
        </w:rPr>
        <w:t>工程设计除应符合本标准的规定外，</w:t>
      </w:r>
      <w:r>
        <w:rPr>
          <w:rFonts w:hint="eastAsia"/>
          <w:color w:val="000000" w:themeColor="text1"/>
          <w:sz w:val="24"/>
          <w:szCs w:val="24"/>
          <w:lang w:val="en-US" w:eastAsia="zh-CN"/>
          <w14:textFill>
            <w14:solidFill>
              <w14:schemeClr w14:val="tx1"/>
            </w14:solidFill>
          </w14:textFill>
        </w:rPr>
        <w:t>还应符合国家、行业的相关标准和中国工程建设标准化协会相关标准的规定。</w:t>
      </w:r>
      <w:bookmarkEnd w:id="37"/>
      <w:bookmarkEnd w:id="38"/>
      <w:bookmarkEnd w:id="39"/>
      <w:bookmarkEnd w:id="40"/>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bCs/>
          <w:sz w:val="24"/>
          <w:szCs w:val="24"/>
        </w:rPr>
      </w:pPr>
      <w:r>
        <w:rPr>
          <w:rStyle w:val="29"/>
          <w:rFonts w:ascii="Times New Roman" w:hAnsi="Times New Roman" w:eastAsia="华文楷体"/>
          <w:bCs/>
          <w:color w:val="auto"/>
          <w:sz w:val="21"/>
          <w:szCs w:val="21"/>
        </w:rPr>
        <w:t>【条文说明】本条规定了本</w:t>
      </w:r>
      <w:r>
        <w:rPr>
          <w:rStyle w:val="29"/>
          <w:rFonts w:hint="eastAsia" w:eastAsia="华文楷体"/>
          <w:bCs/>
          <w:color w:val="auto"/>
          <w:sz w:val="21"/>
          <w:szCs w:val="21"/>
          <w:lang w:val="en-US" w:eastAsia="zh-CN"/>
        </w:rPr>
        <w:t>标准</w:t>
      </w:r>
      <w:r>
        <w:rPr>
          <w:rStyle w:val="29"/>
          <w:rFonts w:ascii="Times New Roman" w:hAnsi="Times New Roman" w:eastAsia="华文楷体"/>
          <w:bCs/>
          <w:color w:val="auto"/>
          <w:sz w:val="21"/>
          <w:szCs w:val="21"/>
        </w:rPr>
        <w:t>与其他标准的关系。</w:t>
      </w:r>
    </w:p>
    <w:p>
      <w:pPr>
        <w:bidi w:val="0"/>
        <w:rPr>
          <w:rFonts w:hint="eastAsia"/>
          <w:lang w:val="en-US" w:eastAsia="zh-CN"/>
        </w:rPr>
      </w:pPr>
    </w:p>
    <w:p>
      <w:pPr>
        <w:ind w:firstLine="420"/>
        <w:rPr>
          <w:rFonts w:ascii="宋体" w:hAnsi="宋体" w:cs="宋体"/>
          <w:color w:val="000000" w:themeColor="text1"/>
          <w:sz w:val="21"/>
          <w:szCs w:val="21"/>
          <w14:textFill>
            <w14:solidFill>
              <w14:schemeClr w14:val="tx1"/>
            </w14:solidFill>
          </w14:textFill>
        </w:rPr>
      </w:pPr>
    </w:p>
    <w:p>
      <w:pPr>
        <w:ind w:firstLine="420"/>
        <w:rPr>
          <w:rFonts w:ascii="宋体" w:hAnsi="宋体" w:cs="宋体"/>
          <w:color w:val="000000" w:themeColor="text1"/>
          <w:sz w:val="21"/>
          <w:szCs w:val="21"/>
          <w14:textFill>
            <w14:solidFill>
              <w14:schemeClr w14:val="tx1"/>
            </w14:solidFill>
          </w14:textFill>
        </w:rPr>
        <w:sectPr>
          <w:footerReference r:id="rId22"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pStyle w:val="2"/>
        <w:bidi w:val="0"/>
        <w:ind w:left="0" w:leftChars="0" w:firstLine="0" w:firstLineChars="0"/>
        <w:jc w:val="center"/>
        <w:rPr>
          <w:rFonts w:hint="eastAsia" w:asciiTheme="majorEastAsia" w:hAnsiTheme="majorEastAsia" w:eastAsiaTheme="majorEastAsia" w:cstheme="majorEastAsia"/>
          <w:b/>
          <w:sz w:val="30"/>
          <w:szCs w:val="30"/>
        </w:rPr>
      </w:pPr>
      <w:bookmarkStart w:id="41" w:name="_Toc12303"/>
      <w:bookmarkStart w:id="42" w:name="_Toc8365"/>
      <w:bookmarkStart w:id="43" w:name="_Toc696"/>
      <w:bookmarkStart w:id="44" w:name="_Toc135987280"/>
      <w:bookmarkStart w:id="45" w:name="_Toc7766"/>
      <w:bookmarkStart w:id="46" w:name="_Toc9308"/>
      <w:bookmarkStart w:id="47" w:name="_Toc21470"/>
      <w:bookmarkStart w:id="48" w:name="_Toc19038"/>
      <w:bookmarkStart w:id="49" w:name="_Toc30026"/>
      <w:bookmarkStart w:id="50" w:name="_Toc1765"/>
      <w:bookmarkStart w:id="51" w:name="_Toc4893"/>
      <w:bookmarkStart w:id="52" w:name="_Toc17107"/>
      <w:bookmarkStart w:id="53" w:name="_Toc29604"/>
      <w:bookmarkStart w:id="54" w:name="_Toc20371"/>
      <w:bookmarkStart w:id="55" w:name="_Toc12053"/>
      <w:bookmarkStart w:id="56" w:name="_Toc20908"/>
      <w:r>
        <w:rPr>
          <w:rFonts w:hint="default" w:ascii="Times New Roman" w:hAnsi="Times New Roman" w:cs="Times New Roman" w:eastAsiaTheme="majorEastAsia"/>
          <w:b/>
          <w:sz w:val="30"/>
          <w:szCs w:val="30"/>
        </w:rPr>
        <w:t>2</w:t>
      </w:r>
      <w:r>
        <w:rPr>
          <w:rFonts w:hint="eastAsia" w:asciiTheme="majorEastAsia" w:hAnsiTheme="majorEastAsia" w:eastAsiaTheme="majorEastAsia" w:cstheme="majorEastAsia"/>
          <w:b/>
          <w:sz w:val="30"/>
          <w:szCs w:val="30"/>
        </w:rPr>
        <w:t xml:space="preserve"> </w:t>
      </w:r>
      <w:r>
        <w:rPr>
          <w:rFonts w:hint="eastAsia" w:asciiTheme="majorEastAsia" w:hAnsiTheme="majorEastAsia" w:eastAsiaTheme="majorEastAsia" w:cstheme="majorEastAsia"/>
          <w:b/>
          <w:sz w:val="30"/>
          <w:szCs w:val="30"/>
          <w:lang w:val="en-US" w:eastAsia="zh-CN"/>
        </w:rPr>
        <w:t xml:space="preserve"> </w:t>
      </w:r>
      <w:r>
        <w:rPr>
          <w:rFonts w:hint="eastAsia" w:asciiTheme="majorEastAsia" w:hAnsiTheme="majorEastAsia" w:eastAsiaTheme="majorEastAsia" w:cstheme="majorEastAsia"/>
          <w:b/>
          <w:sz w:val="30"/>
          <w:szCs w:val="30"/>
        </w:rPr>
        <w:t>术语</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p>
      <w:pPr>
        <w:ind w:firstLine="0" w:firstLineChars="0"/>
        <w:rPr>
          <w:rFonts w:hint="default" w:eastAsia="宋体"/>
          <w:color w:val="auto"/>
          <w:sz w:val="24"/>
          <w:szCs w:val="24"/>
          <w:lang w:val="en-US" w:eastAsia="zh-CN"/>
        </w:rPr>
      </w:pPr>
      <w:bookmarkStart w:id="57" w:name="_Toc19127"/>
      <w:bookmarkEnd w:id="57"/>
      <w:bookmarkStart w:id="58" w:name="_Toc30840"/>
      <w:bookmarkEnd w:id="58"/>
      <w:bookmarkStart w:id="59" w:name="_Toc12044"/>
      <w:bookmarkEnd w:id="59"/>
      <w:bookmarkStart w:id="60" w:name="_Toc12061"/>
      <w:bookmarkEnd w:id="60"/>
      <w:bookmarkStart w:id="61" w:name="_Toc22571"/>
      <w:bookmarkStart w:id="62" w:name="_Toc10507"/>
      <w:bookmarkStart w:id="63" w:name="_Toc29441"/>
      <w:r>
        <w:rPr>
          <w:rFonts w:hint="eastAsia"/>
          <w:b/>
          <w:bCs/>
          <w:color w:val="000000" w:themeColor="text1"/>
          <w:sz w:val="24"/>
          <w:szCs w:val="24"/>
          <w14:textFill>
            <w14:solidFill>
              <w14:schemeClr w14:val="tx1"/>
            </w14:solidFill>
          </w14:textFill>
        </w:rPr>
        <w:t>2.0.1</w:t>
      </w:r>
      <w:r>
        <w:rPr>
          <w:rFonts w:hint="eastAsia"/>
          <w:color w:val="000000" w:themeColor="text1"/>
          <w:sz w:val="24"/>
          <w:szCs w:val="24"/>
          <w14:textFill>
            <w14:solidFill>
              <w14:schemeClr w14:val="tx1"/>
            </w14:solidFill>
          </w14:textFill>
        </w:rPr>
        <w:t xml:space="preserve"> </w:t>
      </w:r>
      <w:r>
        <w:rPr>
          <w:rFonts w:hint="eastAsia"/>
          <w:color w:val="000000" w:themeColor="text1"/>
          <w:sz w:val="24"/>
          <w:szCs w:val="24"/>
          <w:lang w:val="en-US" w:eastAsia="zh-CN"/>
          <w14:textFill>
            <w14:solidFill>
              <w14:schemeClr w14:val="tx1"/>
            </w14:solidFill>
          </w14:textFill>
        </w:rPr>
        <w:t xml:space="preserve"> 河湖底泥 River and lake sediment</w:t>
      </w:r>
    </w:p>
    <w:p>
      <w:pPr>
        <w:ind w:firstLine="480" w:firstLineChars="200"/>
        <w:rPr>
          <w:rFonts w:hint="eastAsia"/>
          <w:color w:val="auto"/>
          <w:sz w:val="24"/>
          <w:szCs w:val="24"/>
          <w:lang w:eastAsia="zh-CN"/>
        </w:rPr>
      </w:pPr>
      <w:r>
        <w:rPr>
          <w:rFonts w:hint="eastAsia"/>
          <w:color w:val="auto"/>
          <w:sz w:val="24"/>
          <w:szCs w:val="24"/>
          <w:lang w:val="en-US" w:eastAsia="zh-CN"/>
        </w:rPr>
        <w:t>指进入河流/湖泊中的粘土、泥沙、有机质及各种矿物，通过各种物理、化学和生物作用，沉降至水体底部表层形成的混合物</w:t>
      </w:r>
      <w:r>
        <w:rPr>
          <w:rFonts w:hint="eastAsia"/>
          <w:color w:val="auto"/>
          <w:sz w:val="24"/>
          <w:szCs w:val="24"/>
          <w:lang w:eastAsia="zh-CN"/>
        </w:rPr>
        <w:t>。</w:t>
      </w:r>
    </w:p>
    <w:p>
      <w:pPr>
        <w:ind w:firstLine="0" w:firstLineChars="0"/>
        <w:rPr>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2.0.</w:t>
      </w:r>
      <w:r>
        <w:rPr>
          <w:rFonts w:hint="eastAsia"/>
          <w:b/>
          <w:bCs/>
          <w:color w:val="000000" w:themeColor="text1"/>
          <w:sz w:val="24"/>
          <w:szCs w:val="24"/>
          <w:lang w:val="en-US" w:eastAsia="zh-CN"/>
          <w14:textFill>
            <w14:solidFill>
              <w14:schemeClr w14:val="tx1"/>
            </w14:solidFill>
          </w14:textFill>
        </w:rPr>
        <w:t>2</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营养盐污染底泥 Nutrient contaminated sediment</w:t>
      </w:r>
    </w:p>
    <w:p>
      <w:pPr>
        <w:ind w:firstLine="420"/>
        <w:rPr>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指</w:t>
      </w:r>
      <w:r>
        <w:rPr>
          <w:rFonts w:hint="eastAsia"/>
          <w:color w:val="000000" w:themeColor="text1"/>
          <w:sz w:val="24"/>
          <w:szCs w:val="24"/>
          <w14:textFill>
            <w14:solidFill>
              <w14:schemeClr w14:val="tx1"/>
            </w14:solidFill>
          </w14:textFill>
        </w:rPr>
        <w:t>有机质</w:t>
      </w:r>
      <w:r>
        <w:rPr>
          <w:rFonts w:hint="eastAsia"/>
          <w:color w:val="000000" w:themeColor="text1"/>
          <w:sz w:val="24"/>
          <w:szCs w:val="24"/>
          <w:lang w:val="en-US" w:eastAsia="zh-CN"/>
          <w14:textFill>
            <w14:solidFill>
              <w14:schemeClr w14:val="tx1"/>
            </w14:solidFill>
          </w14:textFill>
        </w:rPr>
        <w:t>和</w:t>
      </w:r>
      <w:r>
        <w:rPr>
          <w:rFonts w:hint="eastAsia"/>
          <w:color w:val="000000" w:themeColor="text1"/>
          <w:sz w:val="24"/>
          <w:szCs w:val="24"/>
          <w14:textFill>
            <w14:solidFill>
              <w14:schemeClr w14:val="tx1"/>
            </w14:solidFill>
          </w14:textFill>
        </w:rPr>
        <w:t>氮、磷</w:t>
      </w:r>
      <w:r>
        <w:rPr>
          <w:rFonts w:hint="eastAsia"/>
          <w:color w:val="000000" w:themeColor="text1"/>
          <w:sz w:val="24"/>
          <w:szCs w:val="24"/>
          <w:lang w:val="en-US" w:eastAsia="zh-CN"/>
          <w14:textFill>
            <w14:solidFill>
              <w14:schemeClr w14:val="tx1"/>
            </w14:solidFill>
          </w14:textFill>
        </w:rPr>
        <w:t>含量超规定指标限值的底泥</w:t>
      </w:r>
      <w:r>
        <w:rPr>
          <w:color w:val="000000" w:themeColor="text1"/>
          <w:sz w:val="24"/>
          <w:szCs w:val="24"/>
          <w14:textFill>
            <w14:solidFill>
              <w14:schemeClr w14:val="tx1"/>
            </w14:solidFill>
          </w14:textFill>
        </w:rPr>
        <w:t>。</w:t>
      </w:r>
    </w:p>
    <w:p>
      <w:pPr>
        <w:ind w:firstLine="0" w:firstLineChars="0"/>
        <w:rPr>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2.0.</w:t>
      </w:r>
      <w:r>
        <w:rPr>
          <w:rFonts w:hint="eastAsia"/>
          <w:b/>
          <w:bCs/>
          <w:color w:val="000000" w:themeColor="text1"/>
          <w:sz w:val="24"/>
          <w:szCs w:val="24"/>
          <w:lang w:val="en-US" w:eastAsia="zh-CN"/>
          <w14:textFill>
            <w14:solidFill>
              <w14:schemeClr w14:val="tx1"/>
            </w14:solidFill>
          </w14:textFill>
        </w:rPr>
        <w:t>3</w:t>
      </w:r>
      <w:r>
        <w:rPr>
          <w:rFonts w:hint="eastAsia"/>
          <w:color w:val="000000" w:themeColor="text1"/>
          <w:sz w:val="24"/>
          <w:szCs w:val="24"/>
          <w:lang w:val="en-US" w:eastAsia="zh-CN"/>
          <w14:textFill>
            <w14:solidFill>
              <w14:schemeClr w14:val="tx1"/>
            </w14:solidFill>
          </w14:textFill>
        </w:rPr>
        <w:t xml:space="preserve">  生境修复 Habitat restoration</w:t>
      </w:r>
    </w:p>
    <w:p>
      <w:pPr>
        <w:ind w:firstLine="480"/>
        <w:rPr>
          <w:rFonts w:hint="eastAsia"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水域生境主要包括</w:t>
      </w:r>
      <w:r>
        <w:rPr>
          <w:rFonts w:hint="eastAsia" w:cs="Times New Roman"/>
          <w:color w:val="000000" w:themeColor="text1"/>
          <w:sz w:val="24"/>
          <w:szCs w:val="24"/>
          <w:lang w:val="en-US" w:eastAsia="zh-CN"/>
          <w14:textFill>
            <w14:solidFill>
              <w14:schemeClr w14:val="tx1"/>
            </w14:solidFill>
          </w14:textFill>
        </w:rPr>
        <w:t>水质、水位</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水动力、光照、温度、底质因子等</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，生境修复是指采取有效措施，恢复或重建受损的生境</w:t>
      </w:r>
      <w:r>
        <w:rPr>
          <w:rFonts w:hint="eastAsia" w:eastAsia="宋体" w:cs="Times New Roman"/>
          <w:color w:val="000000" w:themeColor="text1"/>
          <w:sz w:val="24"/>
          <w:szCs w:val="24"/>
          <w:lang w:val="en-US" w:eastAsia="zh-CN"/>
          <w14:textFill>
            <w14:solidFill>
              <w14:schemeClr w14:val="tx1"/>
            </w14:solidFill>
          </w14:textFill>
        </w:rPr>
        <w:t>。</w:t>
      </w:r>
    </w:p>
    <w:p>
      <w:pPr>
        <w:ind w:firstLine="0" w:firstLineChars="0"/>
        <w:rPr>
          <w:rFonts w:hint="eastAsia"/>
          <w:b w:val="0"/>
          <w:bCs w:val="0"/>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 xml:space="preserve">2.0.4  </w:t>
      </w:r>
      <w:r>
        <w:rPr>
          <w:rFonts w:hint="eastAsia"/>
          <w:b w:val="0"/>
          <w:bCs w:val="0"/>
          <w:color w:val="000000" w:themeColor="text1"/>
          <w:sz w:val="24"/>
          <w:szCs w:val="24"/>
          <w:lang w:val="en-US" w:eastAsia="zh-CN"/>
          <w14:textFill>
            <w14:solidFill>
              <w14:schemeClr w14:val="tx1"/>
            </w14:solidFill>
          </w14:textFill>
        </w:rPr>
        <w:t>真光层深度 True layer depth</w:t>
      </w:r>
    </w:p>
    <w:p>
      <w:pPr>
        <w:keepNext w:val="0"/>
        <w:keepLines w:val="0"/>
        <w:widowControl/>
        <w:suppressLineNumbers w:val="0"/>
        <w:jc w:val="left"/>
        <w:rPr>
          <w:rFonts w:hint="default"/>
          <w:lang w:val="en-US"/>
        </w:rPr>
      </w:pPr>
      <w:r>
        <w:rPr>
          <w:rFonts w:hint="eastAsia" w:ascii="宋体" w:hAnsi="宋体" w:eastAsia="宋体" w:cs="宋体"/>
          <w:color w:val="000000"/>
          <w:kern w:val="0"/>
          <w:sz w:val="24"/>
          <w:szCs w:val="24"/>
          <w:lang w:val="en-US" w:eastAsia="zh-CN" w:bidi="ar"/>
        </w:rPr>
        <w:t>水面下某处植物光合作用和生命代谢有机物质产出平衡，没有净生产量，此深度为光补偿深度，亦称“真光层深度”。</w:t>
      </w:r>
    </w:p>
    <w:p>
      <w:pPr>
        <w:ind w:firstLine="0" w:firstLineChars="0"/>
        <w:rPr>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2.0.</w:t>
      </w:r>
      <w:r>
        <w:rPr>
          <w:rFonts w:hint="eastAsia"/>
          <w:b/>
          <w:bCs/>
          <w:color w:val="000000" w:themeColor="text1"/>
          <w:sz w:val="24"/>
          <w:szCs w:val="24"/>
          <w:lang w:val="en-US" w:eastAsia="zh-CN"/>
          <w14:textFill>
            <w14:solidFill>
              <w14:schemeClr w14:val="tx1"/>
            </w14:solidFill>
          </w14:textFill>
        </w:rPr>
        <w:t>5</w:t>
      </w:r>
      <w:r>
        <w:rPr>
          <w:rFonts w:hint="eastAsia"/>
          <w:color w:val="000000" w:themeColor="text1"/>
          <w:sz w:val="24"/>
          <w:szCs w:val="24"/>
          <w:lang w:val="en-US" w:eastAsia="zh-CN"/>
          <w14:textFill>
            <w14:solidFill>
              <w14:schemeClr w14:val="tx1"/>
            </w14:solidFill>
          </w14:textFill>
        </w:rPr>
        <w:t xml:space="preserve">  粒径 Particle size</w:t>
      </w:r>
    </w:p>
    <w:p>
      <w:pPr>
        <w:ind w:firstLine="420" w:firstLineChars="0"/>
        <w:rPr>
          <w:rFonts w:hint="eastAsia"/>
          <w:sz w:val="24"/>
          <w:szCs w:val="24"/>
          <w:lang w:val="en-US" w:eastAsia="zh-CN"/>
        </w:rPr>
      </w:pPr>
      <w:r>
        <w:rPr>
          <w:rFonts w:hint="eastAsia"/>
          <w:color w:val="000000" w:themeColor="text1"/>
          <w:sz w:val="24"/>
          <w:szCs w:val="24"/>
          <w14:textFill>
            <w14:solidFill>
              <w14:schemeClr w14:val="tx1"/>
            </w14:solidFill>
          </w14:textFill>
        </w:rPr>
        <w:t>颗粒的</w:t>
      </w:r>
      <w:r>
        <w:rPr>
          <w:rFonts w:hint="eastAsia"/>
          <w:color w:val="000000" w:themeColor="text1"/>
          <w:sz w:val="24"/>
          <w:szCs w:val="24"/>
          <w:lang w:val="en-US" w:eastAsia="zh-CN"/>
          <w14:textFill>
            <w14:solidFill>
              <w14:schemeClr w14:val="tx1"/>
            </w14:solidFill>
          </w14:textFill>
        </w:rPr>
        <w:t>物理尺寸</w:t>
      </w:r>
      <w:r>
        <w:rPr>
          <w:rFonts w:hint="eastAsia"/>
          <w:color w:val="000000" w:themeColor="text1"/>
          <w:sz w:val="24"/>
          <w:szCs w:val="24"/>
          <w14:textFill>
            <w14:solidFill>
              <w14:schemeClr w14:val="tx1"/>
            </w14:solidFill>
          </w14:textFill>
        </w:rPr>
        <w:t>大小称为“粒径”，又称“粒度”或者“直径”。</w:t>
      </w:r>
    </w:p>
    <w:p>
      <w:pPr>
        <w:ind w:firstLine="0" w:firstLineChars="0"/>
        <w:rPr>
          <w:rFonts w:hint="eastAsia" w:ascii="Times New Roman" w:hAnsi="Times New Roman" w:eastAsia="宋体" w:cs="Times New Roman"/>
          <w:color w:val="000000" w:themeColor="text1"/>
          <w:sz w:val="24"/>
          <w:szCs w:val="24"/>
          <w14:textFill>
            <w14:solidFill>
              <w14:schemeClr w14:val="tx1"/>
            </w14:solidFill>
          </w14:textFill>
        </w:rPr>
      </w:pPr>
      <w:bookmarkStart w:id="64" w:name="_Toc24816"/>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2.0.</w:t>
      </w:r>
      <w:r>
        <w:rPr>
          <w:rFonts w:hint="eastAsia" w:cs="Times New Roman"/>
          <w:b/>
          <w:bCs/>
          <w:color w:val="000000" w:themeColor="text1"/>
          <w:sz w:val="24"/>
          <w:szCs w:val="24"/>
          <w:lang w:val="en-US" w:eastAsia="zh-CN"/>
          <w14:textFill>
            <w14:solidFill>
              <w14:schemeClr w14:val="tx1"/>
            </w14:solidFill>
          </w14:textFill>
        </w:rPr>
        <w:t>6</w:t>
      </w:r>
      <w:r>
        <w:rPr>
          <w:rFonts w:hint="eastAsia" w:cs="Times New Roman"/>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底泥洗脱 Sediment elution</w:t>
      </w:r>
      <w:bookmarkEnd w:id="64"/>
    </w:p>
    <w:p>
      <w:pPr>
        <w:ind w:firstLine="420" w:firstLineChars="0"/>
        <w:rPr>
          <w:rFonts w:hint="eastAsia"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通过机械</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14:textFill>
            <w14:solidFill>
              <w14:schemeClr w14:val="tx1"/>
            </w14:solidFill>
          </w14:textFill>
        </w:rPr>
        <w:t>气</w:t>
      </w:r>
      <w:r>
        <w:rPr>
          <w:rFonts w:hint="eastAsia"/>
          <w:color w:val="000000" w:themeColor="text1"/>
          <w:sz w:val="24"/>
          <w:szCs w:val="24"/>
          <w:lang w:val="en-US" w:eastAsia="zh-CN"/>
          <w14:textFill>
            <w14:solidFill>
              <w14:schemeClr w14:val="tx1"/>
            </w14:solidFill>
          </w14:textFill>
        </w:rPr>
        <w:t>流或</w:t>
      </w:r>
      <w:r>
        <w:rPr>
          <w:rFonts w:hint="eastAsia"/>
          <w:color w:val="000000" w:themeColor="text1"/>
          <w:sz w:val="24"/>
          <w:szCs w:val="24"/>
          <w14:textFill>
            <w14:solidFill>
              <w14:schemeClr w14:val="tx1"/>
            </w14:solidFill>
          </w14:textFill>
        </w:rPr>
        <w:t>液流驱动产生湍流来实现水体底泥中</w:t>
      </w:r>
      <w:r>
        <w:rPr>
          <w:rFonts w:hint="eastAsia"/>
          <w:color w:val="000000" w:themeColor="text1"/>
          <w:sz w:val="24"/>
          <w:szCs w:val="24"/>
          <w:lang w:val="en-US" w:eastAsia="zh-CN"/>
          <w14:textFill>
            <w14:solidFill>
              <w14:schemeClr w14:val="tx1"/>
            </w14:solidFill>
          </w14:textFill>
        </w:rPr>
        <w:t>不同粒径颗粒物分散分离，</w:t>
      </w:r>
      <w:r>
        <w:rPr>
          <w:rFonts w:hint="eastAsia"/>
          <w:color w:val="000000" w:themeColor="text1"/>
          <w:sz w:val="24"/>
          <w:szCs w:val="24"/>
          <w14:textFill>
            <w14:solidFill>
              <w14:schemeClr w14:val="tx1"/>
            </w14:solidFill>
          </w14:textFill>
        </w:rPr>
        <w:t>使无机泥砂原位</w:t>
      </w:r>
      <w:r>
        <w:rPr>
          <w:rFonts w:hint="eastAsia"/>
          <w:color w:val="000000" w:themeColor="text1"/>
          <w:sz w:val="24"/>
          <w:szCs w:val="24"/>
          <w:lang w:val="en-US" w:eastAsia="zh-CN"/>
          <w14:textFill>
            <w14:solidFill>
              <w14:schemeClr w14:val="tx1"/>
            </w14:solidFill>
          </w14:textFill>
        </w:rPr>
        <w:t>沉降并</w:t>
      </w:r>
      <w:r>
        <w:rPr>
          <w:rFonts w:hint="eastAsia"/>
          <w:color w:val="000000" w:themeColor="text1"/>
          <w:sz w:val="24"/>
          <w:szCs w:val="24"/>
          <w14:textFill>
            <w14:solidFill>
              <w14:schemeClr w14:val="tx1"/>
            </w14:solidFill>
          </w14:textFill>
        </w:rPr>
        <w:t>覆盖、</w:t>
      </w:r>
      <w:r>
        <w:rPr>
          <w:rFonts w:hint="eastAsia"/>
          <w:color w:val="000000" w:themeColor="text1"/>
          <w:sz w:val="24"/>
          <w:szCs w:val="24"/>
          <w:lang w:val="en-US" w:eastAsia="zh-CN"/>
          <w14:textFill>
            <w14:solidFill>
              <w14:schemeClr w14:val="tx1"/>
            </w14:solidFill>
          </w14:textFill>
        </w:rPr>
        <w:t>细颗粒</w:t>
      </w:r>
      <w:r>
        <w:rPr>
          <w:rFonts w:hint="eastAsia"/>
          <w:color w:val="000000" w:themeColor="text1"/>
          <w:sz w:val="24"/>
          <w:szCs w:val="24"/>
          <w14:textFill>
            <w14:solidFill>
              <w14:schemeClr w14:val="tx1"/>
            </w14:solidFill>
          </w14:textFill>
        </w:rPr>
        <w:t>污染物异位处理的水体底泥原位修复技术。</w:t>
      </w:r>
    </w:p>
    <w:p>
      <w:pPr>
        <w:ind w:firstLine="0" w:firstLineChars="0"/>
        <w:rPr>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2.0.</w:t>
      </w:r>
      <w:r>
        <w:rPr>
          <w:rFonts w:hint="eastAsia"/>
          <w:b/>
          <w:bCs/>
          <w:color w:val="000000" w:themeColor="text1"/>
          <w:sz w:val="24"/>
          <w:szCs w:val="24"/>
          <w:lang w:val="en-US" w:eastAsia="zh-CN"/>
          <w14:textFill>
            <w14:solidFill>
              <w14:schemeClr w14:val="tx1"/>
            </w14:solidFill>
          </w14:textFill>
        </w:rPr>
        <w:t>7</w:t>
      </w:r>
      <w:r>
        <w:rPr>
          <w:rFonts w:hint="eastAsia"/>
          <w:color w:val="000000" w:themeColor="text1"/>
          <w:sz w:val="24"/>
          <w:szCs w:val="24"/>
          <w:lang w:val="en-US" w:eastAsia="zh-CN"/>
          <w14:textFill>
            <w14:solidFill>
              <w14:schemeClr w14:val="tx1"/>
            </w14:solidFill>
          </w14:textFill>
        </w:rPr>
        <w:t xml:space="preserve">  中值粒径 Median particle size</w:t>
      </w:r>
    </w:p>
    <w:p>
      <w:pPr>
        <w:ind w:firstLine="480" w:firstLineChars="200"/>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指样品</w:t>
      </w:r>
      <w:r>
        <w:rPr>
          <w:rFonts w:hint="eastAsia"/>
          <w:color w:val="000000" w:themeColor="text1"/>
          <w:sz w:val="24"/>
          <w:szCs w:val="24"/>
          <w14:textFill>
            <w14:solidFill>
              <w14:schemeClr w14:val="tx1"/>
            </w14:solidFill>
          </w14:textFill>
        </w:rPr>
        <w:t>累计粒度分布百分数达到百分之五十时所对应的粒径</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也称D50</w:t>
      </w:r>
      <w:r>
        <w:rPr>
          <w:rFonts w:hint="eastAsia"/>
          <w:color w:val="000000" w:themeColor="text1"/>
          <w:sz w:val="24"/>
          <w:szCs w:val="24"/>
          <w14:textFill>
            <w14:solidFill>
              <w14:schemeClr w14:val="tx1"/>
            </w14:solidFill>
          </w14:textFill>
        </w:rPr>
        <w:t>。</w:t>
      </w:r>
    </w:p>
    <w:bookmarkEnd w:id="61"/>
    <w:bookmarkEnd w:id="62"/>
    <w:bookmarkEnd w:id="63"/>
    <w:p>
      <w:pPr>
        <w:ind w:firstLine="0" w:firstLineChars="0"/>
        <w:rPr>
          <w:rFonts w:hint="default" w:ascii="Times New Roman" w:hAnsi="Times New Roman" w:eastAsia="宋体" w:cs="Times New Roman"/>
          <w:color w:val="000000" w:themeColor="text1"/>
          <w:sz w:val="24"/>
          <w:szCs w:val="24"/>
          <w:lang w:val="en-US" w:eastAsia="zh-CN"/>
          <w14:textFill>
            <w14:solidFill>
              <w14:schemeClr w14:val="tx1"/>
            </w14:solidFill>
          </w14:textFill>
        </w:rPr>
      </w:pPr>
      <w:bookmarkStart w:id="65" w:name="_Toc3176"/>
      <w:bookmarkEnd w:id="65"/>
      <w:bookmarkStart w:id="66" w:name="_Toc32467"/>
      <w:bookmarkEnd w:id="66"/>
      <w:bookmarkStart w:id="67" w:name="_Toc23266"/>
      <w:bookmarkEnd w:id="67"/>
      <w:bookmarkStart w:id="68" w:name="_Toc25593"/>
      <w:bookmarkEnd w:id="68"/>
      <w:bookmarkStart w:id="69" w:name="_Toc28862"/>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2.0.</w:t>
      </w:r>
      <w:r>
        <w:rPr>
          <w:rFonts w:hint="eastAsia" w:cs="Times New Roman"/>
          <w:b/>
          <w:bCs/>
          <w:color w:val="000000" w:themeColor="text1"/>
          <w:sz w:val="24"/>
          <w:szCs w:val="24"/>
          <w:lang w:val="en-US" w:eastAsia="zh-CN"/>
          <w14:textFill>
            <w14:solidFill>
              <w14:schemeClr w14:val="tx1"/>
            </w14:solidFill>
          </w14:textFill>
        </w:rPr>
        <w:t xml:space="preserve">8 </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洗脱仓 Eluting bin</w:t>
      </w:r>
      <w:bookmarkEnd w:id="69"/>
    </w:p>
    <w:p>
      <w:pPr>
        <w:ind w:firstLine="480" w:firstLineChars="200"/>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指底部开口并布置有扰动装置的箱体，倒扣在水底驱动泥水混合液在仓内沿重力方向形成粒度梯度分布，并完成细颗粒污染物和无机泥砂分离的装置。</w:t>
      </w:r>
    </w:p>
    <w:p>
      <w:pPr>
        <w:pStyle w:val="12"/>
        <w:keepNext w:val="0"/>
        <w:keepLines w:val="0"/>
        <w:widowControl/>
        <w:suppressLineNumbers w:val="0"/>
        <w:spacing w:before="0" w:beforeAutospacing="0" w:after="0" w:afterAutospacing="0"/>
        <w:ind w:left="0" w:right="0" w:firstLine="0" w:firstLineChars="0"/>
        <w:rPr>
          <w:rFonts w:hint="default"/>
          <w:color w:val="000000" w:themeColor="text1"/>
          <w:kern w:val="2"/>
          <w:sz w:val="24"/>
          <w:szCs w:val="24"/>
          <w:lang w:val="en-US" w:eastAsia="zh-CN" w:bidi="ar-SA"/>
          <w14:textFill>
            <w14:solidFill>
              <w14:schemeClr w14:val="tx1"/>
            </w14:solidFill>
          </w14:textFill>
        </w:rPr>
      </w:pPr>
      <w:r>
        <w:rPr>
          <w:rFonts w:hint="eastAsia"/>
          <w:b/>
          <w:bCs/>
          <w:color w:val="000000" w:themeColor="text1"/>
          <w:kern w:val="2"/>
          <w:sz w:val="24"/>
          <w:szCs w:val="24"/>
          <w:lang w:val="en-US" w:eastAsia="zh-CN" w:bidi="ar-SA"/>
          <w14:textFill>
            <w14:solidFill>
              <w14:schemeClr w14:val="tx1"/>
            </w14:solidFill>
          </w14:textFill>
        </w:rPr>
        <w:t xml:space="preserve">2.0.9 </w:t>
      </w:r>
      <w:r>
        <w:rPr>
          <w:rFonts w:hint="eastAsia"/>
          <w:color w:val="000000" w:themeColor="text1"/>
          <w:kern w:val="2"/>
          <w:sz w:val="24"/>
          <w:szCs w:val="24"/>
          <w:lang w:val="en-US" w:eastAsia="zh-CN" w:bidi="ar-SA"/>
          <w14:textFill>
            <w14:solidFill>
              <w14:schemeClr w14:val="tx1"/>
            </w14:solidFill>
          </w14:textFill>
        </w:rPr>
        <w:t xml:space="preserve"> 洗脱出水 Elution water</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sz w:val="24"/>
          <w:szCs w:val="24"/>
          <w:lang w:val="en-US" w:eastAsia="zh-CN"/>
        </w:rPr>
      </w:pPr>
      <w:r>
        <w:rPr>
          <w:rFonts w:hint="eastAsia"/>
          <w:color w:val="000000" w:themeColor="text1"/>
          <w:kern w:val="2"/>
          <w:sz w:val="24"/>
          <w:szCs w:val="24"/>
          <w:lang w:val="en-US" w:eastAsia="zh-CN" w:bidi="ar-SA"/>
          <w14:textFill>
            <w14:solidFill>
              <w14:schemeClr w14:val="tx1"/>
            </w14:solidFill>
          </w14:textFill>
        </w:rPr>
        <w:t>指洗脱仓抽吸至槽道的混合液进行二次泥水分离后，回流水体的清水。</w:t>
      </w:r>
    </w:p>
    <w:p>
      <w:pPr>
        <w:ind w:firstLine="0" w:firstLineChars="0"/>
        <w:rPr>
          <w:rFonts w:hint="default" w:ascii="Times New Roman" w:hAnsi="Times New Roman" w:eastAsia="宋体" w:cs="Times New Roman"/>
          <w:color w:val="000000" w:themeColor="text1"/>
          <w:sz w:val="24"/>
          <w:szCs w:val="24"/>
          <w:lang w:val="en-US" w:eastAsia="zh-CN"/>
          <w14:textFill>
            <w14:solidFill>
              <w14:schemeClr w14:val="tx1"/>
            </w14:solidFill>
          </w14:textFill>
        </w:rPr>
      </w:pPr>
      <w:bookmarkStart w:id="70" w:name="_Toc1125"/>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2.0.</w:t>
      </w:r>
      <w:r>
        <w:rPr>
          <w:rFonts w:hint="eastAsia" w:cs="Times New Roman"/>
          <w:b/>
          <w:bCs/>
          <w:color w:val="000000" w:themeColor="text1"/>
          <w:sz w:val="24"/>
          <w:szCs w:val="24"/>
          <w:lang w:val="en-US" w:eastAsia="zh-CN"/>
          <w14:textFill>
            <w14:solidFill>
              <w14:schemeClr w14:val="tx1"/>
            </w14:solidFill>
          </w14:textFill>
        </w:rPr>
        <w:t>10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eastAsia" w:cs="Times New Roman"/>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余水 Residue water</w:t>
      </w:r>
      <w:bookmarkEnd w:id="70"/>
    </w:p>
    <w:p>
      <w:pPr>
        <w:pStyle w:val="12"/>
        <w:keepNext w:val="0"/>
        <w:keepLines w:val="0"/>
        <w:widowControl/>
        <w:suppressLineNumbers w:val="0"/>
        <w:spacing w:before="0" w:beforeAutospacing="0" w:after="0" w:afterAutospacing="0"/>
        <w:ind w:left="0" w:right="0" w:firstLine="0"/>
        <w:rPr>
          <w:rFonts w:hint="eastAsia"/>
          <w:color w:val="000000" w:themeColor="text1"/>
          <w:kern w:val="2"/>
          <w:sz w:val="24"/>
          <w:szCs w:val="24"/>
          <w:lang w:eastAsia="zh-CN" w:bidi="ar-SA"/>
          <w14:textFill>
            <w14:solidFill>
              <w14:schemeClr w14:val="tx1"/>
            </w14:solidFill>
          </w14:textFill>
        </w:rPr>
      </w:pPr>
      <w:r>
        <w:rPr>
          <w:rFonts w:hint="eastAsia"/>
          <w:color w:val="000000" w:themeColor="text1"/>
          <w:kern w:val="2"/>
          <w:sz w:val="24"/>
          <w:szCs w:val="24"/>
          <w:lang w:val="en-US" w:eastAsia="zh-CN" w:bidi="ar-SA"/>
          <w14:textFill>
            <w14:solidFill>
              <w14:schemeClr w14:val="tx1"/>
            </w14:solidFill>
          </w14:textFill>
        </w:rPr>
        <w:t>沉淀至槽道底部的污泥抽吸上岸，进行脱水减容后分离出的水</w:t>
      </w:r>
      <w:r>
        <w:rPr>
          <w:rFonts w:hint="eastAsia"/>
          <w:color w:val="000000" w:themeColor="text1"/>
          <w:kern w:val="2"/>
          <w:sz w:val="24"/>
          <w:szCs w:val="24"/>
          <w:lang w:eastAsia="zh-CN" w:bidi="ar-SA"/>
          <w14:textFill>
            <w14:solidFill>
              <w14:schemeClr w14:val="tx1"/>
            </w14:solidFill>
          </w14:textFill>
        </w:rPr>
        <w:t>。</w:t>
      </w:r>
    </w:p>
    <w:p>
      <w:pPr>
        <w:pStyle w:val="12"/>
        <w:keepNext w:val="0"/>
        <w:keepLines w:val="0"/>
        <w:widowControl/>
        <w:suppressLineNumbers w:val="0"/>
        <w:spacing w:before="0" w:beforeAutospacing="0" w:after="0" w:afterAutospacing="0"/>
        <w:ind w:left="0" w:leftChars="0" w:right="0" w:firstLine="0" w:firstLineChars="0"/>
        <w:rPr>
          <w:rFonts w:hint="default"/>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2.0.1</w:t>
      </w:r>
      <w:r>
        <w:rPr>
          <w:rFonts w:hint="eastAsia" w:cs="Times New Roman"/>
          <w:b/>
          <w:bCs/>
          <w:color w:val="000000" w:themeColor="text1"/>
          <w:kern w:val="2"/>
          <w:sz w:val="24"/>
          <w:szCs w:val="24"/>
          <w:lang w:val="en-US" w:eastAsia="zh-CN" w:bidi="ar-SA"/>
          <w14:textFill>
            <w14:solidFill>
              <w14:schemeClr w14:val="tx1"/>
            </w14:solidFill>
          </w14:textFill>
        </w:rPr>
        <w:t>1</w:t>
      </w:r>
      <w:r>
        <w:rPr>
          <w:rFonts w:hint="eastAsia"/>
          <w:color w:val="000000" w:themeColor="text1"/>
          <w:kern w:val="2"/>
          <w:sz w:val="24"/>
          <w:szCs w:val="24"/>
          <w:lang w:val="en-US" w:eastAsia="zh-CN" w:bidi="ar-SA"/>
          <w14:textFill>
            <w14:solidFill>
              <w14:schemeClr w14:val="tx1"/>
            </w14:solidFill>
          </w14:textFill>
        </w:rPr>
        <w:t xml:space="preserve">  </w:t>
      </w:r>
      <w:r>
        <w:rPr>
          <w:rFonts w:hint="eastAsia"/>
          <w:lang w:val="en-US" w:eastAsia="zh-CN"/>
        </w:rPr>
        <w:t>污泥产出系数</w:t>
      </w:r>
      <w:r>
        <w:rPr>
          <w:rFonts w:hint="eastAsia"/>
          <w:color w:val="000000" w:themeColor="text1"/>
          <w:kern w:val="2"/>
          <w:sz w:val="24"/>
          <w:szCs w:val="24"/>
          <w:lang w:val="en-US" w:eastAsia="zh-CN" w:bidi="ar-SA"/>
          <w14:textFill>
            <w14:solidFill>
              <w14:schemeClr w14:val="tx1"/>
            </w14:solidFill>
          </w14:textFill>
        </w:rPr>
        <w:t xml:space="preserve"> </w:t>
      </w:r>
      <w:r>
        <w:rPr>
          <w:rFonts w:hint="eastAsia"/>
          <w:lang w:val="en-US" w:eastAsia="zh-CN"/>
        </w:rPr>
        <w:t>Sludge yield coefficient</w:t>
      </w:r>
    </w:p>
    <w:p>
      <w:pPr>
        <w:pStyle w:val="12"/>
        <w:keepNext w:val="0"/>
        <w:keepLines w:val="0"/>
        <w:widowControl/>
        <w:suppressLineNumbers w:val="0"/>
        <w:spacing w:before="0" w:beforeAutospacing="0" w:after="0" w:afterAutospacing="0"/>
        <w:ind w:right="0"/>
        <w:rPr>
          <w:rFonts w:hint="eastAsia"/>
          <w:color w:val="000000" w:themeColor="text1"/>
          <w:kern w:val="2"/>
          <w:sz w:val="24"/>
          <w:szCs w:val="24"/>
          <w:lang w:val="en-US" w:eastAsia="zh-CN" w:bidi="ar-SA"/>
          <w14:textFill>
            <w14:solidFill>
              <w14:schemeClr w14:val="tx1"/>
            </w14:solidFill>
          </w14:textFill>
        </w:rPr>
      </w:pPr>
      <w:r>
        <w:rPr>
          <w:rFonts w:hint="eastAsia"/>
          <w:color w:val="000000" w:themeColor="text1"/>
          <w:kern w:val="2"/>
          <w:sz w:val="24"/>
          <w:szCs w:val="24"/>
          <w:lang w:val="en-US" w:eastAsia="zh-CN" w:bidi="ar-SA"/>
          <w14:textFill>
            <w14:solidFill>
              <w14:schemeClr w14:val="tx1"/>
            </w14:solidFill>
          </w14:textFill>
        </w:rPr>
        <w:t>指洗脱上岸的污泥与洗脱水下底泥的体积比，污泥上岸量与底泥的粒径、含水率等因素相关。</w:t>
      </w:r>
    </w:p>
    <w:p>
      <w:pPr>
        <w:rPr>
          <w:rFonts w:hint="eastAsia"/>
          <w:color w:val="000000" w:themeColor="text1"/>
          <w:kern w:val="2"/>
          <w:sz w:val="24"/>
          <w:szCs w:val="24"/>
          <w:lang w:val="en-US" w:eastAsia="zh-CN" w:bidi="ar-SA"/>
          <w14:textFill>
            <w14:solidFill>
              <w14:schemeClr w14:val="tx1"/>
            </w14:solidFill>
          </w14:textFill>
        </w:rPr>
      </w:pPr>
      <w:r>
        <w:rPr>
          <w:rFonts w:hint="eastAsia"/>
          <w:color w:val="000000" w:themeColor="text1"/>
          <w:kern w:val="2"/>
          <w:sz w:val="24"/>
          <w:szCs w:val="24"/>
          <w:lang w:val="en-US" w:eastAsia="zh-CN" w:bidi="ar-SA"/>
          <w14:textFill>
            <w14:solidFill>
              <w14:schemeClr w14:val="tx1"/>
            </w14:solidFill>
          </w14:textFill>
        </w:rPr>
        <w:br w:type="page"/>
      </w:r>
    </w:p>
    <w:p>
      <w:pPr>
        <w:pStyle w:val="2"/>
        <w:bidi w:val="0"/>
        <w:ind w:left="0" w:leftChars="0" w:firstLine="0" w:firstLineChars="0"/>
        <w:jc w:val="center"/>
        <w:rPr>
          <w:rFonts w:hint="eastAsia" w:asciiTheme="majorEastAsia" w:hAnsiTheme="majorEastAsia" w:eastAsiaTheme="majorEastAsia" w:cstheme="majorEastAsia"/>
          <w:b/>
          <w:sz w:val="30"/>
          <w:szCs w:val="30"/>
        </w:rPr>
      </w:pPr>
      <w:bookmarkStart w:id="71" w:name="_Toc7574"/>
      <w:bookmarkStart w:id="72" w:name="_Toc9163"/>
      <w:bookmarkStart w:id="73" w:name="_Toc13304"/>
      <w:bookmarkStart w:id="74" w:name="_Toc29276"/>
      <w:bookmarkStart w:id="75" w:name="_Toc9674"/>
      <w:bookmarkStart w:id="76" w:name="_Toc135987281"/>
      <w:bookmarkStart w:id="77" w:name="_Toc12127"/>
      <w:bookmarkStart w:id="78" w:name="_Toc32119"/>
      <w:bookmarkStart w:id="79" w:name="_Toc21261"/>
      <w:bookmarkStart w:id="80" w:name="_Toc6988"/>
      <w:bookmarkStart w:id="81" w:name="_Toc22874"/>
      <w:bookmarkStart w:id="82" w:name="_Toc28247"/>
      <w:bookmarkStart w:id="83" w:name="_Toc12272"/>
      <w:bookmarkStart w:id="84" w:name="_Toc7775"/>
      <w:bookmarkStart w:id="85" w:name="_Toc14348"/>
      <w:bookmarkStart w:id="86" w:name="_Toc6482"/>
      <w:r>
        <w:rPr>
          <w:rFonts w:hint="default" w:ascii="Times New Roman" w:hAnsi="Times New Roman" w:cs="Times New Roman" w:eastAsiaTheme="majorEastAsia"/>
          <w:b/>
          <w:sz w:val="30"/>
          <w:szCs w:val="30"/>
        </w:rPr>
        <w:t>3</w:t>
      </w:r>
      <w:r>
        <w:rPr>
          <w:rFonts w:hint="eastAsia" w:asciiTheme="majorEastAsia" w:hAnsiTheme="majorEastAsia" w:eastAsiaTheme="majorEastAsia" w:cstheme="majorEastAsia"/>
          <w:b/>
          <w:sz w:val="30"/>
          <w:szCs w:val="30"/>
        </w:rPr>
        <w:t xml:space="preserve"> </w:t>
      </w:r>
      <w:r>
        <w:rPr>
          <w:rFonts w:hint="eastAsia" w:asciiTheme="majorEastAsia" w:hAnsiTheme="majorEastAsia" w:eastAsiaTheme="majorEastAsia" w:cstheme="majorEastAsia"/>
          <w:b/>
          <w:sz w:val="30"/>
          <w:szCs w:val="30"/>
          <w:lang w:val="en-US" w:eastAsia="zh-CN"/>
        </w:rPr>
        <w:t xml:space="preserve"> </w:t>
      </w:r>
      <w:r>
        <w:rPr>
          <w:rFonts w:hint="eastAsia" w:asciiTheme="majorEastAsia" w:hAnsiTheme="majorEastAsia" w:eastAsiaTheme="majorEastAsia" w:cstheme="majorEastAsia"/>
          <w:b/>
          <w:sz w:val="30"/>
          <w:szCs w:val="30"/>
        </w:rPr>
        <w:t>基本规定</w:t>
      </w:r>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p>
    <w:p>
      <w:pPr>
        <w:widowControl/>
        <w:numPr>
          <w:ilvl w:val="0"/>
          <w:numId w:val="0"/>
        </w:numPr>
        <w:autoSpaceDE/>
        <w:autoSpaceDN/>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bookmarkStart w:id="87" w:name="_Toc31610"/>
      <w:bookmarkStart w:id="88" w:name="_Toc17920"/>
      <w:bookmarkStart w:id="89" w:name="_Toc21843"/>
      <w:bookmarkStart w:id="90" w:name="_Toc25946"/>
      <w:bookmarkStart w:id="91" w:name="_Toc31422"/>
      <w:bookmarkStart w:id="92" w:name="_Toc28064"/>
      <w:bookmarkStart w:id="93" w:name="_Toc6520"/>
      <w:bookmarkStart w:id="94" w:name="_Toc2045"/>
      <w:bookmarkStart w:id="95" w:name="_Toc25782"/>
      <w:bookmarkStart w:id="96" w:name="_Toc30614"/>
      <w:bookmarkStart w:id="97" w:name="_Toc135987282"/>
      <w:bookmarkStart w:id="98" w:name="_Toc15575"/>
      <w:bookmarkStart w:id="99" w:name="_Toc19102"/>
      <w:bookmarkStart w:id="100" w:name="_Toc18576"/>
      <w:bookmarkStart w:id="101" w:name="_Toc22190"/>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3.0.1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eastAsia" w:cs="Times New Roman"/>
          <w:color w:val="000000" w:themeColor="text1"/>
          <w:sz w:val="24"/>
          <w:szCs w:val="24"/>
          <w:lang w:val="en-US" w:eastAsia="zh-CN"/>
          <w14:textFill>
            <w14:solidFill>
              <w14:schemeClr w14:val="tx1"/>
            </w14:solidFill>
          </w14:textFill>
        </w:rPr>
        <w:t>为使底泥洗脱技术在工程设计和技术比选中</w:t>
      </w:r>
      <w:r>
        <w:rPr>
          <w:rFonts w:hint="eastAsia" w:ascii="宋体" w:hAnsi="宋体" w:eastAsia="宋体" w:cs="宋体"/>
          <w:color w:val="000000" w:themeColor="text1"/>
          <w:sz w:val="24"/>
          <w:szCs w:val="24"/>
          <w:lang w:val="en-US" w:eastAsia="zh-CN"/>
          <w14:textFill>
            <w14:solidFill>
              <w14:schemeClr w14:val="tx1"/>
            </w14:solidFill>
          </w14:textFill>
        </w:rPr>
        <w:t>更加合理有效，应符合表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的相关</w:t>
      </w:r>
      <w:r>
        <w:rPr>
          <w:rFonts w:hint="eastAsia" w:ascii="宋体" w:hAnsi="宋体" w:cs="宋体"/>
          <w:color w:val="000000" w:themeColor="text1"/>
          <w:sz w:val="24"/>
          <w:szCs w:val="24"/>
          <w:lang w:val="en-US" w:eastAsia="zh-CN"/>
          <w14:textFill>
            <w14:solidFill>
              <w14:schemeClr w14:val="tx1"/>
            </w14:solidFill>
          </w14:textFill>
        </w:rPr>
        <w:t>技术和工况条件</w:t>
      </w:r>
      <w:r>
        <w:rPr>
          <w:rFonts w:hint="eastAsia" w:ascii="宋体" w:hAnsi="宋体" w:eastAsia="宋体" w:cs="宋体"/>
          <w:color w:val="000000" w:themeColor="text1"/>
          <w:sz w:val="24"/>
          <w:szCs w:val="24"/>
          <w:lang w:val="en-US" w:eastAsia="zh-CN"/>
          <w14:textFill>
            <w14:solidFill>
              <w14:schemeClr w14:val="tx1"/>
            </w14:solidFill>
          </w14:textFill>
        </w:rPr>
        <w:t>：</w:t>
      </w:r>
    </w:p>
    <w:p>
      <w:pPr>
        <w:ind w:left="0" w:leftChars="0" w:firstLine="0" w:firstLineChars="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表</w:t>
      </w:r>
      <w:r>
        <w:rPr>
          <w:rFonts w:hint="default" w:ascii="Times New Roman" w:hAnsi="Times New Roman" w:eastAsia="宋体" w:cs="Times New Roman"/>
          <w:b/>
          <w:bCs/>
          <w:sz w:val="21"/>
          <w:szCs w:val="21"/>
          <w:lang w:val="en-US" w:eastAsia="zh-CN"/>
        </w:rPr>
        <w:t>3.</w:t>
      </w:r>
      <w:r>
        <w:rPr>
          <w:rFonts w:hint="eastAsia" w:ascii="Times New Roman" w:hAnsi="Times New Roman" w:eastAsia="宋体" w:cs="Times New Roman"/>
          <w:b/>
          <w:bCs/>
          <w:sz w:val="21"/>
          <w:szCs w:val="21"/>
          <w:lang w:val="en-US" w:eastAsia="zh-CN"/>
        </w:rPr>
        <w:t>0.</w:t>
      </w:r>
      <w:r>
        <w:rPr>
          <w:rFonts w:hint="default" w:ascii="Times New Roman" w:hAnsi="Times New Roman" w:eastAsia="宋体" w:cs="Times New Roman"/>
          <w:b/>
          <w:bCs/>
          <w:sz w:val="21"/>
          <w:szCs w:val="21"/>
          <w:lang w:val="en-US" w:eastAsia="zh-CN"/>
        </w:rPr>
        <w:t>1</w:t>
      </w:r>
      <w:r>
        <w:rPr>
          <w:rFonts w:hint="eastAsia" w:ascii="Times New Roman" w:hAnsi="Times New Roman" w:eastAsia="宋体" w:cs="Times New Roman"/>
          <w:b/>
          <w:bCs/>
          <w:sz w:val="21"/>
          <w:szCs w:val="21"/>
          <w:lang w:val="en-US" w:eastAsia="zh-CN"/>
        </w:rPr>
        <w:t xml:space="preserve"> </w:t>
      </w:r>
      <w:r>
        <w:rPr>
          <w:rFonts w:hint="eastAsia" w:ascii="宋体" w:hAnsi="宋体" w:eastAsia="宋体" w:cs="宋体"/>
          <w:b/>
          <w:bCs/>
          <w:sz w:val="21"/>
          <w:szCs w:val="21"/>
          <w:lang w:val="en-US" w:eastAsia="zh-CN"/>
        </w:rPr>
        <w:t xml:space="preserve"> 底泥洗脱技术及施工边界</w:t>
      </w:r>
    </w:p>
    <w:tbl>
      <w:tblPr>
        <w:tblStyle w:val="15"/>
        <w:tblW w:w="843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38"/>
        <w:gridCol w:w="1836"/>
        <w:gridCol w:w="50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538"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1836"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要素</w:t>
            </w:r>
          </w:p>
        </w:tc>
        <w:tc>
          <w:tcPr>
            <w:tcW w:w="506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具体要求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538" w:type="dxa"/>
            <w:vMerge w:val="restart"/>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技术边界</w:t>
            </w:r>
          </w:p>
        </w:tc>
        <w:tc>
          <w:tcPr>
            <w:tcW w:w="1836"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底泥污染类型</w:t>
            </w:r>
          </w:p>
        </w:tc>
        <w:tc>
          <w:tcPr>
            <w:tcW w:w="506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底泥污染应是单一的营养盐污染底泥，重金属、有机或复合污染</w:t>
            </w:r>
            <w:r>
              <w:rPr>
                <w:rFonts w:hint="eastAsia" w:ascii="宋体" w:hAnsi="宋体" w:cs="宋体"/>
                <w:sz w:val="18"/>
                <w:szCs w:val="18"/>
                <w:lang w:val="en-US" w:eastAsia="zh-CN"/>
              </w:rPr>
              <w:t>的底泥</w:t>
            </w:r>
            <w:r>
              <w:rPr>
                <w:rFonts w:hint="eastAsia" w:ascii="宋体" w:hAnsi="宋体" w:eastAsia="宋体" w:cs="宋体"/>
                <w:sz w:val="18"/>
                <w:szCs w:val="18"/>
                <w:lang w:val="en-US" w:eastAsia="zh-CN"/>
              </w:rPr>
              <w:t>不宜底泥洗脱</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5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rPr>
            </w:pPr>
          </w:p>
        </w:tc>
        <w:tc>
          <w:tcPr>
            <w:tcW w:w="1836"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底泥粒径特征</w:t>
            </w:r>
          </w:p>
        </w:tc>
        <w:tc>
          <w:tcPr>
            <w:tcW w:w="506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lang w:val="en-US" w:eastAsia="zh-CN"/>
              </w:rPr>
              <w:t>底泥粒径分析结果</w:t>
            </w:r>
            <w:r>
              <w:rPr>
                <w:rFonts w:hint="default" w:ascii="Times New Roman" w:hAnsi="Times New Roman" w:eastAsia="宋体" w:cs="Times New Roman"/>
                <w:sz w:val="18"/>
                <w:szCs w:val="18"/>
                <w:lang w:val="en-US" w:eastAsia="zh-CN"/>
              </w:rPr>
              <w:t>D50</w:t>
            </w:r>
            <w:r>
              <w:rPr>
                <w:rFonts w:hint="eastAsia" w:ascii="宋体" w:hAnsi="宋体" w:eastAsia="宋体" w:cs="宋体"/>
                <w:sz w:val="18"/>
                <w:szCs w:val="18"/>
                <w:lang w:val="en-US" w:eastAsia="zh-CN"/>
              </w:rPr>
              <w:t>应大于</w:t>
            </w:r>
            <w:r>
              <w:rPr>
                <w:rFonts w:hint="default" w:ascii="Times New Roman" w:hAnsi="Times New Roman" w:eastAsia="宋体" w:cs="Times New Roman"/>
                <w:sz w:val="18"/>
                <w:szCs w:val="18"/>
                <w:lang w:val="en-US" w:eastAsia="zh-CN"/>
              </w:rPr>
              <w:t>1</w:t>
            </w:r>
            <w:r>
              <w:rPr>
                <w:rFonts w:hint="eastAsia" w:cs="Times New Roman"/>
                <w:sz w:val="18"/>
                <w:szCs w:val="18"/>
                <w:lang w:val="en-US" w:eastAsia="zh-CN"/>
              </w:rPr>
              <w:t>0</w:t>
            </w:r>
            <w:r>
              <w:rPr>
                <w:rFonts w:hint="default" w:ascii="Times New Roman" w:hAnsi="Times New Roman" w:eastAsia="宋体" w:cs="Times New Roman"/>
                <w:sz w:val="18"/>
                <w:szCs w:val="18"/>
                <w:lang w:val="en-US" w:eastAsia="zh-CN"/>
              </w:rPr>
              <w:t>μm</w:t>
            </w:r>
            <w:r>
              <w:rPr>
                <w:rFonts w:hint="eastAsia" w:ascii="宋体" w:hAnsi="宋体" w:eastAsia="宋体" w:cs="宋体"/>
                <w:sz w:val="18"/>
                <w:szCs w:val="18"/>
                <w:lang w:val="en-US" w:eastAsia="zh-CN"/>
              </w:rPr>
              <w:t>且</w:t>
            </w:r>
            <w:r>
              <w:rPr>
                <w:rFonts w:hint="default" w:ascii="Times New Roman" w:hAnsi="Times New Roman" w:eastAsia="宋体" w:cs="Times New Roman"/>
                <w:sz w:val="18"/>
                <w:szCs w:val="18"/>
                <w:lang w:val="en-US" w:eastAsia="zh-CN"/>
              </w:rPr>
              <w:t>D90</w:t>
            </w:r>
            <w:r>
              <w:rPr>
                <w:rFonts w:hint="eastAsia" w:ascii="宋体" w:hAnsi="宋体" w:eastAsia="宋体" w:cs="宋体"/>
                <w:sz w:val="18"/>
                <w:szCs w:val="18"/>
                <w:lang w:val="en-US" w:eastAsia="zh-CN"/>
              </w:rPr>
              <w:t>大于</w:t>
            </w:r>
            <w:r>
              <w:rPr>
                <w:rFonts w:hint="default" w:ascii="Times New Roman" w:hAnsi="Times New Roman" w:eastAsia="宋体" w:cs="Times New Roman"/>
                <w:sz w:val="18"/>
                <w:szCs w:val="18"/>
                <w:lang w:val="en-US" w:eastAsia="zh-CN"/>
              </w:rPr>
              <w:t>60μm</w:t>
            </w:r>
            <w:r>
              <w:rPr>
                <w:rFonts w:hint="eastAsia" w:ascii="宋体" w:hAnsi="宋体" w:eastAsia="宋体" w:cs="宋体"/>
                <w:sz w:val="18"/>
                <w:szCs w:val="18"/>
                <w:lang w:val="en-US" w:eastAsia="zh-CN"/>
              </w:rPr>
              <w:t>，底泥粒度</w:t>
            </w:r>
            <w:r>
              <w:rPr>
                <w:rFonts w:hint="eastAsia" w:ascii="宋体" w:hAnsi="宋体" w:cs="宋体"/>
                <w:color w:val="auto"/>
                <w:sz w:val="18"/>
                <w:szCs w:val="18"/>
                <w:lang w:val="en-US" w:eastAsia="zh-CN"/>
              </w:rPr>
              <w:t>过小</w:t>
            </w:r>
            <w:r>
              <w:rPr>
                <w:rFonts w:hint="eastAsia" w:ascii="宋体" w:hAnsi="宋体" w:eastAsia="宋体" w:cs="宋体"/>
                <w:sz w:val="18"/>
                <w:szCs w:val="18"/>
                <w:lang w:val="en-US" w:eastAsia="zh-CN"/>
              </w:rPr>
              <w:t>，或砂砾含量低于</w:t>
            </w:r>
            <w:r>
              <w:rPr>
                <w:rFonts w:hint="default" w:ascii="Times New Roman" w:hAnsi="Times New Roman" w:eastAsia="宋体" w:cs="Times New Roman"/>
                <w:sz w:val="18"/>
                <w:szCs w:val="18"/>
                <w:lang w:val="en-US" w:eastAsia="zh-CN"/>
              </w:rPr>
              <w:t>10%</w:t>
            </w:r>
            <w:r>
              <w:rPr>
                <w:rFonts w:hint="eastAsia" w:ascii="宋体" w:hAnsi="宋体" w:eastAsia="宋体" w:cs="宋体"/>
                <w:sz w:val="18"/>
                <w:szCs w:val="18"/>
                <w:lang w:val="en-US" w:eastAsia="zh-CN"/>
              </w:rPr>
              <w:t>不宜底泥洗脱</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538" w:type="dxa"/>
            <w:vMerge w:val="restart"/>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施工边界</w:t>
            </w:r>
          </w:p>
        </w:tc>
        <w:tc>
          <w:tcPr>
            <w:tcW w:w="1836"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水深</w:t>
            </w:r>
          </w:p>
        </w:tc>
        <w:tc>
          <w:tcPr>
            <w:tcW w:w="506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lang w:val="en-US" w:eastAsia="zh-CN"/>
              </w:rPr>
              <w:t>河湖水深应处于</w:t>
            </w:r>
            <w:r>
              <w:rPr>
                <w:rFonts w:hint="default" w:ascii="Times New Roman" w:hAnsi="Times New Roman" w:eastAsia="宋体" w:cs="Times New Roman"/>
                <w:sz w:val="18"/>
                <w:szCs w:val="18"/>
                <w:lang w:val="en-US" w:eastAsia="zh-CN"/>
              </w:rPr>
              <w:t>0.6m~</w:t>
            </w:r>
            <w:r>
              <w:rPr>
                <w:rFonts w:hint="eastAsia" w:cs="Times New Roman"/>
                <w:color w:val="auto"/>
                <w:sz w:val="18"/>
                <w:szCs w:val="18"/>
                <w:lang w:val="en-US" w:eastAsia="zh-CN"/>
              </w:rPr>
              <w:t>15</w:t>
            </w:r>
            <w:r>
              <w:rPr>
                <w:rFonts w:hint="default" w:ascii="Times New Roman" w:hAnsi="Times New Roman" w:eastAsia="宋体" w:cs="Times New Roman"/>
                <w:sz w:val="18"/>
                <w:szCs w:val="18"/>
                <w:lang w:val="en-US" w:eastAsia="zh-CN"/>
              </w:rPr>
              <w:t>m</w:t>
            </w:r>
            <w:r>
              <w:rPr>
                <w:rFonts w:hint="eastAsia" w:ascii="宋体" w:hAnsi="宋体" w:eastAsia="宋体" w:cs="宋体"/>
                <w:sz w:val="18"/>
                <w:szCs w:val="18"/>
                <w:lang w:val="en-US" w:eastAsia="zh-CN"/>
              </w:rPr>
              <w:t>之间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5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rPr>
            </w:pPr>
          </w:p>
        </w:tc>
        <w:tc>
          <w:tcPr>
            <w:tcW w:w="1836"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河宽</w:t>
            </w:r>
          </w:p>
        </w:tc>
        <w:tc>
          <w:tcPr>
            <w:tcW w:w="506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lang w:val="en-US" w:eastAsia="zh-CN"/>
              </w:rPr>
              <w:t>河道水面宽度应大于</w:t>
            </w:r>
            <w:r>
              <w:rPr>
                <w:rFonts w:hint="default" w:ascii="Times New Roman" w:hAnsi="Times New Roman" w:eastAsia="宋体" w:cs="Times New Roman"/>
                <w:sz w:val="18"/>
                <w:szCs w:val="18"/>
                <w:lang w:val="en-US" w:eastAsia="zh-CN"/>
              </w:rPr>
              <w:t>5m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5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rPr>
            </w:pPr>
          </w:p>
        </w:tc>
        <w:tc>
          <w:tcPr>
            <w:tcW w:w="1836"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水动力</w:t>
            </w:r>
          </w:p>
        </w:tc>
        <w:tc>
          <w:tcPr>
            <w:tcW w:w="506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lang w:val="en-US" w:eastAsia="zh-CN"/>
              </w:rPr>
              <w:t>河道水体流速应小于</w:t>
            </w:r>
            <w:r>
              <w:rPr>
                <w:rFonts w:hint="default" w:ascii="Times New Roman" w:hAnsi="Times New Roman" w:eastAsia="宋体" w:cs="Times New Roman"/>
                <w:sz w:val="18"/>
                <w:szCs w:val="18"/>
                <w:lang w:val="en-US" w:eastAsia="zh-CN"/>
              </w:rPr>
              <w:t>0.6m/s</w:t>
            </w:r>
            <w:r>
              <w:rPr>
                <w:rFonts w:hint="eastAsia" w:ascii="宋体" w:hAnsi="宋体" w:eastAsia="宋体" w:cs="宋体"/>
                <w:sz w:val="18"/>
                <w:szCs w:val="18"/>
                <w:lang w:val="en-US" w:eastAsia="zh-CN"/>
              </w:rPr>
              <w:t>、湖面波高应小于</w:t>
            </w:r>
            <w:r>
              <w:rPr>
                <w:rFonts w:hint="default" w:ascii="Times New Roman" w:hAnsi="Times New Roman" w:eastAsia="宋体" w:cs="Times New Roman"/>
                <w:sz w:val="18"/>
                <w:szCs w:val="18"/>
                <w:lang w:val="en-US" w:eastAsia="zh-CN"/>
              </w:rPr>
              <w:t>0.3m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5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rPr>
            </w:pPr>
          </w:p>
        </w:tc>
        <w:tc>
          <w:tcPr>
            <w:tcW w:w="1836"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吊装场地</w:t>
            </w:r>
          </w:p>
        </w:tc>
        <w:tc>
          <w:tcPr>
            <w:tcW w:w="506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lang w:val="en-US" w:eastAsia="zh-CN"/>
              </w:rPr>
              <w:t>水体周边应有大于</w:t>
            </w:r>
            <w:r>
              <w:rPr>
                <w:rFonts w:hint="default" w:ascii="Times New Roman" w:hAnsi="Times New Roman" w:eastAsia="宋体" w:cs="Times New Roman"/>
                <w:sz w:val="18"/>
                <w:szCs w:val="18"/>
                <w:lang w:val="en-US" w:eastAsia="zh-CN"/>
              </w:rPr>
              <w:t>100</w:t>
            </w:r>
            <w:r>
              <w:rPr>
                <w:rFonts w:hint="eastAsia" w:ascii="Times New Roman" w:hAnsi="Times New Roman" w:eastAsia="宋体" w:cs="Times New Roman"/>
                <w:sz w:val="18"/>
                <w:szCs w:val="18"/>
                <w:lang w:val="en-US" w:eastAsia="zh-CN"/>
              </w:rPr>
              <w:t>m</w:t>
            </w:r>
            <w:r>
              <w:rPr>
                <w:rFonts w:hint="eastAsia" w:ascii="Times New Roman" w:hAnsi="Times New Roman" w:eastAsia="宋体" w:cs="Times New Roman"/>
                <w:sz w:val="18"/>
                <w:szCs w:val="18"/>
                <w:vertAlign w:val="superscript"/>
                <w:lang w:val="en-US" w:eastAsia="zh-CN"/>
              </w:rPr>
              <w:t>2</w:t>
            </w:r>
            <w:r>
              <w:rPr>
                <w:rFonts w:hint="eastAsia" w:ascii="宋体" w:hAnsi="宋体" w:eastAsia="宋体" w:cs="宋体"/>
                <w:sz w:val="18"/>
                <w:szCs w:val="18"/>
                <w:lang w:val="en-US" w:eastAsia="zh-CN"/>
              </w:rPr>
              <w:t>吊装场地，且距下水点小于</w:t>
            </w:r>
            <w:r>
              <w:rPr>
                <w:rFonts w:hint="eastAsia" w:ascii="Times New Roman" w:hAnsi="Times New Roman" w:eastAsia="宋体" w:cs="Times New Roman"/>
                <w:sz w:val="18"/>
                <w:szCs w:val="18"/>
                <w:lang w:val="en-US" w:eastAsia="zh-CN"/>
              </w:rPr>
              <w:t>35m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5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rPr>
            </w:pPr>
          </w:p>
        </w:tc>
        <w:tc>
          <w:tcPr>
            <w:tcW w:w="1836"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污泥转运场地</w:t>
            </w:r>
          </w:p>
        </w:tc>
        <w:tc>
          <w:tcPr>
            <w:tcW w:w="506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水体周边应有临时道路和槽罐车停车点</w:t>
            </w:r>
          </w:p>
        </w:tc>
      </w:tr>
    </w:tbl>
    <w:p>
      <w:pPr>
        <w:pStyle w:val="30"/>
        <w:spacing w:line="360" w:lineRule="auto"/>
        <w:ind w:left="0" w:leftChars="0" w:firstLine="0" w:firstLineChars="0"/>
        <w:rPr>
          <w:rFonts w:hint="eastAsia" w:ascii="宋体" w:hAnsi="宋体" w:eastAsia="楷体_GB2312" w:cstheme="minorBidi"/>
          <w:sz w:val="21"/>
          <w:szCs w:val="21"/>
        </w:rPr>
      </w:pPr>
      <w:r>
        <w:rPr>
          <w:rFonts w:hint="eastAsia"/>
          <w:sz w:val="21"/>
          <w:szCs w:val="21"/>
        </w:rPr>
        <w:t>【条文说明】</w:t>
      </w:r>
      <w:r>
        <w:rPr>
          <w:rFonts w:hint="eastAsia" w:ascii="宋体" w:hAnsi="宋体" w:eastAsia="楷体_GB2312" w:cstheme="minorBidi"/>
          <w:sz w:val="21"/>
          <w:szCs w:val="21"/>
        </w:rPr>
        <w:t>底泥洗脱适用于各类大中小型天然及人工河流湖泊内源营养盐污染治理，为满足底泥洗脱技术实施应用，工程区域水体水流速度、水面宽度及水深应满足一定要求，在不满足相关要求的情况下，可通过其他系列措施来保证施工条件，例如：外部补水或拦河坝、橡胶坝等措施，来调节水位或限制流速等条件</w:t>
      </w:r>
    </w:p>
    <w:p>
      <w:pPr>
        <w:pStyle w:val="30"/>
        <w:spacing w:line="360" w:lineRule="auto"/>
        <w:ind w:left="0" w:leftChars="0" w:firstLine="0" w:firstLineChars="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3.0.</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底泥</w:t>
      </w:r>
      <w:r>
        <w:rPr>
          <w:rFonts w:hint="eastAsia" w:cs="Times New Roman"/>
          <w:color w:val="000000" w:themeColor="text1"/>
          <w:sz w:val="24"/>
          <w:szCs w:val="24"/>
          <w:lang w:val="en-US" w:eastAsia="zh-CN"/>
          <w14:textFill>
            <w14:solidFill>
              <w14:schemeClr w14:val="tx1"/>
            </w14:solidFill>
          </w14:textFill>
        </w:rPr>
        <w:t>营养盐指标</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有机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和</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总磷任一指标超过</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表3.0.2中规定</w:t>
      </w:r>
      <w:r>
        <w:rPr>
          <w:rFonts w:hint="eastAsia" w:cs="Times New Roman"/>
          <w:color w:val="000000" w:themeColor="text1"/>
          <w:sz w:val="24"/>
          <w:szCs w:val="24"/>
          <w:lang w:val="en-US" w:eastAsia="zh-CN"/>
          <w14:textFill>
            <w14:solidFill>
              <w14:schemeClr w14:val="tx1"/>
            </w14:solidFill>
          </w14:textFill>
        </w:rPr>
        <w:t>的清洁状态时</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，该区域</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宜</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进行底泥洗脱。</w:t>
      </w:r>
    </w:p>
    <w:p>
      <w:pPr>
        <w:ind w:left="0" w:leftChars="0" w:firstLine="0" w:firstLineChars="0"/>
        <w:jc w:val="center"/>
        <w:rPr>
          <w:rFonts w:hint="default" w:ascii="宋体" w:hAnsi="宋体" w:eastAsia="宋体" w:cs="宋体"/>
          <w:b/>
          <w:bCs/>
          <w:sz w:val="21"/>
          <w:szCs w:val="21"/>
          <w:lang w:val="en-US" w:eastAsia="zh-CN"/>
        </w:rPr>
      </w:pPr>
      <w:r>
        <w:rPr>
          <w:rFonts w:hint="eastAsia" w:ascii="宋体" w:hAnsi="宋体" w:eastAsia="宋体" w:cs="宋体"/>
          <w:b/>
          <w:bCs/>
          <w:sz w:val="21"/>
          <w:szCs w:val="21"/>
          <w:lang w:val="en-US" w:eastAsia="zh-CN"/>
        </w:rPr>
        <w:t>表</w:t>
      </w:r>
      <w:r>
        <w:rPr>
          <w:rFonts w:hint="default" w:ascii="Times New Roman" w:hAnsi="Times New Roman" w:eastAsia="宋体" w:cs="Times New Roman"/>
          <w:b/>
          <w:bCs/>
          <w:sz w:val="21"/>
          <w:szCs w:val="21"/>
          <w:lang w:val="en-US" w:eastAsia="zh-CN"/>
        </w:rPr>
        <w:t>3.</w:t>
      </w:r>
      <w:r>
        <w:rPr>
          <w:rFonts w:hint="eastAsia" w:ascii="Times New Roman" w:hAnsi="Times New Roman" w:eastAsia="宋体" w:cs="Times New Roman"/>
          <w:b/>
          <w:bCs/>
          <w:sz w:val="21"/>
          <w:szCs w:val="21"/>
          <w:lang w:val="en-US" w:eastAsia="zh-CN"/>
        </w:rPr>
        <w:t>0.</w:t>
      </w:r>
      <w:r>
        <w:rPr>
          <w:rFonts w:hint="default" w:ascii="Times New Roman" w:hAnsi="Times New Roman" w:eastAsia="宋体" w:cs="Times New Roman"/>
          <w:b/>
          <w:bCs/>
          <w:sz w:val="21"/>
          <w:szCs w:val="21"/>
          <w:lang w:val="en-US" w:eastAsia="zh-CN"/>
        </w:rPr>
        <w:t>2</w:t>
      </w:r>
      <w:r>
        <w:rPr>
          <w:rFonts w:hint="eastAsia" w:ascii="宋体" w:hAnsi="宋体" w:eastAsia="宋体" w:cs="宋体"/>
          <w:b/>
          <w:bCs/>
          <w:sz w:val="21"/>
          <w:szCs w:val="21"/>
          <w:lang w:val="en-US" w:eastAsia="zh-CN"/>
        </w:rPr>
        <w:t xml:space="preserve">  底泥</w:t>
      </w:r>
      <w:r>
        <w:rPr>
          <w:rFonts w:hint="eastAsia" w:ascii="宋体" w:hAnsi="宋体" w:cs="宋体"/>
          <w:b/>
          <w:bCs/>
          <w:sz w:val="21"/>
          <w:szCs w:val="21"/>
          <w:lang w:val="en-US" w:eastAsia="zh-CN"/>
        </w:rPr>
        <w:t>污染程度分级</w:t>
      </w:r>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1703"/>
        <w:gridCol w:w="1704"/>
        <w:gridCol w:w="1704"/>
        <w:gridCol w:w="170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3" w:type="dxa"/>
            <w:tcBorders>
              <w:tl2br w:val="nil"/>
              <w:tr2bl w:val="nil"/>
            </w:tcBorders>
            <w:vAlign w:val="center"/>
          </w:tcPr>
          <w:p>
            <w:pPr>
              <w:ind w:firstLine="0" w:firstLineChars="0"/>
              <w:jc w:val="center"/>
              <w:rPr>
                <w:rFonts w:ascii="宋体" w:hAnsi="宋体" w:cs="宋体"/>
                <w:b w:val="0"/>
                <w:bCs w:val="0"/>
                <w:color w:val="auto"/>
                <w:sz w:val="18"/>
                <w:szCs w:val="18"/>
              </w:rPr>
            </w:pPr>
            <w:r>
              <w:rPr>
                <w:rFonts w:hint="eastAsia" w:ascii="宋体" w:hAnsi="宋体" w:cs="宋体"/>
                <w:b w:val="0"/>
                <w:bCs w:val="0"/>
                <w:color w:val="auto"/>
                <w:sz w:val="18"/>
                <w:szCs w:val="18"/>
              </w:rPr>
              <w:t>序号</w:t>
            </w:r>
          </w:p>
        </w:tc>
        <w:tc>
          <w:tcPr>
            <w:tcW w:w="1703" w:type="dxa"/>
            <w:tcBorders>
              <w:tl2br w:val="nil"/>
              <w:tr2bl w:val="nil"/>
            </w:tcBorders>
            <w:vAlign w:val="center"/>
          </w:tcPr>
          <w:p>
            <w:pPr>
              <w:ind w:firstLine="0" w:firstLineChars="0"/>
              <w:jc w:val="center"/>
              <w:rPr>
                <w:rFonts w:ascii="宋体" w:hAnsi="宋体" w:cs="宋体"/>
                <w:b w:val="0"/>
                <w:bCs w:val="0"/>
                <w:color w:val="auto"/>
                <w:sz w:val="18"/>
                <w:szCs w:val="18"/>
              </w:rPr>
            </w:pPr>
            <w:r>
              <w:rPr>
                <w:rFonts w:hint="eastAsia" w:ascii="宋体" w:hAnsi="宋体" w:cs="宋体"/>
                <w:b w:val="0"/>
                <w:bCs w:val="0"/>
                <w:color w:val="auto"/>
                <w:sz w:val="18"/>
                <w:szCs w:val="18"/>
              </w:rPr>
              <w:t>总磷（</w:t>
            </w:r>
            <w:r>
              <w:rPr>
                <w:rFonts w:hint="default" w:ascii="Times New Roman" w:hAnsi="Times New Roman" w:cs="Times New Roman"/>
                <w:b w:val="0"/>
                <w:bCs w:val="0"/>
                <w:color w:val="auto"/>
                <w:sz w:val="18"/>
                <w:szCs w:val="18"/>
              </w:rPr>
              <w:t>mg/kg</w:t>
            </w:r>
            <w:r>
              <w:rPr>
                <w:rFonts w:hint="eastAsia" w:ascii="宋体" w:hAnsi="宋体" w:cs="宋体"/>
                <w:b w:val="0"/>
                <w:bCs w:val="0"/>
                <w:color w:val="auto"/>
                <w:sz w:val="18"/>
                <w:szCs w:val="18"/>
              </w:rPr>
              <w:t>）</w:t>
            </w:r>
          </w:p>
        </w:tc>
        <w:tc>
          <w:tcPr>
            <w:tcW w:w="1704" w:type="dxa"/>
            <w:tcBorders>
              <w:tl2br w:val="nil"/>
              <w:tr2bl w:val="nil"/>
            </w:tcBorders>
            <w:vAlign w:val="center"/>
          </w:tcPr>
          <w:p>
            <w:pPr>
              <w:ind w:firstLine="0" w:firstLineChars="0"/>
              <w:jc w:val="center"/>
              <w:rPr>
                <w:rFonts w:ascii="宋体" w:hAnsi="宋体" w:cs="宋体"/>
                <w:b w:val="0"/>
                <w:bCs w:val="0"/>
                <w:color w:val="auto"/>
                <w:sz w:val="18"/>
                <w:szCs w:val="18"/>
              </w:rPr>
            </w:pPr>
            <w:r>
              <w:rPr>
                <w:rFonts w:hint="eastAsia" w:ascii="宋体" w:hAnsi="宋体" w:cs="宋体"/>
                <w:b w:val="0"/>
                <w:bCs w:val="0"/>
                <w:color w:val="auto"/>
                <w:sz w:val="18"/>
                <w:szCs w:val="18"/>
              </w:rPr>
              <w:t>总氮（</w:t>
            </w:r>
            <w:r>
              <w:rPr>
                <w:rFonts w:hint="eastAsia" w:ascii="Times New Roman" w:hAnsi="Times New Roman" w:eastAsia="宋体" w:cs="Times New Roman"/>
                <w:b w:val="0"/>
                <w:bCs w:val="0"/>
                <w:color w:val="auto"/>
                <w:sz w:val="18"/>
                <w:szCs w:val="18"/>
              </w:rPr>
              <w:t>mg/kg</w:t>
            </w:r>
            <w:r>
              <w:rPr>
                <w:rFonts w:hint="eastAsia" w:ascii="宋体" w:hAnsi="宋体" w:cs="宋体"/>
                <w:b w:val="0"/>
                <w:bCs w:val="0"/>
                <w:color w:val="auto"/>
                <w:sz w:val="18"/>
                <w:szCs w:val="18"/>
              </w:rPr>
              <w:t>）</w:t>
            </w:r>
          </w:p>
        </w:tc>
        <w:tc>
          <w:tcPr>
            <w:tcW w:w="1704" w:type="dxa"/>
            <w:tcBorders>
              <w:tl2br w:val="nil"/>
              <w:tr2bl w:val="nil"/>
            </w:tcBorders>
            <w:vAlign w:val="center"/>
          </w:tcPr>
          <w:p>
            <w:pPr>
              <w:ind w:firstLine="0" w:firstLineChars="0"/>
              <w:jc w:val="center"/>
              <w:rPr>
                <w:rFonts w:ascii="宋体" w:hAnsi="宋体" w:cs="宋体"/>
                <w:b w:val="0"/>
                <w:bCs w:val="0"/>
                <w:color w:val="auto"/>
                <w:sz w:val="18"/>
                <w:szCs w:val="18"/>
              </w:rPr>
            </w:pPr>
            <w:r>
              <w:rPr>
                <w:rFonts w:hint="eastAsia" w:ascii="宋体" w:hAnsi="宋体" w:cs="宋体"/>
                <w:b w:val="0"/>
                <w:bCs w:val="0"/>
                <w:color w:val="auto"/>
                <w:sz w:val="18"/>
                <w:szCs w:val="18"/>
              </w:rPr>
              <w:t>有机质（</w:t>
            </w:r>
            <w:r>
              <w:rPr>
                <w:rFonts w:hint="eastAsia" w:ascii="Times New Roman" w:hAnsi="Times New Roman" w:eastAsia="宋体" w:cs="Times New Roman"/>
                <w:b w:val="0"/>
                <w:bCs w:val="0"/>
                <w:color w:val="auto"/>
                <w:sz w:val="18"/>
                <w:szCs w:val="18"/>
              </w:rPr>
              <w:t>g/kg</w:t>
            </w:r>
            <w:r>
              <w:rPr>
                <w:rFonts w:hint="eastAsia" w:ascii="宋体" w:hAnsi="宋体" w:cs="宋体"/>
                <w:b w:val="0"/>
                <w:bCs w:val="0"/>
                <w:color w:val="auto"/>
                <w:sz w:val="18"/>
                <w:szCs w:val="18"/>
              </w:rPr>
              <w:t>）</w:t>
            </w:r>
          </w:p>
        </w:tc>
        <w:tc>
          <w:tcPr>
            <w:tcW w:w="1704" w:type="dxa"/>
            <w:tcBorders>
              <w:tl2br w:val="nil"/>
              <w:tr2bl w:val="nil"/>
            </w:tcBorders>
            <w:vAlign w:val="center"/>
          </w:tcPr>
          <w:p>
            <w:pPr>
              <w:ind w:firstLine="0" w:firstLineChars="0"/>
              <w:jc w:val="center"/>
              <w:rPr>
                <w:rFonts w:hint="default" w:ascii="宋体" w:hAnsi="宋体" w:eastAsia="宋体" w:cs="宋体"/>
                <w:b w:val="0"/>
                <w:bCs w:val="0"/>
                <w:color w:val="auto"/>
                <w:sz w:val="18"/>
                <w:szCs w:val="18"/>
                <w:lang w:val="en-US" w:eastAsia="zh-CN"/>
              </w:rPr>
            </w:pPr>
            <w:r>
              <w:rPr>
                <w:rFonts w:hint="eastAsia" w:ascii="宋体" w:hAnsi="宋体" w:cs="宋体"/>
                <w:b w:val="0"/>
                <w:bCs w:val="0"/>
                <w:color w:val="auto"/>
                <w:sz w:val="18"/>
                <w:szCs w:val="18"/>
                <w:lang w:val="en-US" w:eastAsia="zh-CN"/>
              </w:rPr>
              <w:t>污染程度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3" w:type="dxa"/>
            <w:vMerge w:val="restart"/>
            <w:tcBorders>
              <w:tl2br w:val="nil"/>
              <w:tr2bl w:val="nil"/>
            </w:tcBorders>
            <w:vAlign w:val="center"/>
          </w:tcPr>
          <w:p>
            <w:pPr>
              <w:bidi w:val="0"/>
              <w:ind w:left="0" w:leftChars="0" w:firstLine="0" w:firstLineChars="0"/>
              <w:jc w:val="center"/>
              <w:rPr>
                <w:rFonts w:hint="default" w:eastAsia="宋体"/>
                <w:color w:val="auto"/>
                <w:sz w:val="18"/>
                <w:szCs w:val="18"/>
                <w:lang w:val="en-US" w:eastAsia="zh-CN"/>
              </w:rPr>
            </w:pPr>
            <w:r>
              <w:rPr>
                <w:rFonts w:hint="eastAsia"/>
                <w:color w:val="auto"/>
                <w:sz w:val="18"/>
                <w:szCs w:val="18"/>
                <w:lang w:val="en-US" w:eastAsia="zh-CN"/>
              </w:rPr>
              <w:t>指标限值</w:t>
            </w:r>
          </w:p>
        </w:tc>
        <w:tc>
          <w:tcPr>
            <w:tcW w:w="1703" w:type="dxa"/>
            <w:tcBorders>
              <w:tl2br w:val="nil"/>
              <w:tr2bl w:val="nil"/>
            </w:tcBorders>
            <w:vAlign w:val="center"/>
          </w:tcPr>
          <w:p>
            <w:pPr>
              <w:ind w:firstLine="0" w:firstLineChars="0"/>
              <w:jc w:val="center"/>
              <w:rPr>
                <w:rFonts w:hint="default" w:ascii="Times New Roman" w:hAnsi="Times New Roman" w:cs="Times New Roman"/>
                <w:color w:val="auto"/>
                <w:sz w:val="18"/>
                <w:szCs w:val="18"/>
              </w:rPr>
            </w:pPr>
            <w:r>
              <w:rPr>
                <w:rFonts w:hint="eastAsia" w:ascii="宋体" w:hAnsi="宋体" w:eastAsia="宋体" w:cs="宋体"/>
                <w:color w:val="auto"/>
                <w:sz w:val="18"/>
                <w:szCs w:val="18"/>
              </w:rPr>
              <w:t>≤</w:t>
            </w:r>
            <w:r>
              <w:rPr>
                <w:rFonts w:hint="default" w:ascii="Times New Roman" w:hAnsi="Times New Roman" w:cs="Times New Roman"/>
                <w:color w:val="auto"/>
                <w:sz w:val="18"/>
                <w:szCs w:val="18"/>
              </w:rPr>
              <w:t>730</w:t>
            </w:r>
          </w:p>
        </w:tc>
        <w:tc>
          <w:tcPr>
            <w:tcW w:w="1704" w:type="dxa"/>
            <w:tcBorders>
              <w:tl2br w:val="nil"/>
              <w:tr2bl w:val="nil"/>
            </w:tcBorders>
            <w:vAlign w:val="center"/>
          </w:tcPr>
          <w:p>
            <w:pPr>
              <w:ind w:firstLine="0" w:firstLineChars="0"/>
              <w:jc w:val="center"/>
              <w:rPr>
                <w:rFonts w:hint="default" w:ascii="Times New Roman" w:hAnsi="Times New Roman" w:cs="Times New Roman"/>
                <w:color w:val="auto"/>
                <w:sz w:val="18"/>
                <w:szCs w:val="18"/>
              </w:rPr>
            </w:pPr>
            <w:r>
              <w:rPr>
                <w:rFonts w:hint="default" w:ascii="宋体" w:hAnsi="宋体" w:eastAsia="宋体" w:cs="宋体"/>
                <w:color w:val="auto"/>
                <w:sz w:val="18"/>
                <w:szCs w:val="18"/>
              </w:rPr>
              <w:t>≤</w:t>
            </w:r>
            <w:r>
              <w:rPr>
                <w:rFonts w:hint="default" w:ascii="Times New Roman" w:hAnsi="Times New Roman" w:cs="Times New Roman"/>
                <w:color w:val="auto"/>
                <w:sz w:val="18"/>
                <w:szCs w:val="18"/>
              </w:rPr>
              <w:t>1100</w:t>
            </w:r>
          </w:p>
        </w:tc>
        <w:tc>
          <w:tcPr>
            <w:tcW w:w="1704" w:type="dxa"/>
            <w:tcBorders>
              <w:tl2br w:val="nil"/>
              <w:tr2bl w:val="nil"/>
            </w:tcBorders>
            <w:vAlign w:val="center"/>
          </w:tcPr>
          <w:p>
            <w:pPr>
              <w:ind w:firstLine="0" w:firstLineChars="0"/>
              <w:jc w:val="center"/>
              <w:rPr>
                <w:rFonts w:hint="default" w:ascii="Times New Roman" w:hAnsi="Times New Roman" w:cs="Times New Roman"/>
                <w:color w:val="auto"/>
                <w:sz w:val="18"/>
                <w:szCs w:val="18"/>
              </w:rPr>
            </w:pPr>
            <w:r>
              <w:rPr>
                <w:rFonts w:hint="default" w:ascii="宋体" w:hAnsi="宋体" w:eastAsia="宋体" w:cs="宋体"/>
                <w:color w:val="auto"/>
                <w:sz w:val="18"/>
                <w:szCs w:val="18"/>
              </w:rPr>
              <w:t>≤</w:t>
            </w:r>
            <w:r>
              <w:rPr>
                <w:rFonts w:hint="default" w:ascii="Times New Roman" w:hAnsi="Times New Roman" w:cs="Times New Roman"/>
                <w:color w:val="auto"/>
                <w:sz w:val="18"/>
                <w:szCs w:val="18"/>
              </w:rPr>
              <w:t>44</w:t>
            </w:r>
            <w:r>
              <w:rPr>
                <w:rFonts w:hint="default" w:ascii="Times New Roman" w:hAnsi="Times New Roman" w:cs="Times New Roman"/>
                <w:color w:val="auto"/>
                <w:sz w:val="18"/>
                <w:szCs w:val="18"/>
                <w:lang w:val="en-US" w:eastAsia="zh-CN"/>
              </w:rPr>
              <w:t>.</w:t>
            </w:r>
            <w:r>
              <w:rPr>
                <w:rFonts w:hint="default" w:ascii="Times New Roman" w:hAnsi="Times New Roman" w:cs="Times New Roman"/>
                <w:color w:val="auto"/>
                <w:sz w:val="18"/>
                <w:szCs w:val="18"/>
              </w:rPr>
              <w:t>8</w:t>
            </w:r>
          </w:p>
        </w:tc>
        <w:tc>
          <w:tcPr>
            <w:tcW w:w="1704" w:type="dxa"/>
            <w:tcBorders>
              <w:tl2br w:val="nil"/>
              <w:tr2bl w:val="nil"/>
            </w:tcBorders>
            <w:vAlign w:val="center"/>
          </w:tcPr>
          <w:p>
            <w:pPr>
              <w:ind w:firstLine="0" w:firstLineChars="0"/>
              <w:jc w:val="center"/>
              <w:rPr>
                <w:rFonts w:hint="eastAsia" w:ascii="宋体" w:hAnsi="宋体" w:eastAsia="宋体" w:cs="宋体"/>
                <w:color w:val="auto"/>
                <w:sz w:val="18"/>
                <w:szCs w:val="18"/>
                <w:lang w:val="en-US" w:eastAsia="zh-CN"/>
              </w:rPr>
            </w:pPr>
            <w:r>
              <w:rPr>
                <w:rFonts w:hint="eastAsia" w:ascii="宋体" w:hAnsi="宋体" w:cs="宋体"/>
                <w:color w:val="auto"/>
                <w:sz w:val="18"/>
                <w:szCs w:val="18"/>
                <w:lang w:val="en-US" w:eastAsia="zh-CN"/>
              </w:rPr>
              <w:t>清洁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3" w:type="dxa"/>
            <w:vMerge w:val="continue"/>
            <w:tcBorders>
              <w:tl2br w:val="nil"/>
              <w:tr2bl w:val="nil"/>
            </w:tcBorders>
          </w:tcPr>
          <w:p>
            <w:pPr>
              <w:pStyle w:val="3"/>
              <w:outlineLvl w:val="9"/>
              <w:rPr>
                <w:color w:val="auto"/>
                <w:sz w:val="18"/>
                <w:szCs w:val="18"/>
              </w:rPr>
            </w:pPr>
          </w:p>
        </w:tc>
        <w:tc>
          <w:tcPr>
            <w:tcW w:w="1703" w:type="dxa"/>
            <w:tcBorders>
              <w:tl2br w:val="nil"/>
              <w:tr2bl w:val="nil"/>
            </w:tcBorders>
            <w:vAlign w:val="center"/>
          </w:tcPr>
          <w:p>
            <w:pPr>
              <w:ind w:firstLine="0" w:firstLineChars="0"/>
              <w:jc w:val="center"/>
              <w:rPr>
                <w:rFonts w:hint="default" w:ascii="Times New Roman" w:hAnsi="Times New Roman" w:cs="Times New Roman"/>
                <w:color w:val="auto"/>
                <w:sz w:val="18"/>
                <w:szCs w:val="18"/>
              </w:rPr>
            </w:pPr>
            <w:r>
              <w:rPr>
                <w:rFonts w:hint="default" w:ascii="宋体" w:hAnsi="宋体" w:eastAsia="宋体" w:cs="宋体"/>
                <w:color w:val="auto"/>
                <w:sz w:val="18"/>
                <w:szCs w:val="18"/>
              </w:rPr>
              <w:t>≤</w:t>
            </w:r>
            <w:r>
              <w:rPr>
                <w:rFonts w:hint="default" w:ascii="Times New Roman" w:hAnsi="Times New Roman" w:cs="Times New Roman"/>
                <w:color w:val="auto"/>
                <w:sz w:val="18"/>
                <w:szCs w:val="18"/>
              </w:rPr>
              <w:t>1100</w:t>
            </w:r>
          </w:p>
        </w:tc>
        <w:tc>
          <w:tcPr>
            <w:tcW w:w="1704" w:type="dxa"/>
            <w:tcBorders>
              <w:tl2br w:val="nil"/>
              <w:tr2bl w:val="nil"/>
            </w:tcBorders>
            <w:vAlign w:val="center"/>
          </w:tcPr>
          <w:p>
            <w:pPr>
              <w:ind w:firstLine="0" w:firstLineChars="0"/>
              <w:jc w:val="center"/>
              <w:rPr>
                <w:rFonts w:hint="default" w:ascii="Times New Roman" w:hAnsi="Times New Roman" w:cs="Times New Roman"/>
                <w:color w:val="auto"/>
                <w:sz w:val="18"/>
                <w:szCs w:val="18"/>
              </w:rPr>
            </w:pPr>
            <w:r>
              <w:rPr>
                <w:rFonts w:hint="default" w:ascii="宋体" w:hAnsi="宋体" w:eastAsia="宋体" w:cs="宋体"/>
                <w:color w:val="auto"/>
                <w:sz w:val="18"/>
                <w:szCs w:val="18"/>
              </w:rPr>
              <w:t>≤</w:t>
            </w:r>
            <w:r>
              <w:rPr>
                <w:rFonts w:hint="default" w:ascii="Times New Roman" w:hAnsi="Times New Roman" w:cs="Times New Roman"/>
                <w:color w:val="auto"/>
                <w:sz w:val="18"/>
                <w:szCs w:val="18"/>
              </w:rPr>
              <w:t>1600</w:t>
            </w:r>
          </w:p>
        </w:tc>
        <w:tc>
          <w:tcPr>
            <w:tcW w:w="1704" w:type="dxa"/>
            <w:tcBorders>
              <w:tl2br w:val="nil"/>
              <w:tr2bl w:val="nil"/>
            </w:tcBorders>
            <w:vAlign w:val="center"/>
          </w:tcPr>
          <w:p>
            <w:pPr>
              <w:ind w:firstLine="0" w:firstLineChars="0"/>
              <w:jc w:val="center"/>
              <w:rPr>
                <w:rFonts w:hint="default" w:ascii="Times New Roman" w:hAnsi="Times New Roman" w:cs="Times New Roman"/>
                <w:color w:val="auto"/>
                <w:sz w:val="18"/>
                <w:szCs w:val="18"/>
              </w:rPr>
            </w:pPr>
            <w:r>
              <w:rPr>
                <w:rFonts w:hint="default" w:ascii="宋体" w:hAnsi="宋体" w:eastAsia="宋体" w:cs="宋体"/>
                <w:color w:val="auto"/>
                <w:sz w:val="18"/>
                <w:szCs w:val="18"/>
              </w:rPr>
              <w:t>≤</w:t>
            </w:r>
            <w:r>
              <w:rPr>
                <w:rFonts w:hint="default" w:ascii="Times New Roman" w:hAnsi="Times New Roman" w:cs="Times New Roman"/>
                <w:color w:val="auto"/>
                <w:sz w:val="18"/>
                <w:szCs w:val="18"/>
              </w:rPr>
              <w:t>67</w:t>
            </w:r>
            <w:r>
              <w:rPr>
                <w:rFonts w:hint="default" w:ascii="Times New Roman" w:hAnsi="Times New Roman" w:cs="Times New Roman"/>
                <w:color w:val="auto"/>
                <w:sz w:val="18"/>
                <w:szCs w:val="18"/>
                <w:lang w:val="en-US" w:eastAsia="zh-CN"/>
              </w:rPr>
              <w:t>.</w:t>
            </w:r>
            <w:r>
              <w:rPr>
                <w:rFonts w:hint="default" w:ascii="Times New Roman" w:hAnsi="Times New Roman" w:cs="Times New Roman"/>
                <w:color w:val="auto"/>
                <w:sz w:val="18"/>
                <w:szCs w:val="18"/>
              </w:rPr>
              <w:t>2</w:t>
            </w:r>
          </w:p>
        </w:tc>
        <w:tc>
          <w:tcPr>
            <w:tcW w:w="1704" w:type="dxa"/>
            <w:tcBorders>
              <w:tl2br w:val="nil"/>
              <w:tr2bl w:val="nil"/>
            </w:tcBorders>
            <w:vAlign w:val="center"/>
          </w:tcPr>
          <w:p>
            <w:pPr>
              <w:ind w:firstLine="0" w:firstLineChars="0"/>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val="en-US" w:eastAsia="zh-CN"/>
              </w:rPr>
              <w:t>轻度污染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3" w:type="dxa"/>
            <w:vMerge w:val="continue"/>
            <w:tcBorders>
              <w:tl2br w:val="nil"/>
              <w:tr2bl w:val="nil"/>
            </w:tcBorders>
          </w:tcPr>
          <w:p>
            <w:pPr>
              <w:pStyle w:val="3"/>
              <w:outlineLvl w:val="9"/>
              <w:rPr>
                <w:color w:val="auto"/>
                <w:sz w:val="18"/>
                <w:szCs w:val="18"/>
              </w:rPr>
            </w:pPr>
          </w:p>
        </w:tc>
        <w:tc>
          <w:tcPr>
            <w:tcW w:w="1703" w:type="dxa"/>
            <w:tcBorders>
              <w:tl2br w:val="nil"/>
              <w:tr2bl w:val="nil"/>
            </w:tcBorders>
            <w:vAlign w:val="center"/>
          </w:tcPr>
          <w:p>
            <w:pPr>
              <w:ind w:firstLine="0" w:firstLineChars="0"/>
              <w:jc w:val="center"/>
              <w:rPr>
                <w:rFonts w:hint="default" w:ascii="Times New Roman" w:hAnsi="Times New Roman" w:cs="Times New Roman"/>
                <w:color w:val="auto"/>
                <w:sz w:val="18"/>
                <w:szCs w:val="18"/>
              </w:rPr>
            </w:pPr>
            <w:r>
              <w:rPr>
                <w:rFonts w:hint="default" w:ascii="宋体" w:hAnsi="宋体" w:eastAsia="宋体" w:cs="宋体"/>
                <w:color w:val="auto"/>
                <w:sz w:val="18"/>
                <w:szCs w:val="18"/>
              </w:rPr>
              <w:t>≤</w:t>
            </w:r>
            <w:r>
              <w:rPr>
                <w:rFonts w:hint="default" w:ascii="Times New Roman" w:hAnsi="Times New Roman" w:eastAsia="宋体" w:cs="Times New Roman"/>
                <w:color w:val="auto"/>
                <w:sz w:val="18"/>
                <w:szCs w:val="18"/>
              </w:rPr>
              <w:t>1</w:t>
            </w:r>
            <w:r>
              <w:rPr>
                <w:rFonts w:hint="default" w:ascii="Times New Roman" w:hAnsi="Times New Roman" w:cs="Times New Roman"/>
                <w:color w:val="auto"/>
                <w:sz w:val="18"/>
                <w:szCs w:val="18"/>
              </w:rPr>
              <w:t>500</w:t>
            </w:r>
          </w:p>
        </w:tc>
        <w:tc>
          <w:tcPr>
            <w:tcW w:w="1704" w:type="dxa"/>
            <w:tcBorders>
              <w:tl2br w:val="nil"/>
              <w:tr2bl w:val="nil"/>
            </w:tcBorders>
            <w:vAlign w:val="center"/>
          </w:tcPr>
          <w:p>
            <w:pPr>
              <w:ind w:firstLine="0" w:firstLineChars="0"/>
              <w:jc w:val="center"/>
              <w:rPr>
                <w:rFonts w:hint="default" w:ascii="Times New Roman" w:hAnsi="Times New Roman" w:cs="Times New Roman"/>
                <w:color w:val="auto"/>
                <w:sz w:val="18"/>
                <w:szCs w:val="18"/>
              </w:rPr>
            </w:pPr>
            <w:r>
              <w:rPr>
                <w:rFonts w:hint="default" w:ascii="宋体" w:hAnsi="宋体" w:eastAsia="宋体" w:cs="宋体"/>
                <w:color w:val="auto"/>
                <w:sz w:val="18"/>
                <w:szCs w:val="18"/>
              </w:rPr>
              <w:t>≤</w:t>
            </w:r>
            <w:r>
              <w:rPr>
                <w:rFonts w:hint="default" w:ascii="Times New Roman" w:hAnsi="Times New Roman" w:cs="Times New Roman"/>
                <w:color w:val="auto"/>
                <w:sz w:val="18"/>
                <w:szCs w:val="18"/>
              </w:rPr>
              <w:t>2000</w:t>
            </w:r>
          </w:p>
        </w:tc>
        <w:tc>
          <w:tcPr>
            <w:tcW w:w="1704" w:type="dxa"/>
            <w:tcBorders>
              <w:tl2br w:val="nil"/>
              <w:tr2bl w:val="nil"/>
            </w:tcBorders>
            <w:vAlign w:val="center"/>
          </w:tcPr>
          <w:p>
            <w:pPr>
              <w:ind w:firstLine="0" w:firstLineChars="0"/>
              <w:jc w:val="center"/>
              <w:rPr>
                <w:rFonts w:hint="default" w:ascii="Times New Roman" w:hAnsi="Times New Roman" w:cs="Times New Roman"/>
                <w:color w:val="auto"/>
                <w:sz w:val="18"/>
                <w:szCs w:val="18"/>
              </w:rPr>
            </w:pPr>
            <w:r>
              <w:rPr>
                <w:rFonts w:hint="default" w:ascii="宋体" w:hAnsi="宋体" w:eastAsia="宋体" w:cs="宋体"/>
                <w:color w:val="auto"/>
                <w:sz w:val="18"/>
                <w:szCs w:val="18"/>
              </w:rPr>
              <w:t>≤</w:t>
            </w:r>
            <w:r>
              <w:rPr>
                <w:rFonts w:hint="default" w:ascii="Times New Roman" w:hAnsi="Times New Roman" w:cs="Times New Roman"/>
                <w:color w:val="auto"/>
                <w:sz w:val="18"/>
                <w:szCs w:val="18"/>
              </w:rPr>
              <w:t>89</w:t>
            </w:r>
            <w:r>
              <w:rPr>
                <w:rFonts w:hint="default" w:ascii="Times New Roman" w:hAnsi="Times New Roman" w:cs="Times New Roman"/>
                <w:color w:val="auto"/>
                <w:sz w:val="18"/>
                <w:szCs w:val="18"/>
                <w:lang w:val="en-US" w:eastAsia="zh-CN"/>
              </w:rPr>
              <w:t>.</w:t>
            </w:r>
            <w:r>
              <w:rPr>
                <w:rFonts w:hint="default" w:ascii="Times New Roman" w:hAnsi="Times New Roman" w:cs="Times New Roman"/>
                <w:color w:val="auto"/>
                <w:sz w:val="18"/>
                <w:szCs w:val="18"/>
              </w:rPr>
              <w:t>6</w:t>
            </w:r>
          </w:p>
        </w:tc>
        <w:tc>
          <w:tcPr>
            <w:tcW w:w="1704" w:type="dxa"/>
            <w:tcBorders>
              <w:tl2br w:val="nil"/>
              <w:tr2bl w:val="nil"/>
            </w:tcBorders>
            <w:vAlign w:val="center"/>
          </w:tcPr>
          <w:p>
            <w:pPr>
              <w:ind w:firstLine="0" w:firstLineChars="0"/>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val="en-US" w:eastAsia="zh-CN"/>
              </w:rPr>
              <w:t>中度污染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3" w:type="dxa"/>
            <w:vMerge w:val="continue"/>
            <w:tcBorders>
              <w:tl2br w:val="nil"/>
              <w:tr2bl w:val="nil"/>
            </w:tcBorders>
          </w:tcPr>
          <w:p>
            <w:pPr>
              <w:pStyle w:val="3"/>
              <w:outlineLvl w:val="9"/>
              <w:rPr>
                <w:color w:val="auto"/>
                <w:sz w:val="18"/>
                <w:szCs w:val="18"/>
              </w:rPr>
            </w:pPr>
          </w:p>
        </w:tc>
        <w:tc>
          <w:tcPr>
            <w:tcW w:w="1703" w:type="dxa"/>
            <w:tcBorders>
              <w:tl2br w:val="nil"/>
              <w:tr2bl w:val="nil"/>
            </w:tcBorders>
            <w:vAlign w:val="center"/>
          </w:tcPr>
          <w:p>
            <w:pPr>
              <w:ind w:firstLine="0" w:firstLineChars="0"/>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＞1500</w:t>
            </w:r>
          </w:p>
        </w:tc>
        <w:tc>
          <w:tcPr>
            <w:tcW w:w="1704" w:type="dxa"/>
            <w:tcBorders>
              <w:tl2br w:val="nil"/>
              <w:tr2bl w:val="nil"/>
            </w:tcBorders>
            <w:vAlign w:val="center"/>
          </w:tcPr>
          <w:p>
            <w:pPr>
              <w:ind w:firstLine="0" w:firstLineChars="0"/>
              <w:jc w:val="center"/>
              <w:rPr>
                <w:rFonts w:hint="default" w:ascii="Times New Roman" w:hAnsi="Times New Roman" w:cs="Times New Roman"/>
                <w:color w:val="auto"/>
                <w:sz w:val="18"/>
                <w:szCs w:val="18"/>
              </w:rPr>
            </w:pPr>
            <w:r>
              <w:rPr>
                <w:rFonts w:hint="default" w:ascii="宋体" w:hAnsi="宋体" w:eastAsia="宋体" w:cs="宋体"/>
                <w:color w:val="auto"/>
                <w:sz w:val="18"/>
                <w:szCs w:val="18"/>
              </w:rPr>
              <w:t>＞</w:t>
            </w:r>
            <w:r>
              <w:rPr>
                <w:rFonts w:hint="default" w:ascii="Times New Roman" w:hAnsi="Times New Roman" w:cs="Times New Roman"/>
                <w:color w:val="auto"/>
                <w:sz w:val="18"/>
                <w:szCs w:val="18"/>
              </w:rPr>
              <w:t>2000</w:t>
            </w:r>
          </w:p>
        </w:tc>
        <w:tc>
          <w:tcPr>
            <w:tcW w:w="1704" w:type="dxa"/>
            <w:tcBorders>
              <w:tl2br w:val="nil"/>
              <w:tr2bl w:val="nil"/>
            </w:tcBorders>
            <w:vAlign w:val="center"/>
          </w:tcPr>
          <w:p>
            <w:pPr>
              <w:ind w:firstLine="0" w:firstLineChars="0"/>
              <w:jc w:val="center"/>
              <w:rPr>
                <w:rFonts w:hint="default" w:ascii="Times New Roman" w:hAnsi="Times New Roman" w:cs="Times New Roman"/>
                <w:color w:val="auto"/>
                <w:sz w:val="18"/>
                <w:szCs w:val="18"/>
              </w:rPr>
            </w:pPr>
            <w:r>
              <w:rPr>
                <w:rFonts w:hint="default" w:ascii="宋体" w:hAnsi="宋体" w:eastAsia="宋体" w:cs="宋体"/>
                <w:color w:val="auto"/>
                <w:sz w:val="18"/>
                <w:szCs w:val="18"/>
              </w:rPr>
              <w:t>＞</w:t>
            </w:r>
            <w:r>
              <w:rPr>
                <w:rFonts w:hint="default" w:ascii="Times New Roman" w:hAnsi="Times New Roman" w:cs="Times New Roman"/>
                <w:color w:val="auto"/>
                <w:sz w:val="18"/>
                <w:szCs w:val="18"/>
              </w:rPr>
              <w:t>89</w:t>
            </w:r>
            <w:r>
              <w:rPr>
                <w:rFonts w:hint="default" w:ascii="Times New Roman" w:hAnsi="Times New Roman" w:cs="Times New Roman"/>
                <w:color w:val="auto"/>
                <w:sz w:val="18"/>
                <w:szCs w:val="18"/>
                <w:lang w:val="en-US" w:eastAsia="zh-CN"/>
              </w:rPr>
              <w:t>.</w:t>
            </w:r>
            <w:r>
              <w:rPr>
                <w:rFonts w:hint="default" w:ascii="Times New Roman" w:hAnsi="Times New Roman" w:cs="Times New Roman"/>
                <w:color w:val="auto"/>
                <w:sz w:val="18"/>
                <w:szCs w:val="18"/>
              </w:rPr>
              <w:t>6</w:t>
            </w:r>
          </w:p>
        </w:tc>
        <w:tc>
          <w:tcPr>
            <w:tcW w:w="1704" w:type="dxa"/>
            <w:tcBorders>
              <w:tl2br w:val="nil"/>
              <w:tr2bl w:val="nil"/>
            </w:tcBorders>
            <w:vAlign w:val="center"/>
          </w:tcPr>
          <w:p>
            <w:pPr>
              <w:ind w:firstLine="0" w:firstLineChars="0"/>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val="en-US" w:eastAsia="zh-CN"/>
              </w:rPr>
              <w:t>重度污染</w:t>
            </w:r>
          </w:p>
        </w:tc>
      </w:tr>
    </w:tbl>
    <w:p>
      <w:pPr>
        <w:pStyle w:val="30"/>
        <w:spacing w:line="360" w:lineRule="auto"/>
        <w:ind w:left="0" w:leftChars="0" w:firstLine="0" w:firstLineChars="0"/>
        <w:rPr>
          <w:sz w:val="21"/>
          <w:szCs w:val="21"/>
        </w:rPr>
      </w:pPr>
      <w:r>
        <w:rPr>
          <w:rFonts w:hint="eastAsia"/>
          <w:sz w:val="21"/>
          <w:szCs w:val="21"/>
        </w:rPr>
        <w:t>【条文说明】《全国河流湖泊水库底泥污染状况调查评价》中底泥断面评价标准见表1。一级断面为清洁，水体底泥污染物含量指标超过一级断面限定值的区域宜划定为底泥洗脱区域。</w:t>
      </w:r>
    </w:p>
    <w:p>
      <w:pPr>
        <w:pStyle w:val="30"/>
        <w:spacing w:line="36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表1 《全国河流湖泊水库底泥污染状况调查评价》分级标准</w:t>
      </w:r>
    </w:p>
    <w:tbl>
      <w:tblPr>
        <w:tblStyle w:val="14"/>
        <w:tblW w:w="8374"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1700"/>
        <w:gridCol w:w="1800"/>
        <w:gridCol w:w="1783"/>
        <w:gridCol w:w="1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183" w:type="dxa"/>
            <w:shd w:val="clear" w:color="auto" w:fill="auto"/>
            <w:vAlign w:val="center"/>
          </w:tcPr>
          <w:p>
            <w:pPr>
              <w:widowControl/>
              <w:ind w:firstLine="0" w:firstLineChars="0"/>
              <w:jc w:val="center"/>
              <w:textAlignment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序号</w:t>
            </w:r>
          </w:p>
        </w:tc>
        <w:tc>
          <w:tcPr>
            <w:tcW w:w="1700" w:type="dxa"/>
            <w:shd w:val="clear" w:color="auto" w:fill="auto"/>
            <w:vAlign w:val="center"/>
          </w:tcPr>
          <w:p>
            <w:pPr>
              <w:widowControl/>
              <w:ind w:firstLine="0" w:firstLineChars="0"/>
              <w:jc w:val="center"/>
              <w:textAlignment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断面等级</w:t>
            </w:r>
          </w:p>
        </w:tc>
        <w:tc>
          <w:tcPr>
            <w:tcW w:w="1800" w:type="dxa"/>
            <w:shd w:val="clear" w:color="auto" w:fill="auto"/>
            <w:vAlign w:val="center"/>
          </w:tcPr>
          <w:p>
            <w:pPr>
              <w:widowControl/>
              <w:ind w:firstLine="0" w:firstLineChars="0"/>
              <w:jc w:val="center"/>
              <w:textAlignment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有机质（%）</w:t>
            </w:r>
          </w:p>
        </w:tc>
        <w:tc>
          <w:tcPr>
            <w:tcW w:w="1783" w:type="dxa"/>
            <w:shd w:val="clear" w:color="auto" w:fill="auto"/>
            <w:vAlign w:val="center"/>
          </w:tcPr>
          <w:p>
            <w:pPr>
              <w:widowControl/>
              <w:ind w:firstLine="480"/>
              <w:textAlignment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全氮</w:t>
            </w:r>
          </w:p>
        </w:tc>
        <w:tc>
          <w:tcPr>
            <w:tcW w:w="1908" w:type="dxa"/>
            <w:shd w:val="clear" w:color="auto" w:fill="auto"/>
            <w:vAlign w:val="center"/>
          </w:tcPr>
          <w:p>
            <w:pPr>
              <w:widowControl/>
              <w:ind w:firstLine="480"/>
              <w:textAlignment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总磷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183" w:type="dxa"/>
            <w:vMerge w:val="restart"/>
            <w:shd w:val="clear" w:color="auto" w:fill="auto"/>
            <w:vAlign w:val="center"/>
          </w:tcPr>
          <w:p>
            <w:pPr>
              <w:keepNext/>
              <w:keepLines/>
              <w:adjustRightInd w:val="0"/>
              <w:snapToGrid w:val="0"/>
              <w:spacing w:line="240" w:lineRule="auto"/>
              <w:ind w:firstLine="0" w:firstLineChars="0"/>
              <w:jc w:val="center"/>
              <w:outlineLvl w:val="1"/>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底泥断面</w:t>
            </w:r>
          </w:p>
          <w:p>
            <w:pPr>
              <w:widowControl/>
              <w:ind w:firstLine="0" w:firstLineChars="0"/>
              <w:jc w:val="center"/>
              <w:textAlignment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评价标准</w:t>
            </w:r>
          </w:p>
        </w:tc>
        <w:tc>
          <w:tcPr>
            <w:tcW w:w="1700" w:type="dxa"/>
            <w:shd w:val="clear" w:color="auto" w:fill="auto"/>
            <w:vAlign w:val="center"/>
          </w:tcPr>
          <w:p>
            <w:pPr>
              <w:widowControl/>
              <w:ind w:firstLine="480"/>
              <w:jc w:val="center"/>
              <w:textAlignment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一级断面</w:t>
            </w:r>
          </w:p>
        </w:tc>
        <w:tc>
          <w:tcPr>
            <w:tcW w:w="1800" w:type="dxa"/>
            <w:shd w:val="clear" w:color="auto" w:fill="auto"/>
            <w:vAlign w:val="center"/>
          </w:tcPr>
          <w:p>
            <w:pPr>
              <w:ind w:firstLine="0" w:firstLineChars="0"/>
              <w:jc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＜4.48</w:t>
            </w:r>
          </w:p>
        </w:tc>
        <w:tc>
          <w:tcPr>
            <w:tcW w:w="1783" w:type="dxa"/>
            <w:shd w:val="clear" w:color="auto" w:fill="auto"/>
            <w:vAlign w:val="center"/>
          </w:tcPr>
          <w:p>
            <w:pPr>
              <w:ind w:firstLine="0" w:firstLineChars="0"/>
              <w:jc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＜1100</w:t>
            </w:r>
          </w:p>
        </w:tc>
        <w:tc>
          <w:tcPr>
            <w:tcW w:w="1908" w:type="dxa"/>
            <w:shd w:val="clear" w:color="auto" w:fill="auto"/>
            <w:vAlign w:val="center"/>
          </w:tcPr>
          <w:p>
            <w:pPr>
              <w:ind w:firstLine="0" w:firstLineChars="0"/>
              <w:jc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183" w:type="dxa"/>
            <w:vMerge w:val="continue"/>
            <w:shd w:val="clear" w:color="auto" w:fill="auto"/>
            <w:vAlign w:val="center"/>
          </w:tcPr>
          <w:p>
            <w:pPr>
              <w:widowControl/>
              <w:ind w:firstLine="480"/>
              <w:jc w:val="center"/>
              <w:textAlignment w:val="center"/>
              <w:rPr>
                <w:rFonts w:hint="default" w:ascii="Times New Roman" w:hAnsi="Times New Roman" w:eastAsia="楷体_GB2312" w:cs="Times New Roman"/>
                <w:sz w:val="21"/>
                <w:szCs w:val="21"/>
              </w:rPr>
            </w:pPr>
          </w:p>
        </w:tc>
        <w:tc>
          <w:tcPr>
            <w:tcW w:w="1700" w:type="dxa"/>
            <w:shd w:val="clear" w:color="auto" w:fill="auto"/>
            <w:vAlign w:val="center"/>
          </w:tcPr>
          <w:p>
            <w:pPr>
              <w:widowControl/>
              <w:ind w:firstLine="480"/>
              <w:jc w:val="center"/>
              <w:textAlignment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二级断面</w:t>
            </w:r>
          </w:p>
        </w:tc>
        <w:tc>
          <w:tcPr>
            <w:tcW w:w="1800" w:type="dxa"/>
            <w:shd w:val="clear" w:color="auto" w:fill="auto"/>
            <w:vAlign w:val="center"/>
          </w:tcPr>
          <w:p>
            <w:pPr>
              <w:ind w:firstLine="0" w:firstLineChars="0"/>
              <w:jc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4.48-6.72</w:t>
            </w:r>
          </w:p>
        </w:tc>
        <w:tc>
          <w:tcPr>
            <w:tcW w:w="1783" w:type="dxa"/>
            <w:shd w:val="clear" w:color="auto" w:fill="auto"/>
            <w:vAlign w:val="center"/>
          </w:tcPr>
          <w:p>
            <w:pPr>
              <w:ind w:firstLine="0" w:firstLineChars="0"/>
              <w:jc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1100-1600</w:t>
            </w:r>
          </w:p>
        </w:tc>
        <w:tc>
          <w:tcPr>
            <w:tcW w:w="1908" w:type="dxa"/>
            <w:shd w:val="clear" w:color="auto" w:fill="auto"/>
            <w:vAlign w:val="center"/>
          </w:tcPr>
          <w:p>
            <w:pPr>
              <w:ind w:firstLine="0" w:firstLineChars="0"/>
              <w:jc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730-1100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183" w:type="dxa"/>
            <w:vMerge w:val="continue"/>
            <w:shd w:val="clear" w:color="auto" w:fill="auto"/>
            <w:vAlign w:val="center"/>
          </w:tcPr>
          <w:p>
            <w:pPr>
              <w:widowControl/>
              <w:ind w:firstLine="480"/>
              <w:jc w:val="center"/>
              <w:textAlignment w:val="center"/>
              <w:rPr>
                <w:rFonts w:hint="default" w:ascii="Times New Roman" w:hAnsi="Times New Roman" w:eastAsia="楷体_GB2312" w:cs="Times New Roman"/>
                <w:sz w:val="21"/>
                <w:szCs w:val="21"/>
              </w:rPr>
            </w:pPr>
          </w:p>
        </w:tc>
        <w:tc>
          <w:tcPr>
            <w:tcW w:w="1700" w:type="dxa"/>
            <w:shd w:val="clear" w:color="auto" w:fill="auto"/>
            <w:vAlign w:val="center"/>
          </w:tcPr>
          <w:p>
            <w:pPr>
              <w:widowControl/>
              <w:ind w:firstLine="480"/>
              <w:jc w:val="center"/>
              <w:textAlignment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三级断面</w:t>
            </w:r>
          </w:p>
        </w:tc>
        <w:tc>
          <w:tcPr>
            <w:tcW w:w="1800" w:type="dxa"/>
            <w:shd w:val="clear" w:color="auto" w:fill="auto"/>
            <w:vAlign w:val="center"/>
          </w:tcPr>
          <w:p>
            <w:pPr>
              <w:ind w:firstLine="0" w:firstLineChars="0"/>
              <w:jc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6.72-8.96</w:t>
            </w:r>
          </w:p>
        </w:tc>
        <w:tc>
          <w:tcPr>
            <w:tcW w:w="1783" w:type="dxa"/>
            <w:shd w:val="clear" w:color="auto" w:fill="auto"/>
            <w:vAlign w:val="center"/>
          </w:tcPr>
          <w:p>
            <w:pPr>
              <w:ind w:firstLine="0" w:firstLineChars="0"/>
              <w:jc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1600-2000</w:t>
            </w:r>
          </w:p>
        </w:tc>
        <w:tc>
          <w:tcPr>
            <w:tcW w:w="1908" w:type="dxa"/>
            <w:shd w:val="clear" w:color="auto" w:fill="auto"/>
            <w:vAlign w:val="center"/>
          </w:tcPr>
          <w:p>
            <w:pPr>
              <w:ind w:firstLine="0" w:firstLineChars="0"/>
              <w:jc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1100-1500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183" w:type="dxa"/>
            <w:vMerge w:val="continue"/>
            <w:shd w:val="clear" w:color="auto" w:fill="auto"/>
            <w:vAlign w:val="center"/>
          </w:tcPr>
          <w:p>
            <w:pPr>
              <w:widowControl/>
              <w:ind w:firstLine="480"/>
              <w:jc w:val="center"/>
              <w:textAlignment w:val="center"/>
              <w:rPr>
                <w:rFonts w:hint="default" w:ascii="Times New Roman" w:hAnsi="Times New Roman" w:eastAsia="楷体_GB2312" w:cs="Times New Roman"/>
                <w:sz w:val="21"/>
                <w:szCs w:val="21"/>
              </w:rPr>
            </w:pPr>
          </w:p>
        </w:tc>
        <w:tc>
          <w:tcPr>
            <w:tcW w:w="1700" w:type="dxa"/>
            <w:shd w:val="clear" w:color="auto" w:fill="auto"/>
            <w:vAlign w:val="center"/>
          </w:tcPr>
          <w:p>
            <w:pPr>
              <w:widowControl/>
              <w:ind w:firstLine="480"/>
              <w:jc w:val="center"/>
              <w:textAlignment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四级断面</w:t>
            </w:r>
          </w:p>
        </w:tc>
        <w:tc>
          <w:tcPr>
            <w:tcW w:w="1800" w:type="dxa"/>
            <w:shd w:val="clear" w:color="auto" w:fill="auto"/>
            <w:vAlign w:val="center"/>
          </w:tcPr>
          <w:p>
            <w:pPr>
              <w:ind w:firstLine="0" w:firstLineChars="0"/>
              <w:jc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＞8.96</w:t>
            </w:r>
          </w:p>
        </w:tc>
        <w:tc>
          <w:tcPr>
            <w:tcW w:w="1783" w:type="dxa"/>
            <w:shd w:val="clear" w:color="auto" w:fill="auto"/>
            <w:vAlign w:val="center"/>
          </w:tcPr>
          <w:p>
            <w:pPr>
              <w:ind w:firstLine="0" w:firstLineChars="0"/>
              <w:jc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＞2000</w:t>
            </w:r>
          </w:p>
        </w:tc>
        <w:tc>
          <w:tcPr>
            <w:tcW w:w="1908" w:type="dxa"/>
            <w:shd w:val="clear" w:color="auto" w:fill="auto"/>
            <w:vAlign w:val="center"/>
          </w:tcPr>
          <w:p>
            <w:pPr>
              <w:ind w:firstLine="0" w:firstLineChars="0"/>
              <w:jc w:val="center"/>
              <w:rPr>
                <w:rFonts w:hint="default" w:ascii="Times New Roman" w:hAnsi="Times New Roman" w:eastAsia="楷体_GB2312" w:cs="Times New Roman"/>
                <w:sz w:val="21"/>
                <w:szCs w:val="21"/>
              </w:rPr>
            </w:pPr>
            <w:r>
              <w:rPr>
                <w:rFonts w:hint="default" w:ascii="Times New Roman" w:hAnsi="Times New Roman" w:eastAsia="楷体_GB2312" w:cs="Times New Roman"/>
                <w:sz w:val="21"/>
                <w:szCs w:val="21"/>
              </w:rPr>
              <w:t>＞1500</w:t>
            </w:r>
          </w:p>
        </w:tc>
      </w:tr>
    </w:tbl>
    <w:p>
      <w:pPr>
        <w:ind w:firstLine="0" w:firstLineChars="0"/>
        <w:jc w:val="left"/>
        <w:rPr>
          <w:rFonts w:hint="eastAsia" w:ascii="宋体" w:hAnsi="宋体" w:eastAsia="宋体" w:cs="宋体"/>
          <w:sz w:val="24"/>
          <w:szCs w:val="24"/>
          <w:lang w:val="en-US" w:eastAsia="zh-CN"/>
        </w:rPr>
      </w:pPr>
      <w:r>
        <w:rPr>
          <w:rFonts w:hint="default" w:ascii="Times New Roman" w:hAnsi="Times New Roman" w:eastAsia="宋体" w:cs="Times New Roman"/>
          <w:b/>
          <w:bCs/>
          <w:color w:val="000000" w:themeColor="text1"/>
          <w:sz w:val="24"/>
          <w:szCs w:val="24"/>
          <w14:textFill>
            <w14:solidFill>
              <w14:schemeClr w14:val="tx1"/>
            </w14:solidFill>
          </w14:textFill>
        </w:rPr>
        <w:t>3.0</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eastAsia" w:ascii="宋体" w:hAnsi="宋体" w:eastAsia="宋体" w:cs="宋体"/>
          <w:sz w:val="24"/>
          <w:szCs w:val="24"/>
        </w:rPr>
        <w:t>应</w:t>
      </w:r>
      <w:r>
        <w:rPr>
          <w:rFonts w:hint="eastAsia" w:ascii="宋体" w:hAnsi="宋体" w:eastAsia="宋体" w:cs="宋体"/>
          <w:sz w:val="24"/>
          <w:szCs w:val="24"/>
          <w:lang w:val="en-US" w:eastAsia="zh-CN"/>
        </w:rPr>
        <w:t>获取工程区域的水文水系、水质、底泥污染、淤积</w:t>
      </w:r>
      <w:r>
        <w:rPr>
          <w:rFonts w:hint="eastAsia" w:ascii="宋体" w:hAnsi="宋体" w:cs="宋体"/>
          <w:sz w:val="24"/>
          <w:szCs w:val="24"/>
          <w:lang w:val="en-US" w:eastAsia="zh-CN"/>
        </w:rPr>
        <w:t>厚度</w:t>
      </w:r>
      <w:r>
        <w:rPr>
          <w:rFonts w:hint="eastAsia" w:ascii="宋体" w:hAnsi="宋体" w:eastAsia="宋体" w:cs="宋体"/>
          <w:sz w:val="24"/>
          <w:szCs w:val="24"/>
          <w:lang w:val="en-US" w:eastAsia="zh-CN"/>
        </w:rPr>
        <w:t>等资料数据，获取方式应包括资料收集和现场取样检测。</w:t>
      </w:r>
    </w:p>
    <w:p>
      <w:pPr>
        <w:pStyle w:val="30"/>
        <w:spacing w:line="360" w:lineRule="auto"/>
        <w:ind w:left="0" w:leftChars="0" w:firstLine="0" w:firstLineChars="0"/>
        <w:rPr>
          <w:sz w:val="21"/>
          <w:szCs w:val="21"/>
        </w:rPr>
      </w:pPr>
      <w:r>
        <w:rPr>
          <w:rFonts w:hint="eastAsia"/>
          <w:sz w:val="21"/>
          <w:szCs w:val="21"/>
        </w:rPr>
        <w:t>【条文说明】底泥洗脱与生态恢复有机结合，才能达到较好的净化效果。一般来说，洗脱需要考虑的生态恢复条件：适当的水深条件、适宜的底质与地形条件、以及适宜的光照与透明度条件。</w:t>
      </w:r>
    </w:p>
    <w:p>
      <w:pPr>
        <w:ind w:firstLine="0" w:firstLineChars="0"/>
        <w:jc w:val="left"/>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3.0.4</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应根据</w:t>
      </w:r>
      <w:r>
        <w:rPr>
          <w:rFonts w:hint="eastAsia" w:cs="Times New Roman"/>
          <w:color w:val="000000" w:themeColor="text1"/>
          <w:sz w:val="24"/>
          <w:szCs w:val="24"/>
          <w:lang w:val="en-US" w:eastAsia="zh-CN"/>
          <w14:textFill>
            <w14:solidFill>
              <w14:schemeClr w14:val="tx1"/>
            </w14:solidFill>
          </w14:textFill>
        </w:rPr>
        <w:t>底泥营养盐污染值</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淤积厚度</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数据绘制工程区域的底泥污染分布图</w:t>
      </w:r>
      <w:r>
        <w:rPr>
          <w:rFonts w:hint="eastAsia" w:cs="Times New Roman"/>
          <w:color w:val="000000" w:themeColor="text1"/>
          <w:sz w:val="24"/>
          <w:szCs w:val="24"/>
          <w:lang w:val="en-US" w:eastAsia="zh-CN"/>
          <w14:textFill>
            <w14:solidFill>
              <w14:schemeClr w14:val="tx1"/>
            </w14:solidFill>
          </w14:textFill>
        </w:rPr>
        <w:t>和</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底泥淤积分布图，并根据图纸</w:t>
      </w:r>
      <w:r>
        <w:rPr>
          <w:rFonts w:hint="eastAsia" w:cs="Times New Roman"/>
          <w:color w:val="000000" w:themeColor="text1"/>
          <w:sz w:val="24"/>
          <w:szCs w:val="24"/>
          <w:lang w:val="en-US" w:eastAsia="zh-CN"/>
          <w14:textFill>
            <w14:solidFill>
              <w14:schemeClr w14:val="tx1"/>
            </w14:solidFill>
          </w14:textFill>
        </w:rPr>
        <w:t>分区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设计</w:t>
      </w:r>
      <w:r>
        <w:rPr>
          <w:rFonts w:hint="eastAsia" w:cs="Times New Roman"/>
          <w:color w:val="000000" w:themeColor="text1"/>
          <w:sz w:val="24"/>
          <w:szCs w:val="24"/>
          <w:lang w:val="en-US" w:eastAsia="zh-CN"/>
          <w14:textFill>
            <w14:solidFill>
              <w14:schemeClr w14:val="tx1"/>
            </w14:solidFill>
          </w14:textFill>
        </w:rPr>
        <w:t>底泥</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洗脱深度和洗脱频次，计算洗脱工程量</w:t>
      </w:r>
      <w:r>
        <w:rPr>
          <w:rFonts w:hint="eastAsia" w:cs="Times New Roman"/>
          <w:color w:val="000000" w:themeColor="text1"/>
          <w:sz w:val="24"/>
          <w:szCs w:val="24"/>
          <w:lang w:val="en-US" w:eastAsia="zh-CN"/>
          <w14:textFill>
            <w14:solidFill>
              <w14:schemeClr w14:val="tx1"/>
            </w14:solidFill>
          </w14:textFill>
        </w:rPr>
        <w:t>和污泥产出量</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pPr>
        <w:pStyle w:val="30"/>
        <w:spacing w:line="360" w:lineRule="auto"/>
        <w:ind w:left="0" w:leftChars="0" w:firstLine="0" w:firstLineChars="0"/>
        <w:rPr>
          <w:rStyle w:val="29"/>
          <w:rFonts w:hint="eastAsia" w:ascii="Times New Roman" w:hAnsi="Times New Roman" w:eastAsia="华文楷体" w:cs="Times New Roman"/>
          <w:bCs/>
          <w:color w:val="auto"/>
          <w:kern w:val="2"/>
          <w:sz w:val="21"/>
          <w:szCs w:val="21"/>
          <w:lang w:val="en-US" w:eastAsia="zh-CN" w:bidi="ar-SA"/>
        </w:rPr>
      </w:pPr>
      <w:r>
        <w:rPr>
          <w:rStyle w:val="29"/>
          <w:rFonts w:hint="eastAsia" w:ascii="Times New Roman" w:hAnsi="Times New Roman" w:eastAsia="华文楷体" w:cs="Times New Roman"/>
          <w:bCs/>
          <w:color w:val="auto"/>
          <w:kern w:val="2"/>
          <w:sz w:val="21"/>
          <w:szCs w:val="21"/>
          <w:lang w:val="en-US" w:eastAsia="zh-CN" w:bidi="ar-SA"/>
        </w:rPr>
        <w:t>【条文说明】底泥洗脱生态恢复方案的制定主要依据污染底泥在河流、湖泊中的分布情况、底泥厚度、污染物含量以及对水质水生态的危害程度进行。绘制底泥污染分布图将河湖底泥污染程度可视化，便于洗脱区域的确定；底泥淤积图便于了解底泥纵向淤积深度，同时对比洗脱后污染层削减厚度。</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Style w:val="29"/>
          <w:rFonts w:hint="eastAsia" w:ascii="Times New Roman" w:hAnsi="Times New Roman" w:eastAsia="华文楷体"/>
          <w:bCs/>
          <w:color w:val="auto"/>
          <w:sz w:val="21"/>
          <w:szCs w:val="21"/>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pPr>
        <w:pStyle w:val="2"/>
        <w:bidi w:val="0"/>
        <w:ind w:left="0" w:leftChars="0" w:firstLine="0" w:firstLineChars="0"/>
        <w:jc w:val="center"/>
        <w:rPr>
          <w:rFonts w:hint="eastAsia" w:asciiTheme="majorEastAsia" w:hAnsiTheme="majorEastAsia" w:eastAsiaTheme="majorEastAsia" w:cstheme="majorEastAsia"/>
          <w:b/>
          <w:sz w:val="30"/>
          <w:szCs w:val="30"/>
        </w:rPr>
      </w:pPr>
      <w:bookmarkStart w:id="102" w:name="_Toc5219"/>
      <w:bookmarkStart w:id="103" w:name="_Toc28919"/>
      <w:bookmarkStart w:id="104" w:name="_Toc31929"/>
      <w:bookmarkStart w:id="105" w:name="_Toc30249"/>
      <w:bookmarkStart w:id="106" w:name="_Toc14592"/>
      <w:bookmarkStart w:id="107" w:name="_Toc19025"/>
      <w:bookmarkStart w:id="108" w:name="_Toc1242"/>
      <w:bookmarkStart w:id="109" w:name="_Toc13900"/>
      <w:bookmarkStart w:id="110" w:name="_Toc135987293"/>
      <w:bookmarkStart w:id="111" w:name="_Toc9894"/>
      <w:bookmarkStart w:id="112" w:name="_Toc8929"/>
      <w:bookmarkStart w:id="113" w:name="_Toc22507"/>
      <w:bookmarkStart w:id="114" w:name="_Toc23035"/>
      <w:bookmarkStart w:id="115" w:name="_Toc28866"/>
      <w:bookmarkStart w:id="116" w:name="_Toc27054"/>
      <w:bookmarkStart w:id="117" w:name="_Toc19393"/>
      <w:r>
        <w:rPr>
          <w:rFonts w:hint="default" w:ascii="Times New Roman" w:hAnsi="Times New Roman" w:cs="Times New Roman" w:eastAsiaTheme="majorEastAsia"/>
          <w:b/>
          <w:sz w:val="30"/>
          <w:szCs w:val="30"/>
          <w:lang w:val="en-US" w:eastAsia="zh-CN"/>
        </w:rPr>
        <w:t>4</w:t>
      </w:r>
      <w:r>
        <w:rPr>
          <w:rFonts w:hint="eastAsia" w:asciiTheme="majorEastAsia" w:hAnsiTheme="majorEastAsia" w:eastAsiaTheme="majorEastAsia" w:cstheme="majorEastAsia"/>
          <w:b/>
          <w:sz w:val="30"/>
          <w:szCs w:val="30"/>
          <w:lang w:val="en-US" w:eastAsia="zh-CN"/>
        </w:rPr>
        <w:t xml:space="preserve">  </w:t>
      </w:r>
      <w:r>
        <w:rPr>
          <w:rFonts w:hint="eastAsia" w:asciiTheme="majorEastAsia" w:hAnsiTheme="majorEastAsia" w:eastAsiaTheme="majorEastAsia" w:cstheme="majorEastAsia"/>
          <w:b/>
          <w:sz w:val="30"/>
          <w:szCs w:val="30"/>
        </w:rPr>
        <w:t>工程设计</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pPr>
        <w:pStyle w:val="3"/>
        <w:jc w:val="center"/>
        <w:rPr>
          <w:rFonts w:hint="default" w:ascii="Times New Roman" w:hAnsi="Times New Roman" w:eastAsia="黑体" w:cs="Times New Roman"/>
          <w:color w:val="000000" w:themeColor="text1"/>
          <w:sz w:val="28"/>
          <w:szCs w:val="28"/>
          <w:lang w:val="en-US" w:eastAsia="zh-CN"/>
          <w14:textFill>
            <w14:solidFill>
              <w14:schemeClr w14:val="tx1"/>
            </w14:solidFill>
          </w14:textFill>
        </w:rPr>
      </w:pPr>
      <w:bookmarkStart w:id="118" w:name="_Toc13857"/>
      <w:bookmarkStart w:id="119" w:name="_Toc13851"/>
      <w:bookmarkStart w:id="120" w:name="_Toc16459"/>
      <w:bookmarkStart w:id="121" w:name="_Toc28707"/>
      <w:bookmarkStart w:id="122" w:name="_Toc17766"/>
      <w:bookmarkStart w:id="123" w:name="_Toc26468"/>
      <w:bookmarkStart w:id="124" w:name="_Toc3569"/>
      <w:bookmarkStart w:id="125" w:name="_Toc18504"/>
      <w:bookmarkStart w:id="126" w:name="_Toc135987294"/>
      <w:bookmarkStart w:id="127" w:name="_Toc300"/>
      <w:bookmarkStart w:id="128" w:name="_Toc12912"/>
      <w:bookmarkStart w:id="129" w:name="_Toc12003"/>
      <w:bookmarkStart w:id="130" w:name="_Toc8469"/>
      <w:bookmarkStart w:id="131" w:name="_Toc30971"/>
      <w:bookmarkStart w:id="132" w:name="_Toc2074"/>
      <w:r>
        <w:rPr>
          <w:rFonts w:hint="eastAsia" w:ascii="Times New Roman" w:hAnsi="Times New Roman" w:eastAsia="黑体" w:cs="Times New Roman"/>
          <w:color w:val="000000" w:themeColor="text1"/>
          <w:sz w:val="28"/>
          <w:szCs w:val="28"/>
          <w:lang w:val="en-US" w:eastAsia="zh-CN"/>
          <w14:textFill>
            <w14:solidFill>
              <w14:schemeClr w14:val="tx1"/>
            </w14:solidFill>
          </w14:textFill>
        </w:rPr>
        <w:t>4.1  采样勘查</w:t>
      </w:r>
      <w:bookmarkEnd w:id="118"/>
    </w:p>
    <w:p>
      <w:pPr>
        <w:ind w:left="0" w:leftChars="0" w:firstLine="0" w:firstLineChars="0"/>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4.</w:t>
      </w:r>
      <w:r>
        <w:rPr>
          <w:rFonts w:hint="eastAsia"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lang w:val="en-US" w:eastAsia="zh-CN"/>
        </w:rPr>
        <w:t>.1</w:t>
      </w:r>
      <w:r>
        <w:rPr>
          <w:rFonts w:hint="eastAsia" w:ascii="宋体" w:hAnsi="宋体" w:eastAsia="宋体" w:cs="宋体"/>
          <w:sz w:val="24"/>
          <w:szCs w:val="24"/>
          <w:lang w:val="en-US" w:eastAsia="zh-CN"/>
        </w:rPr>
        <w:t xml:space="preserve">  河湖采样时，水样及底泥采样点位应符合</w:t>
      </w:r>
      <w:r>
        <w:rPr>
          <w:rFonts w:hint="eastAsia" w:ascii="宋体" w:hAnsi="宋体" w:cs="宋体"/>
          <w:szCs w:val="24"/>
        </w:rPr>
        <w:t>《地表水</w:t>
      </w:r>
      <w:r>
        <w:rPr>
          <w:rFonts w:hint="eastAsia" w:ascii="宋体" w:hAnsi="宋体" w:cs="宋体"/>
          <w:szCs w:val="24"/>
          <w:lang w:val="en-US" w:eastAsia="zh-CN"/>
        </w:rPr>
        <w:t>环境质量</w:t>
      </w:r>
      <w:r>
        <w:rPr>
          <w:rFonts w:hint="eastAsia" w:ascii="宋体" w:hAnsi="宋体" w:cs="宋体"/>
          <w:szCs w:val="24"/>
        </w:rPr>
        <w:t>监测技术规范》</w:t>
      </w:r>
      <w:r>
        <w:rPr>
          <w:szCs w:val="24"/>
        </w:rPr>
        <w:t>HJ</w:t>
      </w:r>
      <w:r>
        <w:rPr>
          <w:rFonts w:hint="eastAsia"/>
          <w:szCs w:val="24"/>
          <w:lang w:val="en-US" w:eastAsia="zh-CN"/>
        </w:rPr>
        <w:t xml:space="preserve"> </w:t>
      </w:r>
      <w:r>
        <w:rPr>
          <w:szCs w:val="24"/>
        </w:rPr>
        <w:t>91</w:t>
      </w:r>
      <w:r>
        <w:rPr>
          <w:rFonts w:hint="eastAsia"/>
          <w:szCs w:val="24"/>
          <w:lang w:val="en-US" w:eastAsia="zh-CN"/>
        </w:rPr>
        <w:t>.2</w:t>
      </w:r>
      <w:r>
        <w:rPr>
          <w:rFonts w:hint="eastAsia" w:ascii="宋体" w:hAnsi="宋体" w:cs="宋体"/>
          <w:szCs w:val="24"/>
        </w:rPr>
        <w:t>和</w:t>
      </w:r>
      <w:r>
        <w:rPr>
          <w:rFonts w:hint="eastAsia" w:ascii="宋体" w:hAnsi="宋体" w:eastAsia="宋体" w:cs="宋体"/>
          <w:sz w:val="24"/>
          <w:szCs w:val="24"/>
          <w:lang w:val="en-US" w:eastAsia="zh-CN"/>
        </w:rPr>
        <w:t>《水质 采样方案设计技术规定》</w:t>
      </w:r>
      <w:r>
        <w:rPr>
          <w:rFonts w:hint="default" w:ascii="Times New Roman" w:hAnsi="Times New Roman" w:eastAsia="宋体" w:cs="Times New Roman"/>
          <w:sz w:val="24"/>
          <w:szCs w:val="24"/>
          <w:lang w:val="en-US" w:eastAsia="zh-CN"/>
        </w:rPr>
        <w:t>HJ</w:t>
      </w:r>
      <w:r>
        <w:rPr>
          <w:rFonts w:hint="default"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lang w:val="en-US" w:eastAsia="zh-CN"/>
        </w:rPr>
        <w:t>495</w:t>
      </w:r>
      <w:r>
        <w:rPr>
          <w:rFonts w:hint="eastAsia" w:ascii="宋体" w:hAnsi="宋体" w:eastAsia="宋体" w:cs="宋体"/>
          <w:sz w:val="24"/>
          <w:szCs w:val="24"/>
          <w:lang w:val="en-US" w:eastAsia="zh-CN"/>
        </w:rPr>
        <w:t>的规定。</w:t>
      </w:r>
    </w:p>
    <w:p>
      <w:pPr>
        <w:pStyle w:val="30"/>
        <w:spacing w:line="360" w:lineRule="auto"/>
        <w:ind w:left="0" w:leftChars="0" w:firstLine="0" w:firstLineChars="0"/>
        <w:rPr>
          <w:rFonts w:hint="eastAsia" w:ascii="宋体" w:hAnsi="宋体" w:eastAsia="宋体" w:cs="宋体"/>
          <w:sz w:val="24"/>
          <w:szCs w:val="24"/>
          <w:lang w:val="en-US" w:eastAsia="zh-CN"/>
        </w:rPr>
      </w:pPr>
      <w:r>
        <w:rPr>
          <w:rStyle w:val="29"/>
          <w:rFonts w:hint="eastAsia" w:ascii="Times New Roman" w:hAnsi="Times New Roman" w:eastAsia="华文楷体" w:cs="Times New Roman"/>
          <w:bCs/>
          <w:color w:val="auto"/>
          <w:kern w:val="2"/>
          <w:sz w:val="21"/>
          <w:szCs w:val="21"/>
          <w:lang w:val="en-US" w:eastAsia="zh-CN" w:bidi="ar-SA"/>
        </w:rPr>
        <w:t>【条文说明】河流、湖泊等监测采样点的设定依据。河流入湖口、湖湾区、水源地及水污染较重水域依据实际情况可适当加密布设采样断面。</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4.</w:t>
      </w:r>
      <w:r>
        <w:rPr>
          <w:rFonts w:hint="eastAsia"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lang w:val="en-US" w:eastAsia="zh-CN"/>
        </w:rPr>
        <w:t>.2</w:t>
      </w:r>
      <w:r>
        <w:rPr>
          <w:rFonts w:hint="eastAsia" w:ascii="宋体" w:hAnsi="宋体" w:eastAsia="宋体" w:cs="宋体"/>
          <w:sz w:val="24"/>
          <w:szCs w:val="24"/>
          <w:lang w:val="en-US" w:eastAsia="zh-CN"/>
        </w:rPr>
        <w:t xml:space="preserve">  水样及底泥检测指标选择应符合下列规定：</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1</w:t>
      </w:r>
      <w:r>
        <w:rPr>
          <w:rFonts w:hint="eastAsia" w:ascii="宋体" w:hAnsi="宋体" w:eastAsia="宋体" w:cs="宋体"/>
          <w:sz w:val="24"/>
          <w:szCs w:val="24"/>
          <w:lang w:val="en-US" w:eastAsia="zh-CN"/>
        </w:rPr>
        <w:t xml:space="preserve">  水质检测指标：透明度、溶解氧、</w:t>
      </w:r>
      <w:r>
        <w:rPr>
          <w:rFonts w:hint="default" w:ascii="Times New Roman" w:hAnsi="Times New Roman" w:eastAsia="宋体" w:cs="Times New Roman"/>
          <w:sz w:val="24"/>
          <w:szCs w:val="24"/>
          <w:lang w:val="en-US" w:eastAsia="zh-CN"/>
        </w:rPr>
        <w:t>SS、ORP</w:t>
      </w:r>
      <w:r>
        <w:rPr>
          <w:rFonts w:hint="eastAsia" w:ascii="宋体" w:hAnsi="宋体" w:eastAsia="宋体" w:cs="宋体"/>
          <w:sz w:val="24"/>
          <w:szCs w:val="24"/>
          <w:lang w:val="en-US" w:eastAsia="zh-CN"/>
        </w:rPr>
        <w:t>、化学需氧量、总磷、氨氮、总氮、高锰酸盐指数、叶绿素</w:t>
      </w:r>
      <w:r>
        <w:rPr>
          <w:rFonts w:hint="default" w:ascii="Times New Roman" w:hAnsi="Times New Roman" w:eastAsia="宋体" w:cs="Times New Roman"/>
          <w:sz w:val="24"/>
          <w:szCs w:val="24"/>
          <w:lang w:val="en-US" w:eastAsia="zh-CN"/>
        </w:rPr>
        <w:t>a</w:t>
      </w:r>
      <w:r>
        <w:rPr>
          <w:rFonts w:hint="eastAsia" w:ascii="宋体" w:hAnsi="宋体" w:eastAsia="宋体" w:cs="宋体"/>
          <w:sz w:val="24"/>
          <w:szCs w:val="24"/>
          <w:lang w:val="en-US" w:eastAsia="zh-CN"/>
        </w:rPr>
        <w:t>、藻密度等；</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2</w:t>
      </w:r>
      <w:r>
        <w:rPr>
          <w:rFonts w:hint="eastAsia" w:ascii="宋体" w:hAnsi="宋体" w:eastAsia="宋体" w:cs="宋体"/>
          <w:sz w:val="24"/>
          <w:szCs w:val="24"/>
          <w:lang w:val="en-US" w:eastAsia="zh-CN"/>
        </w:rPr>
        <w:t xml:space="preserve">  底泥检测指标：底泥有机质、总氮、总磷、</w:t>
      </w:r>
      <w:r>
        <w:rPr>
          <w:rFonts w:hint="default" w:ascii="Times New Roman" w:hAnsi="Times New Roman" w:eastAsia="宋体" w:cs="Times New Roman"/>
          <w:sz w:val="24"/>
          <w:szCs w:val="24"/>
          <w:lang w:val="en-US" w:eastAsia="zh-CN"/>
        </w:rPr>
        <w:t>ORP</w:t>
      </w:r>
      <w:r>
        <w:rPr>
          <w:rFonts w:hint="eastAsia" w:ascii="宋体" w:hAnsi="宋体" w:eastAsia="宋体" w:cs="宋体"/>
          <w:sz w:val="24"/>
          <w:szCs w:val="24"/>
          <w:lang w:val="en-US" w:eastAsia="zh-CN"/>
        </w:rPr>
        <w:t>、铅、汞、镉、铬、锑、硒、砷、钡、底泥淤积深度、粒径</w:t>
      </w:r>
      <w:r>
        <w:rPr>
          <w:rFonts w:hint="eastAsia" w:ascii="宋体" w:hAnsi="宋体" w:cs="宋体"/>
          <w:sz w:val="24"/>
          <w:szCs w:val="24"/>
          <w:lang w:val="en-US" w:eastAsia="zh-CN"/>
        </w:rPr>
        <w:t>分析</w:t>
      </w:r>
      <w:r>
        <w:rPr>
          <w:rFonts w:hint="eastAsia" w:ascii="宋体" w:hAnsi="宋体" w:eastAsia="宋体" w:cs="宋体"/>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bCs/>
          <w:sz w:val="24"/>
          <w:szCs w:val="24"/>
          <w:lang w:val="en-US" w:eastAsia="zh-CN"/>
        </w:rPr>
        <w:t xml:space="preserve">4.1.3  </w:t>
      </w:r>
      <w:r>
        <w:rPr>
          <w:rFonts w:hint="eastAsia" w:ascii="Times New Roman" w:hAnsi="Times New Roman" w:eastAsia="宋体" w:cs="Times New Roman"/>
          <w:b w:val="0"/>
          <w:bCs w:val="0"/>
          <w:sz w:val="24"/>
          <w:szCs w:val="24"/>
          <w:lang w:val="en-US" w:eastAsia="zh-CN"/>
        </w:rPr>
        <w:t>水质底泥指标检测方法及采样勘探</w:t>
      </w:r>
      <w:r>
        <w:rPr>
          <w:rFonts w:hint="eastAsia" w:cs="Times New Roman"/>
          <w:b w:val="0"/>
          <w:bCs w:val="0"/>
          <w:sz w:val="24"/>
          <w:szCs w:val="24"/>
          <w:lang w:val="en-US" w:eastAsia="zh-CN"/>
        </w:rPr>
        <w:t>布点方法</w:t>
      </w:r>
      <w:r>
        <w:rPr>
          <w:rFonts w:hint="eastAsia" w:ascii="Times New Roman" w:hAnsi="Times New Roman" w:eastAsia="宋体" w:cs="Times New Roman"/>
          <w:b w:val="0"/>
          <w:bCs w:val="0"/>
          <w:sz w:val="24"/>
          <w:szCs w:val="24"/>
          <w:lang w:val="en-US" w:eastAsia="zh-CN"/>
        </w:rPr>
        <w:t>应符合附录A的规定。</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bCs/>
          <w:sz w:val="24"/>
          <w:szCs w:val="24"/>
          <w:lang w:val="en-US" w:eastAsia="zh-CN"/>
        </w:rPr>
        <w:t xml:space="preserve">4.1.4  </w:t>
      </w:r>
      <w:r>
        <w:rPr>
          <w:rFonts w:hint="eastAsia" w:ascii="Times New Roman" w:hAnsi="Times New Roman" w:eastAsia="宋体" w:cs="Times New Roman"/>
          <w:b w:val="0"/>
          <w:bCs w:val="0"/>
          <w:sz w:val="24"/>
          <w:szCs w:val="24"/>
          <w:lang w:val="en-US" w:eastAsia="zh-CN"/>
        </w:rPr>
        <w:t>除上述采样检测外，应额外采集工程区域底泥送至实验室进行模拟洗脱实验，验证底泥洗脱净化对污染物去除率</w:t>
      </w:r>
      <w:r>
        <w:rPr>
          <w:rFonts w:hint="eastAsia" w:cs="Times New Roman"/>
          <w:b w:val="0"/>
          <w:bCs w:val="0"/>
          <w:sz w:val="24"/>
          <w:szCs w:val="24"/>
          <w:lang w:val="en-US" w:eastAsia="zh-CN"/>
        </w:rPr>
        <w:t>、</w:t>
      </w:r>
      <w:r>
        <w:rPr>
          <w:rFonts w:hint="eastAsia" w:ascii="Times New Roman" w:hAnsi="Times New Roman" w:eastAsia="宋体" w:cs="Times New Roman"/>
          <w:b w:val="0"/>
          <w:bCs w:val="0"/>
          <w:sz w:val="24"/>
          <w:szCs w:val="24"/>
          <w:lang w:val="en-US" w:eastAsia="zh-CN"/>
        </w:rPr>
        <w:t>污泥产出系数以及底泥理化指标变化数据，作为设计章节目标可达性分析内容。</w:t>
      </w:r>
    </w:p>
    <w:p>
      <w:pPr>
        <w:pStyle w:val="19"/>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baseline"/>
        <w:rPr>
          <w:rStyle w:val="29"/>
          <w:rFonts w:hint="default" w:ascii="Times New Roman" w:hAnsi="Times New Roman" w:eastAsia="华文楷体" w:cs="Times New Roman"/>
          <w:bCs/>
          <w:color w:val="auto"/>
          <w:kern w:val="2"/>
          <w:sz w:val="21"/>
          <w:szCs w:val="21"/>
          <w:lang w:val="en-US" w:eastAsia="zh-CN" w:bidi="ar-SA"/>
        </w:rPr>
      </w:pPr>
      <w:r>
        <w:rPr>
          <w:rStyle w:val="29"/>
          <w:rFonts w:hint="eastAsia" w:ascii="Times New Roman" w:hAnsi="Times New Roman" w:eastAsia="华文楷体" w:cs="Times New Roman"/>
          <w:bCs/>
          <w:color w:val="auto"/>
          <w:kern w:val="2"/>
          <w:sz w:val="21"/>
          <w:szCs w:val="21"/>
          <w:lang w:val="en-US" w:eastAsia="zh-CN" w:bidi="ar-SA"/>
        </w:rPr>
        <w:t>【条文说明】底泥洗脱模拟实验的目的是为工程目标提供依据参考，平行样应至少设置两组，取数据平均值作为最终实验结果。</w:t>
      </w:r>
    </w:p>
    <w:p>
      <w:pPr>
        <w:pStyle w:val="3"/>
        <w:jc w:val="center"/>
        <w:rPr>
          <w:rFonts w:hint="eastAsia"/>
          <w:color w:val="000000" w:themeColor="text1"/>
          <w:sz w:val="21"/>
          <w:szCs w:val="21"/>
          <w14:textFill>
            <w14:solidFill>
              <w14:schemeClr w14:val="tx1"/>
            </w14:solidFill>
          </w14:textFill>
        </w:rPr>
      </w:pPr>
      <w:bookmarkStart w:id="133" w:name="_Toc21062"/>
      <w:r>
        <w:rPr>
          <w:rFonts w:hint="eastAsia" w:eastAsia="黑体"/>
          <w:color w:val="000000" w:themeColor="text1"/>
          <w:sz w:val="28"/>
          <w:szCs w:val="28"/>
          <w:lang w:val="en-US" w:eastAsia="zh-CN"/>
          <w14:textFill>
            <w14:solidFill>
              <w14:schemeClr w14:val="tx1"/>
            </w14:solidFill>
          </w14:textFill>
        </w:rPr>
        <w:t>4</w:t>
      </w:r>
      <w:r>
        <w:rPr>
          <w:rFonts w:eastAsia="黑体"/>
          <w:color w:val="000000" w:themeColor="text1"/>
          <w:sz w:val="28"/>
          <w:szCs w:val="28"/>
          <w14:textFill>
            <w14:solidFill>
              <w14:schemeClr w14:val="tx1"/>
            </w14:solidFill>
          </w14:textFill>
        </w:rPr>
        <w:t>.</w:t>
      </w:r>
      <w:r>
        <w:rPr>
          <w:rFonts w:hint="eastAsia" w:eastAsia="黑体"/>
          <w:color w:val="000000" w:themeColor="text1"/>
          <w:sz w:val="28"/>
          <w:szCs w:val="28"/>
          <w:lang w:val="en-US" w:eastAsia="zh-CN"/>
          <w14:textFill>
            <w14:solidFill>
              <w14:schemeClr w14:val="tx1"/>
            </w14:solidFill>
          </w14:textFill>
        </w:rPr>
        <w:t>2</w:t>
      </w:r>
      <w:r>
        <w:rPr>
          <w:rFonts w:hint="eastAsia" w:ascii="黑体" w:hAnsi="黑体" w:eastAsia="黑体" w:cs="黑体"/>
          <w:color w:val="000000" w:themeColor="text1"/>
          <w:sz w:val="28"/>
          <w:szCs w:val="28"/>
          <w14:textFill>
            <w14:solidFill>
              <w14:schemeClr w14:val="tx1"/>
            </w14:solidFill>
          </w14:textFill>
        </w:rPr>
        <w:t xml:space="preserve"> </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r>
        <w:rPr>
          <w:rFonts w:hint="eastAsia" w:ascii="黑体" w:hAnsi="黑体" w:eastAsia="黑体" w:cs="黑体"/>
          <w:color w:val="000000" w:themeColor="text1"/>
          <w:sz w:val="28"/>
          <w:szCs w:val="28"/>
          <w:lang w:val="en-US" w:eastAsia="zh-CN"/>
          <w14:textFill>
            <w14:solidFill>
              <w14:schemeClr w14:val="tx1"/>
            </w14:solidFill>
          </w14:textFill>
        </w:rPr>
        <w:t xml:space="preserve"> 系统设计</w:t>
      </w:r>
      <w:bookmarkEnd w:id="133"/>
    </w:p>
    <w:p>
      <w:pPr>
        <w:keepNext w:val="0"/>
        <w:keepLines w:val="0"/>
        <w:pageBreakBefore w:val="0"/>
        <w:widowControl w:val="0"/>
        <w:kinsoku/>
        <w:wordWrap/>
        <w:overflowPunct/>
        <w:topLinePunct w:val="0"/>
        <w:bidi w:val="0"/>
        <w:adjustRightInd/>
        <w:snapToGrid/>
        <w:ind w:firstLine="0" w:firstLineChars="0"/>
        <w:textAlignment w:val="auto"/>
        <w:rPr>
          <w:rFonts w:hint="eastAsia" w:eastAsia="宋体"/>
          <w:color w:val="000000" w:themeColor="text1"/>
          <w:sz w:val="24"/>
          <w:szCs w:val="24"/>
          <w:lang w:eastAsia="zh-CN"/>
          <w14:textFill>
            <w14:solidFill>
              <w14:schemeClr w14:val="tx1"/>
            </w14:solidFill>
          </w14:textFill>
        </w:rPr>
      </w:pPr>
      <w:r>
        <w:rPr>
          <w:rFonts w:hint="eastAsia"/>
          <w:b/>
          <w:bCs/>
          <w:color w:val="000000" w:themeColor="text1"/>
          <w:sz w:val="24"/>
          <w:szCs w:val="24"/>
          <w14:textFill>
            <w14:solidFill>
              <w14:schemeClr w14:val="tx1"/>
            </w14:solidFill>
          </w14:textFill>
        </w:rPr>
        <w:t>4.</w:t>
      </w:r>
      <w:r>
        <w:rPr>
          <w:rFonts w:hint="eastAsia"/>
          <w:b/>
          <w:bCs/>
          <w:color w:val="000000" w:themeColor="text1"/>
          <w:sz w:val="24"/>
          <w:szCs w:val="24"/>
          <w:lang w:val="en-US" w:eastAsia="zh-CN"/>
          <w14:textFill>
            <w14:solidFill>
              <w14:schemeClr w14:val="tx1"/>
            </w14:solidFill>
          </w14:textFill>
        </w:rPr>
        <w:t>2</w:t>
      </w:r>
      <w:r>
        <w:rPr>
          <w:rFonts w:hint="eastAsia"/>
          <w:b/>
          <w:bCs/>
          <w:color w:val="000000" w:themeColor="text1"/>
          <w:sz w:val="24"/>
          <w:szCs w:val="24"/>
          <w14:textFill>
            <w14:solidFill>
              <w14:schemeClr w14:val="tx1"/>
            </w14:solidFill>
          </w14:textFill>
        </w:rPr>
        <w:t>.</w:t>
      </w:r>
      <w:r>
        <w:rPr>
          <w:rFonts w:hint="eastAsia"/>
          <w:b/>
          <w:bCs/>
          <w:color w:val="000000" w:themeColor="text1"/>
          <w:sz w:val="24"/>
          <w:szCs w:val="24"/>
          <w:lang w:val="en-US" w:eastAsia="zh-CN"/>
          <w14:textFill>
            <w14:solidFill>
              <w14:schemeClr w14:val="tx1"/>
            </w14:solidFill>
          </w14:textFill>
        </w:rPr>
        <w:t>1</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底泥洗脱主体工程组成宜包</w:t>
      </w:r>
      <w:r>
        <w:rPr>
          <w:rFonts w:hint="eastAsia"/>
          <w:sz w:val="24"/>
          <w:szCs w:val="24"/>
        </w:rPr>
        <w:t>括底泥洗脱</w:t>
      </w:r>
      <w:r>
        <w:rPr>
          <w:rFonts w:hint="eastAsia"/>
          <w:color w:val="000000" w:themeColor="text1"/>
          <w:sz w:val="24"/>
          <w:szCs w:val="24"/>
          <w14:textFill>
            <w14:solidFill>
              <w14:schemeClr w14:val="tx1"/>
            </w14:solidFill>
          </w14:textFill>
        </w:rPr>
        <w:t>、污泥处理和余水处理三部分</w:t>
      </w:r>
      <w:r>
        <w:rPr>
          <w:rFonts w:hint="eastAsia"/>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bidi w:val="0"/>
        <w:adjustRightInd/>
        <w:snapToGrid/>
        <w:ind w:firstLine="0" w:firstLineChars="0"/>
        <w:textAlignment w:val="auto"/>
        <w:rPr>
          <w:rFonts w:hint="eastAsia"/>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4.</w:t>
      </w:r>
      <w:r>
        <w:rPr>
          <w:rFonts w:hint="eastAsia"/>
          <w:b/>
          <w:bCs/>
          <w:color w:val="000000" w:themeColor="text1"/>
          <w:sz w:val="24"/>
          <w:szCs w:val="24"/>
          <w:lang w:val="en-US" w:eastAsia="zh-CN"/>
          <w14:textFill>
            <w14:solidFill>
              <w14:schemeClr w14:val="tx1"/>
            </w14:solidFill>
          </w14:textFill>
        </w:rPr>
        <w:t>2</w:t>
      </w:r>
      <w:r>
        <w:rPr>
          <w:rFonts w:hint="eastAsia"/>
          <w:b/>
          <w:bCs/>
          <w:color w:val="000000" w:themeColor="text1"/>
          <w:sz w:val="24"/>
          <w:szCs w:val="24"/>
          <w14:textFill>
            <w14:solidFill>
              <w14:schemeClr w14:val="tx1"/>
            </w14:solidFill>
          </w14:textFill>
        </w:rPr>
        <w:t>.</w:t>
      </w:r>
      <w:r>
        <w:rPr>
          <w:rFonts w:hint="eastAsia"/>
          <w:b/>
          <w:bCs/>
          <w:color w:val="000000" w:themeColor="text1"/>
          <w:sz w:val="24"/>
          <w:szCs w:val="24"/>
          <w:lang w:val="en-US" w:eastAsia="zh-CN"/>
          <w14:textFill>
            <w14:solidFill>
              <w14:schemeClr w14:val="tx1"/>
            </w14:solidFill>
          </w14:textFill>
        </w:rPr>
        <w:t>2</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 洗脱设备</w:t>
      </w:r>
      <w:r>
        <w:rPr>
          <w:rFonts w:hint="eastAsia"/>
          <w:color w:val="000000" w:themeColor="text1"/>
          <w:sz w:val="24"/>
          <w:szCs w:val="24"/>
          <w:lang w:val="en-US" w:eastAsia="zh-CN"/>
          <w14:textFill>
            <w14:solidFill>
              <w14:schemeClr w14:val="tx1"/>
            </w14:solidFill>
          </w14:textFill>
        </w:rPr>
        <w:t>包括组合式磁加载洗脱机、组合式底泥洗脱机和分离式底泥洗脱机，</w:t>
      </w:r>
      <w:r>
        <w:rPr>
          <w:rFonts w:hint="eastAsia" w:ascii="宋体" w:hAnsi="宋体" w:cs="宋体"/>
          <w:color w:val="000000" w:themeColor="text1"/>
          <w:sz w:val="24"/>
          <w:szCs w:val="24"/>
          <w:lang w:val="en-US" w:eastAsia="zh-CN"/>
          <w14:textFill>
            <w14:solidFill>
              <w14:schemeClr w14:val="tx1"/>
            </w14:solidFill>
          </w14:textFill>
        </w:rPr>
        <w:t>设备</w:t>
      </w:r>
      <w:r>
        <w:rPr>
          <w:rFonts w:hint="eastAsia" w:ascii="宋体" w:hAnsi="宋体" w:cs="宋体"/>
          <w:color w:val="000000" w:themeColor="text1"/>
          <w:sz w:val="24"/>
          <w:szCs w:val="24"/>
          <w14:textFill>
            <w14:solidFill>
              <w14:schemeClr w14:val="tx1"/>
            </w14:solidFill>
          </w14:textFill>
        </w:rPr>
        <w:t>参数</w:t>
      </w:r>
      <w:r>
        <w:rPr>
          <w:rFonts w:hint="eastAsia" w:ascii="宋体" w:hAnsi="宋体" w:cs="宋体"/>
          <w:color w:val="000000" w:themeColor="text1"/>
          <w:sz w:val="24"/>
          <w:szCs w:val="24"/>
          <w:lang w:val="en-US" w:eastAsia="zh-CN"/>
          <w14:textFill>
            <w14:solidFill>
              <w14:schemeClr w14:val="tx1"/>
            </w14:solidFill>
          </w14:textFill>
        </w:rPr>
        <w:t>及选型</w:t>
      </w:r>
      <w:r>
        <w:rPr>
          <w:rFonts w:hint="eastAsia" w:ascii="宋体" w:hAnsi="宋体" w:cs="宋体"/>
          <w:color w:val="000000" w:themeColor="text1"/>
          <w:sz w:val="24"/>
          <w:szCs w:val="24"/>
          <w14:textFill>
            <w14:solidFill>
              <w14:schemeClr w14:val="tx1"/>
            </w14:solidFill>
          </w14:textFill>
        </w:rPr>
        <w:t>详见附</w:t>
      </w:r>
      <w:r>
        <w:rPr>
          <w:rFonts w:hint="eastAsia" w:ascii="宋体" w:hAnsi="宋体" w:cs="宋体"/>
          <w:color w:val="000000" w:themeColor="text1"/>
          <w:sz w:val="24"/>
          <w:szCs w:val="24"/>
          <w:highlight w:val="none"/>
          <w14:textFill>
            <w14:solidFill>
              <w14:schemeClr w14:val="tx1"/>
            </w14:solidFill>
          </w14:textFill>
        </w:rPr>
        <w:t>录</w:t>
      </w:r>
      <w:r>
        <w:rPr>
          <w:rFonts w:hint="eastAsia" w:cs="Times New Roman"/>
          <w:color w:val="000000" w:themeColor="text1"/>
          <w:sz w:val="24"/>
          <w:szCs w:val="24"/>
          <w:highlight w:val="none"/>
          <w:lang w:val="en-US" w:eastAsia="zh-CN"/>
          <w14:textFill>
            <w14:solidFill>
              <w14:schemeClr w14:val="tx1"/>
            </w14:solidFill>
          </w14:textFill>
        </w:rPr>
        <w:t>B</w:t>
      </w:r>
      <w:r>
        <w:rPr>
          <w:rFonts w:hint="eastAsia"/>
          <w:color w:val="000000" w:themeColor="text1"/>
          <w:sz w:val="24"/>
          <w:szCs w:val="24"/>
          <w14:textFill>
            <w14:solidFill>
              <w14:schemeClr w14:val="tx1"/>
            </w14:solidFill>
          </w14:textFill>
        </w:rPr>
        <w:t>。</w:t>
      </w:r>
    </w:p>
    <w:p>
      <w:pPr>
        <w:pStyle w:val="30"/>
        <w:spacing w:line="360" w:lineRule="auto"/>
        <w:ind w:left="0" w:leftChars="0" w:firstLine="0" w:firstLineChars="0"/>
        <w:rPr>
          <w:rStyle w:val="29"/>
          <w:rFonts w:hint="eastAsia" w:ascii="Times New Roman" w:hAnsi="Times New Roman" w:eastAsia="华文楷体" w:cs="Times New Roman"/>
          <w:bCs/>
          <w:color w:val="auto"/>
          <w:kern w:val="2"/>
          <w:sz w:val="21"/>
          <w:szCs w:val="21"/>
          <w:lang w:val="en-US" w:eastAsia="zh-CN" w:bidi="ar-SA"/>
        </w:rPr>
      </w:pPr>
      <w:r>
        <w:rPr>
          <w:rStyle w:val="29"/>
          <w:rFonts w:hint="eastAsia" w:ascii="Times New Roman" w:hAnsi="Times New Roman" w:eastAsia="华文楷体" w:cs="Times New Roman"/>
          <w:bCs/>
          <w:color w:val="auto"/>
          <w:kern w:val="2"/>
          <w:sz w:val="21"/>
          <w:szCs w:val="21"/>
          <w:lang w:val="en-US" w:eastAsia="zh-CN" w:bidi="ar-SA"/>
        </w:rPr>
        <w:t>【条文说明】底泥洗脱设备选择根据工程的施工环境、工程条件和环保要求，通过技术经济论证，综合比较，选择环保性能优良、洗脱精度高、施工效率高的洗脱设备。</w:t>
      </w:r>
    </w:p>
    <w:p>
      <w:pPr>
        <w:keepNext w:val="0"/>
        <w:keepLines w:val="0"/>
        <w:pageBreakBefore w:val="0"/>
        <w:widowControl w:val="0"/>
        <w:kinsoku/>
        <w:wordWrap/>
        <w:overflowPunct/>
        <w:topLinePunct w:val="0"/>
        <w:bidi w:val="0"/>
        <w:adjustRightInd/>
        <w:snapToGrid/>
        <w:ind w:firstLine="0" w:firstLineChars="0"/>
        <w:textAlignment w:val="auto"/>
        <w:rPr>
          <w:rFonts w:hint="eastAsia"/>
          <w:color w:val="000000" w:themeColor="text1"/>
          <w:sz w:val="24"/>
          <w:szCs w:val="24"/>
          <w:highlight w:val="none"/>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 xml:space="preserve">4.2.3  </w:t>
      </w:r>
      <w:r>
        <w:rPr>
          <w:rFonts w:hint="eastAsia"/>
          <w:color w:val="000000" w:themeColor="text1"/>
          <w:sz w:val="24"/>
          <w:szCs w:val="24"/>
          <w:highlight w:val="none"/>
          <w:lang w:val="en-US" w:eastAsia="zh-CN"/>
          <w14:textFill>
            <w14:solidFill>
              <w14:schemeClr w14:val="tx1"/>
            </w14:solidFill>
          </w14:textFill>
        </w:rPr>
        <w:t>底泥洗脱旨在构建稳定的泥水界面，工程设计目标包括底泥污染物去除目标与水体生境改善目标，底泥洗脱后表层底泥有机质、总氮、总磷数值应达到清洁状态。</w:t>
      </w:r>
    </w:p>
    <w:p>
      <w:pPr>
        <w:pStyle w:val="30"/>
        <w:spacing w:line="360" w:lineRule="auto"/>
        <w:ind w:left="0" w:leftChars="0" w:firstLine="0" w:firstLineChars="0"/>
        <w:rPr>
          <w:rStyle w:val="29"/>
          <w:rFonts w:hint="eastAsia" w:ascii="Times New Roman" w:hAnsi="Times New Roman" w:eastAsia="华文楷体" w:cs="Times New Roman"/>
          <w:bCs/>
          <w:color w:val="auto"/>
          <w:kern w:val="2"/>
          <w:sz w:val="21"/>
          <w:szCs w:val="21"/>
          <w:highlight w:val="yellow"/>
        </w:rPr>
      </w:pPr>
      <w:r>
        <w:rPr>
          <w:rStyle w:val="29"/>
          <w:rFonts w:hint="eastAsia" w:ascii="Times New Roman" w:hAnsi="Times New Roman" w:eastAsia="华文楷体" w:cs="Times New Roman"/>
          <w:bCs/>
          <w:color w:val="auto"/>
          <w:kern w:val="2"/>
          <w:sz w:val="21"/>
          <w:szCs w:val="21"/>
          <w:lang w:val="en-US" w:eastAsia="zh-CN" w:bidi="ar-SA"/>
        </w:rPr>
        <w:t>【条文说明】通过底泥洗脱将底泥表层有机质、氮、磷及越冬“藻种”等胶体级污染物转移出水，底泥中干净的泥沙原位覆盖，构建高稳定度的泥-水界面，防止外力扰动界面引起的水体浑浊。消除底泥上泛、水体黑臭现象，提高水体透明度，恢复沉水植物生长，促进水体由污染水体向草型水体转型。</w:t>
      </w:r>
    </w:p>
    <w:p>
      <w:pPr>
        <w:keepNext w:val="0"/>
        <w:keepLines w:val="0"/>
        <w:pageBreakBefore w:val="0"/>
        <w:widowControl w:val="0"/>
        <w:kinsoku/>
        <w:wordWrap/>
        <w:overflowPunct/>
        <w:topLinePunct w:val="0"/>
        <w:bidi w:val="0"/>
        <w:adjustRightInd/>
        <w:snapToGrid/>
        <w:ind w:firstLine="0" w:firstLineChars="0"/>
        <w:textAlignment w:val="auto"/>
        <w:rPr>
          <w:rFonts w:hint="eastAsia"/>
          <w:b/>
          <w:bCs/>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 xml:space="preserve">4.2.4  </w:t>
      </w:r>
      <w:r>
        <w:rPr>
          <w:rFonts w:hint="eastAsia"/>
          <w:b w:val="0"/>
          <w:bCs w:val="0"/>
          <w:color w:val="000000" w:themeColor="text1"/>
          <w:sz w:val="24"/>
          <w:szCs w:val="24"/>
          <w:lang w:val="en-US" w:eastAsia="zh-CN"/>
          <w14:textFill>
            <w14:solidFill>
              <w14:schemeClr w14:val="tx1"/>
            </w14:solidFill>
          </w14:textFill>
        </w:rPr>
        <w:t>水体生境修复目标主要包括水体透明度提升和底泥理化性质改善（孔隙度、中值粒径、ORP等），真光层深度应大于区域水深才能保障沉水植被群落的恢复形成，按照以下公式计算：</w:t>
      </w:r>
    </w:p>
    <w:p>
      <w:pPr>
        <w:keepNext w:val="0"/>
        <w:keepLines w:val="0"/>
        <w:widowControl/>
        <w:suppressLineNumbers w:val="0"/>
        <w:jc w:val="center"/>
        <w:rPr>
          <w:rFonts w:hint="default"/>
          <w:lang w:val="en-US"/>
        </w:rPr>
      </w:pPr>
      <w:r>
        <w:rPr>
          <w:rFonts w:hint="eastAsia" w:cs="Times New Roman"/>
          <w:i/>
          <w:iCs/>
          <w:color w:val="000000"/>
          <w:kern w:val="0"/>
          <w:sz w:val="24"/>
          <w:szCs w:val="24"/>
          <w:lang w:val="en-US" w:eastAsia="zh-CN" w:bidi="ar"/>
        </w:rPr>
        <w:t xml:space="preserve">                         </w:t>
      </w:r>
      <w:r>
        <w:rPr>
          <w:rFonts w:hint="default" w:ascii="Times New Roman" w:hAnsi="Times New Roman" w:eastAsia="宋体" w:cs="Times New Roman"/>
          <w:i/>
          <w:iCs/>
          <w:color w:val="000000"/>
          <w:kern w:val="0"/>
          <w:sz w:val="24"/>
          <w:szCs w:val="24"/>
          <w:lang w:val="en-US" w:eastAsia="zh-CN" w:bidi="ar"/>
        </w:rPr>
        <w:t xml:space="preserve">Z </w:t>
      </w:r>
      <w:r>
        <w:rPr>
          <w:rFonts w:hint="default" w:ascii="Times New Roman" w:hAnsi="Times New Roman" w:eastAsia="宋体" w:cs="Times New Roman"/>
          <w:color w:val="000000"/>
          <w:kern w:val="0"/>
          <w:sz w:val="24"/>
          <w:szCs w:val="24"/>
          <w:lang w:val="en-US" w:eastAsia="zh-CN" w:bidi="ar"/>
        </w:rPr>
        <w:t xml:space="preserve">= 4.605 / </w:t>
      </w:r>
      <w:r>
        <w:rPr>
          <w:rFonts w:hint="default" w:ascii="Times New Roman" w:hAnsi="Times New Roman" w:eastAsia="宋体" w:cs="Times New Roman"/>
          <w:i w:val="0"/>
          <w:iCs w:val="0"/>
          <w:color w:val="000000"/>
          <w:kern w:val="0"/>
          <w:sz w:val="24"/>
          <w:szCs w:val="24"/>
          <w:lang w:val="en-US" w:eastAsia="zh-CN" w:bidi="ar"/>
        </w:rPr>
        <w:t>Kd</w:t>
      </w:r>
      <w:r>
        <w:rPr>
          <w:rFonts w:hint="eastAsia" w:cs="Times New Roman"/>
          <w:i/>
          <w:iCs/>
          <w:color w:val="000000"/>
          <w:kern w:val="0"/>
          <w:sz w:val="24"/>
          <w:szCs w:val="24"/>
          <w:lang w:val="en-US" w:eastAsia="zh-CN" w:bidi="ar"/>
        </w:rPr>
        <w:t xml:space="preserve">                     </w:t>
      </w:r>
      <w:r>
        <w:rPr>
          <w:rFonts w:hint="eastAsia" w:cs="Times New Roman"/>
          <w:i w:val="0"/>
          <w:iCs w:val="0"/>
          <w:color w:val="000000"/>
          <w:kern w:val="0"/>
          <w:sz w:val="24"/>
          <w:szCs w:val="24"/>
          <w:lang w:val="en-US" w:eastAsia="zh-CN" w:bidi="ar"/>
        </w:rPr>
        <w:t>（4.2.4-1）</w:t>
      </w:r>
    </w:p>
    <w:p>
      <w:pPr>
        <w:keepNext w:val="0"/>
        <w:keepLines w:val="0"/>
        <w:widowControl/>
        <w:suppressLineNumbers w:val="0"/>
        <w:ind w:left="0" w:leftChars="0" w:firstLine="0" w:firstLineChars="0"/>
        <w:jc w:val="both"/>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式</w:t>
      </w:r>
      <w:r>
        <w:rPr>
          <w:rFonts w:hint="eastAsia" w:ascii="宋体" w:hAnsi="宋体" w:eastAsia="宋体" w:cs="宋体"/>
          <w:color w:val="000000"/>
          <w:kern w:val="0"/>
          <w:sz w:val="24"/>
          <w:szCs w:val="24"/>
          <w:lang w:val="en-US" w:eastAsia="zh-CN" w:bidi="ar"/>
        </w:rPr>
        <w:t>中</w:t>
      </w:r>
      <w:r>
        <w:rPr>
          <w:rFonts w:hint="eastAsia" w:ascii="宋体" w:hAnsi="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Z</w:t>
      </w:r>
      <w:r>
        <w:rPr>
          <w:rFonts w:hint="eastAsia" w:eastAsia="宋体" w:cs="Times New Roman"/>
          <w:color w:val="auto"/>
          <w:sz w:val="24"/>
          <w:szCs w:val="24"/>
          <w:vertAlign w:val="baseline"/>
          <w:lang w:val="en-US" w:eastAsia="zh-CN"/>
        </w:rPr>
        <w:t>—</w:t>
      </w:r>
      <w:r>
        <w:rPr>
          <w:rFonts w:hint="eastAsia" w:ascii="宋体" w:hAnsi="宋体" w:eastAsia="宋体" w:cs="宋体"/>
          <w:color w:val="000000"/>
          <w:kern w:val="0"/>
          <w:sz w:val="24"/>
          <w:szCs w:val="24"/>
          <w:lang w:val="en-US" w:eastAsia="zh-CN" w:bidi="ar"/>
        </w:rPr>
        <w:t>真光层深度（</w:t>
      </w:r>
      <w:r>
        <w:rPr>
          <w:rFonts w:hint="default" w:ascii="Times New Roman" w:hAnsi="Times New Roman" w:eastAsia="宋体" w:cs="Times New Roman"/>
          <w:color w:val="000000"/>
          <w:kern w:val="0"/>
          <w:sz w:val="24"/>
          <w:szCs w:val="24"/>
          <w:lang w:val="en-US" w:eastAsia="zh-CN" w:bidi="ar"/>
        </w:rPr>
        <w:t>m</w:t>
      </w:r>
      <w:r>
        <w:rPr>
          <w:rFonts w:hint="eastAsia" w:ascii="宋体" w:hAnsi="宋体" w:eastAsia="宋体" w:cs="宋体"/>
          <w:color w:val="000000"/>
          <w:kern w:val="0"/>
          <w:sz w:val="24"/>
          <w:szCs w:val="24"/>
          <w:lang w:val="en-US" w:eastAsia="zh-CN" w:bidi="ar"/>
        </w:rPr>
        <w:t>）；</w:t>
      </w:r>
    </w:p>
    <w:p>
      <w:pPr>
        <w:keepNext w:val="0"/>
        <w:keepLines w:val="0"/>
        <w:widowControl/>
        <w:suppressLineNumbers w:val="0"/>
        <w:ind w:left="0" w:leftChars="0" w:firstLine="720" w:firstLineChars="300"/>
        <w:jc w:val="both"/>
      </w:pPr>
      <w:r>
        <w:rPr>
          <w:rFonts w:hint="default" w:ascii="Times New Roman" w:hAnsi="Times New Roman" w:eastAsia="宋体" w:cs="Times New Roman"/>
          <w:color w:val="000000"/>
          <w:kern w:val="0"/>
          <w:sz w:val="24"/>
          <w:szCs w:val="24"/>
          <w:lang w:val="en-US" w:eastAsia="zh-CN" w:bidi="ar"/>
        </w:rPr>
        <w:t>Kd</w:t>
      </w:r>
      <w:r>
        <w:rPr>
          <w:rFonts w:hint="eastAsia" w:eastAsia="宋体" w:cs="Times New Roman"/>
          <w:color w:val="auto"/>
          <w:sz w:val="24"/>
          <w:szCs w:val="24"/>
          <w:vertAlign w:val="baseline"/>
          <w:lang w:val="en-US" w:eastAsia="zh-CN"/>
        </w:rPr>
        <w:t>—</w:t>
      </w:r>
      <w:r>
        <w:rPr>
          <w:rFonts w:hint="eastAsia" w:ascii="宋体" w:hAnsi="宋体" w:eastAsia="宋体" w:cs="宋体"/>
          <w:color w:val="000000"/>
          <w:kern w:val="0"/>
          <w:sz w:val="24"/>
          <w:szCs w:val="24"/>
          <w:lang w:val="en-US" w:eastAsia="zh-CN" w:bidi="ar"/>
        </w:rPr>
        <w:t>为光学衰减系数（</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perscript"/>
          <w:lang w:val="en-US" w:eastAsia="zh-CN" w:bidi="ar"/>
        </w:rPr>
        <w:t>-1</w:t>
      </w:r>
      <w:r>
        <w:rPr>
          <w:rFonts w:hint="eastAsia" w:ascii="宋体" w:hAnsi="宋体" w:eastAsia="宋体" w:cs="宋体"/>
          <w:color w:val="000000"/>
          <w:kern w:val="0"/>
          <w:sz w:val="24"/>
          <w:szCs w:val="24"/>
          <w:lang w:val="en-US" w:eastAsia="zh-CN" w:bidi="ar"/>
        </w:rPr>
        <w:t>）。</w:t>
      </w:r>
    </w:p>
    <w:p>
      <w:pPr>
        <w:keepNext w:val="0"/>
        <w:keepLines w:val="0"/>
        <w:widowControl/>
        <w:suppressLineNumbers w:val="0"/>
        <w:jc w:val="center"/>
        <w:rPr>
          <w:rFonts w:hint="default" w:ascii="Times New Roman" w:hAnsi="Times New Roman" w:cs="Times New Roman"/>
        </w:rPr>
      </w:pPr>
      <w:r>
        <w:rPr>
          <w:rFonts w:hint="eastAsia" w:ascii="Times New Roman" w:hAnsi="Times New Roman" w:cs="Times New Roman"/>
          <w:i/>
          <w:iCs/>
          <w:color w:val="000000"/>
          <w:kern w:val="0"/>
          <w:sz w:val="24"/>
          <w:szCs w:val="24"/>
          <w:lang w:val="en-US" w:eastAsia="zh-CN" w:bidi="ar"/>
        </w:rPr>
        <w:t xml:space="preserve">                      </w:t>
      </w:r>
      <w:r>
        <w:rPr>
          <w:rFonts w:hint="default" w:ascii="Times New Roman" w:hAnsi="Times New Roman" w:eastAsia="宋体" w:cs="Times New Roman"/>
          <w:i w:val="0"/>
          <w:iCs w:val="0"/>
          <w:color w:val="000000"/>
          <w:kern w:val="0"/>
          <w:sz w:val="24"/>
          <w:szCs w:val="24"/>
          <w:lang w:val="en-US" w:eastAsia="zh-CN" w:bidi="ar"/>
        </w:rPr>
        <w:t>Kd</w:t>
      </w:r>
      <w:r>
        <w:rPr>
          <w:rFonts w:hint="default" w:ascii="Times New Roman" w:hAnsi="Times New Roman" w:eastAsia="宋体" w:cs="Times New Roman"/>
          <w:i/>
          <w:i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 0.096 + 1.852 / </w:t>
      </w:r>
      <w:r>
        <w:rPr>
          <w:rFonts w:hint="default" w:ascii="Times New Roman" w:hAnsi="Times New Roman" w:eastAsia="宋体" w:cs="Times New Roman"/>
          <w:i w:val="0"/>
          <w:iCs w:val="0"/>
          <w:color w:val="000000"/>
          <w:kern w:val="0"/>
          <w:sz w:val="24"/>
          <w:szCs w:val="24"/>
          <w:lang w:val="en-US" w:eastAsia="zh-CN" w:bidi="ar"/>
        </w:rPr>
        <w:t>ST</w:t>
      </w:r>
      <w:r>
        <w:rPr>
          <w:rFonts w:hint="eastAsia" w:ascii="Times New Roman" w:hAnsi="Times New Roman" w:cs="Times New Roman"/>
          <w:i/>
          <w:iCs/>
          <w:color w:val="000000"/>
          <w:kern w:val="0"/>
          <w:sz w:val="24"/>
          <w:szCs w:val="24"/>
          <w:lang w:val="en-US" w:eastAsia="zh-CN" w:bidi="ar"/>
        </w:rPr>
        <w:t xml:space="preserve">                </w:t>
      </w:r>
      <w:r>
        <w:rPr>
          <w:rFonts w:hint="eastAsia" w:ascii="Times New Roman" w:hAnsi="Times New Roman" w:cs="Times New Roman"/>
          <w:i w:val="0"/>
          <w:iCs w:val="0"/>
          <w:color w:val="000000"/>
          <w:kern w:val="0"/>
          <w:sz w:val="24"/>
          <w:szCs w:val="24"/>
          <w:lang w:val="en-US" w:eastAsia="zh-CN" w:bidi="ar"/>
        </w:rPr>
        <w:t>（4.2.4-2）</w:t>
      </w:r>
    </w:p>
    <w:p>
      <w:pPr>
        <w:keepNext w:val="0"/>
        <w:keepLines w:val="0"/>
        <w:widowControl/>
        <w:suppressLineNumbers w:val="0"/>
        <w:ind w:left="0" w:leftChars="0" w:firstLine="0" w:firstLineChars="0"/>
        <w:jc w:val="both"/>
        <w:rPr>
          <w:rFonts w:hint="eastAsia" w:ascii="宋体" w:hAnsi="宋体" w:eastAsia="宋体" w:cs="宋体"/>
          <w:color w:val="000000"/>
          <w:kern w:val="0"/>
          <w:sz w:val="24"/>
          <w:szCs w:val="24"/>
          <w:lang w:val="en-US" w:eastAsia="zh-CN" w:bidi="ar"/>
        </w:rPr>
      </w:pPr>
      <w:r>
        <w:rPr>
          <w:rFonts w:hint="eastAsia" w:cs="Times New Roman"/>
          <w:color w:val="000000"/>
          <w:kern w:val="0"/>
          <w:sz w:val="24"/>
          <w:szCs w:val="24"/>
          <w:lang w:val="en-US" w:eastAsia="zh-CN" w:bidi="ar"/>
        </w:rPr>
        <w:t>式中：</w:t>
      </w:r>
      <w:r>
        <w:rPr>
          <w:rFonts w:hint="default" w:ascii="Times New Roman" w:hAnsi="Times New Roman" w:eastAsia="宋体" w:cs="Times New Roman"/>
          <w:color w:val="000000"/>
          <w:kern w:val="0"/>
          <w:sz w:val="24"/>
          <w:szCs w:val="24"/>
          <w:lang w:val="en-US" w:eastAsia="zh-CN" w:bidi="ar"/>
        </w:rPr>
        <w:t>ST</w:t>
      </w:r>
      <w:r>
        <w:rPr>
          <w:rFonts w:hint="eastAsia" w:eastAsia="宋体" w:cs="Times New Roman"/>
          <w:color w:val="auto"/>
          <w:sz w:val="24"/>
          <w:szCs w:val="24"/>
          <w:vertAlign w:val="baseline"/>
          <w:lang w:val="en-US" w:eastAsia="zh-CN"/>
        </w:rPr>
        <w:t>—</w:t>
      </w:r>
      <w:r>
        <w:rPr>
          <w:rFonts w:hint="eastAsia" w:ascii="宋体" w:hAnsi="宋体" w:eastAsia="宋体" w:cs="宋体"/>
          <w:color w:val="000000"/>
          <w:kern w:val="0"/>
          <w:sz w:val="24"/>
          <w:szCs w:val="24"/>
          <w:lang w:val="en-US" w:eastAsia="zh-CN" w:bidi="ar"/>
        </w:rPr>
        <w:t>透明度（</w:t>
      </w:r>
      <w:r>
        <w:rPr>
          <w:rFonts w:hint="default" w:ascii="Times New Roman" w:hAnsi="Times New Roman" w:eastAsia="宋体" w:cs="Times New Roman"/>
          <w:color w:val="000000"/>
          <w:kern w:val="0"/>
          <w:sz w:val="24"/>
          <w:szCs w:val="24"/>
          <w:lang w:val="en-US" w:eastAsia="zh-CN" w:bidi="ar"/>
        </w:rPr>
        <w:t>m</w:t>
      </w:r>
      <w:r>
        <w:rPr>
          <w:rFonts w:hint="eastAsia" w:ascii="宋体" w:hAnsi="宋体" w:eastAsia="宋体" w:cs="宋体"/>
          <w:color w:val="000000"/>
          <w:kern w:val="0"/>
          <w:sz w:val="24"/>
          <w:szCs w:val="24"/>
          <w:lang w:val="en-US" w:eastAsia="zh-CN" w:bidi="ar"/>
        </w:rPr>
        <w:t>）。</w:t>
      </w:r>
    </w:p>
    <w:p>
      <w:pPr>
        <w:keepNext w:val="0"/>
        <w:keepLines w:val="0"/>
        <w:widowControl/>
        <w:suppressLineNumbers w:val="0"/>
        <w:ind w:left="0" w:leftChars="0" w:firstLine="0" w:firstLineChars="0"/>
        <w:jc w:val="both"/>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反推</w:t>
      </w:r>
      <w:r>
        <w:rPr>
          <w:rFonts w:hint="eastAsia" w:ascii="宋体" w:hAnsi="宋体" w:eastAsia="宋体" w:cs="宋体"/>
          <w:color w:val="000000"/>
          <w:kern w:val="0"/>
          <w:sz w:val="24"/>
          <w:szCs w:val="24"/>
          <w:lang w:val="en-US" w:eastAsia="zh-CN" w:bidi="ar"/>
        </w:rPr>
        <w:t>水体透明度修复目标应大于：</w:t>
      </w:r>
    </w:p>
    <w:p>
      <w:pPr>
        <w:keepNext w:val="0"/>
        <w:keepLines w:val="0"/>
        <w:widowControl/>
        <w:suppressLineNumbers w:val="0"/>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cs="Times New Roman"/>
          <w:color w:val="000000"/>
          <w:kern w:val="0"/>
          <w:sz w:val="24"/>
          <w:szCs w:val="24"/>
          <w:lang w:val="en-US" w:eastAsia="zh-CN" w:bidi="ar"/>
        </w:rPr>
        <w:t xml:space="preserve">                    </w:t>
      </w:r>
      <w:r>
        <w:rPr>
          <w:rFonts w:hint="eastAsia" w:ascii="Times New Roman" w:hAnsi="Times New Roman" w:cs="Times New Roman"/>
          <w:i w:val="0"/>
          <w:iCs w:val="0"/>
          <w:color w:val="000000"/>
          <w:kern w:val="0"/>
          <w:sz w:val="24"/>
          <w:szCs w:val="24"/>
          <w:lang w:val="en-US" w:eastAsia="zh-CN" w:bidi="ar"/>
        </w:rPr>
        <w:t xml:space="preserve"> </w:t>
      </w:r>
      <w:r>
        <w:rPr>
          <w:rFonts w:hint="default" w:ascii="Times New Roman" w:hAnsi="Times New Roman" w:eastAsia="宋体" w:cs="Times New Roman"/>
          <w:i w:val="0"/>
          <w:iCs w:val="0"/>
          <w:color w:val="000000"/>
          <w:kern w:val="0"/>
          <w:sz w:val="24"/>
          <w:szCs w:val="24"/>
          <w:lang w:val="en-US" w:eastAsia="zh-CN" w:bidi="ar"/>
        </w:rPr>
        <w:t>ST≥</w:t>
      </w:r>
      <w:r>
        <w:rPr>
          <w:rFonts w:hint="default" w:ascii="Times New Roman" w:hAnsi="Times New Roman" w:cs="Times New Roman"/>
          <w:i w:val="0"/>
          <w:iCs w:val="0"/>
          <w:color w:val="000000"/>
          <w:kern w:val="0"/>
          <w:sz w:val="24"/>
          <w:szCs w:val="24"/>
          <w:lang w:val="en-US" w:eastAsia="zh-CN" w:bidi="ar"/>
        </w:rPr>
        <w:t xml:space="preserve">1.852/(4.605/D-0.096) </w:t>
      </w:r>
      <w:r>
        <w:rPr>
          <w:rFonts w:hint="default" w:ascii="Times New Roman" w:hAnsi="Times New Roman" w:cs="Times New Roman"/>
          <w:i/>
          <w:iCs/>
          <w:color w:val="000000"/>
          <w:kern w:val="0"/>
          <w:sz w:val="24"/>
          <w:szCs w:val="24"/>
          <w:lang w:val="en-US" w:eastAsia="zh-CN" w:bidi="ar"/>
        </w:rPr>
        <w:t xml:space="preserve"> </w:t>
      </w:r>
      <w:r>
        <w:rPr>
          <w:rFonts w:hint="eastAsia" w:ascii="Times New Roman" w:hAnsi="Times New Roman" w:cs="Times New Roman"/>
          <w:color w:val="000000"/>
          <w:kern w:val="0"/>
          <w:sz w:val="24"/>
          <w:szCs w:val="24"/>
          <w:lang w:val="en-US" w:eastAsia="zh-CN" w:bidi="ar"/>
        </w:rPr>
        <w:t xml:space="preserve">              （4.2.4-3）</w:t>
      </w:r>
    </w:p>
    <w:p>
      <w:pPr>
        <w:bidi w:val="0"/>
        <w:ind w:left="0" w:leftChars="0" w:firstLine="0" w:firstLineChars="0"/>
        <w:rPr>
          <w:rFonts w:hint="eastAsia"/>
          <w:lang w:val="en-US" w:eastAsia="zh-CN"/>
        </w:rPr>
      </w:pPr>
      <w:r>
        <w:rPr>
          <w:rFonts w:hint="default"/>
          <w:lang w:val="en-US" w:eastAsia="zh-CN"/>
        </w:rPr>
        <w:t>D</w:t>
      </w:r>
      <w:r>
        <w:rPr>
          <w:rFonts w:hint="eastAsia"/>
          <w:lang w:val="en-US" w:eastAsia="zh-CN"/>
        </w:rPr>
        <w:t>—水体透明度</w:t>
      </w:r>
      <w:r>
        <w:rPr>
          <w:rFonts w:hint="default"/>
          <w:lang w:val="en-US" w:eastAsia="zh-CN"/>
        </w:rPr>
        <w:t>（m）</w:t>
      </w:r>
      <w:r>
        <w:rPr>
          <w:rFonts w:hint="eastAsia"/>
          <w:lang w:val="en-US" w:eastAsia="zh-CN"/>
        </w:rPr>
        <w:t>。</w:t>
      </w:r>
    </w:p>
    <w:p>
      <w:pPr>
        <w:pStyle w:val="5"/>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eastAsia="宋体"/>
          <w:color w:val="000000" w:themeColor="text1"/>
          <w:sz w:val="24"/>
          <w:szCs w:val="24"/>
          <w:lang w:val="en-US" w:eastAsia="zh-CN"/>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4.</w:t>
      </w:r>
      <w:r>
        <w:rPr>
          <w:rFonts w:hint="eastAsia"/>
          <w:b/>
          <w:bCs/>
          <w:color w:val="000000" w:themeColor="text1"/>
          <w:sz w:val="24"/>
          <w:szCs w:val="24"/>
          <w:highlight w:val="none"/>
          <w:lang w:val="en-US" w:eastAsia="zh-CN"/>
          <w14:textFill>
            <w14:solidFill>
              <w14:schemeClr w14:val="tx1"/>
            </w14:solidFill>
          </w14:textFill>
        </w:rPr>
        <w:t>2</w:t>
      </w:r>
      <w:r>
        <w:rPr>
          <w:rFonts w:hint="eastAsia"/>
          <w:b/>
          <w:bCs/>
          <w:color w:val="000000" w:themeColor="text1"/>
          <w:sz w:val="24"/>
          <w:szCs w:val="24"/>
          <w:highlight w:val="none"/>
          <w14:textFill>
            <w14:solidFill>
              <w14:schemeClr w14:val="tx1"/>
            </w14:solidFill>
          </w14:textFill>
        </w:rPr>
        <w:t>.</w:t>
      </w:r>
      <w:r>
        <w:rPr>
          <w:rFonts w:hint="eastAsia"/>
          <w:b/>
          <w:bCs/>
          <w:color w:val="000000" w:themeColor="text1"/>
          <w:sz w:val="24"/>
          <w:szCs w:val="24"/>
          <w:highlight w:val="none"/>
          <w:lang w:val="en-US" w:eastAsia="zh-CN"/>
          <w14:textFill>
            <w14:solidFill>
              <w14:schemeClr w14:val="tx1"/>
            </w14:solidFill>
          </w14:textFill>
        </w:rPr>
        <w:t xml:space="preserve">5  </w:t>
      </w:r>
      <w:r>
        <w:rPr>
          <w:rFonts w:hint="eastAsia"/>
          <w:lang w:val="en-US" w:eastAsia="zh-CN"/>
        </w:rPr>
        <w:t>底泥洗脱工艺参数设计中应根据底泥的粒径大小和淤积深度设计底泥洗脱深度和覆盖层厚度，根据底泥污染程度设计底泥洗脱的频次，</w:t>
      </w:r>
      <w:r>
        <w:rPr>
          <w:rFonts w:hint="eastAsia" w:eastAsia="宋体"/>
          <w:color w:val="000000" w:themeColor="text1"/>
          <w:sz w:val="24"/>
          <w:szCs w:val="24"/>
          <w:lang w:val="en-US" w:eastAsia="zh-CN"/>
          <w14:textFill>
            <w14:solidFill>
              <w14:schemeClr w14:val="tx1"/>
            </w14:solidFill>
          </w14:textFill>
        </w:rPr>
        <w:t>应符合表4.2.</w:t>
      </w:r>
      <w:r>
        <w:rPr>
          <w:rFonts w:hint="eastAsia"/>
          <w:color w:val="000000" w:themeColor="text1"/>
          <w:sz w:val="24"/>
          <w:szCs w:val="24"/>
          <w:lang w:val="en-US" w:eastAsia="zh-CN"/>
          <w14:textFill>
            <w14:solidFill>
              <w14:schemeClr w14:val="tx1"/>
            </w14:solidFill>
          </w14:textFill>
        </w:rPr>
        <w:t>5</w:t>
      </w:r>
      <w:r>
        <w:rPr>
          <w:rFonts w:hint="eastAsia" w:eastAsia="宋体"/>
          <w:color w:val="000000" w:themeColor="text1"/>
          <w:sz w:val="24"/>
          <w:szCs w:val="24"/>
          <w:lang w:val="en-US" w:eastAsia="zh-CN"/>
          <w14:textFill>
            <w14:solidFill>
              <w14:schemeClr w14:val="tx1"/>
            </w14:solidFill>
          </w14:textFill>
        </w:rPr>
        <w:t>-1和表4.2.</w:t>
      </w:r>
      <w:r>
        <w:rPr>
          <w:rFonts w:hint="eastAsia"/>
          <w:color w:val="000000" w:themeColor="text1"/>
          <w:sz w:val="24"/>
          <w:szCs w:val="24"/>
          <w:lang w:val="en-US" w:eastAsia="zh-CN"/>
          <w14:textFill>
            <w14:solidFill>
              <w14:schemeClr w14:val="tx1"/>
            </w14:solidFill>
          </w14:textFill>
        </w:rPr>
        <w:t>5</w:t>
      </w:r>
      <w:r>
        <w:rPr>
          <w:rFonts w:hint="eastAsia" w:eastAsia="宋体"/>
          <w:color w:val="000000" w:themeColor="text1"/>
          <w:sz w:val="24"/>
          <w:szCs w:val="24"/>
          <w:lang w:val="en-US" w:eastAsia="zh-CN"/>
          <w14:textFill>
            <w14:solidFill>
              <w14:schemeClr w14:val="tx1"/>
            </w14:solidFill>
          </w14:textFill>
        </w:rPr>
        <w:t>-2的规定。</w:t>
      </w:r>
    </w:p>
    <w:p>
      <w:pPr>
        <w:ind w:left="0" w:leftChars="0" w:firstLine="0" w:firstLineChars="0"/>
        <w:jc w:val="center"/>
        <w:rPr>
          <w:rFonts w:hint="default" w:ascii="宋体" w:hAnsi="宋体" w:eastAsia="宋体" w:cs="宋体"/>
          <w:b/>
          <w:bCs/>
          <w:sz w:val="21"/>
          <w:szCs w:val="21"/>
          <w:lang w:val="en-US" w:eastAsia="zh-CN"/>
        </w:rPr>
      </w:pPr>
      <w:r>
        <w:rPr>
          <w:rFonts w:hint="eastAsia" w:ascii="宋体" w:hAnsi="宋体" w:eastAsia="宋体" w:cs="宋体"/>
          <w:b/>
          <w:bCs/>
          <w:sz w:val="21"/>
          <w:szCs w:val="21"/>
          <w:lang w:val="en-US" w:eastAsia="zh-CN"/>
        </w:rPr>
        <w:t>表</w:t>
      </w:r>
      <w:r>
        <w:rPr>
          <w:rFonts w:hint="default" w:ascii="Times New Roman" w:hAnsi="Times New Roman" w:eastAsia="宋体" w:cs="Times New Roman"/>
          <w:b/>
          <w:bCs/>
          <w:sz w:val="21"/>
          <w:szCs w:val="21"/>
          <w:lang w:val="en-US" w:eastAsia="zh-CN"/>
        </w:rPr>
        <w:t>4.</w:t>
      </w:r>
      <w:r>
        <w:rPr>
          <w:rFonts w:hint="eastAsia" w:ascii="Times New Roman" w:hAnsi="Times New Roman" w:eastAsia="宋体" w:cs="Times New Roman"/>
          <w:b/>
          <w:bCs/>
          <w:sz w:val="21"/>
          <w:szCs w:val="21"/>
          <w:lang w:val="en-US" w:eastAsia="zh-CN"/>
        </w:rPr>
        <w:t>2.</w:t>
      </w:r>
      <w:r>
        <w:rPr>
          <w:rFonts w:hint="eastAsia" w:cs="Times New Roman"/>
          <w:b/>
          <w:bCs/>
          <w:sz w:val="21"/>
          <w:szCs w:val="21"/>
          <w:lang w:val="en-US" w:eastAsia="zh-CN"/>
        </w:rPr>
        <w:t>5</w:t>
      </w:r>
      <w:r>
        <w:rPr>
          <w:rFonts w:hint="eastAsia" w:ascii="Times New Roman" w:hAnsi="Times New Roman" w:eastAsia="宋体" w:cs="Times New Roman"/>
          <w:b/>
          <w:bCs/>
          <w:sz w:val="21"/>
          <w:szCs w:val="21"/>
          <w:lang w:val="en-US" w:eastAsia="zh-CN"/>
        </w:rPr>
        <w:t xml:space="preserve">-1  </w:t>
      </w:r>
      <w:r>
        <w:rPr>
          <w:rFonts w:hint="eastAsia" w:ascii="宋体" w:hAnsi="宋体" w:eastAsia="宋体" w:cs="宋体"/>
          <w:b/>
          <w:bCs/>
          <w:sz w:val="21"/>
          <w:szCs w:val="21"/>
          <w:lang w:val="en-US" w:eastAsia="zh-CN"/>
        </w:rPr>
        <w:t>洗脱深度控制</w:t>
      </w:r>
      <w:r>
        <w:rPr>
          <w:rFonts w:hint="eastAsia" w:ascii="宋体" w:hAnsi="宋体" w:cs="宋体"/>
          <w:b/>
          <w:bCs/>
          <w:sz w:val="21"/>
          <w:szCs w:val="21"/>
          <w:lang w:val="en-US" w:eastAsia="zh-CN"/>
        </w:rPr>
        <w:t>及洗脱上岸量系数</w:t>
      </w:r>
    </w:p>
    <w:tbl>
      <w:tblPr>
        <w:tblStyle w:val="15"/>
        <w:tblW w:w="85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23"/>
        <w:gridCol w:w="1980"/>
        <w:gridCol w:w="1519"/>
        <w:gridCol w:w="1708"/>
        <w:gridCol w:w="18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423" w:type="dxa"/>
            <w:tcBorders>
              <w:tl2br w:val="nil"/>
              <w:tr2bl w:val="nil"/>
            </w:tcBorders>
            <w:vAlign w:val="center"/>
          </w:tcPr>
          <w:p>
            <w:pPr>
              <w:spacing w:line="240" w:lineRule="auto"/>
              <w:ind w:firstLine="0" w:firstLineChars="0"/>
              <w:jc w:val="center"/>
              <w:rPr>
                <w:rFonts w:hint="eastAsia" w:ascii="宋体" w:hAnsi="宋体" w:eastAsia="宋体" w:cs="宋体"/>
                <w:color w:val="000000" w:themeColor="text1"/>
                <w:sz w:val="18"/>
                <w:szCs w:val="18"/>
                <w:lang w:val="en-US" w:eastAsia="zh-CN"/>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淤积厚度</w:t>
            </w:r>
          </w:p>
        </w:tc>
        <w:tc>
          <w:tcPr>
            <w:tcW w:w="1980" w:type="dxa"/>
            <w:tcBorders>
              <w:tl2br w:val="nil"/>
              <w:tr2bl w:val="nil"/>
            </w:tcBorders>
            <w:vAlign w:val="center"/>
          </w:tcPr>
          <w:p>
            <w:pPr>
              <w:spacing w:line="240" w:lineRule="auto"/>
              <w:ind w:firstLine="0" w:firstLineChars="0"/>
              <w:jc w:val="center"/>
              <w:rPr>
                <w:rFonts w:hint="eastAsia" w:ascii="宋体" w:hAnsi="宋体" w:eastAsia="宋体" w:cs="宋体"/>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D50</w:t>
            </w:r>
            <w:r>
              <w:rPr>
                <w:rFonts w:hint="eastAsia" w:ascii="宋体" w:hAnsi="宋体" w:eastAsia="宋体" w:cs="宋体"/>
                <w:color w:val="000000" w:themeColor="text1"/>
                <w:sz w:val="18"/>
                <w:szCs w:val="18"/>
                <w:lang w:val="en-US" w:eastAsia="zh-CN"/>
                <w14:textFill>
                  <w14:solidFill>
                    <w14:schemeClr w14:val="tx1"/>
                  </w14:solidFill>
                </w14:textFill>
              </w:rPr>
              <w:t>粒径</w:t>
            </w:r>
          </w:p>
        </w:tc>
        <w:tc>
          <w:tcPr>
            <w:tcW w:w="1519" w:type="dxa"/>
            <w:tcBorders>
              <w:tl2br w:val="nil"/>
              <w:tr2bl w:val="nil"/>
            </w:tcBorders>
            <w:vAlign w:val="center"/>
          </w:tcPr>
          <w:p>
            <w:pPr>
              <w:spacing w:line="240" w:lineRule="auto"/>
              <w:ind w:firstLine="0" w:firstLineChars="0"/>
              <w:jc w:val="center"/>
              <w:rPr>
                <w:rFonts w:hint="eastAsia" w:ascii="宋体" w:hAnsi="宋体" w:eastAsia="宋体" w:cs="宋体"/>
                <w:color w:val="000000" w:themeColor="text1"/>
                <w:sz w:val="18"/>
                <w:szCs w:val="18"/>
                <w:lang w:val="en-US" w:eastAsia="zh-CN"/>
                <w14:textFill>
                  <w14:solidFill>
                    <w14:schemeClr w14:val="tx1"/>
                  </w14:solidFill>
                </w14:textFill>
              </w:rPr>
            </w:pPr>
            <w:r>
              <w:rPr>
                <w:rFonts w:hint="eastAsia" w:ascii="宋体" w:hAnsi="宋体" w:cs="宋体"/>
                <w:color w:val="000000" w:themeColor="text1"/>
                <w:sz w:val="18"/>
                <w:szCs w:val="18"/>
                <w:lang w:val="en-US" w:eastAsia="zh-CN"/>
                <w14:textFill>
                  <w14:solidFill>
                    <w14:schemeClr w14:val="tx1"/>
                  </w14:solidFill>
                </w14:textFill>
              </w:rPr>
              <w:t>对应洗脱深度</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（D）</w:t>
            </w:r>
          </w:p>
        </w:tc>
        <w:tc>
          <w:tcPr>
            <w:tcW w:w="1708" w:type="dxa"/>
            <w:tcBorders>
              <w:tl2br w:val="nil"/>
              <w:tr2bl w:val="nil"/>
            </w:tcBorders>
            <w:vAlign w:val="center"/>
          </w:tcPr>
          <w:p>
            <w:pPr>
              <w:spacing w:line="240" w:lineRule="auto"/>
              <w:ind w:firstLine="0" w:firstLineChars="0"/>
              <w:jc w:val="center"/>
              <w:rPr>
                <w:rFonts w:hint="default" w:ascii="宋体" w:hAnsi="宋体" w:eastAsia="宋体" w:cs="宋体"/>
                <w:color w:val="000000" w:themeColor="text1"/>
                <w:sz w:val="18"/>
                <w:szCs w:val="18"/>
                <w:lang w:val="en-US" w:eastAsia="zh-CN"/>
                <w14:textFill>
                  <w14:solidFill>
                    <w14:schemeClr w14:val="tx1"/>
                  </w14:solidFill>
                </w14:textFill>
              </w:rPr>
            </w:pPr>
            <w:r>
              <w:rPr>
                <w:rFonts w:hint="eastAsia" w:ascii="宋体" w:hAnsi="宋体" w:cs="宋体"/>
                <w:color w:val="000000" w:themeColor="text1"/>
                <w:sz w:val="18"/>
                <w:szCs w:val="18"/>
                <w:lang w:val="en-US" w:eastAsia="zh-CN"/>
                <w14:textFill>
                  <w14:solidFill>
                    <w14:schemeClr w14:val="tx1"/>
                  </w14:solidFill>
                </w14:textFill>
              </w:rPr>
              <w:t>对应覆盖层厚度（</w:t>
            </w:r>
            <w:r>
              <w:rPr>
                <w:rFonts w:hint="eastAsia" w:ascii="宋体" w:hAnsi="宋体" w:cs="宋体"/>
                <w:b/>
                <w:bCs/>
                <w:color w:val="000000" w:themeColor="text1"/>
                <w:sz w:val="18"/>
                <w:szCs w:val="18"/>
                <w:lang w:val="en-US" w:eastAsia="zh-CN"/>
                <w14:textFill>
                  <w14:solidFill>
                    <w14:schemeClr w14:val="tx1"/>
                  </w14:solidFill>
                </w14:textFill>
              </w:rPr>
              <w:t>F</w:t>
            </w:r>
            <w:r>
              <w:rPr>
                <w:rFonts w:hint="eastAsia" w:ascii="宋体" w:hAnsi="宋体" w:cs="宋体"/>
                <w:color w:val="000000" w:themeColor="text1"/>
                <w:sz w:val="18"/>
                <w:szCs w:val="18"/>
                <w:lang w:val="en-US" w:eastAsia="zh-CN"/>
                <w14:textFill>
                  <w14:solidFill>
                    <w14:schemeClr w14:val="tx1"/>
                  </w14:solidFill>
                </w14:textFill>
              </w:rPr>
              <w:t>）</w:t>
            </w:r>
          </w:p>
        </w:tc>
        <w:tc>
          <w:tcPr>
            <w:tcW w:w="1890" w:type="dxa"/>
            <w:tcBorders>
              <w:tl2br w:val="nil"/>
              <w:tr2bl w:val="nil"/>
            </w:tcBorders>
            <w:vAlign w:val="center"/>
          </w:tcPr>
          <w:p>
            <w:pPr>
              <w:spacing w:line="240" w:lineRule="auto"/>
              <w:ind w:firstLine="0" w:firstLineChars="0"/>
              <w:jc w:val="center"/>
              <w:rPr>
                <w:rFonts w:hint="default" w:ascii="宋体" w:hAnsi="宋体" w:eastAsia="宋体" w:cs="宋体"/>
                <w:color w:val="000000" w:themeColor="text1"/>
                <w:sz w:val="18"/>
                <w:szCs w:val="18"/>
                <w:lang w:val="en-US" w:eastAsia="zh-CN"/>
                <w14:textFill>
                  <w14:solidFill>
                    <w14:schemeClr w14:val="tx1"/>
                  </w14:solidFill>
                </w14:textFill>
              </w:rPr>
            </w:pPr>
            <w:r>
              <w:rPr>
                <w:rFonts w:hint="eastAsia" w:ascii="宋体" w:hAnsi="宋体" w:cs="宋体"/>
                <w:color w:val="000000" w:themeColor="text1"/>
                <w:sz w:val="18"/>
                <w:szCs w:val="18"/>
                <w:lang w:val="en-US" w:eastAsia="zh-CN"/>
                <w14:textFill>
                  <w14:solidFill>
                    <w14:schemeClr w14:val="tx1"/>
                  </w14:solidFill>
                </w14:textFill>
              </w:rPr>
              <w:t>对应污泥产出</w:t>
            </w:r>
            <w:r>
              <w:rPr>
                <w:rFonts w:hint="eastAsia" w:ascii="宋体" w:hAnsi="宋体" w:eastAsia="宋体" w:cs="宋体"/>
                <w:color w:val="000000" w:themeColor="text1"/>
                <w:sz w:val="18"/>
                <w:szCs w:val="18"/>
                <w:lang w:val="en-US" w:eastAsia="zh-CN"/>
                <w14:textFill>
                  <w14:solidFill>
                    <w14:schemeClr w14:val="tx1"/>
                  </w14:solidFill>
                </w14:textFill>
              </w:rPr>
              <w:t>系数（</w:t>
            </w:r>
            <w:r>
              <w:rPr>
                <w:rFonts w:hint="eastAsia" w:ascii="Times New Roman" w:hAnsi="Times New Roman" w:eastAsia="宋体" w:cs="Times New Roman"/>
                <w:color w:val="000000" w:themeColor="text1"/>
                <w:sz w:val="18"/>
                <w:szCs w:val="18"/>
                <w:lang w:val="en-US" w:eastAsia="zh-CN"/>
                <w14:textFill>
                  <w14:solidFill>
                    <w14:schemeClr w14:val="tx1"/>
                  </w14:solidFill>
                </w14:textFill>
              </w:rPr>
              <w:t>V</w:t>
            </w:r>
            <w:r>
              <w:rPr>
                <w:rFonts w:hint="eastAsia" w:ascii="宋体" w:hAnsi="宋体" w:eastAsia="宋体" w:cs="宋体"/>
                <w:color w:val="000000" w:themeColor="text1"/>
                <w:sz w:val="18"/>
                <w:szCs w:val="18"/>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423" w:type="dxa"/>
            <w:vMerge w:val="restar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0-20cm</w:t>
            </w:r>
          </w:p>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p>
        </w:tc>
        <w:tc>
          <w:tcPr>
            <w:tcW w:w="198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D50</w:t>
            </w:r>
            <w:r>
              <w:rPr>
                <w:rFonts w:hint="default" w:ascii="宋体" w:hAnsi="宋体" w:eastAsia="宋体" w:cs="宋体"/>
                <w:color w:val="auto"/>
                <w:sz w:val="18"/>
                <w:szCs w:val="18"/>
              </w:rPr>
              <w:t>≤</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20μm</w:t>
            </w:r>
          </w:p>
        </w:tc>
        <w:tc>
          <w:tcPr>
            <w:tcW w:w="151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20cm</w:t>
            </w:r>
          </w:p>
        </w:tc>
        <w:tc>
          <w:tcPr>
            <w:tcW w:w="17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5</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cm</w:t>
            </w:r>
          </w:p>
        </w:tc>
        <w:tc>
          <w:tcPr>
            <w:tcW w:w="189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0.16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423" w:type="dxa"/>
            <w:vMerge w:val="continue"/>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p>
        </w:tc>
        <w:tc>
          <w:tcPr>
            <w:tcW w:w="198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20μm＜D50</w:t>
            </w:r>
            <w:r>
              <w:rPr>
                <w:rFonts w:hint="default" w:ascii="宋体" w:hAnsi="宋体" w:eastAsia="宋体" w:cs="宋体"/>
                <w:color w:val="auto"/>
                <w:sz w:val="18"/>
                <w:szCs w:val="18"/>
              </w:rPr>
              <w:t>≤</w:t>
            </w:r>
            <w:r>
              <w:rPr>
                <w:rFonts w:hint="eastAsia" w:cs="Times New Roman"/>
                <w:color w:val="000000" w:themeColor="text1"/>
                <w:sz w:val="18"/>
                <w:szCs w:val="18"/>
                <w:lang w:val="en-US" w:eastAsia="zh-CN"/>
                <w14:textFill>
                  <w14:solidFill>
                    <w14:schemeClr w14:val="tx1"/>
                  </w14:solidFill>
                </w14:textFill>
              </w:rPr>
              <w:t>5</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0μm</w:t>
            </w:r>
          </w:p>
        </w:tc>
        <w:tc>
          <w:tcPr>
            <w:tcW w:w="151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15cm</w:t>
            </w:r>
          </w:p>
        </w:tc>
        <w:tc>
          <w:tcPr>
            <w:tcW w:w="17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7.5</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cm</w:t>
            </w:r>
          </w:p>
        </w:tc>
        <w:tc>
          <w:tcPr>
            <w:tcW w:w="189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423" w:type="dxa"/>
            <w:vMerge w:val="continue"/>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p>
        </w:tc>
        <w:tc>
          <w:tcPr>
            <w:tcW w:w="198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D50＞</w:t>
            </w:r>
            <w:r>
              <w:rPr>
                <w:rFonts w:hint="eastAsia" w:cs="Times New Roman"/>
                <w:color w:val="000000" w:themeColor="text1"/>
                <w:sz w:val="18"/>
                <w:szCs w:val="18"/>
                <w:lang w:val="en-US" w:eastAsia="zh-CN"/>
                <w14:textFill>
                  <w14:solidFill>
                    <w14:schemeClr w14:val="tx1"/>
                  </w14:solidFill>
                </w14:textFill>
              </w:rPr>
              <w:t>5</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0μm</w:t>
            </w:r>
          </w:p>
        </w:tc>
        <w:tc>
          <w:tcPr>
            <w:tcW w:w="151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10cm</w:t>
            </w:r>
          </w:p>
        </w:tc>
        <w:tc>
          <w:tcPr>
            <w:tcW w:w="17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8</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cm</w:t>
            </w:r>
          </w:p>
        </w:tc>
        <w:tc>
          <w:tcPr>
            <w:tcW w:w="189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0.04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423" w:type="dxa"/>
            <w:vMerge w:val="restar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20-60cm</w:t>
            </w:r>
          </w:p>
        </w:tc>
        <w:tc>
          <w:tcPr>
            <w:tcW w:w="198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D50</w:t>
            </w:r>
            <w:r>
              <w:rPr>
                <w:rFonts w:hint="default" w:ascii="宋体" w:hAnsi="宋体" w:eastAsia="宋体" w:cs="宋体"/>
                <w:color w:val="auto"/>
                <w:sz w:val="18"/>
                <w:szCs w:val="18"/>
              </w:rPr>
              <w:t>≤</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20μm</w:t>
            </w:r>
          </w:p>
        </w:tc>
        <w:tc>
          <w:tcPr>
            <w:tcW w:w="151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30cm</w:t>
            </w:r>
          </w:p>
        </w:tc>
        <w:tc>
          <w:tcPr>
            <w:tcW w:w="17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7.5</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cm</w:t>
            </w:r>
          </w:p>
        </w:tc>
        <w:tc>
          <w:tcPr>
            <w:tcW w:w="189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0.16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423" w:type="dxa"/>
            <w:vMerge w:val="continue"/>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14:textFill>
                  <w14:solidFill>
                    <w14:schemeClr w14:val="tx1"/>
                  </w14:solidFill>
                </w14:textFill>
              </w:rPr>
            </w:pPr>
          </w:p>
        </w:tc>
        <w:tc>
          <w:tcPr>
            <w:tcW w:w="198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20μm＜D50</w:t>
            </w:r>
            <w:r>
              <w:rPr>
                <w:rFonts w:hint="default" w:ascii="宋体" w:hAnsi="宋体" w:eastAsia="宋体" w:cs="宋体"/>
                <w:color w:val="auto"/>
                <w:sz w:val="18"/>
                <w:szCs w:val="18"/>
              </w:rPr>
              <w:t>≤</w:t>
            </w:r>
            <w:r>
              <w:rPr>
                <w:rFonts w:hint="eastAsia" w:cs="Times New Roman"/>
                <w:color w:val="000000" w:themeColor="text1"/>
                <w:sz w:val="18"/>
                <w:szCs w:val="18"/>
                <w:lang w:val="en-US" w:eastAsia="zh-CN"/>
                <w14:textFill>
                  <w14:solidFill>
                    <w14:schemeClr w14:val="tx1"/>
                  </w14:solidFill>
                </w14:textFill>
              </w:rPr>
              <w:t>5</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0μm</w:t>
            </w:r>
          </w:p>
        </w:tc>
        <w:tc>
          <w:tcPr>
            <w:tcW w:w="151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25cm</w:t>
            </w:r>
          </w:p>
        </w:tc>
        <w:tc>
          <w:tcPr>
            <w:tcW w:w="17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12.5</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cm</w:t>
            </w:r>
          </w:p>
        </w:tc>
        <w:tc>
          <w:tcPr>
            <w:tcW w:w="189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423" w:type="dxa"/>
            <w:vMerge w:val="continue"/>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14:textFill>
                  <w14:solidFill>
                    <w14:schemeClr w14:val="tx1"/>
                  </w14:solidFill>
                </w14:textFill>
              </w:rPr>
            </w:pPr>
          </w:p>
        </w:tc>
        <w:tc>
          <w:tcPr>
            <w:tcW w:w="198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D50＞</w:t>
            </w:r>
            <w:r>
              <w:rPr>
                <w:rFonts w:hint="eastAsia" w:cs="Times New Roman"/>
                <w:color w:val="000000" w:themeColor="text1"/>
                <w:sz w:val="18"/>
                <w:szCs w:val="18"/>
                <w:lang w:val="en-US" w:eastAsia="zh-CN"/>
                <w14:textFill>
                  <w14:solidFill>
                    <w14:schemeClr w14:val="tx1"/>
                  </w14:solidFill>
                </w14:textFill>
              </w:rPr>
              <w:t>5</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0μm</w:t>
            </w:r>
          </w:p>
        </w:tc>
        <w:tc>
          <w:tcPr>
            <w:tcW w:w="151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20cm</w:t>
            </w:r>
          </w:p>
        </w:tc>
        <w:tc>
          <w:tcPr>
            <w:tcW w:w="17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16</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cm</w:t>
            </w:r>
          </w:p>
        </w:tc>
        <w:tc>
          <w:tcPr>
            <w:tcW w:w="189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0.04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423" w:type="dxa"/>
            <w:vMerge w:val="restar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60cm以上</w:t>
            </w:r>
          </w:p>
        </w:tc>
        <w:tc>
          <w:tcPr>
            <w:tcW w:w="198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D50</w:t>
            </w:r>
            <w:r>
              <w:rPr>
                <w:rFonts w:hint="default" w:ascii="宋体" w:hAnsi="宋体" w:eastAsia="宋体" w:cs="宋体"/>
                <w:color w:val="auto"/>
                <w:sz w:val="18"/>
                <w:szCs w:val="18"/>
              </w:rPr>
              <w:t>≤</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20μm</w:t>
            </w:r>
          </w:p>
        </w:tc>
        <w:tc>
          <w:tcPr>
            <w:tcW w:w="151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40cm</w:t>
            </w:r>
          </w:p>
        </w:tc>
        <w:tc>
          <w:tcPr>
            <w:tcW w:w="17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8</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cm</w:t>
            </w:r>
          </w:p>
        </w:tc>
        <w:tc>
          <w:tcPr>
            <w:tcW w:w="189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0.16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423" w:type="dxa"/>
            <w:vMerge w:val="continue"/>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p>
        </w:tc>
        <w:tc>
          <w:tcPr>
            <w:tcW w:w="198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20μm＜D50</w:t>
            </w:r>
            <w:r>
              <w:rPr>
                <w:rFonts w:hint="default" w:ascii="宋体" w:hAnsi="宋体" w:eastAsia="宋体" w:cs="宋体"/>
                <w:color w:val="auto"/>
                <w:sz w:val="18"/>
                <w:szCs w:val="18"/>
              </w:rPr>
              <w:t>≤</w:t>
            </w:r>
            <w:r>
              <w:rPr>
                <w:rFonts w:hint="eastAsia" w:cs="Times New Roman"/>
                <w:color w:val="000000" w:themeColor="text1"/>
                <w:sz w:val="18"/>
                <w:szCs w:val="18"/>
                <w:lang w:val="en-US" w:eastAsia="zh-CN"/>
                <w14:textFill>
                  <w14:solidFill>
                    <w14:schemeClr w14:val="tx1"/>
                  </w14:solidFill>
                </w14:textFill>
              </w:rPr>
              <w:t>5</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0μm</w:t>
            </w:r>
          </w:p>
        </w:tc>
        <w:tc>
          <w:tcPr>
            <w:tcW w:w="151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30cm</w:t>
            </w:r>
          </w:p>
        </w:tc>
        <w:tc>
          <w:tcPr>
            <w:tcW w:w="17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15</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cm</w:t>
            </w:r>
          </w:p>
        </w:tc>
        <w:tc>
          <w:tcPr>
            <w:tcW w:w="189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423" w:type="dxa"/>
            <w:vMerge w:val="continue"/>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p>
        </w:tc>
        <w:tc>
          <w:tcPr>
            <w:tcW w:w="198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D50＞</w:t>
            </w:r>
            <w:r>
              <w:rPr>
                <w:rFonts w:hint="eastAsia" w:cs="Times New Roman"/>
                <w:color w:val="000000" w:themeColor="text1"/>
                <w:sz w:val="18"/>
                <w:szCs w:val="18"/>
                <w:lang w:val="en-US" w:eastAsia="zh-CN"/>
                <w14:textFill>
                  <w14:solidFill>
                    <w14:schemeClr w14:val="tx1"/>
                  </w14:solidFill>
                </w14:textFill>
              </w:rPr>
              <w:t>5</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0μm</w:t>
            </w:r>
          </w:p>
        </w:tc>
        <w:tc>
          <w:tcPr>
            <w:tcW w:w="151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20cm</w:t>
            </w:r>
          </w:p>
        </w:tc>
        <w:tc>
          <w:tcPr>
            <w:tcW w:w="17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16</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cm</w:t>
            </w:r>
          </w:p>
        </w:tc>
        <w:tc>
          <w:tcPr>
            <w:tcW w:w="189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0.04</w:t>
            </w:r>
          </w:p>
        </w:tc>
      </w:tr>
    </w:tbl>
    <w:p>
      <w:pPr>
        <w:ind w:left="0" w:leftChars="0" w:firstLine="0" w:firstLineChars="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表</w:t>
      </w:r>
      <w:r>
        <w:rPr>
          <w:rFonts w:hint="default" w:ascii="Times New Roman" w:hAnsi="Times New Roman" w:eastAsia="宋体" w:cs="Times New Roman"/>
          <w:b/>
          <w:bCs/>
          <w:sz w:val="21"/>
          <w:szCs w:val="21"/>
          <w:lang w:val="en-US" w:eastAsia="zh-CN"/>
        </w:rPr>
        <w:t>4.</w:t>
      </w:r>
      <w:r>
        <w:rPr>
          <w:rFonts w:hint="eastAsia" w:ascii="Times New Roman" w:hAnsi="Times New Roman" w:eastAsia="宋体" w:cs="Times New Roman"/>
          <w:b/>
          <w:bCs/>
          <w:sz w:val="21"/>
          <w:szCs w:val="21"/>
          <w:lang w:val="en-US" w:eastAsia="zh-CN"/>
        </w:rPr>
        <w:t>2.</w:t>
      </w:r>
      <w:r>
        <w:rPr>
          <w:rFonts w:hint="eastAsia" w:cs="Times New Roman"/>
          <w:b/>
          <w:bCs/>
          <w:sz w:val="21"/>
          <w:szCs w:val="21"/>
          <w:lang w:val="en-US" w:eastAsia="zh-CN"/>
        </w:rPr>
        <w:t>5</w:t>
      </w:r>
      <w:r>
        <w:rPr>
          <w:rFonts w:hint="eastAsia" w:ascii="Times New Roman" w:hAnsi="Times New Roman" w:eastAsia="宋体" w:cs="Times New Roman"/>
          <w:b/>
          <w:bCs/>
          <w:sz w:val="21"/>
          <w:szCs w:val="21"/>
          <w:lang w:val="en-US" w:eastAsia="zh-CN"/>
        </w:rPr>
        <w:t>-2</w:t>
      </w:r>
      <w:r>
        <w:rPr>
          <w:rFonts w:hint="default" w:ascii="Times New Roman" w:hAnsi="Times New Roman" w:eastAsia="宋体" w:cs="Times New Roman"/>
          <w:b/>
          <w:bCs/>
          <w:sz w:val="21"/>
          <w:szCs w:val="21"/>
          <w:lang w:val="en-US" w:eastAsia="zh-CN"/>
        </w:rPr>
        <w:t xml:space="preserve"> </w:t>
      </w:r>
      <w:r>
        <w:rPr>
          <w:rFonts w:hint="eastAsia" w:ascii="宋体" w:hAnsi="宋体" w:eastAsia="宋体" w:cs="宋体"/>
          <w:b/>
          <w:bCs/>
          <w:sz w:val="21"/>
          <w:szCs w:val="21"/>
          <w:lang w:val="en-US" w:eastAsia="zh-CN"/>
        </w:rPr>
        <w:t xml:space="preserve"> 洗脱</w:t>
      </w:r>
      <w:r>
        <w:rPr>
          <w:rFonts w:hint="eastAsia" w:ascii="宋体" w:hAnsi="宋体" w:cs="宋体"/>
          <w:b/>
          <w:bCs/>
          <w:sz w:val="21"/>
          <w:szCs w:val="21"/>
          <w:lang w:val="en-US" w:eastAsia="zh-CN"/>
        </w:rPr>
        <w:t>频次</w:t>
      </w:r>
      <w:r>
        <w:rPr>
          <w:rFonts w:hint="eastAsia" w:ascii="宋体" w:hAnsi="宋体" w:eastAsia="宋体" w:cs="宋体"/>
          <w:b/>
          <w:bCs/>
          <w:sz w:val="21"/>
          <w:szCs w:val="21"/>
          <w:lang w:val="en-US" w:eastAsia="zh-CN"/>
        </w:rPr>
        <w:t>控制</w:t>
      </w:r>
    </w:p>
    <w:tbl>
      <w:tblPr>
        <w:tblStyle w:val="15"/>
        <w:tblW w:w="8422" w:type="dxa"/>
        <w:tblInd w:w="7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834"/>
        <w:gridCol w:w="1856"/>
        <w:gridCol w:w="1743"/>
        <w:gridCol w:w="19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2834"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底泥营养盐污染程度</w:t>
            </w:r>
          </w:p>
        </w:tc>
        <w:tc>
          <w:tcPr>
            <w:tcW w:w="1856" w:type="dxa"/>
            <w:tcBorders>
              <w:tl2br w:val="nil"/>
              <w:tr2bl w:val="nil"/>
            </w:tcBorders>
            <w:vAlign w:val="center"/>
          </w:tcPr>
          <w:p>
            <w:pPr>
              <w:spacing w:line="240" w:lineRule="auto"/>
              <w:ind w:firstLine="0" w:firstLineChars="0"/>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轻度污染</w:t>
            </w:r>
          </w:p>
        </w:tc>
        <w:tc>
          <w:tcPr>
            <w:tcW w:w="1743"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中度污染</w:t>
            </w:r>
          </w:p>
        </w:tc>
        <w:tc>
          <w:tcPr>
            <w:tcW w:w="1989"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重度污染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2834"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洗脱频次</w:t>
            </w:r>
          </w:p>
        </w:tc>
        <w:tc>
          <w:tcPr>
            <w:tcW w:w="185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1次</w:t>
            </w:r>
          </w:p>
        </w:tc>
        <w:tc>
          <w:tcPr>
            <w:tcW w:w="1743"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2次</w:t>
            </w:r>
          </w:p>
        </w:tc>
        <w:tc>
          <w:tcPr>
            <w:tcW w:w="198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3次</w:t>
            </w:r>
          </w:p>
        </w:tc>
      </w:tr>
    </w:tbl>
    <w:p>
      <w:pPr>
        <w:pStyle w:val="30"/>
        <w:spacing w:line="360" w:lineRule="auto"/>
        <w:ind w:left="0" w:leftChars="0" w:firstLine="0" w:firstLineChars="0"/>
        <w:rPr>
          <w:rStyle w:val="29"/>
          <w:rFonts w:hint="eastAsia" w:ascii="Times New Roman" w:hAnsi="Times New Roman" w:eastAsia="华文楷体" w:cs="Times New Roman"/>
          <w:bCs/>
          <w:color w:val="auto"/>
          <w:kern w:val="2"/>
          <w:sz w:val="21"/>
          <w:szCs w:val="21"/>
          <w:lang w:val="en-US" w:eastAsia="zh-CN" w:bidi="ar-SA"/>
        </w:rPr>
      </w:pPr>
      <w:r>
        <w:rPr>
          <w:rStyle w:val="29"/>
          <w:rFonts w:hint="eastAsia" w:ascii="Times New Roman" w:hAnsi="Times New Roman" w:eastAsia="华文楷体" w:cs="Times New Roman"/>
          <w:bCs/>
          <w:color w:val="auto"/>
          <w:kern w:val="2"/>
          <w:sz w:val="21"/>
          <w:szCs w:val="21"/>
          <w:lang w:val="en-US" w:eastAsia="zh-CN" w:bidi="ar-SA"/>
        </w:rPr>
        <w:t>【条文说明】底质按底泥粒度大小可分为黏土（0μm～4μm）、粉砂（4μm～63μm）、砂（63μm～-2000μm）三个粒级类型。底泥洗脱通过对表层底泥进行机械搅动、曝气、水力冲刷等，打破水-沉积物界面的固液相平衡，使底泥中密度较小且通常为有机物质的部分进入水相并将这部分混合相转移进行异位处理，余下大颗粒部分沉降形成覆盖层，在一定程度上阻止了深层污染物释放。底泥洗脱处理底泥物理性状结构目标是处理后底泥中砂占比显著提高，黏土和粉砂占比显著降低。洗脱后底泥粒径占比75μm达到50%及以上。</w:t>
      </w:r>
    </w:p>
    <w:p>
      <w:pPr>
        <w:ind w:left="0" w:leftChars="0" w:firstLine="0" w:firstLineChars="0"/>
        <w:rPr>
          <w:rFonts w:hint="eastAsia"/>
          <w:lang w:val="en-US" w:eastAsia="zh-CN"/>
        </w:rPr>
      </w:pPr>
      <w:r>
        <w:rPr>
          <w:rFonts w:hint="eastAsia"/>
          <w:b/>
          <w:bCs/>
          <w:lang w:val="en-US" w:eastAsia="zh-CN"/>
        </w:rPr>
        <w:t>4.2.6</w:t>
      </w:r>
      <w:r>
        <w:rPr>
          <w:rFonts w:hint="eastAsia"/>
          <w:lang w:val="en-US" w:eastAsia="zh-CN"/>
        </w:rPr>
        <w:t xml:space="preserve">  底泥洗脱总体工程量计算宜按下列公式计算：</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baseline"/>
        <w:rPr>
          <w:rFonts w:hint="default" w:cs="Times New Roman"/>
          <w:color w:val="FF0000"/>
          <w:lang w:val="en-US" w:eastAsia="zh-CN"/>
        </w:rPr>
      </w:pPr>
      <w:r>
        <w:rPr>
          <w:rFonts w:hint="eastAsia" w:cs="Times New Roman"/>
          <w:color w:val="FF0000"/>
          <w:position w:val="-28"/>
          <w:lang w:val="en-US" w:eastAsia="zh-CN"/>
        </w:rPr>
        <w:t xml:space="preserve">                             </w:t>
      </w:r>
      <w:r>
        <w:rPr>
          <w:rFonts w:hint="default" w:cs="Times New Roman"/>
          <w:color w:val="FF0000"/>
          <w:position w:val="-28"/>
          <w:lang w:val="en-US" w:eastAsia="zh-CN"/>
        </w:rPr>
        <w:object>
          <v:shape id="_x0000_i1025" o:spt="75" type="#_x0000_t75" style="height:34pt;width:96.95pt;" o:ole="t" filled="f" o:preferrelative="t" stroked="f" coordsize="21600,21600">
            <v:path/>
            <v:fill on="f" focussize="0,0"/>
            <v:stroke on="f"/>
            <v:imagedata r:id="rId26" o:title=""/>
            <o:lock v:ext="edit" aspectratio="t"/>
            <w10:wrap type="none"/>
            <w10:anchorlock/>
          </v:shape>
          <o:OLEObject Type="Embed" ProgID="Equation.KSEE3" ShapeID="_x0000_i1025" DrawAspect="Content" ObjectID="_1468075725" r:id="rId25">
            <o:LockedField>false</o:LockedField>
          </o:OLEObject>
        </w:object>
      </w:r>
      <w:r>
        <w:rPr>
          <w:rFonts w:hint="eastAsia" w:cs="Times New Roman"/>
          <w:color w:val="FF0000"/>
          <w:position w:val="-28"/>
          <w:lang w:val="en-US" w:eastAsia="zh-CN"/>
        </w:rPr>
        <w:t xml:space="preserve">                         </w:t>
      </w:r>
      <w:r>
        <w:rPr>
          <w:rFonts w:hint="default" w:ascii="Times New Roman" w:hAnsi="Times New Roman" w:cs="Times New Roman"/>
          <w:color w:val="auto"/>
          <w:position w:val="-28"/>
          <w:sz w:val="24"/>
          <w:szCs w:val="24"/>
          <w:lang w:val="en-US" w:eastAsia="zh-CN"/>
        </w:rPr>
        <w:t>（4.</w:t>
      </w:r>
      <w:r>
        <w:rPr>
          <w:rFonts w:hint="eastAsia" w:ascii="Times New Roman" w:hAnsi="Times New Roman" w:cs="Times New Roman"/>
          <w:color w:val="auto"/>
          <w:position w:val="-28"/>
          <w:sz w:val="24"/>
          <w:szCs w:val="24"/>
          <w:lang w:val="en-US" w:eastAsia="zh-CN"/>
        </w:rPr>
        <w:t>2</w:t>
      </w:r>
      <w:r>
        <w:rPr>
          <w:rFonts w:hint="default" w:ascii="Times New Roman" w:hAnsi="Times New Roman" w:cs="Times New Roman"/>
          <w:color w:val="auto"/>
          <w:position w:val="-28"/>
          <w:sz w:val="24"/>
          <w:szCs w:val="24"/>
          <w:lang w:val="en-US" w:eastAsia="zh-CN"/>
        </w:rPr>
        <w:t>.</w:t>
      </w:r>
      <w:r>
        <w:rPr>
          <w:rFonts w:hint="eastAsia" w:ascii="Times New Roman" w:hAnsi="Times New Roman" w:cs="Times New Roman"/>
          <w:color w:val="auto"/>
          <w:position w:val="-28"/>
          <w:sz w:val="24"/>
          <w:szCs w:val="24"/>
          <w:lang w:val="en-US" w:eastAsia="zh-CN"/>
        </w:rPr>
        <w:t>6</w:t>
      </w:r>
      <w:r>
        <w:rPr>
          <w:rFonts w:hint="default" w:ascii="Times New Roman" w:hAnsi="Times New Roman" w:cs="Times New Roman"/>
          <w:color w:val="auto"/>
          <w:position w:val="-28"/>
          <w:sz w:val="24"/>
          <w:szCs w:val="24"/>
          <w:lang w:val="en-US" w:eastAsia="zh-CN"/>
        </w:rPr>
        <w:t>）</w:t>
      </w:r>
      <w:r>
        <w:rPr>
          <w:rFonts w:hint="eastAsia" w:cs="Times New Roman"/>
          <w:color w:val="FF0000"/>
          <w:position w:val="-28"/>
          <w:lang w:val="en-US" w:eastAsia="zh-CN"/>
        </w:rPr>
        <w:t xml:space="preserve">                       </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baseline"/>
        <w:rPr>
          <w:rFonts w:hint="eastAsia" w:eastAsia="宋体" w:cs="Times New Roman"/>
          <w:color w:val="auto"/>
          <w:sz w:val="24"/>
          <w:szCs w:val="24"/>
          <w:lang w:val="en-US" w:eastAsia="zh-CN"/>
        </w:rPr>
      </w:pPr>
      <w:r>
        <w:rPr>
          <w:rFonts w:hint="eastAsia" w:eastAsia="宋体" w:cs="Times New Roman"/>
          <w:color w:val="auto"/>
          <w:sz w:val="24"/>
          <w:szCs w:val="24"/>
          <w:lang w:val="en-US" w:eastAsia="zh-CN"/>
        </w:rPr>
        <w:t>式中：</w:t>
      </w:r>
      <w:r>
        <w:rPr>
          <w:rFonts w:hint="default" w:ascii="Times New Roman" w:hAnsi="Times New Roman" w:eastAsia="宋体" w:cs="Times New Roman"/>
          <w:color w:val="auto"/>
          <w:sz w:val="24"/>
          <w:szCs w:val="24"/>
          <w:lang w:val="en-US" w:eastAsia="zh-CN"/>
        </w:rPr>
        <w:t>D</w:t>
      </w:r>
      <w:r>
        <w:rPr>
          <w:rFonts w:hint="default" w:ascii="Times New Roman" w:hAnsi="Times New Roman" w:eastAsia="宋体" w:cs="Times New Roman"/>
          <w:color w:val="auto"/>
          <w:sz w:val="24"/>
          <w:szCs w:val="24"/>
          <w:vertAlign w:val="subscript"/>
          <w:lang w:val="en-US" w:eastAsia="zh-CN"/>
        </w:rPr>
        <w:t>n</w:t>
      </w:r>
      <w:r>
        <w:rPr>
          <w:rFonts w:hint="eastAsia" w:eastAsia="宋体" w:cs="Times New Roman"/>
          <w:color w:val="auto"/>
          <w:sz w:val="24"/>
          <w:szCs w:val="24"/>
          <w:vertAlign w:val="baseline"/>
          <w:lang w:val="en-US" w:eastAsia="zh-CN"/>
        </w:rPr>
        <w:t>—</w:t>
      </w:r>
      <w:r>
        <w:rPr>
          <w:rFonts w:hint="eastAsia" w:eastAsia="宋体" w:cs="Times New Roman"/>
          <w:color w:val="auto"/>
          <w:sz w:val="24"/>
          <w:szCs w:val="24"/>
          <w:lang w:val="en-US" w:eastAsia="zh-CN"/>
        </w:rPr>
        <w:t>第</w:t>
      </w:r>
      <w:r>
        <w:rPr>
          <w:rFonts w:hint="default" w:ascii="Times New Roman" w:hAnsi="Times New Roman" w:eastAsia="宋体" w:cs="Times New Roman"/>
          <w:color w:val="auto"/>
          <w:sz w:val="24"/>
          <w:szCs w:val="24"/>
          <w:lang w:val="en-US" w:eastAsia="zh-CN"/>
        </w:rPr>
        <w:t>n</w:t>
      </w:r>
      <w:r>
        <w:rPr>
          <w:rFonts w:hint="eastAsia" w:eastAsia="宋体" w:cs="Times New Roman"/>
          <w:color w:val="auto"/>
          <w:sz w:val="24"/>
          <w:szCs w:val="24"/>
          <w:lang w:val="en-US" w:eastAsia="zh-CN"/>
        </w:rPr>
        <w:t>块区域洗脱深度（</w:t>
      </w:r>
      <w:r>
        <w:rPr>
          <w:rFonts w:hint="default" w:ascii="Times New Roman" w:hAnsi="Times New Roman" w:eastAsia="宋体" w:cs="Times New Roman"/>
          <w:color w:val="auto"/>
          <w:sz w:val="24"/>
          <w:szCs w:val="24"/>
          <w:lang w:val="en-US" w:eastAsia="zh-CN"/>
        </w:rPr>
        <w:t>m</w:t>
      </w:r>
      <w:r>
        <w:rPr>
          <w:rFonts w:hint="eastAsia" w:eastAsia="宋体" w:cs="Times New Roman"/>
          <w:color w:val="auto"/>
          <w:sz w:val="24"/>
          <w:szCs w:val="24"/>
          <w:lang w:val="en-US" w:eastAsia="zh-CN"/>
        </w:rPr>
        <w:t>）；</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baseline"/>
        <w:rPr>
          <w:rFonts w:hint="eastAsia" w:eastAsia="宋体" w:cs="Times New Roman"/>
          <w:color w:val="auto"/>
          <w:sz w:val="24"/>
          <w:szCs w:val="24"/>
          <w:lang w:val="en-US" w:eastAsia="zh-CN"/>
        </w:rPr>
      </w:pPr>
      <w:r>
        <w:rPr>
          <w:rFonts w:hint="eastAsia"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lang w:val="en-US" w:eastAsia="zh-CN"/>
        </w:rPr>
        <w:t>S</w:t>
      </w:r>
      <w:r>
        <w:rPr>
          <w:rFonts w:hint="eastAsia" w:ascii="Times New Roman" w:hAnsi="Times New Roman" w:eastAsia="宋体" w:cs="Times New Roman"/>
          <w:color w:val="auto"/>
          <w:sz w:val="24"/>
          <w:szCs w:val="24"/>
          <w:vertAlign w:val="subscript"/>
          <w:lang w:val="en-US" w:eastAsia="zh-CN"/>
        </w:rPr>
        <w:t>n</w:t>
      </w:r>
      <w:r>
        <w:rPr>
          <w:rFonts w:hint="eastAsia" w:eastAsia="宋体" w:cs="Times New Roman"/>
          <w:color w:val="auto"/>
          <w:sz w:val="24"/>
          <w:szCs w:val="24"/>
          <w:vertAlign w:val="baseline"/>
          <w:lang w:val="en-US" w:eastAsia="zh-CN"/>
        </w:rPr>
        <w:t>—</w:t>
      </w:r>
      <w:r>
        <w:rPr>
          <w:rFonts w:hint="eastAsia" w:eastAsia="宋体" w:cs="Times New Roman"/>
          <w:color w:val="auto"/>
          <w:sz w:val="24"/>
          <w:szCs w:val="24"/>
          <w:lang w:val="en-US" w:eastAsia="zh-CN"/>
        </w:rPr>
        <w:t>第</w:t>
      </w:r>
      <w:r>
        <w:rPr>
          <w:rFonts w:hint="eastAsia" w:ascii="Times New Roman" w:hAnsi="Times New Roman" w:eastAsia="宋体" w:cs="Times New Roman"/>
          <w:color w:val="auto"/>
          <w:sz w:val="24"/>
          <w:szCs w:val="24"/>
          <w:lang w:val="en-US" w:eastAsia="zh-CN"/>
        </w:rPr>
        <w:t>n</w:t>
      </w:r>
      <w:r>
        <w:rPr>
          <w:rFonts w:hint="eastAsia" w:eastAsia="宋体" w:cs="Times New Roman"/>
          <w:color w:val="auto"/>
          <w:sz w:val="24"/>
          <w:szCs w:val="24"/>
          <w:lang w:val="en-US" w:eastAsia="zh-CN"/>
        </w:rPr>
        <w:t>块区域的洗脱面积（</w:t>
      </w:r>
      <w:r>
        <w:rPr>
          <w:rFonts w:hint="default" w:ascii="Times New Roman" w:hAnsi="Times New Roman" w:eastAsia="宋体" w:cs="Times New Roman"/>
          <w:color w:val="auto"/>
          <w:sz w:val="24"/>
          <w:szCs w:val="24"/>
          <w:lang w:val="en-US" w:eastAsia="zh-CN"/>
        </w:rPr>
        <w:t>m</w:t>
      </w:r>
      <w:r>
        <w:rPr>
          <w:rFonts w:hint="eastAsia" w:ascii="Times New Roman" w:hAnsi="Times New Roman" w:eastAsia="宋体" w:cs="Times New Roman"/>
          <w:color w:val="auto"/>
          <w:sz w:val="24"/>
          <w:szCs w:val="24"/>
          <w:vertAlign w:val="superscript"/>
          <w:lang w:val="en-US" w:eastAsia="zh-CN"/>
        </w:rPr>
        <w:t>2</w:t>
      </w:r>
      <w:r>
        <w:rPr>
          <w:rFonts w:hint="eastAsia" w:eastAsia="宋体" w:cs="Times New Roman"/>
          <w:color w:val="auto"/>
          <w:sz w:val="24"/>
          <w:szCs w:val="24"/>
          <w:lang w:val="en-US" w:eastAsia="zh-CN"/>
        </w:rPr>
        <w:t>）；</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baseline"/>
        <w:rPr>
          <w:rFonts w:hint="eastAsia" w:eastAsia="宋体" w:cs="Times New Roman"/>
          <w:color w:val="auto"/>
          <w:sz w:val="24"/>
          <w:szCs w:val="24"/>
          <w:lang w:val="en-US" w:eastAsia="zh-CN"/>
        </w:rPr>
      </w:pPr>
      <w:r>
        <w:rPr>
          <w:rFonts w:hint="eastAsia"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lang w:val="en-US" w:eastAsia="zh-CN"/>
        </w:rPr>
        <w:t>P</w:t>
      </w:r>
      <w:r>
        <w:rPr>
          <w:rFonts w:hint="eastAsia" w:ascii="Times New Roman" w:hAnsi="Times New Roman" w:eastAsia="宋体" w:cs="Times New Roman"/>
          <w:color w:val="auto"/>
          <w:sz w:val="24"/>
          <w:szCs w:val="24"/>
          <w:vertAlign w:val="subscript"/>
          <w:lang w:val="en-US" w:eastAsia="zh-CN"/>
        </w:rPr>
        <w:t>n</w:t>
      </w:r>
      <w:r>
        <w:rPr>
          <w:rFonts w:hint="eastAsia" w:eastAsia="宋体" w:cs="Times New Roman"/>
          <w:color w:val="auto"/>
          <w:sz w:val="24"/>
          <w:szCs w:val="24"/>
          <w:vertAlign w:val="baseline"/>
          <w:lang w:val="en-US" w:eastAsia="zh-CN"/>
        </w:rPr>
        <w:t>—</w:t>
      </w:r>
      <w:r>
        <w:rPr>
          <w:rFonts w:hint="eastAsia" w:eastAsia="宋体" w:cs="Times New Roman"/>
          <w:color w:val="auto"/>
          <w:sz w:val="24"/>
          <w:szCs w:val="24"/>
          <w:lang w:val="en-US" w:eastAsia="zh-CN"/>
        </w:rPr>
        <w:t>第</w:t>
      </w:r>
      <w:r>
        <w:rPr>
          <w:rFonts w:hint="eastAsia" w:ascii="Times New Roman" w:hAnsi="Times New Roman" w:eastAsia="宋体" w:cs="Times New Roman"/>
          <w:color w:val="auto"/>
          <w:sz w:val="24"/>
          <w:szCs w:val="24"/>
          <w:lang w:val="en-US" w:eastAsia="zh-CN"/>
        </w:rPr>
        <w:t>n</w:t>
      </w:r>
      <w:r>
        <w:rPr>
          <w:rFonts w:hint="eastAsia" w:eastAsia="宋体" w:cs="Times New Roman"/>
          <w:color w:val="auto"/>
          <w:sz w:val="24"/>
          <w:szCs w:val="24"/>
          <w:lang w:val="en-US" w:eastAsia="zh-CN"/>
        </w:rPr>
        <w:t>块区域的洗脱频次。</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baseline"/>
        <w:rPr>
          <w:rFonts w:hint="eastAsia"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4.</w:t>
      </w:r>
      <w:r>
        <w:rPr>
          <w:rFonts w:hint="eastAsia"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bCs/>
          <w:color w:val="auto"/>
          <w:sz w:val="24"/>
          <w:szCs w:val="24"/>
          <w:lang w:val="en-US" w:eastAsia="zh-CN"/>
        </w:rPr>
        <w:t>.</w:t>
      </w:r>
      <w:r>
        <w:rPr>
          <w:rFonts w:hint="eastAsia" w:ascii="Times New Roman" w:hAnsi="Times New Roman" w:cs="Times New Roman"/>
          <w:b/>
          <w:bCs/>
          <w:color w:val="auto"/>
          <w:sz w:val="24"/>
          <w:szCs w:val="24"/>
          <w:lang w:val="en-US" w:eastAsia="zh-CN"/>
        </w:rPr>
        <w:t>7</w:t>
      </w:r>
      <w:r>
        <w:rPr>
          <w:rFonts w:hint="eastAsia" w:eastAsia="宋体" w:cs="Times New Roman"/>
          <w:color w:val="auto"/>
          <w:sz w:val="24"/>
          <w:szCs w:val="24"/>
          <w:lang w:val="en-US" w:eastAsia="zh-CN"/>
        </w:rPr>
        <w:t xml:space="preserve">  底泥洗脱上岸污泥量应按下列公式计算：</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baseline"/>
        <w:rPr>
          <w:rFonts w:hint="default" w:cs="Times New Roman"/>
          <w:color w:val="FF0000"/>
          <w:lang w:val="en-US" w:eastAsia="zh-CN"/>
        </w:rPr>
      </w:pPr>
      <w:r>
        <w:rPr>
          <w:rFonts w:hint="eastAsia" w:cs="Times New Roman"/>
          <w:color w:val="FF0000"/>
          <w:position w:val="-28"/>
          <w:lang w:val="en-US" w:eastAsia="zh-CN"/>
        </w:rPr>
        <w:t xml:space="preserve">                          </w:t>
      </w:r>
      <w:r>
        <w:rPr>
          <w:rFonts w:hint="default" w:cs="Times New Roman"/>
          <w:color w:val="FF0000"/>
          <w:position w:val="-28"/>
          <w:lang w:val="en-US" w:eastAsia="zh-CN"/>
        </w:rPr>
        <w:object>
          <v:shape id="_x0000_i1026" o:spt="75" type="#_x0000_t75" style="height:34pt;width:117pt;" o:ole="t" filled="f" o:preferrelative="t" stroked="f" coordsize="21600,21600">
            <v:path/>
            <v:fill on="f" focussize="0,0"/>
            <v:stroke on="f"/>
            <v:imagedata r:id="rId28" o:title=""/>
            <o:lock v:ext="edit" aspectratio="t"/>
            <w10:wrap type="none"/>
            <w10:anchorlock/>
          </v:shape>
          <o:OLEObject Type="Embed" ProgID="Equation.KSEE3" ShapeID="_x0000_i1026" DrawAspect="Content" ObjectID="_1468075726" r:id="rId27">
            <o:LockedField>false</o:LockedField>
          </o:OLEObject>
        </w:object>
      </w:r>
      <w:r>
        <w:rPr>
          <w:rFonts w:hint="eastAsia" w:cs="Times New Roman"/>
          <w:color w:val="FF0000"/>
          <w:position w:val="-28"/>
          <w:lang w:val="en-US" w:eastAsia="zh-CN"/>
        </w:rPr>
        <w:t xml:space="preserve">                       </w:t>
      </w:r>
      <w:r>
        <w:rPr>
          <w:rFonts w:hint="eastAsia" w:ascii="Times New Roman" w:hAnsi="Times New Roman" w:eastAsia="宋体" w:cs="Times New Roman"/>
          <w:color w:val="auto"/>
          <w:position w:val="-28"/>
          <w:sz w:val="24"/>
          <w:szCs w:val="24"/>
          <w:lang w:val="en-US" w:eastAsia="zh-CN"/>
        </w:rPr>
        <w:t>（4.2.</w:t>
      </w:r>
      <w:r>
        <w:rPr>
          <w:rFonts w:hint="eastAsia" w:ascii="Times New Roman" w:hAnsi="Times New Roman" w:cs="Times New Roman"/>
          <w:color w:val="auto"/>
          <w:position w:val="-28"/>
          <w:sz w:val="24"/>
          <w:szCs w:val="24"/>
          <w:lang w:val="en-US" w:eastAsia="zh-CN"/>
        </w:rPr>
        <w:t>7</w:t>
      </w:r>
      <w:r>
        <w:rPr>
          <w:rFonts w:hint="eastAsia" w:ascii="Times New Roman" w:hAnsi="Times New Roman" w:eastAsia="宋体" w:cs="Times New Roman"/>
          <w:color w:val="auto"/>
          <w:position w:val="-28"/>
          <w:sz w:val="24"/>
          <w:szCs w:val="24"/>
          <w:lang w:val="en-US" w:eastAsia="zh-CN"/>
        </w:rPr>
        <w:t>）</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baseline"/>
        <w:rPr>
          <w:rFonts w:hint="eastAsia" w:cs="Times New Roman"/>
          <w:color w:val="auto"/>
          <w:sz w:val="24"/>
          <w:szCs w:val="24"/>
          <w:lang w:val="en-US" w:eastAsia="zh-CN"/>
        </w:rPr>
      </w:pPr>
      <w:r>
        <w:rPr>
          <w:rFonts w:hint="eastAsia" w:eastAsia="宋体" w:cs="Times New Roman"/>
          <w:color w:val="auto"/>
          <w:sz w:val="24"/>
          <w:szCs w:val="24"/>
          <w:lang w:val="en-US" w:eastAsia="zh-CN"/>
        </w:rPr>
        <w:t>式中：</w:t>
      </w:r>
      <w:r>
        <w:rPr>
          <w:rFonts w:hint="eastAsia" w:ascii="Times New Roman" w:hAnsi="Times New Roman" w:eastAsia="宋体" w:cs="Times New Roman"/>
          <w:color w:val="auto"/>
          <w:sz w:val="24"/>
          <w:szCs w:val="24"/>
          <w:lang w:val="en-US" w:eastAsia="zh-CN"/>
        </w:rPr>
        <w:t>V</w:t>
      </w:r>
      <w:r>
        <w:rPr>
          <w:rFonts w:hint="eastAsia" w:ascii="Times New Roman" w:hAnsi="Times New Roman" w:eastAsia="宋体" w:cs="Times New Roman"/>
          <w:color w:val="auto"/>
          <w:sz w:val="24"/>
          <w:szCs w:val="24"/>
          <w:vertAlign w:val="subscript"/>
          <w:lang w:val="en-US" w:eastAsia="zh-CN"/>
        </w:rPr>
        <w:t>n</w:t>
      </w:r>
      <w:r>
        <w:rPr>
          <w:rFonts w:hint="eastAsia" w:eastAsia="宋体" w:cs="Times New Roman"/>
          <w:color w:val="auto"/>
          <w:sz w:val="24"/>
          <w:szCs w:val="24"/>
          <w:vertAlign w:val="baseline"/>
          <w:lang w:val="en-US" w:eastAsia="zh-CN"/>
        </w:rPr>
        <w:t>—</w:t>
      </w:r>
      <w:r>
        <w:rPr>
          <w:rFonts w:hint="eastAsia" w:eastAsia="宋体" w:cs="Times New Roman"/>
          <w:color w:val="auto"/>
          <w:sz w:val="24"/>
          <w:szCs w:val="24"/>
          <w:lang w:val="en-US" w:eastAsia="zh-CN"/>
        </w:rPr>
        <w:t>第</w:t>
      </w:r>
      <w:r>
        <w:rPr>
          <w:rFonts w:hint="default" w:ascii="Times New Roman" w:hAnsi="Times New Roman" w:eastAsia="宋体" w:cs="Times New Roman"/>
          <w:color w:val="auto"/>
          <w:sz w:val="24"/>
          <w:szCs w:val="24"/>
          <w:lang w:val="en-US" w:eastAsia="zh-CN"/>
        </w:rPr>
        <w:t>n</w:t>
      </w:r>
      <w:r>
        <w:rPr>
          <w:rFonts w:hint="eastAsia" w:eastAsia="宋体" w:cs="Times New Roman"/>
          <w:color w:val="auto"/>
          <w:sz w:val="24"/>
          <w:szCs w:val="24"/>
          <w:lang w:val="en-US" w:eastAsia="zh-CN"/>
        </w:rPr>
        <w:t>块区域</w:t>
      </w:r>
      <w:r>
        <w:rPr>
          <w:rFonts w:hint="eastAsia" w:cs="Times New Roman"/>
          <w:color w:val="auto"/>
          <w:sz w:val="24"/>
          <w:szCs w:val="24"/>
          <w:lang w:val="en-US" w:eastAsia="zh-CN"/>
        </w:rPr>
        <w:t>洗脱上岸量系数。</w:t>
      </w:r>
    </w:p>
    <w:p>
      <w:pPr>
        <w:pStyle w:val="19"/>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jc w:val="both"/>
        <w:textAlignment w:val="baseline"/>
        <w:rPr>
          <w:rStyle w:val="29"/>
          <w:rFonts w:ascii="Times New Roman" w:hAnsi="Times New Roman" w:eastAsia="华文楷体" w:cs="Times New Roman"/>
          <w:bCs/>
          <w:color w:val="auto"/>
          <w:kern w:val="2"/>
          <w:sz w:val="21"/>
          <w:szCs w:val="21"/>
          <w:highlight w:val="none"/>
        </w:rPr>
      </w:pPr>
      <w:r>
        <w:rPr>
          <w:rStyle w:val="29"/>
          <w:rFonts w:ascii="Times New Roman" w:hAnsi="Times New Roman" w:eastAsia="华文楷体" w:cs="Times New Roman"/>
          <w:bCs/>
          <w:color w:val="auto"/>
          <w:kern w:val="2"/>
          <w:sz w:val="21"/>
          <w:szCs w:val="21"/>
          <w:highlight w:val="none"/>
        </w:rPr>
        <w:t>【条文说明】依据工程经验及数据积累，污泥产出系数</w:t>
      </w:r>
      <w:r>
        <w:rPr>
          <w:rStyle w:val="29"/>
          <w:rFonts w:hint="eastAsia" w:ascii="Times New Roman" w:hAnsi="Times New Roman" w:eastAsia="华文楷体" w:cs="Times New Roman"/>
          <w:bCs/>
          <w:color w:val="auto"/>
          <w:kern w:val="2"/>
          <w:sz w:val="21"/>
          <w:szCs w:val="21"/>
          <w:highlight w:val="none"/>
          <w:lang w:val="en-US" w:eastAsia="zh-CN"/>
        </w:rPr>
        <w:t>取值有</w:t>
      </w:r>
      <w:r>
        <w:rPr>
          <w:rStyle w:val="29"/>
          <w:rFonts w:ascii="Times New Roman" w:hAnsi="Times New Roman" w:eastAsia="华文楷体" w:cs="Times New Roman"/>
          <w:bCs/>
          <w:color w:val="auto"/>
          <w:kern w:val="2"/>
          <w:sz w:val="21"/>
          <w:szCs w:val="21"/>
          <w:highlight w:val="none"/>
        </w:rPr>
        <w:t>0.04</w:t>
      </w:r>
      <w:r>
        <w:rPr>
          <w:rStyle w:val="29"/>
          <w:rFonts w:eastAsia="华文楷体"/>
          <w:bCs/>
          <w:color w:val="auto"/>
          <w:kern w:val="2"/>
          <w:sz w:val="21"/>
          <w:szCs w:val="21"/>
          <w:highlight w:val="none"/>
        </w:rPr>
        <w:t>、</w:t>
      </w:r>
      <w:r>
        <w:rPr>
          <w:rStyle w:val="29"/>
          <w:rFonts w:ascii="Times New Roman" w:hAnsi="Times New Roman" w:eastAsia="华文楷体" w:cs="Times New Roman"/>
          <w:bCs/>
          <w:color w:val="auto"/>
          <w:kern w:val="2"/>
          <w:sz w:val="21"/>
          <w:szCs w:val="21"/>
          <w:highlight w:val="none"/>
        </w:rPr>
        <w:t>0.10</w:t>
      </w:r>
      <w:r>
        <w:rPr>
          <w:rStyle w:val="29"/>
          <w:rFonts w:eastAsia="华文楷体"/>
          <w:bCs/>
          <w:color w:val="auto"/>
          <w:kern w:val="2"/>
          <w:sz w:val="21"/>
          <w:szCs w:val="21"/>
          <w:highlight w:val="none"/>
        </w:rPr>
        <w:t>及</w:t>
      </w:r>
      <w:r>
        <w:rPr>
          <w:rStyle w:val="29"/>
          <w:rFonts w:ascii="Times New Roman" w:hAnsi="Times New Roman" w:eastAsia="华文楷体" w:cs="Times New Roman"/>
          <w:bCs/>
          <w:color w:val="auto"/>
          <w:kern w:val="2"/>
          <w:sz w:val="21"/>
          <w:szCs w:val="21"/>
          <w:highlight w:val="none"/>
        </w:rPr>
        <w:t>0.16，根据工程区域底泥状况及洗脱深度进行选择。</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baseline"/>
        <w:rPr>
          <w:rFonts w:hint="eastAsia" w:ascii="宋体" w:hAnsi="宋体" w:eastAsia="宋体" w:cs="宋体"/>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4.</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2</w:t>
      </w: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w:t>
      </w:r>
      <w:r>
        <w:rPr>
          <w:rFonts w:hint="eastAsia" w:ascii="Times New Roman" w:hAnsi="Times New Roman" w:cs="Times New Roman"/>
          <w:b/>
          <w:bCs/>
          <w:color w:val="000000" w:themeColor="text1"/>
          <w:kern w:val="2"/>
          <w:sz w:val="24"/>
          <w:szCs w:val="24"/>
          <w:lang w:val="en-US" w:eastAsia="zh-CN" w:bidi="ar-SA"/>
          <w14:textFill>
            <w14:solidFill>
              <w14:schemeClr w14:val="tx1"/>
            </w14:solidFill>
          </w14:textFill>
        </w:rPr>
        <w:t>8</w:t>
      </w:r>
      <w:r>
        <w:rPr>
          <w:rFonts w:hint="eastAsia" w:ascii="宋体" w:hAnsi="宋体" w:eastAsia="宋体" w:cs="宋体"/>
          <w:color w:val="000000" w:themeColor="text1"/>
          <w:sz w:val="24"/>
          <w:szCs w:val="24"/>
          <w:lang w:val="en-US" w:eastAsia="zh-CN"/>
          <w14:textFill>
            <w14:solidFill>
              <w14:schemeClr w14:val="tx1"/>
            </w14:solidFill>
          </w14:textFill>
        </w:rPr>
        <w:t xml:space="preserve">  作业区域离污泥转运点距离大于</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2km</w:t>
      </w:r>
      <w:r>
        <w:rPr>
          <w:rFonts w:hint="eastAsia" w:ascii="宋体" w:hAnsi="宋体" w:eastAsia="宋体" w:cs="宋体"/>
          <w:color w:val="000000" w:themeColor="text1"/>
          <w:sz w:val="24"/>
          <w:szCs w:val="24"/>
          <w:lang w:val="en-US" w:eastAsia="zh-CN"/>
          <w14:textFill>
            <w14:solidFill>
              <w14:schemeClr w14:val="tx1"/>
            </w14:solidFill>
          </w14:textFill>
        </w:rPr>
        <w:t>，宜采取水上污泥转运加陆地污泥转运相结合的方式。</w:t>
      </w:r>
    </w:p>
    <w:p>
      <w:pPr>
        <w:pStyle w:val="19"/>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jc w:val="both"/>
        <w:textAlignment w:val="baseline"/>
        <w:rPr>
          <w:rStyle w:val="29"/>
          <w:rFonts w:ascii="Times New Roman" w:hAnsi="Times New Roman" w:eastAsia="华文楷体" w:cs="Times New Roman"/>
          <w:bCs/>
          <w:color w:val="auto"/>
          <w:kern w:val="2"/>
          <w:sz w:val="21"/>
          <w:szCs w:val="21"/>
          <w:highlight w:val="none"/>
        </w:rPr>
      </w:pPr>
      <w:r>
        <w:rPr>
          <w:rStyle w:val="29"/>
          <w:rFonts w:ascii="Times New Roman" w:hAnsi="Times New Roman" w:eastAsia="华文楷体" w:cs="Times New Roman"/>
          <w:bCs/>
          <w:color w:val="auto"/>
          <w:kern w:val="2"/>
          <w:sz w:val="21"/>
          <w:szCs w:val="21"/>
          <w:highlight w:val="none"/>
        </w:rPr>
        <w:t>【条文说明】为提高洗脱设备运行效率和缩短污泥转运时间，当洗脱设备离最近的岸上污泥转运点直线距离大于2km时，可调配污泥转运船至洗脱设备旁，由污泥泵将洗脱设备槽道内的污泥抽吸至转运船内，待污泥船满后，运至岸上转运点旁抽吸入污泥槽罐车内，进行陆地转运。</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baseline"/>
        <w:rPr>
          <w:rFonts w:hint="eastAsia" w:ascii="宋体" w:hAnsi="宋体" w:eastAsia="宋体" w:cs="宋体"/>
          <w:color w:val="auto"/>
          <w:sz w:val="24"/>
          <w:szCs w:val="24"/>
          <w:lang w:val="en-US" w:eastAsia="zh-CN"/>
        </w:rPr>
      </w:pPr>
      <w:r>
        <w:rPr>
          <w:rFonts w:hint="default" w:ascii="Times New Roman" w:hAnsi="Times New Roman" w:eastAsia="宋体" w:cs="Times New Roman"/>
          <w:b/>
          <w:bCs/>
          <w:color w:val="auto"/>
          <w:sz w:val="24"/>
          <w:szCs w:val="24"/>
          <w:lang w:val="en-US" w:eastAsia="zh-CN"/>
        </w:rPr>
        <w:t>4.</w:t>
      </w:r>
      <w:r>
        <w:rPr>
          <w:rFonts w:hint="eastAsia"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bCs/>
          <w:color w:val="auto"/>
          <w:sz w:val="24"/>
          <w:szCs w:val="24"/>
          <w:lang w:val="en-US" w:eastAsia="zh-CN"/>
        </w:rPr>
        <w:t>.</w:t>
      </w:r>
      <w:r>
        <w:rPr>
          <w:rFonts w:hint="eastAsia" w:ascii="Times New Roman" w:hAnsi="Times New Roman" w:cs="Times New Roman"/>
          <w:b/>
          <w:bCs/>
          <w:color w:val="auto"/>
          <w:sz w:val="24"/>
          <w:szCs w:val="24"/>
          <w:lang w:val="en-US" w:eastAsia="zh-CN"/>
        </w:rPr>
        <w:t>9</w:t>
      </w:r>
      <w:r>
        <w:rPr>
          <w:rFonts w:hint="eastAsia" w:ascii="宋体" w:hAnsi="宋体" w:eastAsia="宋体" w:cs="宋体"/>
          <w:color w:val="auto"/>
          <w:sz w:val="24"/>
          <w:szCs w:val="24"/>
          <w:lang w:val="en-US" w:eastAsia="zh-CN"/>
        </w:rPr>
        <w:t xml:space="preserve">  洗脱出水水质应优于进水水质后排放入河湖。</w:t>
      </w:r>
    </w:p>
    <w:p>
      <w:pPr>
        <w:pStyle w:val="19"/>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jc w:val="both"/>
        <w:textAlignment w:val="baseline"/>
        <w:rPr>
          <w:rStyle w:val="29"/>
          <w:rFonts w:ascii="Times New Roman" w:hAnsi="Times New Roman" w:eastAsia="华文楷体" w:cs="Times New Roman"/>
          <w:bCs/>
          <w:kern w:val="2"/>
          <w:sz w:val="21"/>
          <w:szCs w:val="21"/>
          <w:highlight w:val="none"/>
        </w:rPr>
      </w:pPr>
      <w:r>
        <w:rPr>
          <w:rStyle w:val="29"/>
          <w:rFonts w:ascii="Times New Roman" w:hAnsi="Times New Roman" w:eastAsia="华文楷体" w:cs="Times New Roman"/>
          <w:bCs/>
          <w:color w:val="auto"/>
          <w:kern w:val="2"/>
          <w:sz w:val="21"/>
          <w:szCs w:val="21"/>
          <w:highlight w:val="none"/>
        </w:rPr>
        <w:t>【条文说明】由于洗脱仓在封闭空间内对河湖底泥进行剧烈扰动，导致抽吸到槽道内的水质相关指标</w:t>
      </w:r>
      <w:r>
        <w:rPr>
          <w:rStyle w:val="29"/>
          <w:rFonts w:hint="eastAsia" w:ascii="Times New Roman" w:hAnsi="Times New Roman" w:eastAsia="华文楷体" w:cs="Times New Roman"/>
          <w:bCs/>
          <w:color w:val="auto"/>
          <w:kern w:val="2"/>
          <w:sz w:val="21"/>
          <w:szCs w:val="21"/>
          <w:highlight w:val="none"/>
          <w:lang w:val="en-US" w:eastAsia="zh-CN"/>
        </w:rPr>
        <w:t>数值</w:t>
      </w:r>
      <w:r>
        <w:rPr>
          <w:rStyle w:val="29"/>
          <w:rFonts w:ascii="Times New Roman" w:hAnsi="Times New Roman" w:eastAsia="华文楷体" w:cs="Times New Roman"/>
          <w:bCs/>
          <w:color w:val="auto"/>
          <w:kern w:val="2"/>
          <w:sz w:val="21"/>
          <w:szCs w:val="21"/>
          <w:highlight w:val="none"/>
        </w:rPr>
        <w:t>突升，经过絮凝沉淀后，排入原河湖水体的洗脱水质不低于原水质要求。</w:t>
      </w:r>
    </w:p>
    <w:p>
      <w:pPr>
        <w:pStyle w:val="3"/>
        <w:jc w:val="center"/>
        <w:rPr>
          <w:rFonts w:ascii="黑体" w:hAnsi="黑体" w:eastAsia="黑体" w:cs="黑体"/>
          <w:color w:val="000000" w:themeColor="text1"/>
          <w:sz w:val="28"/>
          <w:szCs w:val="28"/>
          <w14:textFill>
            <w14:solidFill>
              <w14:schemeClr w14:val="tx1"/>
            </w14:solidFill>
          </w14:textFill>
        </w:rPr>
      </w:pPr>
      <w:bookmarkStart w:id="134" w:name="_Toc9710"/>
      <w:r>
        <w:rPr>
          <w:rFonts w:eastAsia="黑体"/>
          <w:color w:val="000000" w:themeColor="text1"/>
          <w:sz w:val="28"/>
          <w:szCs w:val="28"/>
          <w14:textFill>
            <w14:solidFill>
              <w14:schemeClr w14:val="tx1"/>
            </w14:solidFill>
          </w14:textFill>
        </w:rPr>
        <w:t>4.</w:t>
      </w:r>
      <w:r>
        <w:rPr>
          <w:rFonts w:hint="eastAsia" w:eastAsia="黑体"/>
          <w:color w:val="000000" w:themeColor="text1"/>
          <w:sz w:val="28"/>
          <w:szCs w:val="28"/>
          <w:lang w:val="en-US" w:eastAsia="zh-CN"/>
          <w14:textFill>
            <w14:solidFill>
              <w14:schemeClr w14:val="tx1"/>
            </w14:solidFill>
          </w14:textFill>
        </w:rPr>
        <w:t xml:space="preserve">3  </w:t>
      </w:r>
      <w:r>
        <w:rPr>
          <w:rFonts w:hint="eastAsia" w:ascii="黑体" w:hAnsi="黑体" w:eastAsia="黑体" w:cs="黑体"/>
          <w:sz w:val="28"/>
          <w:szCs w:val="28"/>
        </w:rPr>
        <w:t>洗脱</w:t>
      </w:r>
      <w:r>
        <w:rPr>
          <w:rFonts w:hint="eastAsia" w:ascii="黑体" w:hAnsi="黑体" w:eastAsia="黑体" w:cs="黑体"/>
          <w:sz w:val="28"/>
          <w:szCs w:val="28"/>
          <w:lang w:val="en-US" w:eastAsia="zh-CN"/>
        </w:rPr>
        <w:t>工艺</w:t>
      </w:r>
      <w:bookmarkEnd w:id="134"/>
    </w:p>
    <w:p>
      <w:pPr>
        <w:adjustRightInd w:val="0"/>
        <w:snapToGrid w:val="0"/>
        <w:ind w:firstLine="0" w:firstLineChars="0"/>
        <w:rPr>
          <w:rFonts w:hint="eastAsia" w:eastAsia="宋体"/>
          <w:color w:val="000000" w:themeColor="text1"/>
          <w:sz w:val="24"/>
          <w:szCs w:val="24"/>
          <w:lang w:eastAsia="zh-CN"/>
          <w14:textFill>
            <w14:solidFill>
              <w14:schemeClr w14:val="tx1"/>
            </w14:solidFill>
          </w14:textFill>
        </w:rPr>
      </w:pPr>
      <w:bookmarkStart w:id="135" w:name="_Toc35009594"/>
      <w:bookmarkStart w:id="136" w:name="_Toc34753370"/>
      <w:bookmarkStart w:id="137" w:name="_Toc35003350"/>
      <w:bookmarkStart w:id="138" w:name="_Toc34747676"/>
      <w:bookmarkStart w:id="139" w:name="_Toc35009593"/>
      <w:r>
        <w:rPr>
          <w:rFonts w:hint="eastAsia"/>
          <w:b/>
          <w:bCs/>
          <w:color w:val="000000" w:themeColor="text1"/>
          <w:sz w:val="24"/>
          <w:szCs w:val="24"/>
          <w14:textFill>
            <w14:solidFill>
              <w14:schemeClr w14:val="tx1"/>
            </w14:solidFill>
          </w14:textFill>
        </w:rPr>
        <w:t>4.</w:t>
      </w:r>
      <w:r>
        <w:rPr>
          <w:rFonts w:hint="eastAsia"/>
          <w:b/>
          <w:bCs/>
          <w:color w:val="000000" w:themeColor="text1"/>
          <w:sz w:val="24"/>
          <w:szCs w:val="24"/>
          <w:lang w:val="en-US" w:eastAsia="zh-CN"/>
          <w14:textFill>
            <w14:solidFill>
              <w14:schemeClr w14:val="tx1"/>
            </w14:solidFill>
          </w14:textFill>
        </w:rPr>
        <w:t>3</w:t>
      </w:r>
      <w:r>
        <w:rPr>
          <w:rFonts w:hint="eastAsia"/>
          <w:b/>
          <w:bCs/>
          <w:color w:val="000000" w:themeColor="text1"/>
          <w:sz w:val="24"/>
          <w:szCs w:val="24"/>
          <w14:textFill>
            <w14:solidFill>
              <w14:schemeClr w14:val="tx1"/>
            </w14:solidFill>
          </w14:textFill>
        </w:rPr>
        <w:t>.1</w:t>
      </w:r>
      <w:r>
        <w:rPr>
          <w:rFonts w:hint="eastAsia"/>
          <w:color w:val="000000" w:themeColor="text1"/>
          <w:sz w:val="24"/>
          <w:szCs w:val="24"/>
          <w14:textFill>
            <w14:solidFill>
              <w14:schemeClr w14:val="tx1"/>
            </w14:solidFill>
          </w14:textFill>
        </w:rPr>
        <w:t xml:space="preserve">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底泥洗脱工艺系统</w:t>
      </w:r>
      <w:r>
        <w:rPr>
          <w:rFonts w:hint="eastAsia"/>
          <w:color w:val="000000" w:themeColor="text1"/>
          <w:sz w:val="24"/>
          <w:szCs w:val="24"/>
          <w:lang w:val="en-US" w:eastAsia="zh-CN"/>
          <w14:textFill>
            <w14:solidFill>
              <w14:schemeClr w14:val="tx1"/>
            </w14:solidFill>
          </w14:textFill>
        </w:rPr>
        <w:t>应包括洗脱仓</w:t>
      </w:r>
      <w:r>
        <w:rPr>
          <w:rFonts w:hint="eastAsia"/>
          <w:color w:val="000000" w:themeColor="text1"/>
          <w:sz w:val="24"/>
          <w:szCs w:val="24"/>
          <w14:textFill>
            <w14:solidFill>
              <w14:schemeClr w14:val="tx1"/>
            </w14:solidFill>
          </w14:textFill>
        </w:rPr>
        <w:t>和泥水分离单元</w:t>
      </w:r>
      <w:r>
        <w:rPr>
          <w:rFonts w:hint="eastAsia"/>
          <w:color w:val="000000" w:themeColor="text1"/>
          <w:sz w:val="24"/>
          <w:szCs w:val="24"/>
          <w:lang w:eastAsia="zh-CN"/>
          <w14:textFill>
            <w14:solidFill>
              <w14:schemeClr w14:val="tx1"/>
            </w14:solidFill>
          </w14:textFill>
        </w:rPr>
        <w:t>。</w:t>
      </w:r>
    </w:p>
    <w:p>
      <w:pPr>
        <w:widowControl/>
        <w:snapToGrid w:val="0"/>
        <w:ind w:firstLine="0" w:firstLineChars="0"/>
        <w:jc w:val="left"/>
        <w:rPr>
          <w:rFonts w:hint="eastAsia" w:eastAsia="宋体"/>
          <w:color w:val="000000" w:themeColor="text1"/>
          <w:sz w:val="24"/>
          <w:szCs w:val="24"/>
          <w:lang w:eastAsia="zh-CN"/>
          <w14:textFill>
            <w14:solidFill>
              <w14:schemeClr w14:val="tx1"/>
            </w14:solidFill>
          </w14:textFill>
        </w:rPr>
      </w:pPr>
      <w:r>
        <w:rPr>
          <w:rFonts w:hint="eastAsia"/>
          <w:b/>
          <w:bCs/>
          <w:color w:val="000000" w:themeColor="text1"/>
          <w:sz w:val="24"/>
          <w:szCs w:val="24"/>
          <w14:textFill>
            <w14:solidFill>
              <w14:schemeClr w14:val="tx1"/>
            </w14:solidFill>
          </w14:textFill>
        </w:rPr>
        <w:t>4.</w:t>
      </w:r>
      <w:r>
        <w:rPr>
          <w:rFonts w:hint="eastAsia"/>
          <w:b/>
          <w:bCs/>
          <w:color w:val="000000" w:themeColor="text1"/>
          <w:sz w:val="24"/>
          <w:szCs w:val="24"/>
          <w:lang w:val="en-US" w:eastAsia="zh-CN"/>
          <w14:textFill>
            <w14:solidFill>
              <w14:schemeClr w14:val="tx1"/>
            </w14:solidFill>
          </w14:textFill>
        </w:rPr>
        <w:t>3</w:t>
      </w:r>
      <w:r>
        <w:rPr>
          <w:rFonts w:hint="eastAsia"/>
          <w:b/>
          <w:bCs/>
          <w:color w:val="000000" w:themeColor="text1"/>
          <w:sz w:val="24"/>
          <w:szCs w:val="24"/>
          <w14:textFill>
            <w14:solidFill>
              <w14:schemeClr w14:val="tx1"/>
            </w14:solidFill>
          </w14:textFill>
        </w:rPr>
        <w:t>.</w:t>
      </w:r>
      <w:r>
        <w:rPr>
          <w:rFonts w:hint="eastAsia"/>
          <w:b/>
          <w:bCs/>
          <w:color w:val="000000" w:themeColor="text1"/>
          <w:sz w:val="24"/>
          <w:szCs w:val="24"/>
          <w:lang w:val="en-US" w:eastAsia="zh-CN"/>
          <w14:textFill>
            <w14:solidFill>
              <w14:schemeClr w14:val="tx1"/>
            </w14:solidFill>
          </w14:textFill>
        </w:rPr>
        <w:t>2</w:t>
      </w:r>
      <w:r>
        <w:rPr>
          <w:rFonts w:hint="eastAsia"/>
          <w:color w:val="000000" w:themeColor="text1"/>
          <w:sz w:val="24"/>
          <w:szCs w:val="24"/>
          <w14:textFill>
            <w14:solidFill>
              <w14:schemeClr w14:val="tx1"/>
            </w14:solidFill>
          </w14:textFill>
        </w:rPr>
        <w:t xml:space="preserve"> </w:t>
      </w:r>
      <w:r>
        <w:rPr>
          <w:rFonts w:hint="eastAsia"/>
          <w:color w:val="000000" w:themeColor="text1"/>
          <w:sz w:val="24"/>
          <w:szCs w:val="24"/>
          <w:lang w:val="en-US" w:eastAsia="zh-CN"/>
          <w14:textFill>
            <w14:solidFill>
              <w14:schemeClr w14:val="tx1"/>
            </w14:solidFill>
          </w14:textFill>
        </w:rPr>
        <w:t xml:space="preserve"> 洗脱仓</w:t>
      </w:r>
      <w:r>
        <w:rPr>
          <w:rFonts w:hint="eastAsia"/>
          <w:color w:val="000000" w:themeColor="text1"/>
          <w:sz w:val="24"/>
          <w:szCs w:val="24"/>
          <w14:textFill>
            <w14:solidFill>
              <w14:schemeClr w14:val="tx1"/>
            </w14:solidFill>
          </w14:textFill>
        </w:rPr>
        <w:t>扰动方式的</w:t>
      </w:r>
      <w:r>
        <w:rPr>
          <w:rFonts w:hint="eastAsia"/>
          <w:color w:val="000000" w:themeColor="text1"/>
          <w:sz w:val="24"/>
          <w:szCs w:val="24"/>
          <w:lang w:val="en-US" w:eastAsia="zh-CN"/>
          <w14:textFill>
            <w14:solidFill>
              <w14:schemeClr w14:val="tx1"/>
            </w14:solidFill>
          </w14:textFill>
        </w:rPr>
        <w:t>选择</w:t>
      </w:r>
      <w:r>
        <w:rPr>
          <w:rFonts w:hint="eastAsia"/>
          <w:color w:val="000000" w:themeColor="text1"/>
          <w:sz w:val="24"/>
          <w:szCs w:val="24"/>
          <w14:textFill>
            <w14:solidFill>
              <w14:schemeClr w14:val="tx1"/>
            </w14:solidFill>
          </w14:textFill>
        </w:rPr>
        <w:t>应符合</w:t>
      </w:r>
      <w:r>
        <w:rPr>
          <w:rFonts w:hint="eastAsia"/>
          <w:color w:val="000000" w:themeColor="text1"/>
          <w:sz w:val="24"/>
          <w:szCs w:val="24"/>
          <w:lang w:val="en-US" w:eastAsia="zh-CN"/>
          <w14:textFill>
            <w14:solidFill>
              <w14:schemeClr w14:val="tx1"/>
            </w14:solidFill>
          </w14:textFill>
        </w:rPr>
        <w:t>下列</w:t>
      </w:r>
      <w:r>
        <w:rPr>
          <w:rFonts w:hint="eastAsia"/>
          <w:color w:val="000000" w:themeColor="text1"/>
          <w:sz w:val="24"/>
          <w:szCs w:val="24"/>
          <w14:textFill>
            <w14:solidFill>
              <w14:schemeClr w14:val="tx1"/>
            </w14:solidFill>
          </w14:textFill>
        </w:rPr>
        <w:t>规定</w:t>
      </w:r>
      <w:r>
        <w:rPr>
          <w:rFonts w:hint="eastAsia"/>
          <w:color w:val="000000" w:themeColor="text1"/>
          <w:sz w:val="24"/>
          <w:szCs w:val="24"/>
          <w:lang w:eastAsia="zh-CN"/>
          <w14:textFill>
            <w14:solidFill>
              <w14:schemeClr w14:val="tx1"/>
            </w14:solidFill>
          </w14:textFill>
        </w:rPr>
        <w:t>：</w:t>
      </w:r>
    </w:p>
    <w:p>
      <w:pPr>
        <w:pStyle w:val="19"/>
        <w:spacing w:line="360" w:lineRule="auto"/>
        <w:jc w:val="both"/>
        <w:rPr>
          <w:rFonts w:hint="eastAsia" w:ascii="Times New Roman" w:hAnsi="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1</w:t>
      </w:r>
      <w:r>
        <w:rPr>
          <w:rFonts w:hint="eastAsia" w:ascii="Times New Roman" w:hAnsi="Times New Roman"/>
          <w:b w:val="0"/>
          <w:bCs w:val="0"/>
          <w:color w:val="000000" w:themeColor="text1"/>
          <w:sz w:val="24"/>
          <w:szCs w:val="24"/>
          <w:highlight w:val="none"/>
          <w:lang w:val="en-US" w:eastAsia="zh-CN"/>
          <w14:textFill>
            <w14:solidFill>
              <w14:schemeClr w14:val="tx1"/>
            </w14:solidFill>
          </w14:textFill>
        </w:rPr>
        <w:t xml:space="preserve">  底泥D50大于或等于60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μm</w:t>
      </w:r>
      <w:r>
        <w:rPr>
          <w:rFonts w:hint="eastAsia" w:ascii="Times New Roman" w:hAnsi="Times New Roman"/>
          <w:b w:val="0"/>
          <w:bCs w:val="0"/>
          <w:color w:val="000000" w:themeColor="text1"/>
          <w:sz w:val="24"/>
          <w:szCs w:val="24"/>
          <w:highlight w:val="none"/>
          <w:lang w:val="en-US" w:eastAsia="zh-CN"/>
          <w14:textFill>
            <w14:solidFill>
              <w14:schemeClr w14:val="tx1"/>
            </w14:solidFill>
          </w14:textFill>
        </w:rPr>
        <w:t>时，宜采用射流或机械扰动方式，射流出口压力宜为0.2Mpa-0.4Mpa，机械扰动转速宜为500r/min-700r/min；</w:t>
      </w:r>
    </w:p>
    <w:p>
      <w:pPr>
        <w:pStyle w:val="19"/>
        <w:spacing w:line="360" w:lineRule="auto"/>
        <w:jc w:val="both"/>
        <w:rPr>
          <w:rFonts w:hint="eastAsia" w:ascii="Times New Roman" w:hAnsi="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 xml:space="preserve">2 </w:t>
      </w:r>
      <w:r>
        <w:rPr>
          <w:rFonts w:hint="eastAsia" w:ascii="Times New Roman" w:hAnsi="Times New Roman"/>
          <w:b w:val="0"/>
          <w:bCs w:val="0"/>
          <w:color w:val="000000" w:themeColor="text1"/>
          <w:sz w:val="24"/>
          <w:szCs w:val="24"/>
          <w:highlight w:val="none"/>
          <w:lang w:val="en-US" w:eastAsia="zh-CN"/>
          <w14:textFill>
            <w14:solidFill>
              <w14:schemeClr w14:val="tx1"/>
            </w14:solidFill>
          </w14:textFill>
        </w:rPr>
        <w:t xml:space="preserve"> 底泥D50小于60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μm</w:t>
      </w:r>
      <w:r>
        <w:rPr>
          <w:rFonts w:hint="eastAsia" w:ascii="Times New Roman" w:hAnsi="Times New Roman"/>
          <w:b w:val="0"/>
          <w:bCs w:val="0"/>
          <w:color w:val="000000" w:themeColor="text1"/>
          <w:sz w:val="24"/>
          <w:szCs w:val="24"/>
          <w:highlight w:val="none"/>
          <w:lang w:val="en-US" w:eastAsia="zh-CN"/>
          <w14:textFill>
            <w14:solidFill>
              <w14:schemeClr w14:val="tx1"/>
            </w14:solidFill>
          </w14:textFill>
        </w:rPr>
        <w:t>时，宜采用曝气扰动，工作压力宜为0.6Mpa-0.8Mpa。</w:t>
      </w:r>
    </w:p>
    <w:p>
      <w:pPr>
        <w:pStyle w:val="19"/>
        <w:widowControl/>
        <w:spacing w:line="360" w:lineRule="auto"/>
        <w:ind w:left="0" w:leftChars="0" w:firstLine="0" w:firstLineChars="0"/>
        <w:jc w:val="both"/>
        <w:rPr>
          <w:rStyle w:val="29"/>
          <w:rFonts w:eastAsia="华文楷体" w:cs="Times New Roman"/>
          <w:bCs/>
          <w:color w:val="auto"/>
          <w:kern w:val="2"/>
          <w:sz w:val="21"/>
          <w:szCs w:val="21"/>
        </w:rPr>
      </w:pPr>
      <w:r>
        <w:rPr>
          <w:rStyle w:val="29"/>
          <w:rFonts w:ascii="Times New Roman" w:hAnsi="Times New Roman" w:eastAsia="华文楷体" w:cs="Times New Roman"/>
          <w:bCs/>
          <w:color w:val="auto"/>
          <w:kern w:val="2"/>
          <w:sz w:val="21"/>
          <w:szCs w:val="21"/>
          <w:highlight w:val="none"/>
        </w:rPr>
        <w:t>【条文说明】不同的扰动方式对</w:t>
      </w:r>
      <w:r>
        <w:rPr>
          <w:rStyle w:val="29"/>
          <w:rFonts w:hint="eastAsia" w:ascii="Times New Roman" w:hAnsi="Times New Roman" w:eastAsia="华文楷体" w:cs="Times New Roman"/>
          <w:bCs/>
          <w:color w:val="auto"/>
          <w:kern w:val="2"/>
          <w:sz w:val="21"/>
          <w:szCs w:val="21"/>
          <w:highlight w:val="none"/>
          <w:lang w:val="en-US" w:eastAsia="zh-CN"/>
        </w:rPr>
        <w:t>不同</w:t>
      </w:r>
      <w:r>
        <w:rPr>
          <w:rStyle w:val="29"/>
          <w:rFonts w:ascii="Times New Roman" w:hAnsi="Times New Roman" w:eastAsia="华文楷体" w:cs="Times New Roman"/>
          <w:bCs/>
          <w:color w:val="auto"/>
          <w:kern w:val="2"/>
          <w:sz w:val="21"/>
          <w:szCs w:val="21"/>
          <w:highlight w:val="none"/>
        </w:rPr>
        <w:t>粒径</w:t>
      </w:r>
      <w:r>
        <w:rPr>
          <w:rStyle w:val="29"/>
          <w:rFonts w:hint="eastAsia" w:ascii="Times New Roman" w:hAnsi="Times New Roman" w:eastAsia="华文楷体" w:cs="Times New Roman"/>
          <w:bCs/>
          <w:color w:val="auto"/>
          <w:kern w:val="2"/>
          <w:sz w:val="21"/>
          <w:szCs w:val="21"/>
          <w:highlight w:val="none"/>
          <w:lang w:val="en-US" w:eastAsia="zh-CN"/>
        </w:rPr>
        <w:t>D50</w:t>
      </w:r>
      <w:r>
        <w:rPr>
          <w:rStyle w:val="29"/>
          <w:rFonts w:ascii="Times New Roman" w:hAnsi="Times New Roman" w:eastAsia="华文楷体" w:cs="Times New Roman"/>
          <w:bCs/>
          <w:color w:val="auto"/>
          <w:kern w:val="2"/>
          <w:sz w:val="21"/>
          <w:szCs w:val="21"/>
          <w:highlight w:val="none"/>
        </w:rPr>
        <w:t>底泥的扰动程度和对污染物的剥离程度不同</w:t>
      </w:r>
      <w:r>
        <w:rPr>
          <w:rStyle w:val="29"/>
          <w:rFonts w:hint="eastAsia" w:ascii="Times New Roman" w:hAnsi="Times New Roman" w:eastAsia="华文楷体" w:cs="Times New Roman"/>
          <w:bCs/>
          <w:color w:val="auto"/>
          <w:kern w:val="2"/>
          <w:sz w:val="21"/>
          <w:szCs w:val="21"/>
          <w:highlight w:val="none"/>
          <w:lang w:eastAsia="zh-CN"/>
        </w:rPr>
        <w:t>。</w:t>
      </w:r>
      <w:r>
        <w:rPr>
          <w:rStyle w:val="29"/>
          <w:rFonts w:ascii="Times New Roman" w:hAnsi="Times New Roman" w:eastAsia="华文楷体" w:cs="Times New Roman"/>
          <w:bCs/>
          <w:color w:val="auto"/>
          <w:kern w:val="2"/>
          <w:sz w:val="21"/>
          <w:szCs w:val="21"/>
          <w:highlight w:val="none"/>
        </w:rPr>
        <w:t>经</w:t>
      </w:r>
      <w:r>
        <w:rPr>
          <w:rStyle w:val="29"/>
          <w:rFonts w:hint="eastAsia" w:ascii="Times New Roman" w:hAnsi="Times New Roman" w:eastAsia="华文楷体" w:cs="Times New Roman"/>
          <w:bCs/>
          <w:color w:val="auto"/>
          <w:kern w:val="2"/>
          <w:sz w:val="21"/>
          <w:szCs w:val="21"/>
          <w:highlight w:val="none"/>
          <w:lang w:eastAsia="zh-CN"/>
        </w:rPr>
        <w:t>多</w:t>
      </w:r>
      <w:r>
        <w:rPr>
          <w:rStyle w:val="29"/>
          <w:rFonts w:ascii="Times New Roman" w:hAnsi="Times New Roman" w:eastAsia="华文楷体" w:cs="Times New Roman"/>
          <w:bCs/>
          <w:color w:val="auto"/>
          <w:kern w:val="2"/>
          <w:sz w:val="21"/>
          <w:szCs w:val="21"/>
          <w:highlight w:val="none"/>
        </w:rPr>
        <w:t>年的实验及工程应用，</w:t>
      </w:r>
      <w:r>
        <w:rPr>
          <w:rStyle w:val="29"/>
          <w:rFonts w:hint="eastAsia" w:ascii="Times New Roman" w:hAnsi="Times New Roman" w:eastAsia="华文楷体" w:cs="Times New Roman"/>
          <w:bCs/>
          <w:color w:val="auto"/>
          <w:kern w:val="2"/>
          <w:sz w:val="21"/>
          <w:szCs w:val="21"/>
          <w:highlight w:val="none"/>
          <w:lang w:eastAsia="zh-CN"/>
        </w:rPr>
        <w:t>规定</w:t>
      </w:r>
      <w:r>
        <w:rPr>
          <w:rStyle w:val="29"/>
          <w:rFonts w:ascii="Times New Roman" w:hAnsi="Times New Roman" w:eastAsia="华文楷体" w:cs="Times New Roman"/>
          <w:bCs/>
          <w:color w:val="auto"/>
          <w:kern w:val="2"/>
          <w:sz w:val="21"/>
          <w:szCs w:val="21"/>
          <w:highlight w:val="none"/>
        </w:rPr>
        <w:t>了不同粒径</w:t>
      </w:r>
      <w:r>
        <w:rPr>
          <w:rStyle w:val="29"/>
          <w:rFonts w:hint="eastAsia" w:ascii="Times New Roman" w:hAnsi="Times New Roman" w:eastAsia="华文楷体" w:cs="Times New Roman"/>
          <w:bCs/>
          <w:color w:val="auto"/>
          <w:kern w:val="2"/>
          <w:sz w:val="21"/>
          <w:szCs w:val="21"/>
          <w:highlight w:val="none"/>
          <w:lang w:val="en-US" w:eastAsia="zh-CN"/>
        </w:rPr>
        <w:t>D50</w:t>
      </w:r>
      <w:r>
        <w:rPr>
          <w:rStyle w:val="29"/>
          <w:rFonts w:ascii="Times New Roman" w:hAnsi="Times New Roman" w:eastAsia="华文楷体" w:cs="Times New Roman"/>
          <w:bCs/>
          <w:color w:val="auto"/>
          <w:kern w:val="2"/>
          <w:sz w:val="21"/>
          <w:szCs w:val="21"/>
          <w:highlight w:val="none"/>
        </w:rPr>
        <w:t>下扰动方式的选择。</w:t>
      </w:r>
    </w:p>
    <w:p>
      <w:pPr>
        <w:adjustRightInd w:val="0"/>
        <w:snapToGrid w:val="0"/>
        <w:ind w:firstLine="0" w:firstLineChars="0"/>
        <w:rPr>
          <w:rFonts w:hint="eastAsia" w:eastAsia="宋体"/>
          <w:color w:val="000000" w:themeColor="text1"/>
          <w:sz w:val="24"/>
          <w:szCs w:val="24"/>
          <w:lang w:eastAsia="zh-CN"/>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4.</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3</w:t>
      </w:r>
      <w:r>
        <w:rPr>
          <w:rFonts w:hint="eastAsia" w:ascii="Times New Roman" w:hAnsi="Times New Roman" w:eastAsia="宋体" w:cs="Times New Roman"/>
          <w:b/>
          <w:bCs/>
          <w:color w:val="000000" w:themeColor="text1"/>
          <w:sz w:val="24"/>
          <w:szCs w:val="24"/>
          <w14:textFill>
            <w14:solidFill>
              <w14:schemeClr w14:val="tx1"/>
            </w14:solidFill>
          </w14:textFill>
        </w:rPr>
        <w:t>.</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3</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 泥水分离单元应包含自吸泵、泥</w:t>
      </w:r>
      <w:r>
        <w:rPr>
          <w:rFonts w:hint="eastAsia" w:ascii="宋体" w:hAnsi="宋体" w:cs="宋体"/>
          <w:color w:val="000000" w:themeColor="text1"/>
          <w:sz w:val="24"/>
          <w:szCs w:val="24"/>
          <w14:textFill>
            <w14:solidFill>
              <w14:schemeClr w14:val="tx1"/>
            </w14:solidFill>
          </w14:textFill>
        </w:rPr>
        <w:t>水分离槽</w:t>
      </w:r>
      <w:r>
        <w:rPr>
          <w:rFonts w:hint="eastAsia"/>
          <w:color w:val="000000" w:themeColor="text1"/>
          <w:sz w:val="24"/>
          <w:szCs w:val="24"/>
          <w14:textFill>
            <w14:solidFill>
              <w14:schemeClr w14:val="tx1"/>
            </w14:solidFill>
          </w14:textFill>
        </w:rPr>
        <w:t>和加药</w:t>
      </w:r>
      <w:r>
        <w:rPr>
          <w:rFonts w:hint="eastAsia"/>
          <w:color w:val="000000" w:themeColor="text1"/>
          <w:sz w:val="24"/>
          <w:szCs w:val="24"/>
          <w:lang w:val="en-US" w:eastAsia="zh-CN"/>
          <w14:textFill>
            <w14:solidFill>
              <w14:schemeClr w14:val="tx1"/>
            </w14:solidFill>
          </w14:textFill>
        </w:rPr>
        <w:t>系统。</w:t>
      </w:r>
    </w:p>
    <w:bookmarkEnd w:id="135"/>
    <w:bookmarkEnd w:id="136"/>
    <w:bookmarkEnd w:id="137"/>
    <w:p>
      <w:pPr>
        <w:adjustRightInd w:val="0"/>
        <w:snapToGrid w:val="0"/>
        <w:ind w:firstLine="0" w:firstLineChars="0"/>
        <w:rPr>
          <w:rFonts w:hint="eastAsia"/>
          <w:color w:val="000000" w:themeColor="text1"/>
          <w:sz w:val="24"/>
          <w:szCs w:val="24"/>
          <w:lang w:eastAsia="zh-CN"/>
          <w14:textFill>
            <w14:solidFill>
              <w14:schemeClr w14:val="tx1"/>
            </w14:solidFill>
          </w14:textFill>
        </w:rPr>
      </w:pPr>
      <w:bookmarkStart w:id="140" w:name="_Toc34753371"/>
      <w:bookmarkStart w:id="141" w:name="_Toc35009595"/>
      <w:bookmarkStart w:id="142" w:name="_Toc35003351"/>
      <w:r>
        <w:rPr>
          <w:rFonts w:hint="eastAsia" w:ascii="Times New Roman" w:hAnsi="Times New Roman" w:eastAsia="宋体" w:cs="Times New Roman"/>
          <w:b/>
          <w:bCs/>
          <w:color w:val="000000" w:themeColor="text1"/>
          <w:sz w:val="24"/>
          <w:szCs w:val="24"/>
          <w14:textFill>
            <w14:solidFill>
              <w14:schemeClr w14:val="tx1"/>
            </w14:solidFill>
          </w14:textFill>
        </w:rPr>
        <w:t>4.</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3</w:t>
      </w:r>
      <w:r>
        <w:rPr>
          <w:rFonts w:hint="eastAsia" w:ascii="Times New Roman" w:hAnsi="Times New Roman" w:eastAsia="宋体" w:cs="Times New Roman"/>
          <w:b/>
          <w:bCs/>
          <w:color w:val="000000" w:themeColor="text1"/>
          <w:sz w:val="24"/>
          <w:szCs w:val="24"/>
          <w14:textFill>
            <w14:solidFill>
              <w14:schemeClr w14:val="tx1"/>
            </w14:solidFill>
          </w14:textFill>
        </w:rPr>
        <w:t>.</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4</w:t>
      </w:r>
      <w:r>
        <w:rPr>
          <w:rFonts w:hint="eastAsia"/>
          <w:color w:val="000000" w:themeColor="text1"/>
          <w:sz w:val="24"/>
          <w:szCs w:val="24"/>
          <w14:textFill>
            <w14:solidFill>
              <w14:schemeClr w14:val="tx1"/>
            </w14:solidFill>
          </w14:textFill>
        </w:rPr>
        <w:t xml:space="preserve">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泥</w:t>
      </w:r>
      <w:r>
        <w:rPr>
          <w:rFonts w:hint="eastAsia" w:ascii="宋体" w:hAnsi="宋体" w:cs="宋体"/>
          <w:color w:val="000000" w:themeColor="text1"/>
          <w:sz w:val="24"/>
          <w:szCs w:val="24"/>
          <w14:textFill>
            <w14:solidFill>
              <w14:schemeClr w14:val="tx1"/>
            </w14:solidFill>
          </w14:textFill>
        </w:rPr>
        <w:t>水分离</w:t>
      </w:r>
      <w:r>
        <w:rPr>
          <w:rFonts w:hint="eastAsia"/>
          <w:color w:val="000000" w:themeColor="text1"/>
          <w:sz w:val="24"/>
          <w:szCs w:val="24"/>
          <w14:textFill>
            <w14:solidFill>
              <w14:schemeClr w14:val="tx1"/>
            </w14:solidFill>
          </w14:textFill>
        </w:rPr>
        <w:t>宜采用絮凝沉淀</w:t>
      </w:r>
      <w:r>
        <w:rPr>
          <w:rFonts w:hint="eastAsia"/>
          <w:color w:val="000000" w:themeColor="text1"/>
          <w:sz w:val="24"/>
          <w:szCs w:val="24"/>
          <w:lang w:val="en-US" w:eastAsia="zh-CN"/>
          <w14:textFill>
            <w14:solidFill>
              <w14:schemeClr w14:val="tx1"/>
            </w14:solidFill>
          </w14:textFill>
        </w:rPr>
        <w:t>工艺或</w:t>
      </w:r>
      <w:r>
        <w:rPr>
          <w:rFonts w:hint="eastAsia"/>
          <w:color w:val="000000" w:themeColor="text1"/>
          <w:sz w:val="24"/>
          <w:szCs w:val="24"/>
          <w14:textFill>
            <w14:solidFill>
              <w14:schemeClr w14:val="tx1"/>
            </w14:solidFill>
          </w14:textFill>
        </w:rPr>
        <w:t>磁加载技术</w:t>
      </w:r>
      <w:r>
        <w:rPr>
          <w:rFonts w:hint="eastAsia"/>
          <w:color w:val="000000" w:themeColor="text1"/>
          <w:sz w:val="24"/>
          <w:szCs w:val="24"/>
          <w:lang w:eastAsia="zh-CN"/>
          <w14:textFill>
            <w14:solidFill>
              <w14:schemeClr w14:val="tx1"/>
            </w14:solidFill>
          </w14:textFill>
        </w:rPr>
        <w:t>。</w:t>
      </w:r>
    </w:p>
    <w:p>
      <w:pPr>
        <w:adjustRightInd w:val="0"/>
        <w:snapToGrid w:val="0"/>
        <w:ind w:firstLine="0" w:firstLineChars="0"/>
        <w:rPr>
          <w:color w:val="000000" w:themeColor="text1"/>
          <w:sz w:val="24"/>
          <w:szCs w:val="24"/>
          <w14:textFill>
            <w14:solidFill>
              <w14:schemeClr w14:val="tx1"/>
            </w14:solidFill>
          </w14:textFill>
        </w:rPr>
      </w:pPr>
      <w:r>
        <w:rPr>
          <w:rStyle w:val="29"/>
          <w:rFonts w:ascii="Times New Roman" w:hAnsi="Times New Roman" w:eastAsia="华文楷体" w:cs="Times New Roman"/>
          <w:bCs/>
          <w:color w:val="auto"/>
          <w:sz w:val="21"/>
          <w:szCs w:val="21"/>
          <w:highlight w:val="none"/>
        </w:rPr>
        <w:t>【条文说明】絮凝</w:t>
      </w:r>
      <w:r>
        <w:rPr>
          <w:rStyle w:val="29"/>
          <w:rFonts w:hint="eastAsia" w:ascii="Times New Roman" w:hAnsi="Times New Roman" w:eastAsia="华文楷体" w:cs="Times New Roman"/>
          <w:bCs/>
          <w:color w:val="auto"/>
          <w:sz w:val="21"/>
          <w:szCs w:val="21"/>
          <w:highlight w:val="none"/>
          <w:lang w:val="en-US" w:eastAsia="zh-CN"/>
        </w:rPr>
        <w:t>沉淀</w:t>
      </w:r>
      <w:r>
        <w:rPr>
          <w:rStyle w:val="29"/>
          <w:rFonts w:ascii="Times New Roman" w:hAnsi="Times New Roman" w:eastAsia="华文楷体" w:cs="Times New Roman"/>
          <w:bCs/>
          <w:color w:val="auto"/>
          <w:sz w:val="21"/>
          <w:szCs w:val="21"/>
          <w:highlight w:val="none"/>
        </w:rPr>
        <w:t>工艺设置在中小型洗脱设备</w:t>
      </w:r>
      <w:r>
        <w:rPr>
          <w:rStyle w:val="29"/>
          <w:rFonts w:hint="eastAsia" w:ascii="Times New Roman" w:hAnsi="Times New Roman" w:eastAsia="华文楷体" w:cs="Times New Roman"/>
          <w:bCs/>
          <w:color w:val="auto"/>
          <w:sz w:val="21"/>
          <w:szCs w:val="21"/>
          <w:highlight w:val="none"/>
          <w:lang w:val="en-US" w:eastAsia="zh-CN"/>
        </w:rPr>
        <w:t>上</w:t>
      </w:r>
      <w:r>
        <w:rPr>
          <w:rStyle w:val="29"/>
          <w:rFonts w:ascii="Times New Roman" w:hAnsi="Times New Roman" w:eastAsia="华文楷体" w:cs="Times New Roman"/>
          <w:bCs/>
          <w:color w:val="auto"/>
          <w:sz w:val="21"/>
          <w:szCs w:val="21"/>
          <w:highlight w:val="none"/>
        </w:rPr>
        <w:t>，</w:t>
      </w:r>
      <w:r>
        <w:rPr>
          <w:rStyle w:val="29"/>
          <w:rFonts w:hint="eastAsia" w:ascii="Times New Roman" w:hAnsi="Times New Roman" w:eastAsia="华文楷体" w:cs="Times New Roman"/>
          <w:bCs/>
          <w:color w:val="auto"/>
          <w:sz w:val="21"/>
          <w:szCs w:val="21"/>
          <w:highlight w:val="none"/>
          <w:lang w:val="en-US" w:eastAsia="zh-CN"/>
        </w:rPr>
        <w:t>适用于</w:t>
      </w:r>
      <w:r>
        <w:rPr>
          <w:rStyle w:val="29"/>
          <w:rFonts w:ascii="Times New Roman" w:hAnsi="Times New Roman" w:eastAsia="华文楷体" w:cs="Times New Roman"/>
          <w:bCs/>
          <w:color w:val="auto"/>
          <w:sz w:val="21"/>
          <w:szCs w:val="21"/>
          <w:highlight w:val="none"/>
        </w:rPr>
        <w:t>中小型河道及湖库水体</w:t>
      </w:r>
      <w:r>
        <w:rPr>
          <w:rStyle w:val="29"/>
          <w:rFonts w:hint="eastAsia" w:ascii="Times New Roman" w:hAnsi="Times New Roman" w:eastAsia="华文楷体" w:cs="Times New Roman"/>
          <w:bCs/>
          <w:color w:val="auto"/>
          <w:sz w:val="21"/>
          <w:szCs w:val="21"/>
          <w:highlight w:val="none"/>
          <w:lang w:eastAsia="zh-CN"/>
        </w:rPr>
        <w:t>；</w:t>
      </w:r>
      <w:r>
        <w:rPr>
          <w:rStyle w:val="29"/>
          <w:rFonts w:ascii="Times New Roman" w:hAnsi="Times New Roman" w:eastAsia="华文楷体" w:cs="Times New Roman"/>
          <w:bCs/>
          <w:color w:val="auto"/>
          <w:sz w:val="21"/>
          <w:szCs w:val="21"/>
          <w:highlight w:val="none"/>
        </w:rPr>
        <w:t>磁加载工艺设置</w:t>
      </w:r>
      <w:r>
        <w:rPr>
          <w:rStyle w:val="29"/>
          <w:rFonts w:hint="eastAsia" w:ascii="Times New Roman" w:hAnsi="Times New Roman" w:eastAsia="华文楷体" w:cs="Times New Roman"/>
          <w:bCs/>
          <w:color w:val="auto"/>
          <w:sz w:val="21"/>
          <w:szCs w:val="21"/>
          <w:highlight w:val="none"/>
          <w:lang w:val="en-US" w:eastAsia="zh-CN"/>
        </w:rPr>
        <w:t>在</w:t>
      </w:r>
      <w:r>
        <w:rPr>
          <w:rStyle w:val="29"/>
          <w:rFonts w:ascii="Times New Roman" w:hAnsi="Times New Roman" w:eastAsia="华文楷体" w:cs="Times New Roman"/>
          <w:bCs/>
          <w:color w:val="auto"/>
          <w:sz w:val="21"/>
          <w:szCs w:val="21"/>
          <w:highlight w:val="none"/>
        </w:rPr>
        <w:t>大</w:t>
      </w:r>
      <w:r>
        <w:rPr>
          <w:rStyle w:val="29"/>
          <w:rFonts w:hint="eastAsia" w:ascii="Times New Roman" w:hAnsi="Times New Roman" w:eastAsia="华文楷体" w:cs="Times New Roman"/>
          <w:bCs/>
          <w:color w:val="auto"/>
          <w:sz w:val="21"/>
          <w:szCs w:val="21"/>
          <w:highlight w:val="none"/>
          <w:lang w:val="en-US" w:eastAsia="zh-CN"/>
        </w:rPr>
        <w:t>型</w:t>
      </w:r>
      <w:r>
        <w:rPr>
          <w:rStyle w:val="29"/>
          <w:rFonts w:ascii="Times New Roman" w:hAnsi="Times New Roman" w:eastAsia="华文楷体" w:cs="Times New Roman"/>
          <w:bCs/>
          <w:color w:val="auto"/>
          <w:sz w:val="21"/>
          <w:szCs w:val="21"/>
          <w:highlight w:val="none"/>
        </w:rPr>
        <w:t>洗脱设备</w:t>
      </w:r>
      <w:r>
        <w:rPr>
          <w:rStyle w:val="29"/>
          <w:rFonts w:hint="eastAsia" w:ascii="Times New Roman" w:hAnsi="Times New Roman" w:eastAsia="华文楷体" w:cs="Times New Roman"/>
          <w:bCs/>
          <w:color w:val="auto"/>
          <w:sz w:val="21"/>
          <w:szCs w:val="21"/>
          <w:highlight w:val="none"/>
          <w:lang w:val="en-US" w:eastAsia="zh-CN"/>
        </w:rPr>
        <w:t>上</w:t>
      </w:r>
      <w:r>
        <w:rPr>
          <w:rStyle w:val="29"/>
          <w:rFonts w:ascii="Times New Roman" w:hAnsi="Times New Roman" w:eastAsia="华文楷体" w:cs="Times New Roman"/>
          <w:bCs/>
          <w:color w:val="auto"/>
          <w:sz w:val="21"/>
          <w:szCs w:val="21"/>
          <w:highlight w:val="none"/>
        </w:rPr>
        <w:t>，</w:t>
      </w:r>
      <w:r>
        <w:rPr>
          <w:rStyle w:val="29"/>
          <w:rFonts w:hint="eastAsia" w:ascii="Times New Roman" w:hAnsi="Times New Roman" w:eastAsia="华文楷体" w:cs="Times New Roman"/>
          <w:bCs/>
          <w:color w:val="auto"/>
          <w:sz w:val="21"/>
          <w:szCs w:val="21"/>
          <w:highlight w:val="none"/>
          <w:lang w:val="en-US" w:eastAsia="zh-CN"/>
        </w:rPr>
        <w:t>适用于</w:t>
      </w:r>
      <w:r>
        <w:rPr>
          <w:rStyle w:val="29"/>
          <w:rFonts w:ascii="Times New Roman" w:hAnsi="Times New Roman" w:eastAsia="华文楷体" w:cs="Times New Roman"/>
          <w:bCs/>
          <w:color w:val="auto"/>
          <w:sz w:val="21"/>
          <w:szCs w:val="21"/>
          <w:highlight w:val="none"/>
        </w:rPr>
        <w:t>大型湖库水体及工期短且满足运行条件的河道中</w:t>
      </w:r>
      <w:r>
        <w:rPr>
          <w:rStyle w:val="29"/>
          <w:rFonts w:hint="eastAsia" w:ascii="Times New Roman" w:hAnsi="Times New Roman" w:eastAsia="华文楷体" w:cs="Times New Roman"/>
          <w:bCs/>
          <w:color w:val="auto"/>
          <w:sz w:val="21"/>
          <w:szCs w:val="21"/>
          <w:highlight w:val="none"/>
          <w:lang w:eastAsia="zh-CN"/>
        </w:rPr>
        <w:t>。</w:t>
      </w:r>
      <w:r>
        <w:rPr>
          <w:rFonts w:hint="eastAsia" w:ascii="Times New Roman" w:hAnsi="Times New Roman" w:eastAsia="宋体" w:cs="Times New Roman"/>
          <w:b/>
          <w:bCs/>
          <w:color w:val="000000" w:themeColor="text1"/>
          <w:sz w:val="24"/>
          <w:szCs w:val="24"/>
          <w14:textFill>
            <w14:solidFill>
              <w14:schemeClr w14:val="tx1"/>
            </w14:solidFill>
          </w14:textFill>
        </w:rPr>
        <w:t>4.</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3</w:t>
      </w:r>
      <w:r>
        <w:rPr>
          <w:rFonts w:hint="eastAsia" w:ascii="Times New Roman" w:hAnsi="Times New Roman" w:eastAsia="宋体" w:cs="Times New Roman"/>
          <w:b/>
          <w:bCs/>
          <w:color w:val="000000" w:themeColor="text1"/>
          <w:sz w:val="24"/>
          <w:szCs w:val="24"/>
          <w14:textFill>
            <w14:solidFill>
              <w14:schemeClr w14:val="tx1"/>
            </w14:solidFill>
          </w14:textFill>
        </w:rPr>
        <w:t>.</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5</w:t>
      </w:r>
      <w:r>
        <w:rPr>
          <w:rFonts w:hint="eastAsia"/>
          <w:color w:val="000000" w:themeColor="text1"/>
          <w:sz w:val="24"/>
          <w:szCs w:val="24"/>
          <w14:textFill>
            <w14:solidFill>
              <w14:schemeClr w14:val="tx1"/>
            </w14:solidFill>
          </w14:textFill>
        </w:rPr>
        <w:t xml:space="preserve"> </w:t>
      </w:r>
      <w:bookmarkEnd w:id="140"/>
      <w:bookmarkEnd w:id="141"/>
      <w:bookmarkEnd w:id="142"/>
      <w:bookmarkStart w:id="143" w:name="_Toc35003352"/>
      <w:bookmarkStart w:id="144" w:name="_Toc34753372"/>
      <w:bookmarkStart w:id="145" w:name="_Toc35009596"/>
      <w:r>
        <w:rPr>
          <w:rFonts w:hint="eastAsia"/>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絮凝沉淀工艺</w:t>
      </w:r>
      <w:r>
        <w:rPr>
          <w:rFonts w:hint="eastAsia"/>
          <w:color w:val="000000" w:themeColor="text1"/>
          <w:sz w:val="24"/>
          <w:szCs w:val="24"/>
          <w14:textFill>
            <w14:solidFill>
              <w14:schemeClr w14:val="tx1"/>
            </w14:solidFill>
          </w14:textFill>
        </w:rPr>
        <w:t>的设计应符合下列规定：</w:t>
      </w:r>
    </w:p>
    <w:p>
      <w:pPr>
        <w:keepNext w:val="0"/>
        <w:keepLines w:val="0"/>
        <w:pageBreakBefore w:val="0"/>
        <w:widowControl w:val="0"/>
        <w:kinsoku/>
        <w:wordWrap/>
        <w:overflowPunct/>
        <w:topLinePunct w:val="0"/>
        <w:autoSpaceDE/>
        <w:autoSpaceDN/>
        <w:bidi w:val="0"/>
        <w:snapToGrid/>
        <w:ind w:firstLine="482" w:firstLineChars="200"/>
        <w:textAlignment w:val="auto"/>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1</w:t>
      </w:r>
      <w:r>
        <w:rPr>
          <w:rFonts w:hint="eastAsia" w:ascii="Times New Roman" w:hAnsi="Times New Roman" w:eastAsia="宋体" w:cs="Times New Roman"/>
          <w:color w:val="000000" w:themeColor="text1"/>
          <w:sz w:val="24"/>
          <w:szCs w:val="24"/>
          <w14:textFill>
            <w14:solidFill>
              <w14:schemeClr w14:val="tx1"/>
            </w14:solidFill>
          </w14:textFill>
        </w:rPr>
        <w:t xml:space="preserve"> </w:t>
      </w:r>
      <w:r>
        <w:rPr>
          <w:rFonts w:hint="eastAsia" w:cs="Times New Roman"/>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水力停留时间宜为15min</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20min；</w:t>
      </w:r>
    </w:p>
    <w:p>
      <w:pPr>
        <w:keepNext w:val="0"/>
        <w:keepLines w:val="0"/>
        <w:pageBreakBefore w:val="0"/>
        <w:widowControl w:val="0"/>
        <w:kinsoku/>
        <w:wordWrap/>
        <w:overflowPunct/>
        <w:topLinePunct w:val="0"/>
        <w:autoSpaceDE/>
        <w:autoSpaceDN/>
        <w:bidi w:val="0"/>
        <w:adjustRightInd w:val="0"/>
        <w:snapToGrid/>
        <w:textAlignment w:val="auto"/>
        <w:rPr>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2</w:t>
      </w:r>
      <w:r>
        <w:rPr>
          <w:rFonts w:hint="eastAsia"/>
          <w:sz w:val="24"/>
          <w:szCs w:val="24"/>
        </w:rPr>
        <w:t xml:space="preserve"> </w:t>
      </w:r>
      <w:r>
        <w:rPr>
          <w:rFonts w:hint="eastAsia"/>
          <w:sz w:val="24"/>
          <w:szCs w:val="24"/>
          <w:lang w:val="en-US" w:eastAsia="zh-CN"/>
        </w:rPr>
        <w:t xml:space="preserve"> </w:t>
      </w:r>
      <w:r>
        <w:rPr>
          <w:rFonts w:hint="eastAsia"/>
          <w:sz w:val="24"/>
          <w:szCs w:val="24"/>
        </w:rPr>
        <w:t>水力表面负荷</w:t>
      </w:r>
      <w:r>
        <w:rPr>
          <w:rFonts w:hint="eastAsia"/>
          <w:color w:val="000000" w:themeColor="text1"/>
          <w:sz w:val="24"/>
          <w:szCs w:val="24"/>
          <w14:textFill>
            <w14:solidFill>
              <w14:schemeClr w14:val="tx1"/>
            </w14:solidFill>
          </w14:textFill>
        </w:rPr>
        <w:t>宜</w:t>
      </w:r>
      <w:r>
        <w:rPr>
          <w:color w:val="000000" w:themeColor="text1"/>
          <w:sz w:val="24"/>
          <w:szCs w:val="24"/>
          <w:highlight w:val="none"/>
          <w14:textFill>
            <w14:solidFill>
              <w14:schemeClr w14:val="tx1"/>
            </w14:solidFill>
          </w14:textFill>
        </w:rPr>
        <w:t>为10m</w:t>
      </w:r>
      <w:r>
        <w:rPr>
          <w:color w:val="000000" w:themeColor="text1"/>
          <w:sz w:val="24"/>
          <w:szCs w:val="24"/>
          <w:highlight w:val="none"/>
          <w:vertAlign w:val="superscript"/>
          <w14:textFill>
            <w14:solidFill>
              <w14:schemeClr w14:val="tx1"/>
            </w14:solidFill>
          </w14:textFill>
        </w:rPr>
        <w:t>3</w:t>
      </w:r>
      <w:r>
        <w:rPr>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w:t>
      </w:r>
      <w:r>
        <w:rPr>
          <w:color w:val="000000" w:themeColor="text1"/>
          <w:sz w:val="24"/>
          <w:szCs w:val="24"/>
          <w:highlight w:val="none"/>
          <w14:textFill>
            <w14:solidFill>
              <w14:schemeClr w14:val="tx1"/>
            </w14:solidFill>
          </w14:textFill>
        </w:rPr>
        <w:t>m</w:t>
      </w:r>
      <w:r>
        <w:rPr>
          <w:color w:val="000000" w:themeColor="text1"/>
          <w:sz w:val="24"/>
          <w:szCs w:val="24"/>
          <w:highlight w:val="none"/>
          <w:vertAlign w:val="superscript"/>
          <w14:textFill>
            <w14:solidFill>
              <w14:schemeClr w14:val="tx1"/>
            </w14:solidFill>
          </w14:textFill>
        </w:rPr>
        <w:t>2</w:t>
      </w:r>
      <w:r>
        <w:rPr>
          <w:color w:val="000000" w:themeColor="text1"/>
          <w:sz w:val="24"/>
          <w:szCs w:val="24"/>
          <w:highlight w:val="none"/>
          <w14:textFill>
            <w14:solidFill>
              <w14:schemeClr w14:val="tx1"/>
            </w14:solidFill>
          </w14:textFill>
        </w:rPr>
        <w:t>·h</w:t>
      </w:r>
      <w:r>
        <w:rPr>
          <w:rFonts w:hint="eastAsia"/>
          <w:color w:val="000000" w:themeColor="text1"/>
          <w:sz w:val="24"/>
          <w:szCs w:val="24"/>
          <w:highlight w:val="none"/>
          <w:lang w:val="en-US" w:eastAsia="zh-CN"/>
          <w14:textFill>
            <w14:solidFill>
              <w14:schemeClr w14:val="tx1"/>
            </w14:solidFill>
          </w14:textFill>
        </w:rPr>
        <w:t>)</w:t>
      </w:r>
      <w:r>
        <w:rPr>
          <w:color w:val="000000" w:themeColor="text1"/>
          <w:sz w:val="24"/>
          <w:szCs w:val="24"/>
          <w:highlight w:val="none"/>
          <w14:textFill>
            <w14:solidFill>
              <w14:schemeClr w14:val="tx1"/>
            </w14:solidFill>
          </w14:textFill>
        </w:rPr>
        <w:t>～100m</w:t>
      </w:r>
      <w:r>
        <w:rPr>
          <w:color w:val="000000" w:themeColor="text1"/>
          <w:sz w:val="24"/>
          <w:szCs w:val="24"/>
          <w:highlight w:val="none"/>
          <w:vertAlign w:val="superscript"/>
          <w14:textFill>
            <w14:solidFill>
              <w14:schemeClr w14:val="tx1"/>
            </w14:solidFill>
          </w14:textFill>
        </w:rPr>
        <w:t>3</w:t>
      </w:r>
      <w:r>
        <w:rPr>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w:t>
      </w:r>
      <w:r>
        <w:rPr>
          <w:color w:val="000000" w:themeColor="text1"/>
          <w:sz w:val="24"/>
          <w:szCs w:val="24"/>
          <w:highlight w:val="none"/>
          <w14:textFill>
            <w14:solidFill>
              <w14:schemeClr w14:val="tx1"/>
            </w14:solidFill>
          </w14:textFill>
        </w:rPr>
        <w:t>m</w:t>
      </w:r>
      <w:r>
        <w:rPr>
          <w:color w:val="000000" w:themeColor="text1"/>
          <w:sz w:val="24"/>
          <w:szCs w:val="24"/>
          <w:highlight w:val="none"/>
          <w:vertAlign w:val="superscript"/>
          <w14:textFill>
            <w14:solidFill>
              <w14:schemeClr w14:val="tx1"/>
            </w14:solidFill>
          </w14:textFill>
        </w:rPr>
        <w:t>2</w:t>
      </w:r>
      <w:r>
        <w:rPr>
          <w:color w:val="000000" w:themeColor="text1"/>
          <w:sz w:val="24"/>
          <w:szCs w:val="24"/>
          <w:highlight w:val="none"/>
          <w14:textFill>
            <w14:solidFill>
              <w14:schemeClr w14:val="tx1"/>
            </w14:solidFill>
          </w14:textFill>
        </w:rPr>
        <w:t>·h</w:t>
      </w:r>
      <w:r>
        <w:rPr>
          <w:rFonts w:hint="eastAsia"/>
          <w:color w:val="000000" w:themeColor="text1"/>
          <w:sz w:val="24"/>
          <w:szCs w:val="24"/>
          <w:highlight w:val="none"/>
          <w:lang w:val="en-US" w:eastAsia="zh-CN"/>
          <w14:textFill>
            <w14:solidFill>
              <w14:schemeClr w14:val="tx1"/>
            </w14:solidFill>
          </w14:textFill>
        </w:rPr>
        <w:t>)</w:t>
      </w:r>
      <w:r>
        <w:rPr>
          <w:color w:val="000000" w:themeColor="text1"/>
          <w:sz w:val="24"/>
          <w:szCs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snapToGrid/>
        <w:ind w:firstLine="482" w:firstLineChars="200"/>
        <w:textAlignment w:val="auto"/>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3</w:t>
      </w:r>
      <w:r>
        <w:rPr>
          <w:rFonts w:hint="eastAsia" w:ascii="Times New Roman" w:hAnsi="Times New Roman" w:eastAsia="宋体" w:cs="Times New Roman"/>
          <w:color w:val="000000" w:themeColor="text1"/>
          <w:sz w:val="24"/>
          <w:szCs w:val="24"/>
          <w14:textFill>
            <w14:solidFill>
              <w14:schemeClr w14:val="tx1"/>
            </w14:solidFill>
          </w14:textFill>
        </w:rPr>
        <w:t xml:space="preserve"> </w:t>
      </w:r>
      <w:r>
        <w:rPr>
          <w:rFonts w:hint="eastAsia" w:cs="Times New Roman"/>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搅拌应采用机械搅拌，搅拌设备宜采用浆式搅拌器</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p>
    <w:p>
      <w:pPr>
        <w:ind w:firstLine="0" w:firstLineChars="0"/>
        <w:rPr>
          <w:rFonts w:hint="eastAsia" w:ascii="Times New Roman" w:hAnsi="Times New Roman" w:eastAsia="宋体" w:cs="Times New Roman"/>
          <w:color w:val="000000" w:themeColor="text1"/>
          <w:sz w:val="24"/>
          <w:szCs w:val="24"/>
          <w:lang w:eastAsia="zh-CN"/>
          <w14:textFill>
            <w14:solidFill>
              <w14:schemeClr w14:val="tx1"/>
            </w14:solidFill>
          </w14:textFill>
        </w:rPr>
      </w:pPr>
      <w:bookmarkStart w:id="146" w:name="_Toc25522"/>
      <w:r>
        <w:rPr>
          <w:rFonts w:hint="eastAsia" w:ascii="Times New Roman" w:hAnsi="Times New Roman" w:eastAsia="宋体" w:cs="Times New Roman"/>
          <w:b/>
          <w:bCs/>
          <w:color w:val="000000" w:themeColor="text1"/>
          <w:sz w:val="24"/>
          <w:szCs w:val="24"/>
          <w14:textFill>
            <w14:solidFill>
              <w14:schemeClr w14:val="tx1"/>
            </w14:solidFill>
          </w14:textFill>
        </w:rPr>
        <w:t>4.</w:t>
      </w:r>
      <w:r>
        <w:rPr>
          <w:rFonts w:hint="eastAsia" w:cs="Times New Roman"/>
          <w:b/>
          <w:bCs/>
          <w:color w:val="000000" w:themeColor="text1"/>
          <w:sz w:val="24"/>
          <w:szCs w:val="24"/>
          <w:lang w:val="en-US" w:eastAsia="zh-CN"/>
          <w14:textFill>
            <w14:solidFill>
              <w14:schemeClr w14:val="tx1"/>
            </w14:solidFill>
          </w14:textFill>
        </w:rPr>
        <w:t>3</w:t>
      </w:r>
      <w:r>
        <w:rPr>
          <w:rFonts w:hint="eastAsia" w:ascii="Times New Roman" w:hAnsi="Times New Roman" w:eastAsia="宋体" w:cs="Times New Roman"/>
          <w:b/>
          <w:bCs/>
          <w:color w:val="000000" w:themeColor="text1"/>
          <w:sz w:val="24"/>
          <w:szCs w:val="24"/>
          <w14:textFill>
            <w14:solidFill>
              <w14:schemeClr w14:val="tx1"/>
            </w14:solidFill>
          </w14:textFill>
        </w:rPr>
        <w:t>.</w:t>
      </w:r>
      <w:r>
        <w:rPr>
          <w:rFonts w:hint="eastAsia" w:cs="Times New Roman"/>
          <w:b/>
          <w:bCs/>
          <w:color w:val="000000" w:themeColor="text1"/>
          <w:sz w:val="24"/>
          <w:szCs w:val="24"/>
          <w:lang w:val="en-US" w:eastAsia="zh-CN"/>
          <w14:textFill>
            <w14:solidFill>
              <w14:schemeClr w14:val="tx1"/>
            </w14:solidFill>
          </w14:textFill>
        </w:rPr>
        <w:t>6</w:t>
      </w:r>
      <w:r>
        <w:rPr>
          <w:rFonts w:hint="eastAsia" w:ascii="Times New Roman" w:hAnsi="Times New Roman" w:eastAsia="宋体" w:cs="Times New Roman"/>
          <w:color w:val="000000" w:themeColor="text1"/>
          <w:sz w:val="24"/>
          <w:szCs w:val="24"/>
          <w14:textFill>
            <w14:solidFill>
              <w14:schemeClr w14:val="tx1"/>
            </w14:solidFill>
          </w14:textFill>
        </w:rPr>
        <w:t xml:space="preserve"> </w:t>
      </w:r>
      <w:bookmarkEnd w:id="143"/>
      <w:bookmarkEnd w:id="144"/>
      <w:bookmarkEnd w:id="145"/>
      <w:bookmarkStart w:id="147" w:name="_Toc35003353"/>
      <w:bookmarkStart w:id="148" w:name="_Toc34753373"/>
      <w:bookmarkStart w:id="149" w:name="_Toc35009597"/>
      <w:r>
        <w:rPr>
          <w:rFonts w:hint="eastAsia" w:cs="Times New Roman"/>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磁加载技术的设计应符合下列规定</w:t>
      </w:r>
      <w:bookmarkEnd w:id="146"/>
      <w:r>
        <w:rPr>
          <w:rFonts w:hint="eastAsia" w:cs="Times New Roman"/>
          <w:color w:val="000000" w:themeColor="text1"/>
          <w:sz w:val="24"/>
          <w:szCs w:val="24"/>
          <w:lang w:eastAsia="zh-CN"/>
          <w14:textFill>
            <w14:solidFill>
              <w14:schemeClr w14:val="tx1"/>
            </w14:solidFill>
          </w14:textFill>
        </w:rPr>
        <w:t>：</w:t>
      </w:r>
    </w:p>
    <w:p>
      <w:pPr>
        <w:adjustRightInd w:val="0"/>
        <w:snapToGrid w:val="0"/>
        <w:ind w:firstLine="420" w:firstLineChars="0"/>
        <w:rPr>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1</w:t>
      </w:r>
      <w:r>
        <w:rPr>
          <w:rFonts w:hint="eastAsia"/>
          <w:color w:val="000000" w:themeColor="text1"/>
          <w:sz w:val="24"/>
          <w:szCs w:val="24"/>
          <w14:textFill>
            <w14:solidFill>
              <w14:schemeClr w14:val="tx1"/>
            </w14:solidFill>
          </w14:textFill>
        </w:rPr>
        <w:t xml:space="preserve">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磁加载处理系统包含絮凝池</w:t>
      </w:r>
      <w:r>
        <w:rPr>
          <w:rFonts w:hint="eastAsia"/>
          <w:color w:val="000000" w:themeColor="text1"/>
          <w:sz w:val="24"/>
          <w:szCs w:val="24"/>
          <w:lang w:val="en-US" w:eastAsia="zh-CN"/>
          <w14:textFill>
            <w14:solidFill>
              <w14:schemeClr w14:val="tx1"/>
            </w14:solidFill>
          </w14:textFill>
        </w:rPr>
        <w:t>和磁处理单元</w:t>
      </w:r>
      <w:r>
        <w:rPr>
          <w:rFonts w:hint="eastAsia"/>
          <w:color w:val="000000" w:themeColor="text1"/>
          <w:sz w:val="24"/>
          <w:szCs w:val="24"/>
          <w14:textFill>
            <w14:solidFill>
              <w14:schemeClr w14:val="tx1"/>
            </w14:solidFill>
          </w14:textFill>
        </w:rPr>
        <w:t>；</w:t>
      </w:r>
    </w:p>
    <w:p>
      <w:pPr>
        <w:adjustRightInd w:val="0"/>
        <w:snapToGrid w:val="0"/>
        <w:ind w:firstLine="420" w:firstLineChars="0"/>
        <w:rPr>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 xml:space="preserve">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絮凝池水力停留时间</w:t>
      </w:r>
      <w:r>
        <w:rPr>
          <w:rFonts w:hint="eastAsia"/>
          <w:color w:val="000000" w:themeColor="text1"/>
          <w:sz w:val="24"/>
          <w:szCs w:val="24"/>
          <w:lang w:val="en-US" w:eastAsia="zh-CN"/>
          <w14:textFill>
            <w14:solidFill>
              <w14:schemeClr w14:val="tx1"/>
            </w14:solidFill>
          </w14:textFill>
        </w:rPr>
        <w:t>为</w:t>
      </w:r>
      <w:r>
        <w:rPr>
          <w:rFonts w:hint="eastAsia"/>
          <w:color w:val="000000" w:themeColor="text1"/>
          <w:sz w:val="24"/>
          <w:szCs w:val="24"/>
          <w14:textFill>
            <w14:solidFill>
              <w14:schemeClr w14:val="tx1"/>
            </w14:solidFill>
          </w14:textFill>
        </w:rPr>
        <w:t>3min</w:t>
      </w:r>
      <w:r>
        <w:rPr>
          <w:rFonts w:hint="eastAsia"/>
          <w:color w:val="000000" w:themeColor="text1"/>
          <w:sz w:val="24"/>
          <w:szCs w:val="24"/>
          <w:lang w:val="en-US" w:eastAsia="zh-CN"/>
          <w14:textFill>
            <w14:solidFill>
              <w14:schemeClr w14:val="tx1"/>
            </w14:solidFill>
          </w14:textFill>
        </w:rPr>
        <w:t>~</w:t>
      </w:r>
      <w:r>
        <w:rPr>
          <w:rFonts w:hint="eastAsia"/>
          <w:color w:val="000000" w:themeColor="text1"/>
          <w:sz w:val="24"/>
          <w:szCs w:val="24"/>
          <w14:textFill>
            <w14:solidFill>
              <w14:schemeClr w14:val="tx1"/>
            </w14:solidFill>
          </w14:textFill>
        </w:rPr>
        <w:t>4min；</w:t>
      </w:r>
    </w:p>
    <w:p>
      <w:pPr>
        <w:adjustRightInd w:val="0"/>
        <w:snapToGrid w:val="0"/>
        <w:ind w:firstLine="420" w:firstLineChars="0"/>
        <w:rPr>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3</w:t>
      </w:r>
      <w:r>
        <w:rPr>
          <w:rFonts w:hint="eastAsia"/>
          <w:color w:val="000000" w:themeColor="text1"/>
          <w:sz w:val="24"/>
          <w:szCs w:val="24"/>
          <w14:textFill>
            <w14:solidFill>
              <w14:schemeClr w14:val="tx1"/>
            </w14:solidFill>
          </w14:textFill>
        </w:rPr>
        <w:t xml:space="preserve">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搅拌采用机械搅拌，搅拌设备采用桨式搅拌器；</w:t>
      </w:r>
    </w:p>
    <w:p>
      <w:pPr>
        <w:adjustRightInd w:val="0"/>
        <w:snapToGrid w:val="0"/>
        <w:ind w:firstLine="420" w:firstLineChars="0"/>
        <w:rPr>
          <w:color w:val="000000" w:themeColor="text1"/>
          <w:sz w:val="24"/>
          <w:szCs w:val="24"/>
          <w:highlight w:val="yellow"/>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4</w:t>
      </w:r>
      <w:r>
        <w:rPr>
          <w:rFonts w:hint="eastAsia"/>
          <w:color w:val="000000" w:themeColor="text1"/>
          <w:sz w:val="24"/>
          <w:szCs w:val="24"/>
          <w:highlight w:val="none"/>
          <w14:textFill>
            <w14:solidFill>
              <w14:schemeClr w14:val="tx1"/>
            </w14:solidFill>
          </w14:textFill>
        </w:rPr>
        <w:t xml:space="preserve"> </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磁处理单元由磁吸附装置和磁回收装置组成；</w:t>
      </w:r>
    </w:p>
    <w:p>
      <w:pPr>
        <w:adjustRightInd w:val="0"/>
        <w:snapToGrid w:val="0"/>
        <w:ind w:firstLine="420" w:firstLineChars="0"/>
        <w:rPr>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5</w:t>
      </w:r>
      <w:r>
        <w:rPr>
          <w:rFonts w:hint="eastAsia"/>
          <w:color w:val="000000" w:themeColor="text1"/>
          <w:sz w:val="24"/>
          <w:szCs w:val="24"/>
          <w14:textFill>
            <w14:solidFill>
              <w14:schemeClr w14:val="tx1"/>
            </w14:solidFill>
          </w14:textFill>
        </w:rPr>
        <w:t xml:space="preserve">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磁吸附和磁回收装置</w:t>
      </w:r>
      <w:r>
        <w:rPr>
          <w:rFonts w:hint="eastAsia"/>
          <w:color w:val="000000" w:themeColor="text1"/>
          <w:sz w:val="24"/>
          <w:szCs w:val="24"/>
          <w:lang w:val="en-US" w:eastAsia="zh-CN"/>
          <w14:textFill>
            <w14:solidFill>
              <w14:schemeClr w14:val="tx1"/>
            </w14:solidFill>
          </w14:textFill>
        </w:rPr>
        <w:t>应</w:t>
      </w:r>
      <w:r>
        <w:rPr>
          <w:rFonts w:hint="eastAsia"/>
          <w:color w:val="000000" w:themeColor="text1"/>
          <w:sz w:val="24"/>
          <w:szCs w:val="24"/>
          <w14:textFill>
            <w14:solidFill>
              <w14:schemeClr w14:val="tx1"/>
            </w14:solidFill>
          </w14:textFill>
        </w:rPr>
        <w:t>采用防晒、防腐和保温措施；</w:t>
      </w:r>
    </w:p>
    <w:p>
      <w:pPr>
        <w:adjustRightInd w:val="0"/>
        <w:snapToGrid w:val="0"/>
        <w:ind w:firstLine="420" w:firstLineChars="0"/>
        <w:rPr>
          <w:rFonts w:hint="eastAsia"/>
          <w:color w:val="000000" w:themeColor="text1"/>
          <w:sz w:val="24"/>
          <w:szCs w:val="24"/>
          <w:lang w:eastAsia="zh-CN"/>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6</w:t>
      </w:r>
      <w:r>
        <w:rPr>
          <w:rFonts w:hint="eastAsia"/>
          <w:color w:val="000000" w:themeColor="text1"/>
          <w:sz w:val="24"/>
          <w:szCs w:val="24"/>
          <w14:textFill>
            <w14:solidFill>
              <w14:schemeClr w14:val="tx1"/>
            </w14:solidFill>
          </w14:textFill>
        </w:rPr>
        <w:t xml:space="preserve"> </w:t>
      </w:r>
      <w:r>
        <w:rPr>
          <w:rFonts w:hint="eastAsia"/>
          <w:color w:val="000000" w:themeColor="text1"/>
          <w:sz w:val="24"/>
          <w:szCs w:val="24"/>
          <w:lang w:val="en-US" w:eastAsia="zh-CN"/>
          <w14:textFill>
            <w14:solidFill>
              <w14:schemeClr w14:val="tx1"/>
            </w14:solidFill>
          </w14:textFill>
        </w:rPr>
        <w:t xml:space="preserve"> 磁介质回收</w:t>
      </w:r>
      <w:r>
        <w:rPr>
          <w:rFonts w:hint="eastAsia"/>
          <w:color w:val="000000" w:themeColor="text1"/>
          <w:sz w:val="24"/>
          <w:szCs w:val="24"/>
          <w14:textFill>
            <w14:solidFill>
              <w14:schemeClr w14:val="tx1"/>
            </w14:solidFill>
          </w14:textFill>
        </w:rPr>
        <w:t>管路</w:t>
      </w:r>
      <w:r>
        <w:rPr>
          <w:rFonts w:hint="eastAsia"/>
          <w:color w:val="000000" w:themeColor="text1"/>
          <w:sz w:val="24"/>
          <w:szCs w:val="24"/>
          <w:lang w:val="en-US" w:eastAsia="zh-CN"/>
          <w14:textFill>
            <w14:solidFill>
              <w14:schemeClr w14:val="tx1"/>
            </w14:solidFill>
          </w14:textFill>
        </w:rPr>
        <w:t>应</w:t>
      </w:r>
      <w:r>
        <w:rPr>
          <w:rFonts w:hint="eastAsia"/>
          <w:color w:val="000000" w:themeColor="text1"/>
          <w:sz w:val="24"/>
          <w:szCs w:val="24"/>
          <w14:textFill>
            <w14:solidFill>
              <w14:schemeClr w14:val="tx1"/>
            </w14:solidFill>
          </w14:textFill>
        </w:rPr>
        <w:t>设置冲洗配套设施</w:t>
      </w:r>
      <w:r>
        <w:rPr>
          <w:rFonts w:hint="eastAsia"/>
          <w:color w:val="000000" w:themeColor="text1"/>
          <w:sz w:val="24"/>
          <w:szCs w:val="24"/>
          <w:lang w:eastAsia="zh-CN"/>
          <w14:textFill>
            <w14:solidFill>
              <w14:schemeClr w14:val="tx1"/>
            </w14:solidFill>
          </w14:textFill>
        </w:rPr>
        <w:t>。</w:t>
      </w:r>
    </w:p>
    <w:p>
      <w:pPr>
        <w:pStyle w:val="19"/>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baseline"/>
        <w:rPr>
          <w:rStyle w:val="29"/>
          <w:rFonts w:ascii="Times New Roman" w:hAnsi="Times New Roman" w:eastAsia="华文楷体" w:cs="Times New Roman"/>
          <w:bCs/>
          <w:color w:val="auto"/>
          <w:kern w:val="2"/>
          <w:sz w:val="21"/>
          <w:szCs w:val="21"/>
          <w:highlight w:val="none"/>
        </w:rPr>
      </w:pPr>
      <w:r>
        <w:rPr>
          <w:rStyle w:val="29"/>
          <w:rFonts w:ascii="Times New Roman" w:hAnsi="Times New Roman" w:eastAsia="华文楷体" w:cs="Times New Roman"/>
          <w:bCs/>
          <w:color w:val="auto"/>
          <w:kern w:val="2"/>
          <w:sz w:val="21"/>
          <w:szCs w:val="21"/>
          <w:highlight w:val="none"/>
        </w:rPr>
        <w:t>【条文说明】磁介质</w:t>
      </w:r>
      <w:r>
        <w:rPr>
          <w:rStyle w:val="29"/>
          <w:rFonts w:hint="eastAsia" w:ascii="Times New Roman" w:hAnsi="Times New Roman" w:eastAsia="华文楷体" w:cs="Times New Roman"/>
          <w:bCs/>
          <w:color w:val="auto"/>
          <w:kern w:val="2"/>
          <w:sz w:val="21"/>
          <w:szCs w:val="21"/>
          <w:highlight w:val="none"/>
          <w:lang w:val="en-US" w:eastAsia="zh-CN"/>
        </w:rPr>
        <w:t>的</w:t>
      </w:r>
      <w:r>
        <w:rPr>
          <w:rStyle w:val="29"/>
          <w:rFonts w:ascii="Times New Roman" w:hAnsi="Times New Roman" w:eastAsia="华文楷体" w:cs="Times New Roman"/>
          <w:bCs/>
          <w:color w:val="auto"/>
          <w:kern w:val="2"/>
          <w:sz w:val="21"/>
          <w:szCs w:val="21"/>
          <w:highlight w:val="none"/>
        </w:rPr>
        <w:t>主要成分为Fe</w:t>
      </w:r>
      <w:r>
        <w:rPr>
          <w:rStyle w:val="29"/>
          <w:rFonts w:hint="eastAsia" w:ascii="Times New Roman" w:hAnsi="Times New Roman" w:eastAsia="华文楷体" w:cs="Times New Roman"/>
          <w:bCs/>
          <w:color w:val="auto"/>
          <w:kern w:val="2"/>
          <w:sz w:val="21"/>
          <w:szCs w:val="21"/>
          <w:highlight w:val="none"/>
          <w:vertAlign w:val="subscript"/>
          <w:lang w:val="en-US" w:eastAsia="zh-CN"/>
        </w:rPr>
        <w:t>2</w:t>
      </w:r>
      <w:r>
        <w:rPr>
          <w:rStyle w:val="29"/>
          <w:rFonts w:ascii="Times New Roman" w:hAnsi="Times New Roman" w:eastAsia="华文楷体" w:cs="Times New Roman"/>
          <w:bCs/>
          <w:color w:val="auto"/>
          <w:kern w:val="2"/>
          <w:sz w:val="21"/>
          <w:szCs w:val="21"/>
          <w:highlight w:val="none"/>
        </w:rPr>
        <w:t>O</w:t>
      </w:r>
      <w:r>
        <w:rPr>
          <w:rStyle w:val="29"/>
          <w:rFonts w:hint="eastAsia" w:ascii="Times New Roman" w:hAnsi="Times New Roman" w:eastAsia="华文楷体" w:cs="Times New Roman"/>
          <w:bCs/>
          <w:color w:val="auto"/>
          <w:kern w:val="2"/>
          <w:sz w:val="21"/>
          <w:szCs w:val="21"/>
          <w:highlight w:val="none"/>
          <w:vertAlign w:val="subscript"/>
          <w:lang w:eastAsia="zh-CN"/>
        </w:rPr>
        <w:t>3</w:t>
      </w:r>
      <w:r>
        <w:rPr>
          <w:rStyle w:val="29"/>
          <w:rFonts w:ascii="Times New Roman" w:hAnsi="Times New Roman" w:eastAsia="华文楷体" w:cs="Times New Roman"/>
          <w:bCs/>
          <w:color w:val="auto"/>
          <w:kern w:val="2"/>
          <w:sz w:val="21"/>
          <w:szCs w:val="21"/>
          <w:highlight w:val="none"/>
        </w:rPr>
        <w:t>，在停泵维护及回收磁介质过程中，磁介质污泥可能会产生淤积，需配套设置冲洗装置。</w:t>
      </w:r>
    </w:p>
    <w:p>
      <w:pPr>
        <w:ind w:firstLine="0" w:firstLineChars="0"/>
        <w:rPr>
          <w:rFonts w:hint="eastAsia" w:ascii="Times New Roman" w:hAnsi="Times New Roman" w:eastAsia="宋体" w:cs="Times New Roman"/>
          <w:color w:val="000000" w:themeColor="text1"/>
          <w:sz w:val="24"/>
          <w:szCs w:val="24"/>
          <w14:textFill>
            <w14:solidFill>
              <w14:schemeClr w14:val="tx1"/>
            </w14:solidFill>
          </w14:textFill>
        </w:rPr>
      </w:pPr>
      <w:bookmarkStart w:id="150" w:name="_Toc13540"/>
      <w:r>
        <w:rPr>
          <w:rFonts w:hint="eastAsia" w:ascii="Times New Roman" w:hAnsi="Times New Roman" w:eastAsia="宋体" w:cs="Times New Roman"/>
          <w:b/>
          <w:bCs/>
          <w:color w:val="000000" w:themeColor="text1"/>
          <w:sz w:val="24"/>
          <w:szCs w:val="24"/>
          <w14:textFill>
            <w14:solidFill>
              <w14:schemeClr w14:val="tx1"/>
            </w14:solidFill>
          </w14:textFill>
        </w:rPr>
        <w:t>4.</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3</w:t>
      </w:r>
      <w:r>
        <w:rPr>
          <w:rFonts w:hint="eastAsia" w:ascii="Times New Roman" w:hAnsi="Times New Roman" w:eastAsia="宋体" w:cs="Times New Roman"/>
          <w:b/>
          <w:bCs/>
          <w:color w:val="000000" w:themeColor="text1"/>
          <w:sz w:val="24"/>
          <w:szCs w:val="24"/>
          <w14:textFill>
            <w14:solidFill>
              <w14:schemeClr w14:val="tx1"/>
            </w14:solidFill>
          </w14:textFill>
        </w:rPr>
        <w:t>.</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7</w:t>
      </w:r>
      <w:r>
        <w:rPr>
          <w:rFonts w:hint="eastAsia" w:ascii="Times New Roman" w:hAnsi="Times New Roman" w:eastAsia="宋体" w:cs="Times New Roman"/>
          <w:color w:val="000000" w:themeColor="text1"/>
          <w:sz w:val="24"/>
          <w:szCs w:val="24"/>
          <w14:textFill>
            <w14:solidFill>
              <w14:schemeClr w14:val="tx1"/>
            </w14:solidFill>
          </w14:textFill>
        </w:rPr>
        <w:t xml:space="preserve"> </w:t>
      </w:r>
      <w:r>
        <w:rPr>
          <w:rFonts w:hint="eastAsia" w:cs="Times New Roman"/>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药剂配置和投加比例的设计应符合下列规定：</w:t>
      </w:r>
      <w:bookmarkEnd w:id="150"/>
    </w:p>
    <w:p>
      <w:pPr>
        <w:adjustRightInd w:val="0"/>
        <w:snapToGrid w:val="0"/>
        <w:ind w:firstLine="420" w:firstLineChars="0"/>
        <w:rPr>
          <w:sz w:val="24"/>
          <w:szCs w:val="24"/>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1</w:t>
      </w:r>
      <w:r>
        <w:rPr>
          <w:rFonts w:hint="eastAsia"/>
          <w:sz w:val="24"/>
          <w:szCs w:val="24"/>
        </w:rPr>
        <w:t xml:space="preserve"> </w:t>
      </w:r>
      <w:r>
        <w:rPr>
          <w:rFonts w:hint="eastAsia"/>
          <w:sz w:val="24"/>
          <w:szCs w:val="24"/>
          <w:lang w:val="en-US" w:eastAsia="zh-CN"/>
        </w:rPr>
        <w:t xml:space="preserve"> </w:t>
      </w:r>
      <w:r>
        <w:rPr>
          <w:rFonts w:hint="eastAsia"/>
          <w:sz w:val="24"/>
          <w:szCs w:val="24"/>
        </w:rPr>
        <w:t>絮凝剂</w:t>
      </w:r>
      <w:r>
        <w:rPr>
          <w:rFonts w:hint="eastAsia"/>
          <w:sz w:val="24"/>
          <w:szCs w:val="24"/>
          <w:lang w:val="en-US" w:eastAsia="zh-CN"/>
        </w:rPr>
        <w:t>应</w:t>
      </w:r>
      <w:r>
        <w:rPr>
          <w:rFonts w:hint="eastAsia"/>
          <w:sz w:val="24"/>
          <w:szCs w:val="24"/>
        </w:rPr>
        <w:t>选用聚</w:t>
      </w:r>
      <w:r>
        <w:rPr>
          <w:rFonts w:hint="eastAsia"/>
          <w:sz w:val="24"/>
          <w:szCs w:val="24"/>
          <w:lang w:val="en-US" w:eastAsia="zh-CN"/>
        </w:rPr>
        <w:t>合氯化铝</w:t>
      </w:r>
      <w:r>
        <w:rPr>
          <w:rFonts w:hint="eastAsia"/>
          <w:sz w:val="24"/>
          <w:szCs w:val="24"/>
        </w:rPr>
        <w:t>（PA</w:t>
      </w:r>
      <w:r>
        <w:rPr>
          <w:rFonts w:hint="eastAsia"/>
          <w:sz w:val="24"/>
          <w:szCs w:val="24"/>
          <w:lang w:val="en-US" w:eastAsia="zh-CN"/>
        </w:rPr>
        <w:t>C</w:t>
      </w:r>
      <w:r>
        <w:rPr>
          <w:rFonts w:hint="eastAsia"/>
          <w:sz w:val="24"/>
          <w:szCs w:val="24"/>
        </w:rPr>
        <w:t>）；</w:t>
      </w:r>
    </w:p>
    <w:p>
      <w:pPr>
        <w:adjustRightInd w:val="0"/>
        <w:snapToGrid w:val="0"/>
        <w:ind w:firstLine="420" w:firstLineChars="0"/>
        <w:rPr>
          <w:rFonts w:hint="eastAsia" w:eastAsia="宋体"/>
          <w:sz w:val="24"/>
          <w:szCs w:val="24"/>
          <w:vertAlign w:val="baseline"/>
          <w:lang w:eastAsia="zh-CN"/>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sz w:val="24"/>
          <w:szCs w:val="24"/>
        </w:rPr>
        <w:t xml:space="preserve"> </w:t>
      </w:r>
      <w:r>
        <w:rPr>
          <w:rFonts w:hint="eastAsia"/>
          <w:sz w:val="24"/>
          <w:szCs w:val="24"/>
          <w:lang w:val="en-US" w:eastAsia="zh-CN"/>
        </w:rPr>
        <w:t xml:space="preserve"> </w:t>
      </w:r>
      <w:r>
        <w:rPr>
          <w:rFonts w:hint="eastAsia"/>
          <w:sz w:val="24"/>
          <w:szCs w:val="24"/>
        </w:rPr>
        <w:t>絮凝过程中，根据上岸洗脱水水质变化调整投加的絮凝剂用量</w:t>
      </w:r>
      <w:r>
        <w:rPr>
          <w:rFonts w:hint="eastAsia"/>
          <w:sz w:val="24"/>
          <w:szCs w:val="24"/>
          <w:lang w:eastAsia="zh-CN"/>
        </w:rPr>
        <w:t>，</w:t>
      </w:r>
      <w:r>
        <w:rPr>
          <w:rFonts w:hint="eastAsia"/>
          <w:sz w:val="24"/>
          <w:szCs w:val="24"/>
          <w:lang w:val="en-US" w:eastAsia="zh-CN"/>
        </w:rPr>
        <w:t>初始投加药剂的用量应为40g~60g/m</w:t>
      </w:r>
      <w:r>
        <w:rPr>
          <w:rFonts w:hint="eastAsia"/>
          <w:sz w:val="24"/>
          <w:szCs w:val="24"/>
          <w:vertAlign w:val="superscript"/>
          <w:lang w:val="en-US" w:eastAsia="zh-CN"/>
        </w:rPr>
        <w:t>2</w:t>
      </w:r>
      <w:r>
        <w:rPr>
          <w:rFonts w:hint="eastAsia"/>
          <w:sz w:val="24"/>
          <w:szCs w:val="24"/>
          <w:vertAlign w:val="baseline"/>
          <w:lang w:val="en-US" w:eastAsia="zh-CN"/>
        </w:rPr>
        <w:t>。</w:t>
      </w:r>
    </w:p>
    <w:p>
      <w:pPr>
        <w:adjustRightInd w:val="0"/>
        <w:snapToGrid w:val="0"/>
        <w:ind w:firstLine="420" w:firstLineChars="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3</w:t>
      </w:r>
      <w:r>
        <w:rPr>
          <w:rFonts w:hint="eastAsia" w:ascii="Times New Roman" w:hAnsi="Times New Roman" w:eastAsia="宋体" w:cs="Times New Roman"/>
          <w:sz w:val="24"/>
          <w:szCs w:val="24"/>
          <w:lang w:val="en-US" w:eastAsia="zh-CN"/>
        </w:rPr>
        <w:t xml:space="preserve"> </w:t>
      </w:r>
      <w:r>
        <w:rPr>
          <w:rFonts w:hint="eastAsia" w:cs="Times New Roman"/>
          <w:sz w:val="24"/>
          <w:szCs w:val="24"/>
          <w:lang w:val="en-US" w:eastAsia="zh-CN"/>
        </w:rPr>
        <w:t xml:space="preserve"> </w:t>
      </w:r>
      <w:r>
        <w:rPr>
          <w:rFonts w:hint="eastAsia" w:ascii="Times New Roman" w:hAnsi="Times New Roman" w:eastAsia="宋体" w:cs="Times New Roman"/>
          <w:sz w:val="24"/>
          <w:szCs w:val="24"/>
          <w:lang w:val="en-US" w:eastAsia="zh-CN"/>
        </w:rPr>
        <w:t>加药箱搅拌应采用机械搅拌，搅拌设备</w:t>
      </w:r>
      <w:r>
        <w:rPr>
          <w:rFonts w:hint="eastAsia" w:cs="Times New Roman"/>
          <w:sz w:val="24"/>
          <w:szCs w:val="24"/>
          <w:lang w:val="en-US" w:eastAsia="zh-CN"/>
        </w:rPr>
        <w:t>应</w:t>
      </w:r>
      <w:r>
        <w:rPr>
          <w:rFonts w:hint="eastAsia" w:ascii="Times New Roman" w:hAnsi="Times New Roman" w:eastAsia="宋体" w:cs="Times New Roman"/>
          <w:sz w:val="24"/>
          <w:szCs w:val="24"/>
          <w:lang w:val="en-US" w:eastAsia="zh-CN"/>
        </w:rPr>
        <w:t>采用桨式搅拌器。</w:t>
      </w:r>
    </w:p>
    <w:p>
      <w:pPr>
        <w:pStyle w:val="19"/>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baseline"/>
        <w:rPr>
          <w:rStyle w:val="29"/>
          <w:rFonts w:ascii="Times New Roman" w:hAnsi="Times New Roman" w:eastAsia="华文楷体" w:cs="Times New Roman"/>
          <w:bCs/>
          <w:color w:val="auto"/>
          <w:kern w:val="2"/>
          <w:sz w:val="21"/>
          <w:szCs w:val="21"/>
          <w:highlight w:val="none"/>
        </w:rPr>
      </w:pPr>
      <w:r>
        <w:rPr>
          <w:rStyle w:val="29"/>
          <w:rFonts w:ascii="Times New Roman" w:hAnsi="Times New Roman" w:eastAsia="华文楷体" w:cs="Times New Roman"/>
          <w:bCs/>
          <w:color w:val="auto"/>
          <w:kern w:val="2"/>
          <w:sz w:val="21"/>
          <w:szCs w:val="21"/>
          <w:highlight w:val="none"/>
        </w:rPr>
        <w:t>【条文说明】</w:t>
      </w:r>
      <w:r>
        <w:rPr>
          <w:rStyle w:val="29"/>
          <w:rFonts w:eastAsia="华文楷体"/>
          <w:bCs/>
          <w:color w:val="auto"/>
          <w:kern w:val="2"/>
          <w:sz w:val="21"/>
          <w:szCs w:val="21"/>
          <w:highlight w:val="none"/>
        </w:rPr>
        <w:t>根据出水效果情况，可加大或减小药剂投放量。</w:t>
      </w:r>
    </w:p>
    <w:bookmarkEnd w:id="138"/>
    <w:bookmarkEnd w:id="139"/>
    <w:bookmarkEnd w:id="147"/>
    <w:bookmarkEnd w:id="148"/>
    <w:bookmarkEnd w:id="149"/>
    <w:p>
      <w:pPr>
        <w:pStyle w:val="3"/>
        <w:rPr>
          <w:rFonts w:hint="eastAsia" w:eastAsia="黑体"/>
          <w:color w:val="000000" w:themeColor="text1"/>
          <w:sz w:val="21"/>
          <w:szCs w:val="21"/>
          <w:lang w:val="en-US" w:eastAsia="zh-CN"/>
          <w14:textFill>
            <w14:solidFill>
              <w14:schemeClr w14:val="tx1"/>
            </w14:solidFill>
          </w14:textFill>
        </w:rPr>
      </w:pPr>
      <w:bookmarkStart w:id="151" w:name="_Toc28191"/>
      <w:bookmarkStart w:id="152" w:name="_Toc135987306"/>
      <w:bookmarkStart w:id="153" w:name="_Toc9743"/>
      <w:bookmarkStart w:id="154" w:name="_Toc12426"/>
      <w:bookmarkStart w:id="155" w:name="_Toc24781"/>
      <w:bookmarkStart w:id="156" w:name="_Toc20016"/>
      <w:bookmarkStart w:id="157" w:name="_Toc31416"/>
      <w:bookmarkStart w:id="158" w:name="_Toc31671"/>
      <w:bookmarkStart w:id="159" w:name="_Toc28073"/>
      <w:bookmarkStart w:id="160" w:name="_Toc673"/>
      <w:bookmarkStart w:id="161" w:name="_Toc12052"/>
      <w:bookmarkStart w:id="162" w:name="_Toc8023"/>
      <w:bookmarkStart w:id="163" w:name="_Toc15278"/>
      <w:bookmarkStart w:id="164" w:name="_Toc3650"/>
      <w:bookmarkStart w:id="165" w:name="_Toc597"/>
      <w:r>
        <w:rPr>
          <w:rFonts w:eastAsia="黑体"/>
          <w:color w:val="000000" w:themeColor="text1"/>
          <w:sz w:val="28"/>
          <w:szCs w:val="28"/>
          <w14:textFill>
            <w14:solidFill>
              <w14:schemeClr w14:val="tx1"/>
            </w14:solidFill>
          </w14:textFill>
        </w:rPr>
        <w:t>4.</w:t>
      </w:r>
      <w:r>
        <w:rPr>
          <w:rFonts w:hint="eastAsia" w:eastAsia="黑体"/>
          <w:color w:val="000000" w:themeColor="text1"/>
          <w:sz w:val="28"/>
          <w:szCs w:val="28"/>
          <w:lang w:val="en-US" w:eastAsia="zh-CN"/>
          <w14:textFill>
            <w14:solidFill>
              <w14:schemeClr w14:val="tx1"/>
            </w14:solidFill>
          </w14:textFill>
        </w:rPr>
        <w:t>4</w:t>
      </w:r>
      <w:r>
        <w:rPr>
          <w:rFonts w:hint="eastAsia" w:ascii="黑体" w:hAnsi="黑体" w:eastAsia="黑体" w:cs="黑体"/>
          <w:color w:val="000000" w:themeColor="text1"/>
          <w:sz w:val="28"/>
          <w:szCs w:val="28"/>
          <w14:textFill>
            <w14:solidFill>
              <w14:schemeClr w14:val="tx1"/>
            </w14:solidFill>
          </w14:textFill>
        </w:rPr>
        <w:t xml:space="preserve"> </w:t>
      </w:r>
      <w:r>
        <w:rPr>
          <w:rFonts w:hint="eastAsia" w:ascii="黑体" w:hAnsi="黑体" w:eastAsia="黑体" w:cs="黑体"/>
          <w:color w:val="000000" w:themeColor="text1"/>
          <w:sz w:val="28"/>
          <w:szCs w:val="28"/>
          <w:lang w:val="en-US" w:eastAsia="zh-CN"/>
          <w14:textFill>
            <w14:solidFill>
              <w14:schemeClr w14:val="tx1"/>
            </w14:solidFill>
          </w14:textFill>
        </w:rPr>
        <w:t xml:space="preserve"> </w:t>
      </w:r>
      <w:r>
        <w:rPr>
          <w:rFonts w:hint="eastAsia" w:ascii="黑体" w:hAnsi="黑体" w:eastAsia="黑体" w:cs="黑体"/>
          <w:color w:val="000000" w:themeColor="text1"/>
          <w:sz w:val="28"/>
          <w:szCs w:val="28"/>
          <w14:textFill>
            <w14:solidFill>
              <w14:schemeClr w14:val="tx1"/>
            </w14:solidFill>
          </w14:textFill>
        </w:rPr>
        <w:t>污泥</w:t>
      </w:r>
      <w:bookmarkEnd w:id="151"/>
      <w:r>
        <w:rPr>
          <w:rFonts w:hint="eastAsia" w:ascii="黑体" w:hAnsi="黑体" w:eastAsia="黑体" w:cs="黑体"/>
          <w:color w:val="000000" w:themeColor="text1"/>
          <w:sz w:val="28"/>
          <w:szCs w:val="28"/>
          <w:lang w:val="en-US" w:eastAsia="zh-CN"/>
          <w14:textFill>
            <w14:solidFill>
              <w14:schemeClr w14:val="tx1"/>
            </w14:solidFill>
          </w14:textFill>
        </w:rPr>
        <w:t>处理</w:t>
      </w:r>
    </w:p>
    <w:p>
      <w:pPr>
        <w:numPr>
          <w:ilvl w:val="255"/>
          <w:numId w:val="0"/>
        </w:numPr>
        <w:jc w:val="left"/>
        <w:rPr>
          <w:rFonts w:hint="eastAsia"/>
          <w:color w:val="000000" w:themeColor="text1"/>
          <w:sz w:val="24"/>
          <w:szCs w:val="24"/>
          <w:lang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4.4.1</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污泥处理系统组成应包含储泥池和脱</w:t>
      </w:r>
      <w:r>
        <w:rPr>
          <w:rFonts w:hint="eastAsia"/>
          <w:sz w:val="24"/>
          <w:szCs w:val="24"/>
        </w:rPr>
        <w:t>水</w:t>
      </w:r>
      <w:r>
        <w:rPr>
          <w:rFonts w:hint="eastAsia"/>
          <w:sz w:val="24"/>
          <w:szCs w:val="24"/>
          <w:lang w:val="en-US" w:eastAsia="zh-CN"/>
        </w:rPr>
        <w:t>设施</w:t>
      </w:r>
      <w:r>
        <w:rPr>
          <w:rFonts w:hint="eastAsia"/>
          <w:sz w:val="24"/>
          <w:szCs w:val="24"/>
        </w:rPr>
        <w:t>，脱水宜采</w:t>
      </w:r>
      <w:r>
        <w:rPr>
          <w:rFonts w:hint="eastAsia"/>
          <w:color w:val="000000" w:themeColor="text1"/>
          <w:sz w:val="24"/>
          <w:szCs w:val="24"/>
          <w14:textFill>
            <w14:solidFill>
              <w14:schemeClr w14:val="tx1"/>
            </w14:solidFill>
          </w14:textFill>
        </w:rPr>
        <w:t>用板框或叠螺脱水</w:t>
      </w:r>
      <w:r>
        <w:rPr>
          <w:rFonts w:hint="eastAsia"/>
          <w:color w:val="000000" w:themeColor="text1"/>
          <w:sz w:val="24"/>
          <w:szCs w:val="24"/>
          <w:lang w:eastAsia="zh-CN"/>
          <w14:textFill>
            <w14:solidFill>
              <w14:schemeClr w14:val="tx1"/>
            </w14:solidFill>
          </w14:textFill>
        </w:rPr>
        <w:t>。</w:t>
      </w:r>
    </w:p>
    <w:p>
      <w:pPr>
        <w:spacing w:line="360" w:lineRule="auto"/>
        <w:ind w:left="0" w:leftChars="0" w:firstLine="0" w:firstLineChars="0"/>
        <w:rPr>
          <w:rStyle w:val="29"/>
          <w:rFonts w:hint="default" w:ascii="Times New Roman" w:hAnsi="Times New Roman" w:eastAsia="华文楷体"/>
          <w:bCs/>
          <w:color w:val="auto"/>
          <w:sz w:val="21"/>
          <w:szCs w:val="21"/>
          <w:lang w:val="en-US" w:eastAsia="zh-CN"/>
        </w:rPr>
      </w:pPr>
      <w:r>
        <w:rPr>
          <w:rStyle w:val="29"/>
          <w:rFonts w:ascii="Times New Roman" w:hAnsi="Times New Roman" w:eastAsia="华文楷体"/>
          <w:bCs/>
          <w:color w:val="auto"/>
          <w:sz w:val="21"/>
          <w:szCs w:val="21"/>
        </w:rPr>
        <w:t>【条文说明】</w:t>
      </w:r>
      <w:r>
        <w:rPr>
          <w:rStyle w:val="29"/>
          <w:rFonts w:hint="eastAsia" w:ascii="Times New Roman" w:hAnsi="Times New Roman" w:eastAsia="华文楷体"/>
          <w:bCs/>
          <w:color w:val="auto"/>
          <w:sz w:val="21"/>
          <w:szCs w:val="21"/>
          <w:lang w:val="en-US" w:eastAsia="zh-CN"/>
        </w:rPr>
        <w:t>目前国内采用的</w:t>
      </w:r>
      <w:r>
        <w:rPr>
          <w:rStyle w:val="29"/>
          <w:rFonts w:hint="eastAsia" w:eastAsia="华文楷体"/>
          <w:bCs/>
          <w:color w:val="auto"/>
          <w:sz w:val="21"/>
          <w:szCs w:val="21"/>
          <w:lang w:val="en-US" w:eastAsia="zh-CN"/>
        </w:rPr>
        <w:t>污泥</w:t>
      </w:r>
      <w:r>
        <w:rPr>
          <w:rStyle w:val="29"/>
          <w:rFonts w:hint="eastAsia" w:ascii="Times New Roman" w:hAnsi="Times New Roman" w:eastAsia="华文楷体"/>
          <w:bCs/>
          <w:color w:val="auto"/>
          <w:sz w:val="21"/>
          <w:szCs w:val="21"/>
          <w:lang w:val="en-US" w:eastAsia="zh-CN"/>
        </w:rPr>
        <w:t>处理设备种类较多，具体采用的设备宜结合其处理能力、占地面积、处理效果、环保指标综合考虑选用。</w:t>
      </w:r>
      <w:r>
        <w:rPr>
          <w:rStyle w:val="29"/>
          <w:rFonts w:hint="eastAsia" w:eastAsia="华文楷体"/>
          <w:bCs/>
          <w:color w:val="auto"/>
          <w:sz w:val="21"/>
          <w:szCs w:val="21"/>
          <w:lang w:val="en-US" w:eastAsia="zh-CN"/>
        </w:rPr>
        <w:t>在</w:t>
      </w:r>
      <w:r>
        <w:rPr>
          <w:rStyle w:val="29"/>
          <w:rFonts w:hint="eastAsia" w:ascii="Times New Roman" w:hAnsi="Times New Roman" w:eastAsia="华文楷体"/>
          <w:bCs/>
          <w:color w:val="auto"/>
          <w:sz w:val="21"/>
          <w:szCs w:val="21"/>
          <w:lang w:val="en-US" w:eastAsia="zh-CN"/>
        </w:rPr>
        <w:t>河湖底泥处理工程</w:t>
      </w:r>
      <w:r>
        <w:rPr>
          <w:rStyle w:val="29"/>
          <w:rFonts w:hint="eastAsia" w:eastAsia="华文楷体"/>
          <w:bCs/>
          <w:color w:val="auto"/>
          <w:sz w:val="21"/>
          <w:szCs w:val="21"/>
          <w:lang w:val="en-US" w:eastAsia="zh-CN"/>
        </w:rPr>
        <w:t>中</w:t>
      </w:r>
      <w:r>
        <w:rPr>
          <w:rStyle w:val="29"/>
          <w:rFonts w:hint="eastAsia" w:ascii="Times New Roman" w:hAnsi="Times New Roman" w:eastAsia="华文楷体"/>
          <w:bCs/>
          <w:color w:val="auto"/>
          <w:sz w:val="21"/>
          <w:szCs w:val="21"/>
          <w:lang w:val="en-US" w:eastAsia="zh-CN"/>
        </w:rPr>
        <w:t>，应尽量选用脱水效率高、处理能力高的脱水设备</w:t>
      </w:r>
      <w:r>
        <w:rPr>
          <w:rStyle w:val="29"/>
          <w:rFonts w:hint="eastAsia" w:eastAsia="华文楷体"/>
          <w:bCs/>
          <w:color w:val="auto"/>
          <w:sz w:val="21"/>
          <w:szCs w:val="21"/>
          <w:lang w:val="en-US" w:eastAsia="zh-CN"/>
        </w:rPr>
        <w:t>，如</w:t>
      </w:r>
      <w:r>
        <w:rPr>
          <w:rStyle w:val="29"/>
          <w:rFonts w:hint="eastAsia" w:ascii="Times New Roman" w:hAnsi="Times New Roman" w:eastAsia="华文楷体"/>
          <w:bCs/>
          <w:color w:val="auto"/>
          <w:sz w:val="21"/>
          <w:szCs w:val="21"/>
          <w:lang w:val="en-US" w:eastAsia="zh-CN"/>
        </w:rPr>
        <w:t>板框或叠螺脱水</w:t>
      </w:r>
      <w:r>
        <w:rPr>
          <w:rStyle w:val="29"/>
          <w:rFonts w:hint="eastAsia" w:eastAsia="华文楷体"/>
          <w:bCs/>
          <w:color w:val="auto"/>
          <w:sz w:val="21"/>
          <w:szCs w:val="21"/>
          <w:lang w:val="en-US" w:eastAsia="zh-CN"/>
        </w:rPr>
        <w:t>机。</w:t>
      </w:r>
    </w:p>
    <w:p>
      <w:pPr>
        <w:numPr>
          <w:ilvl w:val="255"/>
          <w:numId w:val="0"/>
        </w:numPr>
        <w:jc w:val="left"/>
        <w:rPr>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4.4.2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储泥池的设计应符合下列规定：</w:t>
      </w:r>
    </w:p>
    <w:p>
      <w:pPr>
        <w:keepNext w:val="0"/>
        <w:keepLines w:val="0"/>
        <w:pageBreakBefore w:val="0"/>
        <w:widowControl w:val="0"/>
        <w:kinsoku/>
        <w:wordWrap/>
        <w:overflowPunct/>
        <w:topLinePunct w:val="0"/>
        <w:autoSpaceDE/>
        <w:autoSpaceDN/>
        <w:bidi w:val="0"/>
        <w:adjustRightInd w:val="0"/>
        <w:snapToGrid/>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1</w:t>
      </w:r>
      <w:r>
        <w:rPr>
          <w:rFonts w:hint="eastAsia" w:ascii="Times New Roman" w:hAnsi="Times New Roman" w:eastAsia="宋体" w:cs="Times New Roman"/>
          <w:sz w:val="24"/>
          <w:szCs w:val="24"/>
          <w:lang w:val="en-US" w:eastAsia="zh-CN"/>
        </w:rPr>
        <w:t xml:space="preserve"> </w:t>
      </w:r>
      <w:r>
        <w:rPr>
          <w:rFonts w:hint="eastAsia" w:cs="Times New Roman"/>
          <w:sz w:val="24"/>
          <w:szCs w:val="24"/>
          <w:lang w:val="en-US" w:eastAsia="zh-CN"/>
        </w:rPr>
        <w:t xml:space="preserve"> </w:t>
      </w:r>
      <w:r>
        <w:rPr>
          <w:rFonts w:hint="eastAsia" w:ascii="Times New Roman" w:hAnsi="Times New Roman" w:eastAsia="宋体" w:cs="Times New Roman"/>
          <w:sz w:val="24"/>
          <w:szCs w:val="24"/>
          <w:lang w:val="en-US" w:eastAsia="zh-CN"/>
        </w:rPr>
        <w:t>储泥池大小及个数设计应考虑日上岸污泥量及处理场地规格；</w:t>
      </w:r>
    </w:p>
    <w:p>
      <w:pPr>
        <w:keepNext w:val="0"/>
        <w:keepLines w:val="0"/>
        <w:pageBreakBefore w:val="0"/>
        <w:widowControl w:val="0"/>
        <w:numPr>
          <w:ilvl w:val="255"/>
          <w:numId w:val="0"/>
        </w:numPr>
        <w:kinsoku/>
        <w:wordWrap/>
        <w:overflowPunct/>
        <w:topLinePunct w:val="0"/>
        <w:autoSpaceDE/>
        <w:autoSpaceDN/>
        <w:bidi w:val="0"/>
        <w:snapToGrid/>
        <w:ind w:firstLine="482" w:firstLineChars="200"/>
        <w:jc w:val="left"/>
        <w:textAlignment w:val="auto"/>
        <w:rPr>
          <w:rFonts w:hint="eastAsia"/>
          <w:color w:val="000000" w:themeColor="text1"/>
          <w:sz w:val="24"/>
          <w:szCs w:val="24"/>
          <w:lang w:val="en-US" w:eastAsia="zh-CN"/>
          <w14:textFill>
            <w14:solidFill>
              <w14:schemeClr w14:val="tx1"/>
            </w14:solidFill>
          </w14:textFill>
        </w:rPr>
      </w:pPr>
      <w:r>
        <w:rPr>
          <w:rFonts w:hint="eastAsia"/>
          <w:b/>
          <w:bCs/>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 xml:space="preserve">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储泥池</w:t>
      </w:r>
      <w:r>
        <w:rPr>
          <w:rFonts w:hint="eastAsia"/>
          <w:color w:val="000000" w:themeColor="text1"/>
          <w:sz w:val="24"/>
          <w:szCs w:val="24"/>
          <w:lang w:val="en-US" w:eastAsia="zh-CN"/>
          <w14:textFill>
            <w14:solidFill>
              <w14:schemeClr w14:val="tx1"/>
            </w14:solidFill>
          </w14:textFill>
        </w:rPr>
        <w:t>的容积按照污泥的停留时间为0.5h~2.0h计算。</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baseline"/>
        <w:rPr>
          <w:rFonts w:hint="eastAsia" w:ascii="宋体" w:hAnsi="宋体" w:eastAsia="宋体" w:cs="宋体"/>
          <w:color w:val="auto"/>
          <w:sz w:val="24"/>
          <w:szCs w:val="24"/>
          <w:lang w:val="en-US" w:eastAsia="zh-CN"/>
        </w:rPr>
      </w:pPr>
      <w:r>
        <w:rPr>
          <w:rFonts w:hint="default" w:ascii="Times New Roman" w:hAnsi="Times New Roman" w:eastAsia="宋体" w:cs="Times New Roman"/>
          <w:b/>
          <w:bCs/>
          <w:color w:val="auto"/>
          <w:sz w:val="24"/>
          <w:szCs w:val="24"/>
          <w:lang w:val="en-US" w:eastAsia="zh-CN"/>
        </w:rPr>
        <w:t>4.</w:t>
      </w: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lang w:val="en-US" w:eastAsia="zh-CN"/>
        </w:rPr>
        <w:t>.</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 xml:space="preserve">3  </w:t>
      </w:r>
      <w:r>
        <w:rPr>
          <w:rFonts w:hint="eastAsia" w:ascii="宋体" w:hAnsi="宋体" w:eastAsia="宋体" w:cs="宋体"/>
          <w:color w:val="auto"/>
          <w:sz w:val="24"/>
          <w:szCs w:val="24"/>
          <w:lang w:val="en-US" w:eastAsia="zh-CN"/>
        </w:rPr>
        <w:t>槽道内洗脱转运上岸污泥含水率</w:t>
      </w:r>
      <w:r>
        <w:rPr>
          <w:rFonts w:hint="eastAsia" w:ascii="宋体" w:hAnsi="宋体" w:cs="宋体"/>
          <w:color w:val="auto"/>
          <w:sz w:val="24"/>
          <w:szCs w:val="24"/>
          <w:lang w:val="en-US" w:eastAsia="zh-CN"/>
        </w:rPr>
        <w:t>宜</w:t>
      </w:r>
      <w:r>
        <w:rPr>
          <w:rFonts w:hint="eastAsia" w:ascii="宋体" w:hAnsi="宋体" w:eastAsia="宋体" w:cs="宋体"/>
          <w:color w:val="auto"/>
          <w:sz w:val="24"/>
          <w:szCs w:val="24"/>
          <w:lang w:val="en-US" w:eastAsia="zh-CN"/>
        </w:rPr>
        <w:t>控制在</w:t>
      </w:r>
      <w:r>
        <w:rPr>
          <w:rFonts w:hint="default" w:ascii="Times New Roman" w:hAnsi="Times New Roman" w:eastAsia="宋体" w:cs="Times New Roman"/>
          <w:color w:val="auto"/>
          <w:sz w:val="24"/>
          <w:szCs w:val="24"/>
          <w:lang w:val="en-US" w:eastAsia="zh-CN"/>
        </w:rPr>
        <w:t>95%</w:t>
      </w:r>
      <w:r>
        <w:rPr>
          <w:rFonts w:hint="eastAsia" w:ascii="宋体" w:hAnsi="宋体" w:eastAsia="宋体" w:cs="宋体"/>
          <w:color w:val="auto"/>
          <w:sz w:val="24"/>
          <w:szCs w:val="24"/>
          <w:lang w:val="en-US" w:eastAsia="zh-CN"/>
        </w:rPr>
        <w:t>以下，板框压滤机</w:t>
      </w:r>
      <w:r>
        <w:rPr>
          <w:rFonts w:hint="eastAsia" w:ascii="宋体" w:hAnsi="宋体" w:cs="宋体"/>
          <w:color w:val="auto"/>
          <w:sz w:val="24"/>
          <w:szCs w:val="24"/>
          <w:lang w:val="en-US" w:eastAsia="zh-CN"/>
        </w:rPr>
        <w:t>和</w:t>
      </w:r>
      <w:r>
        <w:rPr>
          <w:rFonts w:hint="eastAsia" w:ascii="宋体" w:hAnsi="宋体" w:eastAsia="宋体" w:cs="宋体"/>
          <w:color w:val="auto"/>
          <w:sz w:val="24"/>
          <w:szCs w:val="24"/>
          <w:lang w:val="en-US" w:eastAsia="zh-CN"/>
        </w:rPr>
        <w:t>叠螺压滤机脱水减容污泥含水率</w:t>
      </w:r>
      <w:r>
        <w:rPr>
          <w:rFonts w:hint="eastAsia" w:ascii="宋体" w:hAnsi="宋体" w:cs="宋体"/>
          <w:color w:val="auto"/>
          <w:sz w:val="24"/>
          <w:szCs w:val="24"/>
          <w:lang w:val="en-US" w:eastAsia="zh-CN"/>
        </w:rPr>
        <w:t>宜</w:t>
      </w:r>
      <w:r>
        <w:rPr>
          <w:rFonts w:hint="eastAsia" w:ascii="宋体" w:hAnsi="宋体" w:eastAsia="宋体" w:cs="宋体"/>
          <w:color w:val="auto"/>
          <w:sz w:val="24"/>
          <w:szCs w:val="24"/>
          <w:lang w:val="en-US" w:eastAsia="zh-CN"/>
        </w:rPr>
        <w:t>控制在</w:t>
      </w:r>
      <w:r>
        <w:rPr>
          <w:rFonts w:hint="eastAsia" w:ascii="Times New Roman" w:hAnsi="Times New Roman" w:cs="Times New Roman"/>
          <w:color w:val="auto"/>
          <w:sz w:val="24"/>
          <w:szCs w:val="24"/>
          <w:lang w:val="en-US" w:eastAsia="zh-CN"/>
        </w:rPr>
        <w:t>80</w:t>
      </w:r>
      <w:r>
        <w:rPr>
          <w:rFonts w:hint="default" w:ascii="Times New Roman" w:hAnsi="Times New Roman" w:eastAsia="宋体" w:cs="Times New Roman"/>
          <w:color w:val="auto"/>
          <w:sz w:val="24"/>
          <w:szCs w:val="24"/>
          <w:lang w:val="en-US" w:eastAsia="zh-CN"/>
        </w:rPr>
        <w:t>%</w:t>
      </w:r>
      <w:r>
        <w:rPr>
          <w:rFonts w:hint="eastAsia" w:ascii="宋体" w:hAnsi="宋体" w:eastAsia="宋体" w:cs="宋体"/>
          <w:color w:val="auto"/>
          <w:sz w:val="24"/>
          <w:szCs w:val="24"/>
          <w:lang w:val="en-US" w:eastAsia="zh-CN"/>
        </w:rPr>
        <w:t>以下。</w:t>
      </w:r>
    </w:p>
    <w:p>
      <w:pPr>
        <w:numPr>
          <w:ilvl w:val="255"/>
          <w:numId w:val="0"/>
        </w:numPr>
        <w:ind w:firstLine="0" w:firstLineChars="0"/>
        <w:jc w:val="left"/>
        <w:rPr>
          <w:rFonts w:hint="eastAsia"/>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4.4.4</w:t>
      </w:r>
      <w:r>
        <w:rPr>
          <w:rFonts w:hint="eastAsia"/>
          <w:color w:val="000000" w:themeColor="text1"/>
          <w:sz w:val="24"/>
          <w:szCs w:val="24"/>
          <w:lang w:val="en-US" w:eastAsia="zh-CN"/>
          <w14:textFill>
            <w14:solidFill>
              <w14:schemeClr w14:val="tx1"/>
            </w14:solidFill>
          </w14:textFill>
        </w:rPr>
        <w:t xml:space="preserve">  压滤后污泥宜根据理化指标进行资源化利用，例如：土壤改良、园林绿化、填埋和焚烧等。</w:t>
      </w:r>
    </w:p>
    <w:p>
      <w:pPr>
        <w:spacing w:line="360" w:lineRule="auto"/>
        <w:ind w:left="0" w:leftChars="0" w:firstLine="0" w:firstLineChars="0"/>
        <w:rPr>
          <w:rStyle w:val="29"/>
          <w:rFonts w:ascii="Times New Roman" w:hAnsi="Times New Roman" w:eastAsia="华文楷体"/>
          <w:bCs/>
          <w:color w:val="auto"/>
          <w:sz w:val="21"/>
          <w:szCs w:val="21"/>
        </w:rPr>
      </w:pPr>
      <w:r>
        <w:rPr>
          <w:rStyle w:val="29"/>
          <w:rFonts w:ascii="Times New Roman" w:hAnsi="Times New Roman" w:eastAsia="华文楷体"/>
          <w:bCs/>
          <w:color w:val="auto"/>
          <w:sz w:val="21"/>
          <w:szCs w:val="21"/>
        </w:rPr>
        <w:t>【条文说明】</w:t>
      </w:r>
      <w:r>
        <w:rPr>
          <w:rStyle w:val="29"/>
          <w:rFonts w:hint="eastAsia" w:ascii="Times New Roman" w:hAnsi="Times New Roman" w:eastAsia="华文楷体"/>
          <w:bCs/>
          <w:color w:val="auto"/>
          <w:sz w:val="21"/>
          <w:szCs w:val="21"/>
        </w:rPr>
        <w:t>污泥泥质要求与其处置方式有密切联系。具体而言，污泥焚烧处置时，泥质指标应参照《城镇污水处理污泥处置单独焚烧用泥质》（GB/T 24602）；污泥用于园林绿化时，泥质指标应符合《城镇污水处理厂污泥处置园林绿化用泥质》（GB/T 23486）；污泥用于土地改良时，泥质指标应符合《城镇污水处理厂污泥处置土地改良泥质》（GB/T</w:t>
      </w:r>
      <w:r>
        <w:rPr>
          <w:rStyle w:val="29"/>
          <w:rFonts w:hint="eastAsia" w:eastAsia="华文楷体"/>
          <w:bCs/>
          <w:color w:val="auto"/>
          <w:sz w:val="21"/>
          <w:szCs w:val="21"/>
          <w:lang w:val="en-US" w:eastAsia="zh-CN"/>
        </w:rPr>
        <w:t xml:space="preserve"> </w:t>
      </w:r>
      <w:r>
        <w:rPr>
          <w:rStyle w:val="29"/>
          <w:rFonts w:hint="eastAsia" w:ascii="Times New Roman" w:hAnsi="Times New Roman" w:eastAsia="华文楷体"/>
          <w:bCs/>
          <w:color w:val="auto"/>
          <w:sz w:val="21"/>
          <w:szCs w:val="21"/>
        </w:rPr>
        <w:t>24600）标准；污泥农用时，泥质指标应符合《农用污泥中污染物控制标准》（GB 4284）和《城镇污水处理厂污泥处置农用泥质》（CJ/T 309）等标准；污泥与生活垃圾混合填埋时，泥质指标应符合《城镇污水处理厂污泥处置混合填埋泥质》（GB/T 23485）和《生活垃圾填埋场控制标准》（GB 16889）要求；污泥用于制砖时，泥质指标应符合《城镇污水处理厂污泥处置制砖用泥质》（GB/T 25031）标准；污泥用于水泥建材时，泥质指标应符合《城镇污水厂污泥处置水泥熟料生产用泥质》（CJ/T 314）标准。</w:t>
      </w:r>
    </w:p>
    <w:p>
      <w:pPr>
        <w:pStyle w:val="3"/>
        <w:jc w:val="center"/>
        <w:rPr>
          <w:rFonts w:hint="eastAsia" w:ascii="黑体" w:hAnsi="黑体" w:eastAsia="黑体" w:cs="黑体"/>
          <w:color w:val="000000" w:themeColor="text1"/>
          <w:sz w:val="28"/>
          <w:szCs w:val="28"/>
          <w:lang w:val="en-US" w:eastAsia="zh-CN"/>
          <w14:textFill>
            <w14:solidFill>
              <w14:schemeClr w14:val="tx1"/>
            </w14:solidFill>
          </w14:textFill>
        </w:rPr>
      </w:pPr>
      <w:bookmarkStart w:id="166" w:name="_Toc22980"/>
      <w:r>
        <w:rPr>
          <w:rFonts w:eastAsia="黑体"/>
          <w:color w:val="000000" w:themeColor="text1"/>
          <w:sz w:val="28"/>
          <w:szCs w:val="28"/>
          <w14:textFill>
            <w14:solidFill>
              <w14:schemeClr w14:val="tx1"/>
            </w14:solidFill>
          </w14:textFill>
        </w:rPr>
        <w:t>4.</w:t>
      </w:r>
      <w:r>
        <w:rPr>
          <w:rFonts w:hint="eastAsia" w:eastAsia="黑体"/>
          <w:color w:val="000000" w:themeColor="text1"/>
          <w:sz w:val="28"/>
          <w:szCs w:val="28"/>
          <w:lang w:val="en-US" w:eastAsia="zh-CN"/>
          <w14:textFill>
            <w14:solidFill>
              <w14:schemeClr w14:val="tx1"/>
            </w14:solidFill>
          </w14:textFill>
        </w:rPr>
        <w:t xml:space="preserve">5  </w:t>
      </w:r>
      <w:r>
        <w:rPr>
          <w:rFonts w:hint="eastAsia" w:ascii="黑体" w:hAnsi="黑体" w:eastAsia="黑体" w:cs="黑体"/>
          <w:color w:val="000000" w:themeColor="text1"/>
          <w:sz w:val="28"/>
          <w:szCs w:val="28"/>
          <w14:textFill>
            <w14:solidFill>
              <w14:schemeClr w14:val="tx1"/>
            </w14:solidFill>
          </w14:textFill>
        </w:rPr>
        <w:t>余水</w:t>
      </w:r>
      <w:r>
        <w:rPr>
          <w:rFonts w:hint="eastAsia" w:ascii="黑体" w:hAnsi="黑体" w:eastAsia="黑体" w:cs="黑体"/>
          <w:color w:val="000000" w:themeColor="text1"/>
          <w:sz w:val="28"/>
          <w:szCs w:val="28"/>
          <w:lang w:val="en-US" w:eastAsia="zh-CN"/>
          <w14:textFill>
            <w14:solidFill>
              <w14:schemeClr w14:val="tx1"/>
            </w14:solidFill>
          </w14:textFill>
        </w:rPr>
        <w:t>处理</w:t>
      </w:r>
      <w:bookmarkEnd w:id="166"/>
    </w:p>
    <w:p>
      <w:pPr>
        <w:numPr>
          <w:ilvl w:val="255"/>
          <w:numId w:val="0"/>
        </w:numPr>
        <w:jc w:val="lef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color w:val="000000" w:themeColor="text1"/>
          <w:sz w:val="24"/>
          <w:szCs w:val="24"/>
          <w14:textFill>
            <w14:solidFill>
              <w14:schemeClr w14:val="tx1"/>
            </w14:solidFill>
          </w14:textFill>
        </w:rPr>
        <w:t>4.</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5</w:t>
      </w:r>
      <w:r>
        <w:rPr>
          <w:rFonts w:hint="eastAsia" w:ascii="Times New Roman" w:hAnsi="Times New Roman" w:eastAsia="宋体" w:cs="Times New Roman"/>
          <w:b/>
          <w:bCs/>
          <w:color w:val="000000" w:themeColor="text1"/>
          <w:sz w:val="24"/>
          <w:szCs w:val="24"/>
          <w14:textFill>
            <w14:solidFill>
              <w14:schemeClr w14:val="tx1"/>
            </w14:solidFill>
          </w14:textFill>
        </w:rPr>
        <w:t>.</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14:textFill>
            <w14:solidFill>
              <w14:schemeClr w14:val="tx1"/>
            </w14:solidFill>
          </w14:textFill>
        </w:rPr>
        <w:t xml:space="preserve"> </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余水排</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放至城镇污水管网</w:t>
      </w:r>
      <w:r>
        <w:rPr>
          <w:rFonts w:hint="eastAsia" w:ascii="Times New Roman" w:hAnsi="Times New Roman" w:eastAsia="宋体" w:cs="Times New Roman"/>
          <w:color w:val="000000" w:themeColor="text1"/>
          <w:sz w:val="24"/>
          <w:szCs w:val="24"/>
          <w14:textFill>
            <w14:solidFill>
              <w14:schemeClr w14:val="tx1"/>
            </w14:solidFill>
          </w14:textFill>
        </w:rPr>
        <w:t>应符合</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污水综合排放标准</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sz w:val="24"/>
          <w:szCs w:val="24"/>
        </w:rPr>
        <w:t>GB8978</w:t>
      </w:r>
      <w:r>
        <w:rPr>
          <w:rFonts w:hint="eastAsia" w:ascii="Times New Roman" w:hAnsi="Times New Roman" w:eastAsia="宋体" w:cs="Times New Roman"/>
          <w:sz w:val="24"/>
          <w:szCs w:val="24"/>
          <w:lang w:val="en-US" w:eastAsia="zh-CN"/>
        </w:rPr>
        <w:t>。</w:t>
      </w:r>
    </w:p>
    <w:p>
      <w:pPr>
        <w:numPr>
          <w:ilvl w:val="255"/>
          <w:numId w:val="0"/>
        </w:numPr>
        <w:jc w:val="lef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4.5.2</w:t>
      </w:r>
      <w:r>
        <w:rPr>
          <w:rFonts w:hint="eastAsia" w:ascii="Times New Roman" w:hAnsi="Times New Roman" w:eastAsia="宋体" w:cs="Times New Roman"/>
          <w:sz w:val="24"/>
          <w:szCs w:val="24"/>
          <w:lang w:val="en-US" w:eastAsia="zh-CN"/>
        </w:rPr>
        <w:t xml:space="preserve">  余水排放至原河湖应不应劣于原河湖水质。</w:t>
      </w:r>
    </w:p>
    <w:p>
      <w:pPr>
        <w:numPr>
          <w:ilvl w:val="255"/>
          <w:numId w:val="0"/>
        </w:numPr>
        <w:jc w:val="left"/>
        <w:rPr>
          <w:rStyle w:val="29"/>
          <w:rFonts w:hint="eastAsia" w:ascii="Times New Roman" w:hAnsi="Times New Roman" w:eastAsia="华文楷体" w:cs="Times New Roman"/>
          <w:bCs/>
          <w:color w:val="auto"/>
          <w:sz w:val="21"/>
          <w:szCs w:val="21"/>
        </w:rPr>
      </w:pPr>
      <w:r>
        <w:rPr>
          <w:rStyle w:val="29"/>
          <w:rFonts w:ascii="Times New Roman" w:hAnsi="Times New Roman" w:eastAsia="华文楷体" w:cs="Times New Roman"/>
          <w:bCs/>
          <w:color w:val="auto"/>
          <w:sz w:val="21"/>
          <w:szCs w:val="21"/>
        </w:rPr>
        <w:t>【条文说明】</w:t>
      </w:r>
      <w:r>
        <w:rPr>
          <w:rStyle w:val="29"/>
          <w:rFonts w:hint="eastAsia" w:ascii="Times New Roman" w:hAnsi="Times New Roman" w:eastAsia="华文楷体" w:cs="Times New Roman"/>
          <w:bCs/>
          <w:color w:val="auto"/>
          <w:sz w:val="21"/>
          <w:szCs w:val="21"/>
        </w:rPr>
        <w:t>余水排放</w:t>
      </w:r>
      <w:r>
        <w:rPr>
          <w:rStyle w:val="29"/>
          <w:rFonts w:hint="eastAsia" w:ascii="Times New Roman" w:hAnsi="Times New Roman" w:eastAsia="华文楷体" w:cs="Times New Roman"/>
          <w:bCs/>
          <w:color w:val="auto"/>
          <w:sz w:val="21"/>
          <w:szCs w:val="21"/>
          <w:lang w:val="en-US" w:eastAsia="zh-CN"/>
        </w:rPr>
        <w:t>到原河湖时，其</w:t>
      </w:r>
      <w:r>
        <w:rPr>
          <w:rStyle w:val="29"/>
          <w:rFonts w:hint="eastAsia" w:ascii="Times New Roman" w:hAnsi="Times New Roman" w:eastAsia="华文楷体" w:cs="Times New Roman"/>
          <w:bCs/>
          <w:color w:val="auto"/>
          <w:sz w:val="21"/>
          <w:szCs w:val="21"/>
        </w:rPr>
        <w:t>水质应按照</w:t>
      </w:r>
      <w:r>
        <w:rPr>
          <w:rStyle w:val="29"/>
          <w:rFonts w:hint="eastAsia" w:ascii="Times New Roman" w:hAnsi="Times New Roman" w:eastAsia="华文楷体" w:cs="Times New Roman"/>
          <w:bCs/>
          <w:color w:val="auto"/>
          <w:sz w:val="21"/>
          <w:szCs w:val="21"/>
          <w:lang w:val="en-US" w:eastAsia="zh-CN"/>
        </w:rPr>
        <w:t>受纳</w:t>
      </w:r>
      <w:r>
        <w:rPr>
          <w:rStyle w:val="29"/>
          <w:rFonts w:hint="eastAsia" w:ascii="Times New Roman" w:hAnsi="Times New Roman" w:eastAsia="华文楷体" w:cs="Times New Roman"/>
          <w:bCs/>
          <w:color w:val="auto"/>
          <w:sz w:val="21"/>
          <w:szCs w:val="21"/>
        </w:rPr>
        <w:t>水体质量考核标准为最低要求，以防止由于技术、施工等主客观原因造成污染物随余水进入</w:t>
      </w:r>
      <w:r>
        <w:rPr>
          <w:rStyle w:val="29"/>
          <w:rFonts w:hint="eastAsia" w:ascii="Times New Roman" w:hAnsi="Times New Roman" w:eastAsia="华文楷体" w:cs="Times New Roman"/>
          <w:bCs/>
          <w:color w:val="auto"/>
          <w:sz w:val="21"/>
          <w:szCs w:val="21"/>
          <w:lang w:val="en-US" w:eastAsia="zh-CN"/>
        </w:rPr>
        <w:t>受纳</w:t>
      </w:r>
      <w:r>
        <w:rPr>
          <w:rStyle w:val="29"/>
          <w:rFonts w:hint="eastAsia" w:ascii="Times New Roman" w:hAnsi="Times New Roman" w:eastAsia="华文楷体" w:cs="Times New Roman"/>
          <w:bCs/>
          <w:color w:val="auto"/>
          <w:sz w:val="21"/>
          <w:szCs w:val="21"/>
        </w:rPr>
        <w:t>水体，反而造成污染物释放量增加。</w:t>
      </w:r>
    </w:p>
    <w:p>
      <w:pPr>
        <w:numPr>
          <w:ilvl w:val="255"/>
          <w:numId w:val="0"/>
        </w:numPr>
        <w:jc w:val="left"/>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bCs/>
          <w:sz w:val="24"/>
          <w:szCs w:val="24"/>
          <w:lang w:val="en-US" w:eastAsia="zh-CN"/>
        </w:rPr>
        <w:t xml:space="preserve">4.5.3  </w:t>
      </w:r>
      <w:r>
        <w:rPr>
          <w:rFonts w:hint="eastAsia" w:ascii="Times New Roman" w:hAnsi="Times New Roman" w:eastAsia="宋体" w:cs="Times New Roman"/>
          <w:b w:val="0"/>
          <w:bCs w:val="0"/>
          <w:sz w:val="24"/>
          <w:szCs w:val="24"/>
          <w:lang w:val="en-US" w:eastAsia="zh-CN"/>
        </w:rPr>
        <w:t>余水作为再生水资源用于农业、工业、市政等方面用途时，还应满足相应的用水水质要求。</w:t>
      </w:r>
    </w:p>
    <w:p>
      <w:pPr>
        <w:ind w:firstLine="0" w:firstLineChars="0"/>
        <w:rPr>
          <w:rFonts w:ascii="Times New Roman" w:hAnsi="Times New Roman" w:eastAsia="宋体" w:cs="Times New Roman"/>
        </w:rPr>
      </w:pPr>
      <w:r>
        <w:rPr>
          <w:rStyle w:val="29"/>
          <w:rFonts w:ascii="Times New Roman" w:hAnsi="Times New Roman" w:eastAsia="华文楷体" w:cs="Times New Roman"/>
          <w:bCs/>
          <w:color w:val="auto"/>
          <w:sz w:val="21"/>
          <w:szCs w:val="21"/>
        </w:rPr>
        <w:t>【条文说明】</w:t>
      </w:r>
      <w:r>
        <w:rPr>
          <w:rStyle w:val="29"/>
          <w:rFonts w:hint="eastAsia" w:eastAsia="华文楷体" w:cs="Times New Roman"/>
          <w:bCs/>
          <w:color w:val="auto"/>
          <w:sz w:val="21"/>
          <w:szCs w:val="21"/>
          <w:lang w:val="en-US" w:eastAsia="zh-CN"/>
        </w:rPr>
        <w:t>余水作为再生水资源用于农业时，应符合《《城市污水再生利用农田灌溉用水水质》</w:t>
      </w:r>
      <w:r>
        <w:rPr>
          <w:rStyle w:val="29"/>
          <w:rFonts w:hint="eastAsia" w:ascii="Times New Roman" w:hAnsi="Times New Roman" w:eastAsia="华文楷体" w:cs="Times New Roman"/>
          <w:bCs/>
          <w:color w:val="auto"/>
          <w:sz w:val="21"/>
          <w:szCs w:val="21"/>
          <w:lang w:val="en-US" w:eastAsia="zh-CN"/>
        </w:rPr>
        <w:t>GB 20922</w:t>
      </w:r>
      <w:r>
        <w:rPr>
          <w:rStyle w:val="29"/>
          <w:rFonts w:hint="eastAsia" w:eastAsia="华文楷体" w:cs="Times New Roman"/>
          <w:bCs/>
          <w:color w:val="auto"/>
          <w:sz w:val="21"/>
          <w:szCs w:val="21"/>
          <w:lang w:val="en-US" w:eastAsia="zh-CN"/>
        </w:rPr>
        <w:t>标准；用于工业时，应符合《城市污水再生利用工业用水水质》</w:t>
      </w:r>
      <w:r>
        <w:rPr>
          <w:rStyle w:val="29"/>
          <w:rFonts w:hint="default" w:ascii="Times New Roman" w:hAnsi="Times New Roman" w:eastAsia="华文楷体" w:cs="Times New Roman"/>
          <w:bCs/>
          <w:color w:val="auto"/>
          <w:sz w:val="21"/>
          <w:szCs w:val="21"/>
          <w:lang w:val="en-US" w:eastAsia="zh-CN"/>
        </w:rPr>
        <w:t>GB/T 19923</w:t>
      </w:r>
      <w:r>
        <w:rPr>
          <w:rStyle w:val="29"/>
          <w:rFonts w:hint="eastAsia" w:eastAsia="华文楷体" w:cs="Times New Roman"/>
          <w:bCs/>
          <w:color w:val="auto"/>
          <w:sz w:val="21"/>
          <w:szCs w:val="21"/>
          <w:lang w:val="en-US" w:eastAsia="zh-CN"/>
        </w:rPr>
        <w:t>标准；用于城市杂用水时，应符合《城市污水再生利用城市杂用水水质》</w:t>
      </w:r>
      <w:r>
        <w:rPr>
          <w:rStyle w:val="29"/>
          <w:rFonts w:hint="eastAsia" w:ascii="Times New Roman" w:hAnsi="Times New Roman" w:eastAsia="华文楷体" w:cs="Times New Roman"/>
          <w:bCs/>
          <w:color w:val="auto"/>
          <w:sz w:val="21"/>
          <w:szCs w:val="21"/>
          <w:lang w:val="en-US" w:eastAsia="zh-CN"/>
        </w:rPr>
        <w:t>GB/T 18920</w:t>
      </w:r>
      <w:r>
        <w:rPr>
          <w:rStyle w:val="29"/>
          <w:rFonts w:hint="eastAsia" w:eastAsia="华文楷体" w:cs="Times New Roman"/>
          <w:bCs/>
          <w:color w:val="auto"/>
          <w:sz w:val="21"/>
          <w:szCs w:val="21"/>
          <w:lang w:val="en-US" w:eastAsia="zh-CN"/>
        </w:rPr>
        <w:t>标准；用于城市景观用水时，应符合《城市污水再生利用景观环境用水水质》</w:t>
      </w:r>
      <w:r>
        <w:rPr>
          <w:rStyle w:val="29"/>
          <w:rFonts w:hint="eastAsia" w:ascii="Times New Roman" w:hAnsi="Times New Roman" w:eastAsia="华文楷体" w:cs="Times New Roman"/>
          <w:bCs/>
          <w:color w:val="auto"/>
          <w:sz w:val="21"/>
          <w:szCs w:val="21"/>
          <w:lang w:val="en-US" w:eastAsia="zh-CN"/>
        </w:rPr>
        <w:t>GB/T 18921</w:t>
      </w:r>
      <w:r>
        <w:rPr>
          <w:rStyle w:val="29"/>
          <w:rFonts w:hint="eastAsia" w:eastAsia="华文楷体" w:cs="Times New Roman"/>
          <w:bCs/>
          <w:color w:val="auto"/>
          <w:sz w:val="21"/>
          <w:szCs w:val="21"/>
          <w:lang w:val="en-US" w:eastAsia="zh-CN"/>
        </w:rPr>
        <w:t>标准。</w:t>
      </w:r>
    </w:p>
    <w:p>
      <w:pPr>
        <w:rPr>
          <w:rFonts w:hint="default"/>
          <w:lang w:val="en-US" w:eastAsia="zh-CN"/>
        </w:rPr>
      </w:pPr>
      <w:r>
        <w:rPr>
          <w:rFonts w:hint="default"/>
          <w:lang w:val="en-US" w:eastAsia="zh-CN"/>
        </w:rPr>
        <w:br w:type="page"/>
      </w:r>
    </w:p>
    <w:p>
      <w:pPr>
        <w:pStyle w:val="2"/>
        <w:bidi w:val="0"/>
        <w:ind w:left="0" w:leftChars="0" w:firstLine="0" w:firstLineChars="0"/>
        <w:jc w:val="center"/>
        <w:rPr>
          <w:rFonts w:hint="eastAsia" w:asciiTheme="majorEastAsia" w:hAnsiTheme="majorEastAsia" w:eastAsiaTheme="majorEastAsia" w:cstheme="majorEastAsia"/>
          <w:b/>
          <w:sz w:val="30"/>
          <w:szCs w:val="30"/>
        </w:rPr>
      </w:pPr>
      <w:bookmarkStart w:id="167" w:name="_Toc24858"/>
      <w:r>
        <w:rPr>
          <w:rFonts w:hint="eastAsia" w:ascii="Times New Roman" w:hAnsi="Times New Roman" w:cs="Times New Roman" w:eastAsiaTheme="majorEastAsia"/>
          <w:b/>
          <w:sz w:val="30"/>
          <w:szCs w:val="30"/>
          <w:lang w:val="en-US" w:eastAsia="zh-CN"/>
        </w:rPr>
        <w:t>5</w:t>
      </w:r>
      <w:r>
        <w:rPr>
          <w:rFonts w:hint="eastAsia" w:asciiTheme="majorEastAsia" w:hAnsiTheme="majorEastAsia" w:eastAsiaTheme="majorEastAsia" w:cstheme="majorEastAsia"/>
          <w:b/>
          <w:sz w:val="30"/>
          <w:szCs w:val="30"/>
        </w:rPr>
        <w:t xml:space="preserve"> </w:t>
      </w:r>
      <w:r>
        <w:rPr>
          <w:rFonts w:hint="eastAsia" w:asciiTheme="majorEastAsia" w:hAnsiTheme="majorEastAsia" w:eastAsiaTheme="majorEastAsia" w:cstheme="majorEastAsia"/>
          <w:b/>
          <w:sz w:val="30"/>
          <w:szCs w:val="30"/>
          <w:lang w:val="en-US" w:eastAsia="zh-CN"/>
        </w:rPr>
        <w:t xml:space="preserve"> </w:t>
      </w:r>
      <w:r>
        <w:rPr>
          <w:rFonts w:hint="eastAsia" w:asciiTheme="majorEastAsia" w:hAnsiTheme="majorEastAsia" w:eastAsiaTheme="majorEastAsia" w:cstheme="majorEastAsia"/>
          <w:b/>
          <w:sz w:val="30"/>
          <w:szCs w:val="30"/>
        </w:rPr>
        <w:t>监测与控制</w:t>
      </w:r>
      <w:bookmarkEnd w:id="167"/>
    </w:p>
    <w:p>
      <w:pPr>
        <w:pStyle w:val="3"/>
        <w:numPr>
          <w:ilvl w:val="255"/>
          <w:numId w:val="0"/>
        </w:numPr>
        <w:spacing w:before="0" w:after="0"/>
        <w:rPr>
          <w:rFonts w:ascii="黑体" w:hAnsi="黑体" w:eastAsia="黑体" w:cs="黑体"/>
          <w:sz w:val="28"/>
          <w:szCs w:val="28"/>
        </w:rPr>
      </w:pPr>
      <w:bookmarkStart w:id="168" w:name="_Toc26488"/>
      <w:r>
        <w:rPr>
          <w:rFonts w:eastAsia="黑体"/>
          <w:sz w:val="28"/>
          <w:szCs w:val="28"/>
        </w:rPr>
        <w:t>5.1</w:t>
      </w:r>
      <w:r>
        <w:rPr>
          <w:rFonts w:hint="eastAsia" w:eastAsia="黑体"/>
          <w:sz w:val="28"/>
          <w:szCs w:val="28"/>
          <w:lang w:val="en-US" w:eastAsia="zh-CN"/>
        </w:rPr>
        <w:t xml:space="preserve"> </w:t>
      </w:r>
      <w:r>
        <w:rPr>
          <w:rFonts w:hint="eastAsia" w:ascii="黑体" w:hAnsi="黑体" w:eastAsia="黑体" w:cs="黑体"/>
          <w:sz w:val="28"/>
          <w:szCs w:val="28"/>
        </w:rPr>
        <w:t xml:space="preserve"> 监测</w:t>
      </w:r>
      <w:bookmarkEnd w:id="168"/>
    </w:p>
    <w:p>
      <w:pPr>
        <w:numPr>
          <w:ilvl w:val="255"/>
          <w:numId w:val="0"/>
        </w:numPr>
        <w:jc w:val="left"/>
        <w:rPr>
          <w:rFonts w:hint="eastAsia"/>
          <w:sz w:val="24"/>
          <w:szCs w:val="24"/>
          <w:lang w:eastAsia="zh-CN"/>
        </w:rPr>
      </w:pPr>
      <w:r>
        <w:rPr>
          <w:rFonts w:hint="eastAsia"/>
          <w:b/>
          <w:bCs/>
          <w:sz w:val="24"/>
          <w:szCs w:val="24"/>
        </w:rPr>
        <w:t>5.1.1</w:t>
      </w:r>
      <w:r>
        <w:rPr>
          <w:rFonts w:hint="eastAsia"/>
          <w:sz w:val="24"/>
          <w:szCs w:val="24"/>
        </w:rPr>
        <w:t xml:space="preserve"> </w:t>
      </w:r>
      <w:r>
        <w:rPr>
          <w:rFonts w:hint="eastAsia"/>
          <w:sz w:val="24"/>
          <w:szCs w:val="24"/>
          <w:lang w:val="en-US" w:eastAsia="zh-CN"/>
        </w:rPr>
        <w:t xml:space="preserve"> </w:t>
      </w:r>
      <w:r>
        <w:rPr>
          <w:rFonts w:hint="eastAsia"/>
          <w:sz w:val="24"/>
          <w:szCs w:val="24"/>
        </w:rPr>
        <w:t>机电设备应设置工作与事故状态的检测装置</w:t>
      </w:r>
      <w:r>
        <w:rPr>
          <w:rFonts w:hint="eastAsia"/>
          <w:sz w:val="24"/>
          <w:szCs w:val="24"/>
          <w:lang w:eastAsia="zh-CN"/>
        </w:rPr>
        <w:t>。</w:t>
      </w:r>
    </w:p>
    <w:p>
      <w:pPr>
        <w:numPr>
          <w:ilvl w:val="-1"/>
          <w:numId w:val="0"/>
        </w:numPr>
        <w:ind w:firstLine="0" w:firstLineChars="0"/>
        <w:jc w:val="left"/>
        <w:rPr>
          <w:rStyle w:val="29"/>
          <w:rFonts w:hint="eastAsia" w:eastAsia="华文楷体"/>
          <w:bCs/>
          <w:color w:val="auto"/>
          <w:sz w:val="21"/>
          <w:szCs w:val="21"/>
          <w:lang w:eastAsia="zh-CN"/>
        </w:rPr>
      </w:pPr>
      <w:r>
        <w:rPr>
          <w:rStyle w:val="29"/>
          <w:rFonts w:hint="eastAsia" w:eastAsia="华文楷体"/>
          <w:bCs/>
          <w:color w:val="auto"/>
          <w:sz w:val="21"/>
          <w:szCs w:val="21"/>
        </w:rPr>
        <w:t>【条文说明】</w:t>
      </w:r>
      <w:r>
        <w:rPr>
          <w:rStyle w:val="29"/>
          <w:rFonts w:hint="eastAsia" w:eastAsia="华文楷体"/>
          <w:bCs/>
          <w:color w:val="auto"/>
          <w:sz w:val="21"/>
          <w:szCs w:val="21"/>
          <w:lang w:val="en-US" w:eastAsia="zh-CN"/>
        </w:rPr>
        <w:t>洗脱设备在运行过程中，为确保设备安全高效率工作，需设置工作状态时的预警装置，</w:t>
      </w:r>
      <w:r>
        <w:rPr>
          <w:rStyle w:val="29"/>
          <w:rFonts w:hint="eastAsia" w:eastAsia="华文楷体"/>
          <w:bCs/>
          <w:color w:val="auto"/>
          <w:lang w:val="en-US" w:eastAsia="zh-CN"/>
        </w:rPr>
        <w:t>及时</w:t>
      </w:r>
      <w:r>
        <w:rPr>
          <w:rStyle w:val="29"/>
          <w:rFonts w:hint="eastAsia" w:eastAsia="华文楷体"/>
          <w:bCs/>
          <w:color w:val="auto"/>
          <w:sz w:val="21"/>
          <w:szCs w:val="21"/>
          <w:lang w:val="en-US" w:eastAsia="zh-CN"/>
        </w:rPr>
        <w:t>掌握设备运行情况。</w:t>
      </w:r>
    </w:p>
    <w:p>
      <w:pPr>
        <w:numPr>
          <w:ilvl w:val="255"/>
          <w:numId w:val="0"/>
        </w:numPr>
        <w:jc w:val="left"/>
        <w:rPr>
          <w:rFonts w:hint="eastAsia"/>
          <w:sz w:val="24"/>
          <w:szCs w:val="24"/>
          <w:lang w:eastAsia="zh-CN"/>
        </w:rPr>
      </w:pPr>
      <w:r>
        <w:rPr>
          <w:rFonts w:hint="eastAsia" w:ascii="Times New Roman" w:hAnsi="Times New Roman" w:eastAsia="宋体" w:cs="Times New Roman"/>
          <w:b/>
          <w:bCs/>
          <w:sz w:val="24"/>
          <w:szCs w:val="24"/>
        </w:rPr>
        <w:t>5.1.2</w:t>
      </w:r>
      <w:r>
        <w:rPr>
          <w:rFonts w:hint="eastAsia"/>
          <w:sz w:val="24"/>
          <w:szCs w:val="24"/>
        </w:rPr>
        <w:t xml:space="preserve"> </w:t>
      </w:r>
      <w:r>
        <w:rPr>
          <w:rFonts w:hint="eastAsia"/>
          <w:sz w:val="24"/>
          <w:szCs w:val="24"/>
          <w:lang w:val="en-US" w:eastAsia="zh-CN"/>
        </w:rPr>
        <w:t xml:space="preserve"> 泥水分离槽</w:t>
      </w:r>
      <w:r>
        <w:rPr>
          <w:rFonts w:hint="eastAsia"/>
          <w:sz w:val="24"/>
          <w:szCs w:val="24"/>
        </w:rPr>
        <w:t>进出水宜设置浊度仪</w:t>
      </w:r>
      <w:r>
        <w:rPr>
          <w:rFonts w:hint="eastAsia"/>
          <w:sz w:val="24"/>
          <w:szCs w:val="24"/>
          <w:lang w:val="en-US" w:eastAsia="zh-CN"/>
        </w:rPr>
        <w:t>并定期取样检测洗脱出水水质</w:t>
      </w:r>
      <w:r>
        <w:rPr>
          <w:rFonts w:hint="eastAsia"/>
          <w:sz w:val="24"/>
          <w:szCs w:val="24"/>
          <w:lang w:eastAsia="zh-CN"/>
        </w:rPr>
        <w:t>。</w:t>
      </w:r>
    </w:p>
    <w:p>
      <w:pPr>
        <w:pStyle w:val="19"/>
        <w:ind w:firstLine="0" w:firstLineChars="0"/>
        <w:jc w:val="both"/>
        <w:textAlignment w:val="baseline"/>
        <w:rPr>
          <w:rStyle w:val="29"/>
          <w:rFonts w:hint="eastAsia" w:eastAsia="华文楷体"/>
          <w:bCs/>
          <w:color w:val="auto"/>
          <w:kern w:val="2"/>
          <w:sz w:val="21"/>
          <w:szCs w:val="21"/>
          <w:lang w:eastAsia="zh-CN"/>
        </w:rPr>
      </w:pPr>
      <w:r>
        <w:rPr>
          <w:rStyle w:val="29"/>
          <w:rFonts w:hint="eastAsia" w:eastAsia="华文楷体"/>
          <w:bCs/>
          <w:color w:val="auto"/>
          <w:kern w:val="2"/>
          <w:sz w:val="21"/>
          <w:szCs w:val="21"/>
        </w:rPr>
        <w:t>【条文说明】</w:t>
      </w:r>
      <w:r>
        <w:rPr>
          <w:rStyle w:val="29"/>
          <w:rFonts w:hint="eastAsia" w:eastAsia="华文楷体"/>
          <w:bCs/>
          <w:color w:val="auto"/>
          <w:kern w:val="2"/>
          <w:sz w:val="21"/>
          <w:szCs w:val="21"/>
          <w:lang w:val="en-US" w:eastAsia="zh-CN"/>
        </w:rPr>
        <w:t>浊度仪的设置能更好反馈洗脱区域水体浑浊度的情况，当浊度降到一定程度时，表明该块区域底泥基本实现清洁状态。另外，排入原河湖水体的洗脱水质不低于原水质要求。</w:t>
      </w:r>
    </w:p>
    <w:p>
      <w:pPr>
        <w:numPr>
          <w:ilvl w:val="255"/>
          <w:numId w:val="0"/>
        </w:numPr>
        <w:jc w:val="left"/>
        <w:rPr>
          <w:rFonts w:hint="eastAsia" w:eastAsia="宋体"/>
          <w:sz w:val="24"/>
          <w:szCs w:val="24"/>
          <w:lang w:eastAsia="zh-CN"/>
        </w:rPr>
      </w:pPr>
      <w:r>
        <w:rPr>
          <w:rFonts w:hint="eastAsia" w:ascii="Times New Roman" w:hAnsi="Times New Roman" w:eastAsia="宋体" w:cs="Times New Roman"/>
          <w:b/>
          <w:bCs/>
          <w:sz w:val="24"/>
          <w:szCs w:val="24"/>
        </w:rPr>
        <w:t>5.1.3</w:t>
      </w:r>
      <w:r>
        <w:rPr>
          <w:rFonts w:hint="eastAsia"/>
          <w:sz w:val="24"/>
          <w:szCs w:val="24"/>
        </w:rPr>
        <w:t xml:space="preserve"> </w:t>
      </w:r>
      <w:r>
        <w:rPr>
          <w:rFonts w:hint="eastAsia"/>
          <w:sz w:val="24"/>
          <w:szCs w:val="24"/>
          <w:lang w:val="en-US" w:eastAsia="zh-CN"/>
        </w:rPr>
        <w:t xml:space="preserve"> </w:t>
      </w:r>
      <w:r>
        <w:rPr>
          <w:rFonts w:hint="eastAsia"/>
          <w:sz w:val="24"/>
          <w:szCs w:val="24"/>
        </w:rPr>
        <w:t>进水管道及絮凝剂投加管路宜设置计量装置</w:t>
      </w:r>
      <w:r>
        <w:rPr>
          <w:rFonts w:hint="eastAsia"/>
          <w:sz w:val="24"/>
          <w:szCs w:val="24"/>
          <w:lang w:eastAsia="zh-CN"/>
        </w:rPr>
        <w:t>。</w:t>
      </w:r>
    </w:p>
    <w:p>
      <w:pPr>
        <w:pStyle w:val="3"/>
        <w:rPr>
          <w:rFonts w:eastAsia="黑体"/>
          <w:sz w:val="28"/>
          <w:szCs w:val="28"/>
        </w:rPr>
      </w:pPr>
      <w:bookmarkStart w:id="169" w:name="_Toc19885"/>
      <w:r>
        <w:rPr>
          <w:rFonts w:eastAsia="黑体"/>
          <w:sz w:val="28"/>
          <w:szCs w:val="28"/>
        </w:rPr>
        <w:t xml:space="preserve">5.2 </w:t>
      </w:r>
      <w:r>
        <w:rPr>
          <w:rFonts w:hint="eastAsia" w:eastAsia="黑体"/>
          <w:sz w:val="28"/>
          <w:szCs w:val="28"/>
          <w:lang w:val="en-US" w:eastAsia="zh-CN"/>
        </w:rPr>
        <w:t xml:space="preserve"> </w:t>
      </w:r>
      <w:r>
        <w:rPr>
          <w:rFonts w:eastAsia="黑体"/>
          <w:sz w:val="28"/>
          <w:szCs w:val="28"/>
        </w:rPr>
        <w:t>控制</w:t>
      </w:r>
      <w:bookmarkEnd w:id="169"/>
    </w:p>
    <w:p>
      <w:pPr>
        <w:numPr>
          <w:ilvl w:val="255"/>
          <w:numId w:val="0"/>
        </w:numPr>
        <w:rPr>
          <w:rFonts w:hint="eastAsia" w:eastAsia="宋体"/>
          <w:sz w:val="24"/>
          <w:szCs w:val="24"/>
          <w:lang w:eastAsia="zh-CN"/>
        </w:rPr>
      </w:pPr>
      <w:r>
        <w:rPr>
          <w:rFonts w:hint="eastAsia" w:ascii="Times New Roman" w:hAnsi="Times New Roman" w:eastAsia="宋体" w:cs="Times New Roman"/>
          <w:b/>
          <w:bCs/>
          <w:sz w:val="24"/>
          <w:szCs w:val="24"/>
        </w:rPr>
        <w:t>5.2.1</w:t>
      </w:r>
      <w:r>
        <w:rPr>
          <w:rFonts w:hint="eastAsia"/>
          <w:sz w:val="24"/>
          <w:szCs w:val="24"/>
        </w:rPr>
        <w:t xml:space="preserve"> </w:t>
      </w:r>
      <w:r>
        <w:rPr>
          <w:rFonts w:hint="eastAsia"/>
          <w:sz w:val="24"/>
          <w:szCs w:val="24"/>
          <w:lang w:val="en-US" w:eastAsia="zh-CN"/>
        </w:rPr>
        <w:t xml:space="preserve"> </w:t>
      </w:r>
      <w:r>
        <w:rPr>
          <w:rFonts w:hint="eastAsia"/>
          <w:sz w:val="24"/>
          <w:szCs w:val="24"/>
        </w:rPr>
        <w:t>机电设备宜实现PLC控制</w:t>
      </w:r>
      <w:r>
        <w:rPr>
          <w:rFonts w:hint="eastAsia"/>
          <w:sz w:val="24"/>
          <w:szCs w:val="24"/>
          <w:lang w:eastAsia="zh-CN"/>
        </w:rPr>
        <w:t>。</w:t>
      </w:r>
    </w:p>
    <w:p>
      <w:pPr>
        <w:numPr>
          <w:ilvl w:val="255"/>
          <w:numId w:val="0"/>
        </w:numPr>
        <w:rPr>
          <w:rFonts w:hint="eastAsia"/>
          <w:sz w:val="24"/>
          <w:szCs w:val="24"/>
          <w:lang w:eastAsia="zh-CN"/>
        </w:rPr>
      </w:pPr>
      <w:r>
        <w:rPr>
          <w:rFonts w:hint="eastAsia" w:ascii="Times New Roman" w:hAnsi="Times New Roman" w:eastAsia="宋体" w:cs="Times New Roman"/>
          <w:b/>
          <w:bCs/>
          <w:sz w:val="24"/>
          <w:szCs w:val="24"/>
        </w:rPr>
        <w:t>5.2.2</w:t>
      </w:r>
      <w:r>
        <w:rPr>
          <w:rFonts w:hint="eastAsia"/>
          <w:sz w:val="24"/>
          <w:szCs w:val="24"/>
        </w:rPr>
        <w:t xml:space="preserve"> </w:t>
      </w:r>
      <w:r>
        <w:rPr>
          <w:rFonts w:hint="eastAsia"/>
          <w:sz w:val="24"/>
          <w:szCs w:val="24"/>
          <w:lang w:val="en-US" w:eastAsia="zh-CN"/>
        </w:rPr>
        <w:t xml:space="preserve"> </w:t>
      </w:r>
      <w:r>
        <w:rPr>
          <w:rFonts w:hint="eastAsia"/>
          <w:sz w:val="24"/>
          <w:szCs w:val="24"/>
        </w:rPr>
        <w:t>采集或控制的参数宜包括：进水流量、絮凝剂投加量及</w:t>
      </w:r>
      <w:r>
        <w:rPr>
          <w:rFonts w:hint="eastAsia"/>
          <w:sz w:val="24"/>
          <w:szCs w:val="24"/>
          <w:lang w:val="en-US" w:eastAsia="zh-CN"/>
        </w:rPr>
        <w:t>进出水</w:t>
      </w:r>
      <w:r>
        <w:rPr>
          <w:rFonts w:hint="eastAsia"/>
          <w:sz w:val="24"/>
          <w:szCs w:val="24"/>
        </w:rPr>
        <w:t>浊度等</w:t>
      </w:r>
      <w:r>
        <w:rPr>
          <w:rFonts w:hint="eastAsia"/>
          <w:sz w:val="24"/>
          <w:szCs w:val="24"/>
          <w:lang w:eastAsia="zh-CN"/>
        </w:rPr>
        <w:t>。</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baseline"/>
        <w:rPr>
          <w:rStyle w:val="29"/>
          <w:rFonts w:hint="eastAsia" w:eastAsia="华文楷体"/>
          <w:bCs/>
          <w:color w:val="auto"/>
          <w:kern w:val="2"/>
          <w:sz w:val="21"/>
          <w:szCs w:val="21"/>
          <w:lang w:val="en-US" w:eastAsia="zh-CN"/>
        </w:rPr>
      </w:pPr>
      <w:r>
        <w:rPr>
          <w:rStyle w:val="29"/>
          <w:rFonts w:hint="eastAsia" w:eastAsia="华文楷体"/>
          <w:bCs/>
          <w:color w:val="auto"/>
          <w:kern w:val="2"/>
          <w:sz w:val="21"/>
          <w:szCs w:val="21"/>
        </w:rPr>
        <w:t>【条文说明】</w:t>
      </w:r>
      <w:r>
        <w:rPr>
          <w:rStyle w:val="29"/>
          <w:rFonts w:hint="eastAsia" w:eastAsia="华文楷体"/>
          <w:bCs/>
          <w:color w:val="auto"/>
          <w:kern w:val="2"/>
          <w:sz w:val="21"/>
          <w:szCs w:val="21"/>
          <w:lang w:val="en-US" w:eastAsia="zh-CN"/>
        </w:rPr>
        <w:t>各项参数监测仪器的设置是为了更好了解洗脱状态及效率，便于及时调整设备工作参数。</w:t>
      </w:r>
    </w:p>
    <w:p>
      <w:pPr>
        <w:numPr>
          <w:ilvl w:val="255"/>
          <w:numId w:val="0"/>
        </w:numPr>
        <w:rPr>
          <w:rFonts w:hint="eastAsia"/>
          <w:sz w:val="24"/>
          <w:szCs w:val="24"/>
        </w:rPr>
      </w:pPr>
      <w:r>
        <w:rPr>
          <w:rFonts w:hint="eastAsia" w:ascii="Times New Roman" w:hAnsi="Times New Roman" w:eastAsia="宋体" w:cs="Times New Roman"/>
          <w:b/>
          <w:bCs/>
          <w:sz w:val="24"/>
          <w:szCs w:val="24"/>
        </w:rPr>
        <w:t>5.2.3</w:t>
      </w:r>
      <w:r>
        <w:rPr>
          <w:rFonts w:hint="eastAsia"/>
          <w:sz w:val="24"/>
          <w:szCs w:val="24"/>
        </w:rPr>
        <w:t xml:space="preserve"> </w:t>
      </w:r>
      <w:r>
        <w:rPr>
          <w:rFonts w:hint="eastAsia"/>
          <w:sz w:val="24"/>
          <w:szCs w:val="24"/>
          <w:lang w:val="en-US" w:eastAsia="zh-CN"/>
        </w:rPr>
        <w:t xml:space="preserve"> </w:t>
      </w:r>
      <w:r>
        <w:rPr>
          <w:rFonts w:hint="eastAsia"/>
          <w:sz w:val="24"/>
          <w:szCs w:val="24"/>
        </w:rPr>
        <w:t>絮凝搅拌器、自吸/输送泵、加药泵等宜采用变频调节控制</w:t>
      </w:r>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r>
        <w:rPr>
          <w:rFonts w:hint="eastAsia"/>
          <w:sz w:val="24"/>
          <w:szCs w:val="24"/>
        </w:rPr>
        <w:t>。</w:t>
      </w:r>
    </w:p>
    <w:p>
      <w:pPr>
        <w:numPr>
          <w:ilvl w:val="255"/>
          <w:numId w:val="0"/>
        </w:numPr>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5.2.4</w:t>
      </w:r>
      <w:r>
        <w:rPr>
          <w:rFonts w:hint="eastAsia"/>
          <w:sz w:val="24"/>
          <w:szCs w:val="24"/>
          <w:lang w:val="en-US" w:eastAsia="zh-CN"/>
        </w:rPr>
        <w:t xml:space="preserve">  洗脱设备宜搭</w:t>
      </w:r>
      <w:r>
        <w:rPr>
          <w:rFonts w:hint="eastAsia" w:ascii="Times New Roman" w:hAnsi="Times New Roman" w:eastAsia="宋体" w:cs="Times New Roman"/>
          <w:sz w:val="24"/>
          <w:szCs w:val="24"/>
          <w:lang w:val="en-US" w:eastAsia="zh-CN"/>
        </w:rPr>
        <w:t>载自动驾驶精准定位洗脱作业系统。</w:t>
      </w:r>
    </w:p>
    <w:p>
      <w:pPr>
        <w:numPr>
          <w:ilvl w:val="-1"/>
          <w:numId w:val="0"/>
        </w:numPr>
        <w:ind w:firstLine="0" w:firstLineChars="0"/>
        <w:rPr>
          <w:rStyle w:val="29"/>
          <w:rFonts w:hint="eastAsia" w:ascii="Times New Roman" w:hAnsi="Times New Roman" w:eastAsia="华文楷体" w:cs="Times New Roman"/>
          <w:bCs/>
          <w:color w:val="auto"/>
          <w:sz w:val="21"/>
          <w:szCs w:val="21"/>
          <w:lang w:val="en-US" w:eastAsia="zh-CN"/>
        </w:rPr>
      </w:pPr>
      <w:r>
        <w:rPr>
          <w:rStyle w:val="29"/>
          <w:rFonts w:hint="eastAsia" w:eastAsia="华文楷体"/>
          <w:bCs/>
          <w:color w:val="auto"/>
          <w:sz w:val="21"/>
          <w:szCs w:val="21"/>
        </w:rPr>
        <w:t>【条文说明】</w:t>
      </w:r>
      <w:r>
        <w:rPr>
          <w:rStyle w:val="29"/>
          <w:rFonts w:hint="eastAsia" w:eastAsia="华文楷体"/>
          <w:bCs/>
          <w:color w:val="auto"/>
          <w:sz w:val="21"/>
          <w:szCs w:val="21"/>
          <w:lang w:val="en-US" w:eastAsia="zh-CN"/>
        </w:rPr>
        <w:t>自动驾驶定位系统的设置将极大提高工作效率和洗脱精准度，保证河湖床底泥区域能覆盖全面，避免遗漏无死角。</w:t>
      </w:r>
    </w:p>
    <w:p>
      <w:pPr>
        <w:bidi w:val="0"/>
        <w:rPr>
          <w:rFonts w:hint="eastAsia"/>
        </w:rPr>
      </w:pPr>
    </w:p>
    <w:p>
      <w:pPr>
        <w:rPr>
          <w:rFonts w:hint="eastAsia"/>
        </w:rPr>
      </w:pPr>
      <w:r>
        <w:rPr>
          <w:rFonts w:hint="eastAsia"/>
        </w:rPr>
        <w:br w:type="page"/>
      </w:r>
    </w:p>
    <w:p>
      <w:pPr>
        <w:pStyle w:val="2"/>
        <w:bidi w:val="0"/>
        <w:ind w:left="0" w:leftChars="0" w:firstLine="0" w:firstLineChars="0"/>
        <w:jc w:val="center"/>
        <w:rPr>
          <w:rFonts w:hint="eastAsia" w:asciiTheme="majorEastAsia" w:hAnsiTheme="majorEastAsia" w:eastAsiaTheme="majorEastAsia" w:cstheme="majorEastAsia"/>
          <w:b/>
          <w:sz w:val="30"/>
          <w:szCs w:val="30"/>
        </w:rPr>
      </w:pPr>
      <w:r>
        <w:rPr>
          <w:rFonts w:hint="eastAsia" w:asciiTheme="majorEastAsia" w:hAnsiTheme="majorEastAsia" w:eastAsiaTheme="majorEastAsia" w:cstheme="majorEastAsia"/>
          <w:b/>
          <w:sz w:val="30"/>
          <w:szCs w:val="30"/>
        </w:rPr>
        <w:t>附录</w:t>
      </w:r>
    </w:p>
    <w:p>
      <w:pPr>
        <w:pStyle w:val="23"/>
        <w:keepNext w:val="0"/>
        <w:keepLines w:val="0"/>
        <w:pageBreakBefore w:val="0"/>
        <w:widowControl/>
        <w:kinsoku/>
        <w:wordWrap/>
        <w:overflowPunct/>
        <w:topLinePunct w:val="0"/>
        <w:autoSpaceDE w:val="0"/>
        <w:autoSpaceDN w:val="0"/>
        <w:bidi w:val="0"/>
        <w:adjustRightInd/>
        <w:snapToGrid/>
        <w:spacing w:line="360" w:lineRule="auto"/>
        <w:ind w:firstLine="0" w:firstLineChars="0"/>
        <w:jc w:val="center"/>
        <w:textAlignment w:val="auto"/>
        <w:rPr>
          <w:rFonts w:hint="default" w:ascii="宋体" w:hAnsi="宋体" w:eastAsia="宋体" w:cs="宋体"/>
          <w:b/>
          <w:bCs/>
          <w:color w:val="000000"/>
          <w:kern w:val="0"/>
          <w:szCs w:val="21"/>
          <w:lang w:val="en-US" w:eastAsia="zh-CN" w:bidi="ar"/>
        </w:rPr>
      </w:pPr>
      <w:r>
        <w:rPr>
          <w:rFonts w:hint="eastAsia" w:ascii="宋体" w:hAnsi="宋体" w:eastAsia="宋体" w:cs="宋体"/>
          <w:b/>
          <w:bCs/>
          <w:color w:val="000000"/>
          <w:kern w:val="0"/>
          <w:szCs w:val="21"/>
          <w:lang w:val="en-US" w:eastAsia="zh-CN" w:bidi="ar"/>
        </w:rPr>
        <w:t>表</w:t>
      </w:r>
      <w:r>
        <w:rPr>
          <w:rFonts w:hint="eastAsia" w:hAnsi="宋体" w:cs="宋体"/>
          <w:b/>
          <w:bCs/>
          <w:color w:val="000000"/>
          <w:kern w:val="0"/>
          <w:szCs w:val="21"/>
          <w:lang w:val="en-US" w:eastAsia="zh-CN" w:bidi="ar"/>
        </w:rPr>
        <w:t>A</w:t>
      </w:r>
      <w:r>
        <w:rPr>
          <w:rFonts w:hint="eastAsia" w:ascii="宋体" w:hAnsi="宋体" w:eastAsia="宋体" w:cs="宋体"/>
          <w:b/>
          <w:bCs/>
          <w:color w:val="000000"/>
          <w:kern w:val="0"/>
          <w:szCs w:val="21"/>
          <w:lang w:val="en-US" w:eastAsia="zh-CN" w:bidi="ar"/>
        </w:rPr>
        <w:t xml:space="preserve">  水质底泥指标检测方法及采样勘探</w:t>
      </w:r>
      <w:r>
        <w:rPr>
          <w:rFonts w:hint="eastAsia" w:hAnsi="宋体" w:cs="宋体"/>
          <w:b/>
          <w:bCs/>
          <w:color w:val="000000"/>
          <w:kern w:val="0"/>
          <w:szCs w:val="21"/>
          <w:lang w:val="en-US" w:eastAsia="zh-CN" w:bidi="ar"/>
        </w:rPr>
        <w:t>布点密度</w:t>
      </w:r>
    </w:p>
    <w:tbl>
      <w:tblPr>
        <w:tblStyle w:val="14"/>
        <w:tblW w:w="84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8"/>
        <w:gridCol w:w="1345"/>
        <w:gridCol w:w="1920"/>
        <w:gridCol w:w="2029"/>
        <w:gridCol w:w="22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8" w:type="dxa"/>
            <w:vMerge w:val="restart"/>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1345" w:type="dxa"/>
            <w:vMerge w:val="restart"/>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检测指标</w:t>
            </w:r>
          </w:p>
        </w:tc>
        <w:tc>
          <w:tcPr>
            <w:tcW w:w="1920" w:type="dxa"/>
            <w:vMerge w:val="restart"/>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检测方法</w:t>
            </w:r>
          </w:p>
        </w:tc>
        <w:tc>
          <w:tcPr>
            <w:tcW w:w="4236" w:type="dxa"/>
            <w:gridSpan w:val="2"/>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勘探间距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rPr>
            </w:pPr>
          </w:p>
        </w:tc>
        <w:tc>
          <w:tcPr>
            <w:tcW w:w="1345"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rPr>
            </w:pPr>
          </w:p>
        </w:tc>
        <w:tc>
          <w:tcPr>
            <w:tcW w:w="1920"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rPr>
            </w:pPr>
          </w:p>
        </w:tc>
        <w:tc>
          <w:tcPr>
            <w:tcW w:w="2029"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河流</w:t>
            </w:r>
          </w:p>
        </w:tc>
        <w:tc>
          <w:tcPr>
            <w:tcW w:w="2207"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湖泊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8" w:type="dxa"/>
            <w:vMerge w:val="restart"/>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水质</w:t>
            </w:r>
          </w:p>
        </w:tc>
        <w:tc>
          <w:tcPr>
            <w:tcW w:w="134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透明度</w:t>
            </w:r>
          </w:p>
        </w:tc>
        <w:tc>
          <w:tcPr>
            <w:tcW w:w="1920"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塞氏盘法</w:t>
            </w:r>
          </w:p>
        </w:tc>
        <w:tc>
          <w:tcPr>
            <w:tcW w:w="2029" w:type="dxa"/>
            <w:vMerge w:val="restart"/>
            <w:tcBorders>
              <w:tl2br w:val="nil"/>
              <w:tr2bl w:val="nil"/>
            </w:tcBorders>
            <w:vAlign w:val="top"/>
          </w:tcPr>
          <w:p>
            <w:pPr>
              <w:spacing w:line="240" w:lineRule="auto"/>
              <w:ind w:left="0" w:leftChars="0" w:firstLine="360" w:firstLineChars="200"/>
              <w:jc w:val="both"/>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河流长度超过10km</w:t>
            </w:r>
            <w:r>
              <w:rPr>
                <w:rFonts w:hint="eastAsia" w:cs="Times New Roman"/>
                <w:sz w:val="18"/>
                <w:szCs w:val="18"/>
                <w:lang w:val="en-US" w:eastAsia="zh-CN"/>
              </w:rPr>
              <w:t>且水质底泥污染数据空间差异较小，</w:t>
            </w:r>
            <w:r>
              <w:rPr>
                <w:rFonts w:hint="default" w:ascii="Times New Roman" w:hAnsi="Times New Roman" w:eastAsia="宋体" w:cs="Times New Roman"/>
                <w:sz w:val="18"/>
                <w:szCs w:val="18"/>
                <w:lang w:val="en-US" w:eastAsia="zh-CN"/>
              </w:rPr>
              <w:t>间距</w:t>
            </w:r>
            <w:r>
              <w:rPr>
                <w:rFonts w:hint="eastAsia" w:cs="Times New Roman"/>
                <w:sz w:val="18"/>
                <w:szCs w:val="18"/>
                <w:lang w:val="en-US" w:eastAsia="zh-CN"/>
              </w:rPr>
              <w:t>应</w:t>
            </w:r>
            <w:r>
              <w:rPr>
                <w:rFonts w:hint="default" w:ascii="Times New Roman" w:hAnsi="Times New Roman" w:eastAsia="宋体" w:cs="Times New Roman"/>
                <w:sz w:val="18"/>
                <w:szCs w:val="18"/>
                <w:lang w:val="en-US" w:eastAsia="zh-CN"/>
              </w:rPr>
              <w:t>取2km；</w:t>
            </w:r>
          </w:p>
          <w:p>
            <w:pPr>
              <w:spacing w:line="240" w:lineRule="auto"/>
              <w:ind w:firstLine="360" w:firstLineChars="200"/>
              <w:jc w:val="both"/>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河流长度低于10km或</w:t>
            </w:r>
            <w:r>
              <w:rPr>
                <w:rFonts w:hint="eastAsia" w:cs="Times New Roman"/>
                <w:sz w:val="18"/>
                <w:szCs w:val="18"/>
                <w:lang w:val="en-US" w:eastAsia="zh-CN"/>
              </w:rPr>
              <w:t>水质底泥污染数据空间差异较大，</w:t>
            </w:r>
            <w:r>
              <w:rPr>
                <w:rFonts w:hint="default" w:ascii="Times New Roman" w:hAnsi="Times New Roman" w:eastAsia="宋体" w:cs="Times New Roman"/>
                <w:sz w:val="18"/>
                <w:szCs w:val="18"/>
                <w:lang w:val="en-US" w:eastAsia="zh-CN"/>
              </w:rPr>
              <w:t>间距取1km</w:t>
            </w:r>
            <w:r>
              <w:rPr>
                <w:rFonts w:hint="eastAsia" w:ascii="Times New Roman" w:hAnsi="Times New Roman" w:eastAsia="宋体" w:cs="Times New Roman"/>
                <w:sz w:val="18"/>
                <w:szCs w:val="18"/>
                <w:lang w:val="en-US" w:eastAsia="zh-CN"/>
              </w:rPr>
              <w:t>。</w:t>
            </w:r>
          </w:p>
          <w:p>
            <w:pPr>
              <w:spacing w:line="240" w:lineRule="auto"/>
              <w:ind w:firstLine="360" w:firstLineChars="200"/>
              <w:jc w:val="both"/>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河宽超过30m，</w:t>
            </w:r>
            <w:r>
              <w:rPr>
                <w:rFonts w:hint="eastAsia" w:cs="Times New Roman"/>
                <w:sz w:val="18"/>
                <w:szCs w:val="18"/>
                <w:lang w:val="en-US" w:eastAsia="zh-CN"/>
              </w:rPr>
              <w:t>或者左右岸污染分布不均，</w:t>
            </w:r>
            <w:r>
              <w:rPr>
                <w:rFonts w:hint="default" w:ascii="Times New Roman" w:hAnsi="Times New Roman" w:eastAsia="宋体" w:cs="Times New Roman"/>
                <w:sz w:val="18"/>
                <w:szCs w:val="18"/>
                <w:lang w:val="en-US" w:eastAsia="zh-CN"/>
              </w:rPr>
              <w:t>单个断面需设置两个以上</w:t>
            </w:r>
            <w:r>
              <w:rPr>
                <w:rFonts w:hint="eastAsia" w:cs="Times New Roman"/>
                <w:sz w:val="18"/>
                <w:szCs w:val="18"/>
                <w:lang w:val="en-US" w:eastAsia="zh-CN"/>
              </w:rPr>
              <w:t>勘探点位</w:t>
            </w:r>
            <w:r>
              <w:rPr>
                <w:rFonts w:hint="default" w:ascii="Times New Roman" w:hAnsi="Times New Roman" w:eastAsia="宋体" w:cs="Times New Roman"/>
                <w:sz w:val="18"/>
                <w:szCs w:val="18"/>
                <w:lang w:val="en-US" w:eastAsia="zh-CN"/>
              </w:rPr>
              <w:t>。</w:t>
            </w:r>
          </w:p>
        </w:tc>
        <w:tc>
          <w:tcPr>
            <w:tcW w:w="2207" w:type="dxa"/>
            <w:vMerge w:val="restart"/>
            <w:tcBorders>
              <w:tl2br w:val="nil"/>
              <w:tr2bl w:val="nil"/>
            </w:tcBorders>
            <w:vAlign w:val="top"/>
          </w:tcPr>
          <w:p>
            <w:pPr>
              <w:spacing w:line="240" w:lineRule="auto"/>
              <w:ind w:left="0" w:leftChars="0" w:firstLine="0" w:firstLineChars="0"/>
              <w:jc w:val="both"/>
              <w:rPr>
                <w:rFonts w:hint="default" w:ascii="Times New Roman" w:hAnsi="Times New Roman" w:eastAsia="宋体" w:cs="Times New Roman"/>
                <w:sz w:val="18"/>
                <w:szCs w:val="18"/>
                <w:lang w:val="en-US" w:eastAsia="zh-CN"/>
              </w:rPr>
            </w:pPr>
            <w:r>
              <w:rPr>
                <w:rFonts w:hint="eastAsia" w:cs="Times New Roman"/>
                <w:sz w:val="18"/>
                <w:szCs w:val="18"/>
                <w:lang w:val="en-US" w:eastAsia="zh-CN"/>
              </w:rPr>
              <w:t>湖泊勘探应采取系统布点法，</w:t>
            </w:r>
            <w:r>
              <w:rPr>
                <w:rFonts w:hint="default" w:ascii="Times New Roman" w:hAnsi="Times New Roman" w:eastAsia="宋体" w:cs="Times New Roman"/>
                <w:sz w:val="18"/>
                <w:szCs w:val="18"/>
                <w:lang w:val="en-US" w:eastAsia="zh-CN"/>
              </w:rPr>
              <w:t>当湖泊面积超过50万m</w:t>
            </w:r>
            <w:r>
              <w:rPr>
                <w:rFonts w:hint="default" w:ascii="Times New Roman" w:hAnsi="Times New Roman" w:eastAsia="宋体" w:cs="Times New Roman"/>
                <w:sz w:val="18"/>
                <w:szCs w:val="18"/>
                <w:vertAlign w:val="superscript"/>
                <w:lang w:val="en-US" w:eastAsia="zh-CN"/>
              </w:rPr>
              <w:t>2</w:t>
            </w:r>
            <w:r>
              <w:rPr>
                <w:rFonts w:hint="eastAsia" w:cs="Times New Roman"/>
                <w:sz w:val="18"/>
                <w:szCs w:val="18"/>
                <w:vertAlign w:val="baseline"/>
                <w:lang w:val="en-US" w:eastAsia="zh-CN"/>
              </w:rPr>
              <w:t>且</w:t>
            </w:r>
            <w:r>
              <w:rPr>
                <w:rFonts w:hint="eastAsia" w:cs="Times New Roman"/>
                <w:sz w:val="18"/>
                <w:szCs w:val="18"/>
                <w:lang w:val="en-US" w:eastAsia="zh-CN"/>
              </w:rPr>
              <w:t>水质底泥污染数据空间差异较小</w:t>
            </w:r>
            <w:r>
              <w:rPr>
                <w:rFonts w:hint="default" w:ascii="Times New Roman" w:hAnsi="Times New Roman" w:eastAsia="宋体" w:cs="Times New Roman"/>
                <w:sz w:val="18"/>
                <w:szCs w:val="18"/>
                <w:lang w:val="en-US" w:eastAsia="zh-CN"/>
              </w:rPr>
              <w:t>，勘探网格</w:t>
            </w:r>
            <w:r>
              <w:rPr>
                <w:rFonts w:hint="eastAsia" w:ascii="Times New Roman" w:hAnsi="Times New Roman" w:eastAsia="宋体" w:cs="Times New Roman"/>
                <w:sz w:val="18"/>
                <w:szCs w:val="18"/>
                <w:lang w:val="en-US" w:eastAsia="zh-CN"/>
              </w:rPr>
              <w:t>布点</w:t>
            </w:r>
            <w:r>
              <w:rPr>
                <w:rFonts w:hint="default" w:ascii="Times New Roman" w:hAnsi="Times New Roman" w:eastAsia="宋体" w:cs="Times New Roman"/>
                <w:sz w:val="18"/>
                <w:szCs w:val="18"/>
                <w:lang w:val="en-US" w:eastAsia="zh-CN"/>
              </w:rPr>
              <w:t>规格为</w:t>
            </w:r>
            <w:r>
              <w:rPr>
                <w:rFonts w:hint="eastAsia" w:cs="Times New Roman"/>
                <w:sz w:val="18"/>
                <w:szCs w:val="18"/>
                <w:lang w:val="en-US" w:eastAsia="zh-CN"/>
              </w:rPr>
              <w:t>2</w:t>
            </w:r>
            <w:r>
              <w:rPr>
                <w:rFonts w:hint="default" w:ascii="Times New Roman" w:hAnsi="Times New Roman" w:eastAsia="宋体" w:cs="Times New Roman"/>
                <w:sz w:val="18"/>
                <w:szCs w:val="18"/>
                <w:lang w:val="en-US" w:eastAsia="zh-CN"/>
              </w:rPr>
              <w:t>0</w:t>
            </w:r>
            <w:r>
              <w:rPr>
                <w:rFonts w:hint="eastAsia" w:ascii="Times New Roman" w:hAnsi="Times New Roman" w:eastAsia="宋体" w:cs="Times New Roman"/>
                <w:sz w:val="18"/>
                <w:szCs w:val="18"/>
                <w:lang w:val="en-US" w:eastAsia="zh-CN"/>
              </w:rPr>
              <w:t>0</w:t>
            </w:r>
            <w:r>
              <w:rPr>
                <w:rFonts w:hint="default" w:ascii="Times New Roman" w:hAnsi="Times New Roman" w:eastAsia="宋体" w:cs="Times New Roman"/>
                <w:sz w:val="18"/>
                <w:szCs w:val="18"/>
                <w:lang w:val="en-US" w:eastAsia="zh-CN"/>
              </w:rPr>
              <w:t>m*</w:t>
            </w:r>
            <w:r>
              <w:rPr>
                <w:rFonts w:hint="eastAsia" w:cs="Times New Roman"/>
                <w:sz w:val="18"/>
                <w:szCs w:val="18"/>
                <w:lang w:val="en-US" w:eastAsia="zh-CN"/>
              </w:rPr>
              <w:t>2</w:t>
            </w:r>
            <w:r>
              <w:rPr>
                <w:rFonts w:hint="default" w:ascii="Times New Roman" w:hAnsi="Times New Roman" w:eastAsia="宋体" w:cs="Times New Roman"/>
                <w:sz w:val="18"/>
                <w:szCs w:val="18"/>
                <w:lang w:val="en-US" w:eastAsia="zh-CN"/>
              </w:rPr>
              <w:t>00m</w:t>
            </w:r>
            <w:r>
              <w:rPr>
                <w:rFonts w:hint="eastAsia" w:ascii="Times New Roman" w:hAnsi="Times New Roman" w:eastAsia="宋体" w:cs="Times New Roman"/>
                <w:sz w:val="18"/>
                <w:szCs w:val="18"/>
                <w:lang w:val="en-US" w:eastAsia="zh-CN"/>
              </w:rPr>
              <w:t>；</w:t>
            </w:r>
          </w:p>
          <w:p>
            <w:pPr>
              <w:spacing w:line="240" w:lineRule="auto"/>
              <w:ind w:firstLine="360" w:firstLineChars="200"/>
              <w:jc w:val="both"/>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当湖泊面积低于50万m</w:t>
            </w:r>
            <w:r>
              <w:rPr>
                <w:rFonts w:hint="default" w:ascii="Times New Roman" w:hAnsi="Times New Roman" w:eastAsia="宋体" w:cs="Times New Roman"/>
                <w:sz w:val="18"/>
                <w:szCs w:val="18"/>
                <w:vertAlign w:val="superscript"/>
                <w:lang w:val="en-US" w:eastAsia="zh-CN"/>
              </w:rPr>
              <w:t>2</w:t>
            </w:r>
            <w:r>
              <w:rPr>
                <w:rFonts w:hint="default" w:ascii="Times New Roman" w:hAnsi="Times New Roman" w:eastAsia="宋体" w:cs="Times New Roman"/>
                <w:sz w:val="18"/>
                <w:szCs w:val="18"/>
                <w:lang w:val="en-US" w:eastAsia="zh-CN"/>
              </w:rPr>
              <w:t>或</w:t>
            </w:r>
            <w:r>
              <w:rPr>
                <w:rFonts w:hint="eastAsia" w:cs="Times New Roman"/>
                <w:sz w:val="18"/>
                <w:szCs w:val="18"/>
                <w:lang w:val="en-US" w:eastAsia="zh-CN"/>
              </w:rPr>
              <w:t>水质底泥污染数据空间差异较大</w:t>
            </w:r>
            <w:r>
              <w:rPr>
                <w:rFonts w:hint="default" w:ascii="Times New Roman" w:hAnsi="Times New Roman" w:eastAsia="宋体" w:cs="Times New Roman"/>
                <w:sz w:val="18"/>
                <w:szCs w:val="18"/>
                <w:lang w:val="en-US" w:eastAsia="zh-CN"/>
              </w:rPr>
              <w:t>，网格布点规格</w:t>
            </w:r>
            <w:r>
              <w:rPr>
                <w:rFonts w:hint="eastAsia" w:cs="Times New Roman"/>
                <w:sz w:val="18"/>
                <w:szCs w:val="18"/>
                <w:lang w:val="en-US" w:eastAsia="zh-CN"/>
              </w:rPr>
              <w:t>1</w:t>
            </w:r>
            <w:r>
              <w:rPr>
                <w:rFonts w:hint="default" w:ascii="Times New Roman" w:hAnsi="Times New Roman" w:eastAsia="宋体" w:cs="Times New Roman"/>
                <w:sz w:val="18"/>
                <w:szCs w:val="18"/>
                <w:lang w:val="en-US" w:eastAsia="zh-CN"/>
              </w:rPr>
              <w:t>00m*</w:t>
            </w:r>
            <w:r>
              <w:rPr>
                <w:rFonts w:hint="eastAsia" w:cs="Times New Roman"/>
                <w:sz w:val="18"/>
                <w:szCs w:val="18"/>
                <w:lang w:val="en-US" w:eastAsia="zh-CN"/>
              </w:rPr>
              <w:t>1</w:t>
            </w:r>
            <w:r>
              <w:rPr>
                <w:rFonts w:hint="default" w:ascii="Times New Roman" w:hAnsi="Times New Roman" w:eastAsia="宋体" w:cs="Times New Roman"/>
                <w:sz w:val="18"/>
                <w:szCs w:val="18"/>
                <w:lang w:val="en-US" w:eastAsia="zh-CN"/>
              </w:rPr>
              <w:t>00m</w:t>
            </w:r>
            <w:r>
              <w:rPr>
                <w:rFonts w:hint="eastAsia" w:ascii="Times New Roman" w:hAnsi="Times New Roman" w:eastAsia="宋体" w:cs="Times New Roman"/>
                <w:sz w:val="18"/>
                <w:szCs w:val="18"/>
                <w:lang w:val="en-US" w:eastAsia="zh-CN"/>
              </w:rPr>
              <w:t>。</w:t>
            </w:r>
          </w:p>
          <w:p>
            <w:pPr>
              <w:spacing w:line="240" w:lineRule="auto"/>
              <w:ind w:firstLine="360" w:firstLineChars="200"/>
              <w:jc w:val="both"/>
              <w:rPr>
                <w:rFonts w:hint="default" w:ascii="Times New Roman" w:hAnsi="Times New Roman" w:eastAsia="宋体" w:cs="Times New Roman"/>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134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溶解氧</w:t>
            </w:r>
          </w:p>
        </w:tc>
        <w:tc>
          <w:tcPr>
            <w:tcW w:w="1920"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便携式溶氧仪法</w:t>
            </w:r>
          </w:p>
        </w:tc>
        <w:tc>
          <w:tcPr>
            <w:tcW w:w="2029"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2207"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9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134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default" w:ascii="Times New Roman" w:hAnsi="Times New Roman" w:eastAsia="宋体" w:cs="Times New Roman"/>
                <w:sz w:val="18"/>
                <w:szCs w:val="18"/>
                <w:lang w:val="en-US" w:eastAsia="zh-CN"/>
              </w:rPr>
              <w:t>SS</w:t>
            </w:r>
          </w:p>
        </w:tc>
        <w:tc>
          <w:tcPr>
            <w:tcW w:w="1920"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2029"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2207"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134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化学需氧量</w:t>
            </w:r>
          </w:p>
        </w:tc>
        <w:tc>
          <w:tcPr>
            <w:tcW w:w="1920"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重铬酸盐法</w:t>
            </w:r>
          </w:p>
        </w:tc>
        <w:tc>
          <w:tcPr>
            <w:tcW w:w="2029"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2207"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134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总磷</w:t>
            </w:r>
          </w:p>
        </w:tc>
        <w:tc>
          <w:tcPr>
            <w:tcW w:w="1920"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钼酸铵分光光度法</w:t>
            </w:r>
          </w:p>
        </w:tc>
        <w:tc>
          <w:tcPr>
            <w:tcW w:w="2029"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2207"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134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氨氮</w:t>
            </w:r>
          </w:p>
        </w:tc>
        <w:tc>
          <w:tcPr>
            <w:tcW w:w="1920"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纳氏试剂分光光度法</w:t>
            </w:r>
          </w:p>
        </w:tc>
        <w:tc>
          <w:tcPr>
            <w:tcW w:w="2029"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2207"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134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总氮</w:t>
            </w:r>
          </w:p>
        </w:tc>
        <w:tc>
          <w:tcPr>
            <w:tcW w:w="1920"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碱性过硫酸钾消解分光光度法</w:t>
            </w:r>
          </w:p>
        </w:tc>
        <w:tc>
          <w:tcPr>
            <w:tcW w:w="2029"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2207"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134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高锰酸盐指数</w:t>
            </w:r>
          </w:p>
        </w:tc>
        <w:tc>
          <w:tcPr>
            <w:tcW w:w="1920"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2029"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2207"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134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叶绿素a</w:t>
            </w:r>
          </w:p>
        </w:tc>
        <w:tc>
          <w:tcPr>
            <w:tcW w:w="1920"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rPr>
              <w:t>单色分光光度法</w:t>
            </w:r>
          </w:p>
        </w:tc>
        <w:tc>
          <w:tcPr>
            <w:tcW w:w="2029"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2207"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134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藻密度</w:t>
            </w:r>
          </w:p>
        </w:tc>
        <w:tc>
          <w:tcPr>
            <w:tcW w:w="1920"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2029"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2207"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8" w:type="dxa"/>
            <w:vMerge w:val="restart"/>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底泥</w:t>
            </w:r>
          </w:p>
        </w:tc>
        <w:tc>
          <w:tcPr>
            <w:tcW w:w="134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有机质</w:t>
            </w:r>
          </w:p>
        </w:tc>
        <w:tc>
          <w:tcPr>
            <w:tcW w:w="1920"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重铬酸钾容量法</w:t>
            </w:r>
          </w:p>
        </w:tc>
        <w:tc>
          <w:tcPr>
            <w:tcW w:w="2029" w:type="dxa"/>
            <w:vMerge w:val="continue"/>
            <w:tcBorders>
              <w:tl2br w:val="nil"/>
              <w:tr2bl w:val="nil"/>
            </w:tcBorders>
            <w:vAlign w:val="top"/>
          </w:tcPr>
          <w:p>
            <w:pPr>
              <w:spacing w:line="240" w:lineRule="auto"/>
              <w:ind w:firstLine="360" w:firstLineChars="200"/>
              <w:jc w:val="both"/>
              <w:rPr>
                <w:rFonts w:hint="default" w:ascii="Times New Roman" w:hAnsi="Times New Roman" w:eastAsia="宋体" w:cs="Times New Roman"/>
                <w:sz w:val="18"/>
                <w:szCs w:val="18"/>
                <w:lang w:val="en-US" w:eastAsia="zh-CN"/>
              </w:rPr>
            </w:pPr>
          </w:p>
        </w:tc>
        <w:tc>
          <w:tcPr>
            <w:tcW w:w="2207" w:type="dxa"/>
            <w:vMerge w:val="continue"/>
            <w:tcBorders>
              <w:tl2br w:val="nil"/>
              <w:tr2bl w:val="nil"/>
            </w:tcBorders>
            <w:vAlign w:val="top"/>
          </w:tcPr>
          <w:p>
            <w:pPr>
              <w:spacing w:line="240" w:lineRule="auto"/>
              <w:ind w:firstLine="360" w:firstLineChars="200"/>
              <w:jc w:val="both"/>
              <w:rPr>
                <w:rFonts w:hint="default" w:ascii="Times New Roman" w:hAnsi="Times New Roman" w:eastAsia="宋体" w:cs="Times New Roman"/>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134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总磷</w:t>
            </w:r>
          </w:p>
        </w:tc>
        <w:tc>
          <w:tcPr>
            <w:tcW w:w="1920" w:type="dxa"/>
            <w:tcBorders>
              <w:tl2br w:val="nil"/>
              <w:tr2bl w:val="nil"/>
            </w:tcBorders>
            <w:vAlign w:val="center"/>
          </w:tcPr>
          <w:p>
            <w:pPr>
              <w:spacing w:line="240" w:lineRule="auto"/>
              <w:ind w:firstLine="0" w:firstLineChars="0"/>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碱熔—钼锑抗分光光度法</w:t>
            </w:r>
          </w:p>
        </w:tc>
        <w:tc>
          <w:tcPr>
            <w:tcW w:w="2029"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2207"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134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总氮</w:t>
            </w:r>
          </w:p>
        </w:tc>
        <w:tc>
          <w:tcPr>
            <w:tcW w:w="1920" w:type="dxa"/>
            <w:tcBorders>
              <w:tl2br w:val="nil"/>
              <w:tr2bl w:val="nil"/>
            </w:tcBorders>
            <w:vAlign w:val="center"/>
          </w:tcPr>
          <w:p>
            <w:pPr>
              <w:spacing w:line="240" w:lineRule="auto"/>
              <w:ind w:firstLine="0" w:firstLineChars="0"/>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半微量开氏法</w:t>
            </w:r>
          </w:p>
        </w:tc>
        <w:tc>
          <w:tcPr>
            <w:tcW w:w="2029"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2207"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134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粒径</w:t>
            </w:r>
          </w:p>
        </w:tc>
        <w:tc>
          <w:tcPr>
            <w:tcW w:w="1920" w:type="dxa"/>
            <w:tcBorders>
              <w:tl2br w:val="nil"/>
              <w:tr2bl w:val="nil"/>
            </w:tcBorders>
            <w:vAlign w:val="center"/>
          </w:tcPr>
          <w:p>
            <w:pPr>
              <w:spacing w:line="240" w:lineRule="auto"/>
              <w:ind w:firstLine="0" w:firstLineChars="0"/>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消光法或筛分法</w:t>
            </w:r>
          </w:p>
        </w:tc>
        <w:tc>
          <w:tcPr>
            <w:tcW w:w="2029"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2207"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40" w:hRule="atLeast"/>
          <w:jc w:val="center"/>
        </w:trPr>
        <w:tc>
          <w:tcPr>
            <w:tcW w:w="938"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1345" w:type="dxa"/>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淤积厚度</w:t>
            </w:r>
          </w:p>
          <w:p>
            <w:pPr>
              <w:rPr>
                <w:rFonts w:hint="eastAsia" w:ascii="Times New Roman" w:hAnsi="Times New Roman" w:eastAsia="宋体" w:cs="Times New Roman"/>
                <w:kern w:val="2"/>
                <w:sz w:val="18"/>
                <w:szCs w:val="18"/>
                <w:lang w:val="en-US" w:eastAsia="zh-CN" w:bidi="ar-SA"/>
              </w:rPr>
            </w:pPr>
          </w:p>
          <w:p>
            <w:pPr>
              <w:rPr>
                <w:rFonts w:hint="eastAsia"/>
                <w:sz w:val="18"/>
                <w:szCs w:val="18"/>
                <w:lang w:val="en-US" w:eastAsia="zh-CN"/>
              </w:rPr>
            </w:pPr>
          </w:p>
          <w:p>
            <w:pPr>
              <w:rPr>
                <w:rFonts w:hint="eastAsia"/>
                <w:sz w:val="18"/>
                <w:szCs w:val="18"/>
                <w:lang w:val="en-US" w:eastAsia="zh-CN"/>
              </w:rPr>
            </w:pPr>
          </w:p>
          <w:p>
            <w:pPr>
              <w:ind w:firstLine="1022" w:firstLineChars="0"/>
              <w:jc w:val="left"/>
              <w:rPr>
                <w:rFonts w:hint="eastAsia"/>
                <w:sz w:val="18"/>
                <w:szCs w:val="18"/>
                <w:lang w:val="en-US" w:eastAsia="zh-CN"/>
              </w:rPr>
            </w:pPr>
          </w:p>
        </w:tc>
        <w:tc>
          <w:tcPr>
            <w:tcW w:w="1920" w:type="dxa"/>
            <w:tcBorders>
              <w:tl2br w:val="nil"/>
              <w:tr2bl w:val="nil"/>
            </w:tcBorders>
            <w:vAlign w:val="center"/>
          </w:tcPr>
          <w:p>
            <w:pPr>
              <w:spacing w:line="240" w:lineRule="auto"/>
              <w:ind w:firstLine="0" w:firstLineChars="0"/>
              <w:jc w:val="both"/>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高频声呐测扫</w:t>
            </w:r>
            <w:r>
              <w:rPr>
                <w:rFonts w:hint="eastAsia" w:ascii="宋体" w:hAnsi="宋体" w:cs="宋体"/>
                <w:sz w:val="18"/>
                <w:szCs w:val="18"/>
                <w:lang w:val="en-US" w:eastAsia="zh-CN"/>
              </w:rPr>
              <w:t>或人工加密测量。</w:t>
            </w:r>
          </w:p>
        </w:tc>
        <w:tc>
          <w:tcPr>
            <w:tcW w:w="2029"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c>
          <w:tcPr>
            <w:tcW w:w="2207" w:type="dxa"/>
            <w:vMerge w:val="continue"/>
            <w:tcBorders>
              <w:tl2br w:val="nil"/>
              <w:tr2bl w:val="nil"/>
            </w:tcBorders>
            <w:vAlign w:val="center"/>
          </w:tcPr>
          <w:p>
            <w:pPr>
              <w:spacing w:line="240" w:lineRule="auto"/>
              <w:ind w:firstLine="0" w:firstLineChars="0"/>
              <w:jc w:val="center"/>
              <w:rPr>
                <w:rFonts w:hint="eastAsia" w:ascii="宋体" w:hAnsi="宋体" w:eastAsia="宋体" w:cs="宋体"/>
                <w:sz w:val="18"/>
                <w:szCs w:val="18"/>
                <w:lang w:val="en-US" w:eastAsia="zh-CN"/>
              </w:rPr>
            </w:pPr>
          </w:p>
        </w:tc>
      </w:tr>
    </w:tbl>
    <w:p>
      <w:pPr>
        <w:bidi w:val="0"/>
        <w:rPr>
          <w:rFonts w:hint="eastAsia"/>
          <w:sz w:val="18"/>
          <w:szCs w:val="18"/>
          <w:lang w:val="en-US" w:eastAsia="zh-CN"/>
        </w:rPr>
      </w:pPr>
      <w:r>
        <w:rPr>
          <w:rFonts w:hint="eastAsia"/>
          <w:sz w:val="18"/>
          <w:szCs w:val="18"/>
          <w:lang w:val="en-US" w:eastAsia="zh-CN"/>
        </w:rPr>
        <w:t>备注：上述勘探点位布设应用于初步设计阶段，在项目建议书和可研阶段可视情况降低勘探密度。</w:t>
      </w:r>
    </w:p>
    <w:p>
      <w:pPr>
        <w:bidi w:val="0"/>
        <w:rPr>
          <w:rFonts w:hint="eastAsia"/>
          <w:sz w:val="18"/>
          <w:szCs w:val="1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3"/>
        <w:keepNext w:val="0"/>
        <w:keepLines w:val="0"/>
        <w:pageBreakBefore w:val="0"/>
        <w:widowControl/>
        <w:kinsoku/>
        <w:wordWrap/>
        <w:overflowPunct/>
        <w:topLinePunct w:val="0"/>
        <w:autoSpaceDE w:val="0"/>
        <w:autoSpaceDN w:val="0"/>
        <w:bidi w:val="0"/>
        <w:adjustRightInd/>
        <w:snapToGrid/>
        <w:spacing w:line="360" w:lineRule="auto"/>
        <w:ind w:firstLine="0" w:firstLineChars="0"/>
        <w:jc w:val="center"/>
        <w:textAlignment w:val="auto"/>
        <w:rPr>
          <w:rFonts w:hint="eastAsia" w:ascii="宋体" w:hAnsi="宋体" w:eastAsia="宋体" w:cs="宋体"/>
          <w:b/>
          <w:bCs/>
          <w:color w:val="000000"/>
          <w:kern w:val="0"/>
          <w:szCs w:val="21"/>
          <w:lang w:bidi="ar"/>
        </w:rPr>
      </w:pPr>
      <w:r>
        <w:rPr>
          <w:rFonts w:hint="eastAsia" w:ascii="宋体" w:hAnsi="宋体" w:eastAsia="宋体" w:cs="宋体"/>
          <w:b/>
          <w:bCs/>
          <w:color w:val="000000"/>
          <w:kern w:val="0"/>
          <w:szCs w:val="21"/>
          <w:lang w:bidi="ar"/>
        </w:rPr>
        <w:t>表</w:t>
      </w:r>
      <w:r>
        <w:rPr>
          <w:rFonts w:hint="eastAsia" w:ascii="宋体" w:hAnsi="宋体" w:eastAsia="宋体" w:cs="宋体"/>
          <w:b/>
          <w:bCs/>
          <w:color w:val="000000"/>
          <w:kern w:val="0"/>
          <w:szCs w:val="21"/>
          <w:lang w:val="en-US" w:eastAsia="zh-CN" w:bidi="ar"/>
        </w:rPr>
        <w:t>B</w:t>
      </w:r>
      <w:r>
        <w:rPr>
          <w:rFonts w:hint="eastAsia" w:ascii="宋体" w:hAnsi="宋体" w:eastAsia="宋体" w:cs="宋体"/>
          <w:b/>
          <w:bCs/>
          <w:color w:val="000000"/>
          <w:kern w:val="0"/>
          <w:szCs w:val="21"/>
          <w:lang w:bidi="ar"/>
        </w:rPr>
        <w:t xml:space="preserve"> </w:t>
      </w:r>
      <w:r>
        <w:rPr>
          <w:rFonts w:hint="eastAsia" w:ascii="宋体" w:hAnsi="宋体" w:eastAsia="宋体" w:cs="宋体"/>
          <w:b/>
          <w:bCs/>
          <w:color w:val="000000"/>
          <w:kern w:val="0"/>
          <w:szCs w:val="21"/>
          <w:lang w:val="en-US" w:eastAsia="zh-CN" w:bidi="ar"/>
        </w:rPr>
        <w:t xml:space="preserve"> </w:t>
      </w:r>
      <w:r>
        <w:rPr>
          <w:rFonts w:hint="eastAsia" w:ascii="宋体" w:hAnsi="宋体" w:eastAsia="宋体" w:cs="宋体"/>
          <w:b/>
          <w:bCs/>
          <w:color w:val="000000"/>
          <w:kern w:val="0"/>
          <w:szCs w:val="21"/>
          <w:lang w:bidi="ar"/>
        </w:rPr>
        <w:t>底泥洗脱设备分类及参数</w:t>
      </w:r>
    </w:p>
    <w:tbl>
      <w:tblPr>
        <w:tblStyle w:val="14"/>
        <w:tblW w:w="454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440"/>
        <w:gridCol w:w="1228"/>
        <w:gridCol w:w="1214"/>
        <w:gridCol w:w="286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3149" w:type="pct"/>
            <w:gridSpan w:val="3"/>
            <w:tcBorders>
              <w:tl2br w:val="nil"/>
              <w:tr2bl w:val="nil"/>
            </w:tcBorders>
            <w:shd w:val="clear" w:color="auto" w:fill="auto"/>
            <w:vAlign w:val="center"/>
          </w:tcPr>
          <w:p>
            <w:pPr>
              <w:ind w:firstLine="0" w:firstLineChars="0"/>
              <w:jc w:val="center"/>
              <w:rPr>
                <w:rFonts w:ascii="宋体" w:hAnsi="宋体" w:cs="宋体"/>
                <w:color w:val="000000" w:themeColor="text1"/>
                <w:sz w:val="18"/>
                <w:szCs w:val="18"/>
                <w14:textFill>
                  <w14:solidFill>
                    <w14:schemeClr w14:val="tx1"/>
                  </w14:solidFill>
                </w14:textFill>
              </w:rPr>
            </w:pPr>
            <w:r>
              <w:rPr>
                <w:rFonts w:hint="eastAsia" w:ascii="宋体" w:hAnsi="宋体" w:cs="宋体"/>
                <w:b w:val="0"/>
                <w:bCs w:val="0"/>
                <w:color w:val="000000" w:themeColor="text1"/>
                <w:sz w:val="18"/>
                <w:szCs w:val="18"/>
                <w14:textFill>
                  <w14:solidFill>
                    <w14:schemeClr w14:val="tx1"/>
                  </w14:solidFill>
                </w14:textFill>
              </w:rPr>
              <w:t>底泥洗脱设备分类</w:t>
            </w:r>
          </w:p>
        </w:tc>
        <w:tc>
          <w:tcPr>
            <w:tcW w:w="1850" w:type="pct"/>
            <w:vMerge w:val="restart"/>
            <w:tcBorders>
              <w:tl2br w:val="nil"/>
              <w:tr2bl w:val="nil"/>
            </w:tcBorders>
            <w:shd w:val="clear" w:color="auto" w:fill="auto"/>
            <w:vAlign w:val="center"/>
          </w:tcPr>
          <w:p>
            <w:pPr>
              <w:ind w:firstLine="0" w:firstLineChars="0"/>
              <w:jc w:val="center"/>
              <w:rPr>
                <w:rFonts w:hint="default" w:ascii="宋体" w:hAnsi="宋体" w:eastAsia="宋体" w:cs="宋体"/>
                <w:b/>
                <w:bCs/>
                <w:color w:val="000000" w:themeColor="text1"/>
                <w:sz w:val="18"/>
                <w:szCs w:val="18"/>
                <w:lang w:val="en-US" w:eastAsia="zh-CN"/>
                <w14:textFill>
                  <w14:solidFill>
                    <w14:schemeClr w14:val="tx1"/>
                  </w14:solidFill>
                </w14:textFill>
              </w:rPr>
            </w:pPr>
            <w:r>
              <w:rPr>
                <w:rFonts w:hint="eastAsia" w:ascii="宋体" w:hAnsi="宋体" w:cs="宋体"/>
                <w:b w:val="0"/>
                <w:bCs w:val="0"/>
                <w:color w:val="000000" w:themeColor="text1"/>
                <w:sz w:val="18"/>
                <w:szCs w:val="18"/>
                <w:lang w:val="en-US" w:eastAsia="zh-CN"/>
                <w14:textFill>
                  <w14:solidFill>
                    <w14:schemeClr w14:val="tx1"/>
                  </w14:solidFill>
                </w14:textFill>
              </w:rPr>
              <w:t>工况条件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574" w:type="pct"/>
            <w:tcBorders>
              <w:tl2br w:val="nil"/>
              <w:tr2bl w:val="nil"/>
            </w:tcBorders>
            <w:shd w:val="clear" w:color="auto" w:fill="auto"/>
            <w:vAlign w:val="center"/>
          </w:tcPr>
          <w:p>
            <w:pPr>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设备类别</w:t>
            </w:r>
          </w:p>
        </w:tc>
        <w:tc>
          <w:tcPr>
            <w:tcW w:w="792" w:type="pct"/>
            <w:tcBorders>
              <w:tl2br w:val="nil"/>
              <w:tr2bl w:val="nil"/>
            </w:tcBorders>
            <w:shd w:val="clear" w:color="auto" w:fill="auto"/>
            <w:vAlign w:val="center"/>
          </w:tcPr>
          <w:p>
            <w:pPr>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洗脱面积</w:t>
            </w:r>
          </w:p>
        </w:tc>
        <w:tc>
          <w:tcPr>
            <w:tcW w:w="783" w:type="pct"/>
            <w:tcBorders>
              <w:tl2br w:val="nil"/>
              <w:tr2bl w:val="nil"/>
            </w:tcBorders>
            <w:shd w:val="clear" w:color="auto" w:fill="auto"/>
            <w:vAlign w:val="center"/>
          </w:tcPr>
          <w:p>
            <w:pPr>
              <w:ind w:firstLine="0" w:firstLineChars="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处理水量</w:t>
            </w:r>
          </w:p>
        </w:tc>
        <w:tc>
          <w:tcPr>
            <w:tcW w:w="1850" w:type="pct"/>
            <w:vMerge w:val="continue"/>
            <w:tcBorders>
              <w:tl2br w:val="nil"/>
              <w:tr2bl w:val="nil"/>
            </w:tcBorders>
            <w:shd w:val="clear" w:color="auto" w:fill="auto"/>
            <w:vAlign w:val="center"/>
          </w:tcPr>
          <w:p>
            <w:pPr>
              <w:ind w:firstLine="0" w:firstLineChars="0"/>
              <w:jc w:val="center"/>
              <w:rPr>
                <w:rFonts w:hint="eastAsia" w:ascii="黑体" w:hAnsi="黑体" w:eastAsia="黑体" w:cs="黑体"/>
                <w:color w:val="000000" w:themeColor="text1"/>
                <w:sz w:val="18"/>
                <w:szCs w:val="1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574" w:type="pct"/>
            <w:tcBorders>
              <w:tl2br w:val="nil"/>
              <w:tr2bl w:val="nil"/>
            </w:tcBorders>
            <w:shd w:val="clear" w:color="auto" w:fill="auto"/>
            <w:vAlign w:val="center"/>
          </w:tcPr>
          <w:p>
            <w:pPr>
              <w:ind w:firstLine="0" w:firstLineChars="0"/>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组合式磁加载洗脱机</w:t>
            </w:r>
          </w:p>
        </w:tc>
        <w:tc>
          <w:tcPr>
            <w:tcW w:w="792" w:type="pct"/>
            <w:tcBorders>
              <w:tl2br w:val="nil"/>
              <w:tr2bl w:val="nil"/>
            </w:tcBorders>
            <w:shd w:val="clear" w:color="auto" w:fill="auto"/>
            <w:vAlign w:val="center"/>
          </w:tcPr>
          <w:p>
            <w:pPr>
              <w:ind w:firstLine="0" w:firstLineChars="0"/>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3000㎡/d</w:t>
            </w:r>
          </w:p>
        </w:tc>
        <w:tc>
          <w:tcPr>
            <w:tcW w:w="783" w:type="pct"/>
            <w:tcBorders>
              <w:tl2br w:val="nil"/>
              <w:tr2bl w:val="nil"/>
            </w:tcBorders>
            <w:shd w:val="clear" w:color="auto" w:fill="auto"/>
            <w:vAlign w:val="center"/>
          </w:tcPr>
          <w:p>
            <w:pPr>
              <w:ind w:firstLine="0" w:firstLineChars="0"/>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250 m³/h</w:t>
            </w:r>
          </w:p>
        </w:tc>
        <w:tc>
          <w:tcPr>
            <w:tcW w:w="1850" w:type="pct"/>
            <w:tcBorders>
              <w:tl2br w:val="nil"/>
              <w:tr2bl w:val="nil"/>
            </w:tcBorders>
            <w:shd w:val="clear" w:color="auto" w:fill="auto"/>
            <w:vAlign w:val="center"/>
          </w:tcPr>
          <w:p>
            <w:pPr>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水面宽度大于30m，水深大于1m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574" w:type="pct"/>
            <w:tcBorders>
              <w:tl2br w:val="nil"/>
              <w:tr2bl w:val="nil"/>
            </w:tcBorders>
            <w:shd w:val="clear" w:color="auto" w:fill="auto"/>
            <w:vAlign w:val="center"/>
          </w:tcPr>
          <w:p>
            <w:pPr>
              <w:ind w:firstLine="0" w:firstLineChars="0"/>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组合式磁加载洗脱机</w:t>
            </w:r>
          </w:p>
        </w:tc>
        <w:tc>
          <w:tcPr>
            <w:tcW w:w="792" w:type="pct"/>
            <w:tcBorders>
              <w:tl2br w:val="nil"/>
              <w:tr2bl w:val="nil"/>
            </w:tcBorders>
            <w:shd w:val="clear" w:color="auto" w:fill="auto"/>
            <w:vAlign w:val="center"/>
          </w:tcPr>
          <w:p>
            <w:pPr>
              <w:ind w:firstLine="0" w:firstLineChars="0"/>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2000㎡/d</w:t>
            </w:r>
          </w:p>
        </w:tc>
        <w:tc>
          <w:tcPr>
            <w:tcW w:w="783" w:type="pct"/>
            <w:tcBorders>
              <w:tl2br w:val="nil"/>
              <w:tr2bl w:val="nil"/>
            </w:tcBorders>
            <w:shd w:val="clear" w:color="auto" w:fill="auto"/>
            <w:vAlign w:val="center"/>
          </w:tcPr>
          <w:p>
            <w:pPr>
              <w:ind w:firstLine="0" w:firstLineChars="0"/>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150 m³/h</w:t>
            </w:r>
          </w:p>
        </w:tc>
        <w:tc>
          <w:tcPr>
            <w:tcW w:w="1850" w:type="pct"/>
            <w:tcBorders>
              <w:tl2br w:val="nil"/>
              <w:tr2bl w:val="nil"/>
            </w:tcBorders>
            <w:shd w:val="clear" w:color="auto" w:fill="auto"/>
            <w:vAlign w:val="center"/>
          </w:tcPr>
          <w:p>
            <w:pPr>
              <w:ind w:firstLine="0" w:firstLineChars="0"/>
              <w:jc w:val="center"/>
              <w:rPr>
                <w:rFonts w:hint="eastAsia"/>
                <w:color w:val="000000" w:themeColor="text1"/>
                <w:sz w:val="18"/>
                <w:szCs w:val="18"/>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水面宽度大于25m，水深大于0.8m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574" w:type="pct"/>
            <w:tcBorders>
              <w:tl2br w:val="nil"/>
              <w:tr2bl w:val="nil"/>
            </w:tcBorders>
            <w:shd w:val="clear" w:color="auto" w:fill="auto"/>
            <w:vAlign w:val="center"/>
          </w:tcPr>
          <w:p>
            <w:pPr>
              <w:ind w:firstLine="0" w:firstLineChars="0"/>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组合式底泥洗脱机</w:t>
            </w:r>
          </w:p>
        </w:tc>
        <w:tc>
          <w:tcPr>
            <w:tcW w:w="792" w:type="pct"/>
            <w:tcBorders>
              <w:tl2br w:val="nil"/>
              <w:tr2bl w:val="nil"/>
            </w:tcBorders>
            <w:shd w:val="clear" w:color="auto" w:fill="auto"/>
            <w:vAlign w:val="center"/>
          </w:tcPr>
          <w:p>
            <w:pPr>
              <w:ind w:firstLine="0" w:firstLineChars="0"/>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1000㎡/d</w:t>
            </w:r>
          </w:p>
        </w:tc>
        <w:tc>
          <w:tcPr>
            <w:tcW w:w="783" w:type="pct"/>
            <w:tcBorders>
              <w:tl2br w:val="nil"/>
              <w:tr2bl w:val="nil"/>
            </w:tcBorders>
            <w:shd w:val="clear" w:color="auto" w:fill="auto"/>
            <w:vAlign w:val="center"/>
          </w:tcPr>
          <w:p>
            <w:pPr>
              <w:ind w:firstLine="0" w:firstLineChars="0"/>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50 m³/h</w:t>
            </w:r>
          </w:p>
        </w:tc>
        <w:tc>
          <w:tcPr>
            <w:tcW w:w="1850" w:type="pct"/>
            <w:tcBorders>
              <w:tl2br w:val="nil"/>
              <w:tr2bl w:val="nil"/>
            </w:tcBorders>
            <w:shd w:val="clear" w:color="auto" w:fill="auto"/>
            <w:vAlign w:val="center"/>
          </w:tcPr>
          <w:p>
            <w:pPr>
              <w:ind w:firstLine="0" w:firstLineChars="0"/>
              <w:jc w:val="center"/>
              <w:rPr>
                <w:rFonts w:hint="eastAsia"/>
                <w:color w:val="000000" w:themeColor="text1"/>
                <w:sz w:val="18"/>
                <w:szCs w:val="18"/>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水面宽度大于15m，水深大于0.6m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574" w:type="pct"/>
            <w:tcBorders>
              <w:tl2br w:val="nil"/>
              <w:tr2bl w:val="nil"/>
            </w:tcBorders>
            <w:shd w:val="clear" w:color="auto" w:fill="auto"/>
            <w:vAlign w:val="center"/>
          </w:tcPr>
          <w:p>
            <w:pPr>
              <w:ind w:firstLine="0" w:firstLineChars="0"/>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分离式底泥洗脱机</w:t>
            </w:r>
          </w:p>
        </w:tc>
        <w:tc>
          <w:tcPr>
            <w:tcW w:w="792" w:type="pct"/>
            <w:tcBorders>
              <w:tl2br w:val="nil"/>
              <w:tr2bl w:val="nil"/>
            </w:tcBorders>
            <w:shd w:val="clear" w:color="auto" w:fill="auto"/>
            <w:vAlign w:val="center"/>
          </w:tcPr>
          <w:p>
            <w:pPr>
              <w:ind w:firstLine="0" w:firstLineChars="0"/>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1000㎡/d</w:t>
            </w:r>
          </w:p>
        </w:tc>
        <w:tc>
          <w:tcPr>
            <w:tcW w:w="783" w:type="pct"/>
            <w:tcBorders>
              <w:tl2br w:val="nil"/>
              <w:tr2bl w:val="nil"/>
            </w:tcBorders>
            <w:shd w:val="clear" w:color="auto" w:fill="auto"/>
            <w:vAlign w:val="center"/>
          </w:tcPr>
          <w:p>
            <w:pPr>
              <w:ind w:firstLine="0" w:firstLineChars="0"/>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50 m³/h</w:t>
            </w:r>
          </w:p>
        </w:tc>
        <w:tc>
          <w:tcPr>
            <w:tcW w:w="1850" w:type="pct"/>
            <w:tcBorders>
              <w:tl2br w:val="nil"/>
              <w:tr2bl w:val="nil"/>
            </w:tcBorders>
            <w:shd w:val="clear" w:color="auto" w:fill="auto"/>
            <w:vAlign w:val="center"/>
          </w:tcPr>
          <w:p>
            <w:pPr>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水面宽度大于10m，水深大于0.6m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574" w:type="pct"/>
            <w:tcBorders>
              <w:tl2br w:val="nil"/>
              <w:tr2bl w:val="nil"/>
            </w:tcBorders>
            <w:shd w:val="clear" w:color="auto" w:fill="auto"/>
            <w:vAlign w:val="center"/>
          </w:tcPr>
          <w:p>
            <w:pPr>
              <w:ind w:firstLine="0" w:firstLineChars="0"/>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分离式底泥洗脱机</w:t>
            </w:r>
          </w:p>
        </w:tc>
        <w:tc>
          <w:tcPr>
            <w:tcW w:w="792" w:type="pct"/>
            <w:tcBorders>
              <w:tl2br w:val="nil"/>
              <w:tr2bl w:val="nil"/>
            </w:tcBorders>
            <w:shd w:val="clear" w:color="auto" w:fill="auto"/>
            <w:vAlign w:val="center"/>
          </w:tcPr>
          <w:p>
            <w:pPr>
              <w:ind w:firstLine="0" w:firstLineChars="0"/>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500㎡/d</w:t>
            </w:r>
          </w:p>
        </w:tc>
        <w:tc>
          <w:tcPr>
            <w:tcW w:w="783" w:type="pct"/>
            <w:tcBorders>
              <w:tl2br w:val="nil"/>
              <w:tr2bl w:val="nil"/>
            </w:tcBorders>
            <w:shd w:val="clear" w:color="auto" w:fill="auto"/>
            <w:vAlign w:val="center"/>
          </w:tcPr>
          <w:p>
            <w:pPr>
              <w:ind w:firstLine="0" w:firstLineChars="0"/>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50 m³/h</w:t>
            </w:r>
          </w:p>
        </w:tc>
        <w:tc>
          <w:tcPr>
            <w:tcW w:w="1850" w:type="pct"/>
            <w:tcBorders>
              <w:tl2br w:val="nil"/>
              <w:tr2bl w:val="nil"/>
            </w:tcBorders>
            <w:shd w:val="clear" w:color="auto" w:fill="auto"/>
            <w:vAlign w:val="center"/>
          </w:tcPr>
          <w:p>
            <w:pPr>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水面宽度大于5m，水深大于0.4m</w:t>
            </w:r>
          </w:p>
        </w:tc>
      </w:tr>
    </w:tbl>
    <w:p>
      <w:pPr>
        <w:bidi w:val="0"/>
        <w:rPr>
          <w:rFonts w:hint="eastAsia"/>
          <w:sz w:val="18"/>
          <w:szCs w:val="18"/>
          <w:lang w:val="en-US" w:eastAsia="zh-CN"/>
        </w:rPr>
      </w:pPr>
    </w:p>
    <w:p>
      <w:pPr>
        <w:bidi w:val="0"/>
        <w:rPr>
          <w:rFonts w:hint="eastAsia"/>
          <w:sz w:val="18"/>
          <w:szCs w:val="18"/>
          <w:lang w:val="en-US" w:eastAsia="zh-CN"/>
        </w:rPr>
      </w:pPr>
    </w:p>
    <w:p>
      <w:pPr>
        <w:bidi w:val="0"/>
        <w:rPr>
          <w:rFonts w:hint="eastAsia"/>
          <w:sz w:val="18"/>
          <w:szCs w:val="18"/>
          <w:lang w:val="en-US" w:eastAsia="zh-CN"/>
        </w:rPr>
      </w:pPr>
    </w:p>
    <w:p>
      <w:pPr>
        <w:bidi w:val="0"/>
        <w:rPr>
          <w:rFonts w:hint="eastAsia"/>
          <w:sz w:val="18"/>
          <w:szCs w:val="18"/>
          <w:lang w:val="en-US" w:eastAsia="zh-CN"/>
        </w:rPr>
      </w:pPr>
    </w:p>
    <w:p>
      <w:pPr>
        <w:bidi w:val="0"/>
        <w:rPr>
          <w:rFonts w:hint="default"/>
          <w:sz w:val="18"/>
          <w:szCs w:val="1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bidi w:val="0"/>
        <w:ind w:left="0" w:leftChars="0" w:firstLine="0" w:firstLineChars="0"/>
        <w:jc w:val="center"/>
        <w:rPr>
          <w:rFonts w:hint="eastAsia" w:asciiTheme="majorEastAsia" w:hAnsiTheme="majorEastAsia" w:eastAsiaTheme="majorEastAsia" w:cstheme="majorEastAsia"/>
          <w:b/>
          <w:sz w:val="30"/>
          <w:szCs w:val="30"/>
          <w:lang w:val="en-US" w:eastAsia="zh-CN"/>
        </w:rPr>
      </w:pPr>
      <w:bookmarkStart w:id="170" w:name="_Toc26873"/>
      <w:r>
        <w:rPr>
          <w:rFonts w:hint="eastAsia" w:asciiTheme="majorEastAsia" w:hAnsiTheme="majorEastAsia" w:eastAsiaTheme="majorEastAsia" w:cstheme="majorEastAsia"/>
          <w:b/>
          <w:sz w:val="30"/>
          <w:szCs w:val="30"/>
          <w:lang w:val="en-US" w:eastAsia="zh-CN"/>
        </w:rPr>
        <w:t>本标准用词说明</w:t>
      </w:r>
      <w:bookmarkEnd w:id="170"/>
    </w:p>
    <w:p>
      <w:pPr>
        <w:numPr>
          <w:ilvl w:val="255"/>
          <w:numId w:val="0"/>
        </w:numPr>
        <w:ind w:firstLine="482" w:firstLineChars="200"/>
        <w:jc w:val="lef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1</w:t>
      </w:r>
      <w:r>
        <w:rPr>
          <w:rFonts w:hint="eastAsia" w:ascii="Times New Roman" w:hAnsi="Times New Roman" w:eastAsia="宋体" w:cs="Times New Roman"/>
          <w:sz w:val="24"/>
          <w:szCs w:val="24"/>
          <w:lang w:val="en-US" w:eastAsia="zh-CN"/>
        </w:rPr>
        <w:t xml:space="preserve"> </w:t>
      </w:r>
      <w:r>
        <w:rPr>
          <w:rFonts w:hint="eastAsia" w:cs="Times New Roman"/>
          <w:sz w:val="24"/>
          <w:szCs w:val="24"/>
          <w:lang w:val="en-US" w:eastAsia="zh-CN"/>
        </w:rPr>
        <w:t xml:space="preserve"> </w:t>
      </w:r>
      <w:r>
        <w:rPr>
          <w:rFonts w:hint="eastAsia" w:ascii="Times New Roman" w:hAnsi="Times New Roman" w:eastAsia="宋体" w:cs="Times New Roman"/>
          <w:sz w:val="24"/>
          <w:szCs w:val="24"/>
          <w:lang w:val="en-US" w:eastAsia="zh-CN"/>
        </w:rPr>
        <w:t>为便于在执行本标准条文时区别对待，对要求严格程度不同的用词说明如下：</w:t>
      </w:r>
    </w:p>
    <w:p>
      <w:pPr>
        <w:keepNext w:val="0"/>
        <w:keepLines w:val="0"/>
        <w:pageBreakBefore w:val="0"/>
        <w:widowControl w:val="0"/>
        <w:numPr>
          <w:ilvl w:val="0"/>
          <w:numId w:val="2"/>
        </w:numPr>
        <w:kinsoku/>
        <w:wordWrap/>
        <w:overflowPunct/>
        <w:topLinePunct w:val="0"/>
        <w:autoSpaceDE/>
        <w:autoSpaceDN/>
        <w:bidi w:val="0"/>
        <w:adjustRightInd/>
        <w:snapToGrid/>
        <w:ind w:firstLine="720" w:firstLineChars="300"/>
        <w:jc w:val="left"/>
        <w:textAlignment w:val="auto"/>
        <w:rPr>
          <w:rFonts w:hint="eastAsia" w:ascii="Times New Roman" w:hAnsi="Times New Roman" w:eastAsia="宋体" w:cs="Times New Roman"/>
          <w:sz w:val="24"/>
          <w:szCs w:val="24"/>
          <w:lang w:val="en-US" w:eastAsia="zh-CN"/>
        </w:rPr>
      </w:pPr>
      <w:r>
        <w:rPr>
          <w:rFonts w:hint="eastAsia" w:cs="Times New Roman"/>
          <w:sz w:val="24"/>
          <w:szCs w:val="24"/>
          <w:lang w:val="en-US" w:eastAsia="zh-CN"/>
        </w:rPr>
        <w:t xml:space="preserve">  </w:t>
      </w:r>
      <w:r>
        <w:rPr>
          <w:rFonts w:hint="eastAsia" w:ascii="Times New Roman" w:hAnsi="Times New Roman" w:eastAsia="宋体" w:cs="Times New Roman"/>
          <w:sz w:val="24"/>
          <w:szCs w:val="24"/>
          <w:lang w:val="en-US" w:eastAsia="zh-CN"/>
        </w:rPr>
        <w:t>表示很严格，非这样做不可的：</w:t>
      </w:r>
    </w:p>
    <w:p>
      <w:pPr>
        <w:keepNext w:val="0"/>
        <w:keepLines w:val="0"/>
        <w:pageBreakBefore w:val="0"/>
        <w:widowControl w:val="0"/>
        <w:numPr>
          <w:ilvl w:val="255"/>
          <w:numId w:val="0"/>
        </w:numPr>
        <w:kinsoku/>
        <w:wordWrap/>
        <w:overflowPunct/>
        <w:topLinePunct w:val="0"/>
        <w:autoSpaceDE/>
        <w:autoSpaceDN/>
        <w:bidi w:val="0"/>
        <w:adjustRightInd/>
        <w:snapToGrid/>
        <w:ind w:firstLine="960" w:firstLineChars="400"/>
        <w:jc w:val="left"/>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正面词采用“必须”，反面词采用“严禁”；</w:t>
      </w:r>
    </w:p>
    <w:p>
      <w:pPr>
        <w:numPr>
          <w:ilvl w:val="0"/>
          <w:numId w:val="2"/>
        </w:numPr>
        <w:ind w:left="0" w:leftChars="0" w:firstLine="720" w:firstLineChars="300"/>
        <w:jc w:val="left"/>
        <w:rPr>
          <w:rFonts w:hint="eastAsia" w:ascii="Times New Roman" w:hAnsi="Times New Roman" w:eastAsia="宋体" w:cs="Times New Roman"/>
          <w:sz w:val="24"/>
          <w:szCs w:val="24"/>
          <w:lang w:val="en-US" w:eastAsia="zh-CN"/>
        </w:rPr>
      </w:pPr>
      <w:r>
        <w:rPr>
          <w:rFonts w:hint="eastAsia" w:cs="Times New Roman"/>
          <w:sz w:val="24"/>
          <w:szCs w:val="24"/>
          <w:lang w:val="en-US" w:eastAsia="zh-CN"/>
        </w:rPr>
        <w:t xml:space="preserve">  </w:t>
      </w:r>
      <w:r>
        <w:rPr>
          <w:rFonts w:hint="eastAsia" w:ascii="Times New Roman" w:hAnsi="Times New Roman" w:eastAsia="宋体" w:cs="Times New Roman"/>
          <w:sz w:val="24"/>
          <w:szCs w:val="24"/>
          <w:lang w:val="en-US" w:eastAsia="zh-CN"/>
        </w:rPr>
        <w:t>表示严格，在正常情况下均应这样做的:</w:t>
      </w:r>
    </w:p>
    <w:p>
      <w:pPr>
        <w:numPr>
          <w:ilvl w:val="255"/>
          <w:numId w:val="0"/>
        </w:numPr>
        <w:ind w:firstLine="960" w:firstLineChars="400"/>
        <w:jc w:val="lef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正面词采用“应”，反面词采用“不应”或“不得”；</w:t>
      </w:r>
    </w:p>
    <w:p>
      <w:pPr>
        <w:numPr>
          <w:ilvl w:val="0"/>
          <w:numId w:val="2"/>
        </w:numPr>
        <w:ind w:left="0" w:leftChars="0" w:firstLine="720" w:firstLineChars="300"/>
        <w:jc w:val="left"/>
        <w:rPr>
          <w:rFonts w:hint="eastAsia" w:ascii="Times New Roman" w:hAnsi="Times New Roman" w:eastAsia="宋体" w:cs="Times New Roman"/>
          <w:sz w:val="24"/>
          <w:szCs w:val="24"/>
          <w:lang w:val="en-US" w:eastAsia="zh-CN"/>
        </w:rPr>
      </w:pPr>
      <w:r>
        <w:rPr>
          <w:rFonts w:hint="eastAsia" w:cs="Times New Roman"/>
          <w:sz w:val="24"/>
          <w:szCs w:val="24"/>
          <w:lang w:val="en-US" w:eastAsia="zh-CN"/>
        </w:rPr>
        <w:t xml:space="preserve">  </w:t>
      </w:r>
      <w:r>
        <w:rPr>
          <w:rFonts w:hint="eastAsia" w:ascii="Times New Roman" w:hAnsi="Times New Roman" w:eastAsia="宋体" w:cs="Times New Roman"/>
          <w:sz w:val="24"/>
          <w:szCs w:val="24"/>
          <w:lang w:val="en-US" w:eastAsia="zh-CN"/>
        </w:rPr>
        <w:t>表示允许稍有选择，在条件许可时首先应这样做的:</w:t>
      </w:r>
    </w:p>
    <w:p>
      <w:pPr>
        <w:numPr>
          <w:ilvl w:val="255"/>
          <w:numId w:val="0"/>
        </w:numPr>
        <w:ind w:firstLine="960" w:firstLineChars="400"/>
        <w:jc w:val="lef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正面词采用“宜”，反面词采用“不宜”；</w:t>
      </w:r>
    </w:p>
    <w:p>
      <w:pPr>
        <w:numPr>
          <w:ilvl w:val="0"/>
          <w:numId w:val="2"/>
        </w:numPr>
        <w:ind w:left="0" w:leftChars="0" w:firstLine="720" w:firstLineChars="300"/>
        <w:jc w:val="left"/>
        <w:rPr>
          <w:rFonts w:hint="eastAsia" w:ascii="Times New Roman" w:hAnsi="Times New Roman" w:eastAsia="宋体" w:cs="Times New Roman"/>
          <w:sz w:val="24"/>
          <w:szCs w:val="24"/>
          <w:lang w:val="en-US" w:eastAsia="zh-CN"/>
        </w:rPr>
      </w:pPr>
      <w:r>
        <w:rPr>
          <w:rFonts w:hint="eastAsia" w:cs="Times New Roman"/>
          <w:sz w:val="24"/>
          <w:szCs w:val="24"/>
          <w:lang w:val="en-US" w:eastAsia="zh-CN"/>
        </w:rPr>
        <w:t xml:space="preserve">  </w:t>
      </w:r>
      <w:r>
        <w:rPr>
          <w:rFonts w:hint="eastAsia" w:ascii="Times New Roman" w:hAnsi="Times New Roman" w:eastAsia="宋体" w:cs="Times New Roman"/>
          <w:sz w:val="24"/>
          <w:szCs w:val="24"/>
          <w:lang w:val="en-US" w:eastAsia="zh-CN"/>
        </w:rPr>
        <w:t>表示有选择，在一定条件下可以这样做的，采用“可”。</w:t>
      </w:r>
    </w:p>
    <w:p>
      <w:pPr>
        <w:numPr>
          <w:ilvl w:val="255"/>
          <w:numId w:val="0"/>
        </w:numPr>
        <w:ind w:firstLine="482" w:firstLineChars="200"/>
        <w:jc w:val="lef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2</w:t>
      </w:r>
      <w:r>
        <w:rPr>
          <w:rFonts w:hint="eastAsia" w:cs="Times New Roman"/>
          <w:b/>
          <w:bCs/>
          <w:sz w:val="24"/>
          <w:szCs w:val="24"/>
          <w:lang w:val="en-US" w:eastAsia="zh-CN"/>
        </w:rPr>
        <w:t xml:space="preserve">  </w:t>
      </w:r>
      <w:r>
        <w:rPr>
          <w:rFonts w:hint="eastAsia" w:ascii="Times New Roman" w:hAnsi="Times New Roman" w:eastAsia="宋体" w:cs="Times New Roman"/>
          <w:sz w:val="24"/>
          <w:szCs w:val="24"/>
          <w:lang w:val="en-US" w:eastAsia="zh-CN"/>
        </w:rPr>
        <w:t>条文中指明应按其他有关标准执行的写法为：“应符合……的规定”或“应按……执行”。</w:t>
      </w:r>
    </w:p>
    <w:p>
      <w:pPr>
        <w:numPr>
          <w:ilvl w:val="255"/>
          <w:numId w:val="0"/>
        </w:numPr>
        <w:ind w:firstLine="420" w:firstLineChars="200"/>
        <w:jc w:val="left"/>
        <w:rPr>
          <w:rFonts w:hint="eastAsia" w:ascii="Times New Roman" w:hAnsi="Times New Roman" w:eastAsia="宋体" w:cs="Times New Roman"/>
          <w:sz w:val="21"/>
          <w:szCs w:val="21"/>
          <w:lang w:val="en-US" w:eastAsia="zh-CN"/>
        </w:rPr>
      </w:pPr>
    </w:p>
    <w:p>
      <w:pPr>
        <w:numPr>
          <w:ilvl w:val="255"/>
          <w:numId w:val="0"/>
        </w:numPr>
        <w:ind w:firstLine="420" w:firstLineChars="200"/>
        <w:jc w:val="left"/>
        <w:rPr>
          <w:rFonts w:hint="eastAsia" w:ascii="Times New Roman" w:hAnsi="Times New Roman" w:eastAsia="宋体" w:cs="Times New Roman"/>
          <w:sz w:val="21"/>
          <w:szCs w:val="21"/>
          <w:lang w:val="en-US" w:eastAsia="zh-CN"/>
        </w:rPr>
      </w:pPr>
    </w:p>
    <w:p>
      <w:pPr>
        <w:numPr>
          <w:ilvl w:val="255"/>
          <w:numId w:val="0"/>
        </w:numPr>
        <w:ind w:firstLine="420" w:firstLineChars="200"/>
        <w:jc w:val="left"/>
        <w:rPr>
          <w:rFonts w:hint="eastAsia" w:ascii="Times New Roman" w:hAnsi="Times New Roman" w:eastAsia="宋体" w:cs="Times New Roman"/>
          <w:sz w:val="21"/>
          <w:szCs w:val="21"/>
          <w:lang w:val="en-US" w:eastAsia="zh-CN"/>
        </w:rPr>
      </w:pPr>
    </w:p>
    <w:p>
      <w:pPr>
        <w:numPr>
          <w:ilvl w:val="255"/>
          <w:numId w:val="0"/>
        </w:numPr>
        <w:ind w:firstLine="420" w:firstLineChars="200"/>
        <w:jc w:val="left"/>
        <w:rPr>
          <w:rFonts w:hint="eastAsia" w:ascii="Times New Roman" w:hAnsi="Times New Roman" w:eastAsia="宋体" w:cs="Times New Roman"/>
          <w:sz w:val="21"/>
          <w:szCs w:val="21"/>
          <w:lang w:val="en-US" w:eastAsia="zh-CN"/>
        </w:rPr>
      </w:pPr>
    </w:p>
    <w:p>
      <w:pPr>
        <w:numPr>
          <w:ilvl w:val="255"/>
          <w:numId w:val="0"/>
        </w:numPr>
        <w:ind w:firstLine="420" w:firstLineChars="200"/>
        <w:jc w:val="left"/>
        <w:rPr>
          <w:rFonts w:hint="eastAsia" w:ascii="Times New Roman" w:hAnsi="Times New Roman" w:eastAsia="宋体" w:cs="Times New Roman"/>
          <w:sz w:val="21"/>
          <w:szCs w:val="21"/>
          <w:lang w:val="en-US" w:eastAsia="zh-CN"/>
        </w:rPr>
      </w:pPr>
    </w:p>
    <w:p>
      <w:pPr>
        <w:numPr>
          <w:ilvl w:val="255"/>
          <w:numId w:val="0"/>
        </w:numPr>
        <w:ind w:firstLine="420" w:firstLineChars="200"/>
        <w:jc w:val="left"/>
        <w:rPr>
          <w:rFonts w:hint="eastAsia" w:ascii="Times New Roman" w:hAnsi="Times New Roman" w:eastAsia="宋体" w:cs="Times New Roman"/>
          <w:sz w:val="21"/>
          <w:szCs w:val="21"/>
          <w:lang w:val="en-US" w:eastAsia="zh-CN"/>
        </w:rPr>
      </w:pPr>
    </w:p>
    <w:p>
      <w:pPr>
        <w:numPr>
          <w:ilvl w:val="255"/>
          <w:numId w:val="0"/>
        </w:numPr>
        <w:ind w:firstLine="420" w:firstLineChars="200"/>
        <w:jc w:val="left"/>
        <w:rPr>
          <w:rFonts w:hint="eastAsia" w:ascii="Times New Roman" w:hAnsi="Times New Roman" w:eastAsia="宋体" w:cs="Times New Roman"/>
          <w:sz w:val="21"/>
          <w:szCs w:val="21"/>
          <w:lang w:val="en-US" w:eastAsia="zh-CN"/>
        </w:rPr>
      </w:pPr>
    </w:p>
    <w:p>
      <w:pPr>
        <w:numPr>
          <w:ilvl w:val="255"/>
          <w:numId w:val="0"/>
        </w:numPr>
        <w:ind w:firstLine="420" w:firstLineChars="200"/>
        <w:jc w:val="left"/>
        <w:rPr>
          <w:rFonts w:hint="eastAsia" w:ascii="Times New Roman" w:hAnsi="Times New Roman" w:eastAsia="宋体" w:cs="Times New Roman"/>
          <w:sz w:val="21"/>
          <w:szCs w:val="21"/>
          <w:lang w:val="en-US" w:eastAsia="zh-CN"/>
        </w:rPr>
      </w:pPr>
    </w:p>
    <w:p>
      <w:pPr>
        <w:numPr>
          <w:ilvl w:val="255"/>
          <w:numId w:val="0"/>
        </w:numPr>
        <w:ind w:firstLine="420" w:firstLineChars="200"/>
        <w:jc w:val="left"/>
        <w:rPr>
          <w:rFonts w:hint="eastAsia" w:ascii="Times New Roman" w:hAnsi="Times New Roman" w:eastAsia="宋体" w:cs="Times New Roman"/>
          <w:sz w:val="21"/>
          <w:szCs w:val="21"/>
          <w:lang w:val="en-US" w:eastAsia="zh-CN"/>
        </w:rPr>
      </w:pPr>
    </w:p>
    <w:p>
      <w:pPr>
        <w:numPr>
          <w:ilvl w:val="255"/>
          <w:numId w:val="0"/>
        </w:numPr>
        <w:ind w:firstLine="420" w:firstLineChars="200"/>
        <w:jc w:val="left"/>
        <w:rPr>
          <w:rFonts w:hint="eastAsia" w:ascii="Times New Roman" w:hAnsi="Times New Roman" w:eastAsia="宋体" w:cs="Times New Roman"/>
          <w:sz w:val="21"/>
          <w:szCs w:val="21"/>
          <w:lang w:val="en-US" w:eastAsia="zh-CN"/>
        </w:rPr>
      </w:pPr>
    </w:p>
    <w:p>
      <w:pPr>
        <w:numPr>
          <w:ilvl w:val="255"/>
          <w:numId w:val="0"/>
        </w:numPr>
        <w:ind w:firstLine="420" w:firstLineChars="200"/>
        <w:jc w:val="left"/>
        <w:rPr>
          <w:rFonts w:hint="eastAsia" w:ascii="Times New Roman" w:hAnsi="Times New Roman" w:eastAsia="宋体" w:cs="Times New Roman"/>
          <w:sz w:val="21"/>
          <w:szCs w:val="21"/>
          <w:lang w:val="en-US" w:eastAsia="zh-CN"/>
        </w:rPr>
      </w:pPr>
    </w:p>
    <w:p>
      <w:pPr>
        <w:numPr>
          <w:ilvl w:val="255"/>
          <w:numId w:val="0"/>
        </w:numPr>
        <w:ind w:firstLine="420" w:firstLineChars="200"/>
        <w:jc w:val="left"/>
        <w:rPr>
          <w:rFonts w:hint="eastAsia" w:ascii="Times New Roman" w:hAnsi="Times New Roman" w:eastAsia="宋体" w:cs="Times New Roman"/>
          <w:sz w:val="21"/>
          <w:szCs w:val="21"/>
          <w:lang w:val="en-US" w:eastAsia="zh-CN"/>
        </w:rPr>
      </w:pPr>
    </w:p>
    <w:p>
      <w:pPr>
        <w:numPr>
          <w:ilvl w:val="255"/>
          <w:numId w:val="0"/>
        </w:numPr>
        <w:ind w:firstLine="420" w:firstLineChars="200"/>
        <w:jc w:val="left"/>
        <w:rPr>
          <w:rFonts w:hint="eastAsia" w:ascii="Times New Roman" w:hAnsi="Times New Roman" w:eastAsia="宋体" w:cs="Times New Roman"/>
          <w:sz w:val="21"/>
          <w:szCs w:val="21"/>
          <w:lang w:val="en-US" w:eastAsia="zh-CN"/>
        </w:rPr>
      </w:pPr>
    </w:p>
    <w:p>
      <w:pPr>
        <w:numPr>
          <w:ilvl w:val="255"/>
          <w:numId w:val="0"/>
        </w:numPr>
        <w:ind w:firstLine="420" w:firstLineChars="200"/>
        <w:jc w:val="left"/>
        <w:rPr>
          <w:rFonts w:hint="eastAsia" w:ascii="Times New Roman" w:hAnsi="Times New Roman" w:eastAsia="宋体" w:cs="Times New Roman"/>
          <w:sz w:val="21"/>
          <w:szCs w:val="21"/>
          <w:lang w:val="en-US" w:eastAsia="zh-CN"/>
        </w:rPr>
      </w:pPr>
    </w:p>
    <w:p>
      <w:pPr>
        <w:numPr>
          <w:ilvl w:val="255"/>
          <w:numId w:val="0"/>
        </w:numPr>
        <w:jc w:val="left"/>
        <w:rPr>
          <w:rFonts w:hint="eastAsia" w:ascii="Times New Roman" w:hAnsi="Times New Roman" w:eastAsia="宋体" w:cs="Times New Roman"/>
          <w:sz w:val="21"/>
          <w:szCs w:val="21"/>
          <w:lang w:val="en-US" w:eastAsia="zh-CN"/>
        </w:rPr>
      </w:pPr>
    </w:p>
    <w:p>
      <w:pPr>
        <w:pStyle w:val="2"/>
        <w:bidi w:val="0"/>
        <w:ind w:left="0" w:leftChars="0" w:firstLine="0" w:firstLineChars="0"/>
        <w:jc w:val="center"/>
        <w:rPr>
          <w:rFonts w:hint="default" w:asciiTheme="majorEastAsia" w:hAnsiTheme="majorEastAsia" w:eastAsiaTheme="majorEastAsia" w:cstheme="majorEastAsia"/>
          <w:b/>
          <w:sz w:val="30"/>
          <w:szCs w:val="30"/>
          <w:lang w:val="en-US" w:eastAsia="zh-CN"/>
        </w:rPr>
      </w:pPr>
      <w:bookmarkStart w:id="171" w:name="_Toc7407"/>
      <w:r>
        <w:rPr>
          <w:rFonts w:hint="eastAsia" w:asciiTheme="majorEastAsia" w:hAnsiTheme="majorEastAsia" w:eastAsiaTheme="majorEastAsia" w:cstheme="majorEastAsia"/>
          <w:b/>
          <w:sz w:val="30"/>
          <w:szCs w:val="30"/>
          <w:lang w:val="en-US" w:eastAsia="zh-CN"/>
        </w:rPr>
        <w:t>引用标准名录</w:t>
      </w:r>
      <w:bookmarkEnd w:id="171"/>
    </w:p>
    <w:p>
      <w:pPr>
        <w:pStyle w:val="19"/>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baseline"/>
        <w:rPr>
          <w:rFonts w:hint="default" w:ascii="Times New Roman" w:hAnsi="Times New Roman" w:eastAsia="宋体" w:cs="Times New Roman"/>
          <w:bCs w:val="0"/>
          <w:color w:val="auto"/>
          <w:sz w:val="24"/>
          <w:szCs w:val="24"/>
        </w:rPr>
      </w:pPr>
      <w:r>
        <w:rPr>
          <w:rFonts w:hint="default" w:ascii="Times New Roman" w:hAnsi="Times New Roman" w:eastAsia="宋体" w:cs="Times New Roman"/>
          <w:bCs w:val="0"/>
          <w:color w:val="auto"/>
          <w:sz w:val="24"/>
          <w:szCs w:val="24"/>
        </w:rPr>
        <w:t>《生活垃圾填埋场控制标准》GB 16889</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baseline"/>
        <w:rPr>
          <w:rFonts w:hint="default" w:ascii="Times New Roman" w:hAnsi="Times New Roman" w:eastAsia="宋体" w:cs="Times New Roman"/>
          <w:bCs w:val="0"/>
          <w:color w:val="auto"/>
          <w:sz w:val="24"/>
          <w:szCs w:val="24"/>
        </w:rPr>
      </w:pPr>
      <w:r>
        <w:rPr>
          <w:rFonts w:hint="default" w:ascii="Times New Roman" w:hAnsi="Times New Roman" w:eastAsia="宋体" w:cs="Times New Roman"/>
          <w:bCs w:val="0"/>
          <w:color w:val="auto"/>
          <w:sz w:val="24"/>
          <w:szCs w:val="24"/>
        </w:rPr>
        <w:t>《城镇污水处理厂污泥处置混合填埋泥质》GB/T 23485</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baseline"/>
        <w:rPr>
          <w:rFonts w:hint="default" w:ascii="Times New Roman" w:hAnsi="Times New Roman" w:eastAsia="宋体" w:cs="Times New Roman"/>
          <w:bCs w:val="0"/>
          <w:color w:val="auto"/>
          <w:sz w:val="24"/>
          <w:szCs w:val="24"/>
        </w:rPr>
      </w:pPr>
      <w:r>
        <w:rPr>
          <w:rFonts w:hint="default" w:ascii="Times New Roman" w:hAnsi="Times New Roman" w:eastAsia="宋体" w:cs="Times New Roman"/>
          <w:bCs w:val="0"/>
          <w:color w:val="auto"/>
          <w:sz w:val="24"/>
          <w:szCs w:val="24"/>
        </w:rPr>
        <w:t>《城镇污水处理厂污泥处置园林绿化用泥质》GB/T 23486</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baseline"/>
        <w:rPr>
          <w:rFonts w:hint="default" w:ascii="Times New Roman" w:hAnsi="Times New Roman" w:eastAsia="宋体" w:cs="Times New Roman"/>
          <w:bCs w:val="0"/>
          <w:color w:val="auto"/>
          <w:sz w:val="24"/>
          <w:szCs w:val="24"/>
        </w:rPr>
      </w:pPr>
      <w:r>
        <w:rPr>
          <w:rFonts w:hint="default" w:ascii="Times New Roman" w:hAnsi="Times New Roman" w:eastAsia="宋体" w:cs="Times New Roman"/>
          <w:bCs w:val="0"/>
          <w:color w:val="auto"/>
          <w:sz w:val="24"/>
          <w:szCs w:val="24"/>
        </w:rPr>
        <w:t>《城镇污水处理厂污泥处置土地改良泥质》GB/T</w:t>
      </w:r>
      <w:r>
        <w:rPr>
          <w:rFonts w:hint="default" w:ascii="Times New Roman" w:hAnsi="Times New Roman" w:eastAsia="宋体" w:cs="Times New Roman"/>
          <w:bCs w:val="0"/>
          <w:color w:val="auto"/>
          <w:sz w:val="24"/>
          <w:szCs w:val="24"/>
          <w:lang w:val="en-US" w:eastAsia="zh-CN"/>
        </w:rPr>
        <w:t xml:space="preserve"> </w:t>
      </w:r>
      <w:r>
        <w:rPr>
          <w:rFonts w:hint="default" w:ascii="Times New Roman" w:hAnsi="Times New Roman" w:eastAsia="宋体" w:cs="Times New Roman"/>
          <w:bCs w:val="0"/>
          <w:color w:val="auto"/>
          <w:sz w:val="24"/>
          <w:szCs w:val="24"/>
        </w:rPr>
        <w:t>24600</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baseline"/>
        <w:rPr>
          <w:rStyle w:val="16"/>
          <w:rFonts w:hint="default" w:ascii="Times New Roman" w:hAnsi="Times New Roman" w:eastAsia="宋体" w:cs="Times New Roman"/>
          <w:bCs w:val="0"/>
          <w:color w:val="auto"/>
          <w:sz w:val="24"/>
          <w:szCs w:val="24"/>
        </w:rPr>
      </w:pPr>
      <w:r>
        <w:rPr>
          <w:rStyle w:val="16"/>
          <w:rFonts w:hint="default" w:ascii="Times New Roman" w:hAnsi="Times New Roman" w:eastAsia="宋体" w:cs="Times New Roman"/>
          <w:bCs w:val="0"/>
          <w:color w:val="auto"/>
          <w:sz w:val="24"/>
          <w:szCs w:val="24"/>
        </w:rPr>
        <w:t>《城镇污水处理污泥处置单独焚烧用泥质》GB/T 24602</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baseline"/>
        <w:rPr>
          <w:rFonts w:hint="default" w:ascii="Times New Roman" w:hAnsi="Times New Roman" w:eastAsia="宋体" w:cs="Times New Roman"/>
          <w:bCs w:val="0"/>
          <w:color w:val="auto"/>
          <w:sz w:val="24"/>
          <w:szCs w:val="24"/>
        </w:rPr>
      </w:pPr>
      <w:r>
        <w:rPr>
          <w:rFonts w:hint="default" w:ascii="Times New Roman" w:hAnsi="Times New Roman" w:eastAsia="宋体" w:cs="Times New Roman"/>
          <w:bCs w:val="0"/>
          <w:color w:val="auto"/>
          <w:sz w:val="24"/>
          <w:szCs w:val="24"/>
        </w:rPr>
        <w:t>《城镇污水处理厂污泥处置农用泥质》CJ/T 309</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baseline"/>
        <w:rPr>
          <w:rStyle w:val="16"/>
          <w:rFonts w:hint="default" w:ascii="Times New Roman" w:hAnsi="Times New Roman" w:eastAsia="宋体" w:cs="Times New Roman"/>
          <w:bCs w:val="0"/>
          <w:color w:val="auto"/>
          <w:sz w:val="24"/>
          <w:szCs w:val="24"/>
        </w:rPr>
      </w:pPr>
      <w:r>
        <w:rPr>
          <w:rStyle w:val="16"/>
          <w:rFonts w:hint="default" w:ascii="Times New Roman" w:hAnsi="Times New Roman" w:eastAsia="宋体" w:cs="Times New Roman"/>
          <w:bCs w:val="0"/>
          <w:color w:val="auto"/>
          <w:sz w:val="24"/>
          <w:szCs w:val="24"/>
        </w:rPr>
        <w:t>《农用污泥中污染物控制标准》GB 4284</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污水综合排放标准</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GB</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8978</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baseline"/>
        <w:rPr>
          <w:rFonts w:hint="default" w:ascii="Times New Roman" w:hAnsi="Times New Roman" w:eastAsia="宋体" w:cs="Times New Roman"/>
          <w:bCs w:val="0"/>
          <w:color w:val="auto"/>
          <w:sz w:val="24"/>
          <w:szCs w:val="24"/>
        </w:rPr>
      </w:pPr>
      <w:r>
        <w:rPr>
          <w:rFonts w:hint="default" w:ascii="Times New Roman" w:hAnsi="Times New Roman" w:eastAsia="宋体" w:cs="Times New Roman"/>
          <w:bCs w:val="0"/>
          <w:color w:val="auto"/>
          <w:sz w:val="24"/>
          <w:szCs w:val="24"/>
        </w:rPr>
        <w:t>《城镇污水厂污泥处置水泥熟料生产用泥质》CJ/T 314</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baseline"/>
        <w:rPr>
          <w:rFonts w:hint="default" w:ascii="Times New Roman" w:hAnsi="Times New Roman" w:cs="Times New Roman"/>
          <w:color w:val="auto"/>
          <w:sz w:val="24"/>
          <w:szCs w:val="24"/>
          <w:lang w:val="en-US"/>
        </w:rPr>
      </w:pPr>
      <w:r>
        <w:rPr>
          <w:rFonts w:hint="eastAsia" w:ascii="宋体" w:hAnsi="宋体" w:eastAsia="宋体" w:cs="宋体"/>
          <w:sz w:val="24"/>
          <w:szCs w:val="24"/>
          <w:lang w:val="en-US" w:eastAsia="zh-CN"/>
        </w:rPr>
        <w:t>《水质 采样方案设计技术规定》</w:t>
      </w:r>
      <w:r>
        <w:rPr>
          <w:rFonts w:hint="eastAsia" w:ascii="Times New Roman" w:hAnsi="Times New Roman" w:cs="Times New Roman"/>
          <w:sz w:val="24"/>
          <w:szCs w:val="24"/>
          <w:lang w:val="en-US" w:eastAsia="zh-CN"/>
        </w:rPr>
        <w:t>HJ 495</w:t>
      </w:r>
      <w:bookmarkStart w:id="172" w:name="_GoBack"/>
      <w:bookmarkEnd w:id="172"/>
    </w:p>
    <w:p>
      <w:pPr>
        <w:pStyle w:val="19"/>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baseline"/>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《地表水环境质量监测技术规范》</w:t>
      </w:r>
      <w:r>
        <w:rPr>
          <w:rFonts w:hint="default" w:ascii="Times New Roman" w:hAnsi="Times New Roman" w:eastAsia="宋体" w:cs="Times New Roman"/>
          <w:sz w:val="24"/>
          <w:szCs w:val="24"/>
          <w:lang w:val="en-US" w:eastAsia="zh-CN"/>
        </w:rPr>
        <w:t>HJ 91.2</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G Times">
    <w:altName w:val="Times New Roman"/>
    <w:panose1 w:val="00000000000000000000"/>
    <w:charset w:val="00"/>
    <w:family w:val="roman"/>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pPr>
    <w:r>
      <w:fldChar w:fldCharType="begin"/>
    </w:r>
    <w:r>
      <w:instrText xml:space="preserve"> PAGE   \* MERGEFORMAT </w:instrText>
    </w:r>
    <w:r>
      <w:fldChar w:fldCharType="separate"/>
    </w:r>
    <w:r>
      <w:rPr>
        <w:lang w:val="zh-CN"/>
      </w:rPr>
      <w:t>2</w:t>
    </w:r>
    <w:r>
      <w:fldChar w:fldCharType="end"/>
    </w:r>
  </w:p>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pPr>
  </w:p>
  <w:p>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rPr>
        <w:rFonts w:hint="eastAsia" w:eastAsia="宋体"/>
        <w:lang w:val="en-US" w:eastAsia="zh-CN"/>
      </w:rPr>
    </w:pPr>
    <w:r>
      <w:rPr>
        <w:rFonts w:hint="eastAsia"/>
        <w:lang w:val="en-US" w:eastAsia="zh-CN"/>
      </w:rPr>
      <w:t>1</w:t>
    </w:r>
  </w:p>
  <w:p>
    <w:pPr>
      <w:pStyle w:val="8"/>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pPr>
  </w:p>
  <w:p>
    <w:pPr>
      <w:pStyle w:val="8"/>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rPr>
        <w:rFonts w:hint="eastAsia" w:eastAsia="宋体"/>
        <w:lang w:val="en-US" w:eastAsia="zh-CN"/>
      </w:rPr>
    </w:pPr>
    <w:r>
      <w:rPr>
        <w:rFonts w:hint="eastAsia"/>
        <w:lang w:val="en-US" w:eastAsia="zh-CN"/>
      </w:rPr>
      <w:t>2</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rPr>
        <w:rFonts w:hint="eastAsia" w:eastAsia="宋体"/>
        <w:lang w:val="en-US" w:eastAsia="zh-CN"/>
      </w:rPr>
    </w:pPr>
    <w:r>
      <w:rPr>
        <w:rFonts w:hint="eastAsia"/>
        <w:lang w:val="en-US" w:eastAsia="zh-CN"/>
      </w:rPr>
      <w:t>3</w:t>
    </w:r>
  </w:p>
  <w:p>
    <w:pPr>
      <w:pStyle w:val="8"/>
      <w:ind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rPr>
        <w:rFonts w:hint="eastAsia" w:eastAsia="宋体"/>
        <w:lang w:val="en-US" w:eastAsia="zh-CN"/>
      </w:rPr>
    </w:pPr>
    <w:r>
      <w:rPr>
        <w:rFonts w:hint="eastAsia"/>
        <w:lang w:val="en-US" w:eastAsia="zh-CN"/>
      </w:rPr>
      <w:t>4</w:t>
    </w:r>
  </w:p>
  <w:p>
    <w:pPr>
      <w:pStyle w:val="8"/>
      <w:ind w:firstLine="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794184376"/>
                          </w:sdtPr>
                          <w:sdtContent>
                            <w:p>
                              <w:pPr>
                                <w:pStyle w:val="8"/>
                                <w:ind w:firstLine="360"/>
                                <w:jc w:val="center"/>
                              </w:pPr>
                              <w:r>
                                <w:fldChar w:fldCharType="begin"/>
                              </w:r>
                              <w:r>
                                <w:instrText xml:space="preserve"> PAGE   \* MERGEFORMAT </w:instrText>
                              </w:r>
                              <w:r>
                                <w:fldChar w:fldCharType="separate"/>
                              </w:r>
                              <w:r>
                                <w:rPr>
                                  <w:lang w:val="zh-CN"/>
                                </w:rPr>
                                <w:t>10</w:t>
                              </w:r>
                              <w:r>
                                <w:rPr>
                                  <w:lang w:val="zh-CN"/>
                                </w:rPr>
                                <w:fldChar w:fldCharType="end"/>
                              </w:r>
                            </w:p>
                          </w:sdtContent>
                        </w:sdt>
                        <w:p>
                          <w:pPr>
                            <w:pStyle w:val="6"/>
                            <w:ind w:firstLine="5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sdt>
                    <w:sdtPr>
                      <w:id w:val="794184376"/>
                    </w:sdtPr>
                    <w:sdtContent>
                      <w:p>
                        <w:pPr>
                          <w:pStyle w:val="8"/>
                          <w:ind w:firstLine="360"/>
                          <w:jc w:val="center"/>
                        </w:pPr>
                        <w:r>
                          <w:fldChar w:fldCharType="begin"/>
                        </w:r>
                        <w:r>
                          <w:instrText xml:space="preserve"> PAGE   \* MERGEFORMAT </w:instrText>
                        </w:r>
                        <w:r>
                          <w:fldChar w:fldCharType="separate"/>
                        </w:r>
                        <w:r>
                          <w:rPr>
                            <w:lang w:val="zh-CN"/>
                          </w:rPr>
                          <w:t>10</w:t>
                        </w:r>
                        <w:r>
                          <w:rPr>
                            <w:lang w:val="zh-CN"/>
                          </w:rPr>
                          <w:fldChar w:fldCharType="end"/>
                        </w:r>
                      </w:p>
                    </w:sdtContent>
                  </w:sdt>
                  <w:p>
                    <w:pPr>
                      <w:pStyle w:val="6"/>
                      <w:ind w:firstLine="560"/>
                    </w:pPr>
                  </w:p>
                </w:txbxContent>
              </v:textbox>
            </v:shape>
          </w:pict>
        </mc:Fallback>
      </mc:AlternateContent>
    </w:r>
  </w:p>
  <w:p>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560" w:firstLineChars="0"/>
      <w:jc w:val="righ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770D36"/>
    <w:multiLevelType w:val="singleLevel"/>
    <w:tmpl w:val="EA770D36"/>
    <w:lvl w:ilvl="0" w:tentative="0">
      <w:start w:val="1"/>
      <w:numFmt w:val="decimal"/>
      <w:suff w:val="space"/>
      <w:lvlText w:val="%1)"/>
      <w:lvlJc w:val="left"/>
      <w:rPr>
        <w:rFonts w:hint="default"/>
        <w:b/>
        <w:bCs/>
      </w:rPr>
    </w:lvl>
  </w:abstractNum>
  <w:abstractNum w:abstractNumId="1">
    <w:nsid w:val="1FC91163"/>
    <w:multiLevelType w:val="multilevel"/>
    <w:tmpl w:val="1FC91163"/>
    <w:lvl w:ilvl="0" w:tentative="0">
      <w:start w:val="1"/>
      <w:numFmt w:val="decimal"/>
      <w:pStyle w:val="22"/>
      <w:suff w:val="nothing"/>
      <w:lvlText w:val="%1　"/>
      <w:lvlJc w:val="left"/>
      <w:pPr>
        <w:ind w:left="0" w:firstLine="0"/>
      </w:pPr>
      <w:rPr>
        <w:rFonts w:hint="default" w:ascii="Times New Roman" w:hAnsi="Times New Roman" w:eastAsia="黑体" w:cs="Times New Roman"/>
        <w:b w:val="0"/>
        <w:i w:val="0"/>
        <w:sz w:val="24"/>
        <w:szCs w:val="24"/>
      </w:rPr>
    </w:lvl>
    <w:lvl w:ilvl="1" w:tentative="0">
      <w:start w:val="1"/>
      <w:numFmt w:val="decimal"/>
      <w:suff w:val="nothing"/>
      <w:lvlText w:val="%1.%2　"/>
      <w:lvlJc w:val="left"/>
      <w:pPr>
        <w:ind w:left="1275" w:firstLine="0"/>
      </w:pPr>
      <w:rPr>
        <w:rFonts w:hint="default" w:ascii="Times New Roman" w:hAnsi="Times New Roman" w:eastAsia="黑体" w:cs="Times New Roman"/>
        <w:b w:val="0"/>
        <w:bCs w:val="0"/>
        <w:i w:val="0"/>
        <w:iCs w:val="0"/>
        <w:caps w:val="0"/>
        <w:strike w:val="0"/>
        <w:dstrike w:val="0"/>
        <w:vanish w:val="0"/>
        <w:color w:val="000000"/>
        <w:spacing w:val="0"/>
        <w:kern w:val="0"/>
        <w:position w:val="0"/>
        <w:sz w:val="24"/>
        <w:szCs w:val="24"/>
        <w:u w:val="none"/>
        <w:vertAlign w:val="baseline"/>
        <w14:shadow w14:blurRad="0" w14:dist="0" w14:dir="0" w14:sx="0" w14:sy="0" w14:kx="0" w14:ky="0" w14:algn="none">
          <w14:srgbClr w14:val="000000"/>
        </w14:shadow>
      </w:rPr>
    </w:lvl>
    <w:lvl w:ilvl="2" w:tentative="0">
      <w:start w:val="1"/>
      <w:numFmt w:val="decimal"/>
      <w:suff w:val="nothing"/>
      <w:lvlText w:val="%1.%2.%3　"/>
      <w:lvlJc w:val="left"/>
      <w:pPr>
        <w:ind w:left="284" w:firstLine="0"/>
      </w:pPr>
      <w:rPr>
        <w:rFonts w:hint="default" w:ascii="Times New Roman" w:hAnsi="Times New Roman" w:eastAsia="宋体" w:cs="Times New Roman"/>
        <w:b w:val="0"/>
        <w:i w:val="0"/>
        <w:sz w:val="24"/>
        <w:szCs w:val="24"/>
      </w:rPr>
    </w:lvl>
    <w:lvl w:ilvl="3" w:tentative="0">
      <w:start w:val="1"/>
      <w:numFmt w:val="decimal"/>
      <w:suff w:val="nothing"/>
      <w:lvlText w:val="%1.%2.%3.%4　"/>
      <w:lvlJc w:val="left"/>
      <w:pPr>
        <w:ind w:left="1560" w:firstLine="0"/>
      </w:pPr>
      <w:rPr>
        <w:rFonts w:hint="default" w:ascii="Times New Roman" w:hAnsi="Times New Roman" w:eastAsia="黑体" w:cs="Times New Roman"/>
        <w:b w:val="0"/>
        <w:i w:val="0"/>
        <w:color w:val="auto"/>
        <w:sz w:val="24"/>
        <w:szCs w:val="24"/>
      </w:rPr>
    </w:lvl>
    <w:lvl w:ilvl="4" w:tentative="0">
      <w:start w:val="1"/>
      <w:numFmt w:val="decimal"/>
      <w:suff w:val="nothing"/>
      <w:lvlText w:val="%56.%2.1.4.%3　"/>
      <w:lvlJc w:val="left"/>
      <w:pPr>
        <w:ind w:left="0" w:firstLine="0"/>
      </w:pPr>
      <w:rPr>
        <w:rFonts w:hint="eastAsia" w:ascii="黑体" w:hAnsi="Times New Roman" w:eastAsia="黑体"/>
        <w:b w:val="0"/>
        <w:i w:val="0"/>
        <w:sz w:val="21"/>
      </w:rPr>
    </w:lvl>
    <w:lvl w:ilvl="5" w:tentative="0">
      <w:start w:val="1"/>
      <w:numFmt w:val="decimal"/>
      <w:suff w:val="nothing"/>
      <w:lvlText w:val="6.%2.%3.%4.%5　"/>
      <w:lvlJc w:val="left"/>
      <w:pPr>
        <w:ind w:left="0" w:firstLine="0"/>
      </w:pPr>
      <w:rPr>
        <w:rFonts w:hint="default" w:ascii="Times New Roman" w:hAnsi="Times New Roman" w:eastAsia="黑体" w:cs="Times New Roman"/>
        <w:b w:val="0"/>
        <w:i w:val="0"/>
        <w:sz w:val="24"/>
        <w:szCs w:val="24"/>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c3ZjgyZDI3NDg3MmE5MzYyNTMxMmVkMTQ4MmUyZDMifQ=="/>
  </w:docVars>
  <w:rsids>
    <w:rsidRoot w:val="383A466E"/>
    <w:rsid w:val="00123C9D"/>
    <w:rsid w:val="001578E7"/>
    <w:rsid w:val="00216DC1"/>
    <w:rsid w:val="004300F6"/>
    <w:rsid w:val="00461BAE"/>
    <w:rsid w:val="004D70E1"/>
    <w:rsid w:val="00560A50"/>
    <w:rsid w:val="005669EA"/>
    <w:rsid w:val="007C777E"/>
    <w:rsid w:val="00910AE0"/>
    <w:rsid w:val="00BF6040"/>
    <w:rsid w:val="00C94D57"/>
    <w:rsid w:val="00D062B4"/>
    <w:rsid w:val="00D20E8B"/>
    <w:rsid w:val="00D70859"/>
    <w:rsid w:val="00FF3EA2"/>
    <w:rsid w:val="02B20C36"/>
    <w:rsid w:val="069A569A"/>
    <w:rsid w:val="0A560A40"/>
    <w:rsid w:val="0B153BFE"/>
    <w:rsid w:val="0BEE54A8"/>
    <w:rsid w:val="0C517711"/>
    <w:rsid w:val="0CBD4DA7"/>
    <w:rsid w:val="0F114F36"/>
    <w:rsid w:val="0F36259B"/>
    <w:rsid w:val="11234D39"/>
    <w:rsid w:val="12FA4A5D"/>
    <w:rsid w:val="15CD7FB1"/>
    <w:rsid w:val="17B20E55"/>
    <w:rsid w:val="190E7303"/>
    <w:rsid w:val="19875F77"/>
    <w:rsid w:val="1C8469A3"/>
    <w:rsid w:val="1DCA7323"/>
    <w:rsid w:val="1E6D211D"/>
    <w:rsid w:val="20AE6A88"/>
    <w:rsid w:val="22004D83"/>
    <w:rsid w:val="257C3291"/>
    <w:rsid w:val="272827A2"/>
    <w:rsid w:val="2B814B58"/>
    <w:rsid w:val="2BB53D21"/>
    <w:rsid w:val="2E641740"/>
    <w:rsid w:val="2EA510CE"/>
    <w:rsid w:val="2ED718A0"/>
    <w:rsid w:val="2EE04622"/>
    <w:rsid w:val="2F4131BE"/>
    <w:rsid w:val="2F8B1368"/>
    <w:rsid w:val="31124E12"/>
    <w:rsid w:val="31D67E14"/>
    <w:rsid w:val="32195D2C"/>
    <w:rsid w:val="35963DC9"/>
    <w:rsid w:val="36244E08"/>
    <w:rsid w:val="370D6D0B"/>
    <w:rsid w:val="37D24C22"/>
    <w:rsid w:val="383A466E"/>
    <w:rsid w:val="38D138B9"/>
    <w:rsid w:val="39073753"/>
    <w:rsid w:val="39243934"/>
    <w:rsid w:val="39E30FA4"/>
    <w:rsid w:val="39FA2E2A"/>
    <w:rsid w:val="3B8E3D53"/>
    <w:rsid w:val="3C85541D"/>
    <w:rsid w:val="3C922D7A"/>
    <w:rsid w:val="3E6807DB"/>
    <w:rsid w:val="3F336D02"/>
    <w:rsid w:val="3F6E1B45"/>
    <w:rsid w:val="404E573A"/>
    <w:rsid w:val="411469F2"/>
    <w:rsid w:val="412A5860"/>
    <w:rsid w:val="419B050B"/>
    <w:rsid w:val="41DB2FFE"/>
    <w:rsid w:val="42A258CA"/>
    <w:rsid w:val="43A318F9"/>
    <w:rsid w:val="449B4222"/>
    <w:rsid w:val="456D6663"/>
    <w:rsid w:val="46EA3849"/>
    <w:rsid w:val="47E11181"/>
    <w:rsid w:val="48757D08"/>
    <w:rsid w:val="487906E9"/>
    <w:rsid w:val="491F1095"/>
    <w:rsid w:val="4B481704"/>
    <w:rsid w:val="4B5005B9"/>
    <w:rsid w:val="4C67204D"/>
    <w:rsid w:val="4CF3744D"/>
    <w:rsid w:val="4D5F2D35"/>
    <w:rsid w:val="4E45017D"/>
    <w:rsid w:val="4E4D7031"/>
    <w:rsid w:val="4FB20A21"/>
    <w:rsid w:val="4FCE41A2"/>
    <w:rsid w:val="50083BAF"/>
    <w:rsid w:val="505D6ABA"/>
    <w:rsid w:val="50AD0C01"/>
    <w:rsid w:val="53657E50"/>
    <w:rsid w:val="550147B4"/>
    <w:rsid w:val="59824E19"/>
    <w:rsid w:val="59AD7BC2"/>
    <w:rsid w:val="5A7F7281"/>
    <w:rsid w:val="5B221D73"/>
    <w:rsid w:val="5BE9027C"/>
    <w:rsid w:val="5C9103CC"/>
    <w:rsid w:val="5CB164A9"/>
    <w:rsid w:val="5D3214B0"/>
    <w:rsid w:val="5DFB0858"/>
    <w:rsid w:val="5E371164"/>
    <w:rsid w:val="5E827968"/>
    <w:rsid w:val="5EC31C88"/>
    <w:rsid w:val="5ED81AD2"/>
    <w:rsid w:val="5F7462CC"/>
    <w:rsid w:val="601B2AEB"/>
    <w:rsid w:val="61806608"/>
    <w:rsid w:val="64813E70"/>
    <w:rsid w:val="648954DB"/>
    <w:rsid w:val="64A82A9A"/>
    <w:rsid w:val="665445A0"/>
    <w:rsid w:val="667B639B"/>
    <w:rsid w:val="6683138D"/>
    <w:rsid w:val="68BE5955"/>
    <w:rsid w:val="68DB30B6"/>
    <w:rsid w:val="6ACF60BD"/>
    <w:rsid w:val="6D0921A0"/>
    <w:rsid w:val="6ED85089"/>
    <w:rsid w:val="719E7262"/>
    <w:rsid w:val="71D12284"/>
    <w:rsid w:val="72172A86"/>
    <w:rsid w:val="72464B3F"/>
    <w:rsid w:val="729A3D44"/>
    <w:rsid w:val="73F029FF"/>
    <w:rsid w:val="74D71E18"/>
    <w:rsid w:val="75F938F4"/>
    <w:rsid w:val="770E6AAE"/>
    <w:rsid w:val="774A0C45"/>
    <w:rsid w:val="78543731"/>
    <w:rsid w:val="7BA43E85"/>
    <w:rsid w:val="7C436E9A"/>
    <w:rsid w:val="7C943F0E"/>
    <w:rsid w:val="7CCA791B"/>
    <w:rsid w:val="7DC35368"/>
    <w:rsid w:val="7EE10F4C"/>
    <w:rsid w:val="7F8D78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Times New Roman" w:hAnsi="Times New Roman" w:eastAsia="宋体" w:cs="Times New Roman"/>
      <w:kern w:val="2"/>
      <w:sz w:val="24"/>
      <w:szCs w:val="22"/>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unhideWhenUsed/>
    <w:qFormat/>
    <w:uiPriority w:val="9"/>
    <w:pPr>
      <w:keepNext/>
      <w:keepLines/>
      <w:spacing w:before="120" w:after="120" w:line="415" w:lineRule="auto"/>
      <w:ind w:firstLine="0" w:firstLineChars="0"/>
      <w:jc w:val="center"/>
      <w:outlineLvl w:val="1"/>
    </w:pPr>
    <w:rPr>
      <w:b/>
      <w:bCs/>
      <w:szCs w:val="32"/>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style>
  <w:style w:type="paragraph" w:styleId="5">
    <w:name w:val="annotation text"/>
    <w:basedOn w:val="1"/>
    <w:link w:val="25"/>
    <w:autoRedefine/>
    <w:qFormat/>
    <w:uiPriority w:val="0"/>
    <w:pPr>
      <w:jc w:val="left"/>
    </w:pPr>
  </w:style>
  <w:style w:type="paragraph" w:styleId="6">
    <w:name w:val="Body Text"/>
    <w:basedOn w:val="1"/>
    <w:next w:val="1"/>
    <w:autoRedefine/>
    <w:qFormat/>
    <w:uiPriority w:val="99"/>
    <w:pPr>
      <w:spacing w:after="120"/>
    </w:pPr>
    <w:rPr>
      <w:rFonts w:ascii="Calibri" w:hAnsi="Calibri"/>
      <w:sz w:val="28"/>
      <w:szCs w:val="20"/>
    </w:rPr>
  </w:style>
  <w:style w:type="paragraph" w:styleId="7">
    <w:name w:val="Balloon Text"/>
    <w:basedOn w:val="1"/>
    <w:link w:val="24"/>
    <w:autoRedefine/>
    <w:qFormat/>
    <w:uiPriority w:val="0"/>
    <w:pPr>
      <w:spacing w:line="240" w:lineRule="auto"/>
    </w:pPr>
    <w:rPr>
      <w:sz w:val="18"/>
      <w:szCs w:val="18"/>
    </w:rPr>
  </w:style>
  <w:style w:type="paragraph" w:styleId="8">
    <w:name w:val="footer"/>
    <w:basedOn w:val="1"/>
    <w:autoRedefine/>
    <w:unhideWhenUsed/>
    <w:qFormat/>
    <w:uiPriority w:val="99"/>
    <w:pPr>
      <w:tabs>
        <w:tab w:val="center" w:pos="4153"/>
        <w:tab w:val="right" w:pos="8306"/>
      </w:tabs>
      <w:snapToGrid w:val="0"/>
      <w:jc w:val="left"/>
    </w:pPr>
    <w:rPr>
      <w:sz w:val="18"/>
      <w:szCs w:val="18"/>
    </w:rPr>
  </w:style>
  <w:style w:type="paragraph" w:styleId="9">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autoRedefine/>
    <w:qFormat/>
    <w:uiPriority w:val="0"/>
  </w:style>
  <w:style w:type="paragraph" w:styleId="11">
    <w:name w:val="toc 2"/>
    <w:basedOn w:val="1"/>
    <w:next w:val="1"/>
    <w:autoRedefine/>
    <w:qFormat/>
    <w:uiPriority w:val="0"/>
    <w:pPr>
      <w:ind w:left="420" w:leftChars="200"/>
    </w:pPr>
  </w:style>
  <w:style w:type="paragraph" w:styleId="12">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3">
    <w:name w:val="annotation subject"/>
    <w:basedOn w:val="5"/>
    <w:next w:val="5"/>
    <w:link w:val="26"/>
    <w:autoRedefine/>
    <w:qFormat/>
    <w:uiPriority w:val="0"/>
    <w:rPr>
      <w:b/>
      <w:bCs/>
    </w:rPr>
  </w:style>
  <w:style w:type="table" w:styleId="15">
    <w:name w:val="Table Grid"/>
    <w:basedOn w:val="14"/>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autoRedefine/>
    <w:qFormat/>
    <w:uiPriority w:val="0"/>
    <w:rPr>
      <w:color w:val="0000FF"/>
      <w:u w:val="single"/>
    </w:rPr>
  </w:style>
  <w:style w:type="character" w:styleId="18">
    <w:name w:val="annotation reference"/>
    <w:basedOn w:val="16"/>
    <w:autoRedefine/>
    <w:qFormat/>
    <w:uiPriority w:val="0"/>
    <w:rPr>
      <w:sz w:val="21"/>
      <w:szCs w:val="21"/>
    </w:rPr>
  </w:style>
  <w:style w:type="paragraph" w:customStyle="1" w:styleId="19">
    <w:name w:val="BodyText1I2"/>
    <w:basedOn w:val="20"/>
    <w:autoRedefine/>
    <w:qFormat/>
    <w:uiPriority w:val="0"/>
    <w:pPr>
      <w:spacing w:line="500" w:lineRule="exact"/>
      <w:ind w:firstLine="200"/>
      <w:jc w:val="left"/>
    </w:pPr>
    <w:rPr>
      <w:rFonts w:ascii="Calibri" w:hAnsi="Calibri"/>
      <w:kern w:val="0"/>
    </w:rPr>
  </w:style>
  <w:style w:type="paragraph" w:customStyle="1" w:styleId="20">
    <w:name w:val="BodyTextIndent"/>
    <w:basedOn w:val="1"/>
    <w:autoRedefine/>
    <w:qFormat/>
    <w:uiPriority w:val="0"/>
    <w:pPr>
      <w:snapToGrid w:val="0"/>
      <w:spacing w:line="312" w:lineRule="auto"/>
      <w:ind w:firstLine="480"/>
      <w:textAlignment w:val="baseline"/>
    </w:pPr>
    <w:rPr>
      <w:rFonts w:ascii="宋体" w:hAnsi="CG Times"/>
      <w:sz w:val="21"/>
      <w:szCs w:val="20"/>
    </w:rPr>
  </w:style>
  <w:style w:type="paragraph" w:customStyle="1" w:styleId="21">
    <w:name w:val="Default"/>
    <w:autoRedefine/>
    <w:qFormat/>
    <w:uiPriority w:val="0"/>
    <w:pPr>
      <w:widowControl w:val="0"/>
      <w:autoSpaceDE w:val="0"/>
      <w:autoSpaceDN w:val="0"/>
      <w:adjustRightInd w:val="0"/>
    </w:pPr>
    <w:rPr>
      <w:rFonts w:ascii="宋体" w:hAnsi="宋体" w:eastAsia="等线" w:cs="宋体"/>
      <w:color w:val="000000"/>
      <w:sz w:val="24"/>
      <w:szCs w:val="24"/>
      <w:lang w:val="en-US" w:eastAsia="zh-CN" w:bidi="ar-SA"/>
    </w:rPr>
  </w:style>
  <w:style w:type="paragraph" w:customStyle="1" w:styleId="22">
    <w:name w:val="章标题"/>
    <w:next w:val="23"/>
    <w:autoRedefine/>
    <w:qFormat/>
    <w:uiPriority w:val="0"/>
    <w:pPr>
      <w:numPr>
        <w:ilvl w:val="0"/>
        <w:numId w:val="1"/>
      </w:numPr>
      <w:spacing w:beforeLines="100" w:afterLines="100"/>
      <w:jc w:val="both"/>
      <w:outlineLvl w:val="1"/>
    </w:pPr>
    <w:rPr>
      <w:rFonts w:ascii="黑体" w:hAnsi="Times New Roman" w:eastAsia="黑体" w:cs="Times New Roman"/>
      <w:kern w:val="2"/>
      <w:sz w:val="21"/>
      <w:szCs w:val="22"/>
      <w:lang w:val="en-US" w:eastAsia="zh-CN" w:bidi="ar-SA"/>
    </w:rPr>
  </w:style>
  <w:style w:type="paragraph" w:customStyle="1" w:styleId="23">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24">
    <w:name w:val="批注框文本 字符"/>
    <w:basedOn w:val="16"/>
    <w:link w:val="7"/>
    <w:autoRedefine/>
    <w:qFormat/>
    <w:uiPriority w:val="0"/>
    <w:rPr>
      <w:rFonts w:ascii="Times New Roman" w:hAnsi="Times New Roman" w:eastAsia="宋体" w:cs="Times New Roman"/>
      <w:kern w:val="2"/>
      <w:sz w:val="18"/>
      <w:szCs w:val="18"/>
    </w:rPr>
  </w:style>
  <w:style w:type="character" w:customStyle="1" w:styleId="25">
    <w:name w:val="批注文字 字符"/>
    <w:basedOn w:val="16"/>
    <w:link w:val="5"/>
    <w:autoRedefine/>
    <w:qFormat/>
    <w:uiPriority w:val="0"/>
    <w:rPr>
      <w:rFonts w:ascii="Times New Roman" w:hAnsi="Times New Roman" w:eastAsia="宋体" w:cs="Times New Roman"/>
      <w:kern w:val="2"/>
      <w:sz w:val="24"/>
      <w:szCs w:val="22"/>
    </w:rPr>
  </w:style>
  <w:style w:type="character" w:customStyle="1" w:styleId="26">
    <w:name w:val="批注主题 字符"/>
    <w:basedOn w:val="25"/>
    <w:link w:val="13"/>
    <w:autoRedefine/>
    <w:qFormat/>
    <w:uiPriority w:val="0"/>
    <w:rPr>
      <w:rFonts w:ascii="Times New Roman" w:hAnsi="Times New Roman" w:eastAsia="宋体" w:cs="Times New Roman"/>
      <w:b/>
      <w:bCs/>
      <w:kern w:val="2"/>
      <w:sz w:val="24"/>
      <w:szCs w:val="22"/>
    </w:rPr>
  </w:style>
  <w:style w:type="paragraph" w:customStyle="1" w:styleId="27">
    <w:name w:val="WPSOffice手动目录 1"/>
    <w:autoRedefine/>
    <w:qFormat/>
    <w:uiPriority w:val="0"/>
    <w:pPr>
      <w:ind w:leftChars="0"/>
    </w:pPr>
    <w:rPr>
      <w:rFonts w:ascii="Times New Roman" w:hAnsi="Times New Roman" w:eastAsia="宋体" w:cs="Times New Roman"/>
      <w:sz w:val="20"/>
      <w:szCs w:val="20"/>
    </w:rPr>
  </w:style>
  <w:style w:type="paragraph" w:customStyle="1" w:styleId="28">
    <w:name w:val="WPSOffice手动目录 2"/>
    <w:autoRedefine/>
    <w:qFormat/>
    <w:uiPriority w:val="0"/>
    <w:pPr>
      <w:ind w:leftChars="200"/>
    </w:pPr>
    <w:rPr>
      <w:rFonts w:ascii="Times New Roman" w:hAnsi="Times New Roman" w:eastAsia="宋体" w:cs="Times New Roman"/>
      <w:sz w:val="20"/>
      <w:szCs w:val="20"/>
    </w:rPr>
  </w:style>
  <w:style w:type="character" w:customStyle="1" w:styleId="29">
    <w:name w:val="fontstyle01"/>
    <w:autoRedefine/>
    <w:qFormat/>
    <w:uiPriority w:val="0"/>
    <w:rPr>
      <w:rFonts w:hint="default" w:ascii="楷体_GB2312" w:hAnsi="楷体_GB2312"/>
      <w:color w:val="000000"/>
      <w:sz w:val="24"/>
      <w:szCs w:val="24"/>
    </w:rPr>
  </w:style>
  <w:style w:type="paragraph" w:customStyle="1" w:styleId="30">
    <w:name w:val="条文说明"/>
    <w:basedOn w:val="1"/>
    <w:autoRedefine/>
    <w:qFormat/>
    <w:uiPriority w:val="0"/>
    <w:pPr>
      <w:spacing w:line="240" w:lineRule="auto"/>
      <w:ind w:firstLine="560"/>
    </w:pPr>
    <w:rPr>
      <w:rFonts w:ascii="宋体" w:hAnsi="宋体" w:eastAsia="楷体_GB2312" w:cstheme="minorBidi"/>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notes" Target="footnotes.xml"/><Relationship Id="rId29" Type="http://schemas.openxmlformats.org/officeDocument/2006/relationships/customXml" Target="../customXml/item1.xml"/><Relationship Id="rId28" Type="http://schemas.openxmlformats.org/officeDocument/2006/relationships/image" Target="media/image3.wmf"/><Relationship Id="rId27" Type="http://schemas.openxmlformats.org/officeDocument/2006/relationships/oleObject" Target="embeddings/oleObject2.bin"/><Relationship Id="rId26" Type="http://schemas.openxmlformats.org/officeDocument/2006/relationships/image" Target="media/image2.wmf"/><Relationship Id="rId25" Type="http://schemas.openxmlformats.org/officeDocument/2006/relationships/oleObject" Target="embeddings/oleObject1.bin"/><Relationship Id="rId24" Type="http://schemas.openxmlformats.org/officeDocument/2006/relationships/image" Target="media/image1.emf"/><Relationship Id="rId23" Type="http://schemas.openxmlformats.org/officeDocument/2006/relationships/theme" Target="theme/theme1.xml"/><Relationship Id="rId22" Type="http://schemas.openxmlformats.org/officeDocument/2006/relationships/footer" Target="footer12.xml"/><Relationship Id="rId21" Type="http://schemas.openxmlformats.org/officeDocument/2006/relationships/footer" Target="footer11.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792</Words>
  <Characters>4520</Characters>
  <Lines>37</Lines>
  <Paragraphs>10</Paragraphs>
  <TotalTime>9</TotalTime>
  <ScaleCrop>false</ScaleCrop>
  <LinksUpToDate>false</LinksUpToDate>
  <CharactersWithSpaces>5302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2023-12-04T01:43:00Z</dcterms:created>
  <dc:creator>廖方敏</dc:creator>
  <cp:lastModifiedBy>sun jian </cp:lastModifiedBy>
  <cp:lastPrinted>2024-01-24T00:47:00Z</cp:lastPrinted>
  <dcterms:modified xsi:type="dcterms:W3CDTF">2024-03-25T03:21:25Z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F97E0486903B4DD9B1B0D4244E8584EB_13</vt:lpwstr>
  </property>
</Properties>
</file>