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9"/>
        <w:framePr w:hSpace="181" w:vSpace="181" w:wrap="notBeside" w:vAnchor="page" w:hAnchor="page" w:x="1051" w:y="763"/>
        <w:rPr>
          <w:rFonts w:hint="default" w:ascii="Times New Roman" w:eastAsia="宋体"/>
          <w:lang w:val="en-US" w:eastAsia="zh-CN"/>
        </w:rPr>
      </w:pPr>
      <w:r>
        <w:rPr>
          <w:rFonts w:ascii="Times New Roman"/>
        </w:rPr>
        <w:t>ICS</w:t>
      </w:r>
      <w:r>
        <w:rPr>
          <w:rFonts w:ascii="Times New Roman" w:eastAsia="MS Mincho"/>
        </w:rPr>
        <w:t> </w:t>
      </w:r>
      <w:r>
        <w:rPr>
          <w:rFonts w:hint="eastAsia" w:ascii="Times New Roman" w:eastAsia="宋体"/>
          <w:lang w:val="en-US" w:eastAsia="zh-CN"/>
        </w:rPr>
        <w:t>77.140.75</w:t>
      </w:r>
    </w:p>
    <w:p>
      <w:pPr>
        <w:pStyle w:val="49"/>
        <w:framePr w:hSpace="181" w:vSpace="181" w:wrap="notBeside" w:vAnchor="page" w:hAnchor="page" w:x="1051" w:y="763"/>
        <w:rPr>
          <w:rFonts w:hint="default" w:ascii="Times New Roman" w:eastAsia="黑体"/>
          <w:lang w:val="en-US" w:eastAsia="zh-CN"/>
        </w:rPr>
      </w:pPr>
      <w:r>
        <w:rPr>
          <w:rFonts w:hint="eastAsia" w:ascii="Times New Roman"/>
          <w:lang w:val="en-US" w:eastAsia="zh-CN"/>
        </w:rPr>
        <w:t>CCS H48</w:t>
      </w:r>
    </w:p>
    <w:p>
      <w:pPr>
        <w:pStyle w:val="22"/>
        <w:ind w:firstLine="440"/>
        <w:rPr>
          <w:rFonts w:ascii="Times New Roman" w:hAnsi="Times New Roman" w:cs="Times New Roman"/>
        </w:rPr>
      </w:pPr>
      <w:r>
        <mc:AlternateContent>
          <mc:Choice Requires="wps">
            <w:drawing>
              <wp:anchor distT="0" distB="0" distL="0" distR="0" simplePos="0" relativeHeight="251659264" behindDoc="0" locked="1" layoutInCell="1" allowOverlap="1">
                <wp:simplePos x="0" y="0"/>
                <wp:positionH relativeFrom="margin">
                  <wp:posOffset>102235</wp:posOffset>
                </wp:positionH>
                <wp:positionV relativeFrom="margin">
                  <wp:posOffset>734060</wp:posOffset>
                </wp:positionV>
                <wp:extent cx="5802630" cy="448310"/>
                <wp:effectExtent l="0" t="0" r="3810" b="8890"/>
                <wp:wrapNone/>
                <wp:docPr id="1026" name="文本框 2"/>
                <wp:cNvGraphicFramePr/>
                <a:graphic xmlns:a="http://schemas.openxmlformats.org/drawingml/2006/main">
                  <a:graphicData uri="http://schemas.microsoft.com/office/word/2010/wordprocessingShape">
                    <wps:wsp>
                      <wps:cNvSpPr/>
                      <wps:spPr>
                        <a:xfrm>
                          <a:off x="0" y="0"/>
                          <a:ext cx="5802630" cy="448310"/>
                        </a:xfrm>
                        <a:prstGeom prst="rect">
                          <a:avLst/>
                        </a:prstGeom>
                        <a:solidFill>
                          <a:srgbClr val="FFFFFF"/>
                        </a:solidFill>
                        <a:ln>
                          <a:noFill/>
                        </a:ln>
                      </wps:spPr>
                      <wps:txbx>
                        <w:txbxContent>
                          <w:p>
                            <w:pPr>
                              <w:pStyle w:val="27"/>
                            </w:pPr>
                            <w:r>
                              <w:rPr>
                                <w:rFonts w:hint="default" w:ascii="Times New Roman" w:hAnsi="Times New Roman" w:cs="Times New Roman"/>
                              </w:rPr>
                              <w:t>T</w:t>
                            </w:r>
                            <w:r>
                              <w:rPr>
                                <w:rFonts w:hint="default" w:ascii="Times New Roman" w:hAnsi="Times New Roman" w:cs="Times New Roman"/>
                                <w:lang w:val="en-US" w:eastAsia="zh-CN"/>
                              </w:rPr>
                              <w:t>/CECS</w:t>
                            </w:r>
                            <w:r>
                              <w:t xml:space="preserve"> </w:t>
                            </w:r>
                            <w:r>
                              <w:rPr>
                                <w:rFonts w:hint="default" w:ascii="Times New Roman" w:hAnsi="Times New Roman" w:cs="Times New Roman"/>
                                <w:lang w:val="en-GB"/>
                              </w:rPr>
                              <w:t>××××</w:t>
                            </w:r>
                            <w:r>
                              <w:rPr>
                                <w:rFonts w:hint="default" w:ascii="Times New Roman" w:hAnsi="Times New Roman" w:cs="Times New Roman"/>
                              </w:rPr>
                              <w:t>—</w:t>
                            </w:r>
                            <w:r>
                              <w:rPr>
                                <w:rFonts w:hint="default" w:ascii="Times New Roman" w:hAnsi="Times New Roman" w:cs="Times New Roman"/>
                                <w:lang w:val="en-US" w:eastAsia="zh-CN"/>
                              </w:rPr>
                              <w:t>20</w:t>
                            </w:r>
                            <w:r>
                              <w:rPr>
                                <w:rFonts w:hint="default" w:ascii="Times New Roman" w:hAnsi="Times New Roman" w:cs="Times New Roman"/>
                                <w:lang w:val="en-GB"/>
                              </w:rPr>
                              <w:t>××</w:t>
                            </w:r>
                          </w:p>
                          <w:p>
                            <w:pPr>
                              <w:pStyle w:val="28"/>
                              <w:rPr>
                                <w:rFonts w:cs="Times New Roman"/>
                              </w:rPr>
                            </w:pPr>
                          </w:p>
                        </w:txbxContent>
                      </wps:txbx>
                      <wps:bodyPr lIns="0" tIns="0" rIns="0" bIns="0" upright="1"/>
                    </wps:wsp>
                  </a:graphicData>
                </a:graphic>
              </wp:anchor>
            </w:drawing>
          </mc:Choice>
          <mc:Fallback>
            <w:pict>
              <v:rect id="文本框 2" o:spid="_x0000_s1026" o:spt="1" style="position:absolute;left:0pt;margin-left:8.05pt;margin-top:57.8pt;height:35.3pt;width:456.9pt;mso-position-horizontal-relative:margin;mso-position-vertical-relative:margin;z-index:251659264;mso-width-relative:page;mso-height-relative:page;" fillcolor="#FFFFFF" filled="t" stroked="f" coordsize="21600,21600" o:gfxdata="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WSO0E1gAAAAoBAAAPAAAAAAAAAAEAIAAAACIAAABkcnMv&#10;ZG93bnJldi54bWxQSwECFAAUAAAACACHTuJAioD0RswBAACUAwAADgAAAAAAAAABACAAAAAlAQAA&#10;ZHJzL2Uyb0RvYy54bWxQSwUGAAAAAAYABgBZAQAAYwUAAAAA&#10;">
                <v:fill on="t" focussize="0,0"/>
                <v:stroke on="f"/>
                <v:imagedata o:title=""/>
                <o:lock v:ext="edit" aspectratio="f"/>
                <v:textbox inset="0mm,0mm,0mm,0mm">
                  <w:txbxContent>
                    <w:p>
                      <w:pPr>
                        <w:pStyle w:val="27"/>
                      </w:pPr>
                      <w:r>
                        <w:rPr>
                          <w:rFonts w:hint="default" w:ascii="Times New Roman" w:hAnsi="Times New Roman" w:cs="Times New Roman"/>
                        </w:rPr>
                        <w:t>T</w:t>
                      </w:r>
                      <w:r>
                        <w:rPr>
                          <w:rFonts w:hint="default" w:ascii="Times New Roman" w:hAnsi="Times New Roman" w:cs="Times New Roman"/>
                          <w:lang w:val="en-US" w:eastAsia="zh-CN"/>
                        </w:rPr>
                        <w:t>/CECS</w:t>
                      </w:r>
                      <w:r>
                        <w:t xml:space="preserve"> </w:t>
                      </w:r>
                      <w:r>
                        <w:rPr>
                          <w:rFonts w:hint="default" w:ascii="Times New Roman" w:hAnsi="Times New Roman" w:cs="Times New Roman"/>
                          <w:lang w:val="en-GB"/>
                        </w:rPr>
                        <w:t>××××</w:t>
                      </w:r>
                      <w:r>
                        <w:rPr>
                          <w:rFonts w:hint="default" w:ascii="Times New Roman" w:hAnsi="Times New Roman" w:cs="Times New Roman"/>
                        </w:rPr>
                        <w:t>—</w:t>
                      </w:r>
                      <w:r>
                        <w:rPr>
                          <w:rFonts w:hint="default" w:ascii="Times New Roman" w:hAnsi="Times New Roman" w:cs="Times New Roman"/>
                          <w:lang w:val="en-US" w:eastAsia="zh-CN"/>
                        </w:rPr>
                        <w:t>20</w:t>
                      </w:r>
                      <w:r>
                        <w:rPr>
                          <w:rFonts w:hint="default" w:ascii="Times New Roman" w:hAnsi="Times New Roman" w:cs="Times New Roman"/>
                          <w:lang w:val="en-GB"/>
                        </w:rPr>
                        <w:t>××</w:t>
                      </w:r>
                    </w:p>
                    <w:p>
                      <w:pPr>
                        <w:pStyle w:val="28"/>
                        <w:rPr>
                          <w:rFonts w:cs="Times New Roman"/>
                        </w:rPr>
                      </w:pPr>
                    </w:p>
                  </w:txbxContent>
                </v:textbox>
                <w10:anchorlock/>
              </v:rect>
            </w:pict>
          </mc:Fallback>
        </mc:AlternateContent>
      </w:r>
    </w:p>
    <w:p>
      <w:pPr>
        <w:pStyle w:val="50"/>
        <w:framePr w:x="1206" w:y="1682"/>
        <w:jc w:val="distribute"/>
        <w:rPr>
          <w:rFonts w:hint="eastAsia" w:ascii="黑体" w:hAnsi="黑体" w:eastAsia="黑体" w:cs="黑体"/>
          <w:snapToGrid w:val="0"/>
          <w:spacing w:val="64"/>
          <w:w w:val="100"/>
          <w:sz w:val="52"/>
          <w:szCs w:val="52"/>
        </w:rPr>
      </w:pPr>
      <w:r>
        <w:rPr>
          <w:rFonts w:hint="eastAsia" w:ascii="黑体" w:hAnsi="黑体" w:eastAsia="黑体" w:cs="黑体"/>
          <w:snapToGrid w:val="0"/>
          <w:spacing w:val="64"/>
          <w:w w:val="100"/>
          <w:sz w:val="52"/>
          <w:szCs w:val="52"/>
          <w:lang w:val="en-US" w:eastAsia="zh-CN"/>
        </w:rPr>
        <w:t>团体</w:t>
      </w:r>
      <w:r>
        <w:rPr>
          <w:rFonts w:hint="eastAsia" w:ascii="黑体" w:hAnsi="黑体" w:eastAsia="黑体" w:cs="黑体"/>
          <w:snapToGrid w:val="0"/>
          <w:spacing w:val="64"/>
          <w:w w:val="100"/>
          <w:sz w:val="52"/>
          <w:szCs w:val="52"/>
        </w:rPr>
        <w:t>标准</w:t>
      </w:r>
    </w:p>
    <w:p>
      <w:pPr>
        <w:pStyle w:val="22"/>
        <w:ind w:firstLine="440"/>
        <w:rPr>
          <w:rFonts w:ascii="Times New Roman" w:hAnsi="Times New Roman" w:cs="Times New Roman"/>
        </w:rPr>
      </w:pPr>
    </w:p>
    <w:p>
      <w:pPr>
        <w:pStyle w:val="22"/>
        <w:ind w:firstLine="440"/>
        <w:rPr>
          <w:rFonts w:ascii="Times New Roman" w:hAnsi="Times New Roman" w:cs="Times New Roman"/>
        </w:rPr>
      </w:pPr>
    </w:p>
    <w:p>
      <w:pPr>
        <w:pStyle w:val="35"/>
        <w:framePr w:hAnchor="page" w:x="6668" w:y="14140"/>
      </w:pPr>
      <w:r>
        <mc:AlternateContent>
          <mc:Choice Requires="wps">
            <w:drawing>
              <wp:anchor distT="0" distB="0" distL="0" distR="0" simplePos="0" relativeHeight="251659264" behindDoc="0" locked="1" layoutInCell="1" allowOverlap="1">
                <wp:simplePos x="0" y="0"/>
                <wp:positionH relativeFrom="column">
                  <wp:posOffset>699770</wp:posOffset>
                </wp:positionH>
                <wp:positionV relativeFrom="page">
                  <wp:posOffset>9275445</wp:posOffset>
                </wp:positionV>
                <wp:extent cx="6120130" cy="0"/>
                <wp:effectExtent l="9525" t="7620" r="13970" b="11430"/>
                <wp:wrapNone/>
                <wp:docPr id="1027" name="直接连接符 7"/>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接连接符 7" o:spid="_x0000_s1026" o:spt="20" style="position:absolute;left:0pt;margin-left:55.1pt;margin-top:730.35pt;height:0pt;width:481.9pt;mso-position-vertical-relative:page;z-index:251659264;mso-width-relative:page;mso-height-relative:page;" filled="f" stroked="t" coordsize="21600,21600" o:gfxdata="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iIu9N9cAAAAOAQAADwAAAAAAAAABACAAAAAiAAAAZHJzL2Rvd25yZXYueG1sUEsBAhQA&#10;FAAAAAgAh07iQKuGe1bzAQAA5QMAAA4AAAAAAAAAAQAgAAAAJgEAAGRycy9lMm9Eb2MueG1sUEsF&#10;BgAAAAAGAAYAWQEAAIsFAAAAAA==&#10;">
                <v:fill on="f" focussize="0,0"/>
                <v:stroke color="#000000" joinstyle="round"/>
                <v:imagedata o:title=""/>
                <o:lock v:ext="edit" aspectratio="f"/>
                <w10:anchorlock/>
              </v:line>
            </w:pict>
          </mc:Fallback>
        </mc:AlternateContent>
      </w:r>
      <w:r>
        <w:fldChar w:fldCharType="begin"/>
      </w:r>
      <w:bookmarkStart w:id="0" w:name="SY"/>
      <w:r>
        <w:instrText xml:space="preserve"> FORMTEXT </w:instrText>
      </w:r>
      <w:r>
        <w:fldChar w:fldCharType="separate"/>
      </w:r>
      <w:r>
        <w:t>20XX</w:t>
      </w:r>
      <w:r>
        <w:fldChar w:fldCharType="end"/>
      </w:r>
      <w:bookmarkEnd w:id="0"/>
      <w:r>
        <w:t>-</w:t>
      </w:r>
      <w:bookmarkStart w:id="1" w:name="SM"/>
      <w:r>
        <w:fldChar w:fldCharType="begin"/>
      </w:r>
      <w:r>
        <w:instrText xml:space="preserve"> FORMTEXT </w:instrText>
      </w:r>
      <w:r>
        <w:fldChar w:fldCharType="separate"/>
      </w:r>
      <w:r>
        <w:t>XX</w:t>
      </w:r>
      <w:r>
        <w:fldChar w:fldCharType="end"/>
      </w:r>
      <w:bookmarkEnd w:id="1"/>
      <w:r>
        <w:t>-</w:t>
      </w:r>
      <w:bookmarkStart w:id="2" w:name="SD"/>
      <w:r>
        <w:fldChar w:fldCharType="begin"/>
      </w:r>
      <w:r>
        <w:instrText xml:space="preserve"> FORMTEXT </w:instrText>
      </w:r>
      <w:r>
        <w:fldChar w:fldCharType="separate"/>
      </w:r>
      <w:r>
        <w:t>XX</w:t>
      </w:r>
      <w:r>
        <w:fldChar w:fldCharType="end"/>
      </w:r>
      <w:bookmarkEnd w:id="2"/>
      <w:r>
        <w:t>实施</w:t>
      </w:r>
    </w:p>
    <w:p>
      <w:pPr>
        <w:pStyle w:val="37"/>
        <w:rPr>
          <w:rFonts w:ascii="Times New Roman"/>
        </w:rPr>
      </w:pPr>
      <w:bookmarkStart w:id="3" w:name="fm"/>
      <w:r>
        <w:rPr>
          <w:rFonts w:ascii="Times New Roman"/>
          <w:w w:val="100"/>
        </w:rPr>
        <mc:AlternateContent>
          <mc:Choice Requires="wps">
            <w:drawing>
              <wp:anchor distT="0" distB="0" distL="0" distR="0" simplePos="0" relativeHeight="251659264" behindDoc="1" locked="1" layoutInCell="1" allowOverlap="1">
                <wp:simplePos x="0" y="0"/>
                <wp:positionH relativeFrom="column">
                  <wp:posOffset>1810385</wp:posOffset>
                </wp:positionH>
                <wp:positionV relativeFrom="paragraph">
                  <wp:posOffset>-3942715</wp:posOffset>
                </wp:positionV>
                <wp:extent cx="1270000" cy="304800"/>
                <wp:effectExtent l="3175" t="0" r="3175" b="3175"/>
                <wp:wrapNone/>
                <wp:docPr id="1028" name="矩形 5"/>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wps:wsp>
                  </a:graphicData>
                </a:graphic>
              </wp:anchor>
            </w:drawing>
          </mc:Choice>
          <mc:Fallback>
            <w:pict>
              <v:rect id="矩形 5" o:spid="_x0000_s1026" o:spt="1" style="position:absolute;left:0pt;margin-left:142.55pt;margin-top:-310.45pt;height:24pt;width:100pt;z-index:-251657216;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5te7W2QAAAA0B&#10;AAAPAAAAAAAAAAEAIAAAACIAAABkcnMvZG93bnJldi54bWxQSwECFAAUAAAACACHTuJA5WtVEagB&#10;AABWAwAADgAAAAAAAAABACAAAAAoAQAAZHJzL2Uyb0RvYy54bWxQSwUGAAAAAAYABgBZAQAAQgUA&#10;AAAA&#10;">
                <v:fill on="t" focussize="0,0"/>
                <v:stroke on="f"/>
                <v:imagedata o:title=""/>
                <o:lock v:ext="edit" aspectratio="f"/>
                <w10:anchorlock/>
              </v:rect>
            </w:pict>
          </mc:Fallback>
        </mc:AlternateContent>
      </w:r>
      <w:r>
        <w:rPr>
          <w:rFonts w:ascii="Times New Roman"/>
          <w:w w:val="100"/>
        </w:rPr>
        <mc:AlternateContent>
          <mc:Choice Requires="wps">
            <w:drawing>
              <wp:anchor distT="0" distB="0" distL="0" distR="0" simplePos="0" relativeHeight="251659264" behindDoc="1" locked="1" layoutInCell="1" allowOverlap="1">
                <wp:simplePos x="0" y="0"/>
                <wp:positionH relativeFrom="column">
                  <wp:posOffset>4413885</wp:posOffset>
                </wp:positionH>
                <wp:positionV relativeFrom="paragraph">
                  <wp:posOffset>-7435215</wp:posOffset>
                </wp:positionV>
                <wp:extent cx="1143000" cy="228600"/>
                <wp:effectExtent l="0" t="0" r="3175" b="0"/>
                <wp:wrapNone/>
                <wp:docPr id="1029" name="矩形 4"/>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ps:wsp>
                  </a:graphicData>
                </a:graphic>
              </wp:anchor>
            </w:drawing>
          </mc:Choice>
          <mc:Fallback>
            <w:pict>
              <v:rect id="矩形 4" o:spid="_x0000_s1026" o:spt="1" style="position:absolute;left:0pt;margin-left:347.55pt;margin-top:-585.45pt;height:18pt;width:90pt;z-index:-25165721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fyYoR2gAA&#10;AA8BAAAPAAAAAAAAAAEAIAAAACIAAABkcnMvZG93bnJldi54bWxQSwECFAAUAAAACACHTuJA3teR&#10;QKoBAABWAwAADgAAAAAAAAABACAAAAApAQAAZHJzL2Uyb0RvYy54bWxQSwUGAAAAAAYABgBZAQAA&#10;RQUAAAAA&#10;">
                <v:fill on="t" focussize="0,0"/>
                <v:stroke on="f"/>
                <v:imagedata o:title=""/>
                <o:lock v:ext="edit" aspectratio="f"/>
                <w10:anchorlock/>
              </v:rect>
            </w:pict>
          </mc:Fallback>
        </mc:AlternateContent>
      </w:r>
      <w:r>
        <w:rPr>
          <w:rFonts w:ascii="Times New Roman"/>
        </w:rPr>
        <w:fldChar w:fldCharType="begin"/>
      </w:r>
      <w:r>
        <w:rPr>
          <w:rFonts w:ascii="Times New Roman"/>
        </w:rPr>
        <w:instrText xml:space="preserve"> FORMTEXT </w:instrText>
      </w:r>
      <w:r>
        <w:rPr>
          <w:rFonts w:ascii="Times New Roman"/>
        </w:rPr>
        <w:fldChar w:fldCharType="separate"/>
      </w:r>
      <w:r>
        <w:rPr>
          <w:rFonts w:ascii="Times New Roman"/>
        </w:rPr>
        <w:t>中国工程建设标准化协会</w:t>
      </w:r>
      <w:r>
        <w:rPr>
          <w:rFonts w:ascii="Times New Roman"/>
        </w:rPr>
        <w:fldChar w:fldCharType="end"/>
      </w:r>
      <w:bookmarkEnd w:id="3"/>
      <w:r>
        <w:rPr>
          <w:rFonts w:ascii="Times New Roman"/>
        </w:rPr>
        <w:t> </w:t>
      </w:r>
      <w:r>
        <w:rPr>
          <w:rStyle w:val="36"/>
          <w:rFonts w:ascii="Times New Roman"/>
          <w:szCs w:val="28"/>
        </w:rPr>
        <w:t>发布</w:t>
      </w:r>
    </w:p>
    <w:p>
      <w:pPr>
        <w:pStyle w:val="22"/>
        <w:ind w:firstLine="0" w:firstLineChars="0"/>
        <w:rPr>
          <w:rFonts w:ascii="Times New Roman" w:hAnsi="Times New Roman" w:cs="Times New Roman"/>
        </w:rPr>
      </w:pPr>
      <w:r>
        <mc:AlternateContent>
          <mc:Choice Requires="wps">
            <w:drawing>
              <wp:anchor distT="0" distB="0" distL="0" distR="0" simplePos="0" relativeHeight="251659264" behindDoc="0" locked="0" layoutInCell="1" allowOverlap="1">
                <wp:simplePos x="0" y="0"/>
                <wp:positionH relativeFrom="column">
                  <wp:posOffset>-135255</wp:posOffset>
                </wp:positionH>
                <wp:positionV relativeFrom="paragraph">
                  <wp:posOffset>170815</wp:posOffset>
                </wp:positionV>
                <wp:extent cx="6052820" cy="0"/>
                <wp:effectExtent l="0" t="0" r="0" b="0"/>
                <wp:wrapNone/>
                <wp:docPr id="1030" name="直接箭头连接符 3"/>
                <wp:cNvGraphicFramePr/>
                <a:graphic xmlns:a="http://schemas.openxmlformats.org/drawingml/2006/main">
                  <a:graphicData uri="http://schemas.microsoft.com/office/word/2010/wordprocessingShape">
                    <wps:wsp>
                      <wps:cNvCnPr/>
                      <wps:spPr>
                        <a:xfrm>
                          <a:off x="0" y="0"/>
                          <a:ext cx="6052820" cy="0"/>
                        </a:xfrm>
                        <a:prstGeom prst="straightConnector1">
                          <a:avLst/>
                        </a:prstGeom>
                        <a:ln w="9525" cap="flat" cmpd="sng">
                          <a:solidFill>
                            <a:srgbClr val="000000"/>
                          </a:solidFill>
                          <a:prstDash val="solid"/>
                          <a:round/>
                          <a:headEnd type="none" w="med" len="med"/>
                          <a:tailEnd type="none" w="med" len="med"/>
                        </a:ln>
                      </wps:spPr>
                      <wps:bodyPr/>
                    </wps:wsp>
                  </a:graphicData>
                </a:graphic>
              </wp:anchor>
            </w:drawing>
          </mc:Choice>
          <mc:Fallback>
            <w:pict>
              <v:shape id="直接箭头连接符 3" o:spid="_x0000_s1026" o:spt="32" type="#_x0000_t32" style="position:absolute;left:0pt;margin-left:-10.65pt;margin-top:13.45pt;height:0pt;width:476.6pt;z-index:251659264;mso-width-relative:page;mso-height-relative:page;" filled="f" stroked="t" coordsize="21600,21600" o:gfxdata="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8hI+vWAAAACQEAAA8AAAAAAAAAAQAgAAAAIgAAAGRycy9k&#10;b3ducmV2LnhtbFBLAQIUABQAAAAIAIdO4kCtSzECBAIAAPkDAAAOAAAAAAAAAAEAIAAAACUBAABk&#10;cnMvZTJvRG9jLnhtbFBLBQYAAAAABgAGAFkBAACbBQAAAAA=&#10;">
                <v:fill on="f" focussize="0,0"/>
                <v:stroke color="#000000" joinstyle="round"/>
                <v:imagedata o:title=""/>
                <o:lock v:ext="edit" aspectratio="f"/>
              </v:shape>
            </w:pict>
          </mc:Fallback>
        </mc:AlternateContent>
      </w:r>
    </w:p>
    <w:p>
      <w:pPr>
        <w:pStyle w:val="31"/>
        <w:framePr w:x="1415" w:y="6594"/>
        <w:spacing w:line="240" w:lineRule="auto"/>
        <w:rPr>
          <w:rFonts w:ascii="Times New Roman" w:eastAsia="黑体"/>
          <w:sz w:val="52"/>
          <w:szCs w:val="20"/>
        </w:rPr>
      </w:pPr>
      <w:r>
        <w:rPr>
          <w:rFonts w:ascii="Times New Roman" w:eastAsia="黑体"/>
          <w:sz w:val="52"/>
          <w:szCs w:val="20"/>
        </w:rPr>
        <w:t>绿色建材评价 球墨铸铁管及管件</w:t>
      </w:r>
    </w:p>
    <w:p>
      <w:pPr>
        <w:pStyle w:val="31"/>
        <w:keepNext w:val="0"/>
        <w:keepLines w:val="0"/>
        <w:pageBreakBefore w:val="0"/>
        <w:framePr w:x="1415" w:y="6594"/>
        <w:widowControl w:val="0"/>
        <w:kinsoku/>
        <w:wordWrap/>
        <w:overflowPunct/>
        <w:topLinePunct w:val="0"/>
        <w:autoSpaceDE/>
        <w:autoSpaceDN/>
        <w:bidi w:val="0"/>
        <w:adjustRightInd/>
        <w:snapToGrid/>
        <w:spacing w:before="0" w:line="240" w:lineRule="auto"/>
        <w:textAlignment w:val="center"/>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rPr>
        <w:t>Green</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building</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material</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assessment—</w:t>
      </w:r>
      <w:r>
        <w:rPr>
          <w:rFonts w:hint="eastAsia" w:ascii="Times New Roman" w:eastAsia="黑体" w:cs="Times New Roman"/>
          <w:sz w:val="28"/>
          <w:szCs w:val="28"/>
          <w:lang w:val="en-US" w:eastAsia="zh-CN"/>
        </w:rPr>
        <w:t>Ductile iron pipes and fittings</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32"/>
              <w:framePr w:x="1415" w:y="6594"/>
              <w:rPr>
                <w:rFonts w:ascii="Times New Roman"/>
                <w:sz w:val="44"/>
                <w:szCs w:val="44"/>
              </w:rPr>
            </w:pPr>
            <w:r>
              <w:rPr>
                <w:rFonts w:hint="eastAsia" w:ascii="黑体" w:hAnsi="黑体" w:eastAsia="黑体" w:cs="黑体"/>
                <w:color w:val="000000"/>
                <w:sz w:val="28"/>
                <w:szCs w:val="28"/>
              </w:rPr>
              <w:t>（</w:t>
            </w:r>
            <w:r>
              <w:rPr>
                <w:rFonts w:hint="eastAsia" w:ascii="黑体" w:hAnsi="黑体" w:eastAsia="黑体" w:cs="黑体"/>
                <w:color w:val="000000"/>
                <w:sz w:val="28"/>
                <w:szCs w:val="28"/>
                <w:lang w:eastAsia="zh-CN"/>
              </w:rPr>
              <w:t>征求意见稿</w:t>
            </w:r>
            <w:r>
              <w:rPr>
                <w:rFonts w:hint="eastAsia" w:ascii="黑体" w:hAnsi="黑体" w:eastAsia="黑体" w:cs="黑体"/>
                <w:color w:val="000000"/>
                <w:sz w:val="28"/>
                <w:szCs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33"/>
              <w:framePr w:x="1415" w:y="6594"/>
              <w:rPr>
                <w:rFonts w:ascii="Times New Roman"/>
              </w:rPr>
            </w:pPr>
          </w:p>
        </w:tc>
      </w:tr>
    </w:tbl>
    <w:p>
      <w:pPr>
        <w:pStyle w:val="34"/>
        <w:framePr w:hAnchor="page" w:x="1208" w:y="14140"/>
      </w:pPr>
      <w:r>
        <w:fldChar w:fldCharType="begin"/>
      </w:r>
      <w:bookmarkStart w:id="4" w:name="FY"/>
      <w:r>
        <w:instrText xml:space="preserve"> FORMTEXT </w:instrText>
      </w:r>
      <w:r>
        <w:fldChar w:fldCharType="separate"/>
      </w:r>
      <w:r>
        <w:t>20XX</w:t>
      </w:r>
      <w:r>
        <w:fldChar w:fldCharType="end"/>
      </w:r>
      <w:bookmarkEnd w:id="4"/>
      <w:r>
        <w:t>-</w:t>
      </w:r>
      <w:r>
        <w:fldChar w:fldCharType="begin"/>
      </w:r>
      <w:r>
        <w:instrText xml:space="preserve"> FORMTEXT </w:instrText>
      </w:r>
      <w:r>
        <w:fldChar w:fldCharType="separate"/>
      </w:r>
      <w:r>
        <w:t>XX</w:t>
      </w:r>
      <w:r>
        <w:fldChar w:fldCharType="end"/>
      </w:r>
      <w:r>
        <w:t>-</w:t>
      </w:r>
      <w:bookmarkStart w:id="5" w:name="FD"/>
      <w:r>
        <w:fldChar w:fldCharType="begin"/>
      </w:r>
      <w:r>
        <w:instrText xml:space="preserve"> FORMTEXT </w:instrText>
      </w:r>
      <w:r>
        <w:fldChar w:fldCharType="separate"/>
      </w:r>
      <w:r>
        <w:t>XX</w:t>
      </w:r>
      <w:r>
        <w:fldChar w:fldCharType="end"/>
      </w:r>
      <w:bookmarkEnd w:id="5"/>
      <w:r>
        <w:t>发布</w:t>
      </w:r>
      <w:r>
        <mc:AlternateContent>
          <mc:Choice Requires="wps">
            <w:drawing>
              <wp:anchor distT="0" distB="0" distL="0" distR="0" simplePos="0" relativeHeight="251659264" behindDoc="0" locked="1" layoutInCell="1" allowOverlap="1">
                <wp:simplePos x="0" y="0"/>
                <wp:positionH relativeFrom="column">
                  <wp:posOffset>-66675</wp:posOffset>
                </wp:positionH>
                <wp:positionV relativeFrom="page">
                  <wp:posOffset>9275445</wp:posOffset>
                </wp:positionV>
                <wp:extent cx="6120130" cy="0"/>
                <wp:effectExtent l="13970" t="7620" r="9525" b="11430"/>
                <wp:wrapNone/>
                <wp:docPr id="1031" name="直接连接符 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接连接符 1" o:spid="_x0000_s1026" o:spt="20" style="position:absolute;left:0pt;margin-left:-5.25pt;margin-top:730.35pt;height:0pt;width:481.9pt;mso-position-vertical-relative:page;z-index:251659264;mso-width-relative:page;mso-height-relative:page;" filled="f" stroked="t" coordsize="21600,21600" o:gfxdata="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JyfPrYAAAADQEAAA8AAAAAAAAAAQAgAAAAIgAAAGRycy9kb3ducmV2LnhtbFBLAQIU&#10;ABQAAAAIAIdO4kBZJdJ68wEAAOUDAAAOAAAAAAAAAAEAIAAAACcBAABkcnMvZTJvRG9jLnhtbFBL&#10;BQYAAAAABgAGAFkBAACMBQAAAAA=&#10;">
                <v:fill on="f" focussize="0,0"/>
                <v:stroke color="#000000" joinstyle="round"/>
                <v:imagedata o:title=""/>
                <o:lock v:ext="edit" aspectratio="f"/>
                <w10:anchorlock/>
              </v:line>
            </w:pict>
          </mc:Fallback>
        </mc:AlternateContent>
      </w:r>
    </w:p>
    <w:p>
      <w:pPr>
        <w:pStyle w:val="26"/>
        <w:rPr>
          <w:rFonts w:ascii="Times New Roman"/>
        </w:rPr>
      </w:pPr>
      <w:bookmarkStart w:id="6" w:name="_Toc13004"/>
      <w:bookmarkStart w:id="7" w:name="_Toc25587"/>
      <w:r>
        <w:rPr>
          <w:rFonts w:ascii="Times New Roman"/>
        </w:rPr>
        <w:t>前</w:t>
      </w:r>
      <w:bookmarkStart w:id="8" w:name="BKQY"/>
      <w:r>
        <w:rPr>
          <w:rFonts w:ascii="Times New Roman"/>
        </w:rPr>
        <w:t>  言</w:t>
      </w:r>
      <w:bookmarkEnd w:id="6"/>
      <w:bookmarkEnd w:id="7"/>
      <w:bookmarkEnd w:id="8"/>
    </w:p>
    <w:p>
      <w:pPr>
        <w:ind w:firstLine="420"/>
      </w:pPr>
      <w:r>
        <w:t>本文件按中国工程建设标准化协会《关于印发&lt;2021年第一批工程建设协会标准制订、修订计划&gt;的通知》（建标协字[2021]11号）的要求制定。</w:t>
      </w:r>
    </w:p>
    <w:p>
      <w:pPr>
        <w:ind w:firstLine="420"/>
      </w:pPr>
      <w:r>
        <w:t>请注意本文件的某些内容可能直接或间接涉及专利，本文件的发布机构不承担识别这些专利的责任。</w:t>
      </w:r>
    </w:p>
    <w:p>
      <w:pPr>
        <w:ind w:firstLine="420"/>
        <w:rPr>
          <w:color w:val="000000"/>
          <w:szCs w:val="21"/>
        </w:rPr>
      </w:pPr>
      <w:r>
        <w:t>本文件由中国工程建设标准化协会、绿色建筑与生态城区分会归口管理</w:t>
      </w:r>
      <w:r>
        <w:rPr>
          <w:color w:val="000000"/>
          <w:szCs w:val="21"/>
        </w:rPr>
        <w:t>。</w:t>
      </w:r>
    </w:p>
    <w:p>
      <w:pPr>
        <w:ind w:firstLine="420"/>
        <w:rPr>
          <w:color w:val="000000"/>
          <w:spacing w:val="-4"/>
          <w:szCs w:val="21"/>
        </w:rPr>
      </w:pPr>
      <w:r>
        <w:rPr>
          <w:color w:val="000000"/>
          <w:spacing w:val="-4"/>
          <w:szCs w:val="21"/>
        </w:rPr>
        <w:t>本文件负责起草单位：住房和城乡建设部科技与产业化发展中心、中冶检测认证有限公司。</w:t>
      </w:r>
    </w:p>
    <w:p>
      <w:pPr>
        <w:ind w:firstLine="420"/>
        <w:jc w:val="left"/>
        <w:rPr>
          <w:rFonts w:hint="eastAsia" w:eastAsia="宋体"/>
          <w:color w:val="000000"/>
          <w:szCs w:val="21"/>
          <w:lang w:eastAsia="zh-CN"/>
        </w:rPr>
      </w:pPr>
      <w:r>
        <w:rPr>
          <w:color w:val="000000"/>
          <w:spacing w:val="-4"/>
          <w:szCs w:val="21"/>
        </w:rPr>
        <w:t>本文件参加起草单位：</w:t>
      </w:r>
      <w:r>
        <w:rPr>
          <w:color w:val="000000"/>
          <w:szCs w:val="21"/>
        </w:rPr>
        <w:t>新兴河北工程技术有限公司、国铭铸管股份有限公司、福建台明铸管科技股份有限公司</w:t>
      </w:r>
      <w:r>
        <w:rPr>
          <w:rFonts w:hint="eastAsia"/>
          <w:color w:val="000000"/>
          <w:szCs w:val="21"/>
          <w:lang w:eastAsia="zh-CN"/>
        </w:rPr>
        <w:t>、安钢集团永通球墨铸铁管有限责任公司</w:t>
      </w:r>
    </w:p>
    <w:p>
      <w:pPr>
        <w:keepNext w:val="0"/>
        <w:keepLines w:val="0"/>
        <w:widowControl/>
        <w:suppressLineNumbers w:val="0"/>
        <w:ind w:firstLine="384" w:firstLineChars="200"/>
        <w:jc w:val="left"/>
      </w:pPr>
      <w:r>
        <w:rPr>
          <w:color w:val="000000"/>
          <w:szCs w:val="21"/>
        </w:rPr>
        <w:t>本文件主要起草人：</w:t>
      </w:r>
    </w:p>
    <w:p>
      <w:pPr>
        <w:ind w:firstLine="420"/>
        <w:jc w:val="left"/>
        <w:rPr>
          <w:rFonts w:hint="default" w:eastAsia="宋体"/>
          <w:color w:val="000000"/>
          <w:spacing w:val="-4"/>
          <w:szCs w:val="21"/>
          <w:lang w:val="en-US" w:eastAsia="zh-CN"/>
        </w:rPr>
      </w:pPr>
    </w:p>
    <w:p>
      <w:pPr>
        <w:ind w:firstLine="420"/>
        <w:jc w:val="left"/>
        <w:rPr>
          <w:color w:val="000000"/>
          <w:szCs w:val="21"/>
        </w:rPr>
      </w:pPr>
      <w:r>
        <w:rPr>
          <w:color w:val="000000"/>
          <w:szCs w:val="21"/>
        </w:rPr>
        <w:t>本文件审查人：</w:t>
      </w:r>
    </w:p>
    <w:p>
      <w:pPr>
        <w:pStyle w:val="22"/>
        <w:tabs>
          <w:tab w:val="left" w:pos="3527"/>
        </w:tabs>
        <w:spacing w:line="360" w:lineRule="auto"/>
        <w:ind w:firstLine="403"/>
        <w:rPr>
          <w:rFonts w:ascii="Times New Roman" w:hAnsi="Times New Roman" w:cs="Times New Roman"/>
        </w:rPr>
      </w:pPr>
      <w:r>
        <w:rPr>
          <w:rFonts w:ascii="Times New Roman" w:hAnsi="Times New Roman" w:cs="Times New Roman"/>
        </w:rPr>
        <w:tab/>
      </w:r>
    </w:p>
    <w:p>
      <w:pPr>
        <w:autoSpaceDE w:val="0"/>
        <w:autoSpaceDN w:val="0"/>
        <w:adjustRightInd w:val="0"/>
        <w:spacing w:line="276" w:lineRule="auto"/>
        <w:jc w:val="left"/>
        <w:rPr>
          <w:rFonts w:eastAsia="黑体"/>
          <w:sz w:val="24"/>
        </w:rPr>
        <w:sectPr>
          <w:headerReference r:id="rId5" w:type="default"/>
          <w:footerReference r:id="rId6" w:type="default"/>
          <w:footerReference r:id="rId7" w:type="even"/>
          <w:pgSz w:w="11906" w:h="16838"/>
          <w:pgMar w:top="1418" w:right="1134" w:bottom="1135" w:left="1418" w:header="851" w:footer="751" w:gutter="0"/>
          <w:pgBorders>
            <w:top w:val="none" w:sz="0" w:space="0"/>
            <w:left w:val="none" w:sz="0" w:space="0"/>
            <w:bottom w:val="none" w:sz="0" w:space="0"/>
            <w:right w:val="none" w:sz="0" w:space="0"/>
          </w:pgBorders>
          <w:pgNumType w:start="1"/>
          <w:cols w:space="720" w:num="1"/>
          <w:titlePg/>
          <w:docGrid w:type="linesAndChars" w:linePitch="291" w:charSpace="-3787"/>
        </w:sectPr>
      </w:pPr>
    </w:p>
    <w:p>
      <w:pPr>
        <w:autoSpaceDE w:val="0"/>
        <w:autoSpaceDN w:val="0"/>
        <w:adjustRightInd w:val="0"/>
        <w:spacing w:line="276" w:lineRule="auto"/>
        <w:jc w:val="center"/>
        <w:rPr>
          <w:sz w:val="32"/>
          <w:szCs w:val="32"/>
        </w:rPr>
      </w:pPr>
      <w:r>
        <w:rPr>
          <w:sz w:val="32"/>
          <w:szCs w:val="32"/>
        </w:rPr>
        <w:t>目    次</w:t>
      </w:r>
    </w:p>
    <w:p>
      <w:pPr>
        <w:pStyle w:val="41"/>
        <w:rPr>
          <w:rFonts w:ascii="Times New Roman" w:hAnsi="Times New Roman" w:cs="Times New Roman"/>
        </w:rPr>
      </w:pPr>
    </w:p>
    <w:p>
      <w:pPr>
        <w:pStyle w:val="11"/>
        <w:tabs>
          <w:tab w:val="right" w:leader="dot" w:pos="8306"/>
        </w:tabs>
      </w:pPr>
      <w:r>
        <w:fldChar w:fldCharType="begin"/>
      </w:r>
      <w:r>
        <w:instrText xml:space="preserve">TOC \o "1-3" \f \h \u </w:instrText>
      </w:r>
      <w:r>
        <w:fldChar w:fldCharType="separate"/>
      </w:r>
      <w:r>
        <w:fldChar w:fldCharType="begin"/>
      </w:r>
      <w:r>
        <w:instrText xml:space="preserve"> HYPERLINK \l _Toc25587 </w:instrText>
      </w:r>
      <w:r>
        <w:fldChar w:fldCharType="separate"/>
      </w:r>
      <w:r>
        <w:rPr>
          <w:rFonts w:ascii="Times New Roman"/>
          <w:b/>
          <w:bCs/>
        </w:rPr>
        <w:t>前</w:t>
      </w:r>
      <w:r>
        <w:rPr>
          <w:rFonts w:hint="eastAsia" w:ascii="Times New Roman"/>
          <w:b/>
          <w:bCs/>
          <w:lang w:val="en-US" w:eastAsia="zh-CN"/>
        </w:rPr>
        <w:t xml:space="preserve">  </w:t>
      </w:r>
      <w:r>
        <w:rPr>
          <w:rFonts w:ascii="Times New Roman"/>
          <w:b/>
          <w:bCs/>
        </w:rPr>
        <w:t>言</w:t>
      </w:r>
      <w:r>
        <w:tab/>
      </w:r>
      <w:r>
        <w:fldChar w:fldCharType="begin"/>
      </w:r>
      <w:r>
        <w:instrText xml:space="preserve"> PAGEREF _Toc25587 \h </w:instrText>
      </w:r>
      <w:r>
        <w:fldChar w:fldCharType="separate"/>
      </w:r>
      <w:r>
        <w:t>2</w:t>
      </w:r>
      <w:r>
        <w:fldChar w:fldCharType="end"/>
      </w:r>
      <w:r>
        <w:fldChar w:fldCharType="end"/>
      </w:r>
    </w:p>
    <w:p>
      <w:pPr>
        <w:pStyle w:val="11"/>
        <w:tabs>
          <w:tab w:val="right" w:leader="dot" w:pos="8306"/>
        </w:tabs>
      </w:pPr>
      <w:r>
        <w:fldChar w:fldCharType="begin"/>
      </w:r>
      <w:r>
        <w:instrText xml:space="preserve"> HYPERLINK \l _Toc29955 </w:instrText>
      </w:r>
      <w:r>
        <w:fldChar w:fldCharType="separate"/>
      </w:r>
      <w:r>
        <w:rPr>
          <w:rFonts w:hint="eastAsia" w:ascii="黑体" w:hAnsi="黑体" w:eastAsia="黑体" w:cs="黑体"/>
          <w:kern w:val="0"/>
          <w:highlight w:val="none"/>
        </w:rPr>
        <w:t>1 范围</w:t>
      </w:r>
      <w:r>
        <w:tab/>
      </w:r>
      <w:r>
        <w:fldChar w:fldCharType="begin"/>
      </w:r>
      <w:r>
        <w:instrText xml:space="preserve"> PAGEREF _Toc29955 \h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_Toc9211 </w:instrText>
      </w:r>
      <w:r>
        <w:fldChar w:fldCharType="separate"/>
      </w:r>
      <w:r>
        <w:rPr>
          <w:rFonts w:hint="eastAsia" w:ascii="黑体" w:hAnsi="黑体" w:eastAsia="黑体" w:cs="黑体"/>
          <w:kern w:val="0"/>
          <w:highlight w:val="none"/>
        </w:rPr>
        <w:t>2 规范性引用文件</w:t>
      </w:r>
      <w:r>
        <w:tab/>
      </w:r>
      <w:r>
        <w:fldChar w:fldCharType="begin"/>
      </w:r>
      <w:r>
        <w:instrText xml:space="preserve"> PAGEREF _Toc9211 \h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_Toc28823 </w:instrText>
      </w:r>
      <w:r>
        <w:fldChar w:fldCharType="separate"/>
      </w:r>
      <w:r>
        <w:rPr>
          <w:rFonts w:hint="eastAsia" w:ascii="黑体" w:hAnsi="黑体" w:eastAsia="黑体" w:cs="黑体"/>
          <w:kern w:val="0"/>
          <w:highlight w:val="none"/>
        </w:rPr>
        <w:t>3 术语与定义</w:t>
      </w:r>
      <w:r>
        <w:tab/>
      </w:r>
      <w:r>
        <w:fldChar w:fldCharType="begin"/>
      </w:r>
      <w:r>
        <w:instrText xml:space="preserve"> PAGEREF _Toc28823 \h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_Toc12562 </w:instrText>
      </w:r>
      <w:r>
        <w:fldChar w:fldCharType="separate"/>
      </w:r>
      <w:r>
        <w:rPr>
          <w:rFonts w:hint="eastAsia" w:ascii="黑体" w:hAnsi="黑体" w:eastAsia="黑体" w:cs="黑体"/>
          <w:kern w:val="0"/>
          <w:highlight w:val="none"/>
        </w:rPr>
        <w:t>4 评价要求</w:t>
      </w:r>
      <w:r>
        <w:tab/>
      </w:r>
      <w:r>
        <w:fldChar w:fldCharType="begin"/>
      </w:r>
      <w:r>
        <w:instrText xml:space="preserve"> PAGEREF _Toc12562 \h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_Toc31867 </w:instrText>
      </w:r>
      <w:r>
        <w:fldChar w:fldCharType="separate"/>
      </w:r>
      <w:r>
        <w:rPr>
          <w:rFonts w:hint="eastAsia" w:ascii="黑体" w:hAnsi="黑体" w:eastAsia="黑体" w:cs="黑体"/>
          <w:kern w:val="0"/>
          <w:highlight w:val="none"/>
        </w:rPr>
        <w:t>5 评价方法</w:t>
      </w:r>
      <w:r>
        <w:tab/>
      </w:r>
      <w:r>
        <w:fldChar w:fldCharType="begin"/>
      </w:r>
      <w:r>
        <w:instrText xml:space="preserve"> PAGEREF _Toc31867 \h </w:instrText>
      </w:r>
      <w:r>
        <w:fldChar w:fldCharType="separate"/>
      </w:r>
      <w:r>
        <w:t>7</w:t>
      </w:r>
      <w:r>
        <w:fldChar w:fldCharType="end"/>
      </w:r>
      <w:r>
        <w:fldChar w:fldCharType="end"/>
      </w:r>
    </w:p>
    <w:p>
      <w:pPr>
        <w:pStyle w:val="11"/>
        <w:tabs>
          <w:tab w:val="right" w:leader="dot" w:pos="8306"/>
        </w:tabs>
      </w:pPr>
      <w:r>
        <w:fldChar w:fldCharType="begin"/>
      </w:r>
      <w:r>
        <w:instrText xml:space="preserve"> HYPERLINK \l _Toc18177 </w:instrText>
      </w:r>
      <w:r>
        <w:fldChar w:fldCharType="separate"/>
      </w:r>
      <w:r>
        <w:rPr>
          <w:rFonts w:hint="eastAsia" w:ascii="黑体" w:hAnsi="黑体" w:eastAsia="黑体" w:cs="黑体"/>
          <w:kern w:val="0"/>
          <w:szCs w:val="28"/>
          <w:highlight w:val="none"/>
          <w:lang w:val="en-US" w:eastAsia="zh-CN"/>
        </w:rPr>
        <w:t>附录A（规范性）</w:t>
      </w:r>
      <w:r>
        <w:rPr>
          <w:rFonts w:hint="eastAsia" w:ascii="黑体" w:hAnsi="黑体" w:eastAsia="黑体" w:cs="黑体"/>
          <w:color w:val="000000"/>
          <w:kern w:val="0"/>
          <w:sz w:val="21"/>
          <w:szCs w:val="21"/>
          <w:lang w:val="en-US" w:eastAsia="zh-CN"/>
        </w:rPr>
        <w:t>评价指标计算方法</w:t>
      </w:r>
      <w:r>
        <w:tab/>
      </w:r>
      <w:r>
        <w:fldChar w:fldCharType="begin"/>
      </w:r>
      <w:r>
        <w:instrText xml:space="preserve"> PAGEREF _Toc18177 \h </w:instrText>
      </w:r>
      <w:r>
        <w:fldChar w:fldCharType="separate"/>
      </w:r>
      <w:r>
        <w:t>8</w:t>
      </w:r>
      <w:r>
        <w:fldChar w:fldCharType="end"/>
      </w:r>
      <w:r>
        <w:fldChar w:fldCharType="end"/>
      </w:r>
    </w:p>
    <w:p>
      <w:pPr>
        <w:rPr>
          <w:rFonts w:eastAsia="黑体"/>
          <w:sz w:val="24"/>
        </w:rPr>
      </w:pPr>
      <w:r>
        <w:fldChar w:fldCharType="end"/>
      </w:r>
    </w:p>
    <w:p>
      <w:pPr>
        <w:autoSpaceDE w:val="0"/>
        <w:autoSpaceDN w:val="0"/>
        <w:adjustRightInd w:val="0"/>
        <w:spacing w:line="276" w:lineRule="auto"/>
        <w:jc w:val="center"/>
        <w:rPr>
          <w:rFonts w:eastAsia="黑体"/>
          <w:sz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2"/>
        <w:spacing w:before="291" w:beforeLines="100" w:after="291" w:afterLines="100" w:line="360" w:lineRule="auto"/>
        <w:ind w:firstLine="0" w:firstLineChars="0"/>
        <w:jc w:val="center"/>
        <w:outlineLvl w:val="0"/>
        <w:rPr>
          <w:rFonts w:hint="eastAsia" w:ascii="等线 Light" w:hAnsi="等线 Light" w:eastAsia="黑体" w:cs="Times New Roman"/>
          <w:b/>
          <w:bCs/>
          <w:kern w:val="2"/>
          <w:sz w:val="32"/>
          <w:szCs w:val="32"/>
          <w:highlight w:val="none"/>
        </w:rPr>
      </w:pPr>
      <w:bookmarkStart w:id="9" w:name="_Toc7119"/>
      <w:bookmarkStart w:id="10" w:name="_Toc4952"/>
      <w:bookmarkStart w:id="11" w:name="_Toc16636"/>
      <w:r>
        <w:rPr>
          <w:rFonts w:hint="eastAsia" w:ascii="等线 Light" w:hAnsi="等线 Light" w:eastAsia="黑体" w:cs="Times New Roman"/>
          <w:b/>
          <w:bCs/>
          <w:kern w:val="2"/>
          <w:sz w:val="32"/>
          <w:szCs w:val="32"/>
          <w:highlight w:val="none"/>
        </w:rPr>
        <w:t>绿色建材评价 球墨铸铁管及管件</w:t>
      </w:r>
      <w:bookmarkEnd w:id="9"/>
      <w:bookmarkEnd w:id="10"/>
      <w:bookmarkEnd w:id="11"/>
    </w:p>
    <w:p>
      <w:pPr>
        <w:pStyle w:val="22"/>
        <w:spacing w:before="291" w:beforeLines="100" w:after="291" w:afterLines="100" w:line="360" w:lineRule="auto"/>
        <w:ind w:firstLine="0" w:firstLineChars="0"/>
        <w:outlineLvl w:val="0"/>
        <w:rPr>
          <w:rFonts w:hint="eastAsia" w:ascii="黑体" w:hAnsi="黑体" w:eastAsia="黑体" w:cs="黑体"/>
          <w:kern w:val="0"/>
          <w:sz w:val="21"/>
          <w:highlight w:val="none"/>
        </w:rPr>
      </w:pPr>
      <w:bookmarkStart w:id="12" w:name="_Toc13679"/>
      <w:bookmarkStart w:id="13" w:name="_Toc29955"/>
      <w:r>
        <w:rPr>
          <w:rFonts w:hint="eastAsia" w:ascii="黑体" w:hAnsi="黑体" w:eastAsia="黑体" w:cs="黑体"/>
          <w:kern w:val="0"/>
          <w:sz w:val="21"/>
          <w:highlight w:val="none"/>
        </w:rPr>
        <w:t>1 范围</w:t>
      </w:r>
      <w:bookmarkEnd w:id="12"/>
      <w:bookmarkEnd w:id="13"/>
    </w:p>
    <w:p>
      <w:pPr>
        <w:pStyle w:val="43"/>
        <w:rPr>
          <w:rFonts w:hint="eastAsia"/>
          <w:highlight w:val="none"/>
        </w:rPr>
      </w:pPr>
      <w:r>
        <w:rPr>
          <w:rFonts w:hint="eastAsia"/>
        </w:rPr>
        <w:t>本标准规定</w:t>
      </w:r>
      <w:r>
        <w:rPr>
          <w:rFonts w:hint="eastAsia"/>
          <w:highlight w:val="none"/>
        </w:rPr>
        <w:t>了</w:t>
      </w:r>
      <w:r>
        <w:rPr>
          <w:highlight w:val="none"/>
        </w:rPr>
        <w:t>水及燃气用球墨铸铁管及管件和</w:t>
      </w:r>
      <w:r>
        <w:rPr>
          <w:rFonts w:hint="eastAsia"/>
          <w:highlight w:val="none"/>
          <w:lang w:val="en-US" w:eastAsia="zh-CN"/>
        </w:rPr>
        <w:t>排</w:t>
      </w:r>
      <w:r>
        <w:rPr>
          <w:highlight w:val="none"/>
        </w:rPr>
        <w:t>水用球墨铸铁管及管件产品</w:t>
      </w:r>
      <w:r>
        <w:rPr>
          <w:rFonts w:hint="eastAsia"/>
          <w:highlight w:val="none"/>
        </w:rPr>
        <w:t>绿色建材评价的术语和定义、评价要求和评价方法。</w:t>
      </w:r>
    </w:p>
    <w:p>
      <w:pPr>
        <w:pStyle w:val="43"/>
        <w:rPr>
          <w:rFonts w:hint="eastAsia"/>
        </w:rPr>
      </w:pPr>
      <w:r>
        <w:rPr>
          <w:rFonts w:hint="eastAsia"/>
          <w:highlight w:val="none"/>
        </w:rPr>
        <w:t>本标准适用于</w:t>
      </w:r>
      <w:r>
        <w:rPr>
          <w:highlight w:val="none"/>
        </w:rPr>
        <w:t>水及燃气用球墨铸铁管及管件和</w:t>
      </w:r>
      <w:r>
        <w:rPr>
          <w:rFonts w:hint="eastAsia"/>
          <w:highlight w:val="none"/>
          <w:lang w:eastAsia="zh-CN"/>
        </w:rPr>
        <w:t>排水</w:t>
      </w:r>
      <w:r>
        <w:rPr>
          <w:highlight w:val="none"/>
        </w:rPr>
        <w:t>用球墨</w:t>
      </w:r>
      <w:r>
        <w:t>铸铁管及管件产品</w:t>
      </w:r>
      <w:r>
        <w:rPr>
          <w:rFonts w:hint="eastAsia"/>
        </w:rPr>
        <w:t>的绿色建材评价。</w:t>
      </w:r>
    </w:p>
    <w:p>
      <w:pPr>
        <w:pStyle w:val="22"/>
        <w:spacing w:before="291" w:beforeLines="100" w:after="291" w:afterLines="100" w:line="360" w:lineRule="auto"/>
        <w:ind w:firstLine="0" w:firstLineChars="0"/>
        <w:outlineLvl w:val="0"/>
        <w:rPr>
          <w:rFonts w:hint="eastAsia" w:ascii="黑体" w:hAnsi="黑体" w:eastAsia="黑体" w:cs="黑体"/>
          <w:kern w:val="0"/>
          <w:sz w:val="21"/>
          <w:highlight w:val="none"/>
        </w:rPr>
      </w:pPr>
      <w:bookmarkStart w:id="14" w:name="_Toc31490"/>
      <w:bookmarkStart w:id="15" w:name="_Toc522104995"/>
      <w:bookmarkStart w:id="16" w:name="_Toc55824730"/>
      <w:bookmarkStart w:id="17" w:name="_Toc405298513"/>
      <w:bookmarkStart w:id="18" w:name="_Toc405298578"/>
      <w:bookmarkStart w:id="19" w:name="_Toc9211"/>
      <w:r>
        <w:rPr>
          <w:rFonts w:hint="eastAsia" w:ascii="黑体" w:hAnsi="黑体" w:eastAsia="黑体" w:cs="黑体"/>
          <w:kern w:val="0"/>
          <w:sz w:val="21"/>
          <w:highlight w:val="none"/>
        </w:rPr>
        <w:t>2 规范性引用文件</w:t>
      </w:r>
      <w:bookmarkEnd w:id="14"/>
      <w:bookmarkEnd w:id="15"/>
      <w:bookmarkEnd w:id="16"/>
      <w:bookmarkEnd w:id="17"/>
      <w:bookmarkEnd w:id="18"/>
      <w:bookmarkEnd w:id="19"/>
    </w:p>
    <w:p>
      <w:pPr>
        <w:ind w:firstLine="420" w:firstLineChars="200"/>
      </w:pPr>
      <w:r>
        <w:rPr>
          <w:rFonts w:hint="eastAsia"/>
        </w:rPr>
        <w:t>下列文件对于本文件的应用是必不可少的。凡是注日期的引用文件,仅注日期的版本适用于本文件。凡是不注日期的引用文件</w:t>
      </w:r>
      <w:r>
        <w:rPr>
          <w:rFonts w:hint="eastAsia"/>
          <w:lang w:eastAsia="zh-CN"/>
        </w:rPr>
        <w:t>，</w:t>
      </w:r>
      <w:r>
        <w:rPr>
          <w:rFonts w:hint="eastAsia"/>
        </w:rPr>
        <w:t>其最新版本</w:t>
      </w:r>
      <w:r>
        <w:rPr>
          <w:rFonts w:hint="eastAsia"/>
          <w:lang w:eastAsia="zh-CN"/>
        </w:rPr>
        <w:t>（</w:t>
      </w:r>
      <w:r>
        <w:rPr>
          <w:rFonts w:hint="eastAsia"/>
        </w:rPr>
        <w:t>包括所有的修改单</w:t>
      </w:r>
      <w:r>
        <w:rPr>
          <w:rFonts w:hint="eastAsia"/>
          <w:lang w:eastAsia="zh-CN"/>
        </w:rPr>
        <w:t>）</w:t>
      </w:r>
      <w:r>
        <w:rPr>
          <w:rFonts w:hint="eastAsia"/>
        </w:rPr>
        <w:t>适用于本文件。</w:t>
      </w:r>
    </w:p>
    <w:p>
      <w:pPr>
        <w:ind w:firstLine="420" w:firstLineChars="200"/>
        <w:rPr>
          <w:rFonts w:hint="eastAsia"/>
          <w:color w:val="auto"/>
        </w:rPr>
      </w:pPr>
      <w:r>
        <w:rPr>
          <w:rFonts w:hint="eastAsia"/>
          <w:color w:val="auto"/>
        </w:rPr>
        <w:t>GB</w:t>
      </w:r>
      <w:r>
        <w:rPr>
          <w:rFonts w:hint="eastAsia"/>
          <w:color w:val="auto"/>
          <w:lang w:val="en-US" w:eastAsia="zh-CN"/>
        </w:rPr>
        <w:t xml:space="preserve"> </w:t>
      </w:r>
      <w:r>
        <w:rPr>
          <w:rFonts w:hint="eastAsia"/>
          <w:color w:val="auto"/>
        </w:rPr>
        <w:t>5085.3</w:t>
      </w:r>
      <w:r>
        <w:rPr>
          <w:rFonts w:hint="eastAsia"/>
          <w:color w:val="auto"/>
          <w:lang w:val="en-US" w:eastAsia="zh-CN"/>
        </w:rPr>
        <w:t xml:space="preserve">   </w:t>
      </w:r>
      <w:r>
        <w:rPr>
          <w:rFonts w:hint="eastAsia"/>
          <w:color w:val="auto"/>
        </w:rPr>
        <w:t>危险废物鉴别标准浸出毒性鉴别</w:t>
      </w:r>
    </w:p>
    <w:p>
      <w:pPr>
        <w:ind w:firstLine="420" w:firstLineChars="200"/>
        <w:rPr>
          <w:color w:val="auto"/>
        </w:rPr>
      </w:pPr>
      <w:r>
        <w:rPr>
          <w:color w:val="auto"/>
        </w:rPr>
        <w:t xml:space="preserve">GB 12348  </w:t>
      </w:r>
      <w:r>
        <w:rPr>
          <w:rFonts w:hint="eastAsia"/>
          <w:color w:val="auto"/>
          <w:lang w:val="en-US" w:eastAsia="zh-CN"/>
        </w:rPr>
        <w:t xml:space="preserve"> </w:t>
      </w:r>
      <w:r>
        <w:rPr>
          <w:color w:val="auto"/>
        </w:rPr>
        <w:t>工业企业厂界环境噪声排放标准</w:t>
      </w:r>
    </w:p>
    <w:p>
      <w:pPr>
        <w:ind w:firstLine="420" w:firstLineChars="200"/>
        <w:rPr>
          <w:rFonts w:hint="default" w:eastAsia="宋体"/>
          <w:color w:val="auto"/>
          <w:lang w:val="en-US" w:eastAsia="zh-CN"/>
        </w:rPr>
      </w:pPr>
      <w:r>
        <w:rPr>
          <w:rFonts w:hint="eastAsia"/>
          <w:color w:val="auto"/>
        </w:rPr>
        <w:t>GB 13271</w:t>
      </w:r>
      <w:r>
        <w:rPr>
          <w:rFonts w:hint="eastAsia"/>
          <w:color w:val="auto"/>
          <w:lang w:val="en-US" w:eastAsia="zh-CN"/>
        </w:rPr>
        <w:t xml:space="preserve">   锅炉大气污染物排放标准</w:t>
      </w:r>
    </w:p>
    <w:p>
      <w:pPr>
        <w:ind w:firstLine="420" w:firstLineChars="200"/>
        <w:rPr>
          <w:color w:val="auto"/>
        </w:rPr>
      </w:pPr>
      <w:r>
        <w:rPr>
          <w:color w:val="auto"/>
        </w:rPr>
        <w:t xml:space="preserve">GB 13456  </w:t>
      </w:r>
      <w:r>
        <w:rPr>
          <w:rFonts w:hint="eastAsia"/>
          <w:color w:val="auto"/>
          <w:lang w:val="en-US" w:eastAsia="zh-CN"/>
        </w:rPr>
        <w:t xml:space="preserve"> </w:t>
      </w:r>
      <w:r>
        <w:rPr>
          <w:color w:val="auto"/>
        </w:rPr>
        <w:t>钢铁工业水污染物排放标准</w:t>
      </w:r>
    </w:p>
    <w:p>
      <w:pPr>
        <w:ind w:firstLine="420" w:firstLineChars="200"/>
        <w:rPr>
          <w:color w:val="auto"/>
        </w:rPr>
      </w:pPr>
      <w:r>
        <w:rPr>
          <w:color w:val="auto"/>
        </w:rPr>
        <w:t xml:space="preserve">GB 16297  </w:t>
      </w:r>
      <w:r>
        <w:rPr>
          <w:rFonts w:hint="eastAsia"/>
          <w:color w:val="auto"/>
          <w:lang w:val="en-US" w:eastAsia="zh-CN"/>
        </w:rPr>
        <w:t xml:space="preserve"> </w:t>
      </w:r>
      <w:r>
        <w:rPr>
          <w:color w:val="auto"/>
        </w:rPr>
        <w:t>大气污染物综合排放标准</w:t>
      </w:r>
    </w:p>
    <w:p>
      <w:pPr>
        <w:ind w:firstLine="420" w:firstLineChars="200"/>
        <w:rPr>
          <w:color w:val="auto"/>
        </w:rPr>
      </w:pPr>
      <w:r>
        <w:rPr>
          <w:color w:val="auto"/>
        </w:rPr>
        <w:t>GB 17167</w:t>
      </w:r>
      <w:r>
        <w:rPr>
          <w:rFonts w:hint="eastAsia"/>
          <w:color w:val="auto"/>
          <w:lang w:val="en-US" w:eastAsia="zh-CN"/>
        </w:rPr>
        <w:t xml:space="preserve"> </w:t>
      </w:r>
      <w:r>
        <w:rPr>
          <w:color w:val="auto"/>
        </w:rPr>
        <w:t xml:space="preserve"> </w:t>
      </w:r>
      <w:r>
        <w:rPr>
          <w:rFonts w:hint="eastAsia"/>
          <w:color w:val="auto"/>
          <w:lang w:val="en-US" w:eastAsia="zh-CN"/>
        </w:rPr>
        <w:t xml:space="preserve"> </w:t>
      </w:r>
      <w:r>
        <w:rPr>
          <w:color w:val="auto"/>
        </w:rPr>
        <w:t>用能单位能源计量器具配备和管理通则</w:t>
      </w:r>
    </w:p>
    <w:p>
      <w:pPr>
        <w:ind w:firstLine="420" w:firstLineChars="200"/>
        <w:rPr>
          <w:color w:val="auto"/>
        </w:rPr>
      </w:pPr>
      <w:r>
        <w:rPr>
          <w:color w:val="auto"/>
        </w:rPr>
        <w:t xml:space="preserve">GB 18597  </w:t>
      </w:r>
      <w:r>
        <w:rPr>
          <w:rFonts w:hint="eastAsia"/>
          <w:color w:val="auto"/>
          <w:lang w:val="en-US" w:eastAsia="zh-CN"/>
        </w:rPr>
        <w:t xml:space="preserve"> </w:t>
      </w:r>
      <w:r>
        <w:rPr>
          <w:color w:val="auto"/>
        </w:rPr>
        <w:t>危险废物贮存污染控制标准</w:t>
      </w:r>
    </w:p>
    <w:p>
      <w:pPr>
        <w:ind w:firstLine="420" w:firstLineChars="200"/>
        <w:rPr>
          <w:color w:val="auto"/>
        </w:rPr>
      </w:pPr>
      <w:r>
        <w:rPr>
          <w:color w:val="auto"/>
        </w:rPr>
        <w:t xml:space="preserve">GB 18599  </w:t>
      </w:r>
      <w:r>
        <w:rPr>
          <w:rFonts w:hint="eastAsia"/>
          <w:color w:val="auto"/>
          <w:lang w:val="en-US" w:eastAsia="zh-CN"/>
        </w:rPr>
        <w:t xml:space="preserve"> </w:t>
      </w:r>
      <w:r>
        <w:rPr>
          <w:color w:val="auto"/>
        </w:rPr>
        <w:t>一般工业固体废弃贮存、处置场污染物控制标准</w:t>
      </w:r>
    </w:p>
    <w:p>
      <w:pPr>
        <w:ind w:firstLine="420" w:firstLineChars="200"/>
        <w:rPr>
          <w:color w:val="auto"/>
        </w:rPr>
      </w:pPr>
      <w:r>
        <w:rPr>
          <w:color w:val="auto"/>
        </w:rPr>
        <w:t xml:space="preserve">GB 30981  </w:t>
      </w:r>
      <w:r>
        <w:rPr>
          <w:rFonts w:hint="eastAsia"/>
          <w:color w:val="auto"/>
          <w:lang w:val="en-US" w:eastAsia="zh-CN"/>
        </w:rPr>
        <w:t xml:space="preserve"> </w:t>
      </w:r>
      <w:r>
        <w:rPr>
          <w:color w:val="auto"/>
        </w:rPr>
        <w:t>工业防护涂料中有害物质限量</w:t>
      </w:r>
    </w:p>
    <w:p>
      <w:pPr>
        <w:ind w:firstLine="420" w:firstLineChars="200"/>
        <w:rPr>
          <w:color w:val="auto"/>
        </w:rPr>
      </w:pPr>
      <w:r>
        <w:rPr>
          <w:color w:val="auto"/>
        </w:rPr>
        <w:t xml:space="preserve">GB 50506  </w:t>
      </w:r>
      <w:r>
        <w:rPr>
          <w:rFonts w:hint="eastAsia"/>
          <w:color w:val="auto"/>
          <w:lang w:val="en-US" w:eastAsia="zh-CN"/>
        </w:rPr>
        <w:t xml:space="preserve"> </w:t>
      </w:r>
      <w:r>
        <w:rPr>
          <w:color w:val="auto"/>
        </w:rPr>
        <w:t>钢铁企业节水设计规范</w:t>
      </w:r>
    </w:p>
    <w:p>
      <w:pPr>
        <w:ind w:firstLine="420" w:firstLineChars="200"/>
        <w:rPr>
          <w:color w:val="auto"/>
        </w:rPr>
      </w:pPr>
      <w:r>
        <w:rPr>
          <w:color w:val="auto"/>
        </w:rPr>
        <w:t xml:space="preserve">GB 50632  </w:t>
      </w:r>
      <w:r>
        <w:rPr>
          <w:rFonts w:hint="eastAsia"/>
          <w:color w:val="auto"/>
          <w:lang w:val="en-US" w:eastAsia="zh-CN"/>
        </w:rPr>
        <w:t xml:space="preserve"> </w:t>
      </w:r>
      <w:r>
        <w:rPr>
          <w:color w:val="auto"/>
        </w:rPr>
        <w:t>钢铁企业节能设计规范</w:t>
      </w:r>
    </w:p>
    <w:p>
      <w:pPr>
        <w:ind w:firstLine="420" w:firstLineChars="200"/>
        <w:rPr>
          <w:color w:val="auto"/>
        </w:rPr>
      </w:pPr>
      <w:r>
        <w:rPr>
          <w:color w:val="auto"/>
        </w:rPr>
        <w:t xml:space="preserve">GB 50672 </w:t>
      </w:r>
      <w:r>
        <w:rPr>
          <w:rFonts w:hint="eastAsia"/>
          <w:color w:val="auto"/>
          <w:lang w:val="en-US" w:eastAsia="zh-CN"/>
        </w:rPr>
        <w:t xml:space="preserve"> </w:t>
      </w:r>
      <w:r>
        <w:rPr>
          <w:color w:val="auto"/>
        </w:rPr>
        <w:t xml:space="preserve"> 钢铁企业综合</w:t>
      </w:r>
      <w:r>
        <w:rPr>
          <w:rFonts w:hint="eastAsia"/>
          <w:color w:val="auto"/>
          <w:lang w:eastAsia="zh-CN"/>
        </w:rPr>
        <w:t>排水</w:t>
      </w:r>
      <w:r>
        <w:rPr>
          <w:color w:val="auto"/>
        </w:rPr>
        <w:t>处理厂工艺设计规范</w:t>
      </w:r>
    </w:p>
    <w:p>
      <w:pPr>
        <w:ind w:firstLine="420" w:firstLineChars="200"/>
        <w:rPr>
          <w:color w:val="auto"/>
        </w:rPr>
      </w:pPr>
      <w:r>
        <w:rPr>
          <w:color w:val="auto"/>
        </w:rPr>
        <w:t xml:space="preserve">GBZ 2.1  </w:t>
      </w:r>
      <w:r>
        <w:rPr>
          <w:rFonts w:hint="eastAsia"/>
          <w:color w:val="auto"/>
          <w:lang w:val="en-US" w:eastAsia="zh-CN"/>
        </w:rPr>
        <w:t xml:space="preserve">  </w:t>
      </w:r>
      <w:r>
        <w:rPr>
          <w:color w:val="auto"/>
        </w:rPr>
        <w:t>工作场所有害因素职业接触限值 化学有害因素</w:t>
      </w:r>
    </w:p>
    <w:p>
      <w:pPr>
        <w:ind w:firstLine="420" w:firstLineChars="200"/>
        <w:rPr>
          <w:color w:val="auto"/>
        </w:rPr>
      </w:pPr>
      <w:r>
        <w:rPr>
          <w:color w:val="auto"/>
        </w:rPr>
        <w:t xml:space="preserve">GBZ 2.2 </w:t>
      </w:r>
      <w:r>
        <w:rPr>
          <w:rFonts w:hint="eastAsia"/>
          <w:color w:val="auto"/>
          <w:lang w:val="en-US" w:eastAsia="zh-CN"/>
        </w:rPr>
        <w:t xml:space="preserve"> </w:t>
      </w:r>
      <w:r>
        <w:rPr>
          <w:color w:val="auto"/>
        </w:rPr>
        <w:t xml:space="preserve"> </w:t>
      </w:r>
      <w:r>
        <w:rPr>
          <w:rFonts w:hint="eastAsia"/>
          <w:color w:val="auto"/>
          <w:lang w:val="en-US" w:eastAsia="zh-CN"/>
        </w:rPr>
        <w:t xml:space="preserve"> </w:t>
      </w:r>
      <w:r>
        <w:rPr>
          <w:color w:val="auto"/>
        </w:rPr>
        <w:t>工作场所有害因素职业接触限值 物理有害因素</w:t>
      </w:r>
    </w:p>
    <w:p>
      <w:pPr>
        <w:ind w:firstLine="420" w:firstLineChars="200"/>
        <w:rPr>
          <w:color w:val="auto"/>
        </w:rPr>
      </w:pPr>
      <w:r>
        <w:rPr>
          <w:color w:val="auto"/>
        </w:rPr>
        <w:t xml:space="preserve">GB/T 9441 </w:t>
      </w:r>
      <w:r>
        <w:rPr>
          <w:rFonts w:hint="eastAsia"/>
          <w:color w:val="auto"/>
          <w:lang w:val="en-US" w:eastAsia="zh-CN"/>
        </w:rPr>
        <w:t xml:space="preserve"> </w:t>
      </w:r>
      <w:r>
        <w:rPr>
          <w:color w:val="auto"/>
        </w:rPr>
        <w:t>球墨铸铁金相检验</w:t>
      </w:r>
    </w:p>
    <w:p>
      <w:pPr>
        <w:ind w:firstLine="420" w:firstLineChars="200"/>
        <w:rPr>
          <w:color w:val="auto"/>
        </w:rPr>
      </w:pPr>
      <w:r>
        <w:rPr>
          <w:color w:val="auto"/>
        </w:rPr>
        <w:t>GB/T 13295 水及燃气管道用球墨铸铁管及管件、管件和附件</w:t>
      </w:r>
    </w:p>
    <w:p>
      <w:pPr>
        <w:ind w:firstLine="420" w:firstLineChars="200"/>
        <w:rPr>
          <w:color w:val="auto"/>
        </w:rPr>
      </w:pPr>
      <w:r>
        <w:rPr>
          <w:color w:val="auto"/>
        </w:rPr>
        <w:t>GB/T 17219</w:t>
      </w:r>
      <w:r>
        <w:rPr>
          <w:rFonts w:hint="eastAsia"/>
          <w:color w:val="auto"/>
          <w:lang w:val="en-US" w:eastAsia="zh-CN"/>
        </w:rPr>
        <w:tab/>
      </w:r>
      <w:r>
        <w:rPr>
          <w:color w:val="auto"/>
        </w:rPr>
        <w:t>生活饮用水输配水设备及防护材料的安全性评价标准</w:t>
      </w:r>
    </w:p>
    <w:p>
      <w:pPr>
        <w:ind w:firstLine="420" w:firstLineChars="200"/>
        <w:rPr>
          <w:color w:val="auto"/>
        </w:rPr>
      </w:pPr>
      <w:r>
        <w:rPr>
          <w:color w:val="auto"/>
        </w:rPr>
        <w:t>GB/T 17457</w:t>
      </w:r>
      <w:r>
        <w:rPr>
          <w:rFonts w:hint="eastAsia"/>
          <w:color w:val="auto"/>
          <w:lang w:val="en-US" w:eastAsia="zh-CN"/>
        </w:rPr>
        <w:tab/>
      </w:r>
      <w:r>
        <w:rPr>
          <w:color w:val="auto"/>
        </w:rPr>
        <w:t>球墨铸铁管及管件水泥砂浆离心法衬层一般要求</w:t>
      </w:r>
    </w:p>
    <w:p>
      <w:pPr>
        <w:ind w:firstLine="420" w:firstLineChars="200"/>
        <w:rPr>
          <w:color w:val="auto"/>
        </w:rPr>
      </w:pPr>
      <w:r>
        <w:rPr>
          <w:color w:val="auto"/>
        </w:rPr>
        <w:t>GB/T 17458</w:t>
      </w:r>
      <w:r>
        <w:rPr>
          <w:rFonts w:hint="eastAsia"/>
          <w:color w:val="auto"/>
          <w:lang w:val="en-US" w:eastAsia="zh-CN"/>
        </w:rPr>
        <w:tab/>
      </w:r>
      <w:r>
        <w:rPr>
          <w:color w:val="auto"/>
        </w:rPr>
        <w:t>球墨铸铁管及管件水泥砂浆离心法衬层新拌砂浆的成分检验</w:t>
      </w:r>
    </w:p>
    <w:p>
      <w:pPr>
        <w:ind w:firstLine="420" w:firstLineChars="200"/>
        <w:rPr>
          <w:color w:val="auto"/>
        </w:rPr>
      </w:pPr>
      <w:r>
        <w:rPr>
          <w:color w:val="auto"/>
        </w:rPr>
        <w:t>GB/T 17459</w:t>
      </w:r>
      <w:r>
        <w:rPr>
          <w:rFonts w:hint="eastAsia"/>
          <w:color w:val="auto"/>
          <w:lang w:val="en-US" w:eastAsia="zh-CN"/>
        </w:rPr>
        <w:tab/>
      </w:r>
      <w:r>
        <w:rPr>
          <w:color w:val="auto"/>
        </w:rPr>
        <w:t>球墨铸铁管及管件沥青涂层</w:t>
      </w:r>
    </w:p>
    <w:p>
      <w:pPr>
        <w:ind w:firstLine="420" w:firstLineChars="200"/>
        <w:rPr>
          <w:color w:val="auto"/>
        </w:rPr>
      </w:pPr>
      <w:r>
        <w:rPr>
          <w:color w:val="auto"/>
        </w:rPr>
        <w:t>GB/T 17456</w:t>
      </w:r>
      <w:r>
        <w:rPr>
          <w:rFonts w:hint="eastAsia"/>
          <w:color w:val="auto"/>
          <w:lang w:val="en-US" w:eastAsia="zh-CN"/>
        </w:rPr>
        <w:tab/>
      </w:r>
      <w:r>
        <w:rPr>
          <w:color w:val="auto"/>
        </w:rPr>
        <w:t>球墨铸铁管及管件外表喷锌</w:t>
      </w:r>
    </w:p>
    <w:p>
      <w:pPr>
        <w:ind w:firstLine="420" w:firstLineChars="200"/>
        <w:rPr>
          <w:color w:val="auto"/>
        </w:rPr>
      </w:pPr>
      <w:r>
        <w:rPr>
          <w:color w:val="auto"/>
        </w:rPr>
        <w:t>GB/T 18916.2</w:t>
      </w:r>
      <w:r>
        <w:rPr>
          <w:rFonts w:hint="eastAsia"/>
          <w:color w:val="auto"/>
          <w:lang w:val="en-US" w:eastAsia="zh-CN"/>
        </w:rPr>
        <w:tab/>
      </w:r>
      <w:r>
        <w:rPr>
          <w:color w:val="auto"/>
        </w:rPr>
        <w:t>取水定额 第2部分：钢铁联合企业</w:t>
      </w:r>
    </w:p>
    <w:p>
      <w:pPr>
        <w:ind w:firstLine="420" w:firstLineChars="200"/>
        <w:rPr>
          <w:color w:val="auto"/>
        </w:rPr>
      </w:pPr>
      <w:r>
        <w:rPr>
          <w:color w:val="auto"/>
        </w:rPr>
        <w:t>GB/T 19001</w:t>
      </w:r>
      <w:r>
        <w:rPr>
          <w:rFonts w:hint="eastAsia"/>
          <w:color w:val="auto"/>
          <w:lang w:val="en-US" w:eastAsia="zh-CN"/>
        </w:rPr>
        <w:tab/>
      </w:r>
      <w:r>
        <w:rPr>
          <w:color w:val="auto"/>
        </w:rPr>
        <w:t>质量管理体系</w:t>
      </w:r>
      <w:r>
        <w:rPr>
          <w:rFonts w:hint="eastAsia"/>
          <w:color w:val="auto"/>
        </w:rPr>
        <w:t xml:space="preserve"> </w:t>
      </w:r>
      <w:r>
        <w:rPr>
          <w:color w:val="auto"/>
        </w:rPr>
        <w:t>要求</w:t>
      </w:r>
    </w:p>
    <w:p>
      <w:pPr>
        <w:ind w:firstLine="420" w:firstLineChars="200"/>
        <w:rPr>
          <w:rFonts w:hint="eastAsia"/>
          <w:color w:val="auto"/>
        </w:rPr>
      </w:pPr>
      <w:r>
        <w:rPr>
          <w:rFonts w:hint="eastAsia"/>
          <w:color w:val="auto"/>
        </w:rPr>
        <w:t>G</w:t>
      </w:r>
      <w:r>
        <w:rPr>
          <w:color w:val="auto"/>
        </w:rPr>
        <w:t>B/T 23331</w:t>
      </w:r>
      <w:r>
        <w:rPr>
          <w:rFonts w:hint="eastAsia"/>
          <w:color w:val="auto"/>
          <w:lang w:val="en-US" w:eastAsia="zh-CN"/>
        </w:rPr>
        <w:tab/>
      </w:r>
      <w:r>
        <w:rPr>
          <w:rFonts w:hint="eastAsia"/>
          <w:color w:val="auto"/>
        </w:rPr>
        <w:t>能源管理体系 要求</w:t>
      </w:r>
    </w:p>
    <w:p>
      <w:pPr>
        <w:ind w:firstLine="420" w:firstLineChars="200"/>
        <w:rPr>
          <w:color w:val="auto"/>
        </w:rPr>
      </w:pPr>
      <w:r>
        <w:rPr>
          <w:color w:val="auto"/>
        </w:rPr>
        <w:t>GB/T 24001</w:t>
      </w:r>
      <w:r>
        <w:rPr>
          <w:rFonts w:hint="eastAsia"/>
          <w:color w:val="auto"/>
          <w:lang w:val="en-US" w:eastAsia="zh-CN"/>
        </w:rPr>
        <w:tab/>
      </w:r>
      <w:r>
        <w:rPr>
          <w:color w:val="auto"/>
        </w:rPr>
        <w:t>环境管理体系</w:t>
      </w:r>
      <w:r>
        <w:rPr>
          <w:rFonts w:hint="eastAsia"/>
          <w:color w:val="auto"/>
        </w:rPr>
        <w:t xml:space="preserve"> </w:t>
      </w:r>
      <w:r>
        <w:rPr>
          <w:color w:val="auto"/>
        </w:rPr>
        <w:t>要求及使用指南</w:t>
      </w:r>
    </w:p>
    <w:p>
      <w:pPr>
        <w:ind w:firstLine="420" w:firstLineChars="200"/>
        <w:rPr>
          <w:color w:val="auto"/>
        </w:rPr>
      </w:pPr>
      <w:r>
        <w:rPr>
          <w:color w:val="auto"/>
        </w:rPr>
        <w:t>GB/T 26081</w:t>
      </w:r>
      <w:r>
        <w:rPr>
          <w:rFonts w:hint="eastAsia"/>
          <w:color w:val="auto"/>
          <w:lang w:val="en-US" w:eastAsia="zh-CN"/>
        </w:rPr>
        <w:tab/>
      </w:r>
      <w:r>
        <w:rPr>
          <w:rFonts w:hint="eastAsia"/>
          <w:color w:val="auto"/>
          <w:lang w:val="en-US" w:eastAsia="zh-CN"/>
        </w:rPr>
        <w:t>排水工程用球墨铸铁管、管件和附件</w:t>
      </w:r>
    </w:p>
    <w:p>
      <w:pPr>
        <w:ind w:firstLine="420" w:firstLineChars="200"/>
        <w:rPr>
          <w:color w:val="auto"/>
        </w:rPr>
      </w:pPr>
      <w:r>
        <w:rPr>
          <w:color w:val="auto"/>
        </w:rPr>
        <w:t>GB/T 45001</w:t>
      </w:r>
      <w:r>
        <w:rPr>
          <w:rFonts w:hint="eastAsia"/>
          <w:color w:val="auto"/>
          <w:lang w:val="en-US" w:eastAsia="zh-CN"/>
        </w:rPr>
        <w:tab/>
      </w:r>
      <w:r>
        <w:rPr>
          <w:color w:val="auto"/>
        </w:rPr>
        <w:t>职业健康安全管理体系</w:t>
      </w:r>
      <w:r>
        <w:rPr>
          <w:rFonts w:hint="eastAsia"/>
          <w:color w:val="auto"/>
        </w:rPr>
        <w:t xml:space="preserve"> </w:t>
      </w:r>
      <w:r>
        <w:rPr>
          <w:color w:val="auto"/>
        </w:rPr>
        <w:t>要求</w:t>
      </w:r>
    </w:p>
    <w:p>
      <w:pPr>
        <w:ind w:firstLine="420" w:firstLineChars="200"/>
        <w:rPr>
          <w:color w:val="auto"/>
        </w:rPr>
      </w:pPr>
      <w:r>
        <w:rPr>
          <w:color w:val="auto"/>
        </w:rPr>
        <w:t>GB/T 32151.5</w:t>
      </w:r>
      <w:r>
        <w:rPr>
          <w:rFonts w:hint="eastAsia"/>
          <w:color w:val="auto"/>
          <w:lang w:val="en-US" w:eastAsia="zh-CN"/>
        </w:rPr>
        <w:tab/>
      </w:r>
      <w:r>
        <w:rPr>
          <w:color w:val="auto"/>
        </w:rPr>
        <w:t>温室气体排放核算与报告要求  第5部分：钢铁生产企业</w:t>
      </w:r>
    </w:p>
    <w:p>
      <w:pPr>
        <w:ind w:firstLine="420" w:firstLineChars="200"/>
        <w:rPr>
          <w:color w:val="auto"/>
        </w:rPr>
      </w:pPr>
      <w:r>
        <w:rPr>
          <w:color w:val="auto"/>
        </w:rPr>
        <w:t>GB/T 33000</w:t>
      </w:r>
      <w:r>
        <w:rPr>
          <w:rFonts w:hint="eastAsia"/>
          <w:color w:val="auto"/>
          <w:lang w:val="en-US" w:eastAsia="zh-CN"/>
        </w:rPr>
        <w:tab/>
      </w:r>
      <w:r>
        <w:rPr>
          <w:color w:val="auto"/>
        </w:rPr>
        <w:t>企业安全生产标准化基本规范</w:t>
      </w:r>
    </w:p>
    <w:p>
      <w:pPr>
        <w:ind w:firstLine="420" w:firstLineChars="200"/>
        <w:rPr>
          <w:rFonts w:hint="eastAsia"/>
          <w:color w:val="auto"/>
          <w:lang w:val="en-US"/>
        </w:rPr>
      </w:pPr>
      <w:r>
        <w:rPr>
          <w:rFonts w:hint="eastAsia"/>
          <w:color w:val="auto"/>
          <w:lang w:val="en-US"/>
        </w:rPr>
        <w:t xml:space="preserve">YB/T 4915 </w:t>
      </w:r>
      <w:r>
        <w:rPr>
          <w:rFonts w:hint="eastAsia"/>
          <w:color w:val="auto"/>
          <w:lang w:val="en-US" w:eastAsia="zh-CN"/>
        </w:rPr>
        <w:t xml:space="preserve">  </w:t>
      </w:r>
      <w:r>
        <w:rPr>
          <w:rFonts w:hint="eastAsia"/>
          <w:color w:val="auto"/>
          <w:lang w:val="en-US"/>
        </w:rPr>
        <w:t>绿色设计产品评价技术规范 球墨铸铁管</w:t>
      </w:r>
    </w:p>
    <w:p>
      <w:pPr>
        <w:ind w:firstLine="420" w:firstLineChars="200"/>
        <w:rPr>
          <w:color w:val="auto"/>
          <w:lang w:val="en-US"/>
        </w:rPr>
      </w:pPr>
      <w:r>
        <w:rPr>
          <w:color w:val="auto"/>
          <w:lang w:val="en-US"/>
        </w:rPr>
        <w:t xml:space="preserve">YB/T 6017 </w:t>
      </w:r>
      <w:r>
        <w:rPr>
          <w:rFonts w:hint="eastAsia"/>
          <w:color w:val="auto"/>
          <w:lang w:val="en-US" w:eastAsia="zh-CN"/>
        </w:rPr>
        <w:t xml:space="preserve">  </w:t>
      </w:r>
      <w:bookmarkStart w:id="44" w:name="_GoBack"/>
      <w:bookmarkEnd w:id="44"/>
      <w:r>
        <w:rPr>
          <w:color w:val="auto"/>
          <w:lang w:val="en-US"/>
        </w:rPr>
        <w:t>球墨铸铁管单位产品能源消耗限额</w:t>
      </w:r>
    </w:p>
    <w:p>
      <w:pPr>
        <w:ind w:firstLine="420" w:firstLineChars="200"/>
        <w:rPr>
          <w:color w:val="auto"/>
        </w:rPr>
      </w:pPr>
      <w:r>
        <w:rPr>
          <w:color w:val="auto"/>
        </w:rPr>
        <w:t>T/CFA 030802-2</w:t>
      </w:r>
      <w:r>
        <w:rPr>
          <w:rFonts w:hint="eastAsia"/>
          <w:color w:val="auto"/>
          <w:lang w:val="en-US" w:eastAsia="zh-CN"/>
        </w:rPr>
        <w:tab/>
      </w:r>
      <w:r>
        <w:rPr>
          <w:color w:val="auto"/>
        </w:rPr>
        <w:t>铸造行业大气污染物排放限值</w:t>
      </w:r>
    </w:p>
    <w:p>
      <w:pPr>
        <w:pStyle w:val="22"/>
        <w:spacing w:before="291" w:beforeLines="100" w:after="291" w:afterLines="100" w:line="360" w:lineRule="auto"/>
        <w:ind w:firstLine="0" w:firstLineChars="0"/>
        <w:outlineLvl w:val="0"/>
        <w:rPr>
          <w:rFonts w:hint="eastAsia" w:ascii="黑体" w:hAnsi="黑体" w:eastAsia="黑体" w:cs="黑体"/>
          <w:kern w:val="0"/>
          <w:sz w:val="21"/>
          <w:highlight w:val="none"/>
        </w:rPr>
      </w:pPr>
      <w:bookmarkStart w:id="20" w:name="_Toc55824731"/>
      <w:bookmarkStart w:id="21" w:name="_Toc522104996"/>
      <w:bookmarkStart w:id="22" w:name="_Toc414"/>
      <w:bookmarkStart w:id="23" w:name="_Toc28823"/>
      <w:r>
        <w:rPr>
          <w:rFonts w:hint="eastAsia" w:ascii="黑体" w:hAnsi="黑体" w:eastAsia="黑体" w:cs="黑体"/>
          <w:kern w:val="0"/>
          <w:sz w:val="21"/>
          <w:highlight w:val="none"/>
        </w:rPr>
        <w:t>3 术语与定义</w:t>
      </w:r>
      <w:bookmarkEnd w:id="20"/>
      <w:bookmarkEnd w:id="21"/>
      <w:bookmarkEnd w:id="22"/>
      <w:bookmarkEnd w:id="23"/>
    </w:p>
    <w:p>
      <w:pPr>
        <w:widowControl/>
        <w:tabs>
          <w:tab w:val="center" w:pos="4201"/>
          <w:tab w:val="right" w:leader="dot" w:pos="9298"/>
        </w:tabs>
        <w:autoSpaceDE w:val="0"/>
        <w:autoSpaceDN w:val="0"/>
        <w:ind w:firstLine="420" w:firstLineChars="200"/>
        <w:rPr>
          <w:kern w:val="0"/>
          <w:szCs w:val="21"/>
        </w:rPr>
      </w:pPr>
      <w:r>
        <w:rPr>
          <w:kern w:val="0"/>
          <w:szCs w:val="21"/>
        </w:rPr>
        <w:t>上述规范性引用文件中给定的及下列术语和定义适用于本文件。</w:t>
      </w:r>
    </w:p>
    <w:p>
      <w:pPr>
        <w:bidi w:val="0"/>
        <w:rPr>
          <w:rFonts w:hint="eastAsia" w:ascii="黑体" w:hAnsi="黑体" w:eastAsia="黑体" w:cs="黑体"/>
        </w:rPr>
      </w:pPr>
      <w:bookmarkStart w:id="24" w:name="_Toc31679"/>
      <w:r>
        <w:rPr>
          <w:rFonts w:hint="eastAsia" w:ascii="黑体" w:hAnsi="黑体" w:eastAsia="黑体" w:cs="黑体"/>
        </w:rPr>
        <w:t>3.1 绿色建材 green building material</w:t>
      </w:r>
      <w:bookmarkEnd w:id="24"/>
    </w:p>
    <w:p>
      <w:pPr>
        <w:ind w:firstLine="420" w:firstLineChars="200"/>
      </w:pPr>
      <w:r>
        <w:rPr>
          <w:rFonts w:hint="eastAsia"/>
        </w:rPr>
        <w:t>在全生命周期内可减少对天然资源消耗和减轻对生态环境影响，具有“节能、减排、安</w:t>
      </w:r>
      <w:r>
        <w:t>全、便利和可循环”特征的建材产品。</w:t>
      </w:r>
    </w:p>
    <w:p>
      <w:pPr>
        <w:bidi w:val="0"/>
        <w:rPr>
          <w:rFonts w:hint="eastAsia" w:ascii="黑体" w:hAnsi="黑体" w:eastAsia="黑体" w:cs="黑体"/>
        </w:rPr>
      </w:pPr>
      <w:bookmarkStart w:id="25" w:name="_Toc26546"/>
      <w:r>
        <w:rPr>
          <w:rFonts w:hint="eastAsia" w:ascii="黑体" w:hAnsi="黑体" w:eastAsia="黑体" w:cs="黑体"/>
        </w:rPr>
        <w:t>3.2 绿色建材评价 green building material assessment</w:t>
      </w:r>
      <w:bookmarkEnd w:id="25"/>
    </w:p>
    <w:p>
      <w:pPr>
        <w:ind w:firstLine="420" w:firstLineChars="200"/>
      </w:pPr>
      <w:r>
        <w:rPr>
          <w:rFonts w:hint="eastAsia"/>
        </w:rPr>
        <w:t>依据绿色建材评价技术标准，按照程序和要求对申请开展评价的建材产品进行评价，并确认其等级的活动。</w:t>
      </w:r>
    </w:p>
    <w:p>
      <w:pPr>
        <w:bidi w:val="0"/>
        <w:outlineLvl w:val="1"/>
        <w:rPr>
          <w:rFonts w:hint="eastAsia" w:ascii="黑体" w:hAnsi="黑体" w:eastAsia="黑体" w:cs="黑体"/>
        </w:rPr>
      </w:pPr>
      <w:bookmarkStart w:id="26" w:name="_Toc18502"/>
      <w:bookmarkStart w:id="27" w:name="_Toc3625"/>
      <w:r>
        <w:rPr>
          <w:rFonts w:hint="eastAsia" w:ascii="黑体" w:hAnsi="黑体" w:eastAsia="黑体" w:cs="黑体"/>
        </w:rPr>
        <w:t>3.3 评价等级 assessment level</w:t>
      </w:r>
      <w:bookmarkEnd w:id="26"/>
      <w:bookmarkEnd w:id="27"/>
    </w:p>
    <w:p>
      <w:pPr>
        <w:ind w:firstLine="420" w:firstLineChars="200"/>
        <w:rPr>
          <w:rFonts w:hint="eastAsia"/>
        </w:rPr>
      </w:pPr>
      <w:r>
        <w:rPr>
          <w:rFonts w:hint="eastAsia"/>
        </w:rPr>
        <w:t>产品评价结果所达到的绿色建材级别，由低到高分为一星级、二星级和三星级。</w:t>
      </w:r>
    </w:p>
    <w:p>
      <w:pPr>
        <w:bidi w:val="0"/>
        <w:rPr>
          <w:rFonts w:hint="eastAsia" w:ascii="黑体" w:hAnsi="黑体" w:eastAsia="黑体" w:cs="黑体"/>
        </w:rPr>
      </w:pPr>
      <w:bookmarkStart w:id="28" w:name="_Toc24304"/>
      <w:r>
        <w:rPr>
          <w:rFonts w:hint="eastAsia" w:ascii="黑体" w:hAnsi="黑体" w:eastAsia="黑体" w:cs="黑体"/>
        </w:rPr>
        <w:t>3.</w:t>
      </w:r>
      <w:r>
        <w:rPr>
          <w:rFonts w:hint="eastAsia" w:ascii="黑体" w:hAnsi="黑体" w:eastAsia="黑体" w:cs="黑体"/>
          <w:lang w:val="en-US" w:eastAsia="zh-CN"/>
        </w:rPr>
        <w:t>4</w:t>
      </w:r>
      <w:r>
        <w:rPr>
          <w:rFonts w:hint="eastAsia" w:ascii="黑体" w:hAnsi="黑体" w:eastAsia="黑体" w:cs="黑体"/>
        </w:rPr>
        <w:t xml:space="preserve"> 环境产品声明 environmental product declaration</w:t>
      </w:r>
      <w:bookmarkEnd w:id="28"/>
    </w:p>
    <w:p>
      <w:pPr>
        <w:ind w:firstLine="420" w:firstLineChars="200"/>
        <w:rPr>
          <w:rFonts w:hint="eastAsia"/>
          <w:highlight w:val="none"/>
        </w:rPr>
      </w:pPr>
      <w:r>
        <w:rPr>
          <w:rFonts w:hint="eastAsia"/>
          <w:highlight w:val="none"/>
        </w:rPr>
        <w:t>提供基于预设参数的量化环境数据的环境声明，必要时包括附加环境信息。</w:t>
      </w:r>
    </w:p>
    <w:p>
      <w:pPr>
        <w:bidi w:val="0"/>
        <w:outlineLvl w:val="1"/>
        <w:rPr>
          <w:rFonts w:hint="eastAsia" w:ascii="黑体" w:hAnsi="黑体" w:eastAsia="黑体" w:cs="黑体"/>
        </w:rPr>
      </w:pPr>
      <w:bookmarkStart w:id="29" w:name="_Toc16559"/>
      <w:bookmarkStart w:id="30" w:name="_Toc15217"/>
      <w:r>
        <w:rPr>
          <w:rFonts w:hint="eastAsia" w:ascii="黑体" w:hAnsi="黑体" w:eastAsia="黑体" w:cs="黑体"/>
        </w:rPr>
        <w:t>3.</w:t>
      </w:r>
      <w:r>
        <w:rPr>
          <w:rFonts w:hint="eastAsia" w:ascii="黑体" w:hAnsi="黑体" w:eastAsia="黑体" w:cs="黑体"/>
          <w:lang w:val="en-US" w:eastAsia="zh-CN"/>
        </w:rPr>
        <w:t>5</w:t>
      </w:r>
      <w:r>
        <w:rPr>
          <w:rFonts w:hint="eastAsia" w:ascii="黑体" w:hAnsi="黑体" w:eastAsia="黑体" w:cs="黑体"/>
        </w:rPr>
        <w:t xml:space="preserve"> </w:t>
      </w:r>
      <w:r>
        <w:rPr>
          <w:rFonts w:hint="eastAsia" w:ascii="黑体" w:hAnsi="黑体" w:eastAsia="黑体" w:cs="黑体"/>
          <w:lang w:val="en-US" w:eastAsia="zh-CN"/>
        </w:rPr>
        <w:t>碳足迹 carbon footprint</w:t>
      </w:r>
      <w:bookmarkEnd w:id="29"/>
      <w:bookmarkEnd w:id="30"/>
    </w:p>
    <w:p>
      <w:pPr>
        <w:ind w:firstLine="420" w:firstLineChars="200"/>
        <w:rPr>
          <w:rFonts w:hint="eastAsia"/>
          <w:highlight w:val="none"/>
        </w:rPr>
      </w:pPr>
      <w:r>
        <w:rPr>
          <w:rFonts w:hint="eastAsia"/>
          <w:highlight w:val="none"/>
        </w:rPr>
        <w:t>用以量化过程、过程系统或产品系统温室气体排放的参数，以表现</w:t>
      </w:r>
      <w:r>
        <w:rPr>
          <w:rFonts w:hint="eastAsia"/>
          <w:highlight w:val="none"/>
          <w:lang w:eastAsia="zh-CN"/>
        </w:rPr>
        <w:t>它</w:t>
      </w:r>
      <w:r>
        <w:rPr>
          <w:rFonts w:hint="eastAsia"/>
          <w:highlight w:val="none"/>
        </w:rPr>
        <w:t>们对气候变化的贡献。</w:t>
      </w:r>
    </w:p>
    <w:p>
      <w:pPr>
        <w:pStyle w:val="22"/>
        <w:spacing w:before="291" w:beforeLines="100" w:after="291" w:afterLines="100" w:line="360" w:lineRule="auto"/>
        <w:ind w:firstLine="0" w:firstLineChars="0"/>
        <w:outlineLvl w:val="0"/>
        <w:rPr>
          <w:rFonts w:hint="eastAsia" w:ascii="黑体" w:hAnsi="黑体" w:eastAsia="黑体" w:cs="黑体"/>
          <w:kern w:val="0"/>
          <w:sz w:val="21"/>
          <w:highlight w:val="none"/>
        </w:rPr>
      </w:pPr>
      <w:bookmarkStart w:id="31" w:name="_Toc32112"/>
      <w:bookmarkStart w:id="32" w:name="_Toc12562"/>
      <w:r>
        <w:rPr>
          <w:rFonts w:hint="eastAsia" w:ascii="黑体" w:hAnsi="黑体" w:eastAsia="黑体" w:cs="黑体"/>
          <w:kern w:val="0"/>
          <w:sz w:val="21"/>
          <w:highlight w:val="none"/>
        </w:rPr>
        <w:t>4 评价要求</w:t>
      </w:r>
      <w:bookmarkEnd w:id="31"/>
      <w:bookmarkEnd w:id="32"/>
    </w:p>
    <w:p>
      <w:pPr>
        <w:bidi w:val="0"/>
        <w:outlineLvl w:val="1"/>
        <w:rPr>
          <w:rFonts w:hint="eastAsia" w:ascii="黑体" w:hAnsi="黑体" w:eastAsia="黑体" w:cs="黑体"/>
        </w:rPr>
      </w:pPr>
      <w:bookmarkStart w:id="33" w:name="_Toc26529"/>
      <w:bookmarkStart w:id="34" w:name="_Toc26996"/>
      <w:r>
        <w:rPr>
          <w:rFonts w:hint="eastAsia" w:ascii="黑体" w:hAnsi="黑体" w:eastAsia="黑体" w:cs="黑体"/>
        </w:rPr>
        <w:t>4.1 一般要求</w:t>
      </w:r>
      <w:bookmarkEnd w:id="33"/>
      <w:bookmarkEnd w:id="34"/>
    </w:p>
    <w:p>
      <w:pPr>
        <w:rPr>
          <w:rFonts w:hint="eastAsia" w:eastAsia="宋体"/>
          <w:lang w:eastAsia="zh-CN"/>
        </w:rPr>
      </w:pPr>
      <w:r>
        <w:t>4.1.1 生产企业近3年无重大环境污染事件和重大安全事故</w:t>
      </w:r>
      <w:r>
        <w:rPr>
          <w:rFonts w:hint="eastAsia"/>
          <w:lang w:eastAsia="zh-CN"/>
        </w:rPr>
        <w:t>。</w:t>
      </w:r>
    </w:p>
    <w:p>
      <w:r>
        <w:t>4.1.</w:t>
      </w:r>
      <w:r>
        <w:rPr>
          <w:rFonts w:hint="eastAsia"/>
          <w:lang w:val="en-US" w:eastAsia="zh-CN"/>
        </w:rPr>
        <w:t>2</w:t>
      </w:r>
      <w:r>
        <w:t xml:space="preserve"> 生产企业应采用国家鼓励的先进技术工艺，不应使用国家或有关部门发布的淘汰或禁止的技术、工艺、装备及相关物质。</w:t>
      </w:r>
    </w:p>
    <w:p>
      <w:pPr>
        <w:rPr>
          <w:rFonts w:hint="eastAsia" w:eastAsia="宋体"/>
          <w:highlight w:val="none"/>
          <w:lang w:val="en-US" w:eastAsia="zh-CN"/>
        </w:rPr>
      </w:pPr>
      <w:r>
        <w:t>4.1.</w:t>
      </w:r>
      <w:r>
        <w:rPr>
          <w:rFonts w:hint="eastAsia"/>
          <w:lang w:val="en-US" w:eastAsia="zh-CN"/>
        </w:rPr>
        <w:t>3</w:t>
      </w:r>
      <w:r>
        <w:t xml:space="preserve"> 生产企业应按照GB/T 19001、GB/T 24001、GB/T 45001</w:t>
      </w:r>
      <w:r>
        <w:rPr>
          <w:rFonts w:hint="eastAsia"/>
        </w:rPr>
        <w:t>、G</w:t>
      </w:r>
      <w:r>
        <w:t>B/T 23331的规定分别建</w:t>
      </w:r>
      <w:r>
        <w:rPr>
          <w:highlight w:val="none"/>
        </w:rPr>
        <w:t>立并运行质量、环境</w:t>
      </w:r>
      <w:r>
        <w:rPr>
          <w:rFonts w:hint="eastAsia"/>
          <w:highlight w:val="none"/>
        </w:rPr>
        <w:t>、</w:t>
      </w:r>
      <w:r>
        <w:rPr>
          <w:highlight w:val="none"/>
        </w:rPr>
        <w:t>职业健康</w:t>
      </w:r>
      <w:r>
        <w:rPr>
          <w:rFonts w:hint="eastAsia"/>
          <w:highlight w:val="none"/>
        </w:rPr>
        <w:t>安全和能源</w:t>
      </w:r>
      <w:r>
        <w:rPr>
          <w:highlight w:val="none"/>
        </w:rPr>
        <w:t>管理体系。工作场所环境应满足GBZ</w:t>
      </w:r>
      <w:r>
        <w:rPr>
          <w:rFonts w:hint="eastAsia"/>
          <w:highlight w:val="none"/>
          <w:lang w:val="en-US" w:eastAsia="zh-CN"/>
        </w:rPr>
        <w:t xml:space="preserve"> </w:t>
      </w:r>
      <w:r>
        <w:rPr>
          <w:highlight w:val="none"/>
        </w:rPr>
        <w:t>2.1</w:t>
      </w:r>
      <w:r>
        <w:rPr>
          <w:rFonts w:hint="eastAsia"/>
          <w:highlight w:val="none"/>
        </w:rPr>
        <w:t>、</w:t>
      </w:r>
      <w:r>
        <w:rPr>
          <w:highlight w:val="none"/>
        </w:rPr>
        <w:t>GBZ 2.2</w:t>
      </w:r>
      <w:r>
        <w:rPr>
          <w:rFonts w:hint="eastAsia"/>
          <w:highlight w:val="none"/>
          <w:lang w:eastAsia="zh-CN"/>
        </w:rPr>
        <w:t>的</w:t>
      </w:r>
      <w:r>
        <w:rPr>
          <w:highlight w:val="none"/>
        </w:rPr>
        <w:t>要求。</w:t>
      </w:r>
      <w:r>
        <w:rPr>
          <w:rFonts w:hint="eastAsia"/>
          <w:highlight w:val="none"/>
          <w:lang w:eastAsia="zh-CN"/>
        </w:rPr>
        <w:t>安全生产标准化应满足</w:t>
      </w:r>
      <w:r>
        <w:rPr>
          <w:rFonts w:hint="eastAsia"/>
          <w:highlight w:val="none"/>
          <w:lang w:val="en-US" w:eastAsia="zh-CN"/>
        </w:rPr>
        <w:t xml:space="preserve">GB/T </w:t>
      </w:r>
      <w:r>
        <w:t>33000</w:t>
      </w:r>
      <w:r>
        <w:rPr>
          <w:rFonts w:hint="eastAsia"/>
          <w:lang w:eastAsia="zh-CN"/>
        </w:rPr>
        <w:t>的要求。</w:t>
      </w:r>
    </w:p>
    <w:p>
      <w:pPr>
        <w:rPr>
          <w:highlight w:val="none"/>
        </w:rPr>
      </w:pPr>
      <w:r>
        <w:rPr>
          <w:highlight w:val="none"/>
        </w:rPr>
        <w:t>4.1.</w:t>
      </w:r>
      <w:r>
        <w:rPr>
          <w:rFonts w:hint="eastAsia"/>
          <w:highlight w:val="none"/>
          <w:lang w:val="en-US" w:eastAsia="zh-CN"/>
        </w:rPr>
        <w:t>4</w:t>
      </w:r>
      <w:r>
        <w:rPr>
          <w:highlight w:val="none"/>
        </w:rPr>
        <w:t xml:space="preserve"> 生产企业大气污染物排放应满足GB 13271</w:t>
      </w:r>
      <w:r>
        <w:rPr>
          <w:rFonts w:hint="eastAsia"/>
          <w:highlight w:val="none"/>
        </w:rPr>
        <w:t>、</w:t>
      </w:r>
      <w:r>
        <w:rPr>
          <w:rFonts w:hint="eastAsia"/>
          <w:highlight w:val="none"/>
          <w:lang w:val="en-US" w:eastAsia="zh-CN"/>
        </w:rPr>
        <w:t>GB/T 16297、</w:t>
      </w:r>
      <w:r>
        <w:rPr>
          <w:highlight w:val="none"/>
        </w:rPr>
        <w:t>T/CFA 030802-2及国家或地方排放标准中的最严格要求。</w:t>
      </w:r>
    </w:p>
    <w:p>
      <w:pPr>
        <w:rPr>
          <w:rFonts w:hint="eastAsia"/>
          <w:highlight w:val="none"/>
          <w:lang w:eastAsia="zh-CN"/>
        </w:rPr>
      </w:pPr>
      <w:r>
        <w:rPr>
          <w:rFonts w:hint="eastAsia"/>
          <w:highlight w:val="none"/>
        </w:rPr>
        <w:t>4</w:t>
      </w:r>
      <w:r>
        <w:rPr>
          <w:highlight w:val="none"/>
        </w:rPr>
        <w:t>.1.</w:t>
      </w:r>
      <w:r>
        <w:rPr>
          <w:rFonts w:hint="eastAsia"/>
          <w:highlight w:val="none"/>
          <w:lang w:val="en-US" w:eastAsia="zh-CN"/>
        </w:rPr>
        <w:t>5</w:t>
      </w:r>
      <w:r>
        <w:rPr>
          <w:highlight w:val="none"/>
        </w:rPr>
        <w:t xml:space="preserve"> </w:t>
      </w:r>
      <w:r>
        <w:rPr>
          <w:rFonts w:hint="eastAsia"/>
          <w:highlight w:val="none"/>
          <w:lang w:eastAsia="zh-CN"/>
        </w:rPr>
        <w:t>生产</w:t>
      </w:r>
      <w:r>
        <w:rPr>
          <w:rFonts w:hint="eastAsia"/>
          <w:highlight w:val="none"/>
        </w:rPr>
        <w:t>企业</w:t>
      </w:r>
      <w:r>
        <w:rPr>
          <w:rFonts w:hint="eastAsia"/>
          <w:highlight w:val="none"/>
          <w:lang w:eastAsia="zh-CN"/>
        </w:rPr>
        <w:t>污水</w:t>
      </w:r>
      <w:r>
        <w:rPr>
          <w:highlight w:val="none"/>
        </w:rPr>
        <w:t>排放</w:t>
      </w:r>
      <w:r>
        <w:rPr>
          <w:rFonts w:hint="eastAsia"/>
          <w:highlight w:val="none"/>
        </w:rPr>
        <w:t>应符合GB 13456且总排口污水处理与回用水</w:t>
      </w:r>
      <w:r>
        <w:rPr>
          <w:rFonts w:hint="eastAsia"/>
          <w:highlight w:val="none"/>
          <w:lang w:eastAsia="zh-CN"/>
        </w:rPr>
        <w:t>应</w:t>
      </w:r>
      <w:r>
        <w:rPr>
          <w:rFonts w:hint="eastAsia"/>
          <w:highlight w:val="none"/>
        </w:rPr>
        <w:t>符合GB 50672相关技术规定</w:t>
      </w:r>
      <w:r>
        <w:rPr>
          <w:rFonts w:hint="eastAsia"/>
          <w:highlight w:val="none"/>
          <w:lang w:eastAsia="zh-CN"/>
        </w:rPr>
        <w:t>。</w:t>
      </w:r>
    </w:p>
    <w:p>
      <w:pPr>
        <w:rPr>
          <w:rFonts w:hint="eastAsia"/>
          <w:highlight w:val="none"/>
          <w:lang w:eastAsia="zh-CN"/>
        </w:rPr>
      </w:pPr>
      <w:r>
        <w:rPr>
          <w:rFonts w:hint="eastAsia"/>
          <w:highlight w:val="none"/>
          <w:lang w:val="en-US" w:eastAsia="zh-CN"/>
        </w:rPr>
        <w:t xml:space="preserve">4.1.6 </w:t>
      </w:r>
      <w:r>
        <w:rPr>
          <w:rFonts w:hint="eastAsia"/>
          <w:highlight w:val="none"/>
        </w:rPr>
        <w:t>固体废弃物</w:t>
      </w:r>
      <w:r>
        <w:rPr>
          <w:rFonts w:hint="eastAsia"/>
          <w:highlight w:val="none"/>
          <w:lang w:eastAsia="zh-CN"/>
        </w:rPr>
        <w:t>的贮存和处置应</w:t>
      </w:r>
      <w:r>
        <w:rPr>
          <w:rFonts w:hint="eastAsia"/>
          <w:highlight w:val="none"/>
        </w:rPr>
        <w:t>符合GB 1859</w:t>
      </w:r>
      <w:r>
        <w:rPr>
          <w:rFonts w:hint="eastAsia"/>
          <w:highlight w:val="none"/>
          <w:lang w:val="en-US" w:eastAsia="zh-CN"/>
        </w:rPr>
        <w:t>7</w:t>
      </w:r>
      <w:r>
        <w:rPr>
          <w:rFonts w:hint="eastAsia"/>
          <w:highlight w:val="none"/>
          <w:lang w:eastAsia="zh-CN"/>
        </w:rPr>
        <w:t>和</w:t>
      </w:r>
      <w:r>
        <w:rPr>
          <w:rFonts w:hint="eastAsia"/>
          <w:highlight w:val="none"/>
        </w:rPr>
        <w:t>GB 1859</w:t>
      </w:r>
      <w:r>
        <w:rPr>
          <w:rFonts w:hint="eastAsia"/>
          <w:highlight w:val="none"/>
          <w:lang w:val="en-US" w:eastAsia="zh-CN"/>
        </w:rPr>
        <w:t>9的</w:t>
      </w:r>
      <w:r>
        <w:rPr>
          <w:rFonts w:hint="eastAsia"/>
          <w:highlight w:val="none"/>
        </w:rPr>
        <w:t>相关控制要求</w:t>
      </w:r>
      <w:r>
        <w:rPr>
          <w:rFonts w:hint="eastAsia"/>
          <w:highlight w:val="none"/>
          <w:lang w:eastAsia="zh-CN"/>
        </w:rPr>
        <w:t>。</w:t>
      </w:r>
    </w:p>
    <w:p>
      <w:pPr>
        <w:rPr>
          <w:rFonts w:hint="eastAsia"/>
          <w:highlight w:val="none"/>
        </w:rPr>
      </w:pPr>
      <w:r>
        <w:rPr>
          <w:rFonts w:hint="eastAsia"/>
          <w:highlight w:val="none"/>
          <w:lang w:val="en-US" w:eastAsia="zh-CN"/>
        </w:rPr>
        <w:t xml:space="preserve">4.1.7 </w:t>
      </w:r>
      <w:r>
        <w:rPr>
          <w:rFonts w:hint="eastAsia"/>
          <w:highlight w:val="none"/>
        </w:rPr>
        <w:t>噪声排放应符合GB 12348规定的排放标准或地方排放标准的最高要求。</w:t>
      </w:r>
    </w:p>
    <w:p>
      <w:pPr>
        <w:rPr>
          <w:rFonts w:hint="eastAsia"/>
          <w:highlight w:val="none"/>
        </w:rPr>
      </w:pPr>
      <w:r>
        <w:rPr>
          <w:rFonts w:hint="eastAsia"/>
          <w:highlight w:val="none"/>
          <w:lang w:val="en-US" w:eastAsia="zh-CN"/>
        </w:rPr>
        <w:t xml:space="preserve">4.1.8 </w:t>
      </w:r>
      <w:r>
        <w:rPr>
          <w:rFonts w:hint="eastAsia"/>
          <w:highlight w:val="none"/>
        </w:rPr>
        <w:t>生产企业的污染物总量控制应满足企业排污许可的排放总量和管理要求，包括但不限于废砂芯和铸造废渣、砂浆内衬过程产生的固废等。</w:t>
      </w:r>
    </w:p>
    <w:p>
      <w:pPr>
        <w:bidi w:val="0"/>
        <w:rPr>
          <w:highlight w:val="yellow"/>
        </w:rPr>
      </w:pPr>
      <w:r>
        <w:t>4.1.</w:t>
      </w:r>
      <w:r>
        <w:rPr>
          <w:rFonts w:hint="eastAsia"/>
          <w:lang w:val="en-US" w:eastAsia="zh-CN"/>
        </w:rPr>
        <w:t>9</w:t>
      </w:r>
      <w:r>
        <w:t xml:space="preserve"> </w:t>
      </w:r>
      <w:r>
        <w:rPr>
          <w:rFonts w:hint="eastAsia"/>
        </w:rPr>
        <w:t>水及燃气用</w:t>
      </w:r>
      <w:r>
        <w:t>球墨铸铁管及管件的基本性能</w:t>
      </w:r>
      <w:r>
        <w:rPr>
          <w:rFonts w:hint="eastAsia"/>
        </w:rPr>
        <w:t>和产品质量</w:t>
      </w:r>
      <w:r>
        <w:t>应符合GB/T 13295的要求，</w:t>
      </w:r>
      <w:r>
        <w:rPr>
          <w:rFonts w:hint="eastAsia"/>
          <w:lang w:eastAsia="zh-CN"/>
        </w:rPr>
        <w:t>排水</w:t>
      </w:r>
      <w:r>
        <w:rPr>
          <w:rFonts w:hint="eastAsia"/>
        </w:rPr>
        <w:t>用</w:t>
      </w:r>
      <w:r>
        <w:t>球墨铸铁管及管件的基本性能</w:t>
      </w:r>
      <w:r>
        <w:rPr>
          <w:rFonts w:hint="eastAsia"/>
        </w:rPr>
        <w:t>和产品质量</w:t>
      </w:r>
      <w:r>
        <w:t>应符合GB/T 26081的要求</w:t>
      </w:r>
      <w:r>
        <w:rPr>
          <w:rFonts w:hint="eastAsia"/>
        </w:rPr>
        <w:t>，</w:t>
      </w:r>
      <w:r>
        <w:t>水泥砂浆离心法衬层的、性能应符合GB/T 17457</w:t>
      </w:r>
      <w:r>
        <w:rPr>
          <w:rFonts w:hint="eastAsia"/>
        </w:rPr>
        <w:t>、</w:t>
      </w:r>
      <w:r>
        <w:t>GB/T 17458的要求。球墨铸铁管及管件的涂层应符合GB/T 17459</w:t>
      </w:r>
      <w:r>
        <w:rPr>
          <w:rFonts w:hint="eastAsia"/>
        </w:rPr>
        <w:t>、</w:t>
      </w:r>
      <w:r>
        <w:t>GB/T 17456的要求。</w:t>
      </w:r>
    </w:p>
    <w:p>
      <w:pPr>
        <w:bidi w:val="0"/>
        <w:outlineLvl w:val="1"/>
        <w:rPr>
          <w:rFonts w:hint="eastAsia" w:ascii="黑体" w:hAnsi="黑体" w:eastAsia="黑体" w:cs="黑体"/>
        </w:rPr>
      </w:pPr>
      <w:bookmarkStart w:id="35" w:name="_Toc13412"/>
      <w:bookmarkStart w:id="36" w:name="_Toc32620"/>
      <w:r>
        <w:rPr>
          <w:rFonts w:hint="eastAsia" w:ascii="黑体" w:hAnsi="黑体" w:eastAsia="黑体" w:cs="黑体"/>
        </w:rPr>
        <w:t>4.2 评价指标要求</w:t>
      </w:r>
      <w:bookmarkEnd w:id="35"/>
      <w:bookmarkEnd w:id="36"/>
    </w:p>
    <w:p>
      <w:pPr>
        <w:ind w:firstLine="435"/>
      </w:pPr>
      <w:r>
        <w:rPr>
          <w:rFonts w:ascii="宋体" w:hAnsi="宋体"/>
        </w:rPr>
        <w:t>水及燃气用球墨铸铁管及管件和</w:t>
      </w:r>
      <w:r>
        <w:rPr>
          <w:rFonts w:hint="eastAsia" w:ascii="宋体" w:hAnsi="宋体"/>
          <w:lang w:eastAsia="zh-CN"/>
        </w:rPr>
        <w:t>排水</w:t>
      </w:r>
      <w:r>
        <w:rPr>
          <w:rFonts w:ascii="宋体" w:hAnsi="宋体"/>
        </w:rPr>
        <w:t>用球墨铸铁管及管件产品的绿色建材评价</w:t>
      </w:r>
      <w:r>
        <w:rPr>
          <w:rFonts w:hint="eastAsia" w:ascii="宋体" w:hAnsi="宋体"/>
        </w:rPr>
        <w:t>指标包括资源属性指标、能源属性指标、环境属性指标和品质属性指标</w:t>
      </w:r>
      <w:r>
        <w:rPr>
          <w:rFonts w:hint="eastAsia" w:ascii="宋体" w:hAnsi="宋体"/>
          <w:lang w:eastAsia="zh-CN"/>
        </w:rPr>
        <w:t>，</w:t>
      </w:r>
      <w:r>
        <w:rPr>
          <w:rFonts w:hint="eastAsia" w:ascii="宋体" w:hAnsi="宋体"/>
          <w:highlight w:val="none"/>
        </w:rPr>
        <w:t>评价指标要求见表</w:t>
      </w:r>
      <w:r>
        <w:rPr>
          <w:rFonts w:hint="eastAsia" w:ascii="宋体" w:hAnsi="宋体"/>
          <w:highlight w:val="none"/>
          <w:lang w:val="en-US" w:eastAsia="zh-CN"/>
        </w:rPr>
        <w:t>1</w:t>
      </w:r>
      <w:r>
        <w:rPr>
          <w:rFonts w:hint="eastAsia" w:ascii="宋体" w:hAnsi="宋体"/>
          <w:highlight w:val="none"/>
        </w:rPr>
        <w:t>。</w:t>
      </w:r>
    </w:p>
    <w:p>
      <w:pPr>
        <w:spacing w:after="145" w:afterLines="50" w:line="240" w:lineRule="auto"/>
        <w:ind w:firstLine="442" w:firstLineChars="0"/>
        <w:jc w:val="center"/>
        <w:outlineLvl w:val="9"/>
        <w:rPr>
          <w:rFonts w:hint="eastAsia" w:eastAsia="黑体"/>
          <w:bCs/>
          <w:szCs w:val="21"/>
          <w:highlight w:val="none"/>
        </w:rPr>
      </w:pPr>
    </w:p>
    <w:p>
      <w:pPr>
        <w:spacing w:after="145" w:afterLines="50" w:line="240" w:lineRule="auto"/>
        <w:ind w:firstLine="442" w:firstLineChars="0"/>
        <w:jc w:val="center"/>
        <w:outlineLvl w:val="0"/>
        <w:rPr>
          <w:rFonts w:hint="eastAsia" w:eastAsia="黑体"/>
          <w:bCs/>
          <w:szCs w:val="21"/>
          <w:highlight w:val="none"/>
        </w:rPr>
      </w:pPr>
      <w:bookmarkStart w:id="37" w:name="_Toc14000"/>
      <w:bookmarkStart w:id="38" w:name="_Toc8027"/>
      <w:r>
        <w:rPr>
          <w:rFonts w:hint="eastAsia" w:eastAsia="黑体"/>
          <w:bCs/>
          <w:szCs w:val="21"/>
          <w:highlight w:val="none"/>
        </w:rPr>
        <w:t>表</w:t>
      </w:r>
      <w:r>
        <w:rPr>
          <w:rFonts w:hint="eastAsia" w:eastAsia="黑体"/>
          <w:bCs/>
          <w:szCs w:val="21"/>
          <w:highlight w:val="none"/>
          <w:lang w:val="en-US" w:eastAsia="zh-CN"/>
        </w:rPr>
        <w:t>1</w:t>
      </w:r>
      <w:r>
        <w:rPr>
          <w:rFonts w:hint="eastAsia" w:eastAsia="黑体"/>
          <w:bCs/>
          <w:szCs w:val="21"/>
          <w:highlight w:val="none"/>
        </w:rPr>
        <w:t xml:space="preserve"> 球墨铸铁管及管件的评价指标要求</w:t>
      </w:r>
      <w:bookmarkEnd w:id="37"/>
      <w:bookmarkEnd w:id="38"/>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2058"/>
        <w:gridCol w:w="1382"/>
        <w:gridCol w:w="1382"/>
        <w:gridCol w:w="1382"/>
        <w:gridCol w:w="13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75" w:type="dxa"/>
            <w:vMerge w:val="restart"/>
            <w:tcBorders/>
            <w:vAlign w:val="center"/>
          </w:tcPr>
          <w:p>
            <w:pPr>
              <w:spacing w:line="240" w:lineRule="auto"/>
              <w:jc w:val="center"/>
              <w:rPr>
                <w:rFonts w:eastAsia="黑体"/>
                <w:szCs w:val="21"/>
              </w:rPr>
            </w:pPr>
            <w:r>
              <w:rPr>
                <w:rFonts w:eastAsia="黑体"/>
                <w:szCs w:val="21"/>
              </w:rPr>
              <w:t>一级指标</w:t>
            </w:r>
          </w:p>
        </w:tc>
        <w:tc>
          <w:tcPr>
            <w:tcW w:w="2058" w:type="dxa"/>
            <w:vMerge w:val="restart"/>
            <w:tcBorders/>
            <w:vAlign w:val="center"/>
          </w:tcPr>
          <w:p>
            <w:pPr>
              <w:spacing w:line="240" w:lineRule="auto"/>
              <w:jc w:val="center"/>
              <w:rPr>
                <w:rFonts w:eastAsia="黑体"/>
                <w:szCs w:val="21"/>
              </w:rPr>
            </w:pPr>
            <w:r>
              <w:rPr>
                <w:rFonts w:eastAsia="黑体"/>
                <w:szCs w:val="21"/>
              </w:rPr>
              <w:t>二级指标</w:t>
            </w:r>
          </w:p>
        </w:tc>
        <w:tc>
          <w:tcPr>
            <w:tcW w:w="1382" w:type="dxa"/>
            <w:vMerge w:val="restart"/>
            <w:tcBorders/>
            <w:vAlign w:val="center"/>
          </w:tcPr>
          <w:p>
            <w:pPr>
              <w:spacing w:line="240" w:lineRule="auto"/>
              <w:jc w:val="center"/>
              <w:rPr>
                <w:rFonts w:eastAsia="黑体"/>
                <w:szCs w:val="21"/>
              </w:rPr>
            </w:pPr>
            <w:r>
              <w:rPr>
                <w:rFonts w:eastAsia="黑体"/>
                <w:szCs w:val="21"/>
              </w:rPr>
              <w:t>单位</w:t>
            </w:r>
          </w:p>
        </w:tc>
        <w:tc>
          <w:tcPr>
            <w:tcW w:w="4146" w:type="dxa"/>
            <w:gridSpan w:val="3"/>
            <w:tcBorders/>
            <w:vAlign w:val="center"/>
          </w:tcPr>
          <w:p>
            <w:pPr>
              <w:spacing w:line="240" w:lineRule="auto"/>
              <w:jc w:val="center"/>
              <w:rPr>
                <w:rFonts w:eastAsia="黑体"/>
                <w:szCs w:val="21"/>
              </w:rPr>
            </w:pPr>
            <w:r>
              <w:rPr>
                <w:rFonts w:eastAsia="黑体"/>
                <w:szCs w:val="21"/>
              </w:rPr>
              <w:t>基准值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75" w:type="dxa"/>
            <w:vMerge w:val="continue"/>
            <w:tcBorders>
              <w:bottom w:val="single" w:color="auto" w:sz="12" w:space="0"/>
            </w:tcBorders>
            <w:vAlign w:val="center"/>
          </w:tcPr>
          <w:p>
            <w:pPr>
              <w:spacing w:line="240" w:lineRule="auto"/>
              <w:jc w:val="center"/>
              <w:rPr>
                <w:rFonts w:eastAsia="黑体"/>
                <w:szCs w:val="21"/>
              </w:rPr>
            </w:pPr>
          </w:p>
        </w:tc>
        <w:tc>
          <w:tcPr>
            <w:tcW w:w="2058" w:type="dxa"/>
            <w:vMerge w:val="continue"/>
            <w:tcBorders>
              <w:bottom w:val="single" w:color="auto" w:sz="12" w:space="0"/>
            </w:tcBorders>
            <w:vAlign w:val="center"/>
          </w:tcPr>
          <w:p>
            <w:pPr>
              <w:spacing w:line="240" w:lineRule="auto"/>
              <w:jc w:val="center"/>
              <w:rPr>
                <w:rFonts w:eastAsia="黑体"/>
                <w:szCs w:val="21"/>
              </w:rPr>
            </w:pPr>
          </w:p>
        </w:tc>
        <w:tc>
          <w:tcPr>
            <w:tcW w:w="1382" w:type="dxa"/>
            <w:vMerge w:val="continue"/>
            <w:tcBorders>
              <w:bottom w:val="single" w:color="auto" w:sz="12" w:space="0"/>
            </w:tcBorders>
            <w:vAlign w:val="center"/>
          </w:tcPr>
          <w:p>
            <w:pPr>
              <w:spacing w:line="240" w:lineRule="auto"/>
              <w:jc w:val="center"/>
              <w:rPr>
                <w:rFonts w:eastAsia="黑体"/>
                <w:szCs w:val="21"/>
              </w:rPr>
            </w:pPr>
          </w:p>
        </w:tc>
        <w:tc>
          <w:tcPr>
            <w:tcW w:w="1382" w:type="dxa"/>
            <w:tcBorders>
              <w:bottom w:val="single" w:color="auto" w:sz="12" w:space="0"/>
            </w:tcBorders>
            <w:vAlign w:val="center"/>
          </w:tcPr>
          <w:p>
            <w:pPr>
              <w:spacing w:line="240" w:lineRule="auto"/>
              <w:jc w:val="center"/>
              <w:rPr>
                <w:rFonts w:eastAsia="黑体"/>
                <w:szCs w:val="21"/>
              </w:rPr>
            </w:pPr>
            <w:r>
              <w:rPr>
                <w:rFonts w:eastAsia="黑体"/>
                <w:szCs w:val="21"/>
              </w:rPr>
              <w:t>一星级</w:t>
            </w:r>
          </w:p>
        </w:tc>
        <w:tc>
          <w:tcPr>
            <w:tcW w:w="1382" w:type="dxa"/>
            <w:tcBorders>
              <w:bottom w:val="single" w:color="auto" w:sz="12" w:space="0"/>
            </w:tcBorders>
            <w:vAlign w:val="center"/>
          </w:tcPr>
          <w:p>
            <w:pPr>
              <w:spacing w:line="240" w:lineRule="auto"/>
              <w:jc w:val="center"/>
              <w:rPr>
                <w:rFonts w:eastAsia="黑体"/>
                <w:szCs w:val="21"/>
              </w:rPr>
            </w:pPr>
            <w:r>
              <w:rPr>
                <w:rFonts w:eastAsia="黑体"/>
                <w:szCs w:val="21"/>
              </w:rPr>
              <w:t>二星级</w:t>
            </w:r>
          </w:p>
        </w:tc>
        <w:tc>
          <w:tcPr>
            <w:tcW w:w="1382" w:type="dxa"/>
            <w:tcBorders>
              <w:bottom w:val="single" w:color="auto" w:sz="12" w:space="0"/>
            </w:tcBorders>
            <w:vAlign w:val="center"/>
          </w:tcPr>
          <w:p>
            <w:pPr>
              <w:spacing w:line="240" w:lineRule="auto"/>
              <w:jc w:val="center"/>
              <w:rPr>
                <w:rFonts w:eastAsia="黑体"/>
                <w:szCs w:val="21"/>
              </w:rPr>
            </w:pPr>
            <w:r>
              <w:rPr>
                <w:rFonts w:eastAsia="黑体"/>
                <w:szCs w:val="21"/>
              </w:rPr>
              <w:t>三星级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restart"/>
            <w:tcBorders>
              <w:top w:val="single" w:color="auto" w:sz="12" w:space="0"/>
              <w:right w:val="single" w:color="auto" w:sz="12" w:space="0"/>
            </w:tcBorders>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资源属性</w:t>
            </w:r>
          </w:p>
        </w:tc>
        <w:tc>
          <w:tcPr>
            <w:tcW w:w="2058" w:type="dxa"/>
            <w:tcBorders>
              <w:top w:val="single" w:color="auto" w:sz="12" w:space="0"/>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废品管综合利用率</w:t>
            </w:r>
          </w:p>
        </w:tc>
        <w:tc>
          <w:tcPr>
            <w:tcW w:w="1382" w:type="dxa"/>
            <w:tcBorders>
              <w:top w:val="single" w:color="auto" w:sz="12" w:space="0"/>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w:t>
            </w:r>
          </w:p>
        </w:tc>
        <w:tc>
          <w:tcPr>
            <w:tcW w:w="1382" w:type="dxa"/>
            <w:tcBorders>
              <w:top w:val="single" w:color="auto" w:sz="12" w:space="0"/>
              <w:tl2br w:val="nil"/>
              <w:tr2bl w:val="nil"/>
            </w:tcBorders>
            <w:vAlign w:val="center"/>
          </w:tcPr>
          <w:p>
            <w:pPr>
              <w:spacing w:line="240" w:lineRule="auto"/>
              <w:jc w:val="center"/>
              <w:rPr>
                <w:rFonts w:hint="default" w:ascii="Times New Roman" w:hAnsi="Times New Roman" w:eastAsia="宋体" w:cs="Times New Roman"/>
                <w:sz w:val="18"/>
                <w:szCs w:val="18"/>
                <w:highlight w:val="none"/>
              </w:rPr>
            </w:pPr>
            <w:r>
              <w:rPr>
                <w:rFonts w:hint="default" w:ascii="宋体" w:hAnsi="宋体" w:eastAsia="宋体" w:cs="宋体"/>
                <w:sz w:val="18"/>
                <w:szCs w:val="18"/>
                <w:highlight w:val="none"/>
                <w:lang w:eastAsia="zh-CN"/>
              </w:rPr>
              <w:t>≥</w:t>
            </w:r>
            <w:r>
              <w:rPr>
                <w:rFonts w:hint="default" w:ascii="Times New Roman" w:hAnsi="Times New Roman" w:eastAsia="宋体" w:cs="Times New Roman"/>
                <w:sz w:val="18"/>
                <w:szCs w:val="18"/>
                <w:highlight w:val="none"/>
                <w:lang w:val="en-US" w:eastAsia="zh-CN"/>
              </w:rPr>
              <w:t>95</w:t>
            </w:r>
          </w:p>
        </w:tc>
        <w:tc>
          <w:tcPr>
            <w:tcW w:w="1382" w:type="dxa"/>
            <w:tcBorders>
              <w:top w:val="single" w:color="auto" w:sz="12" w:space="0"/>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rPr>
            </w:pPr>
            <w:r>
              <w:rPr>
                <w:rFonts w:hint="default" w:ascii="宋体" w:hAnsi="宋体" w:eastAsia="宋体" w:cs="宋体"/>
                <w:sz w:val="18"/>
                <w:szCs w:val="18"/>
                <w:highlight w:val="none"/>
                <w:lang w:eastAsia="zh-CN"/>
              </w:rPr>
              <w:t>≥</w:t>
            </w:r>
            <w:r>
              <w:rPr>
                <w:rFonts w:hint="default" w:ascii="Times New Roman" w:hAnsi="Times New Roman" w:eastAsia="宋体" w:cs="Times New Roman"/>
                <w:sz w:val="18"/>
                <w:szCs w:val="18"/>
                <w:highlight w:val="none"/>
                <w:lang w:val="en-US" w:eastAsia="zh-CN"/>
              </w:rPr>
              <w:t>96</w:t>
            </w:r>
          </w:p>
        </w:tc>
        <w:tc>
          <w:tcPr>
            <w:tcW w:w="1382" w:type="dxa"/>
            <w:tcBorders>
              <w:top w:val="single" w:color="auto" w:sz="12" w:space="0"/>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rPr>
            </w:pPr>
            <w:r>
              <w:rPr>
                <w:rFonts w:hint="default" w:ascii="Times New Roman" w:hAnsi="Times New Roman" w:eastAsia="宋体" w:cs="Times New Roman"/>
                <w:sz w:val="18"/>
                <w:szCs w:val="18"/>
                <w:highlight w:val="none"/>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continue"/>
            <w:tcBorders>
              <w:right w:val="single" w:color="auto" w:sz="12" w:space="0"/>
            </w:tcBorders>
            <w:vAlign w:val="center"/>
          </w:tcPr>
          <w:p>
            <w:pPr>
              <w:spacing w:line="240" w:lineRule="auto"/>
              <w:jc w:val="center"/>
              <w:rPr>
                <w:rFonts w:hint="eastAsia" w:ascii="宋体" w:hAnsi="宋体" w:eastAsia="宋体" w:cs="宋体"/>
                <w:sz w:val="18"/>
                <w:szCs w:val="18"/>
              </w:rPr>
            </w:pP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吨管用水量</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t</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eastAsia="zh-CN"/>
              </w:rPr>
            </w:pPr>
            <w:r>
              <w:rPr>
                <w:rFonts w:hint="default" w:ascii="宋体" w:hAnsi="宋体" w:eastAsia="宋体" w:cs="宋体"/>
                <w:sz w:val="18"/>
                <w:szCs w:val="18"/>
                <w:highlight w:val="none"/>
                <w:lang w:val="en-US" w:eastAsia="zh-CN"/>
              </w:rPr>
              <w:t>＜</w:t>
            </w:r>
            <w:r>
              <w:rPr>
                <w:rFonts w:hint="default" w:ascii="Times New Roman" w:hAnsi="Times New Roman" w:eastAsia="宋体" w:cs="Times New Roman"/>
                <w:sz w:val="18"/>
                <w:szCs w:val="18"/>
                <w:highlight w:val="none"/>
                <w:lang w:val="en-US" w:eastAsia="zh-CN"/>
              </w:rPr>
              <w:t>1.6～3.0</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rPr>
            </w:pPr>
            <w:r>
              <w:rPr>
                <w:rFonts w:hint="default" w:ascii="宋体" w:hAnsi="宋体" w:eastAsia="宋体" w:cs="宋体"/>
                <w:sz w:val="18"/>
                <w:szCs w:val="18"/>
                <w:highlight w:val="none"/>
                <w:lang w:val="en-US" w:eastAsia="zh-CN"/>
              </w:rPr>
              <w:t>＜</w:t>
            </w:r>
            <w:r>
              <w:rPr>
                <w:rFonts w:hint="default" w:ascii="Times New Roman" w:hAnsi="Times New Roman" w:eastAsia="宋体" w:cs="Times New Roman"/>
                <w:sz w:val="18"/>
                <w:szCs w:val="18"/>
                <w:highlight w:val="none"/>
                <w:lang w:val="en-US" w:eastAsia="zh-CN"/>
              </w:rPr>
              <w:t>1.2～1.6</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rPr>
            </w:pPr>
            <w:r>
              <w:rPr>
                <w:rFonts w:hint="default" w:ascii="宋体" w:hAnsi="宋体" w:eastAsia="宋体" w:cs="宋体"/>
                <w:sz w:val="18"/>
                <w:szCs w:val="18"/>
                <w:highlight w:val="none"/>
                <w:lang w:val="en-US" w:eastAsia="zh-CN"/>
              </w:rPr>
              <w:t>≤</w:t>
            </w:r>
            <w:r>
              <w:rPr>
                <w:rFonts w:hint="default" w:ascii="Times New Roman" w:hAnsi="Times New Roman" w:eastAsia="宋体" w:cs="Times New Roman"/>
                <w:sz w:val="18"/>
                <w:szCs w:val="18"/>
                <w:highlight w:val="none"/>
                <w:lang w:val="en-US" w:eastAsia="zh-CN"/>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continue"/>
            <w:tcBorders>
              <w:right w:val="single" w:color="auto" w:sz="12" w:space="0"/>
            </w:tcBorders>
            <w:vAlign w:val="center"/>
          </w:tcPr>
          <w:p>
            <w:pPr>
              <w:spacing w:line="240" w:lineRule="auto"/>
              <w:jc w:val="center"/>
              <w:rPr>
                <w:rFonts w:hint="eastAsia" w:ascii="宋体" w:hAnsi="宋体" w:eastAsia="宋体" w:cs="宋体"/>
                <w:sz w:val="18"/>
                <w:szCs w:val="18"/>
              </w:rPr>
            </w:pP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生产水重复利用率</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rPr>
            </w:pPr>
            <w:r>
              <w:rPr>
                <w:rFonts w:hint="default" w:ascii="Times New Roman" w:hAnsi="Times New Roman" w:eastAsia="宋体" w:cs="Times New Roman"/>
                <w:sz w:val="18"/>
                <w:szCs w:val="18"/>
                <w:highlight w:val="none"/>
                <w:lang w:val="en-US" w:eastAsia="zh-CN"/>
              </w:rPr>
              <w:t>%</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rPr>
            </w:pPr>
            <w:r>
              <w:rPr>
                <w:rFonts w:hint="eastAsia" w:ascii="宋体" w:hAnsi="宋体" w:eastAsia="宋体" w:cs="宋体"/>
                <w:sz w:val="18"/>
                <w:szCs w:val="18"/>
                <w:highlight w:val="none"/>
                <w:lang w:eastAsia="zh-CN"/>
              </w:rPr>
              <w:t>≥</w:t>
            </w:r>
            <w:r>
              <w:rPr>
                <w:rFonts w:hint="default" w:ascii="Times New Roman" w:hAnsi="Times New Roman" w:eastAsia="宋体" w:cs="Times New Roman"/>
                <w:sz w:val="18"/>
                <w:szCs w:val="18"/>
                <w:highlight w:val="none"/>
                <w:lang w:val="en-US" w:eastAsia="zh-CN"/>
              </w:rPr>
              <w:t>95</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rPr>
            </w:pPr>
            <w:r>
              <w:rPr>
                <w:rFonts w:hint="default" w:ascii="宋体" w:hAnsi="宋体" w:eastAsia="宋体" w:cs="宋体"/>
                <w:sz w:val="18"/>
                <w:szCs w:val="18"/>
                <w:highlight w:val="none"/>
                <w:lang w:eastAsia="zh-CN"/>
              </w:rPr>
              <w:t>≥</w:t>
            </w:r>
            <w:r>
              <w:rPr>
                <w:rFonts w:hint="default" w:ascii="Times New Roman" w:hAnsi="Times New Roman" w:eastAsia="宋体" w:cs="Times New Roman"/>
                <w:sz w:val="18"/>
                <w:szCs w:val="18"/>
                <w:highlight w:val="none"/>
                <w:lang w:val="en-US" w:eastAsia="zh-CN"/>
              </w:rPr>
              <w:t>96</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rPr>
            </w:pPr>
            <w:r>
              <w:rPr>
                <w:rFonts w:hint="default" w:ascii="宋体" w:hAnsi="宋体" w:eastAsia="宋体" w:cs="宋体"/>
                <w:sz w:val="18"/>
                <w:szCs w:val="18"/>
                <w:highlight w:val="none"/>
                <w:lang w:eastAsia="zh-CN"/>
              </w:rPr>
              <w:t>≥</w:t>
            </w:r>
            <w:r>
              <w:rPr>
                <w:rFonts w:hint="default" w:ascii="Times New Roman" w:hAnsi="Times New Roman" w:eastAsia="宋体" w:cs="Times New Roman"/>
                <w:sz w:val="18"/>
                <w:szCs w:val="18"/>
                <w:highlight w:val="none"/>
                <w:lang w:val="en-US" w:eastAsia="zh-CN"/>
              </w:rPr>
              <w:t>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continue"/>
            <w:tcBorders>
              <w:right w:val="single" w:color="auto" w:sz="12" w:space="0"/>
            </w:tcBorders>
            <w:vAlign w:val="center"/>
          </w:tcPr>
          <w:p>
            <w:pPr>
              <w:spacing w:line="240" w:lineRule="auto"/>
              <w:jc w:val="center"/>
              <w:rPr>
                <w:rFonts w:hint="eastAsia" w:ascii="宋体" w:hAnsi="宋体" w:eastAsia="宋体" w:cs="宋体"/>
                <w:sz w:val="18"/>
                <w:szCs w:val="18"/>
              </w:rPr>
            </w:pP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锌粉回收利用率</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val="en-US" w:eastAsia="zh-CN"/>
              </w:rPr>
              <w:t>%</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宋体" w:hAnsi="宋体" w:eastAsia="宋体" w:cs="宋体"/>
                <w:sz w:val="18"/>
                <w:szCs w:val="18"/>
                <w:highlight w:val="none"/>
                <w:lang w:eastAsia="zh-CN"/>
              </w:rPr>
              <w:t>≥</w:t>
            </w:r>
            <w:r>
              <w:rPr>
                <w:rFonts w:hint="default" w:ascii="Times New Roman" w:hAnsi="Times New Roman" w:eastAsia="宋体" w:cs="Times New Roman"/>
                <w:sz w:val="18"/>
                <w:szCs w:val="18"/>
                <w:highlight w:val="none"/>
                <w:lang w:val="en-US" w:eastAsia="zh-CN"/>
              </w:rPr>
              <w:t>95</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宋体" w:hAnsi="宋体" w:eastAsia="宋体" w:cs="宋体"/>
                <w:sz w:val="18"/>
                <w:szCs w:val="18"/>
                <w:highlight w:val="none"/>
                <w:lang w:eastAsia="zh-CN"/>
              </w:rPr>
              <w:t>≥</w:t>
            </w:r>
            <w:r>
              <w:rPr>
                <w:rFonts w:hint="default" w:ascii="Times New Roman" w:hAnsi="Times New Roman" w:eastAsia="宋体" w:cs="Times New Roman"/>
                <w:sz w:val="18"/>
                <w:szCs w:val="18"/>
                <w:highlight w:val="none"/>
                <w:lang w:val="en-US" w:eastAsia="zh-CN"/>
              </w:rPr>
              <w:t>98</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kern w:val="2"/>
                <w:sz w:val="18"/>
                <w:szCs w:val="18"/>
                <w:highlight w:val="none"/>
                <w:lang w:val="en-US" w:eastAsia="zh-CN" w:bidi="ar-SA"/>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restart"/>
            <w:tcBorders>
              <w:right w:val="single" w:color="auto" w:sz="12" w:space="0"/>
            </w:tcBorders>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能源属性</w:t>
            </w: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单位产品能耗限额等级</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3级</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2级</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highlight w:val="none"/>
                <w:lang w:val="en-US" w:eastAsia="zh-CN" w:bidi="ar-SA"/>
              </w:rPr>
            </w:pPr>
            <w:r>
              <w:rPr>
                <w:rFonts w:hint="default" w:ascii="Times New Roman" w:hAnsi="Times New Roman" w:eastAsia="宋体" w:cs="Times New Roman"/>
                <w:sz w:val="18"/>
                <w:szCs w:val="18"/>
                <w:highlight w:val="none"/>
                <w:lang w:val="en-US" w:eastAsia="zh-CN"/>
              </w:rPr>
              <w:t>1级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continue"/>
            <w:tcBorders>
              <w:right w:val="single" w:color="auto" w:sz="12" w:space="0"/>
            </w:tcBorders>
            <w:vAlign w:val="center"/>
          </w:tcPr>
          <w:p>
            <w:pPr>
              <w:spacing w:line="240" w:lineRule="auto"/>
              <w:jc w:val="center"/>
              <w:rPr>
                <w:rFonts w:hint="eastAsia" w:ascii="宋体" w:hAnsi="宋体" w:eastAsia="宋体" w:cs="宋体"/>
                <w:sz w:val="18"/>
                <w:szCs w:val="18"/>
              </w:rPr>
            </w:pP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管水泥内衬水力摩阻系数，当量粗糙度K值</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mm</w:t>
            </w:r>
          </w:p>
        </w:tc>
        <w:tc>
          <w:tcPr>
            <w:tcW w:w="2764" w:type="dxa"/>
            <w:gridSpan w:val="2"/>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lang w:val="en-US" w:eastAsia="zh-CN"/>
              </w:rPr>
              <w:t>≤0.030</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≤0.020mm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restart"/>
            <w:tcBorders>
              <w:right w:val="single" w:color="auto" w:sz="12" w:space="0"/>
            </w:tcBorders>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环境属性</w:t>
            </w: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eastAsia="zh-CN"/>
              </w:rPr>
              <w:t>产品生命周期环境影响</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sz w:val="18"/>
                <w:szCs w:val="18"/>
                <w:lang w:eastAsia="zh-CN"/>
              </w:rPr>
              <w:t>—</w:t>
            </w:r>
          </w:p>
        </w:tc>
        <w:tc>
          <w:tcPr>
            <w:tcW w:w="4146" w:type="dxa"/>
            <w:gridSpan w:val="3"/>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进行环境产品声明（EPD）和碳足迹分析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continue"/>
            <w:tcBorders>
              <w:right w:val="single" w:color="auto" w:sz="12" w:space="0"/>
            </w:tcBorders>
            <w:vAlign w:val="center"/>
          </w:tcPr>
          <w:p>
            <w:pPr>
              <w:spacing w:line="240" w:lineRule="auto"/>
              <w:jc w:val="center"/>
              <w:rPr>
                <w:rFonts w:hint="eastAsia" w:ascii="宋体" w:hAnsi="宋体" w:eastAsia="宋体" w:cs="宋体"/>
                <w:sz w:val="18"/>
                <w:szCs w:val="18"/>
              </w:rPr>
            </w:pP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eastAsia="zh-CN"/>
              </w:rPr>
            </w:pPr>
            <w:r>
              <w:rPr>
                <w:rFonts w:hint="eastAsia" w:ascii="宋体" w:hAnsi="宋体" w:eastAsia="宋体" w:cs="宋体"/>
                <w:sz w:val="18"/>
                <w:szCs w:val="18"/>
              </w:rPr>
              <w:t>水泥内衬重金属析出量（输送饮用水时）</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w:t>
            </w:r>
          </w:p>
        </w:tc>
        <w:tc>
          <w:tcPr>
            <w:tcW w:w="4146" w:type="dxa"/>
            <w:gridSpan w:val="3"/>
            <w:tcBorders>
              <w:tl2br w:val="nil"/>
              <w:tr2bl w:val="nil"/>
            </w:tcBorders>
            <w:vAlign w:val="center"/>
          </w:tcPr>
          <w:p>
            <w:pPr>
              <w:spacing w:line="240" w:lineRule="auto"/>
              <w:jc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bCs/>
                <w:kern w:val="0"/>
                <w:sz w:val="18"/>
                <w:szCs w:val="18"/>
              </w:rPr>
              <w:t>满足GB/T 17219</w:t>
            </w:r>
            <w:r>
              <w:rPr>
                <w:rFonts w:hint="default" w:ascii="Times New Roman" w:hAnsi="Times New Roman" w:eastAsia="宋体" w:cs="Times New Roman"/>
                <w:bCs/>
                <w:kern w:val="0"/>
                <w:sz w:val="18"/>
                <w:szCs w:val="18"/>
                <w:lang w:val="en-US" w:eastAsia="zh-CN"/>
              </w:rPr>
              <w:t>及</w:t>
            </w:r>
            <w:r>
              <w:rPr>
                <w:rFonts w:hint="default" w:ascii="Times New Roman" w:hAnsi="Times New Roman" w:eastAsia="宋体" w:cs="Times New Roman"/>
                <w:bCs/>
                <w:kern w:val="0"/>
                <w:sz w:val="18"/>
                <w:szCs w:val="18"/>
              </w:rPr>
              <w:t>卫生部《生活饮用水输配水设备及防护材料卫生安全评价规范》要求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restart"/>
            <w:tcBorders>
              <w:right w:val="single" w:color="auto" w:sz="12" w:space="0"/>
            </w:tcBorders>
            <w:vAlign w:val="center"/>
          </w:tcPr>
          <w:p>
            <w:pPr>
              <w:spacing w:line="240" w:lineRule="auto"/>
              <w:jc w:val="center"/>
              <w:rPr>
                <w:rFonts w:hint="eastAsia" w:ascii="宋体" w:hAnsi="宋体" w:eastAsia="宋体" w:cs="宋体"/>
                <w:sz w:val="18"/>
                <w:szCs w:val="18"/>
              </w:rPr>
            </w:pPr>
            <w:r>
              <w:rPr>
                <w:rFonts w:hint="eastAsia" w:ascii="宋体" w:hAnsi="宋体" w:eastAsia="宋体" w:cs="宋体"/>
                <w:sz w:val="18"/>
                <w:szCs w:val="18"/>
              </w:rPr>
              <w:t>品质属性</w:t>
            </w: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石墨球化等级</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3级</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rPr>
              <w:t>2级</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rPr>
              <w:t>1级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continue"/>
            <w:tcBorders>
              <w:right w:val="single" w:color="auto" w:sz="12" w:space="0"/>
              <w:tl2br w:val="nil"/>
              <w:tr2bl w:val="nil"/>
            </w:tcBorders>
            <w:vAlign w:val="center"/>
          </w:tcPr>
          <w:p>
            <w:pPr>
              <w:spacing w:line="240" w:lineRule="auto"/>
              <w:jc w:val="center"/>
              <w:rPr>
                <w:rFonts w:hint="eastAsia" w:ascii="宋体" w:hAnsi="宋体" w:eastAsia="宋体" w:cs="宋体"/>
                <w:sz w:val="18"/>
                <w:szCs w:val="18"/>
              </w:rPr>
            </w:pP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锌涂层对金属</w:t>
            </w:r>
          </w:p>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基底附着力</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MPa</w:t>
            </w:r>
          </w:p>
        </w:tc>
        <w:tc>
          <w:tcPr>
            <w:tcW w:w="4146" w:type="dxa"/>
            <w:gridSpan w:val="3"/>
            <w:tcBorders>
              <w:tl2br w:val="nil"/>
              <w:tr2bl w:val="nil"/>
            </w:tcBorders>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75" w:type="dxa"/>
            <w:vMerge w:val="continue"/>
            <w:tcBorders>
              <w:right w:val="single" w:color="auto" w:sz="12" w:space="0"/>
              <w:tl2br w:val="nil"/>
              <w:tr2bl w:val="nil"/>
            </w:tcBorders>
            <w:vAlign w:val="center"/>
          </w:tcPr>
          <w:p>
            <w:pPr>
              <w:spacing w:line="240" w:lineRule="auto"/>
              <w:jc w:val="center"/>
              <w:rPr>
                <w:rFonts w:hint="eastAsia" w:ascii="宋体" w:hAnsi="宋体" w:eastAsia="宋体" w:cs="宋体"/>
                <w:sz w:val="18"/>
                <w:szCs w:val="18"/>
              </w:rPr>
            </w:pPr>
          </w:p>
        </w:tc>
        <w:tc>
          <w:tcPr>
            <w:tcW w:w="2058" w:type="dxa"/>
            <w:tcBorders>
              <w:left w:val="single" w:color="auto" w:sz="12" w:space="0"/>
              <w:tl2br w:val="nil"/>
              <w:tr2bl w:val="nil"/>
            </w:tcBorders>
            <w:vAlign w:val="center"/>
          </w:tcPr>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径向刚度试验后</w:t>
            </w:r>
          </w:p>
          <w:p>
            <w:pPr>
              <w:spacing w:line="240" w:lineRule="auto"/>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水泥内衬完整性</w:t>
            </w:r>
          </w:p>
        </w:tc>
        <w:tc>
          <w:tcPr>
            <w:tcW w:w="1382" w:type="dxa"/>
            <w:tcBorders>
              <w:tl2br w:val="nil"/>
              <w:tr2bl w:val="nil"/>
            </w:tcBorders>
            <w:vAlign w:val="center"/>
          </w:tcPr>
          <w:p>
            <w:pPr>
              <w:spacing w:line="240" w:lineRule="auto"/>
              <w:jc w:val="center"/>
              <w:rPr>
                <w:rFonts w:hint="default" w:ascii="Times New Roman" w:hAnsi="Times New Roman" w:eastAsia="宋体" w:cs="Times New Roman"/>
                <w:sz w:val="18"/>
                <w:szCs w:val="18"/>
                <w:lang w:eastAsia="zh-CN"/>
              </w:rPr>
            </w:pPr>
            <w:r>
              <w:rPr>
                <w:rFonts w:hint="default" w:ascii="Times New Roman" w:hAnsi="Times New Roman" w:eastAsia="宋体" w:cs="Times New Roman"/>
                <w:sz w:val="18"/>
                <w:szCs w:val="18"/>
                <w:lang w:eastAsia="zh-CN"/>
              </w:rPr>
              <w:t>—</w:t>
            </w:r>
          </w:p>
        </w:tc>
        <w:tc>
          <w:tcPr>
            <w:tcW w:w="4146" w:type="dxa"/>
            <w:gridSpan w:val="3"/>
            <w:tcBorders>
              <w:tl2br w:val="nil"/>
              <w:tr2bl w:val="nil"/>
            </w:tcBorders>
            <w:vAlign w:val="center"/>
          </w:tcPr>
          <w:p>
            <w:pPr>
              <w:spacing w:line="240" w:lineRule="auto"/>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内衬无影响性能的缺陷</w:t>
            </w:r>
          </w:p>
        </w:tc>
      </w:tr>
    </w:tbl>
    <w:p>
      <w:pPr>
        <w:rPr>
          <w:rFonts w:hint="eastAsia" w:ascii="宋体" w:hAnsi="宋体" w:eastAsia="宋体" w:cs="宋体"/>
          <w:sz w:val="18"/>
          <w:szCs w:val="18"/>
        </w:rPr>
      </w:pPr>
    </w:p>
    <w:p>
      <w:pPr>
        <w:pStyle w:val="22"/>
        <w:spacing w:before="291" w:beforeLines="100" w:after="291" w:afterLines="100" w:line="360" w:lineRule="auto"/>
        <w:ind w:firstLine="0" w:firstLineChars="0"/>
        <w:outlineLvl w:val="0"/>
        <w:rPr>
          <w:rFonts w:hint="eastAsia" w:ascii="黑体" w:hAnsi="黑体" w:eastAsia="黑体" w:cs="黑体"/>
          <w:kern w:val="0"/>
          <w:sz w:val="21"/>
          <w:highlight w:val="none"/>
        </w:rPr>
      </w:pPr>
      <w:bookmarkStart w:id="39" w:name="_Toc9738"/>
      <w:bookmarkStart w:id="40" w:name="_Toc31867"/>
      <w:r>
        <w:rPr>
          <w:rFonts w:hint="eastAsia" w:ascii="黑体" w:hAnsi="黑体" w:eastAsia="黑体" w:cs="黑体"/>
          <w:kern w:val="0"/>
          <w:sz w:val="21"/>
          <w:highlight w:val="none"/>
        </w:rPr>
        <w:t>5 评价方法</w:t>
      </w:r>
      <w:bookmarkEnd w:id="39"/>
      <w:bookmarkEnd w:id="40"/>
    </w:p>
    <w:p>
      <w:pPr>
        <w:rPr>
          <w:rFonts w:hint="eastAsia" w:ascii="宋体" w:hAnsi="宋体" w:cs="宋体"/>
          <w:sz w:val="21"/>
          <w:szCs w:val="21"/>
          <w:lang w:val="en-US" w:eastAsia="zh-CN"/>
        </w:rPr>
      </w:pPr>
      <w:r>
        <w:rPr>
          <w:rFonts w:hint="eastAsia" w:ascii="宋体" w:hAnsi="宋体" w:eastAsia="宋体" w:cs="宋体"/>
          <w:sz w:val="21"/>
          <w:szCs w:val="21"/>
          <w:lang w:val="en-US" w:eastAsia="zh-CN"/>
        </w:rPr>
        <w:t xml:space="preserve">5.1 </w:t>
      </w:r>
      <w:r>
        <w:rPr>
          <w:rFonts w:hint="eastAsia" w:ascii="宋体" w:hAnsi="宋体" w:cs="宋体"/>
          <w:sz w:val="21"/>
          <w:szCs w:val="21"/>
          <w:lang w:val="en-US" w:eastAsia="zh-CN"/>
        </w:rPr>
        <w:t>生产企业满足第4章对应评价等级的全部要求时,判定评价结果符合该评价等级规定。</w:t>
      </w:r>
    </w:p>
    <w:p>
      <w:pPr>
        <w:pStyle w:val="6"/>
        <w:rPr>
          <w:rFonts w:hint="eastAsia" w:ascii="宋体" w:hAnsi="宋体" w:eastAsia="宋体" w:cs="宋体"/>
          <w:sz w:val="21"/>
          <w:szCs w:val="21"/>
          <w:lang w:val="en-US" w:eastAsia="zh-CN"/>
        </w:rPr>
      </w:pPr>
      <w:r>
        <w:rPr>
          <w:rFonts w:hint="eastAsia" w:ascii="宋体" w:hAnsi="宋体" w:cs="宋体"/>
          <w:sz w:val="21"/>
          <w:szCs w:val="21"/>
          <w:lang w:val="en-US" w:eastAsia="zh-CN"/>
        </w:rPr>
        <w:t xml:space="preserve">5.2 </w:t>
      </w:r>
      <w:r>
        <w:rPr>
          <w:rFonts w:hint="eastAsia" w:ascii="宋体" w:hAnsi="宋体" w:eastAsia="宋体" w:cs="宋体"/>
          <w:sz w:val="21"/>
          <w:szCs w:val="21"/>
          <w:lang w:val="en-US" w:eastAsia="zh-CN"/>
        </w:rPr>
        <w:t>生产企业应按第4章的规定提供</w:t>
      </w:r>
      <w:r>
        <w:rPr>
          <w:rFonts w:hint="eastAsia" w:ascii="宋体" w:hAnsi="宋体" w:cs="宋体"/>
          <w:sz w:val="21"/>
          <w:szCs w:val="21"/>
          <w:lang w:val="en-US" w:eastAsia="zh-CN"/>
        </w:rPr>
        <w:t>有效期内的</w:t>
      </w:r>
      <w:r>
        <w:rPr>
          <w:rFonts w:hint="eastAsia" w:ascii="宋体" w:hAnsi="宋体" w:eastAsia="宋体" w:cs="宋体"/>
          <w:sz w:val="21"/>
          <w:szCs w:val="21"/>
          <w:lang w:val="en-US" w:eastAsia="zh-CN"/>
        </w:rPr>
        <w:t>相关证明文件</w:t>
      </w:r>
      <w:r>
        <w:rPr>
          <w:rFonts w:hint="eastAsia" w:ascii="宋体" w:hAnsi="宋体" w:cs="宋体"/>
          <w:sz w:val="21"/>
          <w:szCs w:val="21"/>
          <w:lang w:val="en-US" w:eastAsia="zh-CN"/>
        </w:rPr>
        <w:t>，包括不限于：第三方检测报告、管理体系认证证书、安全生产标准化证书、EPD和碳足迹评价报告、应用技术文件等相关资料）</w:t>
      </w:r>
      <w:r>
        <w:rPr>
          <w:rFonts w:hint="eastAsia" w:ascii="宋体" w:hAnsi="宋体" w:eastAsia="宋体" w:cs="宋体"/>
          <w:sz w:val="21"/>
          <w:szCs w:val="21"/>
          <w:lang w:val="en-US" w:eastAsia="zh-CN"/>
        </w:rPr>
        <w:t>。</w:t>
      </w:r>
    </w:p>
    <w:p>
      <w:pPr>
        <w:pStyle w:val="6"/>
        <w:rPr>
          <w:rFonts w:hint="default" w:ascii="宋体" w:hAnsi="宋体" w:eastAsia="宋体" w:cs="宋体"/>
          <w:sz w:val="21"/>
          <w:szCs w:val="21"/>
          <w:lang w:val="en-US" w:eastAsia="zh-CN"/>
        </w:rPr>
      </w:pPr>
    </w:p>
    <w:p>
      <w:pPr>
        <w:rPr>
          <w:rFonts w:eastAsia="黑体"/>
          <w:kern w:val="0"/>
          <w:szCs w:val="21"/>
        </w:rPr>
        <w:sectPr>
          <w:pgSz w:w="11906" w:h="16838"/>
          <w:pgMar w:top="1440" w:right="1803" w:bottom="1440" w:left="1803" w:header="1418" w:footer="850" w:gutter="0"/>
          <w:pgBorders>
            <w:top w:val="none" w:sz="0" w:space="0"/>
            <w:left w:val="none" w:sz="0" w:space="0"/>
            <w:bottom w:val="none" w:sz="0" w:space="0"/>
            <w:right w:val="none" w:sz="0" w:space="0"/>
          </w:pgBorders>
          <w:cols w:space="425" w:num="1"/>
          <w:docGrid w:linePitch="312" w:charSpace="0"/>
        </w:sectPr>
      </w:pPr>
    </w:p>
    <w:p>
      <w:pPr>
        <w:rPr>
          <w:rFonts w:eastAsia="黑体"/>
          <w:kern w:val="0"/>
          <w:szCs w:val="21"/>
        </w:rPr>
      </w:pPr>
    </w:p>
    <w:p>
      <w:pPr>
        <w:pStyle w:val="22"/>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outlineLvl w:val="0"/>
        <w:rPr>
          <w:rFonts w:hint="eastAsia" w:ascii="黑体" w:hAnsi="黑体" w:eastAsia="黑体" w:cs="黑体"/>
          <w:kern w:val="0"/>
          <w:sz w:val="21"/>
          <w:szCs w:val="21"/>
          <w:highlight w:val="none"/>
        </w:rPr>
      </w:pPr>
      <w:bookmarkStart w:id="41" w:name="_Toc18177"/>
      <w:r>
        <w:rPr>
          <w:rFonts w:hint="eastAsia" w:ascii="黑体" w:hAnsi="黑体" w:eastAsia="黑体" w:cs="黑体"/>
          <w:kern w:val="0"/>
          <w:sz w:val="21"/>
          <w:szCs w:val="21"/>
          <w:highlight w:val="none"/>
          <w:lang w:val="en-US" w:eastAsia="zh-CN"/>
        </w:rPr>
        <w:t>附  录  A</w:t>
      </w:r>
      <w:bookmarkEnd w:id="41"/>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rPr>
        <w:t>(规范性附录)</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outlineLvl w:val="0"/>
        <w:rPr>
          <w:rFonts w:hint="eastAsia" w:ascii="黑体" w:hAnsi="黑体" w:eastAsia="黑体" w:cs="黑体"/>
          <w:sz w:val="21"/>
          <w:szCs w:val="21"/>
        </w:rPr>
      </w:pPr>
      <w:bookmarkStart w:id="42" w:name="_Toc14255"/>
      <w:r>
        <w:rPr>
          <w:rFonts w:hint="eastAsia" w:ascii="黑体" w:hAnsi="黑体" w:eastAsia="黑体" w:cs="黑体"/>
          <w:color w:val="000000"/>
          <w:kern w:val="0"/>
          <w:sz w:val="21"/>
          <w:szCs w:val="21"/>
          <w:lang w:val="en-US" w:eastAsia="zh-CN"/>
        </w:rPr>
        <w:t>评价指标计算方法</w:t>
      </w:r>
      <w:bookmarkEnd w:id="42"/>
    </w:p>
    <w:p>
      <w:pPr>
        <w:pStyle w:val="6"/>
        <w:jc w:val="left"/>
        <w:rPr>
          <w:rFonts w:hint="eastAsia"/>
          <w:lang w:val="en-US" w:eastAsia="zh-CN"/>
        </w:rPr>
      </w:pPr>
    </w:p>
    <w:p>
      <w:pPr>
        <w:rPr>
          <w:rFonts w:ascii="黑体" w:hAnsi="黑体" w:eastAsia="黑体" w:cs="黑体"/>
          <w:lang w:val="en-GB"/>
        </w:rPr>
      </w:pPr>
      <w:r>
        <w:rPr>
          <w:rFonts w:ascii="黑体" w:hAnsi="黑体" w:eastAsia="黑体" w:cs="黑体"/>
          <w:lang w:val="en-GB"/>
        </w:rPr>
        <w:t>A.</w:t>
      </w:r>
      <w:r>
        <w:rPr>
          <w:rFonts w:hint="eastAsia" w:ascii="黑体" w:hAnsi="黑体" w:eastAsia="黑体" w:cs="黑体"/>
          <w:lang w:val="en-US" w:eastAsia="zh-CN"/>
        </w:rPr>
        <w:t>1</w:t>
      </w:r>
      <w:r>
        <w:rPr>
          <w:rFonts w:hint="eastAsia" w:ascii="黑体" w:hAnsi="黑体" w:eastAsia="黑体" w:cs="黑体"/>
          <w:lang w:val="en-GB"/>
        </w:rPr>
        <w:t>废品管回炉率</w:t>
      </w:r>
    </w:p>
    <w:p>
      <w:pPr>
        <w:pStyle w:val="22"/>
        <w:tabs>
          <w:tab w:val="center" w:pos="4201"/>
          <w:tab w:val="right" w:leader="dot" w:pos="9298"/>
        </w:tabs>
        <w:rPr>
          <w:rFonts w:hint="eastAsia"/>
          <w:lang w:eastAsia="zh-CN"/>
        </w:rPr>
      </w:pPr>
      <w:r>
        <w:rPr>
          <w:rFonts w:hint="eastAsia"/>
        </w:rPr>
        <w:t>废品管包括不带内衬和带内衬两种情况，计算废品管质量时，应去除内衬的质量（主要指水泥内衬）。废品管破碎后回炉时，应称重。废品管回炉率按式（A.</w:t>
      </w:r>
      <w:r>
        <w:rPr>
          <w:rFonts w:hint="eastAsia"/>
          <w:lang w:val="en-US" w:eastAsia="zh-CN"/>
        </w:rPr>
        <w:t>1</w:t>
      </w:r>
      <w:r>
        <w:rPr>
          <w:rFonts w:hint="eastAsia"/>
        </w:rPr>
        <w:t>）计算</w:t>
      </w:r>
      <w:r>
        <w:rPr>
          <w:rFonts w:hint="eastAsia"/>
          <w:lang w:eastAsia="zh-CN"/>
        </w:rPr>
        <w:t>：</w:t>
      </w:r>
    </w:p>
    <w:p>
      <w:pPr>
        <w:pStyle w:val="22"/>
        <w:tabs>
          <w:tab w:val="center" w:pos="1995"/>
          <w:tab w:val="right" w:leader="dot" w:pos="9298"/>
        </w:tabs>
        <w:ind w:firstLine="2090" w:firstLineChars="950"/>
        <w:jc w:val="right"/>
      </w:pPr>
      <w:r>
        <w:ptab w:relativeTo="margin" w:alignment="center" w:leader="none"/>
      </w:r>
      <m:oMath>
        <m:r>
          <m:rPr>
            <m:sty m:val="p"/>
          </m:rPr>
          <w:rPr>
            <w:rFonts w:hint="eastAsia" w:ascii="Cambria Math" w:hAnsi="Cambria Math"/>
          </w:rPr>
          <m:t>M=</m:t>
        </m:r>
        <m:f>
          <m:fPr>
            <m:ctrlPr>
              <w:rPr>
                <w:rFonts w:ascii="Cambria Math" w:hAnsi="Cambria Math" w:eastAsia="宋体" w:cs="Times New Roman"/>
              </w:rPr>
            </m:ctrlPr>
          </m:fPr>
          <m:num>
            <m:sSub>
              <m:sSubPr>
                <m:ctrlPr>
                  <w:rPr>
                    <w:rFonts w:ascii="Cambria Math" w:hAnsi="Cambria Math" w:eastAsia="宋体" w:cs="Times New Roman"/>
                  </w:rPr>
                </m:ctrlPr>
              </m:sSubPr>
              <m:e>
                <m:r>
                  <m:rPr/>
                  <w:rPr>
                    <w:rFonts w:hint="eastAsia" w:ascii="Cambria Math" w:hAnsi="Cambria Math"/>
                    <w:lang w:val="en-GB"/>
                  </w:rPr>
                  <m:t>S</m:t>
                </m:r>
                <m:ctrlPr>
                  <w:rPr>
                    <w:rFonts w:ascii="Cambria Math" w:hAnsi="Cambria Math" w:eastAsia="宋体" w:cs="Times New Roman"/>
                  </w:rPr>
                </m:ctrlPr>
              </m:e>
              <m:sub>
                <m:r>
                  <m:rPr>
                    <m:sty m:val="p"/>
                  </m:rPr>
                  <w:rPr>
                    <w:rFonts w:ascii="Cambria Math" w:hAnsi="Cambria Math"/>
                  </w:rPr>
                  <m:t>r</m:t>
                </m:r>
                <m:ctrlPr>
                  <w:rPr>
                    <w:rFonts w:ascii="Cambria Math" w:hAnsi="Cambria Math" w:eastAsia="宋体" w:cs="Times New Roman"/>
                  </w:rPr>
                </m:ctrlPr>
              </m:sub>
            </m:sSub>
            <m:ctrlPr>
              <w:rPr>
                <w:rFonts w:ascii="Cambria Math" w:hAnsi="Cambria Math" w:eastAsia="宋体" w:cs="Times New Roman"/>
              </w:rPr>
            </m:ctrlPr>
          </m:num>
          <m:den>
            <m:sSub>
              <m:sSubPr>
                <m:ctrlPr>
                  <w:rPr>
                    <w:rFonts w:ascii="Cambria Math" w:hAnsi="Cambria Math" w:eastAsia="宋体" w:cs="Times New Roman"/>
                  </w:rPr>
                </m:ctrlPr>
              </m:sSubPr>
              <m:e>
                <m:r>
                  <m:rPr>
                    <m:sty m:val="p"/>
                  </m:rPr>
                  <w:rPr>
                    <w:rFonts w:hint="eastAsia" w:ascii="Cambria Math" w:hAnsi="Cambria Math"/>
                  </w:rPr>
                  <m:t>L</m:t>
                </m:r>
                <m:ctrlPr>
                  <w:rPr>
                    <w:rFonts w:ascii="Cambria Math" w:hAnsi="Cambria Math" w:eastAsia="宋体" w:cs="Times New Roman"/>
                  </w:rPr>
                </m:ctrlPr>
              </m:e>
              <m:sub>
                <m:r>
                  <m:rPr>
                    <m:sty m:val="p"/>
                  </m:rPr>
                  <w:rPr>
                    <w:rFonts w:ascii="Cambria Math" w:hAnsi="Cambria Math"/>
                  </w:rPr>
                  <m:t>t</m:t>
                </m:r>
                <m:ctrlPr>
                  <w:rPr>
                    <w:rFonts w:ascii="Cambria Math" w:hAnsi="Cambria Math" w:eastAsia="宋体" w:cs="Times New Roman"/>
                  </w:rPr>
                </m:ctrlPr>
              </m:sub>
            </m:sSub>
            <m:ctrlPr>
              <w:rPr>
                <w:rFonts w:ascii="Cambria Math" w:hAnsi="Cambria Math" w:eastAsia="宋体" w:cs="Times New Roman"/>
              </w:rPr>
            </m:ctrlPr>
          </m:den>
        </m:f>
      </m:oMath>
      <w:r>
        <w:rPr>
          <w:rFonts w:ascii="Cambria Math" w:hAnsi="Cambria Math"/>
          <w:position w:val="-28"/>
        </w:rPr>
        <w:fldChar w:fldCharType="begin"/>
      </w:r>
      <w:r>
        <w:rPr>
          <w:rFonts w:ascii="Cambria Math" w:hAnsi="Cambria Math"/>
          <w:position w:val="-28"/>
        </w:rPr>
        <w:instrText xml:space="preserve"> QUOTE </w:instrText>
      </w:r>
      <m:oMath>
        <m:r>
          <m:rPr>
            <m:sty m:val="p"/>
          </m:rPr>
          <w:rPr>
            <w:rFonts w:hint="eastAsia" w:ascii="Cambria Math" w:hAnsi="Cambria Math"/>
          </w:rPr>
          <m:t xml:space="preserve">S=</m:t>
        </m:r>
        <m:f>
          <m:fPr>
            <m:ctrlPr>
              <w:rPr>
                <w:rFonts w:ascii="Cambria Math" w:hAnsi="Cambria Math" w:eastAsia="宋体" w:cs="Times New Roman"/>
              </w:rPr>
            </m:ctrlPr>
          </m:fPr>
          <m:num>
            <m:sSub>
              <m:sSubPr>
                <m:ctrlPr>
                  <w:rPr>
                    <w:rFonts w:ascii="Cambria Math" w:hAnsi="Cambria Math" w:eastAsia="宋体" w:cs="Times New Roman"/>
                  </w:rPr>
                </m:ctrlPr>
              </m:sSubPr>
              <m:e>
                <m:r>
                  <m:rPr>
                    <m:sty m:val="p"/>
                  </m:rPr>
                  <w:rPr>
                    <w:rFonts w:ascii="Cambria Math" w:hAnsi="Cambria Math"/>
                    <w:lang w:val="en-GB"/>
                  </w:rPr>
                  <m:t xml:space="preserve">Q</m:t>
                </m:r>
                <m:ctrlPr>
                  <w:rPr>
                    <w:rFonts w:ascii="Cambria Math" w:hAnsi="Cambria Math" w:eastAsia="宋体" w:cs="Times New Roman"/>
                  </w:rPr>
                </m:ctrlPr>
              </m:e>
              <m:sub>
                <m:r>
                  <m:rPr>
                    <m:sty m:val="p"/>
                  </m:rPr>
                  <w:rPr>
                    <w:rFonts w:ascii="Cambria Math" w:hAnsi="Cambria Math"/>
                  </w:rPr>
                  <m:t xml:space="preserve">r</m:t>
                </m:r>
                <m:ctrlPr>
                  <w:rPr>
                    <w:rFonts w:ascii="Cambria Math" w:hAnsi="Cambria Math" w:eastAsia="宋体" w:cs="Times New Roman"/>
                  </w:rPr>
                </m:ctrlPr>
              </m:sub>
            </m:sSub>
            <m:ctrlPr>
              <w:rPr>
                <w:rFonts w:ascii="Cambria Math" w:hAnsi="Cambria Math" w:eastAsia="宋体" w:cs="Times New Roman"/>
              </w:rPr>
            </m:ctrlPr>
          </m:num>
          <m:den>
            <m:sSub>
              <m:sSubPr>
                <m:ctrlPr>
                  <w:rPr>
                    <w:rFonts w:ascii="Cambria Math" w:hAnsi="Cambria Math" w:eastAsia="宋体" w:cs="Times New Roman"/>
                  </w:rPr>
                </m:ctrlPr>
              </m:sSubPr>
              <m:e>
                <m:r>
                  <m:rPr>
                    <m:sty m:val="p"/>
                  </m:rPr>
                  <w:rPr>
                    <w:rFonts w:ascii="Cambria Math" w:hAnsi="Cambria Math"/>
                  </w:rPr>
                  <m:t xml:space="preserve">Q</m:t>
                </m:r>
                <m:ctrlPr>
                  <w:rPr>
                    <w:rFonts w:ascii="Cambria Math" w:hAnsi="Cambria Math" w:eastAsia="宋体" w:cs="Times New Roman"/>
                  </w:rPr>
                </m:ctrlPr>
              </m:e>
              <m:sub>
                <m:r>
                  <m:rPr>
                    <m:sty m:val="p"/>
                  </m:rPr>
                  <w:rPr>
                    <w:rFonts w:ascii="Cambria Math" w:hAnsi="Cambria Math"/>
                  </w:rPr>
                  <m:t xml:space="preserve">t</m:t>
                </m:r>
                <m:ctrlPr>
                  <w:rPr>
                    <w:rFonts w:ascii="Cambria Math" w:hAnsi="Cambria Math" w:eastAsia="宋体" w:cs="Times New Roman"/>
                  </w:rPr>
                </m:ctrlPr>
              </m:sub>
            </m:sSub>
            <m:ctrlPr>
              <w:rPr>
                <w:rFonts w:ascii="Cambria Math" w:hAnsi="Cambria Math" w:eastAsia="宋体" w:cs="Times New Roman"/>
              </w:rPr>
            </m:ctrlPr>
          </m:den>
        </m:f>
      </m:oMath>
      <w:r>
        <w:rPr>
          <w:rFonts w:ascii="Cambria Math" w:hAnsi="Cambria Math"/>
          <w:position w:val="-28"/>
        </w:rPr>
        <w:instrText xml:space="preserve"> </w:instrText>
      </w:r>
      <w:r>
        <w:rPr>
          <w:rFonts w:ascii="Cambria Math" w:hAnsi="Cambria Math"/>
          <w:position w:val="-28"/>
        </w:rPr>
        <w:fldChar w:fldCharType="end"/>
      </w:r>
      <w:r>
        <w:rPr>
          <w:rFonts w:hint="eastAsia" w:hAnsi="宋体"/>
        </w:rPr>
        <w:t>×</w:t>
      </w:r>
      <w:r>
        <w:rPr>
          <w:rFonts w:hint="eastAsia"/>
        </w:rPr>
        <w:t>100%</w:t>
      </w:r>
      <w:r>
        <w:rPr>
          <w:rFonts w:ascii="Times New Roman" w:hAnsi="Times New Roman" w:cs="Times New Roman"/>
        </w:rPr>
        <w:ptab w:relativeTo="margin" w:alignment="right" w:leader="middleDot"/>
      </w:r>
      <w:r>
        <w:rPr>
          <w:rFonts w:ascii="Times New Roman" w:hAnsi="Times New Roman" w:cs="Times New Roman"/>
        </w:rPr>
        <w:t xml:space="preserve"> </w:t>
      </w:r>
      <w:r>
        <w:rPr>
          <w:rFonts w:ascii="Times New Roman"/>
        </w:rPr>
        <w:t>(A.</w:t>
      </w:r>
      <w:r>
        <w:rPr>
          <w:rFonts w:hint="eastAsia" w:ascii="Times New Roman"/>
          <w:lang w:val="en-US" w:eastAsia="zh-CN"/>
        </w:rPr>
        <w:t>1</w:t>
      </w:r>
      <w:r>
        <w:rPr>
          <w:rFonts w:ascii="Times New Roman"/>
        </w:rPr>
        <w:t>)</w:t>
      </w:r>
    </w:p>
    <w:p>
      <w:pPr>
        <w:pStyle w:val="22"/>
        <w:tabs>
          <w:tab w:val="center" w:pos="4201"/>
          <w:tab w:val="right" w:leader="dot" w:pos="9298"/>
        </w:tabs>
        <w:rPr>
          <w:rFonts w:ascii="Times New Roman" w:hAnsi="Times New Roman" w:cs="Times New Roman"/>
        </w:rPr>
      </w:pPr>
      <w:r>
        <w:rPr>
          <w:rFonts w:hint="eastAsia" w:ascii="Times New Roman" w:hAnsi="Times New Roman" w:cs="Times New Roman"/>
        </w:rPr>
        <w:t>式中：</w:t>
      </w:r>
    </w:p>
    <w:p>
      <w:pPr>
        <w:pStyle w:val="22"/>
        <w:tabs>
          <w:tab w:val="center" w:pos="4201"/>
          <w:tab w:val="right" w:leader="dot" w:pos="9298"/>
        </w:tabs>
        <w:rPr>
          <w:rFonts w:ascii="Times New Roman" w:hAnsi="Times New Roman" w:cs="Times New Roman"/>
        </w:rPr>
      </w:pPr>
      <w:r>
        <w:rPr>
          <w:rFonts w:ascii="Times New Roman" w:hAnsi="Times New Roman" w:cs="Times New Roman"/>
        </w:rPr>
        <w:t>M</w:t>
      </w:r>
      <w:r>
        <w:rPr>
          <w:rFonts w:hint="eastAsia" w:ascii="Times New Roman" w:hAnsi="Times New Roman" w:cs="Times New Roman"/>
        </w:rPr>
        <w:t>——废品管回炉率，单位为百分比（</w:t>
      </w:r>
      <w:r>
        <w:rPr>
          <w:rFonts w:ascii="Times New Roman" w:hAnsi="Times New Roman" w:cs="Times New Roman"/>
        </w:rPr>
        <w:t>%</w:t>
      </w:r>
      <w:r>
        <w:rPr>
          <w:rFonts w:hint="eastAsia" w:ascii="Times New Roman" w:hAnsi="Times New Roman" w:cs="Times New Roman"/>
        </w:rPr>
        <w:t>）；</w:t>
      </w:r>
    </w:p>
    <w:p>
      <w:pPr>
        <w:pStyle w:val="22"/>
        <w:tabs>
          <w:tab w:val="center" w:pos="4201"/>
          <w:tab w:val="right" w:leader="dot" w:pos="9298"/>
        </w:tabs>
        <w:rPr>
          <w:rFonts w:ascii="Times New Roman" w:hAnsi="Times New Roman" w:cs="Times New Roman"/>
        </w:rPr>
      </w:pPr>
      <w:r>
        <w:rPr>
          <w:rFonts w:ascii="Times New Roman" w:hAnsi="Times New Roman" w:cs="Times New Roman"/>
        </w:rPr>
        <w:t>S</w:t>
      </w:r>
      <w:r>
        <w:rPr>
          <w:rFonts w:ascii="Times New Roman" w:hAnsi="Times New Roman" w:cs="Times New Roman"/>
          <w:vertAlign w:val="subscript"/>
        </w:rPr>
        <w:t>r</w:t>
      </w:r>
      <w:r>
        <w:rPr>
          <w:rFonts w:hint="eastAsia" w:ascii="Times New Roman" w:hAnsi="Times New Roman" w:cs="Times New Roman"/>
        </w:rPr>
        <w:t>——统计期内加入熔炼炉内的废品管质量，一般为</w:t>
      </w:r>
      <w:r>
        <w:rPr>
          <w:rFonts w:ascii="Times New Roman" w:hAnsi="Times New Roman" w:cs="Times New Roman"/>
        </w:rPr>
        <w:t>1</w:t>
      </w:r>
      <w:r>
        <w:rPr>
          <w:rFonts w:hint="eastAsia" w:ascii="Times New Roman" w:hAnsi="Times New Roman" w:cs="Times New Roman"/>
        </w:rPr>
        <w:t>年，单位为吨（</w:t>
      </w:r>
      <w:r>
        <w:rPr>
          <w:rFonts w:ascii="Times New Roman" w:hAnsi="Times New Roman" w:cs="Times New Roman"/>
        </w:rPr>
        <w:t>t</w:t>
      </w:r>
      <w:r>
        <w:rPr>
          <w:rFonts w:hint="eastAsia" w:ascii="Times New Roman" w:hAnsi="Times New Roman" w:cs="Times New Roman"/>
        </w:rPr>
        <w:t>）；</w:t>
      </w:r>
    </w:p>
    <w:p>
      <w:pPr>
        <w:pStyle w:val="22"/>
        <w:tabs>
          <w:tab w:val="center" w:pos="4201"/>
          <w:tab w:val="right" w:leader="dot" w:pos="9298"/>
        </w:tabs>
        <w:jc w:val="left"/>
        <w:rPr>
          <w:rFonts w:hint="eastAsia" w:ascii="Times New Roman" w:hAnsi="Times New Roman" w:cs="Times New Roman"/>
        </w:rPr>
      </w:pPr>
      <w:r>
        <w:rPr>
          <w:rFonts w:ascii="Times New Roman" w:hAnsi="Times New Roman" w:cs="Times New Roman"/>
        </w:rPr>
        <w:t>L</w:t>
      </w:r>
      <w:r>
        <w:rPr>
          <w:rFonts w:ascii="Times New Roman" w:hAnsi="Times New Roman" w:cs="Times New Roman"/>
          <w:vertAlign w:val="subscript"/>
        </w:rPr>
        <w:t>t</w:t>
      </w:r>
      <w:r>
        <w:rPr>
          <w:rFonts w:hint="eastAsia" w:ascii="Times New Roman" w:hAnsi="Times New Roman" w:cs="Times New Roman"/>
        </w:rPr>
        <w:t>——统计期内收集的废品管不含水泥内衬的质量，一般为一年，单位为吨（</w:t>
      </w:r>
      <w:r>
        <w:rPr>
          <w:rFonts w:ascii="Times New Roman" w:hAnsi="Times New Roman" w:cs="Times New Roman"/>
        </w:rPr>
        <w:t>t</w:t>
      </w:r>
      <w:r>
        <w:rPr>
          <w:rFonts w:hint="eastAsia" w:ascii="Times New Roman" w:hAnsi="Times New Roman" w:cs="Times New Roman"/>
        </w:rPr>
        <w:t>）。</w:t>
      </w:r>
    </w:p>
    <w:p>
      <w:pPr>
        <w:pStyle w:val="22"/>
        <w:tabs>
          <w:tab w:val="center" w:pos="4201"/>
          <w:tab w:val="right" w:leader="dot" w:pos="9298"/>
        </w:tabs>
        <w:jc w:val="left"/>
        <w:rPr>
          <w:rFonts w:hint="eastAsia" w:ascii="Times New Roman" w:hAnsi="Times New Roman" w:cs="Times New Roman"/>
          <w:lang w:val="en-GB"/>
        </w:rPr>
      </w:pPr>
    </w:p>
    <w:p>
      <w:pPr>
        <w:widowControl/>
        <w:tabs>
          <w:tab w:val="center" w:pos="4201"/>
          <w:tab w:val="right" w:leader="dot" w:pos="9298"/>
        </w:tabs>
        <w:autoSpaceDE w:val="0"/>
        <w:autoSpaceDN w:val="0"/>
        <w:spacing w:before="156" w:beforeLines="50" w:after="156" w:afterLines="50"/>
        <w:rPr>
          <w:rFonts w:hint="eastAsia" w:ascii="黑体" w:hAnsi="黑体" w:eastAsia="黑体" w:cs="黑体"/>
          <w:lang w:val="en-US" w:eastAsia="zh-CN"/>
        </w:rPr>
      </w:pPr>
      <w:r>
        <w:rPr>
          <w:rFonts w:hint="eastAsia" w:ascii="黑体" w:hAnsi="黑体" w:eastAsia="黑体" w:cs="黑体"/>
          <w:lang w:val="en-US" w:eastAsia="zh-CN"/>
        </w:rPr>
        <w:t>A.2 吨管用水量</w:t>
      </w:r>
    </w:p>
    <w:p>
      <w:pPr>
        <w:pStyle w:val="22"/>
        <w:tabs>
          <w:tab w:val="center" w:pos="4201"/>
          <w:tab w:val="right" w:leader="dot" w:pos="9298"/>
        </w:tabs>
      </w:pPr>
      <w:r>
        <w:rPr>
          <w:rFonts w:hint="eastAsia"/>
        </w:rPr>
        <w:t>生产每吨合格球墨铸铁管需要从各种常规水资源提取的水量，见式</w:t>
      </w:r>
      <w:r>
        <w:rPr>
          <w:rFonts w:hint="eastAsia" w:ascii="Times New Roman"/>
        </w:rPr>
        <w:t>（</w:t>
      </w:r>
      <w:r>
        <w:rPr>
          <w:rFonts w:ascii="Times New Roman"/>
        </w:rPr>
        <w:t>A.</w:t>
      </w:r>
      <w:r>
        <w:rPr>
          <w:rFonts w:hint="eastAsia" w:ascii="Times New Roman"/>
          <w:lang w:val="en-US" w:eastAsia="zh-CN"/>
        </w:rPr>
        <w:t>2</w:t>
      </w:r>
      <w:r>
        <w:rPr>
          <w:rFonts w:hint="eastAsia" w:ascii="Times New Roman"/>
        </w:rPr>
        <w:t>）</w:t>
      </w:r>
      <w:r>
        <w:rPr>
          <w:rFonts w:hint="eastAsia" w:ascii="宋体" w:hAnsi="宋体" w:eastAsia="宋体" w:cs="宋体"/>
        </w:rPr>
        <w:t>：</w:t>
      </w:r>
    </w:p>
    <w:p>
      <w:pPr>
        <w:pStyle w:val="22"/>
        <w:tabs>
          <w:tab w:val="center" w:pos="4201"/>
          <w:tab w:val="right" w:leader="dot" w:pos="9298"/>
        </w:tabs>
        <w:jc w:val="right"/>
        <w:rPr>
          <w:rFonts w:ascii="Times New Roman"/>
        </w:rPr>
      </w:pPr>
      <w:r>
        <w:rPr>
          <w:rFonts w:ascii="Cambria Math" w:hAnsi="Cambria Math"/>
        </w:rPr>
        <w:ptab w:relativeTo="margin" w:alignment="center" w:leader="none"/>
      </w:r>
      <w:r>
        <w:rPr>
          <w:rFonts w:ascii="Cambria Math" w:hAnsi="Cambria Math"/>
          <w:position w:val="-28"/>
        </w:rPr>
        <w:object>
          <v:shape id="_x0000_i1025" o:spt="75" type="#_x0000_t75" style="height:29.35pt;width:29.9pt;" o:ole="t" filled="f" o:preferrelative="t" stroked="f" coordsize="21600,21600">
            <v:path/>
            <v:fill on="f" focussize="0,0"/>
            <v:stroke on="f"/>
            <v:imagedata r:id="rId10" o:title=""/>
            <o:lock v:ext="edit" aspectratio="t"/>
            <w10:wrap type="none"/>
            <w10:anchorlock/>
          </v:shape>
          <o:OLEObject Type="Embed" ProgID="Equations" ShapeID="_x0000_i1025" DrawAspect="Content" ObjectID="_1468075725" r:id="rId9">
            <o:LockedField>false</o:LockedField>
          </o:OLEObject>
        </w:object>
      </w:r>
      <w:r>
        <w:rPr>
          <w:rFonts w:hint="eastAsia"/>
        </w:rPr>
        <w:t xml:space="preserve"> </w:t>
      </w:r>
      <w:r>
        <w:rPr>
          <w:rFonts w:ascii="Times New Roman" w:hAnsi="Times New Roman" w:cs="Times New Roman"/>
        </w:rPr>
        <w:ptab w:relativeTo="margin" w:alignment="right" w:leader="middleDot"/>
      </w:r>
      <w:r>
        <w:rPr>
          <w:rFonts w:ascii="Times New Roman"/>
        </w:rPr>
        <w:t>(A.</w:t>
      </w:r>
      <w:r>
        <w:rPr>
          <w:rFonts w:hint="eastAsia" w:ascii="Times New Roman"/>
          <w:lang w:val="en-US" w:eastAsia="zh-CN"/>
        </w:rPr>
        <w:t>2</w:t>
      </w:r>
      <w:r>
        <w:rPr>
          <w:rFonts w:ascii="Times New Roman"/>
        </w:rPr>
        <w:t>)</w:t>
      </w:r>
    </w:p>
    <w:p>
      <w:pPr>
        <w:pStyle w:val="22"/>
        <w:tabs>
          <w:tab w:val="center" w:pos="4201"/>
          <w:tab w:val="right" w:leader="dot" w:pos="9298"/>
        </w:tabs>
      </w:pPr>
      <w:r>
        <w:rPr>
          <w:rFonts w:hint="eastAsia"/>
        </w:rPr>
        <w:t>式中：</w:t>
      </w:r>
    </w:p>
    <w:p>
      <w:pPr>
        <w:pStyle w:val="22"/>
        <w:tabs>
          <w:tab w:val="center" w:pos="4201"/>
          <w:tab w:val="right" w:leader="dot" w:pos="9298"/>
        </w:tabs>
        <w:rPr>
          <w:rFonts w:ascii="Times New Roman" w:hAnsi="Times New Roman" w:cs="Times New Roman"/>
        </w:rPr>
      </w:pPr>
      <w:r>
        <w:rPr>
          <w:rFonts w:ascii="Times New Roman" w:hAnsi="Times New Roman" w:cs="Times New Roman"/>
          <w:i/>
          <w:iCs/>
        </w:rPr>
        <w:t>P</w:t>
      </w:r>
      <w:r>
        <w:rPr>
          <w:rFonts w:hint="eastAsia" w:ascii="Times New Roman" w:hAnsi="Times New Roman" w:cs="Times New Roman"/>
        </w:rPr>
        <w:t>——吨管用水量，单位为吨每吨（</w:t>
      </w:r>
      <w:r>
        <w:rPr>
          <w:rFonts w:ascii="Times New Roman" w:hAnsi="Times New Roman" w:cs="Times New Roman"/>
        </w:rPr>
        <w:t>t/t</w:t>
      </w:r>
      <w:r>
        <w:rPr>
          <w:rFonts w:hint="eastAsia" w:ascii="Times New Roman" w:hAnsi="Times New Roman" w:cs="Times New Roman"/>
        </w:rPr>
        <w:t>）；</w:t>
      </w:r>
    </w:p>
    <w:p>
      <w:pPr>
        <w:pStyle w:val="22"/>
        <w:tabs>
          <w:tab w:val="center" w:pos="4201"/>
          <w:tab w:val="right" w:leader="dot" w:pos="9298"/>
        </w:tabs>
        <w:rPr>
          <w:rFonts w:ascii="Times New Roman" w:hAnsi="Times New Roman" w:cs="Times New Roman"/>
        </w:rPr>
      </w:pPr>
      <w:r>
        <w:rPr>
          <w:rFonts w:ascii="Times New Roman" w:hAnsi="Times New Roman" w:cs="Times New Roman"/>
          <w:i/>
          <w:iCs/>
        </w:rPr>
        <w:t>H</w:t>
      </w:r>
      <w:r>
        <w:rPr>
          <w:rFonts w:hint="eastAsia" w:ascii="Times New Roman" w:hAnsi="Times New Roman" w:cs="Times New Roman"/>
        </w:rPr>
        <w:t>——统计期铸管工序，含主要生产、辅助生产和附属生产过程中常规水资源取水总量，单位为吨（</w:t>
      </w:r>
      <w:r>
        <w:rPr>
          <w:rFonts w:ascii="Times New Roman" w:hAnsi="Times New Roman" w:cs="Times New Roman"/>
        </w:rPr>
        <w:t>t</w:t>
      </w:r>
      <w:r>
        <w:rPr>
          <w:rFonts w:hint="eastAsia" w:ascii="Times New Roman" w:hAnsi="Times New Roman" w:cs="Times New Roman"/>
        </w:rPr>
        <w:t>）；</w:t>
      </w:r>
    </w:p>
    <w:p>
      <w:pPr>
        <w:pStyle w:val="22"/>
        <w:tabs>
          <w:tab w:val="center" w:pos="4201"/>
          <w:tab w:val="right" w:leader="dot" w:pos="9298"/>
        </w:tabs>
        <w:jc w:val="left"/>
        <w:rPr>
          <w:rFonts w:hint="eastAsia" w:ascii="Times New Roman" w:hAnsi="Times New Roman" w:cs="Times New Roman"/>
        </w:rPr>
      </w:pPr>
      <w:r>
        <w:rPr>
          <w:rFonts w:ascii="Times New Roman" w:hAnsi="Times New Roman" w:cs="Times New Roman"/>
          <w:i/>
          <w:iCs/>
        </w:rPr>
        <w:t>Q</w:t>
      </w:r>
      <w:r>
        <w:rPr>
          <w:rFonts w:hint="eastAsia" w:ascii="Times New Roman" w:hAnsi="Times New Roman" w:cs="Times New Roman"/>
        </w:rPr>
        <w:t>——统计期合格球墨铸铁管产品产量，单位为吨（</w:t>
      </w:r>
      <w:r>
        <w:rPr>
          <w:rFonts w:ascii="Times New Roman" w:hAnsi="Times New Roman" w:cs="Times New Roman"/>
        </w:rPr>
        <w:t>t</w:t>
      </w:r>
      <w:r>
        <w:rPr>
          <w:rFonts w:hint="eastAsia" w:ascii="Times New Roman" w:hAnsi="Times New Roman" w:cs="Times New Roman"/>
        </w:rPr>
        <w:t>）。</w:t>
      </w:r>
    </w:p>
    <w:p>
      <w:pPr>
        <w:pStyle w:val="22"/>
        <w:tabs>
          <w:tab w:val="center" w:pos="4201"/>
          <w:tab w:val="right" w:leader="dot" w:pos="9298"/>
        </w:tabs>
        <w:jc w:val="left"/>
        <w:rPr>
          <w:rFonts w:hint="eastAsia" w:ascii="Times New Roman" w:hAnsi="Times New Roman" w:cs="Times New Roman"/>
        </w:rPr>
      </w:pPr>
    </w:p>
    <w:p>
      <w:pPr>
        <w:widowControl/>
        <w:tabs>
          <w:tab w:val="center" w:pos="4201"/>
          <w:tab w:val="right" w:leader="dot" w:pos="9298"/>
        </w:tabs>
        <w:autoSpaceDE w:val="0"/>
        <w:autoSpaceDN w:val="0"/>
        <w:spacing w:before="156" w:beforeLines="50" w:after="156" w:afterLines="50"/>
        <w:rPr>
          <w:rFonts w:hint="eastAsia" w:ascii="黑体" w:hAnsi="黑体" w:eastAsia="黑体" w:cs="黑体"/>
          <w:lang w:val="en-US" w:eastAsia="zh-CN"/>
        </w:rPr>
      </w:pPr>
      <w:r>
        <w:rPr>
          <w:rFonts w:hint="eastAsia" w:ascii="黑体" w:hAnsi="黑体" w:eastAsia="黑体" w:cs="黑体"/>
          <w:lang w:val="en-US" w:eastAsia="zh-CN"/>
        </w:rPr>
        <w:t>A.3 生产用水重复利用率</w:t>
      </w:r>
    </w:p>
    <w:p>
      <w:pPr>
        <w:widowControl/>
        <w:tabs>
          <w:tab w:val="center" w:pos="4201"/>
          <w:tab w:val="right" w:leader="dot" w:pos="9298"/>
        </w:tabs>
        <w:autoSpaceDE w:val="0"/>
        <w:autoSpaceDN w:val="0"/>
        <w:ind w:firstLine="420" w:firstLineChars="200"/>
        <w:rPr>
          <w:rFonts w:hint="eastAsia" w:ascii="宋体" w:hAnsi="Times New Roman" w:eastAsia="宋体" w:cs="Times New Roman"/>
          <w:kern w:val="0"/>
          <w:szCs w:val="20"/>
          <w:lang w:eastAsia="zh-CN"/>
        </w:rPr>
      </w:pPr>
      <w:r>
        <w:rPr>
          <w:rFonts w:hint="eastAsia" w:ascii="宋体" w:hAnsi="Times New Roman" w:eastAsia="宋体" w:cs="Times New Roman"/>
          <w:kern w:val="0"/>
          <w:szCs w:val="20"/>
        </w:rPr>
        <w:t>按公式（</w:t>
      </w:r>
      <w:r>
        <w:rPr>
          <w:rFonts w:ascii="Times New Roman"/>
        </w:rPr>
        <w:t>A.</w:t>
      </w:r>
      <w:r>
        <w:rPr>
          <w:rFonts w:hint="eastAsia"/>
          <w:lang w:val="en-US" w:eastAsia="zh-CN"/>
        </w:rPr>
        <w:t>3</w:t>
      </w:r>
      <w:r>
        <w:rPr>
          <w:rFonts w:hint="eastAsia" w:ascii="宋体" w:hAnsi="Times New Roman" w:eastAsia="宋体" w:cs="Times New Roman"/>
          <w:kern w:val="0"/>
          <w:szCs w:val="20"/>
        </w:rPr>
        <w:t>）计算</w:t>
      </w:r>
      <w:r>
        <w:rPr>
          <w:rFonts w:hint="eastAsia" w:ascii="宋体" w:cs="Times New Roman"/>
          <w:kern w:val="0"/>
          <w:szCs w:val="20"/>
          <w:lang w:eastAsia="zh-CN"/>
        </w:rPr>
        <w:t>：</w:t>
      </w:r>
    </w:p>
    <w:p>
      <w:pPr>
        <w:widowControl/>
        <w:tabs>
          <w:tab w:val="center" w:pos="4201"/>
          <w:tab w:val="right" w:leader="dot" w:pos="9298"/>
        </w:tabs>
        <w:autoSpaceDE w:val="0"/>
        <w:autoSpaceDN w:val="0"/>
        <w:jc w:val="right"/>
        <w:rPr>
          <w:rFonts w:ascii="宋体" w:hAnsi="Times New Roman" w:eastAsia="宋体" w:cs="Times New Roman"/>
          <w:kern w:val="0"/>
          <w:szCs w:val="20"/>
        </w:rPr>
      </w:pPr>
      <w:r>
        <w:rPr>
          <w:rFonts w:ascii="宋体" w:hAnsi="Times New Roman" w:eastAsia="宋体" w:cs="Times New Roman"/>
          <w:kern w:val="0"/>
          <w:position w:val="-28"/>
          <w:szCs w:val="20"/>
        </w:rPr>
        <w:object>
          <v:shape id="_x0000_i1026" o:spt="75" type="#_x0000_t75" style="height:33.75pt;width:92.25pt;" o:ole="t" filled="f" stroked="f" coordsize="21600,21600">
            <v:path/>
            <v:fill on="f" focussize="0,0"/>
            <v:stroke on="f" joinstyle="miter"/>
            <v:imagedata r:id="rId12" embosscolor="#FFFFFF" o:title=""/>
            <o:lock v:ext="edit" aspectratio="t"/>
            <w10:wrap type="none"/>
            <w10:anchorlock/>
          </v:shape>
          <o:OLEObject Type="Embed" ProgID="Equation.DSMT4" ShapeID="_x0000_i1026" DrawAspect="Content" ObjectID="_1468075726" r:id="rId11">
            <o:LockedField>false</o:LockedField>
          </o:OLEObject>
        </w:object>
      </w:r>
      <w:r>
        <w:rPr>
          <w:rFonts w:ascii="宋体" w:hAnsi="Times New Roman" w:eastAsia="宋体" w:cs="Times New Roman"/>
          <w:kern w:val="0"/>
          <w:szCs w:val="20"/>
        </w:rPr>
        <w:t xml:space="preserve">                         </w:t>
      </w:r>
      <w:r>
        <w:rPr>
          <w:rFonts w:ascii="Times New Roman"/>
        </w:rPr>
        <w:t>(A.</w:t>
      </w:r>
      <w:r>
        <w:rPr>
          <w:rFonts w:hint="eastAsia"/>
          <w:lang w:val="en-US" w:eastAsia="zh-CN"/>
        </w:rPr>
        <w:t>3</w:t>
      </w:r>
      <w:r>
        <w:rPr>
          <w:rFonts w:ascii="Times New Roman"/>
        </w:rPr>
        <w:t>)</w:t>
      </w:r>
    </w:p>
    <w:p>
      <w:pPr>
        <w:widowControl/>
        <w:tabs>
          <w:tab w:val="center" w:pos="4201"/>
          <w:tab w:val="right" w:leader="dot" w:pos="9298"/>
        </w:tabs>
        <w:autoSpaceDE w:val="0"/>
        <w:autoSpaceDN w:val="0"/>
        <w:ind w:firstLine="420" w:firstLineChars="200"/>
        <w:jc w:val="left"/>
        <w:rPr>
          <w:rFonts w:ascii="宋体" w:hAnsi="宋体" w:eastAsia="宋体" w:cs="Times New Roman"/>
          <w:kern w:val="0"/>
          <w:szCs w:val="20"/>
        </w:rPr>
      </w:pPr>
      <w:r>
        <w:rPr>
          <w:rFonts w:hint="eastAsia" w:ascii="宋体" w:hAnsi="宋体" w:eastAsia="宋体" w:cs="Times New Roman"/>
          <w:kern w:val="0"/>
          <w:szCs w:val="20"/>
        </w:rPr>
        <w:t>式中：</w:t>
      </w:r>
    </w:p>
    <w:p>
      <w:pPr>
        <w:pStyle w:val="22"/>
        <w:tabs>
          <w:tab w:val="center" w:pos="4201"/>
          <w:tab w:val="right" w:leader="dot" w:pos="9298"/>
        </w:tabs>
        <w:rPr>
          <w:rFonts w:ascii="Times New Roman" w:hAnsi="Times New Roman" w:cs="Times New Roman"/>
          <w:i/>
          <w:iCs/>
        </w:rPr>
      </w:pPr>
      <w:r>
        <w:rPr>
          <w:rFonts w:ascii="Times New Roman" w:hAnsi="Times New Roman" w:cs="Times New Roman"/>
          <w:i/>
          <w:iCs/>
        </w:rPr>
        <w:t>R</w:t>
      </w:r>
      <w:r>
        <w:rPr>
          <w:rFonts w:hint="eastAsia" w:ascii="Times New Roman" w:hAnsi="Times New Roman" w:cs="Times New Roman"/>
          <w:i w:val="0"/>
          <w:iCs w:val="0"/>
          <w:lang w:val="en-US" w:eastAsia="zh-CN"/>
        </w:rPr>
        <w:t>——生产用水重复利用率，%</w:t>
      </w:r>
      <w:r>
        <w:rPr>
          <w:rFonts w:hint="eastAsia" w:ascii="Times New Roman" w:hAnsi="Times New Roman" w:cs="Times New Roman"/>
          <w:i w:val="0"/>
          <w:iCs w:val="0"/>
        </w:rPr>
        <w:t>；</w:t>
      </w:r>
    </w:p>
    <w:p>
      <w:pPr>
        <w:pStyle w:val="22"/>
        <w:tabs>
          <w:tab w:val="center" w:pos="4201"/>
          <w:tab w:val="right" w:leader="dot" w:pos="9298"/>
        </w:tabs>
        <w:rPr>
          <w:rFonts w:ascii="Times New Roman" w:hAnsi="Times New Roman" w:cs="Times New Roman"/>
          <w:i w:val="0"/>
          <w:iCs w:val="0"/>
        </w:rPr>
      </w:pPr>
      <w:r>
        <w:rPr>
          <w:rFonts w:ascii="Times New Roman" w:hAnsi="Times New Roman" w:cs="Times New Roman"/>
          <w:i/>
          <w:iCs/>
        </w:rPr>
        <w:t>V</w:t>
      </w:r>
      <w:r>
        <w:rPr>
          <w:rFonts w:ascii="Times New Roman" w:hAnsi="Times New Roman" w:cs="Times New Roman"/>
          <w:i/>
          <w:iCs/>
          <w:vertAlign w:val="subscript"/>
        </w:rPr>
        <w:t>t</w:t>
      </w:r>
      <w:r>
        <w:rPr>
          <w:rFonts w:hint="eastAsia" w:ascii="Times New Roman" w:hAnsi="Times New Roman" w:cs="Times New Roman"/>
          <w:i w:val="0"/>
          <w:iCs w:val="0"/>
          <w:lang w:val="en-US" w:eastAsia="zh-CN"/>
        </w:rPr>
        <w:t>——在一定的计量时间内，企业的重复用水量，m</w:t>
      </w:r>
      <w:r>
        <w:rPr>
          <w:rFonts w:hint="eastAsia" w:ascii="Times New Roman" w:hAnsi="Times New Roman" w:cs="Times New Roman"/>
          <w:i w:val="0"/>
          <w:iCs w:val="0"/>
          <w:vertAlign w:val="superscript"/>
          <w:lang w:val="en-US" w:eastAsia="zh-CN"/>
        </w:rPr>
        <w:t>3</w:t>
      </w:r>
      <w:r>
        <w:rPr>
          <w:rFonts w:hint="eastAsia" w:ascii="Times New Roman" w:hAnsi="Times New Roman" w:cs="Times New Roman"/>
          <w:i w:val="0"/>
          <w:iCs w:val="0"/>
        </w:rPr>
        <w:t>；</w:t>
      </w:r>
    </w:p>
    <w:p>
      <w:pPr>
        <w:pStyle w:val="22"/>
        <w:tabs>
          <w:tab w:val="center" w:pos="4201"/>
          <w:tab w:val="right" w:leader="dot" w:pos="9298"/>
        </w:tabs>
        <w:rPr>
          <w:rFonts w:hint="eastAsia" w:ascii="Times New Roman" w:hAnsi="Times New Roman" w:cs="Times New Roman"/>
          <w:i w:val="0"/>
          <w:iCs w:val="0"/>
        </w:rPr>
      </w:pPr>
      <w:r>
        <w:rPr>
          <w:rFonts w:ascii="Times New Roman" w:hAnsi="Times New Roman" w:cs="Times New Roman"/>
          <w:i/>
          <w:iCs/>
        </w:rPr>
        <w:t>V</w:t>
      </w:r>
      <w:r>
        <w:rPr>
          <w:rFonts w:ascii="Times New Roman" w:hAnsi="Times New Roman" w:cs="Times New Roman"/>
          <w:i/>
          <w:iCs/>
          <w:vertAlign w:val="subscript"/>
        </w:rPr>
        <w:t>i</w:t>
      </w:r>
      <w:r>
        <w:rPr>
          <w:rFonts w:hint="eastAsia" w:ascii="Times New Roman" w:hAnsi="Times New Roman" w:cs="Times New Roman"/>
          <w:i w:val="0"/>
          <w:iCs w:val="0"/>
          <w:lang w:val="en-US" w:eastAsia="zh-CN"/>
        </w:rPr>
        <w:t>——在一定的计量时间内，企业的取水量，m</w:t>
      </w:r>
      <w:r>
        <w:rPr>
          <w:rFonts w:hint="eastAsia" w:ascii="Times New Roman" w:hAnsi="Times New Roman" w:cs="Times New Roman"/>
          <w:i w:val="0"/>
          <w:iCs w:val="0"/>
          <w:vertAlign w:val="superscript"/>
          <w:lang w:val="en-US" w:eastAsia="zh-CN"/>
        </w:rPr>
        <w:t>3</w:t>
      </w:r>
      <w:r>
        <w:rPr>
          <w:rFonts w:hint="eastAsia" w:ascii="Times New Roman" w:hAnsi="Times New Roman" w:cs="Times New Roman"/>
          <w:i w:val="0"/>
          <w:iCs w:val="0"/>
        </w:rPr>
        <w:t>。</w:t>
      </w:r>
    </w:p>
    <w:p>
      <w:pPr>
        <w:pStyle w:val="6"/>
        <w:ind w:firstLine="420"/>
        <w:jc w:val="left"/>
        <w:rPr>
          <w:rFonts w:hint="eastAsia" w:ascii="宋体" w:hAnsi="Times New Roman" w:eastAsia="宋体" w:cs="Times New Roman"/>
          <w:kern w:val="0"/>
          <w:szCs w:val="20"/>
        </w:rPr>
      </w:pPr>
    </w:p>
    <w:p>
      <w:pPr>
        <w:widowControl/>
        <w:tabs>
          <w:tab w:val="center" w:pos="4201"/>
          <w:tab w:val="right" w:leader="dot" w:pos="9298"/>
        </w:tabs>
        <w:autoSpaceDE w:val="0"/>
        <w:autoSpaceDN w:val="0"/>
        <w:spacing w:before="156" w:beforeLines="50" w:after="156" w:afterLines="50"/>
        <w:rPr>
          <w:rFonts w:hint="eastAsia" w:ascii="黑体" w:hAnsi="黑体" w:eastAsia="黑体" w:cs="黑体"/>
          <w:lang w:val="en-US" w:eastAsia="zh-CN"/>
        </w:rPr>
      </w:pPr>
      <w:bookmarkStart w:id="43" w:name="_Toc74237468"/>
      <w:r>
        <w:rPr>
          <w:rFonts w:hint="eastAsia" w:ascii="黑体" w:hAnsi="黑体" w:eastAsia="黑体" w:cs="黑体"/>
          <w:lang w:val="en-US" w:eastAsia="zh-CN"/>
        </w:rPr>
        <w:t>A.4 喷锌过程中，锌粉回收利用率</w:t>
      </w:r>
      <w:bookmarkEnd w:id="43"/>
    </w:p>
    <w:p>
      <w:pPr>
        <w:widowControl/>
        <w:tabs>
          <w:tab w:val="center" w:pos="4201"/>
          <w:tab w:val="right" w:leader="dot" w:pos="9298"/>
        </w:tabs>
        <w:autoSpaceDE w:val="0"/>
        <w:autoSpaceDN w:val="0"/>
        <w:ind w:firstLine="420" w:firstLineChars="200"/>
        <w:rPr>
          <w:rFonts w:hint="eastAsia" w:ascii="宋体" w:hAnsi="Times New Roman" w:eastAsia="宋体" w:cs="Times New Roman"/>
          <w:kern w:val="0"/>
          <w:szCs w:val="20"/>
          <w:lang w:eastAsia="zh-CN"/>
        </w:rPr>
      </w:pPr>
      <w:r>
        <w:rPr>
          <w:rFonts w:hint="eastAsia" w:ascii="宋体" w:hAnsi="Times New Roman" w:eastAsia="宋体" w:cs="Times New Roman"/>
          <w:kern w:val="0"/>
          <w:szCs w:val="20"/>
        </w:rPr>
        <w:t>按公式（</w:t>
      </w:r>
      <w:r>
        <w:rPr>
          <w:rFonts w:hint="eastAsia" w:ascii="宋体" w:cs="Times New Roman"/>
          <w:kern w:val="0"/>
          <w:szCs w:val="20"/>
          <w:lang w:val="en-US" w:eastAsia="zh-CN"/>
        </w:rPr>
        <w:t>A.4</w:t>
      </w:r>
      <w:r>
        <w:rPr>
          <w:rFonts w:hint="eastAsia" w:ascii="宋体" w:hAnsi="Times New Roman" w:eastAsia="宋体" w:cs="Times New Roman"/>
          <w:kern w:val="0"/>
          <w:szCs w:val="20"/>
        </w:rPr>
        <w:t>）计算</w:t>
      </w:r>
      <w:r>
        <w:rPr>
          <w:rFonts w:hint="eastAsia" w:ascii="宋体" w:cs="Times New Roman"/>
          <w:kern w:val="0"/>
          <w:szCs w:val="20"/>
          <w:lang w:eastAsia="zh-CN"/>
        </w:rPr>
        <w:t>：</w:t>
      </w:r>
    </w:p>
    <w:p>
      <w:pPr>
        <w:widowControl/>
        <w:tabs>
          <w:tab w:val="center" w:pos="4201"/>
          <w:tab w:val="right" w:leader="dot" w:pos="9298"/>
        </w:tabs>
        <w:autoSpaceDE w:val="0"/>
        <w:autoSpaceDN w:val="0"/>
        <w:jc w:val="right"/>
        <w:rPr>
          <w:rFonts w:ascii="宋体" w:hAnsi="Times New Roman" w:eastAsia="宋体" w:cs="Times New Roman"/>
          <w:kern w:val="0"/>
          <w:szCs w:val="20"/>
        </w:rPr>
      </w:pPr>
      <w:r>
        <w:rPr>
          <w:rFonts w:ascii="宋体" w:hAnsi="Times New Roman" w:eastAsia="宋体" w:cs="Times New Roman"/>
          <w:kern w:val="0"/>
          <w:position w:val="-28"/>
          <w:szCs w:val="20"/>
        </w:rPr>
        <w:object>
          <v:shape id="_x0000_i1027" o:spt="75" type="#_x0000_t75" style="height:32.75pt;width:72pt;" o:ole="t" filled="f" o:preferrelative="t" stroked="f" coordsize="21600,21600">
            <v:path/>
            <v:fill on="f" focussize="0,0"/>
            <v:stroke on="f" joinstyle="miter"/>
            <v:imagedata r:id="rId14" o:title=""/>
            <o:lock v:ext="edit" aspectratio="t"/>
            <w10:wrap type="none"/>
            <w10:anchorlock/>
          </v:shape>
          <o:OLEObject Type="Embed" ProgID="Equation.DSMT4" ShapeID="_x0000_i1027" DrawAspect="Content" ObjectID="_1468075727" r:id="rId13">
            <o:LockedField>false</o:LockedField>
          </o:OLEObject>
        </w:object>
      </w:r>
      <w:r>
        <w:rPr>
          <w:rFonts w:ascii="宋体" w:hAnsi="Times New Roman" w:eastAsia="宋体" w:cs="Times New Roman"/>
          <w:kern w:val="0"/>
          <w:szCs w:val="20"/>
        </w:rPr>
        <w:t xml:space="preserve">                          </w:t>
      </w:r>
      <w:r>
        <w:rPr>
          <w:rFonts w:ascii="Times New Roman"/>
        </w:rPr>
        <w:t>(A.</w:t>
      </w:r>
      <w:r>
        <w:rPr>
          <w:rFonts w:hint="eastAsia"/>
          <w:lang w:val="en-US" w:eastAsia="zh-CN"/>
        </w:rPr>
        <w:t>4</w:t>
      </w:r>
      <w:r>
        <w:rPr>
          <w:rFonts w:ascii="Times New Roman"/>
        </w:rPr>
        <w:t>)</w:t>
      </w:r>
    </w:p>
    <w:p>
      <w:pPr>
        <w:widowControl/>
        <w:tabs>
          <w:tab w:val="center" w:pos="4201"/>
          <w:tab w:val="right" w:leader="dot" w:pos="9298"/>
        </w:tabs>
        <w:autoSpaceDE w:val="0"/>
        <w:autoSpaceDN w:val="0"/>
        <w:ind w:firstLine="420" w:firstLineChars="200"/>
        <w:jc w:val="left"/>
        <w:rPr>
          <w:rFonts w:ascii="宋体" w:hAnsi="宋体" w:eastAsia="宋体" w:cs="Times New Roman"/>
          <w:kern w:val="0"/>
          <w:szCs w:val="20"/>
        </w:rPr>
      </w:pPr>
      <w:r>
        <w:rPr>
          <w:rFonts w:hint="eastAsia" w:ascii="宋体" w:hAnsi="宋体" w:eastAsia="宋体" w:cs="Times New Roman"/>
          <w:kern w:val="0"/>
          <w:szCs w:val="20"/>
        </w:rPr>
        <w:t>式中：</w:t>
      </w:r>
    </w:p>
    <w:p>
      <w:pPr>
        <w:widowControl/>
        <w:tabs>
          <w:tab w:val="center" w:pos="4201"/>
          <w:tab w:val="right" w:leader="dot" w:pos="9298"/>
        </w:tabs>
        <w:autoSpaceDE w:val="0"/>
        <w:autoSpaceDN w:val="0"/>
        <w:ind w:firstLine="420" w:firstLineChars="200"/>
        <w:jc w:val="left"/>
        <w:rPr>
          <w:rFonts w:ascii="宋体" w:hAnsi="宋体" w:eastAsia="宋体" w:cs="Times New Roman"/>
          <w:kern w:val="0"/>
          <w:szCs w:val="20"/>
        </w:rPr>
      </w:pPr>
      <w:r>
        <w:rPr>
          <w:rFonts w:ascii="宋体" w:hAnsi="宋体" w:eastAsia="宋体" w:cs="Times New Roman"/>
          <w:i/>
          <w:kern w:val="0"/>
          <w:szCs w:val="20"/>
        </w:rPr>
        <w:t xml:space="preserve">S </w:t>
      </w:r>
      <w:r>
        <w:rPr>
          <w:rFonts w:hint="eastAsia" w:ascii="宋体" w:hAnsi="宋体" w:eastAsia="宋体" w:cs="Times New Roman"/>
          <w:kern w:val="0"/>
          <w:szCs w:val="20"/>
        </w:rPr>
        <w:t>——锌粉回收利用率%；</w:t>
      </w:r>
    </w:p>
    <w:p>
      <w:pPr>
        <w:widowControl/>
        <w:tabs>
          <w:tab w:val="center" w:pos="4201"/>
          <w:tab w:val="right" w:leader="dot" w:pos="9298"/>
        </w:tabs>
        <w:autoSpaceDE w:val="0"/>
        <w:autoSpaceDN w:val="0"/>
        <w:ind w:firstLine="420"/>
        <w:jc w:val="left"/>
        <w:rPr>
          <w:rFonts w:ascii="宋体" w:hAnsi="宋体" w:eastAsia="宋体" w:cs="Times New Roman"/>
          <w:kern w:val="0"/>
          <w:szCs w:val="20"/>
        </w:rPr>
      </w:pPr>
      <w:r>
        <w:rPr>
          <w:rFonts w:ascii="宋体" w:hAnsi="宋体" w:eastAsia="宋体" w:cs="Times New Roman"/>
          <w:i/>
          <w:kern w:val="0"/>
          <w:szCs w:val="20"/>
        </w:rPr>
        <w:t>Q</w:t>
      </w:r>
      <w:r>
        <w:rPr>
          <w:rFonts w:ascii="宋体" w:hAnsi="宋体" w:eastAsia="宋体" w:cs="Times New Roman"/>
          <w:kern w:val="0"/>
          <w:szCs w:val="20"/>
          <w:vertAlign w:val="subscript"/>
        </w:rPr>
        <w:t>利</w:t>
      </w:r>
      <w:r>
        <w:rPr>
          <w:rFonts w:hint="eastAsia" w:ascii="宋体" w:hAnsi="宋体" w:eastAsia="宋体" w:cs="Times New Roman"/>
          <w:kern w:val="0"/>
          <w:szCs w:val="20"/>
        </w:rPr>
        <w:t>——统计期（一年）内企业将回收的锌粉重新利用量（主要是返回锌丝生产厂），单位t</w:t>
      </w:r>
      <w:r>
        <w:rPr>
          <w:rFonts w:ascii="宋体" w:hAnsi="宋体" w:eastAsia="宋体" w:cs="Times New Roman"/>
          <w:kern w:val="0"/>
          <w:szCs w:val="20"/>
        </w:rPr>
        <w:t>;</w:t>
      </w:r>
    </w:p>
    <w:p>
      <w:pPr>
        <w:widowControl/>
        <w:tabs>
          <w:tab w:val="center" w:pos="4201"/>
          <w:tab w:val="right" w:leader="dot" w:pos="9298"/>
        </w:tabs>
        <w:autoSpaceDE w:val="0"/>
        <w:autoSpaceDN w:val="0"/>
        <w:ind w:left="1260" w:leftChars="200" w:hanging="840" w:hangingChars="400"/>
        <w:jc w:val="left"/>
        <w:rPr>
          <w:rFonts w:hint="eastAsia" w:ascii="宋体" w:hAnsi="宋体" w:eastAsia="宋体" w:cs="Times New Roman"/>
          <w:kern w:val="0"/>
          <w:szCs w:val="20"/>
        </w:rPr>
      </w:pPr>
      <w:r>
        <w:rPr>
          <w:rFonts w:ascii="宋体" w:hAnsi="宋体" w:eastAsia="宋体" w:cs="Times New Roman"/>
          <w:i/>
          <w:kern w:val="0"/>
          <w:szCs w:val="20"/>
        </w:rPr>
        <w:t>Q</w:t>
      </w:r>
      <w:r>
        <w:rPr>
          <w:rFonts w:hint="eastAsia" w:ascii="宋体" w:hAnsi="宋体" w:eastAsia="宋体" w:cs="Times New Roman"/>
          <w:kern w:val="0"/>
          <w:szCs w:val="20"/>
          <w:vertAlign w:val="subscript"/>
        </w:rPr>
        <w:t>回</w:t>
      </w:r>
      <w:r>
        <w:rPr>
          <w:rFonts w:hint="eastAsia" w:ascii="宋体" w:hAnsi="宋体" w:eastAsia="宋体" w:cs="Times New Roman"/>
          <w:kern w:val="0"/>
          <w:szCs w:val="20"/>
        </w:rPr>
        <w:t>——统计期（一年）内企业在喷锌过程中，回收的锌粉量（不含因断弧、调试、乱丝等原因造成的小段锌丝），单位t。</w:t>
      </w:r>
    </w:p>
    <w:p>
      <w:pPr>
        <w:widowControl/>
        <w:tabs>
          <w:tab w:val="center" w:pos="4201"/>
          <w:tab w:val="right" w:leader="dot" w:pos="9298"/>
        </w:tabs>
        <w:autoSpaceDE w:val="0"/>
        <w:autoSpaceDN w:val="0"/>
        <w:ind w:left="1260" w:leftChars="500" w:hanging="210" w:hangingChars="100"/>
        <w:jc w:val="left"/>
        <w:rPr>
          <w:rFonts w:hint="eastAsia" w:ascii="宋体" w:hAnsi="宋体" w:eastAsia="宋体" w:cs="Times New Roman"/>
          <w:kern w:val="0"/>
          <w:szCs w:val="20"/>
        </w:rPr>
      </w:pPr>
    </w:p>
    <w:p>
      <w:pPr>
        <w:rPr>
          <w:rFonts w:ascii="黑体" w:hAnsi="黑体" w:eastAsia="黑体" w:cs="黑体"/>
          <w:lang w:val="en-GB"/>
        </w:rPr>
      </w:pPr>
      <w:r>
        <w:rPr>
          <w:rFonts w:hint="eastAsia" w:ascii="黑体" w:hAnsi="黑体" w:eastAsia="黑体" w:cs="黑体"/>
          <w:lang w:val="en-GB"/>
        </w:rPr>
        <w:t>A</w:t>
      </w:r>
      <w:r>
        <w:rPr>
          <w:rFonts w:ascii="黑体" w:hAnsi="黑体" w:eastAsia="黑体" w:cs="黑体"/>
          <w:lang w:val="en-GB"/>
        </w:rPr>
        <w:t>.</w:t>
      </w:r>
      <w:r>
        <w:rPr>
          <w:rFonts w:hint="eastAsia" w:ascii="黑体" w:hAnsi="黑体" w:eastAsia="黑体" w:cs="黑体"/>
          <w:lang w:val="en-US" w:eastAsia="zh-CN"/>
        </w:rPr>
        <w:t>5</w:t>
      </w:r>
      <w:r>
        <w:rPr>
          <w:rFonts w:hint="eastAsia" w:ascii="黑体" w:hAnsi="黑体" w:eastAsia="黑体" w:cs="黑体"/>
          <w:lang w:val="en-GB"/>
        </w:rPr>
        <w:t>锌涂层对金属基底附着力</w:t>
      </w:r>
    </w:p>
    <w:p>
      <w:pPr>
        <w:ind w:firstLine="420" w:firstLineChars="200"/>
      </w:pPr>
      <w:r>
        <w:rPr>
          <w:rFonts w:hint="eastAsia"/>
        </w:rPr>
        <w:t>锌涂层对金属基底附着力检测应按照GB/T 5210规定的方法进行。试验宜在喷锌后（喷锌量宜为130</w:t>
      </w:r>
      <w:r>
        <w:t xml:space="preserve"> </w:t>
      </w:r>
      <w:r>
        <w:rPr>
          <w:rFonts w:hint="eastAsia"/>
        </w:rPr>
        <w:t>g/m</w:t>
      </w:r>
      <w:r>
        <w:rPr>
          <w:rFonts w:hint="eastAsia"/>
          <w:vertAlign w:val="superscript"/>
        </w:rPr>
        <w:t>2</w:t>
      </w:r>
      <w:r>
        <w:rPr>
          <w:rFonts w:hint="eastAsia"/>
        </w:rPr>
        <w:t>）的管道（或截取的管段、管片）表面上进行，用胶黏剂将试柱直接粘结到金属锌层表面，胶黏剂固化后，使用适宜的拉力试验机测量所需的拉力。</w:t>
      </w:r>
    </w:p>
    <w:p>
      <w:pPr>
        <w:ind w:firstLine="420" w:firstLineChars="200"/>
        <w:rPr>
          <w:rFonts w:ascii="黑体" w:hAnsi="黑体" w:eastAsia="黑体" w:cs="黑体"/>
          <w:lang w:val="en-GB"/>
        </w:rPr>
      </w:pPr>
    </w:p>
    <w:p>
      <w:pPr>
        <w:rPr>
          <w:rFonts w:ascii="黑体" w:hAnsi="黑体" w:eastAsia="黑体" w:cs="黑体"/>
          <w:lang w:val="en-GB"/>
        </w:rPr>
      </w:pPr>
      <w:r>
        <w:rPr>
          <w:rFonts w:ascii="黑体" w:hAnsi="黑体" w:eastAsia="黑体" w:cs="黑体"/>
          <w:lang w:val="en-GB"/>
        </w:rPr>
        <w:t>A.</w:t>
      </w:r>
      <w:r>
        <w:rPr>
          <w:rFonts w:hint="eastAsia" w:ascii="黑体" w:hAnsi="黑体" w:eastAsia="黑体" w:cs="黑体"/>
          <w:lang w:val="en-US" w:eastAsia="zh-CN"/>
        </w:rPr>
        <w:t>6</w:t>
      </w:r>
      <w:r>
        <w:rPr>
          <w:rFonts w:hint="eastAsia" w:ascii="黑体" w:hAnsi="黑体" w:eastAsia="黑体" w:cs="黑体"/>
          <w:lang w:val="en-GB"/>
        </w:rPr>
        <w:t>径向刚度试验后水泥内衬完整性</w:t>
      </w:r>
    </w:p>
    <w:p>
      <w:pPr>
        <w:ind w:firstLine="420" w:firstLineChars="200"/>
        <w:rPr>
          <w:lang w:val="en-GB"/>
        </w:rPr>
      </w:pPr>
      <w:r>
        <w:rPr>
          <w:rFonts w:hint="eastAsia"/>
        </w:rPr>
        <w:t>试验应按GB/T 26081规定的“径向刚度”型式试验方法进行。污水用球墨铸铁管试验载荷应按GB/T 26081的规定施加，径向变形量应达到GB/T</w:t>
      </w:r>
      <w:r>
        <w:t xml:space="preserve"> </w:t>
      </w:r>
      <w:r>
        <w:rPr>
          <w:rFonts w:hint="eastAsia"/>
        </w:rPr>
        <w:t>26081规定的上限值；水及燃气用球墨铸铁管试验载荷应按GB/T 13295的规定施加，径向变形量应达到GB/T 13295规定的上限</w:t>
      </w:r>
      <w:r>
        <w:rPr>
          <w:rFonts w:hint="eastAsia"/>
          <w:lang w:val="en-GB"/>
        </w:rPr>
        <w:t>。</w:t>
      </w:r>
    </w:p>
    <w:p>
      <w:pPr>
        <w:ind w:firstLine="420" w:firstLineChars="200"/>
      </w:pPr>
      <w:r>
        <w:rPr>
          <w:rFonts w:hint="eastAsia"/>
        </w:rPr>
        <w:t>试验中，观察水泥内衬有无影响性能的缺陷，做好记录。</w:t>
      </w:r>
    </w:p>
    <w:p>
      <w:pPr>
        <w:pStyle w:val="6"/>
        <w:jc w:val="left"/>
        <w:rPr>
          <w:rFonts w:hint="default" w:ascii="宋体" w:hAnsi="Times New Roman" w:eastAsia="宋体" w:cs="Times New Roman"/>
          <w:kern w:val="0"/>
          <w:szCs w:val="20"/>
          <w:lang w:val="en-US" w:eastAsia="zh-CN"/>
        </w:rPr>
      </w:pPr>
    </w:p>
    <w:sectPr>
      <w:pgSz w:w="11906" w:h="16838"/>
      <w:pgMar w:top="1440" w:right="1803" w:bottom="1440" w:left="1803" w:header="1418" w:footer="850" w:gutter="0"/>
      <w:pgBorders>
        <w:top w:val="none" w:sz="0" w:space="0"/>
        <w:left w:val="none" w:sz="0" w:space="0"/>
        <w:bottom w:val="none" w:sz="0" w:space="0"/>
        <w:right w:val="none" w:sz="0" w:space="0"/>
      </w:pgBorders>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2" w:usb3="00000000" w:csb0="4002009F" w:csb1="DFD70000"/>
  </w:font>
  <w:font w:name="Cambria Math">
    <w:panose1 w:val="02040503050406030204"/>
    <w:charset w:val="00"/>
    <w:family w:val="roman"/>
    <w:pitch w:val="default"/>
    <w:sig w:usb0="E00006FF" w:usb1="420024FF" w:usb2="02000000" w:usb3="00000000" w:csb0="2000019F" w:csb1="00000000"/>
  </w:font>
  <w:font w:name="Yu Gothic UI">
    <w:panose1 w:val="020B0500000000000000"/>
    <w:charset w:val="80"/>
    <w:family w:val="auto"/>
    <w:pitch w:val="default"/>
    <w:sig w:usb0="E00002FF" w:usb1="2AC7FDFF" w:usb2="00000016" w:usb3="00000000" w:csb0="200200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8"/>
      </w:rPr>
    </w:pPr>
    <w:r>
      <w:fldChar w:fldCharType="begin"/>
    </w:r>
    <w:r>
      <w:rPr>
        <w:rStyle w:val="18"/>
      </w:rPr>
      <w:instrText xml:space="preserve">PAGE  </w:instrText>
    </w:r>
    <w:r>
      <w:fldChar w:fldCharType="end"/>
    </w:r>
  </w:p>
  <w:p>
    <w:pPr>
      <w:pStyle w:val="9"/>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none" w:color="auto" w:sz="0" w:space="0"/>
        <w:left w:val="none" w:color="auto" w:sz="0" w:space="0"/>
        <w:bottom w:val="none" w:color="auto" w:sz="0" w:space="1"/>
        <w:right w:val="none" w:color="auto" w:sz="0" w:space="0"/>
        <w:between w:val="none" w:color="auto" w:sz="0" w:space="0"/>
      </w:pBdr>
      <w:wordWrap w:val="0"/>
      <w:jc w:val="right"/>
      <w:rPr>
        <w:rFonts w:hint="default" w:eastAsia="宋体"/>
        <w:lang w:val="en-US" w:eastAsia="zh-CN"/>
      </w:rPr>
    </w:pPr>
    <w:r>
      <w:rPr>
        <w:rFonts w:hint="eastAsia"/>
      </w:rPr>
      <w:t>T/CECS</w:t>
    </w:r>
    <w:r>
      <w:rPr>
        <w:rFonts w:hint="eastAsia"/>
        <w:lang w:val="en-US" w:eastAsia="zh-CN"/>
      </w:rPr>
      <w:t xml:space="preserve"> XXXX-20XX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VkNmIwZTk2NWMxNTkxNzBiYzY5YWJjMDNmOWVlN2QifQ=="/>
  </w:docVars>
  <w:rsids>
    <w:rsidRoot w:val="00000000"/>
    <w:rsid w:val="00B91918"/>
    <w:rsid w:val="013F77F9"/>
    <w:rsid w:val="01CE7572"/>
    <w:rsid w:val="01EB5317"/>
    <w:rsid w:val="022F6A00"/>
    <w:rsid w:val="03630182"/>
    <w:rsid w:val="04104DE8"/>
    <w:rsid w:val="04395899"/>
    <w:rsid w:val="06475B39"/>
    <w:rsid w:val="07B0512D"/>
    <w:rsid w:val="083D3697"/>
    <w:rsid w:val="08743C8F"/>
    <w:rsid w:val="089D2D39"/>
    <w:rsid w:val="09166BC6"/>
    <w:rsid w:val="091F4B4B"/>
    <w:rsid w:val="094F478A"/>
    <w:rsid w:val="0A534931"/>
    <w:rsid w:val="0AEA0C42"/>
    <w:rsid w:val="0F072309"/>
    <w:rsid w:val="102B0279"/>
    <w:rsid w:val="11C646FD"/>
    <w:rsid w:val="120D624F"/>
    <w:rsid w:val="127203E1"/>
    <w:rsid w:val="12904C0D"/>
    <w:rsid w:val="13141499"/>
    <w:rsid w:val="14035054"/>
    <w:rsid w:val="142F44DC"/>
    <w:rsid w:val="159E5571"/>
    <w:rsid w:val="1722258C"/>
    <w:rsid w:val="17887D5F"/>
    <w:rsid w:val="180860F6"/>
    <w:rsid w:val="19AA2D7C"/>
    <w:rsid w:val="1B2B2A67"/>
    <w:rsid w:val="1CC30CC1"/>
    <w:rsid w:val="1CF85987"/>
    <w:rsid w:val="1FA808F8"/>
    <w:rsid w:val="20BE6C95"/>
    <w:rsid w:val="21BC6F83"/>
    <w:rsid w:val="21C5133A"/>
    <w:rsid w:val="25B74631"/>
    <w:rsid w:val="25BC57A4"/>
    <w:rsid w:val="27D063FC"/>
    <w:rsid w:val="28BE5CD7"/>
    <w:rsid w:val="28D9503F"/>
    <w:rsid w:val="2B1206DC"/>
    <w:rsid w:val="2C0A4D8F"/>
    <w:rsid w:val="2DCD4F31"/>
    <w:rsid w:val="2F827A5E"/>
    <w:rsid w:val="322425CE"/>
    <w:rsid w:val="323E39E4"/>
    <w:rsid w:val="32DF31AA"/>
    <w:rsid w:val="34CA155F"/>
    <w:rsid w:val="34D655F5"/>
    <w:rsid w:val="37E82428"/>
    <w:rsid w:val="3930278C"/>
    <w:rsid w:val="3BB84807"/>
    <w:rsid w:val="3BE23632"/>
    <w:rsid w:val="3C2F4241"/>
    <w:rsid w:val="3CBB725B"/>
    <w:rsid w:val="3EDE71BD"/>
    <w:rsid w:val="40C32ABE"/>
    <w:rsid w:val="41562CE5"/>
    <w:rsid w:val="43B81788"/>
    <w:rsid w:val="447A0492"/>
    <w:rsid w:val="484566F6"/>
    <w:rsid w:val="4A0E278E"/>
    <w:rsid w:val="4B684422"/>
    <w:rsid w:val="4D207734"/>
    <w:rsid w:val="4D671BE9"/>
    <w:rsid w:val="4D876A61"/>
    <w:rsid w:val="4DFE60AA"/>
    <w:rsid w:val="4EEA4880"/>
    <w:rsid w:val="4FE6773D"/>
    <w:rsid w:val="51257B8B"/>
    <w:rsid w:val="529133F1"/>
    <w:rsid w:val="546B1FBF"/>
    <w:rsid w:val="58193B65"/>
    <w:rsid w:val="59B3653F"/>
    <w:rsid w:val="5AD92379"/>
    <w:rsid w:val="5AFB06AE"/>
    <w:rsid w:val="5B837880"/>
    <w:rsid w:val="5BFB7CFF"/>
    <w:rsid w:val="5EC9734A"/>
    <w:rsid w:val="60D814DD"/>
    <w:rsid w:val="65516386"/>
    <w:rsid w:val="66186F17"/>
    <w:rsid w:val="676C1E7F"/>
    <w:rsid w:val="67FA7C0D"/>
    <w:rsid w:val="69B53F3D"/>
    <w:rsid w:val="6A8A11AD"/>
    <w:rsid w:val="6B07083C"/>
    <w:rsid w:val="6C6E1E97"/>
    <w:rsid w:val="6E0F53FF"/>
    <w:rsid w:val="6E6C6C08"/>
    <w:rsid w:val="6F1523B9"/>
    <w:rsid w:val="6FD33957"/>
    <w:rsid w:val="70123F1D"/>
    <w:rsid w:val="715776FB"/>
    <w:rsid w:val="71E33685"/>
    <w:rsid w:val="71F117DB"/>
    <w:rsid w:val="724F6FD7"/>
    <w:rsid w:val="73A313D2"/>
    <w:rsid w:val="749C34D3"/>
    <w:rsid w:val="74DD23E1"/>
    <w:rsid w:val="75683A83"/>
    <w:rsid w:val="75957353"/>
    <w:rsid w:val="773847E1"/>
    <w:rsid w:val="77471C6C"/>
    <w:rsid w:val="7AB33333"/>
    <w:rsid w:val="7D3D1E9B"/>
    <w:rsid w:val="7D742A66"/>
    <w:rsid w:val="7DA01018"/>
    <w:rsid w:val="7F6E02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1"/>
    <w:next w:val="1"/>
    <w:link w:val="40"/>
    <w:qFormat/>
    <w:uiPriority w:val="9"/>
    <w:pPr>
      <w:keepNext/>
      <w:keepLines/>
      <w:spacing w:line="480" w:lineRule="auto"/>
      <w:jc w:val="center"/>
      <w:outlineLvl w:val="0"/>
    </w:pPr>
    <w:rPr>
      <w:rFonts w:ascii="Times New Roman" w:hAnsi="Times New Roman" w:eastAsia="宋体" w:cs="Times New Roman"/>
      <w:bCs/>
      <w:kern w:val="44"/>
      <w:sz w:val="32"/>
      <w:szCs w:val="44"/>
      <w:lang w:val="en-US" w:eastAsia="zh-CN" w:bidi="ar-SA"/>
    </w:rPr>
  </w:style>
  <w:style w:type="paragraph" w:styleId="3">
    <w:name w:val="heading 2"/>
    <w:next w:val="1"/>
    <w:link w:val="42"/>
    <w:autoRedefine/>
    <w:qFormat/>
    <w:uiPriority w:val="9"/>
    <w:pPr>
      <w:keepNext/>
      <w:keepLines/>
      <w:spacing w:line="360" w:lineRule="auto"/>
      <w:jc w:val="center"/>
      <w:outlineLvl w:val="1"/>
    </w:pPr>
    <w:rPr>
      <w:rFonts w:ascii="等线 Light" w:hAnsi="等线 Light" w:eastAsia="黑体" w:cs="宋体"/>
      <w:b/>
      <w:bCs/>
      <w:kern w:val="2"/>
      <w:sz w:val="24"/>
      <w:szCs w:val="32"/>
      <w:lang w:val="en-US" w:eastAsia="zh-CN" w:bidi="ar-SA"/>
    </w:rPr>
  </w:style>
  <w:style w:type="paragraph" w:styleId="4">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6">
    <w:name w:val="Default Paragraph Font"/>
    <w:autoRedefine/>
    <w:qFormat/>
    <w:uiPriority w:val="1"/>
  </w:style>
  <w:style w:type="table" w:default="1" w:styleId="14">
    <w:name w:val="Normal Table"/>
    <w:autoRedefine/>
    <w:qFormat/>
    <w:uiPriority w:val="99"/>
    <w:tblPr>
      <w:tblCellMar>
        <w:top w:w="0" w:type="dxa"/>
        <w:left w:w="108" w:type="dxa"/>
        <w:bottom w:w="0" w:type="dxa"/>
        <w:right w:w="108" w:type="dxa"/>
      </w:tblCellMar>
    </w:tblPr>
  </w:style>
  <w:style w:type="paragraph" w:styleId="5">
    <w:name w:val="annotation text"/>
    <w:basedOn w:val="1"/>
    <w:link w:val="47"/>
    <w:autoRedefine/>
    <w:qFormat/>
    <w:uiPriority w:val="99"/>
    <w:pPr>
      <w:jc w:val="left"/>
    </w:pPr>
  </w:style>
  <w:style w:type="paragraph" w:styleId="6">
    <w:name w:val="Body Text"/>
    <w:basedOn w:val="1"/>
    <w:qFormat/>
    <w:uiPriority w:val="99"/>
    <w:pPr>
      <w:spacing w:after="120"/>
    </w:pPr>
  </w:style>
  <w:style w:type="paragraph" w:styleId="7">
    <w:name w:val="toc 3"/>
    <w:basedOn w:val="1"/>
    <w:next w:val="1"/>
    <w:autoRedefine/>
    <w:qFormat/>
    <w:uiPriority w:val="39"/>
    <w:pPr>
      <w:widowControl/>
      <w:spacing w:after="100" w:line="259" w:lineRule="auto"/>
      <w:ind w:left="440"/>
      <w:jc w:val="left"/>
    </w:pPr>
    <w:rPr>
      <w:rFonts w:ascii="等线" w:hAnsi="等线" w:eastAsia="等线"/>
      <w:kern w:val="0"/>
      <w:sz w:val="22"/>
      <w:szCs w:val="22"/>
    </w:rPr>
  </w:style>
  <w:style w:type="paragraph" w:styleId="8">
    <w:name w:val="Date"/>
    <w:basedOn w:val="1"/>
    <w:next w:val="1"/>
    <w:link w:val="44"/>
    <w:autoRedefine/>
    <w:qFormat/>
    <w:uiPriority w:val="99"/>
    <w:pPr>
      <w:ind w:left="100" w:leftChars="2500"/>
    </w:pPr>
  </w:style>
  <w:style w:type="paragraph" w:styleId="9">
    <w:name w:val="footer"/>
    <w:basedOn w:val="1"/>
    <w:link w:val="23"/>
    <w:autoRedefine/>
    <w:qFormat/>
    <w:uiPriority w:val="0"/>
    <w:pPr>
      <w:tabs>
        <w:tab w:val="center" w:pos="4153"/>
        <w:tab w:val="right" w:pos="8306"/>
      </w:tabs>
      <w:snapToGrid w:val="0"/>
      <w:jc w:val="left"/>
    </w:pPr>
    <w:rPr>
      <w:sz w:val="18"/>
      <w:szCs w:val="18"/>
    </w:rPr>
  </w:style>
  <w:style w:type="paragraph" w:styleId="10">
    <w:name w:val="header"/>
    <w:basedOn w:val="1"/>
    <w:link w:val="39"/>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qFormat/>
    <w:uiPriority w:val="39"/>
    <w:pPr>
      <w:widowControl/>
      <w:spacing w:after="100" w:line="259" w:lineRule="auto"/>
      <w:jc w:val="left"/>
    </w:pPr>
    <w:rPr>
      <w:rFonts w:ascii="等线" w:hAnsi="等线" w:eastAsia="等线"/>
      <w:kern w:val="0"/>
      <w:sz w:val="22"/>
      <w:szCs w:val="22"/>
    </w:rPr>
  </w:style>
  <w:style w:type="paragraph" w:styleId="12">
    <w:name w:val="toc 2"/>
    <w:basedOn w:val="1"/>
    <w:next w:val="1"/>
    <w:autoRedefine/>
    <w:qFormat/>
    <w:uiPriority w:val="39"/>
    <w:pPr>
      <w:widowControl/>
      <w:spacing w:after="100" w:line="259" w:lineRule="auto"/>
      <w:ind w:left="220"/>
      <w:jc w:val="left"/>
    </w:pPr>
    <w:rPr>
      <w:rFonts w:ascii="等线" w:hAnsi="等线" w:eastAsia="等线"/>
      <w:kern w:val="0"/>
      <w:sz w:val="22"/>
      <w:szCs w:val="22"/>
    </w:rPr>
  </w:style>
  <w:style w:type="paragraph" w:styleId="13">
    <w:name w:val="annotation subject"/>
    <w:basedOn w:val="5"/>
    <w:next w:val="5"/>
    <w:link w:val="48"/>
    <w:qFormat/>
    <w:uiPriority w:val="99"/>
    <w:rPr>
      <w:b/>
      <w:bCs/>
    </w:r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basedOn w:val="16"/>
    <w:qFormat/>
    <w:uiPriority w:val="0"/>
  </w:style>
  <w:style w:type="character" w:styleId="19">
    <w:name w:val="Hyperlink"/>
    <w:basedOn w:val="16"/>
    <w:qFormat/>
    <w:uiPriority w:val="99"/>
    <w:rPr>
      <w:color w:val="0563C1"/>
      <w:u w:val="single"/>
    </w:rPr>
  </w:style>
  <w:style w:type="character" w:styleId="20">
    <w:name w:val="annotation reference"/>
    <w:basedOn w:val="16"/>
    <w:autoRedefine/>
    <w:qFormat/>
    <w:uiPriority w:val="99"/>
    <w:rPr>
      <w:sz w:val="21"/>
      <w:szCs w:val="21"/>
    </w:rPr>
  </w:style>
  <w:style w:type="character" w:customStyle="1" w:styleId="21">
    <w:name w:val="段 Char"/>
    <w:link w:val="22"/>
    <w:autoRedefine/>
    <w:qFormat/>
    <w:uiPriority w:val="0"/>
    <w:rPr>
      <w:rFonts w:ascii="宋体"/>
      <w:sz w:val="22"/>
      <w:lang w:val="en-US" w:eastAsia="zh-CN"/>
    </w:rPr>
  </w:style>
  <w:style w:type="paragraph" w:customStyle="1" w:styleId="22">
    <w:name w:val="段"/>
    <w:next w:val="1"/>
    <w:link w:val="21"/>
    <w:autoRedefine/>
    <w:qFormat/>
    <w:uiPriority w:val="0"/>
    <w:pPr>
      <w:ind w:firstLine="200" w:firstLineChars="200"/>
      <w:jc w:val="both"/>
    </w:pPr>
    <w:rPr>
      <w:rFonts w:ascii="宋体" w:hAnsi="等线" w:eastAsia="等线" w:cs="宋体"/>
      <w:kern w:val="2"/>
      <w:sz w:val="22"/>
      <w:szCs w:val="22"/>
      <w:lang w:val="en-US" w:eastAsia="zh-CN" w:bidi="ar-SA"/>
    </w:rPr>
  </w:style>
  <w:style w:type="character" w:customStyle="1" w:styleId="23">
    <w:name w:val="页脚 字符"/>
    <w:basedOn w:val="16"/>
    <w:link w:val="9"/>
    <w:qFormat/>
    <w:uiPriority w:val="0"/>
    <w:rPr>
      <w:rFonts w:ascii="Times New Roman" w:hAnsi="Times New Roman" w:eastAsia="宋体" w:cs="Times New Roman"/>
      <w:sz w:val="18"/>
      <w:szCs w:val="18"/>
    </w:rPr>
  </w:style>
  <w:style w:type="paragraph" w:customStyle="1" w:styleId="24">
    <w:name w:val="标准书脚_偶数页"/>
    <w:autoRedefine/>
    <w:qFormat/>
    <w:uiPriority w:val="0"/>
    <w:pPr>
      <w:spacing w:before="120"/>
      <w:ind w:left="221"/>
    </w:pPr>
    <w:rPr>
      <w:rFonts w:ascii="宋体" w:hAnsi="Times New Roman" w:eastAsia="宋体" w:cs="Times New Roman"/>
      <w:sz w:val="18"/>
      <w:szCs w:val="18"/>
      <w:lang w:val="en-US" w:eastAsia="zh-CN" w:bidi="ar-SA"/>
    </w:rPr>
  </w:style>
  <w:style w:type="paragraph" w:customStyle="1" w:styleId="25">
    <w:name w:val="标准书眉_偶数页"/>
    <w:basedOn w:val="1"/>
    <w:next w:val="1"/>
    <w:autoRedefine/>
    <w:qFormat/>
    <w:uiPriority w:val="0"/>
    <w:pPr>
      <w:widowControl/>
      <w:tabs>
        <w:tab w:val="center" w:pos="4154"/>
        <w:tab w:val="right" w:pos="8306"/>
      </w:tabs>
      <w:spacing w:after="220"/>
      <w:jc w:val="left"/>
    </w:pPr>
    <w:rPr>
      <w:rFonts w:ascii="黑体" w:eastAsia="黑体"/>
      <w:kern w:val="0"/>
      <w:szCs w:val="21"/>
    </w:rPr>
  </w:style>
  <w:style w:type="paragraph" w:customStyle="1" w:styleId="26">
    <w:name w:val="前言、引言标题"/>
    <w:next w:val="22"/>
    <w:autoRedefine/>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7">
    <w:name w:val="封面标准号2"/>
    <w:autoRedefine/>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8">
    <w:name w:val="封面标准代替信息"/>
    <w:autoRedefine/>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29">
    <w:name w:val="封面标准名称"/>
    <w:autoRedefine/>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0">
    <w:name w:val="封面标准英文名称"/>
    <w:basedOn w:val="29"/>
    <w:autoRedefine/>
    <w:qFormat/>
    <w:uiPriority w:val="0"/>
    <w:pPr>
      <w:spacing w:before="370" w:line="400" w:lineRule="exact"/>
    </w:pPr>
    <w:rPr>
      <w:rFonts w:ascii="Times New Roman"/>
      <w:sz w:val="28"/>
      <w:szCs w:val="28"/>
    </w:rPr>
  </w:style>
  <w:style w:type="paragraph" w:customStyle="1" w:styleId="31">
    <w:name w:val="封面一致性程度标识"/>
    <w:basedOn w:val="30"/>
    <w:autoRedefine/>
    <w:qFormat/>
    <w:uiPriority w:val="0"/>
    <w:pPr>
      <w:spacing w:before="440"/>
    </w:pPr>
    <w:rPr>
      <w:rFonts w:ascii="宋体" w:eastAsia="宋体"/>
    </w:rPr>
  </w:style>
  <w:style w:type="paragraph" w:customStyle="1" w:styleId="32">
    <w:name w:val="封面标准文稿类别"/>
    <w:basedOn w:val="31"/>
    <w:autoRedefine/>
    <w:qFormat/>
    <w:uiPriority w:val="0"/>
    <w:pPr>
      <w:spacing w:after="160" w:line="240" w:lineRule="auto"/>
    </w:pPr>
    <w:rPr>
      <w:sz w:val="24"/>
    </w:rPr>
  </w:style>
  <w:style w:type="paragraph" w:customStyle="1" w:styleId="33">
    <w:name w:val="封面标准文稿编辑信息"/>
    <w:basedOn w:val="32"/>
    <w:autoRedefine/>
    <w:qFormat/>
    <w:uiPriority w:val="0"/>
    <w:pPr>
      <w:spacing w:before="180" w:line="180" w:lineRule="exact"/>
    </w:pPr>
    <w:rPr>
      <w:sz w:val="21"/>
    </w:rPr>
  </w:style>
  <w:style w:type="paragraph" w:customStyle="1" w:styleId="34">
    <w:name w:val="其他发布日期"/>
    <w:basedOn w:val="1"/>
    <w:autoRedefine/>
    <w:qFormat/>
    <w:uiPriority w:val="0"/>
    <w:pPr>
      <w:framePr w:w="3997" w:h="471" w:hRule="exact" w:vSpace="181" w:wrap="around" w:vAnchor="page" w:hAnchor="text" w:x="1419" w:y="14097" w:anchorLock="1"/>
      <w:widowControl/>
      <w:jc w:val="left"/>
    </w:pPr>
    <w:rPr>
      <w:rFonts w:eastAsia="黑体"/>
      <w:kern w:val="0"/>
      <w:sz w:val="28"/>
      <w:szCs w:val="20"/>
    </w:rPr>
  </w:style>
  <w:style w:type="paragraph" w:customStyle="1" w:styleId="35">
    <w:name w:val="其他实施日期"/>
    <w:basedOn w:val="1"/>
    <w:autoRedefine/>
    <w:qFormat/>
    <w:uiPriority w:val="0"/>
    <w:pPr>
      <w:framePr w:w="3997" w:h="471" w:hRule="exact" w:vSpace="181" w:wrap="around" w:vAnchor="page" w:hAnchor="text" w:x="7089" w:y="14097" w:anchorLock="1"/>
      <w:widowControl/>
      <w:jc w:val="right"/>
    </w:pPr>
    <w:rPr>
      <w:rFonts w:eastAsia="黑体"/>
      <w:kern w:val="0"/>
      <w:sz w:val="28"/>
      <w:szCs w:val="20"/>
    </w:rPr>
  </w:style>
  <w:style w:type="character" w:customStyle="1" w:styleId="36">
    <w:name w:val="发布"/>
    <w:autoRedefine/>
    <w:qFormat/>
    <w:uiPriority w:val="0"/>
    <w:rPr>
      <w:rFonts w:ascii="黑体" w:eastAsia="黑体"/>
      <w:spacing w:val="85"/>
      <w:w w:val="100"/>
      <w:position w:val="3"/>
      <w:sz w:val="28"/>
    </w:rPr>
  </w:style>
  <w:style w:type="paragraph" w:customStyle="1" w:styleId="37">
    <w:name w:val="其他发布部门"/>
    <w:basedOn w:val="1"/>
    <w:autoRedefine/>
    <w:qFormat/>
    <w:uiPriority w:val="0"/>
    <w:pPr>
      <w:framePr w:w="7938" w:h="1134" w:hRule="exact" w:hSpace="125" w:vSpace="181" w:wrap="around" w:vAnchor="page" w:hAnchor="page" w:x="2150" w:y="15310" w:anchorLock="1"/>
      <w:widowControl/>
      <w:spacing w:line="240" w:lineRule="atLeast"/>
      <w:jc w:val="center"/>
    </w:pPr>
    <w:rPr>
      <w:rFonts w:ascii="黑体" w:eastAsia="黑体"/>
      <w:spacing w:val="20"/>
      <w:w w:val="135"/>
      <w:kern w:val="0"/>
      <w:sz w:val="28"/>
      <w:szCs w:val="20"/>
    </w:rPr>
  </w:style>
  <w:style w:type="paragraph" w:customStyle="1" w:styleId="38">
    <w:name w:val="其他标准称谓"/>
    <w:next w:val="1"/>
    <w:autoRedefine/>
    <w:qFormat/>
    <w:uiPriority w:val="0"/>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character" w:customStyle="1" w:styleId="39">
    <w:name w:val="页眉 字符"/>
    <w:basedOn w:val="16"/>
    <w:link w:val="10"/>
    <w:autoRedefine/>
    <w:qFormat/>
    <w:uiPriority w:val="99"/>
    <w:rPr>
      <w:rFonts w:ascii="Times New Roman" w:hAnsi="Times New Roman" w:eastAsia="宋体" w:cs="Times New Roman"/>
      <w:sz w:val="18"/>
      <w:szCs w:val="18"/>
    </w:rPr>
  </w:style>
  <w:style w:type="character" w:customStyle="1" w:styleId="40">
    <w:name w:val="标题 1 字符"/>
    <w:basedOn w:val="16"/>
    <w:link w:val="2"/>
    <w:autoRedefine/>
    <w:qFormat/>
    <w:uiPriority w:val="9"/>
    <w:rPr>
      <w:rFonts w:ascii="Times New Roman" w:hAnsi="Times New Roman" w:eastAsia="宋体" w:cs="Times New Roman"/>
      <w:bCs/>
      <w:kern w:val="44"/>
      <w:sz w:val="32"/>
      <w:szCs w:val="44"/>
    </w:rPr>
  </w:style>
  <w:style w:type="paragraph" w:customStyle="1" w:styleId="41">
    <w:name w:val="TOC 标题1"/>
    <w:basedOn w:val="2"/>
    <w:next w:val="1"/>
    <w:autoRedefine/>
    <w:qFormat/>
    <w:uiPriority w:val="39"/>
    <w:pPr>
      <w:spacing w:before="240" w:line="259" w:lineRule="auto"/>
      <w:jc w:val="left"/>
      <w:outlineLvl w:val="9"/>
    </w:pPr>
    <w:rPr>
      <w:rFonts w:ascii="等线 Light" w:hAnsi="等线 Light" w:eastAsia="等线 Light" w:cs="宋体"/>
      <w:b/>
      <w:bCs w:val="0"/>
      <w:color w:val="2F5597"/>
      <w:kern w:val="0"/>
      <w:szCs w:val="32"/>
    </w:rPr>
  </w:style>
  <w:style w:type="character" w:customStyle="1" w:styleId="42">
    <w:name w:val="标题 2 字符"/>
    <w:basedOn w:val="16"/>
    <w:link w:val="3"/>
    <w:autoRedefine/>
    <w:qFormat/>
    <w:uiPriority w:val="9"/>
    <w:rPr>
      <w:rFonts w:ascii="等线 Light" w:hAnsi="等线 Light" w:eastAsia="黑体" w:cs="宋体"/>
      <w:b/>
      <w:bCs/>
      <w:sz w:val="24"/>
      <w:szCs w:val="32"/>
    </w:rPr>
  </w:style>
  <w:style w:type="paragraph" w:customStyle="1" w:styleId="43">
    <w:name w:val="List Paragraph_f9795121-6919-4fda-9a2e-d4a23235ec9e"/>
    <w:basedOn w:val="1"/>
    <w:autoRedefine/>
    <w:qFormat/>
    <w:uiPriority w:val="34"/>
    <w:pPr>
      <w:ind w:firstLine="420" w:firstLineChars="200"/>
    </w:pPr>
  </w:style>
  <w:style w:type="character" w:customStyle="1" w:styleId="44">
    <w:name w:val="日期 字符"/>
    <w:basedOn w:val="16"/>
    <w:link w:val="8"/>
    <w:autoRedefine/>
    <w:qFormat/>
    <w:uiPriority w:val="99"/>
    <w:rPr>
      <w:rFonts w:ascii="Times New Roman" w:hAnsi="Times New Roman" w:eastAsia="宋体" w:cs="Times New Roman"/>
      <w:szCs w:val="24"/>
    </w:rPr>
  </w:style>
  <w:style w:type="paragraph" w:customStyle="1" w:styleId="45">
    <w:name w:val="Default"/>
    <w:autoRedefine/>
    <w:qFormat/>
    <w:uiPriority w:val="0"/>
    <w:pPr>
      <w:widowControl w:val="0"/>
      <w:autoSpaceDE w:val="0"/>
      <w:autoSpaceDN w:val="0"/>
      <w:adjustRightInd w:val="0"/>
    </w:pPr>
    <w:rPr>
      <w:rFonts w:ascii="黑体" w:hAnsi="等线" w:eastAsia="黑体" w:cs="黑体"/>
      <w:color w:val="000000"/>
      <w:sz w:val="24"/>
      <w:szCs w:val="24"/>
      <w:lang w:val="en-US" w:eastAsia="zh-CN" w:bidi="ar-SA"/>
    </w:rPr>
  </w:style>
  <w:style w:type="table" w:customStyle="1" w:styleId="46">
    <w:name w:val="网格型2"/>
    <w:basedOn w:val="1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
    <w:name w:val="批注文字 字符"/>
    <w:basedOn w:val="16"/>
    <w:link w:val="5"/>
    <w:autoRedefine/>
    <w:qFormat/>
    <w:uiPriority w:val="99"/>
    <w:rPr>
      <w:rFonts w:ascii="Times New Roman" w:hAnsi="Times New Roman" w:eastAsia="宋体" w:cs="Times New Roman"/>
      <w:kern w:val="2"/>
      <w:sz w:val="21"/>
      <w:szCs w:val="24"/>
    </w:rPr>
  </w:style>
  <w:style w:type="character" w:customStyle="1" w:styleId="48">
    <w:name w:val="批注主题 字符"/>
    <w:basedOn w:val="47"/>
    <w:link w:val="13"/>
    <w:autoRedefine/>
    <w:qFormat/>
    <w:uiPriority w:val="99"/>
    <w:rPr>
      <w:rFonts w:ascii="Times New Roman" w:hAnsi="Times New Roman" w:eastAsia="宋体" w:cs="Times New Roman"/>
      <w:b/>
      <w:bCs/>
      <w:kern w:val="2"/>
      <w:sz w:val="21"/>
      <w:szCs w:val="24"/>
    </w:rPr>
  </w:style>
  <w:style w:type="paragraph" w:customStyle="1" w:styleId="49">
    <w:name w:val="文献分类号"/>
    <w:autoRedefine/>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50">
    <w:name w:val="标准称谓"/>
    <w:next w:val="1"/>
    <w:autoRedefine/>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3.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3.wmf"/><Relationship Id="rId13" Type="http://schemas.openxmlformats.org/officeDocument/2006/relationships/oleObject" Target="embeddings/oleObject3.bin"/><Relationship Id="rId12" Type="http://schemas.openxmlformats.org/officeDocument/2006/relationships/image" Target="media/image2.wmf"/><Relationship Id="rId11" Type="http://schemas.openxmlformats.org/officeDocument/2006/relationships/oleObject" Target="embeddings/oleObject2.bin"/><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e5d1f8-6bd7-4490-a8aa-e71a9ec595bd}">
  <ds:schemaRefs/>
</ds:datastoreItem>
</file>

<file path=customXml/itemProps3.xml><?xml version="1.0" encoding="utf-8"?>
<ds:datastoreItem xmlns:ds="http://schemas.openxmlformats.org/officeDocument/2006/customXml" ds:itemID="{caee86a7-bb37-4601-9a55-ad3f64772fb6}">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2952</Words>
  <Characters>3813</Characters>
  <Paragraphs>304</Paragraphs>
  <TotalTime>1</TotalTime>
  <ScaleCrop>false</ScaleCrop>
  <LinksUpToDate>false</LinksUpToDate>
  <CharactersWithSpaces>4155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2021-12-22T17:53:00Z</dcterms:created>
  <dc:creator>胡 祯</dc:creator>
  <cp:lastModifiedBy>陶然-中冶认证</cp:lastModifiedBy>
  <cp:lastPrinted>2023-11-28T08:19:00Z</cp:lastPrinted>
  <dcterms:modified xsi:type="dcterms:W3CDTF">2024-02-04T01:30:19Z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394E2FEF24904179A4BB6058098EC139_13</vt:lpwstr>
  </property>
</Properties>
</file>