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rPr>
          <w:rFonts w:ascii="黑体" w:hAnsi="宋体" w:eastAsia="黑体"/>
          <w:sz w:val="28"/>
          <w:szCs w:val="28"/>
        </w:rPr>
      </w:pPr>
      <w:r>
        <w:rPr>
          <w:rFonts w:ascii="黑体" w:hAnsi="宋体" w:eastAsia="黑体"/>
          <w:sz w:val="28"/>
          <w:szCs w:val="28"/>
        </w:rPr>
        <w:t>ICS 91.100.40</w:t>
      </w:r>
    </w:p>
    <w:p>
      <w:pPr>
        <w:pStyle w:val="14"/>
        <w:rPr>
          <w:rFonts w:ascii="Times New Roman" w:hAnsi="Times New Roman" w:eastAsia="黑体"/>
          <w:sz w:val="28"/>
          <w:szCs w:val="28"/>
        </w:rPr>
      </w:pPr>
      <w:r>
        <w:rPr>
          <w:rFonts w:hint="eastAsia" w:ascii="Times New Roman" w:hAnsi="Times New Roman" w:eastAsia="黑体"/>
          <w:sz w:val="28"/>
          <w:szCs w:val="28"/>
        </w:rPr>
        <w:t>CCS</w:t>
      </w:r>
      <w:r>
        <w:rPr>
          <w:rFonts w:ascii="Times New Roman" w:hAnsi="Times New Roman" w:eastAsia="黑体"/>
          <w:sz w:val="28"/>
          <w:szCs w:val="28"/>
        </w:rPr>
        <w:t xml:space="preserve"> </w:t>
      </w:r>
      <w:r>
        <w:rPr>
          <w:rFonts w:hint="eastAsia" w:ascii="Times New Roman" w:hAnsi="Times New Roman" w:eastAsia="黑体"/>
          <w:sz w:val="28"/>
          <w:szCs w:val="28"/>
        </w:rPr>
        <w:t>Q</w:t>
      </w:r>
      <w:r>
        <w:rPr>
          <w:rFonts w:ascii="Times New Roman" w:hAnsi="Times New Roman" w:eastAsia="黑体"/>
          <w:sz w:val="28"/>
          <w:szCs w:val="28"/>
        </w:rPr>
        <w:t>14</w:t>
      </w:r>
    </w:p>
    <w:p>
      <w:pPr>
        <w:pStyle w:val="14"/>
        <w:jc w:val="center"/>
        <w:rPr>
          <w:rFonts w:ascii="Times New Roman" w:hAnsi="Times New Roman" w:eastAsia="黑体"/>
          <w:sz w:val="56"/>
          <w:szCs w:val="28"/>
        </w:rPr>
      </w:pPr>
      <w:r>
        <w:rPr>
          <w:rFonts w:hint="eastAsia" w:ascii="Times New Roman" w:hAnsi="Times New Roman" w:eastAsia="黑体"/>
          <w:sz w:val="56"/>
          <w:szCs w:val="28"/>
        </w:rPr>
        <w:t xml:space="preserve">团 </w:t>
      </w:r>
      <w:r>
        <w:rPr>
          <w:rFonts w:ascii="Times New Roman" w:hAnsi="Times New Roman" w:eastAsia="黑体"/>
          <w:sz w:val="56"/>
          <w:szCs w:val="28"/>
        </w:rPr>
        <w:t xml:space="preserve">  </w:t>
      </w:r>
      <w:r>
        <w:rPr>
          <w:rFonts w:hint="eastAsia" w:ascii="Times New Roman" w:hAnsi="Times New Roman" w:eastAsia="黑体"/>
          <w:sz w:val="56"/>
          <w:szCs w:val="28"/>
        </w:rPr>
        <w:t xml:space="preserve">   体  </w:t>
      </w:r>
      <w:r>
        <w:rPr>
          <w:rFonts w:ascii="Times New Roman" w:hAnsi="Times New Roman" w:eastAsia="黑体"/>
          <w:sz w:val="56"/>
          <w:szCs w:val="28"/>
        </w:rPr>
        <w:t xml:space="preserve">  </w:t>
      </w:r>
      <w:r>
        <w:rPr>
          <w:rFonts w:hint="eastAsia" w:ascii="Times New Roman" w:hAnsi="Times New Roman" w:eastAsia="黑体"/>
          <w:sz w:val="56"/>
          <w:szCs w:val="28"/>
        </w:rPr>
        <w:t xml:space="preserve">  </w:t>
      </w:r>
      <w:r>
        <w:rPr>
          <w:rFonts w:ascii="Times New Roman" w:hAnsi="Times New Roman" w:eastAsia="黑体"/>
          <w:sz w:val="56"/>
          <w:szCs w:val="28"/>
        </w:rPr>
        <w:t>标</w:t>
      </w:r>
      <w:r>
        <w:rPr>
          <w:rFonts w:hint="eastAsia" w:ascii="Times New Roman" w:hAnsi="Times New Roman" w:eastAsia="黑体"/>
          <w:sz w:val="56"/>
          <w:szCs w:val="28"/>
        </w:rPr>
        <w:t xml:space="preserve">      </w:t>
      </w:r>
      <w:r>
        <w:rPr>
          <w:rFonts w:ascii="Times New Roman" w:hAnsi="Times New Roman" w:eastAsia="黑体"/>
          <w:sz w:val="56"/>
          <w:szCs w:val="28"/>
        </w:rPr>
        <w:t>准</w:t>
      </w:r>
    </w:p>
    <w:p>
      <w:pPr>
        <w:pStyle w:val="14"/>
        <w:jc w:val="right"/>
        <w:rPr>
          <w:rFonts w:ascii="Times New Roman" w:hAnsi="Times New Roman" w:eastAsia="黑体"/>
          <w:sz w:val="28"/>
          <w:szCs w:val="28"/>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395605</wp:posOffset>
                </wp:positionV>
                <wp:extent cx="5986145" cy="0"/>
                <wp:effectExtent l="0" t="0" r="14605" b="0"/>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pt;margin-top:31.15pt;height:0pt;width:471.35pt;z-index:251659264;mso-width-relative:page;mso-height-relative:page;" filled="f" stroked="t" coordsize="21600,21600" o:gfxdata="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aPhFtQAAAAGAQAADwAAAAAAAAABACAAAAAiAAAAZHJzL2Rvd25y&#10;ZXYueG1sUEsBAhQAFAAAAAgAh07iQGCoxc3JAQAAnwMAAA4AAAAAAAAAAQAgAAAAIwEAAGRycy9l&#10;Mm9Eb2MueG1sUEsFBgAAAAAGAAYAWQEAAF4FAAAAAA==&#10;">
                <v:fill on="f" focussize="0,0"/>
                <v:stroke color="#000000" joinstyle="round"/>
                <v:imagedata o:title=""/>
                <o:lock v:ext="edit" aspectratio="f"/>
              </v:line>
            </w:pict>
          </mc:Fallback>
        </mc:AlternateContent>
      </w:r>
      <w:r>
        <w:rPr>
          <w:rFonts w:ascii="Times New Roman" w:hAnsi="Times New Roman" w:eastAsia="黑体"/>
          <w:sz w:val="28"/>
          <w:szCs w:val="28"/>
        </w:rPr>
        <w:t>T/</w:t>
      </w:r>
      <w:r>
        <w:rPr>
          <w:rFonts w:ascii="Times New Roman" w:hAnsi="Times New Roman" w:eastAsia="黑体"/>
          <w:sz w:val="30"/>
          <w:szCs w:val="30"/>
        </w:rPr>
        <w:t xml:space="preserve">CECS </w:t>
      </w:r>
      <w:r>
        <w:rPr>
          <w:rFonts w:hint="eastAsia" w:ascii="Times New Roman" w:hAnsi="Times New Roman" w:eastAsia="黑体"/>
          <w:sz w:val="30"/>
          <w:szCs w:val="30"/>
        </w:rPr>
        <w:t>XXX</w:t>
      </w:r>
      <w:r>
        <w:rPr>
          <w:rFonts w:ascii="Times New Roman" w:hAnsi="Times New Roman" w:eastAsia="黑体"/>
          <w:sz w:val="30"/>
          <w:szCs w:val="30"/>
        </w:rPr>
        <w:t>—20</w:t>
      </w:r>
      <w:r>
        <w:rPr>
          <w:rFonts w:hint="eastAsia" w:ascii="Times New Roman" w:hAnsi="Times New Roman" w:eastAsia="黑体"/>
          <w:sz w:val="30"/>
          <w:szCs w:val="30"/>
        </w:rPr>
        <w:t>XX</w:t>
      </w:r>
    </w:p>
    <w:p>
      <w:pPr>
        <w:pStyle w:val="14"/>
        <w:jc w:val="center"/>
        <w:rPr>
          <w:rFonts w:ascii="黑体" w:hAnsi="宋体" w:eastAsia="黑体"/>
          <w:sz w:val="28"/>
          <w:szCs w:val="28"/>
        </w:rPr>
      </w:pPr>
    </w:p>
    <w:p>
      <w:pPr>
        <w:pStyle w:val="14"/>
        <w:jc w:val="center"/>
        <w:rPr>
          <w:rFonts w:ascii="黑体" w:hAnsi="宋体" w:eastAsia="黑体"/>
          <w:sz w:val="28"/>
          <w:szCs w:val="28"/>
        </w:rPr>
      </w:pPr>
    </w:p>
    <w:p>
      <w:pPr>
        <w:pStyle w:val="14"/>
        <w:jc w:val="center"/>
        <w:rPr>
          <w:rFonts w:ascii="黑体" w:hAnsi="宋体" w:eastAsia="黑体" w:cs="黑体"/>
          <w:sz w:val="28"/>
          <w:szCs w:val="28"/>
        </w:rPr>
      </w:pPr>
      <w:r>
        <w:rPr>
          <w:rFonts w:ascii="黑体" w:hAnsi="宋体" w:eastAsia="黑体" w:cs="黑体"/>
          <w:sz w:val="28"/>
          <w:szCs w:val="28"/>
        </w:rPr>
        <w:t xml:space="preserve">                                                  </w:t>
      </w:r>
    </w:p>
    <w:p>
      <w:pPr>
        <w:pStyle w:val="14"/>
        <w:jc w:val="center"/>
        <w:rPr>
          <w:rFonts w:ascii="黑体" w:hAnsi="宋体" w:eastAsia="黑体" w:cs="黑体"/>
          <w:sz w:val="28"/>
          <w:szCs w:val="28"/>
        </w:rPr>
      </w:pPr>
    </w:p>
    <w:p>
      <w:pPr>
        <w:pStyle w:val="14"/>
        <w:jc w:val="center"/>
        <w:rPr>
          <w:rFonts w:ascii="黑体" w:hAnsi="宋体" w:eastAsia="黑体"/>
          <w:sz w:val="48"/>
          <w:szCs w:val="32"/>
        </w:rPr>
      </w:pPr>
      <w:r>
        <w:rPr>
          <w:rFonts w:hint="eastAsia" w:ascii="黑体" w:hAnsi="宋体" w:eastAsia="黑体" w:cs="黑体"/>
          <w:sz w:val="48"/>
          <w:szCs w:val="32"/>
        </w:rPr>
        <w:t xml:space="preserve">绿色建材评价 </w:t>
      </w:r>
      <w:r>
        <w:rPr>
          <w:rFonts w:ascii="黑体" w:hAnsi="宋体" w:eastAsia="黑体" w:cs="黑体"/>
          <w:sz w:val="48"/>
          <w:szCs w:val="32"/>
        </w:rPr>
        <w:t xml:space="preserve"> </w:t>
      </w:r>
      <w:r>
        <w:rPr>
          <w:rFonts w:hint="eastAsia" w:ascii="黑体" w:hAnsi="宋体" w:eastAsia="黑体" w:cs="黑体"/>
          <w:sz w:val="48"/>
          <w:szCs w:val="32"/>
        </w:rPr>
        <w:t>超高性能混凝土（UHPC）构件</w:t>
      </w:r>
    </w:p>
    <w:p>
      <w:pPr>
        <w:pStyle w:val="14"/>
        <w:jc w:val="center"/>
        <w:rPr>
          <w:rFonts w:ascii="Times New Roman" w:hAnsi="Times New Roman" w:eastAsia="黑体"/>
          <w:color w:val="FF0000"/>
          <w:sz w:val="28"/>
          <w:szCs w:val="24"/>
        </w:rPr>
      </w:pPr>
      <w:r>
        <w:rPr>
          <w:rFonts w:ascii="Times New Roman" w:hAnsi="Times New Roman" w:eastAsia="黑体"/>
          <w:sz w:val="28"/>
          <w:szCs w:val="24"/>
        </w:rPr>
        <w:t xml:space="preserve">Green building materials </w:t>
      </w:r>
      <w:r>
        <w:rPr>
          <w:rFonts w:hint="eastAsia" w:ascii="Times New Roman" w:hAnsi="Times New Roman" w:eastAsia="黑体"/>
          <w:sz w:val="28"/>
          <w:szCs w:val="24"/>
        </w:rPr>
        <w:t>a</w:t>
      </w:r>
      <w:r>
        <w:rPr>
          <w:rFonts w:ascii="Times New Roman" w:hAnsi="Times New Roman" w:eastAsia="黑体"/>
          <w:sz w:val="28"/>
          <w:szCs w:val="24"/>
        </w:rPr>
        <w:t>ssessment</w:t>
      </w:r>
      <w:r>
        <w:rPr>
          <w:rFonts w:hint="eastAsia" w:ascii="Times New Roman" w:hAnsi="Times New Roman" w:eastAsia="黑体"/>
          <w:sz w:val="28"/>
          <w:szCs w:val="24"/>
        </w:rPr>
        <w:t>—Ultra high performance concrete (UHPC) components</w:t>
      </w:r>
    </w:p>
    <w:p>
      <w:pPr>
        <w:pStyle w:val="14"/>
        <w:jc w:val="center"/>
        <w:rPr>
          <w:rFonts w:ascii="Times New Roman" w:hAnsi="Times New Roman" w:eastAsia="黑体"/>
          <w:sz w:val="24"/>
          <w:szCs w:val="24"/>
        </w:rPr>
      </w:pPr>
      <w:r>
        <w:rPr>
          <w:rFonts w:hint="eastAsia" w:ascii="Times New Roman" w:hAnsi="Times New Roman" w:eastAsia="黑体"/>
          <w:sz w:val="24"/>
          <w:szCs w:val="24"/>
        </w:rPr>
        <w:t>（</w:t>
      </w:r>
      <w:r>
        <w:rPr>
          <w:rFonts w:hint="eastAsia" w:ascii="Times New Roman" w:hAnsi="Times New Roman" w:eastAsia="黑体"/>
          <w:sz w:val="24"/>
          <w:szCs w:val="24"/>
          <w:lang w:val="en-US" w:eastAsia="zh-CN"/>
        </w:rPr>
        <w:t>征求意见</w:t>
      </w:r>
      <w:r>
        <w:rPr>
          <w:rFonts w:hint="eastAsia" w:ascii="Times New Roman" w:hAnsi="Times New Roman" w:eastAsia="黑体"/>
          <w:sz w:val="24"/>
          <w:szCs w:val="24"/>
        </w:rPr>
        <w:t>稿）</w:t>
      </w:r>
    </w:p>
    <w:p>
      <w:pPr>
        <w:pStyle w:val="14"/>
        <w:jc w:val="center"/>
        <w:rPr>
          <w:rFonts w:ascii="黑体" w:hAnsi="宋体" w:eastAsia="黑体"/>
        </w:rPr>
      </w:pPr>
    </w:p>
    <w:p>
      <w:pPr>
        <w:pStyle w:val="14"/>
        <w:jc w:val="center"/>
        <w:rPr>
          <w:rFonts w:ascii="黑体" w:hAnsi="宋体" w:eastAsia="黑体"/>
        </w:rPr>
      </w:pPr>
    </w:p>
    <w:p>
      <w:pPr>
        <w:pStyle w:val="14"/>
        <w:jc w:val="center"/>
        <w:rPr>
          <w:rFonts w:ascii="黑体" w:hAnsi="宋体" w:eastAsia="黑体"/>
        </w:rPr>
      </w:pPr>
    </w:p>
    <w:p>
      <w:pPr>
        <w:pStyle w:val="14"/>
        <w:spacing w:line="360" w:lineRule="auto"/>
        <w:jc w:val="center"/>
        <w:rPr>
          <w:rFonts w:hAnsi="宋体"/>
        </w:rPr>
      </w:pPr>
    </w:p>
    <w:p>
      <w:pPr>
        <w:pStyle w:val="14"/>
        <w:jc w:val="center"/>
        <w:rPr>
          <w:rFonts w:hAnsi="宋体"/>
        </w:rPr>
      </w:pPr>
    </w:p>
    <w:p>
      <w:pPr>
        <w:pStyle w:val="14"/>
        <w:jc w:val="center"/>
        <w:rPr>
          <w:rFonts w:hAnsi="宋体"/>
        </w:rPr>
      </w:pPr>
    </w:p>
    <w:p>
      <w:pPr>
        <w:pStyle w:val="14"/>
        <w:jc w:val="center"/>
        <w:rPr>
          <w:rFonts w:hAnsi="宋体"/>
        </w:rPr>
      </w:pPr>
    </w:p>
    <w:p>
      <w:pPr>
        <w:pStyle w:val="14"/>
        <w:jc w:val="center"/>
        <w:rPr>
          <w:rFonts w:hAnsi="宋体"/>
        </w:rPr>
      </w:pPr>
    </w:p>
    <w:p>
      <w:pPr>
        <w:pStyle w:val="14"/>
        <w:jc w:val="center"/>
        <w:rPr>
          <w:rFonts w:hAnsi="宋体"/>
        </w:rPr>
      </w:pPr>
    </w:p>
    <w:p>
      <w:pPr>
        <w:pStyle w:val="14"/>
        <w:jc w:val="center"/>
        <w:rPr>
          <w:rFonts w:hAnsi="宋体"/>
        </w:rPr>
      </w:pPr>
    </w:p>
    <w:p>
      <w:pPr>
        <w:pStyle w:val="14"/>
        <w:jc w:val="center"/>
        <w:rPr>
          <w:rFonts w:hAnsi="宋体"/>
        </w:rPr>
      </w:pPr>
    </w:p>
    <w:p>
      <w:pPr>
        <w:pStyle w:val="14"/>
        <w:jc w:val="center"/>
        <w:rPr>
          <w:rFonts w:hAnsi="宋体"/>
          <w:sz w:val="36"/>
          <w:u w:val="single"/>
        </w:rPr>
      </w:pPr>
      <w:r>
        <w:rPr>
          <w:rFonts w:hint="eastAsia" w:hAnsi="宋体"/>
          <w:sz w:val="36"/>
          <w:u w:val="single"/>
        </w:rPr>
        <w:t>20</w:t>
      </w:r>
      <w:r>
        <w:rPr>
          <w:rFonts w:hAnsi="宋体"/>
          <w:sz w:val="36"/>
          <w:u w:val="single"/>
        </w:rPr>
        <w:t>XX</w:t>
      </w:r>
      <w:r>
        <w:rPr>
          <w:rFonts w:hint="eastAsia" w:hAnsi="宋体"/>
          <w:sz w:val="36"/>
          <w:u w:val="single"/>
        </w:rPr>
        <w:t xml:space="preserve">-XX-XX发布   </w:t>
      </w:r>
      <w:r>
        <w:rPr>
          <w:rFonts w:hAnsi="宋体"/>
          <w:sz w:val="36"/>
          <w:u w:val="single"/>
        </w:rPr>
        <w:t xml:space="preserve">              </w:t>
      </w:r>
      <w:r>
        <w:rPr>
          <w:rFonts w:hint="eastAsia" w:hAnsi="宋体"/>
          <w:sz w:val="36"/>
          <w:u w:val="single"/>
        </w:rPr>
        <w:t xml:space="preserve">   20XX</w:t>
      </w:r>
      <w:r>
        <w:rPr>
          <w:rFonts w:hAnsi="宋体"/>
          <w:sz w:val="36"/>
          <w:u w:val="single"/>
        </w:rPr>
        <w:t>-</w:t>
      </w:r>
      <w:r>
        <w:rPr>
          <w:rFonts w:hint="eastAsia" w:hAnsi="宋体"/>
          <w:sz w:val="36"/>
          <w:u w:val="single"/>
        </w:rPr>
        <w:t>XX</w:t>
      </w:r>
      <w:r>
        <w:rPr>
          <w:rFonts w:hAnsi="宋体"/>
          <w:sz w:val="36"/>
          <w:u w:val="single"/>
        </w:rPr>
        <w:t>-</w:t>
      </w:r>
      <w:r>
        <w:rPr>
          <w:rFonts w:hint="eastAsia" w:hAnsi="宋体"/>
          <w:sz w:val="36"/>
          <w:u w:val="single"/>
        </w:rPr>
        <w:t>XX实施</w:t>
      </w:r>
    </w:p>
    <w:p>
      <w:pPr>
        <w:pStyle w:val="14"/>
        <w:tabs>
          <w:tab w:val="left" w:pos="6294"/>
        </w:tabs>
        <w:jc w:val="left"/>
        <w:rPr>
          <w:rFonts w:hAnsi="宋体"/>
        </w:rPr>
      </w:pPr>
      <w:r>
        <w:tab/>
      </w:r>
    </w:p>
    <w:p>
      <w:pPr>
        <w:widowControl/>
        <w:jc w:val="left"/>
        <w:rPr>
          <w:sz w:val="36"/>
          <w:szCs w:val="36"/>
        </w:rPr>
      </w:pPr>
    </w:p>
    <w:p>
      <w:pPr>
        <w:widowControl/>
        <w:jc w:val="center"/>
        <w:rPr>
          <w:sz w:val="32"/>
          <w:szCs w:val="36"/>
        </w:rPr>
      </w:pPr>
      <w:r>
        <w:rPr>
          <w:rFonts w:hint="eastAsia"/>
          <w:sz w:val="32"/>
          <w:szCs w:val="36"/>
        </w:rPr>
        <w:t xml:space="preserve">中国工程建设协会标准  </w:t>
      </w:r>
      <w:r>
        <w:rPr>
          <w:sz w:val="32"/>
          <w:szCs w:val="36"/>
        </w:rPr>
        <w:t xml:space="preserve">  </w:t>
      </w:r>
      <w:r>
        <w:rPr>
          <w:rFonts w:hint="eastAsia"/>
          <w:sz w:val="32"/>
          <w:szCs w:val="36"/>
        </w:rPr>
        <w:t>发 布</w:t>
      </w:r>
    </w:p>
    <w:p>
      <w:pPr>
        <w:pStyle w:val="141"/>
        <w:outlineLvl w:val="9"/>
      </w:pPr>
      <w:r>
        <w:rPr>
          <w:rFonts w:hint="eastAsia"/>
        </w:rPr>
        <w:t xml:space="preserve">目 </w:t>
      </w:r>
      <w:r>
        <w:t xml:space="preserve"> </w:t>
      </w:r>
      <w:r>
        <w:rPr>
          <w:rFonts w:hint="eastAsia"/>
        </w:rPr>
        <w:t>次</w:t>
      </w:r>
    </w:p>
    <w:p>
      <w:pPr>
        <w:pStyle w:val="22"/>
        <w:spacing w:before="78" w:after="78"/>
        <w:rPr>
          <w:rFonts w:asciiTheme="minorHAnsi" w:hAnsiTheme="minorHAnsi" w:eastAsiaTheme="minorEastAsia" w:cstheme="minorBidi"/>
          <w:szCs w:val="22"/>
        </w:rPr>
      </w:pPr>
      <w:r>
        <w:rPr>
          <w:color w:val="FF0000"/>
        </w:rPr>
        <w:fldChar w:fldCharType="begin"/>
      </w:r>
      <w:r>
        <w:rPr>
          <w:color w:val="FF0000"/>
        </w:rPr>
        <w:instrText xml:space="preserve"> TOC \o "1-1" \h \z \u </w:instrText>
      </w:r>
      <w:r>
        <w:rPr>
          <w:color w:val="FF0000"/>
        </w:rPr>
        <w:fldChar w:fldCharType="separate"/>
      </w:r>
      <w:r>
        <w:fldChar w:fldCharType="begin"/>
      </w:r>
      <w:r>
        <w:instrText xml:space="preserve"> HYPERLINK \l "_Toc134449219" </w:instrText>
      </w:r>
      <w:r>
        <w:fldChar w:fldCharType="separate"/>
      </w:r>
      <w:r>
        <w:rPr>
          <w:rStyle w:val="45"/>
        </w:rPr>
        <w:t>前言</w:t>
      </w:r>
      <w:r>
        <w:tab/>
      </w:r>
      <w:r>
        <w:fldChar w:fldCharType="begin"/>
      </w:r>
      <w:r>
        <w:instrText xml:space="preserve"> PAGEREF _Toc134449219 \h </w:instrText>
      </w:r>
      <w:r>
        <w:fldChar w:fldCharType="separate"/>
      </w:r>
      <w:r>
        <w:t>III</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"_Toc134449220" </w:instrText>
      </w:r>
      <w:r>
        <w:fldChar w:fldCharType="separate"/>
      </w:r>
      <w:r>
        <w:rPr>
          <w:rStyle w:val="45"/>
        </w:rPr>
        <w:t>1.</w:t>
      </w:r>
      <w:r>
        <w:rPr>
          <w:rFonts w:asciiTheme="minorHAnsi" w:hAnsiTheme="minorHAnsi" w:eastAsiaTheme="minorEastAsia" w:cstheme="minorBidi"/>
          <w:szCs w:val="22"/>
        </w:rPr>
        <w:tab/>
      </w:r>
      <w:r>
        <w:rPr>
          <w:rStyle w:val="45"/>
        </w:rPr>
        <w:t>范围</w:t>
      </w:r>
      <w:r>
        <w:tab/>
      </w:r>
      <w:r>
        <w:fldChar w:fldCharType="begin"/>
      </w:r>
      <w:r>
        <w:instrText xml:space="preserve"> PAGEREF _Toc134449220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"_Toc134449221" </w:instrText>
      </w:r>
      <w:r>
        <w:fldChar w:fldCharType="separate"/>
      </w:r>
      <w:r>
        <w:rPr>
          <w:rStyle w:val="45"/>
        </w:rPr>
        <w:t>2.</w:t>
      </w:r>
      <w:r>
        <w:rPr>
          <w:rFonts w:asciiTheme="minorHAnsi" w:hAnsiTheme="minorHAnsi" w:eastAsiaTheme="minorEastAsia" w:cstheme="minorBidi"/>
          <w:szCs w:val="22"/>
        </w:rPr>
        <w:tab/>
      </w:r>
      <w:r>
        <w:rPr>
          <w:rStyle w:val="45"/>
        </w:rPr>
        <w:t>规范性引用文件</w:t>
      </w:r>
      <w:r>
        <w:tab/>
      </w:r>
      <w:r>
        <w:fldChar w:fldCharType="begin"/>
      </w:r>
      <w:r>
        <w:instrText xml:space="preserve"> PAGEREF _Toc134449221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"_Toc134449222" </w:instrText>
      </w:r>
      <w:r>
        <w:fldChar w:fldCharType="separate"/>
      </w:r>
      <w:r>
        <w:rPr>
          <w:rStyle w:val="45"/>
        </w:rPr>
        <w:t>3.</w:t>
      </w:r>
      <w:r>
        <w:rPr>
          <w:rFonts w:asciiTheme="minorHAnsi" w:hAnsiTheme="minorHAnsi" w:eastAsiaTheme="minorEastAsia" w:cstheme="minorBidi"/>
          <w:szCs w:val="22"/>
        </w:rPr>
        <w:tab/>
      </w:r>
      <w:r>
        <w:rPr>
          <w:rStyle w:val="45"/>
        </w:rPr>
        <w:t>术语和定义</w:t>
      </w:r>
      <w:r>
        <w:tab/>
      </w:r>
      <w:r>
        <w:fldChar w:fldCharType="begin"/>
      </w:r>
      <w:r>
        <w:instrText xml:space="preserve"> PAGEREF _Toc134449222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"_Toc134449223" </w:instrText>
      </w:r>
      <w:r>
        <w:fldChar w:fldCharType="separate"/>
      </w:r>
      <w:r>
        <w:rPr>
          <w:rStyle w:val="45"/>
        </w:rPr>
        <w:t>4.</w:t>
      </w:r>
      <w:r>
        <w:rPr>
          <w:rFonts w:asciiTheme="minorHAnsi" w:hAnsiTheme="minorHAnsi" w:eastAsiaTheme="minorEastAsia" w:cstheme="minorBidi"/>
          <w:szCs w:val="22"/>
        </w:rPr>
        <w:tab/>
      </w:r>
      <w:r>
        <w:rPr>
          <w:rStyle w:val="45"/>
        </w:rPr>
        <w:t>评价要求</w:t>
      </w:r>
      <w:bookmarkStart w:id="103" w:name="_GoBack"/>
      <w:bookmarkEnd w:id="103"/>
      <w:r>
        <w:tab/>
      </w:r>
      <w:r>
        <w:fldChar w:fldCharType="begin"/>
      </w:r>
      <w:r>
        <w:instrText xml:space="preserve"> PAGEREF _Toc134449223 \h </w:instrText>
      </w:r>
      <w:r>
        <w:fldChar w:fldCharType="separate"/>
      </w:r>
      <w:r>
        <w:t>3</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"_Toc134449224" </w:instrText>
      </w:r>
      <w:r>
        <w:fldChar w:fldCharType="separate"/>
      </w:r>
      <w:r>
        <w:rPr>
          <w:rStyle w:val="45"/>
        </w:rPr>
        <w:t>5.</w:t>
      </w:r>
      <w:r>
        <w:rPr>
          <w:rFonts w:asciiTheme="minorHAnsi" w:hAnsiTheme="minorHAnsi" w:eastAsiaTheme="minorEastAsia" w:cstheme="minorBidi"/>
          <w:szCs w:val="22"/>
        </w:rPr>
        <w:tab/>
      </w:r>
      <w:r>
        <w:rPr>
          <w:rStyle w:val="45"/>
        </w:rPr>
        <w:t>评价方法</w:t>
      </w:r>
      <w:r>
        <w:tab/>
      </w:r>
      <w:r>
        <w:fldChar w:fldCharType="begin"/>
      </w:r>
      <w:r>
        <w:instrText xml:space="preserve"> PAGEREF _Toc134449224 \h </w:instrText>
      </w:r>
      <w:r>
        <w:fldChar w:fldCharType="separate"/>
      </w:r>
      <w:r>
        <w:t>4</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"_Toc134449225" </w:instrText>
      </w:r>
      <w:r>
        <w:fldChar w:fldCharType="separate"/>
      </w:r>
      <w:r>
        <w:rPr>
          <w:rStyle w:val="45"/>
        </w:rPr>
        <w:t>附录A</w:t>
      </w:r>
      <w:r>
        <w:rPr>
          <w:rStyle w:val="45"/>
        </w:rPr>
        <w:fldChar w:fldCharType="end"/>
      </w:r>
      <w:r>
        <w:fldChar w:fldCharType="begin"/>
      </w:r>
      <w:r>
        <w:instrText xml:space="preserve"> HYPERLINK \l "_Toc134449226" </w:instrText>
      </w:r>
      <w:r>
        <w:fldChar w:fldCharType="separate"/>
      </w:r>
      <w:r>
        <w:rPr>
          <w:rStyle w:val="45"/>
        </w:rPr>
        <w:t>（规范性）</w:t>
      </w:r>
      <w:r>
        <w:rPr>
          <w:rStyle w:val="45"/>
        </w:rPr>
        <w:fldChar w:fldCharType="end"/>
      </w:r>
      <w:r>
        <w:fldChar w:fldCharType="begin"/>
      </w:r>
      <w:r>
        <w:instrText xml:space="preserve"> HYPERLINK \l "_Toc134449227" </w:instrText>
      </w:r>
      <w:r>
        <w:fldChar w:fldCharType="separate"/>
      </w:r>
      <w:r>
        <w:rPr>
          <w:rStyle w:val="45"/>
        </w:rPr>
        <w:t>UHPC非承重构件基本性能</w:t>
      </w:r>
      <w:r>
        <w:tab/>
      </w:r>
      <w:r>
        <w:fldChar w:fldCharType="begin"/>
      </w:r>
      <w:r>
        <w:instrText xml:space="preserve"> PAGEREF _Toc134449227 \h </w:instrText>
      </w:r>
      <w:r>
        <w:fldChar w:fldCharType="separate"/>
      </w:r>
      <w:r>
        <w:t>5</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"_Toc134449228" </w:instrText>
      </w:r>
      <w:r>
        <w:fldChar w:fldCharType="separate"/>
      </w:r>
      <w:r>
        <w:rPr>
          <w:rStyle w:val="45"/>
        </w:rPr>
        <w:t>附录B</w:t>
      </w:r>
      <w:r>
        <w:rPr>
          <w:rStyle w:val="45"/>
        </w:rPr>
        <w:fldChar w:fldCharType="end"/>
      </w:r>
      <w:r>
        <w:fldChar w:fldCharType="begin"/>
      </w:r>
      <w:r>
        <w:instrText xml:space="preserve"> HYPERLINK \l "_Toc134449229" </w:instrText>
      </w:r>
      <w:r>
        <w:fldChar w:fldCharType="separate"/>
      </w:r>
      <w:r>
        <w:rPr>
          <w:rStyle w:val="45"/>
        </w:rPr>
        <w:t>（规范性）</w:t>
      </w:r>
      <w:r>
        <w:rPr>
          <w:rStyle w:val="45"/>
        </w:rPr>
        <w:fldChar w:fldCharType="end"/>
      </w:r>
      <w:r>
        <w:fldChar w:fldCharType="begin"/>
      </w:r>
      <w:r>
        <w:instrText xml:space="preserve"> HYPERLINK \l "_Toc134449230" </w:instrText>
      </w:r>
      <w:r>
        <w:fldChar w:fldCharType="separate"/>
      </w:r>
      <w:r>
        <w:rPr>
          <w:rStyle w:val="45"/>
        </w:rPr>
        <w:t>UHPC构件评价指标计算方法</w:t>
      </w:r>
      <w:r>
        <w:tab/>
      </w:r>
      <w:r>
        <w:fldChar w:fldCharType="begin"/>
      </w:r>
      <w:r>
        <w:instrText xml:space="preserve"> PAGEREF _Toc134449230 \h </w:instrText>
      </w:r>
      <w:r>
        <w:fldChar w:fldCharType="separate"/>
      </w:r>
      <w:r>
        <w:t>7</w:t>
      </w:r>
      <w:r>
        <w:fldChar w:fldCharType="end"/>
      </w:r>
      <w:r>
        <w:fldChar w:fldCharType="end"/>
      </w:r>
    </w:p>
    <w:p>
      <w:pPr>
        <w:rPr>
          <w:sz w:val="32"/>
        </w:rPr>
      </w:pPr>
      <w:r>
        <w:rPr>
          <w:rFonts w:ascii="宋体"/>
          <w:color w:val="FF0000"/>
          <w:szCs w:val="21"/>
        </w:rPr>
        <w:fldChar w:fldCharType="end"/>
      </w:r>
      <w:r>
        <w:rPr>
          <w:rFonts w:hint="eastAsia"/>
          <w:sz w:val="32"/>
        </w:rPr>
        <w:tab/>
      </w:r>
    </w:p>
    <w:p>
      <w:pPr>
        <w:pStyle w:val="141"/>
      </w:pPr>
      <w:bookmarkStart w:id="0" w:name="_Toc134449219"/>
      <w:r>
        <w:rPr>
          <w:rFonts w:hint="eastAsia"/>
        </w:rPr>
        <w:t>前</w:t>
      </w:r>
      <w:bookmarkStart w:id="1" w:name="BKQY"/>
      <w:r>
        <w:rPr>
          <w:rFonts w:hint="eastAsia" w:ascii="MS Mincho" w:hAnsi="MS Mincho" w:eastAsia="MS Mincho" w:cs="MS Mincho"/>
        </w:rPr>
        <w:t>  </w:t>
      </w:r>
      <w:r>
        <w:rPr>
          <w:rFonts w:hint="eastAsia"/>
        </w:rPr>
        <w:t>言</w:t>
      </w:r>
      <w:bookmarkEnd w:id="0"/>
      <w:bookmarkEnd w:id="1"/>
    </w:p>
    <w:p>
      <w:pPr>
        <w:pStyle w:val="26"/>
        <w:adjustRightInd w:val="0"/>
        <w:snapToGrid w:val="0"/>
        <w:spacing w:line="360" w:lineRule="auto"/>
        <w:ind w:firstLine="403" w:firstLineChars="192"/>
      </w:pPr>
      <w:r>
        <w:rPr>
          <w:rFonts w:hint="eastAsia"/>
        </w:rPr>
        <w:t>本文件按照GB/T 1.1—2020《标准化工作导则  第1部分：标准化文件的结构和起草规则》的规定起草。</w:t>
      </w:r>
    </w:p>
    <w:p>
      <w:pPr>
        <w:pStyle w:val="26"/>
        <w:adjustRightInd w:val="0"/>
        <w:snapToGrid w:val="0"/>
        <w:spacing w:line="360" w:lineRule="auto"/>
        <w:ind w:firstLine="403" w:firstLineChars="192"/>
      </w:pPr>
      <w:r>
        <w:rPr>
          <w:rFonts w:hint="eastAsia"/>
        </w:rPr>
        <w:t>本文件由中国工程建设标准化协会《关于印发&lt;2022年第二批协会标准制订、修订计划&gt;的通知》（建标协字〔2022〕40号）的</w:t>
      </w:r>
      <w:r>
        <w:t>要求制定。</w:t>
      </w:r>
    </w:p>
    <w:p>
      <w:pPr>
        <w:pStyle w:val="26"/>
        <w:adjustRightInd w:val="0"/>
        <w:snapToGrid w:val="0"/>
        <w:spacing w:line="360" w:lineRule="auto"/>
        <w:ind w:firstLine="403" w:firstLineChars="192"/>
      </w:pPr>
      <w:r>
        <w:rPr>
          <w:rFonts w:hint="eastAsia"/>
        </w:rPr>
        <w:t>请</w:t>
      </w:r>
      <w:r>
        <w:t>注意</w:t>
      </w:r>
      <w:r>
        <w:rPr>
          <w:rFonts w:hint="eastAsia"/>
        </w:rPr>
        <w:t>本文件</w:t>
      </w:r>
      <w:r>
        <w:t>的某些内容可能涉及专利。本文件的发布机构不承担识别这些</w:t>
      </w:r>
      <w:r>
        <w:rPr>
          <w:rFonts w:hint="eastAsia"/>
        </w:rPr>
        <w:t>专利</w:t>
      </w:r>
      <w:r>
        <w:t>的责任</w:t>
      </w:r>
      <w:r>
        <w:rPr>
          <w:rFonts w:hint="eastAsia"/>
        </w:rPr>
        <w:t>。</w:t>
      </w:r>
    </w:p>
    <w:p>
      <w:pPr>
        <w:pStyle w:val="26"/>
        <w:adjustRightInd w:val="0"/>
        <w:snapToGrid w:val="0"/>
        <w:spacing w:line="360" w:lineRule="auto"/>
        <w:ind w:firstLine="403" w:firstLineChars="192"/>
      </w:pPr>
      <w:r>
        <w:rPr>
          <w:rFonts w:hint="eastAsia"/>
        </w:rPr>
        <w:t>本文件</w:t>
      </w:r>
      <w:r>
        <w:t>由</w:t>
      </w:r>
      <w:r>
        <w:rPr>
          <w:rFonts w:hint="eastAsia"/>
        </w:rPr>
        <w:t>中国工程建设标准化协会提出</w:t>
      </w:r>
      <w:r>
        <w:t>。</w:t>
      </w:r>
    </w:p>
    <w:p>
      <w:pPr>
        <w:pStyle w:val="26"/>
        <w:adjustRightInd w:val="0"/>
        <w:snapToGrid w:val="0"/>
        <w:spacing w:line="360" w:lineRule="auto"/>
        <w:ind w:firstLine="403" w:firstLineChars="192"/>
      </w:pPr>
      <w:r>
        <w:rPr>
          <w:rFonts w:hint="eastAsia"/>
        </w:rPr>
        <w:t>本文件</w:t>
      </w:r>
      <w:r>
        <w:t>由</w:t>
      </w:r>
      <w:r>
        <w:rPr>
          <w:rFonts w:hint="eastAsia"/>
        </w:rPr>
        <w:t>中国工程建设标准化协会建筑材料分会</w:t>
      </w:r>
      <w:r>
        <w:t>归口。</w:t>
      </w:r>
    </w:p>
    <w:p>
      <w:pPr>
        <w:pStyle w:val="26"/>
        <w:adjustRightInd w:val="0"/>
        <w:snapToGrid w:val="0"/>
        <w:spacing w:line="360" w:lineRule="auto"/>
        <w:ind w:firstLine="403" w:firstLineChars="192"/>
      </w:pPr>
      <w:r>
        <w:rPr>
          <w:rFonts w:hint="eastAsia"/>
        </w:rPr>
        <w:t>本文件负责起草单位：</w:t>
      </w:r>
    </w:p>
    <w:p>
      <w:pPr>
        <w:pStyle w:val="26"/>
        <w:adjustRightInd w:val="0"/>
        <w:snapToGrid w:val="0"/>
        <w:spacing w:line="360" w:lineRule="auto"/>
        <w:ind w:firstLine="403" w:firstLineChars="192"/>
      </w:pPr>
      <w:r>
        <w:rPr>
          <w:rFonts w:hint="eastAsia"/>
        </w:rPr>
        <w:t>本</w:t>
      </w:r>
      <w:r>
        <w:t>文件参加起草单位：</w:t>
      </w:r>
    </w:p>
    <w:p>
      <w:pPr>
        <w:pStyle w:val="26"/>
        <w:adjustRightInd w:val="0"/>
        <w:snapToGrid w:val="0"/>
        <w:spacing w:line="360" w:lineRule="auto"/>
        <w:ind w:firstLine="403" w:firstLineChars="192"/>
      </w:pPr>
    </w:p>
    <w:p>
      <w:pPr>
        <w:pStyle w:val="26"/>
        <w:adjustRightInd w:val="0"/>
        <w:snapToGrid w:val="0"/>
        <w:spacing w:line="360" w:lineRule="auto"/>
        <w:ind w:firstLine="403" w:firstLineChars="192"/>
      </w:pPr>
    </w:p>
    <w:p>
      <w:pPr>
        <w:pStyle w:val="26"/>
        <w:adjustRightInd w:val="0"/>
        <w:snapToGrid w:val="0"/>
        <w:spacing w:line="360" w:lineRule="auto"/>
        <w:ind w:firstLine="403" w:firstLineChars="192"/>
      </w:pPr>
      <w:r>
        <w:t xml:space="preserve"> </w:t>
      </w:r>
    </w:p>
    <w:p>
      <w:pPr>
        <w:pStyle w:val="26"/>
        <w:adjustRightInd w:val="0"/>
        <w:snapToGrid w:val="0"/>
        <w:spacing w:line="360" w:lineRule="auto"/>
        <w:ind w:firstLine="403" w:firstLineChars="192"/>
        <w:rPr>
          <w:color w:val="000000"/>
        </w:rPr>
      </w:pPr>
      <w:r>
        <w:rPr>
          <w:rFonts w:hint="eastAsia"/>
        </w:rPr>
        <w:t>本</w:t>
      </w:r>
      <w:r>
        <w:rPr>
          <w:rFonts w:hint="eastAsia"/>
          <w:szCs w:val="21"/>
        </w:rPr>
        <w:t>文件</w:t>
      </w:r>
      <w:r>
        <w:rPr>
          <w:rFonts w:hint="eastAsia"/>
        </w:rPr>
        <w:t>主</w:t>
      </w:r>
      <w:r>
        <w:rPr>
          <w:rFonts w:hint="eastAsia"/>
          <w:color w:val="000000"/>
        </w:rPr>
        <w:t>要起草人：</w:t>
      </w:r>
    </w:p>
    <w:p>
      <w:pPr>
        <w:pStyle w:val="26"/>
        <w:adjustRightInd w:val="0"/>
        <w:snapToGrid w:val="0"/>
        <w:spacing w:line="360" w:lineRule="auto"/>
        <w:ind w:firstLine="403" w:firstLineChars="192"/>
        <w:rPr>
          <w:color w:val="000000"/>
        </w:rPr>
      </w:pPr>
    </w:p>
    <w:p>
      <w:pPr>
        <w:pStyle w:val="26"/>
        <w:adjustRightInd w:val="0"/>
        <w:snapToGrid w:val="0"/>
        <w:spacing w:line="360" w:lineRule="auto"/>
        <w:ind w:firstLine="403" w:firstLineChars="192"/>
      </w:pPr>
    </w:p>
    <w:p>
      <w:pPr>
        <w:pStyle w:val="26"/>
        <w:adjustRightInd w:val="0"/>
        <w:snapToGrid w:val="0"/>
        <w:spacing w:line="360" w:lineRule="auto"/>
        <w:ind w:firstLine="403" w:firstLineChars="192"/>
      </w:pPr>
      <w:r>
        <w:rPr>
          <w:rFonts w:hint="eastAsia"/>
        </w:rPr>
        <w:t>本</w:t>
      </w:r>
      <w:r>
        <w:t>文件</w:t>
      </w:r>
      <w:r>
        <w:rPr>
          <w:rFonts w:hint="eastAsia"/>
        </w:rPr>
        <w:t>主要</w:t>
      </w:r>
      <w:r>
        <w:t>审查人：</w:t>
      </w:r>
    </w:p>
    <w:p>
      <w:pPr>
        <w:pStyle w:val="26"/>
        <w:adjustRightInd w:val="0"/>
        <w:snapToGrid w:val="0"/>
        <w:spacing w:line="360" w:lineRule="auto"/>
        <w:ind w:firstLine="403" w:firstLineChars="192"/>
      </w:pPr>
    </w:p>
    <w:p>
      <w:pPr>
        <w:pStyle w:val="26"/>
        <w:adjustRightInd w:val="0"/>
        <w:snapToGrid w:val="0"/>
        <w:spacing w:line="360" w:lineRule="auto"/>
        <w:ind w:firstLine="403" w:firstLineChars="192"/>
      </w:pPr>
    </w:p>
    <w:p>
      <w:pPr>
        <w:pStyle w:val="26"/>
        <w:adjustRightInd w:val="0"/>
        <w:snapToGrid w:val="0"/>
        <w:spacing w:line="360" w:lineRule="auto"/>
        <w:ind w:firstLine="403" w:firstLineChars="192"/>
        <w:sectPr>
          <w:footerReference r:id="rId3" w:type="default"/>
          <w:pgSz w:w="11906" w:h="16838"/>
          <w:pgMar w:top="1246" w:right="1134" w:bottom="1134" w:left="1418" w:header="1418" w:footer="1134" w:gutter="0"/>
          <w:pgNumType w:fmt="upperRoman" w:start="1"/>
          <w:cols w:space="720" w:num="1"/>
          <w:formProt w:val="0"/>
          <w:docGrid w:type="lines" w:linePitch="312" w:charSpace="0"/>
        </w:sectPr>
      </w:pPr>
    </w:p>
    <w:p>
      <w:pPr>
        <w:pStyle w:val="143"/>
        <w:outlineLvl w:val="0"/>
        <w:rPr>
          <w:color w:val="000000"/>
        </w:rPr>
      </w:pPr>
      <w:r>
        <w:rPr>
          <w:rFonts w:hint="eastAsia"/>
          <w:color w:val="000000"/>
        </w:rPr>
        <w:t>绿色建材评价  超高性能混凝土（UHPC）构件</w:t>
      </w:r>
    </w:p>
    <w:p>
      <w:pPr>
        <w:pStyle w:val="136"/>
        <w:numPr>
          <w:ilvl w:val="0"/>
          <w:numId w:val="17"/>
        </w:numPr>
        <w:tabs>
          <w:tab w:val="left" w:pos="0"/>
        </w:tabs>
        <w:spacing w:before="312" w:after="312"/>
        <w:ind w:left="0" w:firstLine="0"/>
        <w:outlineLvl w:val="0"/>
        <w:rPr>
          <w:color w:val="000000"/>
        </w:rPr>
      </w:pPr>
      <w:bookmarkStart w:id="2" w:name="_Toc396134027"/>
      <w:bookmarkStart w:id="3" w:name="_Toc360436832"/>
      <w:bookmarkStart w:id="4" w:name="_Toc360632420"/>
      <w:bookmarkStart w:id="5" w:name="_Toc360436746"/>
      <w:bookmarkStart w:id="6" w:name="_Toc134449220"/>
      <w:bookmarkStart w:id="7" w:name="_Toc406486337"/>
      <w:bookmarkStart w:id="8" w:name="_Toc462063250"/>
      <w:bookmarkStart w:id="9" w:name="_Toc350863984"/>
      <w:r>
        <w:rPr>
          <w:rFonts w:hint="eastAsia"/>
          <w:color w:val="000000"/>
        </w:rPr>
        <w:t>范围</w:t>
      </w:r>
      <w:bookmarkEnd w:id="2"/>
      <w:bookmarkEnd w:id="3"/>
      <w:bookmarkEnd w:id="4"/>
      <w:bookmarkEnd w:id="5"/>
      <w:bookmarkEnd w:id="6"/>
      <w:bookmarkEnd w:id="7"/>
      <w:bookmarkEnd w:id="8"/>
      <w:bookmarkEnd w:id="9"/>
    </w:p>
    <w:p>
      <w:pPr>
        <w:pStyle w:val="26"/>
        <w:spacing w:line="360" w:lineRule="auto"/>
        <w:rPr>
          <w:rFonts w:ascii="Times New Roman"/>
        </w:rPr>
      </w:pPr>
      <w:bookmarkStart w:id="10" w:name="_Toc360436833"/>
      <w:bookmarkStart w:id="11" w:name="_Toc406486338"/>
      <w:bookmarkStart w:id="12" w:name="_Toc360632421"/>
      <w:bookmarkStart w:id="13" w:name="_Toc360436747"/>
      <w:bookmarkStart w:id="14" w:name="_Toc350863985"/>
      <w:bookmarkStart w:id="15" w:name="_Toc396134028"/>
      <w:r>
        <w:rPr>
          <w:rFonts w:hint="eastAsia" w:ascii="Times New Roman"/>
        </w:rPr>
        <w:t>本文件规定了</w:t>
      </w:r>
      <w:r>
        <w:rPr>
          <w:rFonts w:hint="eastAsia"/>
          <w:color w:val="000000"/>
        </w:rPr>
        <w:t>超高性能混凝土（以下简称：UHPC）</w:t>
      </w:r>
      <w:r>
        <w:rPr>
          <w:rFonts w:hint="eastAsia" w:ascii="Times New Roman"/>
        </w:rPr>
        <w:t>构件绿色建材评价的评价要求，描述了UHPC构件绿色建材评价的评价方法。</w:t>
      </w:r>
    </w:p>
    <w:p>
      <w:pPr>
        <w:pStyle w:val="26"/>
        <w:spacing w:line="360" w:lineRule="auto"/>
        <w:rPr>
          <w:rFonts w:ascii="Times New Roman"/>
        </w:rPr>
      </w:pPr>
      <w:r>
        <w:rPr>
          <w:rFonts w:hint="eastAsia" w:ascii="Times New Roman"/>
        </w:rPr>
        <w:t>本文件适用于建筑物或构筑物用UHPC承重构件和UHPC非承重构件</w:t>
      </w:r>
      <w:r>
        <w:rPr>
          <w:rFonts w:ascii="Times New Roman"/>
        </w:rPr>
        <w:t>的绿色建材评价</w:t>
      </w:r>
      <w:r>
        <w:rPr>
          <w:rFonts w:hint="eastAsia" w:ascii="Times New Roman"/>
        </w:rPr>
        <w:t>。</w:t>
      </w:r>
    </w:p>
    <w:p>
      <w:pPr>
        <w:pStyle w:val="136"/>
        <w:numPr>
          <w:ilvl w:val="0"/>
          <w:numId w:val="17"/>
        </w:numPr>
        <w:tabs>
          <w:tab w:val="left" w:pos="0"/>
        </w:tabs>
        <w:spacing w:before="312" w:after="312"/>
        <w:ind w:left="0" w:firstLine="0"/>
        <w:outlineLvl w:val="0"/>
        <w:rPr>
          <w:color w:val="000000"/>
        </w:rPr>
      </w:pPr>
      <w:bookmarkStart w:id="16" w:name="_Toc462063251"/>
      <w:bookmarkStart w:id="17" w:name="_Toc134449221"/>
      <w:r>
        <w:rPr>
          <w:rFonts w:hint="eastAsia"/>
          <w:color w:val="000000"/>
        </w:rPr>
        <w:t>规范性引用文件</w:t>
      </w:r>
      <w:bookmarkEnd w:id="10"/>
      <w:bookmarkEnd w:id="11"/>
      <w:bookmarkEnd w:id="12"/>
      <w:bookmarkEnd w:id="13"/>
      <w:bookmarkEnd w:id="14"/>
      <w:bookmarkEnd w:id="15"/>
      <w:bookmarkEnd w:id="16"/>
      <w:bookmarkEnd w:id="17"/>
    </w:p>
    <w:p>
      <w:pPr>
        <w:spacing w:line="360" w:lineRule="auto"/>
        <w:ind w:firstLine="420" w:firstLineChars="200"/>
        <w:jc w:val="left"/>
        <w:rPr>
          <w:rFonts w:ascii="宋体" w:hAnsi="宋体"/>
          <w:szCs w:val="21"/>
        </w:rPr>
      </w:pPr>
      <w:r>
        <w:rPr>
          <w:rFonts w:hint="eastAsia" w:ascii="宋体" w:hAnsi="宋体"/>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20" w:firstLineChars="200"/>
        <w:jc w:val="left"/>
        <w:rPr>
          <w:rFonts w:ascii="宋体" w:hAnsi="宋体"/>
          <w:szCs w:val="21"/>
        </w:rPr>
      </w:pPr>
      <w:r>
        <w:rPr>
          <w:rFonts w:ascii="宋体" w:hAnsi="宋体"/>
          <w:szCs w:val="21"/>
        </w:rPr>
        <w:t xml:space="preserve">GB/T 16157   </w:t>
      </w:r>
      <w:r>
        <w:rPr>
          <w:rFonts w:hint="eastAsia" w:ascii="宋体" w:hAnsi="宋体"/>
        </w:rPr>
        <w:t>固定污染源排气中颗粒物测定与气态污染物采样方法</w:t>
      </w:r>
    </w:p>
    <w:p>
      <w:pPr>
        <w:pStyle w:val="26"/>
        <w:spacing w:line="360" w:lineRule="auto"/>
        <w:rPr>
          <w:rFonts w:hAnsi="宋体"/>
        </w:rPr>
      </w:pPr>
      <w:r>
        <w:rPr>
          <w:rFonts w:hAnsi="宋体"/>
        </w:rPr>
        <w:t>GB 18597</w:t>
      </w:r>
      <w:r>
        <w:rPr>
          <w:rFonts w:hint="eastAsia" w:hAnsi="宋体"/>
        </w:rPr>
        <w:t xml:space="preserve">   危险废物贮存污染控制标准</w:t>
      </w:r>
    </w:p>
    <w:p>
      <w:pPr>
        <w:pStyle w:val="26"/>
        <w:spacing w:line="360" w:lineRule="auto"/>
        <w:rPr>
          <w:rFonts w:hAnsi="宋体"/>
        </w:rPr>
      </w:pPr>
      <w:r>
        <w:rPr>
          <w:rFonts w:hAnsi="宋体"/>
        </w:rPr>
        <w:t>GB 18599</w:t>
      </w:r>
      <w:r>
        <w:rPr>
          <w:rFonts w:hint="eastAsia" w:hAnsi="宋体"/>
        </w:rPr>
        <w:t xml:space="preserve">   一般工业固体废物贮存、处置场污染控制标准</w:t>
      </w:r>
    </w:p>
    <w:p>
      <w:pPr>
        <w:pStyle w:val="26"/>
        <w:spacing w:line="360" w:lineRule="auto"/>
        <w:rPr>
          <w:rFonts w:hAnsi="宋体"/>
        </w:rPr>
      </w:pPr>
      <w:r>
        <w:rPr>
          <w:rFonts w:hAnsi="宋体"/>
        </w:rPr>
        <w:t xml:space="preserve">GB/T 19001 </w:t>
      </w:r>
      <w:r>
        <w:rPr>
          <w:rFonts w:hint="eastAsia" w:hAnsi="宋体"/>
        </w:rPr>
        <w:t xml:space="preserve">  </w:t>
      </w:r>
      <w:r>
        <w:rPr>
          <w:rFonts w:hAnsi="宋体"/>
        </w:rPr>
        <w:t>质量管理体系 要求</w:t>
      </w:r>
    </w:p>
    <w:p>
      <w:pPr>
        <w:pStyle w:val="26"/>
        <w:spacing w:line="360" w:lineRule="auto"/>
        <w:rPr>
          <w:rFonts w:hAnsi="宋体"/>
        </w:rPr>
      </w:pPr>
      <w:r>
        <w:rPr>
          <w:rFonts w:hAnsi="宋体"/>
        </w:rPr>
        <w:t xml:space="preserve">GB/T 24001 </w:t>
      </w:r>
      <w:r>
        <w:rPr>
          <w:rFonts w:hint="eastAsia" w:hAnsi="宋体"/>
        </w:rPr>
        <w:t xml:space="preserve">  </w:t>
      </w:r>
      <w:r>
        <w:rPr>
          <w:rFonts w:hAnsi="宋体"/>
        </w:rPr>
        <w:t>环境管理体系 要求及使用指南</w:t>
      </w:r>
    </w:p>
    <w:p>
      <w:pPr>
        <w:spacing w:line="360" w:lineRule="auto"/>
        <w:ind w:firstLine="420" w:firstLineChars="200"/>
        <w:jc w:val="left"/>
        <w:rPr>
          <w:rFonts w:ascii="宋体" w:hAnsi="宋体"/>
          <w:szCs w:val="21"/>
        </w:rPr>
      </w:pPr>
      <w:r>
        <w:rPr>
          <w:rFonts w:ascii="宋体" w:hAnsi="宋体"/>
          <w:szCs w:val="21"/>
        </w:rPr>
        <w:t xml:space="preserve">GB/T 24025   </w:t>
      </w:r>
      <w:r>
        <w:rPr>
          <w:rFonts w:hint="eastAsia" w:ascii="宋体" w:hAnsi="宋体"/>
          <w:szCs w:val="21"/>
        </w:rPr>
        <w:t xml:space="preserve">环境标志和声明  </w:t>
      </w: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3 \* ROMAN</w:instrText>
      </w:r>
      <w:r>
        <w:rPr>
          <w:rFonts w:ascii="宋体" w:hAnsi="宋体"/>
          <w:szCs w:val="21"/>
        </w:rPr>
        <w:instrText xml:space="preserve"> </w:instrText>
      </w:r>
      <w:r>
        <w:rPr>
          <w:rFonts w:ascii="宋体" w:hAnsi="宋体"/>
          <w:szCs w:val="21"/>
        </w:rPr>
        <w:fldChar w:fldCharType="separate"/>
      </w:r>
      <w:r>
        <w:rPr>
          <w:rFonts w:ascii="宋体" w:hAnsi="宋体"/>
          <w:szCs w:val="21"/>
        </w:rPr>
        <w:t>III</w:t>
      </w:r>
      <w:r>
        <w:rPr>
          <w:rFonts w:ascii="宋体" w:hAnsi="宋体"/>
          <w:szCs w:val="21"/>
        </w:rPr>
        <w:fldChar w:fldCharType="end"/>
      </w:r>
      <w:r>
        <w:rPr>
          <w:rFonts w:hint="eastAsia" w:ascii="宋体" w:hAnsi="宋体"/>
          <w:szCs w:val="21"/>
        </w:rPr>
        <w:t>型环境声明  原则和程序（</w:t>
      </w:r>
      <w:r>
        <w:rPr>
          <w:rFonts w:ascii="宋体" w:hAnsi="宋体"/>
          <w:szCs w:val="21"/>
        </w:rPr>
        <w:t>GB/T 24025</w:t>
      </w:r>
      <w:r>
        <w:rPr>
          <w:rFonts w:hint="eastAsia" w:ascii="宋体" w:hAnsi="宋体"/>
          <w:szCs w:val="21"/>
        </w:rPr>
        <w:t>-</w:t>
      </w:r>
      <w:r>
        <w:rPr>
          <w:rFonts w:ascii="宋体" w:hAnsi="宋体"/>
          <w:szCs w:val="21"/>
        </w:rPr>
        <w:t>2009</w:t>
      </w:r>
      <w:r>
        <w:rPr>
          <w:rFonts w:hint="eastAsia" w:ascii="宋体" w:hAnsi="宋体"/>
          <w:szCs w:val="21"/>
        </w:rPr>
        <w:t>，ISO</w:t>
      </w:r>
      <w:r>
        <w:rPr>
          <w:rFonts w:ascii="宋体" w:hAnsi="宋体"/>
          <w:szCs w:val="21"/>
        </w:rPr>
        <w:t xml:space="preserve"> 14025</w:t>
      </w:r>
      <w:r>
        <w:rPr>
          <w:rFonts w:hint="eastAsia" w:ascii="宋体" w:hAnsi="宋体"/>
          <w:szCs w:val="21"/>
        </w:rPr>
        <w:t>:2</w:t>
      </w:r>
      <w:r>
        <w:rPr>
          <w:rFonts w:ascii="宋体" w:hAnsi="宋体"/>
          <w:szCs w:val="21"/>
        </w:rPr>
        <w:t xml:space="preserve">006 </w:t>
      </w:r>
      <w:r>
        <w:rPr>
          <w:rFonts w:hint="eastAsia" w:ascii="宋体" w:hAnsi="宋体"/>
          <w:szCs w:val="21"/>
        </w:rPr>
        <w:t>IDT）</w:t>
      </w:r>
    </w:p>
    <w:p>
      <w:pPr>
        <w:pStyle w:val="26"/>
        <w:spacing w:line="360" w:lineRule="auto"/>
        <w:rPr>
          <w:rFonts w:hAnsi="宋体"/>
        </w:rPr>
      </w:pPr>
      <w:r>
        <w:rPr>
          <w:rFonts w:hAnsi="宋体"/>
        </w:rPr>
        <w:t xml:space="preserve">GB/T 45001 </w:t>
      </w:r>
      <w:r>
        <w:rPr>
          <w:rFonts w:hint="eastAsia" w:hAnsi="宋体"/>
        </w:rPr>
        <w:t xml:space="preserve">  </w:t>
      </w:r>
      <w:r>
        <w:rPr>
          <w:rFonts w:hAnsi="宋体"/>
        </w:rPr>
        <w:t>职业健康安全管理体系</w:t>
      </w:r>
      <w:r>
        <w:rPr>
          <w:rFonts w:hint="eastAsia" w:hAnsi="宋体"/>
        </w:rPr>
        <w:t xml:space="preserve"> </w:t>
      </w:r>
      <w:r>
        <w:rPr>
          <w:rFonts w:hAnsi="宋体"/>
        </w:rPr>
        <w:t>要求</w:t>
      </w:r>
      <w:r>
        <w:rPr>
          <w:rFonts w:hint="eastAsia" w:hAnsi="宋体"/>
        </w:rPr>
        <w:t>及使用指南（</w:t>
      </w:r>
      <w:r>
        <w:rPr>
          <w:rFonts w:hAnsi="宋体"/>
        </w:rPr>
        <w:t>GB/T 45001</w:t>
      </w:r>
      <w:r>
        <w:rPr>
          <w:rFonts w:hint="eastAsia" w:hAnsi="宋体"/>
        </w:rPr>
        <w:t>-</w:t>
      </w:r>
      <w:r>
        <w:rPr>
          <w:rFonts w:hAnsi="宋体"/>
        </w:rPr>
        <w:t>2020</w:t>
      </w:r>
      <w:r>
        <w:rPr>
          <w:rFonts w:hint="eastAsia" w:hAnsi="宋体"/>
        </w:rPr>
        <w:t>，ISO</w:t>
      </w:r>
      <w:r>
        <w:rPr>
          <w:rFonts w:hAnsi="宋体"/>
        </w:rPr>
        <w:t xml:space="preserve"> 45001</w:t>
      </w:r>
      <w:r>
        <w:rPr>
          <w:rFonts w:hint="eastAsia" w:hAnsi="宋体"/>
        </w:rPr>
        <w:t>:2</w:t>
      </w:r>
      <w:r>
        <w:rPr>
          <w:rFonts w:hAnsi="宋体"/>
        </w:rPr>
        <w:t>018</w:t>
      </w:r>
      <w:r>
        <w:rPr>
          <w:rFonts w:hint="eastAsia" w:hAnsi="宋体"/>
        </w:rPr>
        <w:t>，IDT）</w:t>
      </w:r>
    </w:p>
    <w:p>
      <w:pPr>
        <w:spacing w:line="360" w:lineRule="auto"/>
        <w:ind w:firstLine="420" w:firstLineChars="200"/>
        <w:jc w:val="left"/>
        <w:rPr>
          <w:rFonts w:ascii="宋体" w:hAnsi="宋体"/>
          <w:szCs w:val="21"/>
        </w:rPr>
      </w:pPr>
      <w:r>
        <w:rPr>
          <w:rFonts w:ascii="宋体" w:hAnsi="宋体"/>
          <w:szCs w:val="21"/>
        </w:rPr>
        <w:t xml:space="preserve">GBZ/T 192.1   </w:t>
      </w:r>
      <w:r>
        <w:rPr>
          <w:rFonts w:hint="eastAsia" w:ascii="宋体" w:hAnsi="宋体"/>
          <w:szCs w:val="21"/>
        </w:rPr>
        <w:t>工作场所空气中粉尘测定 第</w:t>
      </w:r>
      <w:r>
        <w:rPr>
          <w:rFonts w:ascii="宋体" w:hAnsi="宋体"/>
          <w:szCs w:val="21"/>
        </w:rPr>
        <w:t>1</w:t>
      </w:r>
      <w:r>
        <w:rPr>
          <w:rFonts w:hint="eastAsia" w:ascii="宋体" w:hAnsi="宋体"/>
          <w:szCs w:val="21"/>
        </w:rPr>
        <w:t>部分：总粉尘浓度</w:t>
      </w:r>
    </w:p>
    <w:p>
      <w:pPr>
        <w:pStyle w:val="26"/>
        <w:spacing w:line="360" w:lineRule="auto"/>
        <w:rPr>
          <w:rFonts w:hAnsi="宋体"/>
          <w:szCs w:val="21"/>
        </w:rPr>
      </w:pPr>
      <w:r>
        <w:rPr>
          <w:rFonts w:hint="eastAsia" w:hAnsi="宋体"/>
          <w:szCs w:val="21"/>
        </w:rPr>
        <w:t>T/CECS 10107</w:t>
      </w:r>
      <w:r>
        <w:rPr>
          <w:rFonts w:hint="eastAsia" w:hAnsi="宋体"/>
        </w:rPr>
        <w:t xml:space="preserve">  </w:t>
      </w:r>
      <w:r>
        <w:rPr>
          <w:rFonts w:hAnsi="宋体"/>
        </w:rPr>
        <w:t xml:space="preserve"> </w:t>
      </w:r>
      <w:r>
        <w:rPr>
          <w:rFonts w:hint="eastAsia" w:hAnsi="宋体"/>
          <w:szCs w:val="21"/>
        </w:rPr>
        <w:t>超高性能混凝土(UHPC)技术要求</w:t>
      </w:r>
    </w:p>
    <w:p>
      <w:pPr>
        <w:pStyle w:val="136"/>
        <w:numPr>
          <w:ilvl w:val="0"/>
          <w:numId w:val="17"/>
        </w:numPr>
        <w:tabs>
          <w:tab w:val="left" w:pos="0"/>
        </w:tabs>
        <w:spacing w:before="312" w:after="312"/>
        <w:ind w:left="0" w:firstLine="0"/>
        <w:outlineLvl w:val="0"/>
        <w:rPr>
          <w:color w:val="000000"/>
        </w:rPr>
      </w:pPr>
      <w:bookmarkStart w:id="18" w:name="_Toc406486339"/>
      <w:bookmarkStart w:id="19" w:name="_Toc396134029"/>
      <w:bookmarkStart w:id="20" w:name="_Toc350863986"/>
      <w:bookmarkStart w:id="21" w:name="_Toc134449222"/>
      <w:bookmarkStart w:id="22" w:name="_Toc360632422"/>
      <w:bookmarkStart w:id="23" w:name="_Toc360436834"/>
      <w:bookmarkStart w:id="24" w:name="_Toc360436748"/>
      <w:bookmarkStart w:id="25" w:name="_Toc462063252"/>
      <w:r>
        <w:rPr>
          <w:rFonts w:hint="eastAsia"/>
          <w:color w:val="000000"/>
        </w:rPr>
        <w:t>术语和定义</w:t>
      </w:r>
      <w:bookmarkEnd w:id="18"/>
      <w:bookmarkEnd w:id="19"/>
      <w:bookmarkEnd w:id="20"/>
      <w:bookmarkEnd w:id="21"/>
      <w:bookmarkEnd w:id="22"/>
      <w:bookmarkEnd w:id="23"/>
      <w:bookmarkEnd w:id="24"/>
      <w:bookmarkEnd w:id="25"/>
    </w:p>
    <w:p>
      <w:pPr>
        <w:pStyle w:val="26"/>
        <w:spacing w:line="360" w:lineRule="auto"/>
        <w:rPr>
          <w:color w:val="000000"/>
        </w:rPr>
      </w:pPr>
      <w:r>
        <w:rPr>
          <w:rFonts w:hint="eastAsia"/>
          <w:color w:val="000000"/>
        </w:rPr>
        <w:t>下列术语和定义适用于本文件。</w:t>
      </w:r>
    </w:p>
    <w:p>
      <w:pPr>
        <w:pStyle w:val="184"/>
        <w:outlineLvl w:val="1"/>
        <w:rPr>
          <w:rFonts w:ascii="黑体" w:hAnsi="黑体" w:eastAsia="黑体"/>
        </w:rPr>
      </w:pPr>
      <w:bookmarkStart w:id="26" w:name="_Toc462063253"/>
      <w:bookmarkStart w:id="27" w:name="_Toc396134030"/>
      <w:bookmarkStart w:id="28" w:name="_Toc360436749"/>
      <w:bookmarkStart w:id="29" w:name="_Toc360632654"/>
      <w:bookmarkStart w:id="30" w:name="_Toc396118199"/>
      <w:bookmarkStart w:id="31" w:name="_Toc397348586"/>
      <w:bookmarkStart w:id="32" w:name="_Toc384816546"/>
      <w:bookmarkStart w:id="33" w:name="_Toc6509"/>
      <w:bookmarkStart w:id="34" w:name="_Toc360632423"/>
      <w:bookmarkStart w:id="35" w:name="_Toc406143963"/>
      <w:bookmarkStart w:id="36" w:name="_Toc408495873"/>
      <w:bookmarkStart w:id="37" w:name="_Toc406486340"/>
      <w:bookmarkStart w:id="38" w:name="_Toc350863987"/>
      <w:bookmarkStart w:id="39" w:name="_Toc360436835"/>
      <w:bookmarkStart w:id="40" w:name="_Toc397433558"/>
      <w:r>
        <w:rPr>
          <w:rFonts w:hint="eastAsia" w:ascii="黑体" w:hAnsi="黑体" w:eastAsia="黑体"/>
        </w:rPr>
        <w:t xml:space="preserve">3.1 </w:t>
      </w:r>
    </w:p>
    <w:p>
      <w:pPr>
        <w:widowControl/>
        <w:tabs>
          <w:tab w:val="center" w:pos="4201"/>
          <w:tab w:val="right" w:leader="dot" w:pos="9298"/>
        </w:tabs>
        <w:autoSpaceDE w:val="0"/>
        <w:autoSpaceDN w:val="0"/>
        <w:spacing w:line="360" w:lineRule="auto"/>
        <w:ind w:firstLine="420" w:firstLineChars="200"/>
        <w:rPr>
          <w:sz w:val="24"/>
        </w:rPr>
      </w:pPr>
      <w:r>
        <w:rPr>
          <w:rFonts w:eastAsia="黑体"/>
        </w:rPr>
        <w:t>绿色建材  green building material</w:t>
      </w:r>
    </w:p>
    <w:p>
      <w:pPr>
        <w:widowControl/>
        <w:tabs>
          <w:tab w:val="center" w:pos="4201"/>
          <w:tab w:val="right" w:leader="dot" w:pos="9298"/>
        </w:tabs>
        <w:autoSpaceDE w:val="0"/>
        <w:autoSpaceDN w:val="0"/>
        <w:spacing w:line="360" w:lineRule="auto"/>
        <w:ind w:firstLine="420" w:firstLineChars="200"/>
        <w:rPr>
          <w:kern w:val="0"/>
          <w:szCs w:val="20"/>
        </w:rPr>
      </w:pPr>
      <w:r>
        <w:rPr>
          <w:kern w:val="0"/>
          <w:szCs w:val="20"/>
        </w:rPr>
        <w:t>在全生命周期内可减少对天然资源消耗和减轻对生态环境影响，具有“节能、减排、安全、便利和可循环”特征的建材产品。</w:t>
      </w:r>
    </w:p>
    <w:p>
      <w:pPr>
        <w:pStyle w:val="184"/>
        <w:outlineLvl w:val="1"/>
        <w:rPr>
          <w:rFonts w:ascii="黑体" w:hAnsi="黑体" w:eastAsia="黑体"/>
        </w:rPr>
      </w:pPr>
      <w:r>
        <w:rPr>
          <w:rFonts w:hint="eastAsia" w:ascii="黑体" w:hAnsi="黑体" w:eastAsia="黑体"/>
        </w:rPr>
        <w:t>3.2</w:t>
      </w:r>
    </w:p>
    <w:p>
      <w:pPr>
        <w:widowControl/>
        <w:tabs>
          <w:tab w:val="center" w:pos="4201"/>
          <w:tab w:val="right" w:leader="dot" w:pos="9298"/>
        </w:tabs>
        <w:autoSpaceDE w:val="0"/>
        <w:autoSpaceDN w:val="0"/>
        <w:spacing w:line="360" w:lineRule="auto"/>
        <w:ind w:firstLine="420" w:firstLineChars="200"/>
        <w:rPr>
          <w:rFonts w:eastAsia="黑体"/>
        </w:rPr>
      </w:pPr>
      <w:r>
        <w:rPr>
          <w:rFonts w:hint="eastAsia" w:eastAsia="黑体"/>
        </w:rPr>
        <w:t xml:space="preserve">绿色建材评价 </w:t>
      </w:r>
      <w:r>
        <w:rPr>
          <w:rFonts w:eastAsia="黑体"/>
        </w:rPr>
        <w:t>green building material</w:t>
      </w:r>
      <w:r>
        <w:rPr>
          <w:rFonts w:hint="eastAsia" w:eastAsia="黑体"/>
        </w:rPr>
        <w:t>s</w:t>
      </w:r>
      <w:r>
        <w:rPr>
          <w:sz w:val="24"/>
        </w:rPr>
        <w:t xml:space="preserve"> </w:t>
      </w:r>
      <w:r>
        <w:rPr>
          <w:rFonts w:hint="eastAsia" w:eastAsia="黑体"/>
        </w:rPr>
        <w:t>a</w:t>
      </w:r>
      <w:r>
        <w:rPr>
          <w:rFonts w:eastAsia="黑体"/>
        </w:rPr>
        <w:t xml:space="preserve">ssessment </w:t>
      </w:r>
    </w:p>
    <w:p>
      <w:pPr>
        <w:widowControl/>
        <w:tabs>
          <w:tab w:val="center" w:pos="4201"/>
          <w:tab w:val="right" w:leader="dot" w:pos="9298"/>
        </w:tabs>
        <w:autoSpaceDE w:val="0"/>
        <w:autoSpaceDN w:val="0"/>
        <w:spacing w:line="360" w:lineRule="auto"/>
        <w:ind w:firstLine="420" w:firstLineChars="200"/>
        <w:rPr>
          <w:kern w:val="0"/>
          <w:szCs w:val="20"/>
        </w:rPr>
      </w:pPr>
      <w:r>
        <w:rPr>
          <w:rFonts w:hint="eastAsia"/>
          <w:kern w:val="0"/>
          <w:szCs w:val="20"/>
        </w:rPr>
        <w:t>依据绿色</w:t>
      </w:r>
      <w:r>
        <w:rPr>
          <w:kern w:val="0"/>
          <w:szCs w:val="20"/>
        </w:rPr>
        <w:t>建材评价技术标准，按照程序和要求对申请开展</w:t>
      </w:r>
      <w:r>
        <w:rPr>
          <w:rFonts w:hint="eastAsia"/>
          <w:kern w:val="0"/>
          <w:szCs w:val="20"/>
        </w:rPr>
        <w:t>评价</w:t>
      </w:r>
      <w:r>
        <w:rPr>
          <w:kern w:val="0"/>
          <w:szCs w:val="20"/>
        </w:rPr>
        <w:t>的建材产品进行评价、确认其等级的活动。</w:t>
      </w:r>
    </w:p>
    <w:p>
      <w:pPr>
        <w:pStyle w:val="184"/>
        <w:outlineLvl w:val="1"/>
        <w:rPr>
          <w:rFonts w:ascii="黑体" w:hAnsi="黑体" w:eastAsia="黑体"/>
        </w:rPr>
      </w:pPr>
      <w:r>
        <w:rPr>
          <w:rFonts w:hint="eastAsia" w:ascii="黑体" w:hAnsi="黑体" w:eastAsia="黑体"/>
        </w:rPr>
        <w:t>3.3</w:t>
      </w:r>
    </w:p>
    <w:p>
      <w:pPr>
        <w:widowControl/>
        <w:tabs>
          <w:tab w:val="center" w:pos="4201"/>
          <w:tab w:val="right" w:leader="dot" w:pos="9298"/>
        </w:tabs>
        <w:autoSpaceDE w:val="0"/>
        <w:autoSpaceDN w:val="0"/>
        <w:spacing w:line="360" w:lineRule="auto"/>
        <w:ind w:firstLine="420" w:firstLineChars="200"/>
        <w:rPr>
          <w:rFonts w:eastAsia="黑体"/>
        </w:rPr>
      </w:pPr>
      <w:r>
        <w:rPr>
          <w:rFonts w:hint="eastAsia" w:eastAsia="黑体"/>
        </w:rPr>
        <w:t>评价等级 a</w:t>
      </w:r>
      <w:r>
        <w:rPr>
          <w:rFonts w:eastAsia="黑体"/>
        </w:rPr>
        <w:t>ssessment</w:t>
      </w:r>
      <w:r>
        <w:rPr>
          <w:rFonts w:hint="eastAsia" w:eastAsia="黑体"/>
        </w:rPr>
        <w:t xml:space="preserve"> level</w:t>
      </w:r>
    </w:p>
    <w:p>
      <w:pPr>
        <w:widowControl/>
        <w:tabs>
          <w:tab w:val="center" w:pos="4201"/>
          <w:tab w:val="right" w:leader="dot" w:pos="9298"/>
        </w:tabs>
        <w:autoSpaceDE w:val="0"/>
        <w:autoSpaceDN w:val="0"/>
        <w:spacing w:line="360" w:lineRule="auto"/>
        <w:ind w:firstLine="420" w:firstLineChars="200"/>
        <w:rPr>
          <w:kern w:val="0"/>
          <w:szCs w:val="20"/>
        </w:rPr>
      </w:pPr>
      <w:r>
        <w:rPr>
          <w:rFonts w:hint="eastAsia"/>
          <w:kern w:val="0"/>
          <w:szCs w:val="20"/>
        </w:rPr>
        <w:t>产品评价结果所达到的绿色建材级别，由低到高分为一星级、二星级和三星级。</w:t>
      </w:r>
    </w:p>
    <w:p>
      <w:pPr>
        <w:pStyle w:val="184"/>
        <w:outlineLvl w:val="1"/>
        <w:rPr>
          <w:rFonts w:ascii="黑体" w:hAnsi="黑体" w:eastAsia="黑体"/>
        </w:rPr>
      </w:pPr>
      <w:bookmarkStart w:id="41" w:name="_Toc397348587"/>
      <w:bookmarkStart w:id="42" w:name="_Toc397433559"/>
      <w:bookmarkStart w:id="43" w:name="_Toc396134031"/>
      <w:bookmarkStart w:id="44" w:name="_Toc360436750"/>
      <w:bookmarkStart w:id="45" w:name="_Toc396118200"/>
      <w:bookmarkStart w:id="46" w:name="_Toc462063255"/>
      <w:bookmarkStart w:id="47" w:name="_Toc360436836"/>
      <w:bookmarkStart w:id="48" w:name="_Toc360632655"/>
      <w:bookmarkStart w:id="49" w:name="_Toc408495874"/>
      <w:bookmarkStart w:id="50" w:name="_Toc406143964"/>
      <w:bookmarkStart w:id="51" w:name="_Toc384816547"/>
      <w:bookmarkStart w:id="52" w:name="_Toc350863988"/>
      <w:bookmarkStart w:id="53" w:name="_Toc406486341"/>
      <w:bookmarkStart w:id="54" w:name="_Toc360632424"/>
      <w:bookmarkStart w:id="55" w:name="_Toc16661"/>
      <w:r>
        <w:rPr>
          <w:rFonts w:hint="eastAsia" w:ascii="黑体" w:hAnsi="黑体" w:eastAsia="黑体"/>
        </w:rPr>
        <w:t>3.</w:t>
      </w:r>
      <w:bookmarkEnd w:id="41"/>
      <w:bookmarkEnd w:id="42"/>
      <w:bookmarkEnd w:id="43"/>
      <w:bookmarkEnd w:id="44"/>
      <w:bookmarkEnd w:id="45"/>
      <w:bookmarkEnd w:id="46"/>
      <w:bookmarkEnd w:id="47"/>
      <w:bookmarkEnd w:id="48"/>
      <w:bookmarkEnd w:id="49"/>
      <w:bookmarkEnd w:id="50"/>
      <w:bookmarkEnd w:id="51"/>
      <w:bookmarkEnd w:id="52"/>
      <w:bookmarkEnd w:id="53"/>
      <w:bookmarkEnd w:id="54"/>
      <w:r>
        <w:rPr>
          <w:rFonts w:hint="eastAsia" w:ascii="黑体" w:hAnsi="黑体" w:eastAsia="黑体"/>
        </w:rPr>
        <w:t>4</w:t>
      </w:r>
    </w:p>
    <w:bookmarkEnd w:id="55"/>
    <w:p>
      <w:pPr>
        <w:widowControl/>
        <w:tabs>
          <w:tab w:val="center" w:pos="4201"/>
          <w:tab w:val="right" w:leader="dot" w:pos="9298"/>
        </w:tabs>
        <w:autoSpaceDE w:val="0"/>
        <w:autoSpaceDN w:val="0"/>
        <w:spacing w:line="360" w:lineRule="auto"/>
        <w:ind w:firstLine="420" w:firstLineChars="200"/>
        <w:rPr>
          <w:rFonts w:eastAsia="黑体"/>
        </w:rPr>
      </w:pPr>
      <w:r>
        <w:rPr>
          <w:rFonts w:eastAsia="黑体"/>
        </w:rPr>
        <w:t>环境产品声明</w:t>
      </w:r>
      <w:r>
        <w:rPr>
          <w:rFonts w:hint="eastAsia" w:eastAsia="黑体"/>
        </w:rPr>
        <w:t xml:space="preserve"> </w:t>
      </w:r>
      <w:r>
        <w:rPr>
          <w:rFonts w:eastAsia="黑体"/>
        </w:rPr>
        <w:t>environmental product declaration</w:t>
      </w:r>
    </w:p>
    <w:p>
      <w:pPr>
        <w:pStyle w:val="26"/>
        <w:spacing w:line="360" w:lineRule="auto"/>
        <w:rPr>
          <w:rFonts w:ascii="Times New Roman"/>
        </w:rPr>
      </w:pPr>
      <w:r>
        <w:rPr>
          <w:rFonts w:ascii="Times New Roman"/>
        </w:rPr>
        <w:t>提供基于预设参数的量化环境数据的环境声明，必要时包括附加环境信息。</w:t>
      </w:r>
    </w:p>
    <w:p>
      <w:pPr>
        <w:pStyle w:val="184"/>
        <w:outlineLvl w:val="1"/>
        <w:rPr>
          <w:rFonts w:ascii="黑体" w:hAnsi="黑体" w:eastAsia="黑体"/>
        </w:rPr>
      </w:pPr>
      <w:bookmarkStart w:id="56" w:name="_Toc408495875"/>
      <w:bookmarkStart w:id="57" w:name="_Toc462063256"/>
      <w:bookmarkStart w:id="58" w:name="_Toc30452"/>
      <w:r>
        <w:rPr>
          <w:rFonts w:hint="eastAsia" w:ascii="黑体" w:hAnsi="黑体" w:eastAsia="黑体"/>
        </w:rPr>
        <w:t>3.</w:t>
      </w:r>
      <w:bookmarkEnd w:id="56"/>
      <w:bookmarkEnd w:id="57"/>
      <w:r>
        <w:rPr>
          <w:rFonts w:hint="eastAsia" w:ascii="黑体" w:hAnsi="黑体" w:eastAsia="黑体"/>
        </w:rPr>
        <w:t>5</w:t>
      </w:r>
    </w:p>
    <w:bookmarkEnd w:id="58"/>
    <w:p>
      <w:pPr>
        <w:widowControl/>
        <w:tabs>
          <w:tab w:val="center" w:pos="4201"/>
          <w:tab w:val="right" w:leader="dot" w:pos="9298"/>
        </w:tabs>
        <w:autoSpaceDE w:val="0"/>
        <w:autoSpaceDN w:val="0"/>
        <w:spacing w:line="360" w:lineRule="auto"/>
        <w:ind w:firstLine="420" w:firstLineChars="200"/>
        <w:rPr>
          <w:rFonts w:eastAsia="黑体"/>
        </w:rPr>
      </w:pPr>
      <w:r>
        <w:rPr>
          <w:rFonts w:eastAsia="黑体"/>
        </w:rP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pStyle w:val="26"/>
        <w:spacing w:line="360" w:lineRule="auto"/>
        <w:rPr>
          <w:rFonts w:ascii="Times New Roman"/>
        </w:rPr>
      </w:pPr>
      <w:r>
        <w:rPr>
          <w:rFonts w:ascii="Times New Roman"/>
        </w:rPr>
        <w:t>用以量化过程、过程系统或产品系统温室气体排放的参数，以表现它们对气候变化的贡献。</w:t>
      </w:r>
    </w:p>
    <w:p>
      <w:pPr>
        <w:pStyle w:val="184"/>
        <w:outlineLvl w:val="1"/>
        <w:rPr>
          <w:rFonts w:ascii="黑体" w:hAnsi="黑体" w:eastAsia="黑体"/>
        </w:rPr>
      </w:pPr>
      <w:r>
        <w:rPr>
          <w:rFonts w:hint="eastAsia" w:ascii="黑体" w:hAnsi="黑体" w:eastAsia="黑体"/>
        </w:rPr>
        <w:t>3.6</w:t>
      </w:r>
    </w:p>
    <w:p>
      <w:pPr>
        <w:widowControl/>
        <w:tabs>
          <w:tab w:val="center" w:pos="4201"/>
          <w:tab w:val="right" w:leader="dot" w:pos="9298"/>
        </w:tabs>
        <w:autoSpaceDE w:val="0"/>
        <w:autoSpaceDN w:val="0"/>
        <w:spacing w:line="360" w:lineRule="auto"/>
        <w:ind w:firstLine="420" w:firstLineChars="200"/>
        <w:rPr>
          <w:rFonts w:eastAsia="黑体"/>
        </w:rPr>
      </w:pPr>
      <w:r>
        <w:rPr>
          <w:rFonts w:hint="eastAsia" w:eastAsia="黑体"/>
        </w:rPr>
        <w:t xml:space="preserve">超高性能混凝土  ultra-high performance concrete </w:t>
      </w:r>
    </w:p>
    <w:p>
      <w:pPr>
        <w:pStyle w:val="26"/>
        <w:spacing w:line="360" w:lineRule="auto"/>
        <w:rPr>
          <w:rFonts w:ascii="Times New Roman"/>
        </w:rPr>
      </w:pPr>
      <w:r>
        <w:rPr>
          <w:rFonts w:hint="eastAsia" w:ascii="Times New Roman"/>
        </w:rPr>
        <w:t>以水泥和矿物掺合料等活性粉末材料、细骨料、外加剂、高强度微细钢纤维和（或）有机/无机纤维、水等原料生产的超高强增韧混凝土。简称UHPC。</w:t>
      </w:r>
    </w:p>
    <w:p>
      <w:pPr>
        <w:pStyle w:val="184"/>
        <w:outlineLvl w:val="1"/>
        <w:rPr>
          <w:rFonts w:ascii="黑体" w:hAnsi="黑体" w:eastAsia="黑体"/>
        </w:rPr>
      </w:pPr>
      <w:r>
        <w:rPr>
          <w:rFonts w:hint="eastAsia" w:ascii="黑体" w:hAnsi="黑体" w:eastAsia="黑体"/>
        </w:rPr>
        <w:t>3.7</w:t>
      </w:r>
    </w:p>
    <w:p>
      <w:pPr>
        <w:widowControl/>
        <w:tabs>
          <w:tab w:val="center" w:pos="4201"/>
          <w:tab w:val="right" w:leader="dot" w:pos="9298"/>
        </w:tabs>
        <w:autoSpaceDE w:val="0"/>
        <w:autoSpaceDN w:val="0"/>
        <w:spacing w:line="360" w:lineRule="auto"/>
        <w:ind w:firstLine="420" w:firstLineChars="200"/>
        <w:rPr>
          <w:rFonts w:eastAsia="黑体"/>
        </w:rPr>
      </w:pPr>
      <w:r>
        <w:rPr>
          <w:rFonts w:hint="eastAsia" w:eastAsia="黑体"/>
        </w:rPr>
        <w:t>UHPC承重构件  UHPC</w:t>
      </w:r>
      <w:r>
        <w:rPr>
          <w:rFonts w:hint="eastAsia" w:eastAsia="黑体"/>
          <w:lang w:val="en-US" w:eastAsia="zh-CN"/>
        </w:rPr>
        <w:t xml:space="preserve"> </w:t>
      </w:r>
      <w:r>
        <w:rPr>
          <w:rFonts w:hint="eastAsia" w:eastAsia="黑体"/>
        </w:rPr>
        <w:t>structura</w:t>
      </w:r>
      <w:r>
        <w:rPr>
          <w:rFonts w:hint="eastAsia" w:eastAsia="黑体"/>
          <w:lang w:val="en-US" w:eastAsia="zh-CN"/>
        </w:rPr>
        <w:t xml:space="preserve">l </w:t>
      </w:r>
      <w:r>
        <w:rPr>
          <w:rFonts w:hint="eastAsia" w:eastAsia="黑体"/>
          <w:highlight w:val="none"/>
          <w:lang w:eastAsia="zh-CN"/>
        </w:rPr>
        <w:t>component</w:t>
      </w:r>
    </w:p>
    <w:p>
      <w:pPr>
        <w:pStyle w:val="26"/>
        <w:spacing w:line="360" w:lineRule="auto"/>
      </w:pPr>
      <w:r>
        <w:rPr>
          <w:rFonts w:hint="eastAsia" w:ascii="Times New Roman"/>
        </w:rPr>
        <w:t>以UHPC材料通常采用浇注工艺在工厂或现场制作而成的用于建筑物或构筑物承重结构的超高强增韧混凝土构件。</w:t>
      </w:r>
    </w:p>
    <w:p>
      <w:pPr>
        <w:pStyle w:val="184"/>
        <w:outlineLvl w:val="1"/>
        <w:rPr>
          <w:rFonts w:ascii="黑体" w:hAnsi="黑体" w:eastAsia="黑体"/>
        </w:rPr>
      </w:pPr>
      <w:r>
        <w:rPr>
          <w:rFonts w:hint="eastAsia" w:ascii="黑体" w:hAnsi="黑体" w:eastAsia="黑体"/>
        </w:rPr>
        <w:t>3.8</w:t>
      </w:r>
    </w:p>
    <w:p>
      <w:pPr>
        <w:widowControl/>
        <w:tabs>
          <w:tab w:val="center" w:pos="4201"/>
          <w:tab w:val="right" w:leader="dot" w:pos="9298"/>
        </w:tabs>
        <w:autoSpaceDE w:val="0"/>
        <w:autoSpaceDN w:val="0"/>
        <w:spacing w:line="360" w:lineRule="auto"/>
        <w:ind w:firstLine="420" w:firstLineChars="200"/>
        <w:rPr>
          <w:rFonts w:eastAsia="黑体"/>
        </w:rPr>
      </w:pPr>
      <w:r>
        <w:rPr>
          <w:rFonts w:hint="eastAsia" w:eastAsia="黑体"/>
        </w:rPr>
        <w:t>UHPC非承重构件  UHPC</w:t>
      </w:r>
      <w:r>
        <w:rPr>
          <w:rFonts w:hint="eastAsia" w:eastAsia="黑体"/>
          <w:lang w:val="en-US" w:eastAsia="zh-CN"/>
        </w:rPr>
        <w:t xml:space="preserve"> </w:t>
      </w:r>
      <w:r>
        <w:rPr>
          <w:rFonts w:hint="eastAsia" w:eastAsia="黑体"/>
        </w:rPr>
        <w:t>non-structura</w:t>
      </w:r>
      <w:r>
        <w:rPr>
          <w:rFonts w:hint="eastAsia" w:eastAsia="黑体"/>
          <w:highlight w:val="none"/>
        </w:rPr>
        <w:t xml:space="preserve">l </w:t>
      </w:r>
      <w:r>
        <w:rPr>
          <w:rFonts w:hint="eastAsia" w:eastAsia="黑体"/>
          <w:highlight w:val="none"/>
          <w:lang w:eastAsia="zh-CN"/>
        </w:rPr>
        <w:t>component</w:t>
      </w:r>
    </w:p>
    <w:p>
      <w:pPr>
        <w:pStyle w:val="26"/>
        <w:spacing w:line="360" w:lineRule="auto"/>
        <w:rPr>
          <w:rFonts w:ascii="Times New Roman"/>
        </w:rPr>
      </w:pPr>
      <w:r>
        <w:rPr>
          <w:rFonts w:hint="eastAsia" w:ascii="Times New Roman"/>
        </w:rPr>
        <w:t>以UHPC材料采用浇注、挤出、压制或喷射等工艺工厂化预制而成的用于建筑物或构筑物非承重部位、或用于园艺景观装饰等的超高强增韧混凝土构件。包括UHPC外墙板及装饰制品。</w:t>
      </w:r>
    </w:p>
    <w:p>
      <w:pPr>
        <w:widowControl/>
        <w:tabs>
          <w:tab w:val="center" w:pos="4201"/>
          <w:tab w:val="right" w:leader="dot" w:pos="9298"/>
        </w:tabs>
        <w:autoSpaceDE w:val="0"/>
        <w:autoSpaceDN w:val="0"/>
        <w:ind w:firstLine="420" w:firstLineChars="200"/>
        <w:rPr>
          <w:color w:val="FF0000"/>
        </w:rPr>
      </w:pPr>
    </w:p>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Pr>
        <w:pStyle w:val="136"/>
        <w:numPr>
          <w:ilvl w:val="0"/>
          <w:numId w:val="17"/>
        </w:numPr>
        <w:tabs>
          <w:tab w:val="left" w:pos="0"/>
        </w:tabs>
        <w:spacing w:before="312" w:after="312"/>
        <w:ind w:left="0" w:firstLine="0"/>
        <w:outlineLvl w:val="0"/>
        <w:rPr>
          <w:color w:val="000000"/>
        </w:rPr>
      </w:pPr>
      <w:bookmarkStart w:id="59" w:name="_Toc462063257"/>
      <w:bookmarkStart w:id="60" w:name="_Toc134449223"/>
      <w:bookmarkStart w:id="61" w:name="_Toc406486353"/>
      <w:r>
        <w:rPr>
          <w:rFonts w:hint="eastAsia"/>
          <w:color w:val="000000"/>
        </w:rPr>
        <w:t>评价要求</w:t>
      </w:r>
      <w:bookmarkEnd w:id="59"/>
      <w:bookmarkEnd w:id="60"/>
      <w:bookmarkEnd w:id="61"/>
    </w:p>
    <w:p>
      <w:pPr>
        <w:pStyle w:val="184"/>
        <w:outlineLvl w:val="1"/>
        <w:rPr>
          <w:rFonts w:ascii="黑体" w:hAnsi="黑体" w:eastAsia="黑体"/>
        </w:rPr>
      </w:pPr>
      <w:bookmarkStart w:id="62" w:name="_Toc459107153"/>
      <w:bookmarkStart w:id="63" w:name="_Toc22141"/>
      <w:bookmarkStart w:id="64" w:name="_Toc456611366"/>
      <w:bookmarkStart w:id="65" w:name="_Toc406486354"/>
      <w:bookmarkStart w:id="66" w:name="_Toc360436848"/>
      <w:bookmarkStart w:id="67" w:name="_Toc384816564"/>
      <w:bookmarkStart w:id="68" w:name="_Toc350864000"/>
      <w:bookmarkStart w:id="69" w:name="_Toc360436761"/>
      <w:bookmarkStart w:id="70" w:name="_Toc396134049"/>
      <w:bookmarkStart w:id="71" w:name="_Toc406486355"/>
      <w:bookmarkStart w:id="72" w:name="_Toc360632439"/>
      <w:r>
        <w:rPr>
          <w:rFonts w:ascii="黑体" w:hAnsi="黑体" w:eastAsia="黑体"/>
        </w:rPr>
        <w:t xml:space="preserve">4.1 </w:t>
      </w:r>
      <w:r>
        <w:rPr>
          <w:rFonts w:hint="eastAsia" w:ascii="黑体" w:hAnsi="黑体" w:eastAsia="黑体"/>
        </w:rPr>
        <w:t>一般</w:t>
      </w:r>
      <w:r>
        <w:rPr>
          <w:rFonts w:ascii="黑体" w:hAnsi="黑体" w:eastAsia="黑体"/>
        </w:rPr>
        <w:t>要求</w:t>
      </w:r>
      <w:bookmarkEnd w:id="62"/>
      <w:bookmarkEnd w:id="63"/>
      <w:bookmarkEnd w:id="64"/>
      <w:bookmarkEnd w:id="65"/>
    </w:p>
    <w:p>
      <w:pPr>
        <w:pStyle w:val="95"/>
        <w:adjustRightInd w:val="0"/>
        <w:snapToGrid w:val="0"/>
        <w:spacing w:before="0" w:beforeLines="0" w:after="0" w:afterLines="0" w:line="360" w:lineRule="auto"/>
        <w:jc w:val="both"/>
        <w:outlineLvl w:val="9"/>
        <w:rPr>
          <w:rFonts w:ascii="Times New Roman" w:eastAsia="宋体"/>
        </w:rPr>
      </w:pPr>
      <w:bookmarkStart w:id="73" w:name="_Toc462063258"/>
      <w:bookmarkStart w:id="74" w:name="_Toc459106415"/>
      <w:bookmarkStart w:id="75" w:name="_Toc436234466"/>
      <w:r>
        <w:rPr>
          <w:rFonts w:ascii="Times New Roman" w:eastAsia="宋体"/>
        </w:rPr>
        <w:t xml:space="preserve">4.1.1  </w:t>
      </w:r>
      <w:bookmarkEnd w:id="73"/>
      <w:bookmarkEnd w:id="74"/>
      <w:r>
        <w:rPr>
          <w:rFonts w:ascii="Times New Roman" w:eastAsia="宋体"/>
        </w:rPr>
        <w:t>生产企业</w:t>
      </w:r>
      <w:r>
        <w:rPr>
          <w:rFonts w:hint="eastAsia" w:ascii="Times New Roman" w:eastAsia="宋体"/>
        </w:rPr>
        <w:t>应</w:t>
      </w:r>
      <w:r>
        <w:rPr>
          <w:rFonts w:ascii="Times New Roman" w:eastAsia="宋体"/>
        </w:rPr>
        <w:t>满足适用的国家标准、地方标准及环评批复</w:t>
      </w:r>
      <w:r>
        <w:rPr>
          <w:rFonts w:hint="eastAsia" w:ascii="Times New Roman" w:eastAsia="宋体"/>
        </w:rPr>
        <w:t>的</w:t>
      </w:r>
      <w:r>
        <w:rPr>
          <w:rFonts w:ascii="Times New Roman" w:eastAsia="宋体"/>
        </w:rPr>
        <w:t>要求，且</w:t>
      </w:r>
      <w:r>
        <w:rPr>
          <w:rFonts w:hint="eastAsia" w:ascii="Times New Roman" w:eastAsia="宋体"/>
        </w:rPr>
        <w:t>近3年无重大环境污染事件和重大安全</w:t>
      </w:r>
      <w:r>
        <w:rPr>
          <w:rFonts w:ascii="Times New Roman" w:eastAsia="宋体"/>
        </w:rPr>
        <w:t>事故。</w:t>
      </w:r>
    </w:p>
    <w:p>
      <w:pPr>
        <w:pStyle w:val="95"/>
        <w:adjustRightInd w:val="0"/>
        <w:snapToGrid w:val="0"/>
        <w:spacing w:before="0" w:beforeLines="0" w:after="0" w:afterLines="0" w:line="360" w:lineRule="auto"/>
        <w:jc w:val="both"/>
        <w:outlineLvl w:val="9"/>
        <w:rPr>
          <w:rFonts w:ascii="Times New Roman" w:eastAsia="宋体"/>
        </w:rPr>
      </w:pPr>
      <w:r>
        <w:rPr>
          <w:rFonts w:ascii="Times New Roman" w:eastAsia="宋体"/>
        </w:rPr>
        <w:t xml:space="preserve">4.1.2  </w:t>
      </w:r>
      <w:r>
        <w:rPr>
          <w:rFonts w:hint="eastAsia" w:ascii="Times New Roman" w:eastAsia="宋体"/>
        </w:rPr>
        <w:t>生产企业应采用国家鼓励的先进技术工艺，不应使用国家或有关部门发布的淘汰或禁止的技术、工艺、装备及相关物质。</w:t>
      </w:r>
    </w:p>
    <w:p>
      <w:pPr>
        <w:pStyle w:val="95"/>
        <w:adjustRightInd w:val="0"/>
        <w:snapToGrid w:val="0"/>
        <w:spacing w:before="0" w:beforeLines="0" w:after="0" w:afterLines="0" w:line="360" w:lineRule="auto"/>
        <w:jc w:val="both"/>
        <w:outlineLvl w:val="9"/>
        <w:rPr>
          <w:rFonts w:ascii="Times New Roman" w:eastAsia="宋体"/>
        </w:rPr>
      </w:pPr>
      <w:r>
        <w:rPr>
          <w:rFonts w:hint="eastAsia" w:ascii="Times New Roman" w:eastAsia="宋体"/>
        </w:rPr>
        <w:t>4.1.</w:t>
      </w:r>
      <w:r>
        <w:rPr>
          <w:rFonts w:ascii="Times New Roman" w:eastAsia="宋体"/>
        </w:rPr>
        <w:t>3</w:t>
      </w:r>
      <w:r>
        <w:rPr>
          <w:rFonts w:hint="eastAsia" w:ascii="Times New Roman" w:eastAsia="宋体"/>
        </w:rPr>
        <w:t xml:space="preserve">  生产企业应按照GB/T 19001、GB/T 24001和GB/T </w:t>
      </w:r>
      <w:r>
        <w:rPr>
          <w:rFonts w:ascii="Times New Roman" w:eastAsia="宋体"/>
        </w:rPr>
        <w:t>45001</w:t>
      </w:r>
      <w:r>
        <w:rPr>
          <w:rFonts w:hint="eastAsia" w:ascii="Times New Roman" w:eastAsia="宋体"/>
        </w:rPr>
        <w:t>建立并运行质量管理体系、环境管理体系和职业健康安全管理体系。</w:t>
      </w:r>
    </w:p>
    <w:p>
      <w:pPr>
        <w:pStyle w:val="95"/>
        <w:adjustRightInd w:val="0"/>
        <w:snapToGrid w:val="0"/>
        <w:spacing w:before="0" w:beforeLines="0" w:after="0" w:afterLines="0" w:line="360" w:lineRule="auto"/>
        <w:jc w:val="both"/>
        <w:outlineLvl w:val="9"/>
        <w:rPr>
          <w:rFonts w:ascii="Times New Roman" w:eastAsia="宋体"/>
        </w:rPr>
      </w:pPr>
      <w:r>
        <w:rPr>
          <w:rFonts w:ascii="Times New Roman" w:eastAsia="宋体"/>
        </w:rPr>
        <w:t xml:space="preserve">4.1.4  </w:t>
      </w:r>
      <w:r>
        <w:rPr>
          <w:rFonts w:hint="eastAsia" w:ascii="Times New Roman" w:eastAsia="宋体"/>
        </w:rPr>
        <w:t>生产企业应建设</w:t>
      </w:r>
      <w:r>
        <w:rPr>
          <w:rFonts w:ascii="Times New Roman" w:eastAsia="宋体"/>
        </w:rPr>
        <w:t>封闭式生产</w:t>
      </w:r>
      <w:r>
        <w:rPr>
          <w:rFonts w:hint="eastAsia" w:ascii="Times New Roman" w:eastAsia="宋体"/>
        </w:rPr>
        <w:t>车间，安装主动</w:t>
      </w:r>
      <w:r>
        <w:rPr>
          <w:rFonts w:ascii="Times New Roman" w:eastAsia="宋体"/>
        </w:rPr>
        <w:t>除尘设备</w:t>
      </w:r>
      <w:r>
        <w:rPr>
          <w:rFonts w:hint="eastAsia" w:ascii="Times New Roman" w:eastAsia="宋体"/>
        </w:rPr>
        <w:t>。</w:t>
      </w:r>
    </w:p>
    <w:bookmarkEnd w:id="75"/>
    <w:p>
      <w:pPr>
        <w:pStyle w:val="95"/>
        <w:adjustRightInd w:val="0"/>
        <w:snapToGrid w:val="0"/>
        <w:spacing w:before="0" w:beforeLines="0" w:after="0" w:afterLines="0" w:line="360" w:lineRule="auto"/>
        <w:jc w:val="both"/>
        <w:outlineLvl w:val="9"/>
        <w:rPr>
          <w:rFonts w:ascii="Times New Roman" w:eastAsia="宋体"/>
        </w:rPr>
      </w:pPr>
      <w:bookmarkStart w:id="76" w:name="_Toc436234470"/>
      <w:r>
        <w:rPr>
          <w:rFonts w:ascii="Times New Roman" w:eastAsia="宋体"/>
        </w:rPr>
        <w:t xml:space="preserve">4.1.5  </w:t>
      </w:r>
      <w:r>
        <w:rPr>
          <w:rFonts w:hint="eastAsia" w:ascii="Times New Roman" w:eastAsia="宋体"/>
        </w:rPr>
        <w:t>一般固体废弃物的收集、贮存、处置应符合</w:t>
      </w:r>
      <w:r>
        <w:rPr>
          <w:rFonts w:ascii="Times New Roman" w:eastAsia="宋体"/>
        </w:rPr>
        <w:t>GB 18599</w:t>
      </w:r>
      <w:r>
        <w:rPr>
          <w:rFonts w:hint="eastAsia" w:ascii="Times New Roman" w:eastAsia="宋体"/>
        </w:rPr>
        <w:t>的相关规定。危险废物的贮存应符合</w:t>
      </w:r>
      <w:r>
        <w:rPr>
          <w:rFonts w:ascii="Times New Roman" w:eastAsia="宋体"/>
        </w:rPr>
        <w:t>GB 18597</w:t>
      </w:r>
      <w:r>
        <w:rPr>
          <w:rFonts w:hint="eastAsia" w:ascii="Times New Roman" w:eastAsia="宋体"/>
        </w:rPr>
        <w:t>的相关规定，后续应交付持有危险废物经营许可证的单位处置。</w:t>
      </w:r>
    </w:p>
    <w:p>
      <w:pPr>
        <w:pStyle w:val="95"/>
        <w:adjustRightInd w:val="0"/>
        <w:snapToGrid w:val="0"/>
        <w:spacing w:before="0" w:beforeLines="0" w:after="0" w:afterLines="0" w:line="360" w:lineRule="auto"/>
        <w:jc w:val="both"/>
        <w:outlineLvl w:val="9"/>
        <w:rPr>
          <w:rFonts w:ascii="Times New Roman" w:eastAsia="宋体"/>
        </w:rPr>
      </w:pPr>
      <w:r>
        <w:rPr>
          <w:rFonts w:hint="eastAsia" w:ascii="Times New Roman" w:eastAsia="宋体"/>
        </w:rPr>
        <w:t>4.1.</w:t>
      </w:r>
      <w:r>
        <w:rPr>
          <w:rFonts w:ascii="Times New Roman" w:eastAsia="宋体"/>
        </w:rPr>
        <w:t>6</w:t>
      </w:r>
      <w:r>
        <w:rPr>
          <w:rFonts w:hint="eastAsia" w:ascii="Times New Roman" w:eastAsia="宋体"/>
        </w:rPr>
        <w:t xml:space="preserve">  UHPC承重构件基本性能应符合T/CECS 10107的规定；UHPC非承重构件基本性能应符合附录A</w:t>
      </w:r>
      <w:r>
        <w:rPr>
          <w:rFonts w:ascii="Times New Roman" w:eastAsia="宋体"/>
        </w:rPr>
        <w:t>的</w:t>
      </w:r>
      <w:r>
        <w:rPr>
          <w:rFonts w:hint="eastAsia" w:ascii="Times New Roman" w:eastAsia="宋体"/>
        </w:rPr>
        <w:t>规定</w:t>
      </w:r>
      <w:r>
        <w:rPr>
          <w:rFonts w:ascii="Times New Roman" w:eastAsia="宋体"/>
        </w:rPr>
        <w:t>。</w:t>
      </w:r>
    </w:p>
    <w:p>
      <w:pPr>
        <w:pStyle w:val="26"/>
        <w:spacing w:line="360" w:lineRule="auto"/>
        <w:ind w:firstLine="0" w:firstLineChars="0"/>
      </w:pPr>
      <w:r>
        <w:rPr>
          <w:rFonts w:hint="eastAsia" w:ascii="Times New Roman"/>
        </w:rPr>
        <w:t>4.1.</w:t>
      </w:r>
      <w:r>
        <w:rPr>
          <w:rFonts w:ascii="Times New Roman"/>
        </w:rPr>
        <w:t>7</w:t>
      </w:r>
      <w:r>
        <w:rPr>
          <w:rFonts w:hint="eastAsia" w:ascii="Times New Roman"/>
        </w:rPr>
        <w:t xml:space="preserve">  </w:t>
      </w:r>
      <w:r>
        <w:rPr>
          <w:rFonts w:hint="eastAsia"/>
        </w:rPr>
        <w:t>产品应添加喷码或植入芯片等使产品质量具备可追溯性。</w:t>
      </w:r>
    </w:p>
    <w:bookmarkEnd w:id="76"/>
    <w:p>
      <w:pPr>
        <w:pStyle w:val="184"/>
        <w:outlineLvl w:val="1"/>
        <w:rPr>
          <w:rFonts w:ascii="黑体" w:hAnsi="黑体" w:eastAsia="黑体"/>
        </w:rPr>
      </w:pPr>
      <w:bookmarkStart w:id="77" w:name="_Toc31135"/>
      <w:bookmarkStart w:id="78" w:name="_Toc462063260"/>
      <w:r>
        <w:rPr>
          <w:rFonts w:hint="eastAsia" w:ascii="黑体" w:hAnsi="黑体" w:eastAsia="黑体"/>
        </w:rPr>
        <w:t>4.2 评价指标要求</w:t>
      </w:r>
      <w:bookmarkEnd w:id="66"/>
      <w:bookmarkEnd w:id="67"/>
      <w:bookmarkEnd w:id="68"/>
      <w:bookmarkEnd w:id="69"/>
      <w:bookmarkEnd w:id="70"/>
      <w:bookmarkEnd w:id="71"/>
      <w:bookmarkEnd w:id="72"/>
      <w:bookmarkEnd w:id="77"/>
      <w:bookmarkEnd w:id="78"/>
    </w:p>
    <w:p>
      <w:pPr>
        <w:pStyle w:val="26"/>
        <w:spacing w:line="360" w:lineRule="auto"/>
        <w:rPr>
          <w:rFonts w:ascii="Times New Roman"/>
          <w:color w:val="FF0000"/>
        </w:rPr>
      </w:pPr>
      <w:r>
        <w:rPr>
          <w:rFonts w:hint="eastAsia" w:ascii="Times New Roman"/>
        </w:rPr>
        <w:t>UHPC构件的评价指标由一级指标和二级指标组成，其中一级指标包括资源属性指标、能源属性指标、环境属性指标和品质属性指标，评价指标要求见表</w:t>
      </w:r>
      <w:r>
        <w:rPr>
          <w:rFonts w:ascii="Times New Roman"/>
        </w:rPr>
        <w:t>1</w:t>
      </w:r>
      <w:r>
        <w:rPr>
          <w:rFonts w:hint="eastAsia" w:ascii="Times New Roman"/>
        </w:rPr>
        <w:t>。</w:t>
      </w:r>
    </w:p>
    <w:p>
      <w:pPr>
        <w:pStyle w:val="136"/>
        <w:spacing w:before="156" w:beforeLines="50" w:after="156" w:afterLines="50"/>
        <w:jc w:val="center"/>
        <w:outlineLvl w:val="9"/>
        <w:rPr>
          <w:rFonts w:ascii="Times New Roman"/>
        </w:rPr>
      </w:pPr>
      <w:bookmarkStart w:id="79" w:name="_Toc406486359"/>
      <w:bookmarkStart w:id="80" w:name="_Toc462063262"/>
      <w:bookmarkStart w:id="81" w:name="_Toc396134054"/>
      <w:bookmarkStart w:id="82" w:name="_Toc384816569"/>
      <w:bookmarkStart w:id="83" w:name="_Toc360632446"/>
      <w:bookmarkStart w:id="84" w:name="_Toc31213"/>
      <w:bookmarkStart w:id="85" w:name="_Toc360436855"/>
      <w:bookmarkStart w:id="86" w:name="_Toc350864007"/>
      <w:bookmarkStart w:id="87" w:name="_Toc360436768"/>
      <w:r>
        <w:rPr>
          <w:rFonts w:ascii="Times New Roman"/>
        </w:rPr>
        <w:t>表1</w:t>
      </w:r>
      <w:r>
        <w:rPr>
          <w:rFonts w:hint="eastAsia" w:ascii="Times New Roman"/>
        </w:rPr>
        <w:t xml:space="preserve"> UHPC构件</w:t>
      </w:r>
      <w:r>
        <w:rPr>
          <w:rFonts w:ascii="Times New Roman"/>
        </w:rPr>
        <w:t>评价指标要求</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846"/>
        <w:gridCol w:w="1318"/>
        <w:gridCol w:w="866"/>
        <w:gridCol w:w="873"/>
        <w:gridCol w:w="874"/>
        <w:gridCol w:w="873"/>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一级指标</w:t>
            </w:r>
          </w:p>
        </w:tc>
        <w:tc>
          <w:tcPr>
            <w:tcW w:w="1269" w:type="pct"/>
            <w:gridSpan w:val="2"/>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二级指标</w:t>
            </w:r>
          </w:p>
        </w:tc>
        <w:tc>
          <w:tcPr>
            <w:tcW w:w="508" w:type="pct"/>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单位</w:t>
            </w:r>
          </w:p>
        </w:tc>
        <w:tc>
          <w:tcPr>
            <w:tcW w:w="1537" w:type="pct"/>
            <w:gridSpan w:val="3"/>
            <w:shd w:val="clear" w:color="auto" w:fill="auto"/>
            <w:noWrap/>
            <w:vAlign w:val="center"/>
          </w:tcPr>
          <w:p>
            <w:pPr>
              <w:widowControl/>
              <w:jc w:val="center"/>
              <w:rPr>
                <w:rFonts w:hAnsi="宋体"/>
                <w:color w:val="000000"/>
                <w:kern w:val="0"/>
                <w:sz w:val="18"/>
                <w:szCs w:val="18"/>
              </w:rPr>
            </w:pPr>
            <w:r>
              <w:rPr>
                <w:rFonts w:hAnsi="宋体"/>
                <w:color w:val="000000"/>
                <w:kern w:val="0"/>
                <w:sz w:val="18"/>
                <w:szCs w:val="18"/>
              </w:rPr>
              <w:t>基准值</w:t>
            </w:r>
            <w:r>
              <w:rPr>
                <w:rFonts w:hint="eastAsia" w:hAnsi="宋体"/>
                <w:color w:val="000000"/>
                <w:kern w:val="0"/>
                <w:sz w:val="18"/>
                <w:szCs w:val="18"/>
              </w:rPr>
              <w:t>或要求</w:t>
            </w:r>
          </w:p>
        </w:tc>
        <w:tc>
          <w:tcPr>
            <w:tcW w:w="1243" w:type="pct"/>
            <w:vMerge w:val="restart"/>
            <w:vAlign w:val="center"/>
          </w:tcPr>
          <w:p>
            <w:pPr>
              <w:widowControl/>
              <w:jc w:val="center"/>
              <w:rPr>
                <w:rFonts w:hAnsi="宋体"/>
                <w:color w:val="000000"/>
                <w:kern w:val="0"/>
                <w:sz w:val="18"/>
                <w:szCs w:val="18"/>
              </w:rPr>
            </w:pPr>
            <w:r>
              <w:rPr>
                <w:rFonts w:hint="eastAsia" w:hAnsi="宋体"/>
                <w:color w:val="000000"/>
                <w:kern w:val="0"/>
                <w:sz w:val="18"/>
                <w:szCs w:val="18"/>
              </w:rPr>
              <w:t>评价依据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widowControl/>
              <w:jc w:val="center"/>
              <w:rPr>
                <w:rFonts w:hAnsi="宋体"/>
                <w:color w:val="000000"/>
                <w:kern w:val="0"/>
                <w:sz w:val="18"/>
                <w:szCs w:val="18"/>
              </w:rPr>
            </w:pPr>
          </w:p>
        </w:tc>
        <w:tc>
          <w:tcPr>
            <w:tcW w:w="1269" w:type="pct"/>
            <w:gridSpan w:val="2"/>
            <w:vMerge w:val="continue"/>
            <w:shd w:val="clear" w:color="auto" w:fill="auto"/>
            <w:noWrap/>
            <w:vAlign w:val="center"/>
          </w:tcPr>
          <w:p>
            <w:pPr>
              <w:widowControl/>
              <w:jc w:val="center"/>
              <w:rPr>
                <w:rFonts w:hAnsi="宋体"/>
                <w:color w:val="000000"/>
                <w:kern w:val="0"/>
                <w:sz w:val="18"/>
                <w:szCs w:val="18"/>
              </w:rPr>
            </w:pPr>
          </w:p>
        </w:tc>
        <w:tc>
          <w:tcPr>
            <w:tcW w:w="508" w:type="pct"/>
            <w:vMerge w:val="continue"/>
            <w:shd w:val="clear" w:color="auto" w:fill="auto"/>
            <w:noWrap/>
            <w:vAlign w:val="center"/>
          </w:tcPr>
          <w:p>
            <w:pPr>
              <w:widowControl/>
              <w:jc w:val="center"/>
              <w:rPr>
                <w:rFonts w:hAnsi="宋体"/>
                <w:color w:val="000000"/>
                <w:kern w:val="0"/>
                <w:sz w:val="18"/>
                <w:szCs w:val="18"/>
              </w:rPr>
            </w:pPr>
          </w:p>
        </w:tc>
        <w:tc>
          <w:tcPr>
            <w:tcW w:w="512"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512" w:type="pct"/>
            <w:vAlign w:val="center"/>
          </w:tcPr>
          <w:p>
            <w:pPr>
              <w:widowControl/>
              <w:jc w:val="center"/>
              <w:rPr>
                <w:rFonts w:hAnsi="宋体"/>
                <w:color w:val="000000"/>
                <w:kern w:val="0"/>
                <w:sz w:val="18"/>
                <w:szCs w:val="18"/>
              </w:rPr>
            </w:pPr>
            <w:r>
              <w:rPr>
                <w:rFonts w:hint="eastAsia" w:hAnsi="宋体"/>
                <w:color w:val="000000"/>
                <w:kern w:val="0"/>
                <w:sz w:val="18"/>
                <w:szCs w:val="18"/>
              </w:rPr>
              <w:t>二星级</w:t>
            </w:r>
          </w:p>
        </w:tc>
        <w:tc>
          <w:tcPr>
            <w:tcW w:w="512" w:type="pct"/>
            <w:vAlign w:val="center"/>
          </w:tcPr>
          <w:p>
            <w:pPr>
              <w:widowControl/>
              <w:jc w:val="center"/>
              <w:rPr>
                <w:rFonts w:hAnsi="宋体"/>
                <w:color w:val="000000"/>
                <w:kern w:val="0"/>
                <w:sz w:val="18"/>
                <w:szCs w:val="18"/>
              </w:rPr>
            </w:pPr>
            <w:r>
              <w:rPr>
                <w:rFonts w:hint="eastAsia" w:hAnsi="宋体"/>
                <w:color w:val="000000"/>
                <w:kern w:val="0"/>
                <w:sz w:val="18"/>
                <w:szCs w:val="18"/>
              </w:rPr>
              <w:t>三星级</w:t>
            </w:r>
          </w:p>
        </w:tc>
        <w:tc>
          <w:tcPr>
            <w:tcW w:w="1243" w:type="pct"/>
            <w:vMerge w:val="continue"/>
            <w:vAlign w:val="center"/>
          </w:tcPr>
          <w:p>
            <w:pPr>
              <w:widowControl/>
              <w:jc w:val="center"/>
              <w:rPr>
                <w:rFonts w:hAnsi="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40" w:type="pct"/>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资源属性</w:t>
            </w:r>
          </w:p>
        </w:tc>
        <w:tc>
          <w:tcPr>
            <w:tcW w:w="1269" w:type="pct"/>
            <w:gridSpan w:val="2"/>
            <w:shd w:val="clear" w:color="auto" w:fill="auto"/>
            <w:noWrap/>
            <w:vAlign w:val="center"/>
          </w:tcPr>
          <w:p>
            <w:pPr>
              <w:pStyle w:val="178"/>
              <w:jc w:val="center"/>
              <w:rPr>
                <w:color w:val="auto"/>
                <w:sz w:val="18"/>
                <w:szCs w:val="18"/>
              </w:rPr>
            </w:pPr>
            <w:r>
              <w:rPr>
                <w:rFonts w:hint="eastAsia" w:hAnsi="宋体"/>
                <w:sz w:val="18"/>
                <w:szCs w:val="18"/>
              </w:rPr>
              <w:t>生产过程中固体废弃物利用率</w:t>
            </w:r>
          </w:p>
        </w:tc>
        <w:tc>
          <w:tcPr>
            <w:tcW w:w="508" w:type="pct"/>
            <w:shd w:val="clear" w:color="auto" w:fill="auto"/>
            <w:noWrap/>
            <w:vAlign w:val="center"/>
          </w:tcPr>
          <w:p>
            <w:pPr>
              <w:jc w:val="center"/>
              <w:rPr>
                <w:kern w:val="0"/>
                <w:sz w:val="18"/>
                <w:szCs w:val="18"/>
              </w:rPr>
            </w:pPr>
            <w:r>
              <w:rPr>
                <w:rFonts w:hAnsi="宋体"/>
                <w:color w:val="000000"/>
                <w:kern w:val="0"/>
                <w:sz w:val="18"/>
                <w:szCs w:val="18"/>
              </w:rPr>
              <w:t>%</w:t>
            </w:r>
          </w:p>
        </w:tc>
        <w:tc>
          <w:tcPr>
            <w:tcW w:w="512" w:type="pct"/>
            <w:shd w:val="clear" w:color="auto" w:fill="auto"/>
            <w:noWrap/>
            <w:vAlign w:val="center"/>
          </w:tcPr>
          <w:p>
            <w:pPr>
              <w:jc w:val="center"/>
              <w:rPr>
                <w:highlight w:val="yellow"/>
              </w:rPr>
            </w:pPr>
            <w:r>
              <w:rPr>
                <w:rFonts w:hint="eastAsia" w:hAnsi="宋体"/>
                <w:color w:val="000000"/>
                <w:kern w:val="0"/>
                <w:sz w:val="18"/>
                <w:szCs w:val="18"/>
              </w:rPr>
              <w:t>—</w:t>
            </w:r>
          </w:p>
        </w:tc>
        <w:tc>
          <w:tcPr>
            <w:tcW w:w="1025" w:type="pct"/>
            <w:gridSpan w:val="2"/>
            <w:shd w:val="clear" w:color="auto" w:fill="auto"/>
            <w:vAlign w:val="center"/>
          </w:tcPr>
          <w:p>
            <w:pPr>
              <w:jc w:val="center"/>
              <w:rPr>
                <w:rFonts w:hAnsi="宋体"/>
                <w:kern w:val="0"/>
                <w:sz w:val="18"/>
                <w:szCs w:val="18"/>
                <w:highlight w:val="yellow"/>
              </w:rPr>
            </w:pPr>
            <w:r>
              <w:rPr>
                <w:rFonts w:hint="eastAsia"/>
                <w:color w:val="000000"/>
                <w:kern w:val="0"/>
                <w:sz w:val="18"/>
                <w:szCs w:val="18"/>
              </w:rPr>
              <w:t>≥</w:t>
            </w:r>
            <w:r>
              <w:rPr>
                <w:color w:val="000000"/>
                <w:kern w:val="0"/>
                <w:sz w:val="18"/>
                <w:szCs w:val="18"/>
              </w:rPr>
              <w:t>5</w:t>
            </w:r>
          </w:p>
        </w:tc>
        <w:tc>
          <w:tcPr>
            <w:tcW w:w="1243" w:type="pct"/>
            <w:vAlign w:val="center"/>
          </w:tcPr>
          <w:p>
            <w:pPr>
              <w:jc w:val="center"/>
              <w:rPr>
                <w:color w:val="000000"/>
                <w:kern w:val="0"/>
                <w:sz w:val="18"/>
                <w:szCs w:val="18"/>
              </w:rPr>
            </w:pPr>
            <w:r>
              <w:rPr>
                <w:rFonts w:hint="eastAsia"/>
                <w:color w:val="000000"/>
                <w:kern w:val="0"/>
                <w:sz w:val="18"/>
                <w:szCs w:val="18"/>
              </w:rPr>
              <w:t>附录B中的B.1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widowControl/>
              <w:jc w:val="center"/>
              <w:rPr>
                <w:rFonts w:hAnsi="宋体"/>
                <w:color w:val="000000"/>
                <w:kern w:val="0"/>
                <w:sz w:val="18"/>
                <w:szCs w:val="18"/>
              </w:rPr>
            </w:pPr>
          </w:p>
        </w:tc>
        <w:tc>
          <w:tcPr>
            <w:tcW w:w="1269" w:type="pct"/>
            <w:gridSpan w:val="2"/>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生产</w:t>
            </w:r>
            <w:r>
              <w:rPr>
                <w:rFonts w:hAnsi="宋体"/>
                <w:color w:val="000000"/>
                <w:kern w:val="0"/>
                <w:sz w:val="18"/>
                <w:szCs w:val="18"/>
              </w:rPr>
              <w:t>过程中非传统水源使用率</w:t>
            </w:r>
          </w:p>
        </w:tc>
        <w:tc>
          <w:tcPr>
            <w:tcW w:w="508"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w:t>
            </w:r>
          </w:p>
        </w:tc>
        <w:tc>
          <w:tcPr>
            <w:tcW w:w="512" w:type="pct"/>
            <w:shd w:val="clear" w:color="auto" w:fill="auto"/>
            <w:noWrap/>
            <w:vAlign w:val="center"/>
          </w:tcPr>
          <w:p>
            <w:pPr>
              <w:jc w:val="center"/>
            </w:pPr>
            <w:r>
              <w:rPr>
                <w:rFonts w:hint="eastAsia" w:hAnsi="宋体"/>
                <w:color w:val="000000"/>
                <w:kern w:val="0"/>
                <w:sz w:val="18"/>
                <w:szCs w:val="18"/>
              </w:rPr>
              <w:t>—</w:t>
            </w:r>
          </w:p>
        </w:tc>
        <w:tc>
          <w:tcPr>
            <w:tcW w:w="512" w:type="pct"/>
            <w:shd w:val="clear" w:color="auto" w:fill="auto"/>
            <w:vAlign w:val="center"/>
          </w:tcPr>
          <w:p>
            <w:pPr>
              <w:jc w:val="center"/>
            </w:pPr>
            <w:r>
              <w:rPr>
                <w:rFonts w:hint="eastAsia"/>
                <w:color w:val="000000"/>
                <w:kern w:val="0"/>
                <w:sz w:val="18"/>
                <w:szCs w:val="18"/>
              </w:rPr>
              <w:t>≥</w:t>
            </w:r>
            <w:r>
              <w:rPr>
                <w:color w:val="000000"/>
                <w:kern w:val="0"/>
                <w:sz w:val="18"/>
                <w:szCs w:val="18"/>
              </w:rPr>
              <w:t>5</w:t>
            </w:r>
          </w:p>
        </w:tc>
        <w:tc>
          <w:tcPr>
            <w:tcW w:w="512" w:type="pct"/>
            <w:shd w:val="clear" w:color="auto" w:fill="auto"/>
            <w:vAlign w:val="center"/>
          </w:tcPr>
          <w:p>
            <w:pPr>
              <w:jc w:val="center"/>
              <w:rPr>
                <w:rFonts w:hAnsi="宋体"/>
                <w:kern w:val="0"/>
                <w:sz w:val="18"/>
                <w:szCs w:val="18"/>
              </w:rPr>
            </w:pPr>
            <w:r>
              <w:rPr>
                <w:rFonts w:hint="eastAsia"/>
                <w:color w:val="000000"/>
                <w:kern w:val="0"/>
                <w:sz w:val="18"/>
                <w:szCs w:val="18"/>
              </w:rPr>
              <w:t>≥</w:t>
            </w:r>
            <w:r>
              <w:rPr>
                <w:color w:val="000000"/>
                <w:kern w:val="0"/>
                <w:sz w:val="18"/>
                <w:szCs w:val="18"/>
              </w:rPr>
              <w:t>10</w:t>
            </w:r>
          </w:p>
        </w:tc>
        <w:tc>
          <w:tcPr>
            <w:tcW w:w="1243" w:type="pct"/>
            <w:vAlign w:val="center"/>
          </w:tcPr>
          <w:p>
            <w:pPr>
              <w:jc w:val="center"/>
              <w:rPr>
                <w:color w:val="000000"/>
                <w:kern w:val="0"/>
                <w:sz w:val="18"/>
                <w:szCs w:val="18"/>
              </w:rPr>
            </w:pPr>
            <w:r>
              <w:rPr>
                <w:rFonts w:hint="eastAsia"/>
                <w:color w:val="000000"/>
                <w:kern w:val="0"/>
                <w:sz w:val="18"/>
                <w:szCs w:val="18"/>
              </w:rPr>
              <w:t>附录B中的B.</w:t>
            </w:r>
            <w:r>
              <w:rPr>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widowControl/>
              <w:jc w:val="center"/>
              <w:rPr>
                <w:rFonts w:hAnsi="宋体"/>
                <w:color w:val="000000"/>
                <w:kern w:val="0"/>
                <w:sz w:val="18"/>
                <w:szCs w:val="18"/>
              </w:rPr>
            </w:pPr>
          </w:p>
        </w:tc>
        <w:tc>
          <w:tcPr>
            <w:tcW w:w="496" w:type="pct"/>
            <w:shd w:val="clear" w:color="auto" w:fill="auto"/>
            <w:noWrap/>
            <w:vAlign w:val="center"/>
          </w:tcPr>
          <w:p>
            <w:pPr>
              <w:widowControl/>
              <w:jc w:val="center"/>
              <w:rPr>
                <w:rFonts w:hAnsi="宋体"/>
                <w:color w:val="000000"/>
                <w:kern w:val="0"/>
                <w:sz w:val="18"/>
                <w:szCs w:val="18"/>
              </w:rPr>
            </w:pPr>
            <w:r>
              <w:rPr>
                <w:rFonts w:hint="eastAsia"/>
                <w:color w:val="000000"/>
                <w:kern w:val="0"/>
                <w:sz w:val="18"/>
                <w:szCs w:val="18"/>
              </w:rPr>
              <w:t>承重构件</w:t>
            </w:r>
          </w:p>
        </w:tc>
        <w:tc>
          <w:tcPr>
            <w:tcW w:w="773" w:type="pct"/>
            <w:shd w:val="clear" w:color="auto" w:fill="auto"/>
            <w:vAlign w:val="center"/>
          </w:tcPr>
          <w:p>
            <w:pPr>
              <w:widowControl/>
              <w:jc w:val="center"/>
              <w:rPr>
                <w:rFonts w:hAnsi="宋体"/>
                <w:color w:val="000000"/>
                <w:kern w:val="0"/>
                <w:sz w:val="18"/>
                <w:szCs w:val="18"/>
              </w:rPr>
            </w:pPr>
            <w:r>
              <w:rPr>
                <w:rFonts w:hint="eastAsia" w:hAnsi="宋体"/>
                <w:color w:val="000000"/>
                <w:kern w:val="0"/>
                <w:sz w:val="18"/>
                <w:szCs w:val="18"/>
              </w:rPr>
              <w:t>生产</w:t>
            </w:r>
            <w:r>
              <w:rPr>
                <w:rFonts w:hint="eastAsia" w:hAnsi="宋体"/>
                <w:color w:val="000000"/>
                <w:kern w:val="0"/>
                <w:sz w:val="18"/>
                <w:szCs w:val="18"/>
                <w:lang w:val="en-US" w:eastAsia="zh-CN"/>
              </w:rPr>
              <w:t>使用</w:t>
            </w:r>
            <w:r>
              <w:rPr>
                <w:rFonts w:hAnsi="宋体"/>
                <w:color w:val="000000"/>
                <w:kern w:val="0"/>
                <w:sz w:val="18"/>
                <w:szCs w:val="18"/>
              </w:rPr>
              <w:t>标准化模板或工具式模板使用率</w:t>
            </w:r>
          </w:p>
        </w:tc>
        <w:tc>
          <w:tcPr>
            <w:tcW w:w="508"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w:t>
            </w:r>
          </w:p>
        </w:tc>
        <w:tc>
          <w:tcPr>
            <w:tcW w:w="512" w:type="pct"/>
            <w:shd w:val="clear" w:color="auto" w:fill="auto"/>
            <w:noWrap/>
            <w:vAlign w:val="center"/>
          </w:tcPr>
          <w:p>
            <w:pPr>
              <w:jc w:val="center"/>
            </w:pPr>
            <w:r>
              <w:rPr>
                <w:rFonts w:hint="eastAsia"/>
                <w:color w:val="000000"/>
                <w:kern w:val="0"/>
                <w:sz w:val="18"/>
                <w:szCs w:val="18"/>
              </w:rPr>
              <w:t>≥</w:t>
            </w:r>
            <w:r>
              <w:rPr>
                <w:color w:val="000000"/>
                <w:kern w:val="0"/>
                <w:sz w:val="18"/>
                <w:szCs w:val="18"/>
              </w:rPr>
              <w:t>20</w:t>
            </w:r>
          </w:p>
        </w:tc>
        <w:tc>
          <w:tcPr>
            <w:tcW w:w="512" w:type="pct"/>
            <w:shd w:val="clear" w:color="auto" w:fill="auto"/>
            <w:vAlign w:val="center"/>
          </w:tcPr>
          <w:p>
            <w:pPr>
              <w:jc w:val="center"/>
            </w:pPr>
            <w:r>
              <w:rPr>
                <w:rFonts w:hint="eastAsia"/>
                <w:color w:val="000000"/>
                <w:kern w:val="0"/>
                <w:sz w:val="18"/>
                <w:szCs w:val="18"/>
              </w:rPr>
              <w:t>≥</w:t>
            </w:r>
            <w:r>
              <w:rPr>
                <w:color w:val="000000"/>
                <w:kern w:val="0"/>
                <w:sz w:val="18"/>
                <w:szCs w:val="18"/>
              </w:rPr>
              <w:t>40</w:t>
            </w:r>
          </w:p>
        </w:tc>
        <w:tc>
          <w:tcPr>
            <w:tcW w:w="512" w:type="pct"/>
            <w:shd w:val="clear" w:color="auto" w:fill="auto"/>
            <w:vAlign w:val="center"/>
          </w:tcPr>
          <w:p>
            <w:pPr>
              <w:jc w:val="center"/>
              <w:rPr>
                <w:rFonts w:hAnsi="宋体"/>
                <w:kern w:val="0"/>
                <w:sz w:val="18"/>
                <w:szCs w:val="18"/>
              </w:rPr>
            </w:pPr>
            <w:r>
              <w:rPr>
                <w:rFonts w:hint="eastAsia"/>
                <w:color w:val="000000"/>
                <w:kern w:val="0"/>
                <w:sz w:val="18"/>
                <w:szCs w:val="18"/>
              </w:rPr>
              <w:t>≥</w:t>
            </w:r>
            <w:r>
              <w:rPr>
                <w:color w:val="000000"/>
                <w:kern w:val="0"/>
                <w:sz w:val="18"/>
                <w:szCs w:val="18"/>
              </w:rPr>
              <w:t>60</w:t>
            </w:r>
          </w:p>
        </w:tc>
        <w:tc>
          <w:tcPr>
            <w:tcW w:w="1243" w:type="pct"/>
            <w:vAlign w:val="center"/>
          </w:tcPr>
          <w:p>
            <w:pPr>
              <w:jc w:val="center"/>
              <w:rPr>
                <w:color w:val="000000"/>
                <w:kern w:val="0"/>
                <w:sz w:val="18"/>
                <w:szCs w:val="18"/>
              </w:rPr>
            </w:pPr>
            <w:r>
              <w:rPr>
                <w:rFonts w:hint="eastAsia"/>
                <w:color w:val="000000"/>
                <w:kern w:val="0"/>
                <w:sz w:val="18"/>
                <w:szCs w:val="18"/>
              </w:rPr>
              <w:t>附录B中的B.</w:t>
            </w:r>
            <w:r>
              <w:rPr>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widowControl/>
              <w:jc w:val="center"/>
              <w:rPr>
                <w:rFonts w:hAnsi="宋体"/>
                <w:color w:val="000000"/>
                <w:kern w:val="0"/>
                <w:sz w:val="18"/>
                <w:szCs w:val="18"/>
              </w:rPr>
            </w:pPr>
          </w:p>
        </w:tc>
        <w:tc>
          <w:tcPr>
            <w:tcW w:w="496" w:type="pct"/>
            <w:shd w:val="clear" w:color="auto" w:fill="auto"/>
            <w:noWrap/>
            <w:vAlign w:val="center"/>
          </w:tcPr>
          <w:p>
            <w:pPr>
              <w:widowControl/>
              <w:jc w:val="center"/>
              <w:rPr>
                <w:rFonts w:hAnsi="宋体"/>
                <w:color w:val="000000"/>
                <w:kern w:val="0"/>
                <w:sz w:val="18"/>
                <w:szCs w:val="18"/>
              </w:rPr>
            </w:pPr>
            <w:r>
              <w:rPr>
                <w:rFonts w:hint="eastAsia"/>
                <w:color w:val="000000"/>
                <w:kern w:val="0"/>
                <w:sz w:val="18"/>
                <w:szCs w:val="18"/>
              </w:rPr>
              <w:t>非承重构件</w:t>
            </w:r>
          </w:p>
        </w:tc>
        <w:tc>
          <w:tcPr>
            <w:tcW w:w="773" w:type="pct"/>
            <w:shd w:val="clear" w:color="auto" w:fill="auto"/>
            <w:vAlign w:val="center"/>
          </w:tcPr>
          <w:p>
            <w:pPr>
              <w:widowControl/>
              <w:jc w:val="center"/>
              <w:rPr>
                <w:rFonts w:hAnsi="宋体"/>
                <w:color w:val="000000"/>
                <w:kern w:val="0"/>
                <w:sz w:val="18"/>
                <w:szCs w:val="18"/>
              </w:rPr>
            </w:pPr>
            <w:r>
              <w:rPr>
                <w:rFonts w:hint="eastAsia" w:hAnsi="宋体"/>
                <w:color w:val="000000"/>
                <w:kern w:val="0"/>
                <w:sz w:val="18"/>
                <w:szCs w:val="18"/>
              </w:rPr>
              <w:t>生产使用模具循环利用次数</w:t>
            </w:r>
          </w:p>
        </w:tc>
        <w:tc>
          <w:tcPr>
            <w:tcW w:w="508"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次</w:t>
            </w:r>
          </w:p>
        </w:tc>
        <w:tc>
          <w:tcPr>
            <w:tcW w:w="512" w:type="pct"/>
            <w:shd w:val="clear" w:color="auto" w:fill="auto"/>
            <w:noWrap/>
            <w:vAlign w:val="center"/>
          </w:tcPr>
          <w:p>
            <w:pPr>
              <w:jc w:val="center"/>
            </w:pPr>
            <w:r>
              <w:rPr>
                <w:rFonts w:hint="eastAsia"/>
                <w:color w:val="000000"/>
                <w:kern w:val="0"/>
                <w:sz w:val="18"/>
                <w:szCs w:val="18"/>
              </w:rPr>
              <w:t>≥</w:t>
            </w:r>
            <w:r>
              <w:rPr>
                <w:color w:val="000000"/>
                <w:kern w:val="0"/>
                <w:sz w:val="18"/>
                <w:szCs w:val="18"/>
              </w:rPr>
              <w:t>5</w:t>
            </w:r>
          </w:p>
        </w:tc>
        <w:tc>
          <w:tcPr>
            <w:tcW w:w="512" w:type="pct"/>
            <w:shd w:val="clear" w:color="auto" w:fill="auto"/>
            <w:vAlign w:val="center"/>
          </w:tcPr>
          <w:p>
            <w:pPr>
              <w:jc w:val="center"/>
            </w:pPr>
            <w:r>
              <w:rPr>
                <w:rFonts w:hint="eastAsia"/>
                <w:color w:val="000000"/>
                <w:kern w:val="0"/>
                <w:sz w:val="18"/>
                <w:szCs w:val="18"/>
              </w:rPr>
              <w:t>≥</w:t>
            </w:r>
            <w:r>
              <w:rPr>
                <w:color w:val="000000"/>
                <w:kern w:val="0"/>
                <w:sz w:val="18"/>
                <w:szCs w:val="18"/>
              </w:rPr>
              <w:t>10</w:t>
            </w:r>
          </w:p>
        </w:tc>
        <w:tc>
          <w:tcPr>
            <w:tcW w:w="512" w:type="pct"/>
            <w:shd w:val="clear" w:color="auto" w:fill="auto"/>
            <w:vAlign w:val="center"/>
          </w:tcPr>
          <w:p>
            <w:pPr>
              <w:jc w:val="center"/>
              <w:rPr>
                <w:rFonts w:hAnsi="宋体"/>
                <w:kern w:val="0"/>
                <w:sz w:val="18"/>
                <w:szCs w:val="18"/>
              </w:rPr>
            </w:pPr>
            <w:r>
              <w:rPr>
                <w:rFonts w:hint="eastAsia"/>
                <w:color w:val="000000"/>
                <w:kern w:val="0"/>
                <w:sz w:val="18"/>
                <w:szCs w:val="18"/>
              </w:rPr>
              <w:t>≥</w:t>
            </w:r>
            <w:r>
              <w:rPr>
                <w:color w:val="000000"/>
                <w:kern w:val="0"/>
                <w:sz w:val="18"/>
                <w:szCs w:val="18"/>
              </w:rPr>
              <w:t>15</w:t>
            </w:r>
          </w:p>
        </w:tc>
        <w:tc>
          <w:tcPr>
            <w:tcW w:w="1243" w:type="pct"/>
            <w:vAlign w:val="center"/>
          </w:tcPr>
          <w:p>
            <w:pPr>
              <w:jc w:val="center"/>
              <w:rPr>
                <w:color w:val="000000"/>
                <w:kern w:val="0"/>
                <w:sz w:val="18"/>
                <w:szCs w:val="18"/>
              </w:rPr>
            </w:pPr>
            <w:r>
              <w:rPr>
                <w:rFonts w:hint="eastAsia"/>
                <w:color w:val="000000"/>
                <w:kern w:val="0"/>
                <w:sz w:val="18"/>
                <w:szCs w:val="18"/>
              </w:rPr>
              <w:t>附录B中的B.</w:t>
            </w:r>
            <w:r>
              <w:rPr>
                <w:color w:val="000000"/>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restart"/>
            <w:shd w:val="clear" w:color="auto" w:fill="auto"/>
            <w:noWrap/>
            <w:vAlign w:val="center"/>
          </w:tcPr>
          <w:p>
            <w:pPr>
              <w:jc w:val="center"/>
              <w:rPr>
                <w:rFonts w:hAnsi="宋体"/>
                <w:color w:val="000000"/>
                <w:kern w:val="0"/>
                <w:sz w:val="18"/>
                <w:szCs w:val="18"/>
              </w:rPr>
            </w:pPr>
            <w:r>
              <w:rPr>
                <w:rFonts w:hAnsi="宋体"/>
                <w:color w:val="000000"/>
                <w:kern w:val="0"/>
                <w:sz w:val="18"/>
                <w:szCs w:val="18"/>
              </w:rPr>
              <w:t>能源属性</w:t>
            </w:r>
          </w:p>
        </w:tc>
        <w:tc>
          <w:tcPr>
            <w:tcW w:w="1269" w:type="pct"/>
            <w:gridSpan w:val="2"/>
            <w:shd w:val="clear" w:color="auto" w:fill="auto"/>
            <w:noWrap/>
            <w:vAlign w:val="center"/>
          </w:tcPr>
          <w:p>
            <w:pPr>
              <w:pStyle w:val="178"/>
              <w:jc w:val="center"/>
              <w:rPr>
                <w:sz w:val="18"/>
                <w:szCs w:val="18"/>
              </w:rPr>
            </w:pPr>
            <w:r>
              <w:rPr>
                <w:rFonts w:hint="eastAsia"/>
                <w:sz w:val="18"/>
                <w:szCs w:val="18"/>
              </w:rPr>
              <w:t>单位产品养护能耗</w:t>
            </w:r>
            <w:r>
              <w:rPr>
                <w:sz w:val="18"/>
                <w:szCs w:val="18"/>
              </w:rPr>
              <w:t>占总能耗比例</w:t>
            </w:r>
          </w:p>
        </w:tc>
        <w:tc>
          <w:tcPr>
            <w:tcW w:w="508" w:type="pct"/>
            <w:shd w:val="clear" w:color="auto" w:fill="auto"/>
            <w:noWrap/>
            <w:vAlign w:val="center"/>
          </w:tcPr>
          <w:p>
            <w:pPr>
              <w:widowControl/>
              <w:jc w:val="center"/>
              <w:rPr>
                <w:color w:val="000000"/>
                <w:kern w:val="0"/>
                <w:sz w:val="18"/>
                <w:szCs w:val="18"/>
              </w:rPr>
            </w:pPr>
            <w:r>
              <w:rPr>
                <w:rFonts w:hAnsi="宋体"/>
                <w:color w:val="000000"/>
                <w:kern w:val="0"/>
                <w:sz w:val="18"/>
                <w:szCs w:val="18"/>
              </w:rPr>
              <w:t>%</w:t>
            </w:r>
          </w:p>
        </w:tc>
        <w:tc>
          <w:tcPr>
            <w:tcW w:w="512" w:type="pct"/>
            <w:shd w:val="clear" w:color="auto" w:fill="auto"/>
            <w:noWrap/>
            <w:vAlign w:val="center"/>
          </w:tcPr>
          <w:p>
            <w:pPr>
              <w:widowControl/>
              <w:jc w:val="center"/>
              <w:rPr>
                <w:color w:val="000000"/>
                <w:kern w:val="0"/>
                <w:sz w:val="18"/>
                <w:szCs w:val="18"/>
              </w:rPr>
            </w:pPr>
            <w:r>
              <w:rPr>
                <w:rFonts w:hint="eastAsia" w:hAnsi="宋体"/>
                <w:color w:val="000000"/>
                <w:kern w:val="0"/>
                <w:sz w:val="18"/>
                <w:szCs w:val="18"/>
              </w:rPr>
              <w:t>≤</w:t>
            </w:r>
            <w:r>
              <w:rPr>
                <w:rFonts w:hAnsi="宋体"/>
                <w:color w:val="000000"/>
                <w:kern w:val="0"/>
                <w:sz w:val="18"/>
                <w:szCs w:val="18"/>
              </w:rPr>
              <w:t>60</w:t>
            </w:r>
          </w:p>
        </w:tc>
        <w:tc>
          <w:tcPr>
            <w:tcW w:w="512" w:type="pct"/>
            <w:vAlign w:val="center"/>
          </w:tcPr>
          <w:p>
            <w:pPr>
              <w:jc w:val="center"/>
              <w:rPr>
                <w:color w:val="000000"/>
                <w:kern w:val="0"/>
                <w:sz w:val="18"/>
                <w:szCs w:val="18"/>
              </w:rPr>
            </w:pPr>
            <w:r>
              <w:rPr>
                <w:rFonts w:hint="eastAsia" w:hAnsi="宋体"/>
                <w:color w:val="000000"/>
                <w:kern w:val="0"/>
                <w:sz w:val="18"/>
                <w:szCs w:val="18"/>
              </w:rPr>
              <w:t>≤50</w:t>
            </w:r>
          </w:p>
        </w:tc>
        <w:tc>
          <w:tcPr>
            <w:tcW w:w="512" w:type="pct"/>
            <w:vAlign w:val="center"/>
          </w:tcPr>
          <w:p>
            <w:pPr>
              <w:jc w:val="center"/>
              <w:rPr>
                <w:rFonts w:hAnsi="宋体"/>
                <w:color w:val="000000"/>
                <w:kern w:val="0"/>
                <w:sz w:val="18"/>
                <w:szCs w:val="18"/>
              </w:rPr>
            </w:pPr>
            <w:r>
              <w:rPr>
                <w:rFonts w:hint="eastAsia" w:hAnsi="宋体"/>
                <w:color w:val="000000"/>
                <w:kern w:val="0"/>
                <w:sz w:val="18"/>
                <w:szCs w:val="18"/>
              </w:rPr>
              <w:t>≤</w:t>
            </w:r>
            <w:r>
              <w:rPr>
                <w:rFonts w:hAnsi="宋体"/>
                <w:color w:val="000000"/>
                <w:kern w:val="0"/>
                <w:sz w:val="18"/>
                <w:szCs w:val="18"/>
              </w:rPr>
              <w:t>4</w:t>
            </w:r>
            <w:r>
              <w:rPr>
                <w:rFonts w:hint="eastAsia" w:hAnsi="宋体"/>
                <w:color w:val="000000"/>
                <w:kern w:val="0"/>
                <w:sz w:val="18"/>
                <w:szCs w:val="18"/>
              </w:rPr>
              <w:t>0</w:t>
            </w:r>
          </w:p>
        </w:tc>
        <w:tc>
          <w:tcPr>
            <w:tcW w:w="1243" w:type="pct"/>
            <w:vAlign w:val="center"/>
          </w:tcPr>
          <w:p>
            <w:pPr>
              <w:jc w:val="center"/>
              <w:rPr>
                <w:rFonts w:hAnsi="宋体"/>
                <w:color w:val="000000"/>
                <w:kern w:val="0"/>
                <w:sz w:val="18"/>
                <w:szCs w:val="18"/>
              </w:rPr>
            </w:pPr>
            <w:r>
              <w:rPr>
                <w:rFonts w:hint="eastAsia"/>
                <w:color w:val="000000"/>
                <w:kern w:val="0"/>
                <w:sz w:val="18"/>
                <w:szCs w:val="18"/>
              </w:rPr>
              <w:t>附录B中的B.</w:t>
            </w:r>
            <w:r>
              <w:rPr>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1269" w:type="pct"/>
            <w:gridSpan w:val="2"/>
            <w:shd w:val="clear" w:color="auto" w:fill="auto"/>
            <w:noWrap/>
            <w:vAlign w:val="center"/>
          </w:tcPr>
          <w:p>
            <w:pPr>
              <w:pStyle w:val="178"/>
              <w:jc w:val="center"/>
              <w:rPr>
                <w:sz w:val="18"/>
                <w:szCs w:val="18"/>
              </w:rPr>
            </w:pPr>
            <w:r>
              <w:rPr>
                <w:sz w:val="18"/>
                <w:szCs w:val="18"/>
              </w:rPr>
              <w:t>原材料</w:t>
            </w:r>
            <w:r>
              <w:rPr>
                <w:rFonts w:hint="eastAsia"/>
                <w:sz w:val="18"/>
                <w:szCs w:val="18"/>
              </w:rPr>
              <w:t>本地化程度</w:t>
            </w:r>
          </w:p>
        </w:tc>
        <w:tc>
          <w:tcPr>
            <w:tcW w:w="508"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w:t>
            </w:r>
          </w:p>
        </w:tc>
        <w:tc>
          <w:tcPr>
            <w:tcW w:w="1537" w:type="pct"/>
            <w:gridSpan w:val="3"/>
            <w:shd w:val="clear" w:color="auto" w:fill="auto"/>
            <w:noWrap/>
            <w:vAlign w:val="center"/>
          </w:tcPr>
          <w:p>
            <w:pPr>
              <w:jc w:val="center"/>
              <w:rPr>
                <w:rFonts w:hAnsi="宋体"/>
                <w:color w:val="000000"/>
                <w:kern w:val="0"/>
                <w:sz w:val="18"/>
                <w:szCs w:val="18"/>
              </w:rPr>
            </w:pPr>
            <w:r>
              <w:rPr>
                <w:rFonts w:hint="eastAsia"/>
                <w:color w:val="000000"/>
                <w:kern w:val="0"/>
                <w:sz w:val="18"/>
                <w:szCs w:val="18"/>
              </w:rPr>
              <w:t>≥</w:t>
            </w:r>
            <w:r>
              <w:rPr>
                <w:rFonts w:hint="eastAsia" w:hAnsi="宋体"/>
                <w:color w:val="000000"/>
                <w:kern w:val="0"/>
                <w:sz w:val="18"/>
                <w:szCs w:val="18"/>
              </w:rPr>
              <w:t>95</w:t>
            </w:r>
          </w:p>
        </w:tc>
        <w:tc>
          <w:tcPr>
            <w:tcW w:w="1243" w:type="pct"/>
            <w:vAlign w:val="center"/>
          </w:tcPr>
          <w:p>
            <w:pPr>
              <w:jc w:val="center"/>
              <w:rPr>
                <w:color w:val="000000"/>
                <w:kern w:val="0"/>
                <w:sz w:val="18"/>
                <w:szCs w:val="18"/>
              </w:rPr>
            </w:pPr>
            <w:r>
              <w:rPr>
                <w:rFonts w:hint="eastAsia"/>
                <w:color w:val="000000"/>
                <w:kern w:val="0"/>
                <w:sz w:val="18"/>
                <w:szCs w:val="18"/>
              </w:rPr>
              <w:t>附录B中的B.</w:t>
            </w:r>
            <w:r>
              <w:rPr>
                <w:color w:val="000000"/>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restart"/>
            <w:shd w:val="clear" w:color="auto" w:fill="auto"/>
            <w:noWrap/>
            <w:vAlign w:val="center"/>
          </w:tcPr>
          <w:p>
            <w:pPr>
              <w:jc w:val="center"/>
              <w:rPr>
                <w:rFonts w:hAnsi="宋体"/>
                <w:color w:val="000000"/>
                <w:kern w:val="0"/>
                <w:sz w:val="18"/>
                <w:szCs w:val="18"/>
              </w:rPr>
            </w:pPr>
            <w:r>
              <w:rPr>
                <w:rFonts w:hAnsi="宋体"/>
                <w:color w:val="000000"/>
                <w:kern w:val="0"/>
                <w:sz w:val="18"/>
                <w:szCs w:val="18"/>
              </w:rPr>
              <w:t>环境属性</w:t>
            </w:r>
          </w:p>
        </w:tc>
        <w:tc>
          <w:tcPr>
            <w:tcW w:w="496" w:type="pct"/>
            <w:vMerge w:val="restart"/>
            <w:shd w:val="clear" w:color="auto" w:fill="auto"/>
            <w:noWrap/>
            <w:vAlign w:val="center"/>
          </w:tcPr>
          <w:p>
            <w:pPr>
              <w:jc w:val="center"/>
              <w:rPr>
                <w:color w:val="000000"/>
                <w:kern w:val="0"/>
                <w:sz w:val="18"/>
                <w:szCs w:val="18"/>
              </w:rPr>
            </w:pPr>
            <w:r>
              <w:rPr>
                <w:rFonts w:hint="eastAsia"/>
                <w:color w:val="000000"/>
                <w:kern w:val="0"/>
                <w:sz w:val="18"/>
                <w:szCs w:val="18"/>
              </w:rPr>
              <w:t>颗粒物浓度</w:t>
            </w:r>
          </w:p>
        </w:tc>
        <w:tc>
          <w:tcPr>
            <w:tcW w:w="773" w:type="pct"/>
            <w:shd w:val="clear" w:color="auto" w:fill="auto"/>
            <w:vAlign w:val="center"/>
          </w:tcPr>
          <w:p>
            <w:pPr>
              <w:jc w:val="center"/>
              <w:rPr>
                <w:color w:val="000000"/>
                <w:kern w:val="0"/>
                <w:sz w:val="18"/>
                <w:szCs w:val="18"/>
              </w:rPr>
            </w:pPr>
            <w:r>
              <w:rPr>
                <w:rFonts w:hint="eastAsia"/>
                <w:color w:val="000000"/>
                <w:kern w:val="0"/>
                <w:sz w:val="18"/>
                <w:szCs w:val="18"/>
              </w:rPr>
              <w:t>厂界无组织监控点</w:t>
            </w:r>
          </w:p>
        </w:tc>
        <w:tc>
          <w:tcPr>
            <w:tcW w:w="508" w:type="pct"/>
            <w:vMerge w:val="restart"/>
            <w:shd w:val="clear" w:color="auto" w:fill="auto"/>
            <w:noWrap/>
            <w:vAlign w:val="center"/>
          </w:tcPr>
          <w:p>
            <w:pPr>
              <w:widowControl/>
              <w:tabs>
                <w:tab w:val="center" w:pos="4201"/>
                <w:tab w:val="right" w:leader="dot" w:pos="9298"/>
              </w:tabs>
              <w:autoSpaceDE w:val="0"/>
              <w:autoSpaceDN w:val="0"/>
              <w:jc w:val="center"/>
              <w:rPr>
                <w:rFonts w:hAnsi="宋体"/>
                <w:color w:val="000000"/>
                <w:kern w:val="0"/>
                <w:sz w:val="18"/>
                <w:szCs w:val="18"/>
              </w:rPr>
            </w:pPr>
            <w:r>
              <w:rPr>
                <w:rFonts w:hAnsi="宋体"/>
                <w:color w:val="000000"/>
                <w:kern w:val="0"/>
                <w:sz w:val="18"/>
                <w:szCs w:val="18"/>
              </w:rPr>
              <w:t>mg/cm</w:t>
            </w:r>
            <w:r>
              <w:rPr>
                <w:rFonts w:hAnsi="宋体"/>
                <w:color w:val="000000"/>
                <w:kern w:val="0"/>
                <w:sz w:val="18"/>
                <w:szCs w:val="18"/>
                <w:vertAlign w:val="superscript"/>
              </w:rPr>
              <w:t>3</w:t>
            </w:r>
          </w:p>
        </w:tc>
        <w:tc>
          <w:tcPr>
            <w:tcW w:w="512" w:type="pct"/>
            <w:shd w:val="clear" w:color="auto" w:fill="auto"/>
            <w:noWrap/>
            <w:vAlign w:val="center"/>
          </w:tcPr>
          <w:p>
            <w:pPr>
              <w:widowControl/>
              <w:jc w:val="center"/>
              <w:rPr>
                <w:color w:val="000000"/>
                <w:kern w:val="0"/>
                <w:sz w:val="18"/>
                <w:szCs w:val="18"/>
              </w:rPr>
            </w:pPr>
            <w:r>
              <w:rPr>
                <w:rFonts w:hint="eastAsia" w:hAnsi="宋体"/>
                <w:color w:val="000000"/>
                <w:kern w:val="0"/>
                <w:sz w:val="18"/>
                <w:szCs w:val="18"/>
              </w:rPr>
              <w:t>≤</w:t>
            </w:r>
            <w:r>
              <w:rPr>
                <w:rFonts w:hAnsi="宋体"/>
                <w:color w:val="000000"/>
                <w:kern w:val="0"/>
                <w:sz w:val="18"/>
                <w:szCs w:val="18"/>
              </w:rPr>
              <w:t>1.0</w:t>
            </w:r>
          </w:p>
        </w:tc>
        <w:tc>
          <w:tcPr>
            <w:tcW w:w="512" w:type="pct"/>
            <w:shd w:val="clear" w:color="auto" w:fill="auto"/>
            <w:vAlign w:val="center"/>
          </w:tcPr>
          <w:p>
            <w:pPr>
              <w:jc w:val="center"/>
              <w:rPr>
                <w:color w:val="000000"/>
                <w:kern w:val="0"/>
                <w:sz w:val="18"/>
                <w:szCs w:val="18"/>
              </w:rPr>
            </w:pPr>
            <w:r>
              <w:rPr>
                <w:rFonts w:hint="eastAsia" w:hAnsi="宋体"/>
                <w:color w:val="000000"/>
                <w:kern w:val="0"/>
                <w:sz w:val="18"/>
                <w:szCs w:val="18"/>
              </w:rPr>
              <w:t>≤</w:t>
            </w:r>
            <w:r>
              <w:rPr>
                <w:rFonts w:hAnsi="宋体"/>
                <w:color w:val="000000"/>
                <w:kern w:val="0"/>
                <w:sz w:val="18"/>
                <w:szCs w:val="18"/>
              </w:rPr>
              <w:t>0.8</w:t>
            </w:r>
          </w:p>
        </w:tc>
        <w:tc>
          <w:tcPr>
            <w:tcW w:w="512" w:type="pct"/>
            <w:shd w:val="clear" w:color="auto" w:fill="auto"/>
            <w:vAlign w:val="center"/>
          </w:tcPr>
          <w:p>
            <w:pPr>
              <w:jc w:val="center"/>
              <w:rPr>
                <w:rFonts w:hAnsi="宋体"/>
                <w:color w:val="000000"/>
                <w:kern w:val="0"/>
                <w:sz w:val="18"/>
                <w:szCs w:val="18"/>
              </w:rPr>
            </w:pPr>
            <w:r>
              <w:rPr>
                <w:rFonts w:hint="eastAsia" w:hAnsi="宋体"/>
                <w:color w:val="000000"/>
                <w:kern w:val="0"/>
                <w:sz w:val="18"/>
                <w:szCs w:val="18"/>
              </w:rPr>
              <w:t>≤</w:t>
            </w:r>
            <w:r>
              <w:rPr>
                <w:rFonts w:hAnsi="宋体"/>
                <w:color w:val="000000"/>
                <w:kern w:val="0"/>
                <w:sz w:val="18"/>
                <w:szCs w:val="18"/>
              </w:rPr>
              <w:t>0.8</w:t>
            </w:r>
          </w:p>
        </w:tc>
        <w:tc>
          <w:tcPr>
            <w:tcW w:w="1243" w:type="pct"/>
            <w:vAlign w:val="center"/>
          </w:tcPr>
          <w:p>
            <w:pPr>
              <w:jc w:val="center"/>
              <w:rPr>
                <w:rFonts w:hAnsi="宋体"/>
                <w:color w:val="000000"/>
                <w:kern w:val="0"/>
                <w:sz w:val="18"/>
                <w:szCs w:val="18"/>
              </w:rPr>
            </w:pPr>
            <w:r>
              <w:rPr>
                <w:rFonts w:hint="eastAsia" w:hAnsi="宋体"/>
                <w:color w:val="000000"/>
                <w:kern w:val="0"/>
                <w:sz w:val="18"/>
                <w:szCs w:val="18"/>
              </w:rPr>
              <w:t>GB/T</w:t>
            </w:r>
            <w:r>
              <w:rPr>
                <w:rFonts w:hAnsi="宋体"/>
                <w:color w:val="000000"/>
                <w:kern w:val="0"/>
                <w:sz w:val="18"/>
                <w:szCs w:val="18"/>
              </w:rPr>
              <w:t xml:space="preserve"> 16157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jc w:val="center"/>
              <w:rPr>
                <w:color w:val="000000"/>
                <w:kern w:val="0"/>
                <w:sz w:val="18"/>
                <w:szCs w:val="18"/>
              </w:rPr>
            </w:pPr>
            <w:r>
              <w:rPr>
                <w:rFonts w:hint="eastAsia"/>
                <w:color w:val="000000"/>
                <w:kern w:val="0"/>
                <w:sz w:val="18"/>
                <w:szCs w:val="18"/>
              </w:rPr>
              <w:t>生产车间内</w:t>
            </w:r>
          </w:p>
        </w:tc>
        <w:tc>
          <w:tcPr>
            <w:tcW w:w="508" w:type="pct"/>
            <w:vMerge w:val="continue"/>
            <w:shd w:val="clear" w:color="auto" w:fill="auto"/>
            <w:noWrap/>
            <w:vAlign w:val="center"/>
          </w:tcPr>
          <w:p>
            <w:pPr>
              <w:widowControl/>
              <w:tabs>
                <w:tab w:val="center" w:pos="4201"/>
                <w:tab w:val="right" w:leader="dot" w:pos="9298"/>
              </w:tabs>
              <w:autoSpaceDE w:val="0"/>
              <w:autoSpaceDN w:val="0"/>
              <w:jc w:val="center"/>
              <w:rPr>
                <w:rFonts w:hAnsi="宋体"/>
                <w:color w:val="000000"/>
                <w:kern w:val="0"/>
                <w:sz w:val="18"/>
                <w:szCs w:val="18"/>
              </w:rPr>
            </w:pPr>
          </w:p>
        </w:tc>
        <w:tc>
          <w:tcPr>
            <w:tcW w:w="512" w:type="pct"/>
            <w:shd w:val="clear" w:color="auto" w:fill="auto"/>
            <w:noWrap/>
            <w:vAlign w:val="center"/>
          </w:tcPr>
          <w:p>
            <w:pPr>
              <w:widowControl/>
              <w:jc w:val="center"/>
              <w:rPr>
                <w:color w:val="000000"/>
                <w:kern w:val="0"/>
                <w:sz w:val="18"/>
                <w:szCs w:val="18"/>
              </w:rPr>
            </w:pPr>
            <w:r>
              <w:rPr>
                <w:rFonts w:hint="eastAsia" w:hAnsi="宋体"/>
                <w:color w:val="000000"/>
                <w:kern w:val="0"/>
                <w:sz w:val="18"/>
                <w:szCs w:val="18"/>
              </w:rPr>
              <w:t>≤</w:t>
            </w:r>
            <w:r>
              <w:rPr>
                <w:rFonts w:hAnsi="宋体"/>
                <w:color w:val="000000"/>
                <w:kern w:val="0"/>
                <w:sz w:val="18"/>
                <w:szCs w:val="18"/>
              </w:rPr>
              <w:t>10.0</w:t>
            </w:r>
          </w:p>
        </w:tc>
        <w:tc>
          <w:tcPr>
            <w:tcW w:w="512" w:type="pct"/>
            <w:shd w:val="clear" w:color="auto" w:fill="auto"/>
            <w:vAlign w:val="center"/>
          </w:tcPr>
          <w:p>
            <w:pPr>
              <w:jc w:val="center"/>
              <w:rPr>
                <w:color w:val="000000"/>
                <w:kern w:val="0"/>
                <w:sz w:val="18"/>
                <w:szCs w:val="18"/>
              </w:rPr>
            </w:pPr>
            <w:r>
              <w:rPr>
                <w:rFonts w:hint="eastAsia" w:hAnsi="宋体"/>
                <w:color w:val="000000"/>
                <w:kern w:val="0"/>
                <w:sz w:val="18"/>
                <w:szCs w:val="18"/>
              </w:rPr>
              <w:t>≤</w:t>
            </w:r>
            <w:r>
              <w:rPr>
                <w:rFonts w:hAnsi="宋体"/>
                <w:color w:val="000000"/>
                <w:kern w:val="0"/>
                <w:sz w:val="18"/>
                <w:szCs w:val="18"/>
              </w:rPr>
              <w:t>5.0</w:t>
            </w:r>
          </w:p>
        </w:tc>
        <w:tc>
          <w:tcPr>
            <w:tcW w:w="512" w:type="pct"/>
            <w:shd w:val="clear" w:color="auto" w:fill="auto"/>
            <w:vAlign w:val="center"/>
          </w:tcPr>
          <w:p>
            <w:pPr>
              <w:jc w:val="center"/>
              <w:rPr>
                <w:rFonts w:hAnsi="宋体"/>
                <w:color w:val="000000"/>
                <w:kern w:val="0"/>
                <w:sz w:val="18"/>
                <w:szCs w:val="18"/>
              </w:rPr>
            </w:pPr>
            <w:r>
              <w:rPr>
                <w:rFonts w:hint="eastAsia" w:hAnsi="宋体"/>
                <w:color w:val="000000"/>
                <w:kern w:val="0"/>
                <w:sz w:val="18"/>
                <w:szCs w:val="18"/>
              </w:rPr>
              <w:t>≤</w:t>
            </w:r>
            <w:r>
              <w:rPr>
                <w:rFonts w:hAnsi="宋体"/>
                <w:color w:val="000000"/>
                <w:kern w:val="0"/>
                <w:sz w:val="18"/>
                <w:szCs w:val="18"/>
              </w:rPr>
              <w:t>5.0</w:t>
            </w:r>
          </w:p>
        </w:tc>
        <w:tc>
          <w:tcPr>
            <w:tcW w:w="1243" w:type="pct"/>
            <w:vAlign w:val="center"/>
          </w:tcPr>
          <w:p>
            <w:pPr>
              <w:jc w:val="center"/>
              <w:rPr>
                <w:rFonts w:hAnsi="宋体"/>
                <w:color w:val="000000"/>
                <w:kern w:val="0"/>
                <w:sz w:val="18"/>
                <w:szCs w:val="18"/>
              </w:rPr>
            </w:pPr>
            <w:r>
              <w:rPr>
                <w:rFonts w:hint="eastAsia" w:hAnsi="宋体"/>
                <w:color w:val="000000"/>
                <w:kern w:val="0"/>
                <w:sz w:val="18"/>
                <w:szCs w:val="18"/>
              </w:rPr>
              <w:t>GBZ/T</w:t>
            </w:r>
            <w:r>
              <w:rPr>
                <w:rFonts w:hAnsi="宋体"/>
                <w:color w:val="000000"/>
                <w:kern w:val="0"/>
                <w:sz w:val="18"/>
                <w:szCs w:val="18"/>
              </w:rPr>
              <w:t>192.1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1269" w:type="pct"/>
            <w:gridSpan w:val="2"/>
            <w:shd w:val="clear" w:color="auto" w:fill="auto"/>
            <w:noWrap/>
            <w:vAlign w:val="center"/>
          </w:tcPr>
          <w:p>
            <w:pPr>
              <w:jc w:val="center"/>
              <w:rPr>
                <w:color w:val="000000"/>
                <w:kern w:val="0"/>
                <w:sz w:val="18"/>
                <w:szCs w:val="18"/>
              </w:rPr>
            </w:pPr>
            <w:r>
              <w:rPr>
                <w:rFonts w:hint="eastAsia"/>
                <w:color w:val="000000"/>
                <w:kern w:val="0"/>
                <w:sz w:val="18"/>
                <w:szCs w:val="18"/>
              </w:rPr>
              <w:t>产品环境影响和碳足迹</w:t>
            </w:r>
          </w:p>
        </w:tc>
        <w:tc>
          <w:tcPr>
            <w:tcW w:w="508" w:type="pct"/>
            <w:shd w:val="clear" w:color="auto" w:fill="auto"/>
            <w:noWrap/>
            <w:vAlign w:val="center"/>
          </w:tcPr>
          <w:p>
            <w:pPr>
              <w:widowControl/>
              <w:tabs>
                <w:tab w:val="center" w:pos="4201"/>
                <w:tab w:val="right" w:leader="dot" w:pos="9298"/>
              </w:tabs>
              <w:autoSpaceDE w:val="0"/>
              <w:autoSpaceDN w:val="0"/>
              <w:jc w:val="center"/>
              <w:rPr>
                <w:rFonts w:hAnsi="宋体"/>
                <w:color w:val="000000"/>
                <w:kern w:val="0"/>
                <w:sz w:val="18"/>
                <w:szCs w:val="18"/>
              </w:rPr>
            </w:pPr>
            <w:r>
              <w:rPr>
                <w:rFonts w:hint="eastAsia" w:hAnsi="宋体"/>
                <w:color w:val="000000"/>
                <w:kern w:val="0"/>
                <w:sz w:val="18"/>
                <w:szCs w:val="18"/>
              </w:rPr>
              <w:t>—</w:t>
            </w:r>
          </w:p>
        </w:tc>
        <w:tc>
          <w:tcPr>
            <w:tcW w:w="1537" w:type="pct"/>
            <w:gridSpan w:val="3"/>
            <w:shd w:val="clear" w:color="auto" w:fill="auto"/>
            <w:noWrap/>
            <w:vAlign w:val="center"/>
          </w:tcPr>
          <w:p>
            <w:pPr>
              <w:jc w:val="center"/>
              <w:rPr>
                <w:color w:val="000000"/>
                <w:kern w:val="0"/>
                <w:sz w:val="18"/>
                <w:szCs w:val="18"/>
              </w:rPr>
            </w:pPr>
            <w:r>
              <w:rPr>
                <w:rFonts w:hint="eastAsia" w:hAnsi="宋体"/>
                <w:color w:val="000000"/>
                <w:kern w:val="0"/>
                <w:sz w:val="18"/>
                <w:szCs w:val="18"/>
              </w:rPr>
              <w:t>进行环境产品声明和碳足迹分析</w:t>
            </w:r>
          </w:p>
        </w:tc>
        <w:tc>
          <w:tcPr>
            <w:tcW w:w="1243" w:type="pct"/>
            <w:vAlign w:val="center"/>
          </w:tcPr>
          <w:p>
            <w:pPr>
              <w:jc w:val="center"/>
              <w:rPr>
                <w:rFonts w:hAnsi="宋体"/>
                <w:color w:val="000000"/>
                <w:kern w:val="0"/>
                <w:sz w:val="18"/>
                <w:szCs w:val="18"/>
              </w:rPr>
            </w:pPr>
            <w:r>
              <w:rPr>
                <w:rFonts w:hint="eastAsia" w:hAnsi="宋体"/>
                <w:color w:val="000000"/>
                <w:kern w:val="0"/>
                <w:sz w:val="18"/>
                <w:szCs w:val="18"/>
              </w:rPr>
              <w:t>GB/T</w:t>
            </w:r>
            <w:r>
              <w:rPr>
                <w:rFonts w:hAnsi="宋体"/>
                <w:color w:val="000000"/>
                <w:kern w:val="0"/>
                <w:sz w:val="18"/>
                <w:szCs w:val="18"/>
              </w:rPr>
              <w:t xml:space="preserve"> 24025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1269" w:type="pct"/>
            <w:gridSpan w:val="2"/>
            <w:shd w:val="clear" w:color="auto" w:fill="auto"/>
            <w:noWrap/>
            <w:vAlign w:val="center"/>
          </w:tcPr>
          <w:p>
            <w:pPr>
              <w:jc w:val="center"/>
              <w:rPr>
                <w:color w:val="000000"/>
                <w:kern w:val="0"/>
                <w:sz w:val="18"/>
                <w:szCs w:val="18"/>
              </w:rPr>
            </w:pPr>
            <w:r>
              <w:rPr>
                <w:rFonts w:hint="eastAsia"/>
                <w:color w:val="000000"/>
                <w:kern w:val="0"/>
                <w:sz w:val="18"/>
                <w:szCs w:val="18"/>
              </w:rPr>
              <w:t>单位</w:t>
            </w:r>
            <w:r>
              <w:rPr>
                <w:color w:val="000000"/>
                <w:kern w:val="0"/>
                <w:sz w:val="18"/>
                <w:szCs w:val="18"/>
              </w:rPr>
              <w:t>产品工业废水排放量</w:t>
            </w:r>
          </w:p>
        </w:tc>
        <w:tc>
          <w:tcPr>
            <w:tcW w:w="508" w:type="pct"/>
            <w:shd w:val="clear" w:color="auto" w:fill="auto"/>
            <w:noWrap/>
            <w:vAlign w:val="center"/>
          </w:tcPr>
          <w:p>
            <w:pPr>
              <w:widowControl/>
              <w:tabs>
                <w:tab w:val="center" w:pos="4201"/>
                <w:tab w:val="right" w:leader="dot" w:pos="9298"/>
              </w:tabs>
              <w:autoSpaceDE w:val="0"/>
              <w:autoSpaceDN w:val="0"/>
              <w:jc w:val="center"/>
              <w:rPr>
                <w:rFonts w:hAnsi="宋体"/>
                <w:color w:val="000000"/>
                <w:kern w:val="0"/>
                <w:sz w:val="18"/>
                <w:szCs w:val="18"/>
              </w:rPr>
            </w:pPr>
            <w:r>
              <w:rPr>
                <w:rFonts w:hAnsi="宋体"/>
                <w:color w:val="000000"/>
                <w:kern w:val="0"/>
                <w:sz w:val="18"/>
                <w:szCs w:val="18"/>
              </w:rPr>
              <w:t>kg</w:t>
            </w:r>
            <w:r>
              <w:rPr>
                <w:rFonts w:hint="eastAsia" w:hAnsi="宋体"/>
                <w:color w:val="000000"/>
                <w:kern w:val="0"/>
                <w:sz w:val="18"/>
                <w:szCs w:val="18"/>
              </w:rPr>
              <w:t>/</w:t>
            </w:r>
            <w:r>
              <w:rPr>
                <w:rFonts w:hAnsi="宋体"/>
                <w:color w:val="000000"/>
                <w:kern w:val="0"/>
                <w:sz w:val="18"/>
                <w:szCs w:val="18"/>
              </w:rPr>
              <w:t>m</w:t>
            </w:r>
            <w:r>
              <w:rPr>
                <w:rFonts w:hAnsi="宋体"/>
                <w:color w:val="000000"/>
                <w:kern w:val="0"/>
                <w:sz w:val="18"/>
                <w:szCs w:val="18"/>
                <w:vertAlign w:val="superscript"/>
              </w:rPr>
              <w:t>3</w:t>
            </w:r>
          </w:p>
        </w:tc>
        <w:tc>
          <w:tcPr>
            <w:tcW w:w="1537" w:type="pct"/>
            <w:gridSpan w:val="3"/>
            <w:shd w:val="clear" w:color="auto" w:fill="auto"/>
            <w:noWrap/>
            <w:vAlign w:val="center"/>
          </w:tcPr>
          <w:p>
            <w:pPr>
              <w:jc w:val="center"/>
              <w:rPr>
                <w:rFonts w:hAnsi="宋体"/>
                <w:color w:val="000000"/>
                <w:kern w:val="0"/>
                <w:sz w:val="18"/>
                <w:szCs w:val="18"/>
              </w:rPr>
            </w:pPr>
            <w:r>
              <w:rPr>
                <w:rFonts w:hint="eastAsia" w:hAnsi="宋体"/>
                <w:color w:val="000000"/>
                <w:kern w:val="0"/>
                <w:sz w:val="18"/>
                <w:szCs w:val="18"/>
              </w:rPr>
              <w:t>0</w:t>
            </w:r>
          </w:p>
        </w:tc>
        <w:tc>
          <w:tcPr>
            <w:tcW w:w="1243" w:type="pct"/>
            <w:vAlign w:val="center"/>
          </w:tcPr>
          <w:p>
            <w:pPr>
              <w:jc w:val="center"/>
              <w:rPr>
                <w:rFonts w:hAnsi="宋体"/>
                <w:color w:val="000000"/>
                <w:kern w:val="0"/>
                <w:sz w:val="18"/>
                <w:szCs w:val="18"/>
              </w:rPr>
            </w:pPr>
            <w:r>
              <w:rPr>
                <w:rFonts w:hint="eastAsia"/>
                <w:color w:val="000000"/>
                <w:kern w:val="0"/>
                <w:sz w:val="18"/>
                <w:szCs w:val="18"/>
              </w:rPr>
              <w:t>附录B中的B.</w:t>
            </w:r>
            <w:r>
              <w:rPr>
                <w:color w:val="000000"/>
                <w:kern w:val="0"/>
                <w:sz w:val="18"/>
                <w:szCs w:val="1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1269" w:type="pct"/>
            <w:gridSpan w:val="2"/>
            <w:shd w:val="clear" w:color="auto" w:fill="auto"/>
            <w:noWrap/>
            <w:vAlign w:val="center"/>
          </w:tcPr>
          <w:p>
            <w:pPr>
              <w:jc w:val="center"/>
              <w:rPr>
                <w:color w:val="000000"/>
                <w:kern w:val="0"/>
                <w:sz w:val="18"/>
                <w:szCs w:val="18"/>
              </w:rPr>
            </w:pPr>
            <w:r>
              <w:rPr>
                <w:rFonts w:hint="eastAsia"/>
                <w:color w:val="000000"/>
                <w:kern w:val="0"/>
                <w:sz w:val="18"/>
                <w:szCs w:val="18"/>
              </w:rPr>
              <w:t>生产废料综合处置率</w:t>
            </w:r>
          </w:p>
        </w:tc>
        <w:tc>
          <w:tcPr>
            <w:tcW w:w="508" w:type="pct"/>
            <w:shd w:val="clear" w:color="auto" w:fill="auto"/>
            <w:noWrap/>
            <w:vAlign w:val="center"/>
          </w:tcPr>
          <w:p>
            <w:pPr>
              <w:widowControl/>
              <w:tabs>
                <w:tab w:val="center" w:pos="4201"/>
                <w:tab w:val="right" w:leader="dot" w:pos="9298"/>
              </w:tabs>
              <w:autoSpaceDE w:val="0"/>
              <w:autoSpaceDN w:val="0"/>
              <w:jc w:val="center"/>
              <w:rPr>
                <w:rFonts w:hAnsi="宋体"/>
                <w:color w:val="000000"/>
                <w:kern w:val="0"/>
                <w:sz w:val="18"/>
                <w:szCs w:val="18"/>
              </w:rPr>
            </w:pPr>
            <w:r>
              <w:rPr>
                <w:rFonts w:hint="eastAsia" w:hAnsi="宋体"/>
                <w:color w:val="000000"/>
                <w:kern w:val="0"/>
                <w:sz w:val="18"/>
                <w:szCs w:val="18"/>
              </w:rPr>
              <w:t>%</w:t>
            </w:r>
          </w:p>
        </w:tc>
        <w:tc>
          <w:tcPr>
            <w:tcW w:w="512" w:type="pct"/>
            <w:shd w:val="clear" w:color="auto" w:fill="auto"/>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80</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90</w:t>
            </w:r>
          </w:p>
        </w:tc>
        <w:tc>
          <w:tcPr>
            <w:tcW w:w="512" w:type="pct"/>
            <w:shd w:val="clear" w:color="auto" w:fill="auto"/>
            <w:vAlign w:val="center"/>
          </w:tcPr>
          <w:p>
            <w:pPr>
              <w:jc w:val="center"/>
              <w:rPr>
                <w:color w:val="000000"/>
                <w:kern w:val="0"/>
                <w:sz w:val="18"/>
                <w:szCs w:val="18"/>
              </w:rPr>
            </w:pPr>
            <w:r>
              <w:rPr>
                <w:color w:val="000000"/>
                <w:kern w:val="0"/>
                <w:sz w:val="18"/>
                <w:szCs w:val="18"/>
              </w:rPr>
              <w:t>100</w:t>
            </w:r>
          </w:p>
        </w:tc>
        <w:tc>
          <w:tcPr>
            <w:tcW w:w="1243" w:type="pct"/>
            <w:vAlign w:val="center"/>
          </w:tcPr>
          <w:p>
            <w:pPr>
              <w:jc w:val="center"/>
              <w:rPr>
                <w:color w:val="000000"/>
                <w:kern w:val="0"/>
                <w:sz w:val="18"/>
                <w:szCs w:val="18"/>
              </w:rPr>
            </w:pPr>
            <w:r>
              <w:rPr>
                <w:rFonts w:hint="eastAsia"/>
                <w:color w:val="000000"/>
                <w:kern w:val="0"/>
                <w:sz w:val="18"/>
                <w:szCs w:val="18"/>
              </w:rPr>
              <w:t>附录B中的B.</w:t>
            </w:r>
            <w:r>
              <w:rPr>
                <w:color w:val="000000"/>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restart"/>
            <w:shd w:val="clear" w:color="auto" w:fill="auto"/>
            <w:noWrap/>
            <w:vAlign w:val="center"/>
          </w:tcPr>
          <w:p>
            <w:pPr>
              <w:jc w:val="center"/>
              <w:rPr>
                <w:rFonts w:hAnsi="宋体"/>
                <w:color w:val="000000"/>
                <w:kern w:val="0"/>
                <w:sz w:val="18"/>
                <w:szCs w:val="18"/>
              </w:rPr>
            </w:pPr>
            <w:r>
              <w:rPr>
                <w:rFonts w:hAnsi="宋体"/>
                <w:color w:val="000000"/>
                <w:kern w:val="0"/>
                <w:sz w:val="18"/>
                <w:szCs w:val="18"/>
              </w:rPr>
              <w:t>品质属性</w:t>
            </w:r>
          </w:p>
        </w:tc>
        <w:tc>
          <w:tcPr>
            <w:tcW w:w="496" w:type="pct"/>
            <w:vMerge w:val="restart"/>
            <w:shd w:val="clear" w:color="auto" w:fill="auto"/>
            <w:noWrap/>
            <w:vAlign w:val="center"/>
          </w:tcPr>
          <w:p>
            <w:pPr>
              <w:jc w:val="center"/>
              <w:rPr>
                <w:color w:val="000000"/>
                <w:kern w:val="0"/>
                <w:sz w:val="18"/>
                <w:szCs w:val="18"/>
              </w:rPr>
            </w:pPr>
            <w:r>
              <w:rPr>
                <w:rFonts w:hint="eastAsia"/>
                <w:color w:val="000000"/>
                <w:kern w:val="0"/>
                <w:sz w:val="18"/>
                <w:szCs w:val="18"/>
              </w:rPr>
              <w:t>承重构件</w:t>
            </w:r>
          </w:p>
        </w:tc>
        <w:tc>
          <w:tcPr>
            <w:tcW w:w="773" w:type="pct"/>
            <w:shd w:val="clear" w:color="auto" w:fill="auto"/>
            <w:vAlign w:val="center"/>
          </w:tcPr>
          <w:p>
            <w:pPr>
              <w:jc w:val="center"/>
              <w:rPr>
                <w:color w:val="000000"/>
                <w:kern w:val="0"/>
                <w:sz w:val="18"/>
                <w:szCs w:val="18"/>
              </w:rPr>
            </w:pPr>
            <w:r>
              <w:rPr>
                <w:rFonts w:hint="eastAsia"/>
                <w:color w:val="000000"/>
                <w:kern w:val="0"/>
                <w:sz w:val="18"/>
                <w:szCs w:val="18"/>
              </w:rPr>
              <w:t>抗压强度</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rFonts w:hint="eastAsia"/>
                <w:color w:val="000000"/>
                <w:kern w:val="0"/>
                <w:sz w:val="18"/>
                <w:szCs w:val="18"/>
              </w:rPr>
              <w:t>MPa</w:t>
            </w:r>
          </w:p>
        </w:tc>
        <w:tc>
          <w:tcPr>
            <w:tcW w:w="512" w:type="pct"/>
            <w:shd w:val="clear" w:color="auto" w:fill="auto"/>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120</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150</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180</w:t>
            </w:r>
          </w:p>
        </w:tc>
        <w:tc>
          <w:tcPr>
            <w:tcW w:w="1243" w:type="pct"/>
            <w:vMerge w:val="restart"/>
            <w:vAlign w:val="center"/>
          </w:tcPr>
          <w:p>
            <w:pPr>
              <w:jc w:val="center"/>
            </w:pPr>
            <w:r>
              <w:rPr>
                <w:rFonts w:hint="eastAsia"/>
              </w:rPr>
              <w:t>T/CECS 10107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jc w:val="center"/>
              <w:rPr>
                <w:color w:val="000000"/>
                <w:kern w:val="0"/>
                <w:sz w:val="18"/>
                <w:szCs w:val="18"/>
              </w:rPr>
            </w:pPr>
            <w:r>
              <w:rPr>
                <w:rFonts w:hint="eastAsia"/>
                <w:color w:val="000000"/>
                <w:kern w:val="0"/>
                <w:sz w:val="18"/>
                <w:szCs w:val="18"/>
              </w:rPr>
              <w:t>抗拉强度</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rFonts w:hint="eastAsia"/>
                <w:color w:val="000000"/>
                <w:kern w:val="0"/>
                <w:sz w:val="18"/>
                <w:szCs w:val="18"/>
              </w:rPr>
              <w:t>MPa</w:t>
            </w:r>
          </w:p>
        </w:tc>
        <w:tc>
          <w:tcPr>
            <w:tcW w:w="512" w:type="pct"/>
            <w:shd w:val="clear" w:color="auto" w:fill="auto"/>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5</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7</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10</w:t>
            </w:r>
          </w:p>
        </w:tc>
        <w:tc>
          <w:tcPr>
            <w:tcW w:w="1243"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jc w:val="center"/>
              <w:rPr>
                <w:color w:val="000000"/>
                <w:kern w:val="0"/>
                <w:sz w:val="18"/>
                <w:szCs w:val="18"/>
              </w:rPr>
            </w:pPr>
            <w:r>
              <w:rPr>
                <w:rFonts w:hint="eastAsia"/>
                <w:color w:val="000000"/>
                <w:kern w:val="0"/>
                <w:sz w:val="18"/>
                <w:szCs w:val="18"/>
              </w:rPr>
              <w:t>弹性模量</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rFonts w:hint="eastAsia"/>
                <w:color w:val="000000"/>
                <w:kern w:val="0"/>
                <w:sz w:val="18"/>
                <w:szCs w:val="18"/>
              </w:rPr>
              <w:t>GPa</w:t>
            </w:r>
          </w:p>
        </w:tc>
        <w:tc>
          <w:tcPr>
            <w:tcW w:w="1537" w:type="pct"/>
            <w:gridSpan w:val="3"/>
            <w:shd w:val="clear" w:color="auto" w:fill="auto"/>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40</w:t>
            </w:r>
          </w:p>
        </w:tc>
        <w:tc>
          <w:tcPr>
            <w:tcW w:w="1243" w:type="pct"/>
            <w:vMerge w:val="continue"/>
            <w:vAlign w:val="center"/>
          </w:tcPr>
          <w:p>
            <w:pPr>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widowControl/>
              <w:jc w:val="center"/>
              <w:rPr>
                <w:color w:val="000000"/>
                <w:kern w:val="0"/>
                <w:sz w:val="18"/>
                <w:szCs w:val="18"/>
              </w:rPr>
            </w:pPr>
            <w:r>
              <w:rPr>
                <w:rFonts w:ascii="STSong-Light" w:hAnsi="STSong-Light" w:cs="宋体"/>
                <w:color w:val="000000"/>
                <w:kern w:val="0"/>
                <w:sz w:val="18"/>
                <w:szCs w:val="18"/>
              </w:rPr>
              <w:t>氯离子扩散系数</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color w:val="000000"/>
                <w:kern w:val="0"/>
                <w:sz w:val="18"/>
                <w:szCs w:val="18"/>
              </w:rPr>
              <w:t>m</w:t>
            </w:r>
            <w:r>
              <w:rPr>
                <w:color w:val="000000"/>
                <w:kern w:val="0"/>
                <w:sz w:val="18"/>
                <w:szCs w:val="18"/>
                <w:vertAlign w:val="superscript"/>
              </w:rPr>
              <w:t>2</w:t>
            </w:r>
            <w:r>
              <w:rPr>
                <w:color w:val="000000"/>
                <w:kern w:val="0"/>
                <w:sz w:val="18"/>
                <w:szCs w:val="18"/>
              </w:rPr>
              <w:t>/s</w:t>
            </w:r>
          </w:p>
        </w:tc>
        <w:tc>
          <w:tcPr>
            <w:tcW w:w="1537" w:type="pct"/>
            <w:gridSpan w:val="3"/>
            <w:shd w:val="clear" w:color="auto" w:fill="auto"/>
            <w:noWrap/>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0.40</w:t>
            </w:r>
            <w:r>
              <w:rPr>
                <w:rFonts w:hint="eastAsia"/>
                <w:color w:val="000000"/>
                <w:kern w:val="0"/>
                <w:sz w:val="18"/>
                <w:szCs w:val="18"/>
              </w:rPr>
              <w:t>×1</w:t>
            </w:r>
            <w:r>
              <w:rPr>
                <w:color w:val="000000"/>
                <w:kern w:val="0"/>
                <w:sz w:val="18"/>
                <w:szCs w:val="18"/>
              </w:rPr>
              <w:t>0</w:t>
            </w:r>
            <w:r>
              <w:rPr>
                <w:rFonts w:hint="eastAsia"/>
                <w:color w:val="000000"/>
                <w:kern w:val="0"/>
                <w:sz w:val="18"/>
                <w:szCs w:val="18"/>
                <w:vertAlign w:val="superscript"/>
              </w:rPr>
              <w:t>-</w:t>
            </w:r>
            <w:r>
              <w:rPr>
                <w:color w:val="000000"/>
                <w:kern w:val="0"/>
                <w:sz w:val="18"/>
                <w:szCs w:val="18"/>
                <w:vertAlign w:val="superscript"/>
              </w:rPr>
              <w:t>12</w:t>
            </w:r>
          </w:p>
        </w:tc>
        <w:tc>
          <w:tcPr>
            <w:tcW w:w="1243" w:type="pct"/>
            <w:vMerge w:val="continue"/>
            <w:vAlign w:val="center"/>
          </w:tcPr>
          <w:p>
            <w:pPr>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restart"/>
            <w:shd w:val="clear" w:color="auto" w:fill="auto"/>
            <w:noWrap/>
            <w:vAlign w:val="center"/>
          </w:tcPr>
          <w:p>
            <w:pPr>
              <w:jc w:val="center"/>
              <w:rPr>
                <w:color w:val="000000"/>
                <w:kern w:val="0"/>
                <w:sz w:val="18"/>
                <w:szCs w:val="18"/>
              </w:rPr>
            </w:pPr>
            <w:r>
              <w:rPr>
                <w:rFonts w:hint="eastAsia"/>
                <w:color w:val="000000"/>
                <w:kern w:val="0"/>
                <w:sz w:val="18"/>
                <w:szCs w:val="18"/>
              </w:rPr>
              <w:t>非承重构件</w:t>
            </w:r>
          </w:p>
        </w:tc>
        <w:tc>
          <w:tcPr>
            <w:tcW w:w="773" w:type="pct"/>
            <w:shd w:val="clear" w:color="auto" w:fill="auto"/>
            <w:vAlign w:val="center"/>
          </w:tcPr>
          <w:p>
            <w:pPr>
              <w:widowControl/>
              <w:jc w:val="center"/>
              <w:rPr>
                <w:rFonts w:hint="eastAsia" w:ascii="STSong-Light" w:hAnsi="STSong-Light" w:cs="宋体"/>
                <w:color w:val="000000"/>
                <w:kern w:val="0"/>
                <w:sz w:val="18"/>
                <w:szCs w:val="18"/>
              </w:rPr>
            </w:pPr>
            <w:r>
              <w:rPr>
                <w:rFonts w:hint="eastAsia" w:ascii="STSong-Light" w:hAnsi="STSong-Light" w:cs="宋体"/>
                <w:color w:val="000000"/>
                <w:kern w:val="0"/>
                <w:sz w:val="18"/>
                <w:szCs w:val="18"/>
              </w:rPr>
              <w:t>抗弯极限强度</w:t>
            </w:r>
            <w:r>
              <w:rPr>
                <w:rFonts w:hint="eastAsia"/>
                <w:color w:val="000000"/>
                <w:kern w:val="0"/>
                <w:sz w:val="18"/>
                <w:szCs w:val="18"/>
              </w:rPr>
              <w:t>与允许限值的比值</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rFonts w:hint="eastAsia" w:hAnsi="宋体"/>
                <w:color w:val="000000"/>
                <w:kern w:val="0"/>
                <w:sz w:val="18"/>
                <w:szCs w:val="18"/>
              </w:rPr>
              <w:t>—</w:t>
            </w:r>
          </w:p>
        </w:tc>
        <w:tc>
          <w:tcPr>
            <w:tcW w:w="512" w:type="pct"/>
            <w:shd w:val="clear" w:color="auto" w:fill="auto"/>
            <w:noWrap/>
            <w:vAlign w:val="center"/>
          </w:tcPr>
          <w:p>
            <w:pPr>
              <w:jc w:val="center"/>
              <w:rPr>
                <w:color w:val="000000"/>
                <w:kern w:val="0"/>
                <w:sz w:val="18"/>
                <w:szCs w:val="18"/>
              </w:rPr>
            </w:pPr>
            <w:r>
              <w:rPr>
                <w:rFonts w:hint="eastAsia"/>
                <w:color w:val="000000"/>
                <w:kern w:val="0"/>
                <w:sz w:val="18"/>
                <w:szCs w:val="18"/>
              </w:rPr>
              <w:t>≥1</w:t>
            </w:r>
            <w:r>
              <w:rPr>
                <w:color w:val="000000"/>
                <w:kern w:val="0"/>
                <w:sz w:val="18"/>
                <w:szCs w:val="18"/>
              </w:rPr>
              <w:t>.0</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≥1</w:t>
            </w:r>
            <w:r>
              <w:rPr>
                <w:color w:val="000000"/>
                <w:kern w:val="0"/>
                <w:sz w:val="18"/>
                <w:szCs w:val="18"/>
              </w:rPr>
              <w:t>.1</w:t>
            </w:r>
          </w:p>
        </w:tc>
        <w:tc>
          <w:tcPr>
            <w:tcW w:w="512" w:type="pct"/>
            <w:shd w:val="clear" w:color="auto" w:fill="auto"/>
            <w:vAlign w:val="center"/>
          </w:tcPr>
          <w:p>
            <w:pPr>
              <w:jc w:val="center"/>
              <w:rPr>
                <w:color w:val="000000"/>
                <w:kern w:val="0"/>
                <w:sz w:val="18"/>
                <w:szCs w:val="18"/>
              </w:rPr>
            </w:pPr>
            <w:r>
              <w:rPr>
                <w:rFonts w:hint="eastAsia"/>
                <w:color w:val="000000"/>
                <w:kern w:val="0"/>
                <w:sz w:val="18"/>
                <w:szCs w:val="18"/>
              </w:rPr>
              <w:t>≥1</w:t>
            </w:r>
            <w:r>
              <w:rPr>
                <w:color w:val="000000"/>
                <w:kern w:val="0"/>
                <w:sz w:val="18"/>
                <w:szCs w:val="18"/>
              </w:rPr>
              <w:t>.2</w:t>
            </w:r>
          </w:p>
        </w:tc>
        <w:tc>
          <w:tcPr>
            <w:tcW w:w="1243" w:type="pct"/>
            <w:vMerge w:val="restart"/>
            <w:vAlign w:val="center"/>
          </w:tcPr>
          <w:p>
            <w:pPr>
              <w:jc w:val="center"/>
              <w:rPr>
                <w:color w:val="FF0000"/>
                <w:kern w:val="0"/>
                <w:sz w:val="18"/>
                <w:szCs w:val="18"/>
              </w:rPr>
            </w:pPr>
            <w:r>
              <w:rPr>
                <w:rFonts w:hint="eastAsia"/>
                <w:color w:val="000000"/>
                <w:kern w:val="0"/>
                <w:sz w:val="18"/>
                <w:szCs w:val="18"/>
              </w:rPr>
              <w:t>附录A中的A.</w:t>
            </w:r>
            <w:r>
              <w:rPr>
                <w:color w:val="000000"/>
                <w:kern w:val="0"/>
                <w:sz w:val="18"/>
                <w:szCs w:val="18"/>
              </w:rPr>
              <w:t>3</w:t>
            </w:r>
            <w:r>
              <w:rPr>
                <w:rFonts w:hint="eastAsia"/>
                <w:color w:val="000000"/>
                <w:kern w:val="0"/>
                <w:sz w:val="18"/>
                <w:szCs w:val="18"/>
              </w:rPr>
              <w:t>、A.</w:t>
            </w:r>
            <w:r>
              <w:rPr>
                <w:color w:val="000000"/>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widowControl/>
              <w:jc w:val="center"/>
              <w:rPr>
                <w:rFonts w:hint="eastAsia" w:ascii="STSong-Light" w:hAnsi="STSong-Light" w:cs="宋体"/>
                <w:color w:val="FF0000"/>
                <w:kern w:val="0"/>
                <w:sz w:val="18"/>
                <w:szCs w:val="18"/>
              </w:rPr>
            </w:pPr>
            <w:r>
              <w:rPr>
                <w:rFonts w:hint="eastAsia" w:ascii="STSong-Light" w:hAnsi="STSong-Light" w:cs="宋体"/>
                <w:color w:val="000000" w:themeColor="text1"/>
                <w:kern w:val="0"/>
                <w:sz w:val="18"/>
                <w:szCs w:val="18"/>
                <w14:textFill>
                  <w14:solidFill>
                    <w14:schemeClr w14:val="tx1"/>
                  </w14:solidFill>
                </w14:textFill>
              </w:rPr>
              <w:t>吸水率</w:t>
            </w:r>
            <w:r>
              <w:rPr>
                <w:rFonts w:hint="eastAsia"/>
                <w:color w:val="000000" w:themeColor="text1"/>
                <w:kern w:val="0"/>
                <w:sz w:val="18"/>
                <w:szCs w:val="18"/>
                <w14:textFill>
                  <w14:solidFill>
                    <w14:schemeClr w14:val="tx1"/>
                  </w14:solidFill>
                </w14:textFill>
              </w:rPr>
              <w:t>与允许限值</w:t>
            </w:r>
            <w:r>
              <w:rPr>
                <w:rFonts w:hint="eastAsia"/>
                <w:color w:val="000000"/>
                <w:kern w:val="0"/>
                <w:sz w:val="18"/>
                <w:szCs w:val="18"/>
              </w:rPr>
              <w:t>的比值</w:t>
            </w:r>
          </w:p>
        </w:tc>
        <w:tc>
          <w:tcPr>
            <w:tcW w:w="508" w:type="pct"/>
            <w:shd w:val="clear" w:color="auto" w:fill="auto"/>
            <w:noWrap/>
            <w:vAlign w:val="center"/>
          </w:tcPr>
          <w:p>
            <w:pPr>
              <w:widowControl/>
              <w:tabs>
                <w:tab w:val="center" w:pos="4201"/>
                <w:tab w:val="right" w:leader="dot" w:pos="9298"/>
              </w:tabs>
              <w:autoSpaceDE w:val="0"/>
              <w:autoSpaceDN w:val="0"/>
              <w:jc w:val="center"/>
              <w:rPr>
                <w:color w:val="FF0000"/>
                <w:kern w:val="0"/>
                <w:sz w:val="18"/>
                <w:szCs w:val="18"/>
              </w:rPr>
            </w:pPr>
            <w:r>
              <w:rPr>
                <w:rFonts w:hint="eastAsia" w:hAnsi="宋体"/>
                <w:color w:val="000000"/>
                <w:kern w:val="0"/>
                <w:sz w:val="18"/>
                <w:szCs w:val="18"/>
              </w:rPr>
              <w:t>—</w:t>
            </w:r>
          </w:p>
        </w:tc>
        <w:tc>
          <w:tcPr>
            <w:tcW w:w="512" w:type="pct"/>
            <w:shd w:val="clear" w:color="auto" w:fill="auto"/>
            <w:noWrap/>
            <w:vAlign w:val="center"/>
          </w:tcPr>
          <w:p>
            <w:pPr>
              <w:jc w:val="center"/>
              <w:rPr>
                <w:color w:val="FF0000"/>
                <w:kern w:val="0"/>
                <w:sz w:val="18"/>
                <w:szCs w:val="18"/>
              </w:rPr>
            </w:pPr>
            <w:r>
              <w:rPr>
                <w:rFonts w:hint="eastAsia"/>
                <w:color w:val="000000"/>
                <w:kern w:val="0"/>
                <w:sz w:val="18"/>
                <w:szCs w:val="18"/>
              </w:rPr>
              <w:t>≤</w:t>
            </w:r>
            <w:r>
              <w:rPr>
                <w:color w:val="000000"/>
                <w:kern w:val="0"/>
                <w:sz w:val="18"/>
                <w:szCs w:val="18"/>
              </w:rPr>
              <w:t>1.0</w:t>
            </w:r>
          </w:p>
        </w:tc>
        <w:tc>
          <w:tcPr>
            <w:tcW w:w="512" w:type="pct"/>
            <w:shd w:val="clear" w:color="auto" w:fill="auto"/>
            <w:vAlign w:val="center"/>
          </w:tcPr>
          <w:p>
            <w:pPr>
              <w:jc w:val="center"/>
              <w:rPr>
                <w:color w:val="FF0000"/>
                <w:kern w:val="0"/>
                <w:sz w:val="18"/>
                <w:szCs w:val="18"/>
              </w:rPr>
            </w:pPr>
            <w:r>
              <w:rPr>
                <w:rFonts w:hint="eastAsia"/>
                <w:color w:val="000000"/>
                <w:kern w:val="0"/>
                <w:sz w:val="18"/>
                <w:szCs w:val="18"/>
              </w:rPr>
              <w:t>≤0</w:t>
            </w:r>
            <w:r>
              <w:rPr>
                <w:color w:val="000000"/>
                <w:kern w:val="0"/>
                <w:sz w:val="18"/>
                <w:szCs w:val="18"/>
              </w:rPr>
              <w:t>.9</w:t>
            </w:r>
          </w:p>
        </w:tc>
        <w:tc>
          <w:tcPr>
            <w:tcW w:w="512" w:type="pct"/>
            <w:shd w:val="clear" w:color="auto" w:fill="auto"/>
            <w:vAlign w:val="center"/>
          </w:tcPr>
          <w:p>
            <w:pPr>
              <w:jc w:val="center"/>
              <w:rPr>
                <w:color w:val="FF0000"/>
                <w:kern w:val="0"/>
                <w:sz w:val="18"/>
                <w:szCs w:val="18"/>
              </w:rPr>
            </w:pPr>
            <w:r>
              <w:rPr>
                <w:rFonts w:hint="eastAsia"/>
                <w:color w:val="000000"/>
                <w:kern w:val="0"/>
                <w:sz w:val="18"/>
                <w:szCs w:val="18"/>
              </w:rPr>
              <w:t>≤0</w:t>
            </w:r>
            <w:r>
              <w:rPr>
                <w:color w:val="000000"/>
                <w:kern w:val="0"/>
                <w:sz w:val="18"/>
                <w:szCs w:val="18"/>
              </w:rPr>
              <w:t>.8</w:t>
            </w:r>
          </w:p>
        </w:tc>
        <w:tc>
          <w:tcPr>
            <w:tcW w:w="1243" w:type="pct"/>
            <w:vMerge w:val="continue"/>
            <w:vAlign w:val="center"/>
          </w:tcPr>
          <w:p>
            <w:pPr>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widowControl/>
              <w:jc w:val="center"/>
              <w:rPr>
                <w:rFonts w:hint="eastAsia" w:ascii="STSong-Light" w:hAnsi="STSong-Light" w:cs="宋体"/>
                <w:color w:val="000000"/>
                <w:kern w:val="0"/>
                <w:sz w:val="18"/>
                <w:szCs w:val="18"/>
              </w:rPr>
            </w:pPr>
            <w:r>
              <w:rPr>
                <w:rFonts w:hint="eastAsia" w:ascii="STSong-Light" w:hAnsi="STSong-Light" w:cs="宋体"/>
                <w:color w:val="000000"/>
                <w:kern w:val="0"/>
                <w:sz w:val="18"/>
                <w:szCs w:val="18"/>
              </w:rPr>
              <w:t>抗冻性</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rFonts w:hint="eastAsia" w:hAnsi="宋体"/>
                <w:color w:val="000000"/>
                <w:kern w:val="0"/>
                <w:sz w:val="18"/>
                <w:szCs w:val="18"/>
              </w:rPr>
              <w:t>—</w:t>
            </w:r>
          </w:p>
        </w:tc>
        <w:tc>
          <w:tcPr>
            <w:tcW w:w="1537" w:type="pct"/>
            <w:gridSpan w:val="3"/>
            <w:shd w:val="clear" w:color="auto" w:fill="auto"/>
            <w:noWrap/>
            <w:vAlign w:val="center"/>
          </w:tcPr>
          <w:p>
            <w:pPr>
              <w:jc w:val="center"/>
              <w:rPr>
                <w:color w:val="000000"/>
                <w:kern w:val="0"/>
                <w:sz w:val="18"/>
                <w:szCs w:val="18"/>
              </w:rPr>
            </w:pPr>
            <w:r>
              <w:rPr>
                <w:rFonts w:hint="eastAsia"/>
                <w:color w:val="000000"/>
                <w:kern w:val="0"/>
                <w:sz w:val="18"/>
                <w:szCs w:val="18"/>
              </w:rPr>
              <w:t>冻融循环200次后，无起层、剥落等破坏现象</w:t>
            </w:r>
          </w:p>
        </w:tc>
        <w:tc>
          <w:tcPr>
            <w:tcW w:w="1243" w:type="pct"/>
            <w:vMerge w:val="continue"/>
            <w:vAlign w:val="center"/>
          </w:tcPr>
          <w:p>
            <w:pPr>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40" w:type="pct"/>
            <w:vMerge w:val="continue"/>
            <w:shd w:val="clear" w:color="auto" w:fill="auto"/>
            <w:noWrap/>
            <w:vAlign w:val="center"/>
          </w:tcPr>
          <w:p>
            <w:pPr>
              <w:jc w:val="center"/>
              <w:rPr>
                <w:rFonts w:hAnsi="宋体"/>
                <w:color w:val="000000"/>
                <w:kern w:val="0"/>
                <w:sz w:val="18"/>
                <w:szCs w:val="18"/>
              </w:rPr>
            </w:pPr>
          </w:p>
        </w:tc>
        <w:tc>
          <w:tcPr>
            <w:tcW w:w="496" w:type="pct"/>
            <w:vMerge w:val="continue"/>
            <w:shd w:val="clear" w:color="auto" w:fill="auto"/>
            <w:noWrap/>
            <w:vAlign w:val="center"/>
          </w:tcPr>
          <w:p>
            <w:pPr>
              <w:jc w:val="center"/>
              <w:rPr>
                <w:color w:val="000000"/>
                <w:kern w:val="0"/>
                <w:sz w:val="18"/>
                <w:szCs w:val="18"/>
              </w:rPr>
            </w:pPr>
          </w:p>
        </w:tc>
        <w:tc>
          <w:tcPr>
            <w:tcW w:w="773" w:type="pct"/>
            <w:shd w:val="clear" w:color="auto" w:fill="auto"/>
            <w:vAlign w:val="center"/>
          </w:tcPr>
          <w:p>
            <w:pPr>
              <w:widowControl/>
              <w:jc w:val="center"/>
              <w:rPr>
                <w:rFonts w:hint="eastAsia" w:ascii="STSong-Light" w:hAnsi="STSong-Light" w:cs="宋体"/>
                <w:color w:val="000000"/>
                <w:kern w:val="0"/>
                <w:sz w:val="18"/>
                <w:szCs w:val="18"/>
              </w:rPr>
            </w:pPr>
            <w:r>
              <w:rPr>
                <w:rFonts w:hint="eastAsia" w:ascii="STSong-Light" w:hAnsi="STSong-Light" w:cs="宋体"/>
                <w:color w:val="000000"/>
                <w:kern w:val="0"/>
                <w:sz w:val="18"/>
                <w:szCs w:val="18"/>
              </w:rPr>
              <w:t>收缩率</w:t>
            </w:r>
          </w:p>
        </w:tc>
        <w:tc>
          <w:tcPr>
            <w:tcW w:w="508" w:type="pct"/>
            <w:shd w:val="clear" w:color="auto" w:fill="auto"/>
            <w:noWrap/>
            <w:vAlign w:val="center"/>
          </w:tcPr>
          <w:p>
            <w:pPr>
              <w:widowControl/>
              <w:tabs>
                <w:tab w:val="center" w:pos="4201"/>
                <w:tab w:val="right" w:leader="dot" w:pos="9298"/>
              </w:tabs>
              <w:autoSpaceDE w:val="0"/>
              <w:autoSpaceDN w:val="0"/>
              <w:jc w:val="center"/>
              <w:rPr>
                <w:color w:val="000000"/>
                <w:kern w:val="0"/>
                <w:sz w:val="18"/>
                <w:szCs w:val="18"/>
              </w:rPr>
            </w:pPr>
            <w:r>
              <w:rPr>
                <w:color w:val="000000"/>
                <w:kern w:val="0"/>
                <w:sz w:val="18"/>
                <w:szCs w:val="18"/>
              </w:rPr>
              <w:t>%</w:t>
            </w:r>
          </w:p>
        </w:tc>
        <w:tc>
          <w:tcPr>
            <w:tcW w:w="1537" w:type="pct"/>
            <w:gridSpan w:val="3"/>
            <w:shd w:val="clear" w:color="auto" w:fill="auto"/>
            <w:noWrap/>
            <w:vAlign w:val="center"/>
          </w:tcPr>
          <w:p>
            <w:pPr>
              <w:jc w:val="center"/>
              <w:rPr>
                <w:color w:val="000000"/>
                <w:kern w:val="0"/>
                <w:sz w:val="18"/>
                <w:szCs w:val="18"/>
              </w:rPr>
            </w:pPr>
            <w:r>
              <w:rPr>
                <w:color w:val="000000"/>
                <w:kern w:val="0"/>
                <w:sz w:val="18"/>
                <w:szCs w:val="18"/>
              </w:rPr>
              <w:t>0.06</w:t>
            </w:r>
          </w:p>
        </w:tc>
        <w:tc>
          <w:tcPr>
            <w:tcW w:w="1243" w:type="pct"/>
            <w:vMerge w:val="continue"/>
            <w:vAlign w:val="center"/>
          </w:tcPr>
          <w:p>
            <w:pPr>
              <w:jc w:val="center"/>
              <w:rPr>
                <w:color w:val="000000"/>
                <w:kern w:val="0"/>
                <w:sz w:val="18"/>
                <w:szCs w:val="18"/>
              </w:rPr>
            </w:pPr>
          </w:p>
        </w:tc>
      </w:tr>
      <w:bookmarkEnd w:id="79"/>
      <w:bookmarkEnd w:id="80"/>
      <w:bookmarkEnd w:id="81"/>
      <w:bookmarkEnd w:id="82"/>
      <w:bookmarkEnd w:id="83"/>
      <w:bookmarkEnd w:id="84"/>
      <w:bookmarkEnd w:id="85"/>
      <w:bookmarkEnd w:id="86"/>
      <w:bookmarkEnd w:id="87"/>
    </w:tbl>
    <w:p>
      <w:pPr>
        <w:pStyle w:val="136"/>
        <w:numPr>
          <w:ilvl w:val="0"/>
          <w:numId w:val="17"/>
        </w:numPr>
        <w:tabs>
          <w:tab w:val="left" w:pos="0"/>
        </w:tabs>
        <w:spacing w:before="312" w:after="312"/>
        <w:ind w:left="0" w:firstLine="0"/>
        <w:outlineLvl w:val="0"/>
        <w:rPr>
          <w:color w:val="000000"/>
        </w:rPr>
      </w:pPr>
      <w:bookmarkStart w:id="88" w:name="_Toc134449224"/>
      <w:bookmarkStart w:id="89" w:name="_Toc384816571"/>
      <w:bookmarkStart w:id="90" w:name="_Toc360632449"/>
      <w:bookmarkStart w:id="91" w:name="_Toc350864010"/>
      <w:bookmarkStart w:id="92" w:name="_Toc396134056"/>
      <w:bookmarkStart w:id="93" w:name="_Toc360436858"/>
      <w:bookmarkStart w:id="94" w:name="_Toc360436771"/>
      <w:r>
        <w:rPr>
          <w:rFonts w:hint="eastAsia"/>
          <w:color w:val="000000"/>
        </w:rPr>
        <w:t>评价方法</w:t>
      </w:r>
      <w:bookmarkEnd w:id="88"/>
    </w:p>
    <w:p>
      <w:pPr>
        <w:pStyle w:val="95"/>
        <w:adjustRightInd w:val="0"/>
        <w:snapToGrid w:val="0"/>
        <w:spacing w:before="0" w:beforeLines="0" w:after="0" w:afterLines="0" w:line="360" w:lineRule="auto"/>
        <w:outlineLvl w:val="9"/>
        <w:rPr>
          <w:rFonts w:ascii="Times New Roman" w:eastAsia="宋体"/>
        </w:rPr>
      </w:pPr>
      <w:r>
        <w:rPr>
          <w:rFonts w:hint="eastAsia" w:ascii="Times New Roman" w:eastAsia="宋体"/>
        </w:rPr>
        <w:t>5.</w:t>
      </w:r>
      <w:r>
        <w:rPr>
          <w:rFonts w:ascii="Times New Roman" w:eastAsia="宋体"/>
        </w:rPr>
        <w:t xml:space="preserve">1 </w:t>
      </w:r>
      <w:r>
        <w:rPr>
          <w:rFonts w:hint="eastAsia" w:ascii="Times New Roman" w:eastAsia="宋体"/>
        </w:rPr>
        <w:t>生产企业满足第4章</w:t>
      </w:r>
      <w:r>
        <w:rPr>
          <w:rFonts w:ascii="Times New Roman" w:eastAsia="宋体"/>
        </w:rPr>
        <w:t>对应</w:t>
      </w:r>
      <w:r>
        <w:rPr>
          <w:rFonts w:hint="eastAsia" w:ascii="Times New Roman" w:eastAsia="宋体"/>
        </w:rPr>
        <w:t>评价等级的全部要求时，判定评价结果符合该评价等级规定。</w:t>
      </w:r>
    </w:p>
    <w:p>
      <w:pPr>
        <w:pStyle w:val="26"/>
        <w:spacing w:line="360" w:lineRule="auto"/>
        <w:ind w:firstLine="0" w:firstLineChars="0"/>
      </w:pPr>
      <w:r>
        <w:t xml:space="preserve">5.2 </w:t>
      </w:r>
      <w:r>
        <w:rPr>
          <w:rFonts w:hint="eastAsia" w:ascii="Times New Roman"/>
        </w:rPr>
        <w:t>生产企业应按第4章的规定提供相关证明文件。</w:t>
      </w:r>
    </w:p>
    <w:bookmarkEnd w:id="89"/>
    <w:bookmarkEnd w:id="90"/>
    <w:bookmarkEnd w:id="91"/>
    <w:bookmarkEnd w:id="92"/>
    <w:bookmarkEnd w:id="93"/>
    <w:bookmarkEnd w:id="94"/>
    <w:p>
      <w:pPr>
        <w:spacing w:line="520" w:lineRule="exact"/>
        <w:jc w:val="center"/>
        <w:outlineLvl w:val="0"/>
        <w:rPr>
          <w:b/>
          <w:szCs w:val="21"/>
        </w:rPr>
      </w:pPr>
      <w:r>
        <w:rPr>
          <w:szCs w:val="21"/>
        </w:rPr>
        <w:br w:type="page"/>
      </w:r>
      <w:bookmarkStart w:id="95" w:name="_Toc134449225"/>
      <w:r>
        <w:rPr>
          <w:rFonts w:hint="eastAsia"/>
          <w:b/>
          <w:szCs w:val="21"/>
        </w:rPr>
        <w:t>附录</w:t>
      </w:r>
      <w:r>
        <w:rPr>
          <w:b/>
          <w:szCs w:val="21"/>
        </w:rPr>
        <w:t>A</w:t>
      </w:r>
      <w:bookmarkEnd w:id="95"/>
    </w:p>
    <w:p>
      <w:pPr>
        <w:spacing w:line="520" w:lineRule="exact"/>
        <w:jc w:val="center"/>
        <w:outlineLvl w:val="0"/>
        <w:rPr>
          <w:b/>
          <w:szCs w:val="21"/>
        </w:rPr>
      </w:pPr>
      <w:bookmarkStart w:id="96" w:name="_Toc134449226"/>
      <w:r>
        <w:rPr>
          <w:rFonts w:hint="eastAsia"/>
          <w:b/>
          <w:szCs w:val="21"/>
        </w:rPr>
        <w:t>（规范性）</w:t>
      </w:r>
      <w:bookmarkEnd w:id="96"/>
    </w:p>
    <w:p>
      <w:pPr>
        <w:spacing w:line="520" w:lineRule="exact"/>
        <w:jc w:val="center"/>
        <w:outlineLvl w:val="0"/>
        <w:rPr>
          <w:b/>
          <w:szCs w:val="21"/>
        </w:rPr>
      </w:pPr>
      <w:bookmarkStart w:id="97" w:name="_Toc134449227"/>
      <w:r>
        <w:rPr>
          <w:rFonts w:hint="eastAsia"/>
          <w:b/>
          <w:szCs w:val="21"/>
        </w:rPr>
        <w:t>UHPC非承重构件基本性能</w:t>
      </w:r>
      <w:bookmarkEnd w:id="97"/>
    </w:p>
    <w:p>
      <w:pPr>
        <w:pStyle w:val="184"/>
        <w:outlineLvl w:val="1"/>
        <w:rPr>
          <w:rFonts w:ascii="黑体" w:hAnsi="黑体" w:eastAsia="黑体"/>
        </w:rPr>
      </w:pPr>
      <w:r>
        <w:rPr>
          <w:rFonts w:hint="eastAsia" w:ascii="黑体" w:hAnsi="黑体" w:eastAsia="黑体"/>
        </w:rPr>
        <w:t>A</w:t>
      </w:r>
      <w:r>
        <w:rPr>
          <w:rFonts w:ascii="黑体" w:hAnsi="黑体" w:eastAsia="黑体"/>
        </w:rPr>
        <w:t>.1外观</w:t>
      </w:r>
    </w:p>
    <w:p>
      <w:pPr>
        <w:adjustRightInd w:val="0"/>
        <w:snapToGrid w:val="0"/>
        <w:spacing w:line="360" w:lineRule="auto"/>
        <w:jc w:val="left"/>
        <w:rPr>
          <w:smallCaps/>
        </w:rPr>
      </w:pPr>
      <w:r>
        <w:rPr>
          <w:rFonts w:hint="eastAsia"/>
          <w:szCs w:val="21"/>
        </w:rPr>
        <w:t>A.1.1</w:t>
      </w:r>
      <w:r>
        <w:rPr>
          <w:szCs w:val="21"/>
        </w:rPr>
        <w:t xml:space="preserve">  UHPC非承重构件</w:t>
      </w:r>
      <w:r>
        <w:rPr>
          <w:rFonts w:hAnsi="宋体"/>
          <w:smallCaps/>
        </w:rPr>
        <w:t>边缘应整齐；</w:t>
      </w:r>
      <w:r>
        <w:rPr>
          <w:rFonts w:hAnsi="宋体"/>
          <w:szCs w:val="21"/>
        </w:rPr>
        <w:t>外观面</w:t>
      </w:r>
      <w:r>
        <w:rPr>
          <w:szCs w:val="21"/>
        </w:rPr>
        <w:t>1m处目测</w:t>
      </w:r>
      <w:r>
        <w:rPr>
          <w:rFonts w:hAnsi="宋体"/>
          <w:szCs w:val="21"/>
        </w:rPr>
        <w:t>不应</w:t>
      </w:r>
      <w:r>
        <w:rPr>
          <w:rFonts w:hAnsi="宋体"/>
          <w:smallCaps/>
        </w:rPr>
        <w:t>有缺棱掉角</w:t>
      </w:r>
      <w:r>
        <w:rPr>
          <w:rFonts w:hint="eastAsia" w:hAnsi="宋体"/>
          <w:smallCaps/>
        </w:rPr>
        <w:t>、</w:t>
      </w:r>
      <w:r>
        <w:rPr>
          <w:rFonts w:hAnsi="宋体"/>
          <w:szCs w:val="21"/>
        </w:rPr>
        <w:t>裂纹、蜂窝麻面和飞边毛刺</w:t>
      </w:r>
      <w:r>
        <w:rPr>
          <w:rFonts w:hint="eastAsia" w:hAnsi="宋体"/>
          <w:szCs w:val="21"/>
        </w:rPr>
        <w:t>，</w:t>
      </w:r>
      <w:r>
        <w:rPr>
          <w:szCs w:val="21"/>
        </w:rPr>
        <w:t>3m处目测</w:t>
      </w:r>
      <w:r>
        <w:rPr>
          <w:rFonts w:hint="eastAsia"/>
          <w:szCs w:val="21"/>
        </w:rPr>
        <w:t>应无</w:t>
      </w:r>
      <w:r>
        <w:rPr>
          <w:rFonts w:hAnsi="宋体"/>
          <w:szCs w:val="21"/>
        </w:rPr>
        <w:t>明显色差；</w:t>
      </w:r>
    </w:p>
    <w:p>
      <w:pPr>
        <w:adjustRightInd w:val="0"/>
        <w:snapToGrid w:val="0"/>
        <w:spacing w:line="360" w:lineRule="auto"/>
        <w:jc w:val="left"/>
        <w:rPr>
          <w:smallCaps/>
        </w:rPr>
      </w:pPr>
      <w:r>
        <w:rPr>
          <w:rFonts w:hint="eastAsia"/>
          <w:szCs w:val="21"/>
        </w:rPr>
        <w:t>A.1.</w:t>
      </w:r>
      <w:r>
        <w:rPr>
          <w:szCs w:val="21"/>
        </w:rPr>
        <w:t>2  UHPC非承重构件</w:t>
      </w:r>
      <w:r>
        <w:rPr>
          <w:rFonts w:hAnsi="宋体"/>
          <w:smallCaps/>
        </w:rPr>
        <w:t>侧面接缝部位不应有孔洞；表面孔洞的长度不应大于</w:t>
      </w:r>
      <w:r>
        <w:rPr>
          <w:smallCaps/>
        </w:rPr>
        <w:t>3</w:t>
      </w:r>
      <w:r>
        <w:t>mm</w:t>
      </w:r>
      <w:r>
        <w:rPr>
          <w:rFonts w:hAnsi="宋体"/>
          <w:smallCaps/>
        </w:rPr>
        <w:t>、深度不应大于</w:t>
      </w:r>
      <w:r>
        <w:rPr>
          <w:smallCaps/>
        </w:rPr>
        <w:t>2</w:t>
      </w:r>
      <w:r>
        <w:t>mm</w:t>
      </w:r>
      <w:r>
        <w:rPr>
          <w:rFonts w:hAnsi="宋体"/>
          <w:smallCaps/>
        </w:rPr>
        <w:t>，且孔洞不应多于</w:t>
      </w:r>
      <w:r>
        <w:rPr>
          <w:smallCaps/>
        </w:rPr>
        <w:t>1</w:t>
      </w:r>
      <w:r>
        <w:rPr>
          <w:rFonts w:hAnsi="宋体"/>
          <w:smallCaps/>
        </w:rPr>
        <w:t>处</w:t>
      </w:r>
      <w:r>
        <w:rPr>
          <w:smallCaps/>
        </w:rPr>
        <w:t>/</w:t>
      </w:r>
      <w:r>
        <w:t>m</w:t>
      </w:r>
      <w:r>
        <w:rPr>
          <w:smallCaps/>
          <w:vertAlign w:val="superscript"/>
        </w:rPr>
        <w:t>2</w:t>
      </w:r>
      <w:r>
        <w:rPr>
          <w:rFonts w:hAnsi="宋体"/>
          <w:smallCaps/>
        </w:rPr>
        <w:t>；</w:t>
      </w:r>
    </w:p>
    <w:p>
      <w:pPr>
        <w:adjustRightInd w:val="0"/>
        <w:snapToGrid w:val="0"/>
        <w:spacing w:line="360" w:lineRule="auto"/>
        <w:jc w:val="left"/>
        <w:rPr>
          <w:smallCaps/>
        </w:rPr>
      </w:pPr>
      <w:r>
        <w:rPr>
          <w:rFonts w:hint="eastAsia"/>
          <w:szCs w:val="21"/>
        </w:rPr>
        <w:t>A.1.</w:t>
      </w:r>
      <w:r>
        <w:rPr>
          <w:szCs w:val="21"/>
        </w:rPr>
        <w:t>3  UHPC非承重构件</w:t>
      </w:r>
      <w:r>
        <w:rPr>
          <w:rFonts w:hAnsi="宋体"/>
          <w:smallCaps/>
        </w:rPr>
        <w:t>表面有特殊装饰效果要求时可由供需双方确定。</w:t>
      </w:r>
    </w:p>
    <w:p>
      <w:pPr>
        <w:pStyle w:val="184"/>
        <w:outlineLvl w:val="1"/>
        <w:rPr>
          <w:rFonts w:ascii="黑体" w:hAnsi="黑体" w:eastAsia="黑体"/>
        </w:rPr>
      </w:pPr>
      <w:r>
        <w:rPr>
          <w:rFonts w:hint="eastAsia" w:ascii="黑体" w:hAnsi="黑体" w:eastAsia="黑体"/>
        </w:rPr>
        <w:t>A</w:t>
      </w:r>
      <w:r>
        <w:rPr>
          <w:rFonts w:ascii="黑体" w:hAnsi="黑体" w:eastAsia="黑体"/>
        </w:rPr>
        <w:t>.2尺寸允许偏差</w:t>
      </w:r>
    </w:p>
    <w:p>
      <w:pPr>
        <w:pStyle w:val="26"/>
        <w:spacing w:line="360" w:lineRule="auto"/>
      </w:pPr>
      <w:r>
        <w:rPr>
          <w:rFonts w:ascii="黑体" w:hAnsi="Times New Roman"/>
          <w:color w:val="000000"/>
          <w:szCs w:val="20"/>
        </w:rPr>
        <w:t>尺寸允许偏差应符合表</w:t>
      </w:r>
      <w:r>
        <w:rPr>
          <w:rFonts w:hint="eastAsia" w:ascii="黑体" w:hAnsi="Times New Roman"/>
          <w:color w:val="000000"/>
          <w:szCs w:val="20"/>
        </w:rPr>
        <w:t>A</w:t>
      </w:r>
      <w:r>
        <w:rPr>
          <w:rFonts w:ascii="黑体" w:hAnsi="Times New Roman"/>
          <w:color w:val="000000"/>
          <w:szCs w:val="20"/>
        </w:rPr>
        <w:t>.1的规定。</w:t>
      </w:r>
    </w:p>
    <w:p>
      <w:pPr>
        <w:tabs>
          <w:tab w:val="left" w:pos="3450"/>
          <w:tab w:val="center" w:pos="5007"/>
        </w:tabs>
        <w:adjustRightInd w:val="0"/>
        <w:snapToGrid w:val="0"/>
        <w:spacing w:line="360" w:lineRule="auto"/>
        <w:jc w:val="center"/>
        <w:rPr>
          <w:b/>
        </w:rPr>
      </w:pPr>
      <w:r>
        <w:rPr>
          <w:rFonts w:hAnsi="宋体"/>
          <w:b/>
        </w:rPr>
        <w:t>表</w:t>
      </w:r>
      <w:r>
        <w:rPr>
          <w:rFonts w:hint="eastAsia" w:hAnsi="宋体"/>
          <w:b/>
        </w:rPr>
        <w:t>A</w:t>
      </w:r>
      <w:r>
        <w:rPr>
          <w:b/>
        </w:rPr>
        <w:t xml:space="preserve">.1  </w:t>
      </w:r>
      <w:r>
        <w:rPr>
          <w:rFonts w:hAnsi="宋体"/>
          <w:b/>
        </w:rPr>
        <w:t>尺寸允许偏差</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6"/>
        <w:gridCol w:w="4212"/>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项目</w:t>
            </w:r>
          </w:p>
        </w:tc>
        <w:tc>
          <w:tcPr>
            <w:tcW w:w="4212" w:type="dxa"/>
            <w:vAlign w:val="center"/>
          </w:tcPr>
          <w:p>
            <w:pPr>
              <w:adjustRightInd w:val="0"/>
              <w:snapToGrid w:val="0"/>
              <w:spacing w:line="360" w:lineRule="auto"/>
              <w:jc w:val="center"/>
              <w:rPr>
                <w:sz w:val="18"/>
                <w:szCs w:val="18"/>
              </w:rPr>
            </w:pPr>
            <w:r>
              <w:rPr>
                <w:rFonts w:hAnsi="宋体"/>
                <w:sz w:val="18"/>
                <w:szCs w:val="18"/>
              </w:rPr>
              <w:t>允许偏差</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长度</w:t>
            </w:r>
          </w:p>
        </w:tc>
        <w:tc>
          <w:tcPr>
            <w:tcW w:w="4212" w:type="dxa"/>
            <w:vAlign w:val="center"/>
          </w:tcPr>
          <w:p>
            <w:pPr>
              <w:adjustRightInd w:val="0"/>
              <w:snapToGrid w:val="0"/>
              <w:spacing w:line="360" w:lineRule="auto"/>
              <w:rPr>
                <w:sz w:val="18"/>
                <w:szCs w:val="18"/>
              </w:rPr>
            </w:pPr>
            <w:r>
              <w:rPr>
                <w:rFonts w:hAnsi="宋体"/>
                <w:sz w:val="18"/>
                <w:szCs w:val="18"/>
              </w:rPr>
              <w:t>长度</w:t>
            </w:r>
            <w:r>
              <w:rPr>
                <w:sz w:val="18"/>
                <w:szCs w:val="18"/>
              </w:rPr>
              <w:t>≤2m</w:t>
            </w:r>
            <w:r>
              <w:rPr>
                <w:rFonts w:hAnsi="宋体"/>
                <w:sz w:val="18"/>
                <w:szCs w:val="18"/>
              </w:rPr>
              <w:t>时，允许偏差：</w:t>
            </w:r>
            <w:r>
              <w:rPr>
                <w:sz w:val="18"/>
                <w:szCs w:val="18"/>
              </w:rPr>
              <w:t>±2mm/m</w:t>
            </w:r>
            <w:r>
              <w:rPr>
                <w:rFonts w:hAnsi="宋体"/>
                <w:sz w:val="18"/>
                <w:szCs w:val="18"/>
              </w:rPr>
              <w:t>；</w:t>
            </w:r>
          </w:p>
          <w:p>
            <w:pPr>
              <w:adjustRightInd w:val="0"/>
              <w:snapToGrid w:val="0"/>
              <w:spacing w:line="360" w:lineRule="auto"/>
              <w:rPr>
                <w:sz w:val="18"/>
                <w:szCs w:val="18"/>
              </w:rPr>
            </w:pPr>
            <w:r>
              <w:rPr>
                <w:rFonts w:hAnsi="宋体"/>
                <w:sz w:val="18"/>
                <w:szCs w:val="18"/>
              </w:rPr>
              <w:t>长度＞</w:t>
            </w:r>
            <w:r>
              <w:rPr>
                <w:sz w:val="18"/>
                <w:szCs w:val="18"/>
              </w:rPr>
              <w:t>2m</w:t>
            </w:r>
            <w:r>
              <w:rPr>
                <w:rFonts w:hAnsi="宋体"/>
                <w:sz w:val="18"/>
                <w:szCs w:val="18"/>
              </w:rPr>
              <w:t>时，总的允许偏差：</w:t>
            </w:r>
            <w:r>
              <w:rPr>
                <w:sz w:val="18"/>
                <w:szCs w:val="18"/>
              </w:rPr>
              <w:t>≤4mm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宽度</w:t>
            </w:r>
            <w:r>
              <w:rPr>
                <w:sz w:val="18"/>
                <w:szCs w:val="18"/>
              </w:rPr>
              <w:t>/</w:t>
            </w:r>
            <w:r>
              <w:rPr>
                <w:rFonts w:hAnsi="宋体"/>
                <w:sz w:val="18"/>
                <w:szCs w:val="18"/>
              </w:rPr>
              <w:t>高度</w:t>
            </w:r>
          </w:p>
        </w:tc>
        <w:tc>
          <w:tcPr>
            <w:tcW w:w="4212" w:type="dxa"/>
            <w:vAlign w:val="center"/>
          </w:tcPr>
          <w:p>
            <w:pPr>
              <w:adjustRightInd w:val="0"/>
              <w:snapToGrid w:val="0"/>
              <w:spacing w:line="360" w:lineRule="auto"/>
              <w:rPr>
                <w:sz w:val="18"/>
                <w:szCs w:val="18"/>
              </w:rPr>
            </w:pPr>
            <w:r>
              <w:rPr>
                <w:rFonts w:hAnsi="宋体"/>
                <w:sz w:val="18"/>
                <w:szCs w:val="18"/>
              </w:rPr>
              <w:t>宽度</w:t>
            </w:r>
            <w:r>
              <w:rPr>
                <w:sz w:val="18"/>
                <w:szCs w:val="18"/>
              </w:rPr>
              <w:t>/</w:t>
            </w:r>
            <w:r>
              <w:rPr>
                <w:rFonts w:hAnsi="宋体"/>
                <w:sz w:val="18"/>
                <w:szCs w:val="18"/>
              </w:rPr>
              <w:t>高度</w:t>
            </w:r>
            <w:r>
              <w:rPr>
                <w:sz w:val="18"/>
                <w:szCs w:val="18"/>
              </w:rPr>
              <w:t>≤2m</w:t>
            </w:r>
            <w:r>
              <w:rPr>
                <w:rFonts w:hAnsi="宋体"/>
                <w:sz w:val="18"/>
                <w:szCs w:val="18"/>
              </w:rPr>
              <w:t>时，允许偏差：</w:t>
            </w:r>
            <w:r>
              <w:rPr>
                <w:sz w:val="18"/>
                <w:szCs w:val="18"/>
              </w:rPr>
              <w:t>±2mm/m</w:t>
            </w:r>
            <w:r>
              <w:rPr>
                <w:rFonts w:hAnsi="宋体"/>
                <w:sz w:val="18"/>
                <w:szCs w:val="18"/>
              </w:rPr>
              <w:t>；</w:t>
            </w:r>
          </w:p>
          <w:p>
            <w:pPr>
              <w:adjustRightInd w:val="0"/>
              <w:snapToGrid w:val="0"/>
              <w:spacing w:line="360" w:lineRule="auto"/>
              <w:rPr>
                <w:sz w:val="18"/>
                <w:szCs w:val="18"/>
              </w:rPr>
            </w:pPr>
            <w:r>
              <w:rPr>
                <w:rFonts w:hAnsi="宋体"/>
                <w:sz w:val="18"/>
                <w:szCs w:val="18"/>
              </w:rPr>
              <w:t>宽度</w:t>
            </w:r>
            <w:r>
              <w:rPr>
                <w:sz w:val="18"/>
                <w:szCs w:val="18"/>
              </w:rPr>
              <w:t>/</w:t>
            </w:r>
            <w:r>
              <w:rPr>
                <w:rFonts w:hAnsi="宋体"/>
                <w:sz w:val="18"/>
                <w:szCs w:val="18"/>
              </w:rPr>
              <w:t>高度＞</w:t>
            </w:r>
            <w:r>
              <w:rPr>
                <w:sz w:val="18"/>
                <w:szCs w:val="18"/>
              </w:rPr>
              <w:t>2m</w:t>
            </w:r>
            <w:r>
              <w:rPr>
                <w:rFonts w:hAnsi="宋体"/>
                <w:sz w:val="18"/>
                <w:szCs w:val="18"/>
              </w:rPr>
              <w:t>时，总的允许偏差：</w:t>
            </w:r>
            <w:r>
              <w:rPr>
                <w:sz w:val="18"/>
                <w:szCs w:val="18"/>
              </w:rPr>
              <w:t>≤4mm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厚度</w:t>
            </w:r>
          </w:p>
        </w:tc>
        <w:tc>
          <w:tcPr>
            <w:tcW w:w="4212" w:type="dxa"/>
            <w:vAlign w:val="center"/>
          </w:tcPr>
          <w:p>
            <w:pPr>
              <w:tabs>
                <w:tab w:val="left" w:pos="1995"/>
              </w:tabs>
              <w:adjustRightInd w:val="0"/>
              <w:snapToGrid w:val="0"/>
              <w:spacing w:line="360" w:lineRule="auto"/>
              <w:rPr>
                <w:sz w:val="18"/>
                <w:szCs w:val="18"/>
              </w:rPr>
            </w:pPr>
            <w:r>
              <w:rPr>
                <w:sz w:val="18"/>
                <w:szCs w:val="18"/>
              </w:rPr>
              <w:t>0mm ~</w:t>
            </w:r>
            <w:r>
              <w:rPr>
                <w:rFonts w:hAnsi="宋体"/>
                <w:sz w:val="18"/>
                <w:szCs w:val="18"/>
              </w:rPr>
              <w:t>﹢</w:t>
            </w:r>
            <w:r>
              <w:rPr>
                <w:sz w:val="18"/>
                <w:szCs w:val="18"/>
              </w:rPr>
              <w:t>2mm</w:t>
            </w:r>
          </w:p>
        </w:tc>
        <w:tc>
          <w:tcPr>
            <w:tcW w:w="1355" w:type="dxa"/>
            <w:vAlign w:val="center"/>
          </w:tcPr>
          <w:p>
            <w:pPr>
              <w:tabs>
                <w:tab w:val="left" w:pos="1995"/>
              </w:tabs>
              <w:adjustRightInd w:val="0"/>
              <w:snapToGrid w:val="0"/>
              <w:spacing w:line="360" w:lineRule="auto"/>
              <w:jc w:val="center"/>
              <w:rPr>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jc w:val="center"/>
              <w:rPr>
                <w:rFonts w:ascii="宋体" w:hAnsi="宋体"/>
                <w:sz w:val="18"/>
                <w:szCs w:val="18"/>
              </w:rPr>
            </w:pPr>
            <w:r>
              <w:rPr>
                <w:rFonts w:ascii="宋体" w:hAnsi="宋体"/>
                <w:sz w:val="18"/>
                <w:szCs w:val="18"/>
              </w:rPr>
              <w:t>直径（仅适用于圆形构件）</w:t>
            </w:r>
          </w:p>
        </w:tc>
        <w:tc>
          <w:tcPr>
            <w:tcW w:w="4212" w:type="dxa"/>
            <w:vAlign w:val="center"/>
          </w:tcPr>
          <w:p>
            <w:pPr>
              <w:tabs>
                <w:tab w:val="left" w:pos="1995"/>
              </w:tabs>
              <w:rPr>
                <w:rFonts w:ascii="宋体" w:hAnsi="宋体"/>
                <w:sz w:val="18"/>
                <w:szCs w:val="18"/>
              </w:rPr>
            </w:pPr>
            <w:r>
              <w:rPr>
                <w:rFonts w:ascii="宋体" w:hAnsi="宋体"/>
                <w:sz w:val="18"/>
                <w:szCs w:val="18"/>
              </w:rPr>
              <w:t>±2mm/m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平整度（仅适用于平面构件）</w:t>
            </w:r>
          </w:p>
        </w:tc>
        <w:tc>
          <w:tcPr>
            <w:tcW w:w="4212" w:type="dxa"/>
            <w:vAlign w:val="center"/>
          </w:tcPr>
          <w:p>
            <w:pPr>
              <w:adjustRightInd w:val="0"/>
              <w:snapToGrid w:val="0"/>
              <w:spacing w:line="360" w:lineRule="auto"/>
              <w:rPr>
                <w:sz w:val="18"/>
                <w:szCs w:val="18"/>
              </w:rPr>
            </w:pPr>
            <w:r>
              <w:rPr>
                <w:sz w:val="18"/>
                <w:szCs w:val="18"/>
              </w:rPr>
              <w:t>≤3mm</w:t>
            </w:r>
            <w:r>
              <w:rPr>
                <w:rFonts w:hAnsi="宋体"/>
                <w:sz w:val="18"/>
                <w:szCs w:val="18"/>
              </w:rPr>
              <w:t>，异形构件或有特殊表面装饰效果要求时除外</w:t>
            </w:r>
          </w:p>
        </w:tc>
        <w:tc>
          <w:tcPr>
            <w:tcW w:w="1355" w:type="dxa"/>
            <w:vAlign w:val="center"/>
          </w:tcPr>
          <w:p>
            <w:pPr>
              <w:adjustRightInd w:val="0"/>
              <w:snapToGrid w:val="0"/>
              <w:spacing w:line="360" w:lineRule="auto"/>
              <w:jc w:val="center"/>
              <w:rPr>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对角线差（仅适用于矩形构件）</w:t>
            </w:r>
          </w:p>
        </w:tc>
        <w:tc>
          <w:tcPr>
            <w:tcW w:w="4212" w:type="dxa"/>
            <w:vAlign w:val="center"/>
          </w:tcPr>
          <w:p>
            <w:pPr>
              <w:adjustRightInd w:val="0"/>
              <w:snapToGrid w:val="0"/>
              <w:spacing w:line="360" w:lineRule="auto"/>
              <w:rPr>
                <w:sz w:val="18"/>
                <w:szCs w:val="18"/>
              </w:rPr>
            </w:pPr>
            <w:r>
              <w:rPr>
                <w:rFonts w:hAnsi="宋体"/>
                <w:sz w:val="18"/>
                <w:szCs w:val="18"/>
              </w:rPr>
              <w:t>面积＜</w:t>
            </w:r>
            <w:r>
              <w:rPr>
                <w:sz w:val="18"/>
                <w:szCs w:val="18"/>
              </w:rPr>
              <w:t>2m</w:t>
            </w:r>
            <w:r>
              <w:rPr>
                <w:sz w:val="18"/>
                <w:szCs w:val="18"/>
                <w:vertAlign w:val="superscript"/>
              </w:rPr>
              <w:t>2</w:t>
            </w:r>
            <w:r>
              <w:rPr>
                <w:rFonts w:hAnsi="宋体"/>
                <w:sz w:val="18"/>
                <w:szCs w:val="18"/>
              </w:rPr>
              <w:t>时，对角线差：</w:t>
            </w:r>
            <w:r>
              <w:rPr>
                <w:sz w:val="18"/>
                <w:szCs w:val="18"/>
              </w:rPr>
              <w:t>≤3mm</w:t>
            </w:r>
            <w:r>
              <w:rPr>
                <w:rFonts w:hAnsi="宋体"/>
                <w:sz w:val="18"/>
                <w:szCs w:val="18"/>
              </w:rPr>
              <w:t>；</w:t>
            </w:r>
          </w:p>
          <w:p>
            <w:pPr>
              <w:adjustRightInd w:val="0"/>
              <w:snapToGrid w:val="0"/>
              <w:spacing w:line="360" w:lineRule="auto"/>
              <w:rPr>
                <w:sz w:val="18"/>
                <w:szCs w:val="18"/>
              </w:rPr>
            </w:pPr>
            <w:r>
              <w:rPr>
                <w:rFonts w:hAnsi="宋体"/>
                <w:sz w:val="18"/>
                <w:szCs w:val="18"/>
              </w:rPr>
              <w:t>面积</w:t>
            </w:r>
            <w:r>
              <w:rPr>
                <w:sz w:val="18"/>
                <w:szCs w:val="18"/>
              </w:rPr>
              <w:t>≥2m</w:t>
            </w:r>
            <w:r>
              <w:rPr>
                <w:sz w:val="18"/>
                <w:szCs w:val="18"/>
                <w:vertAlign w:val="superscript"/>
              </w:rPr>
              <w:t>2</w:t>
            </w:r>
            <w:r>
              <w:rPr>
                <w:rFonts w:hAnsi="宋体"/>
                <w:sz w:val="18"/>
                <w:szCs w:val="18"/>
              </w:rPr>
              <w:t>时，对角线差：</w:t>
            </w:r>
            <w:r>
              <w:rPr>
                <w:sz w:val="18"/>
                <w:szCs w:val="18"/>
              </w:rPr>
              <w:t>≤5mm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侧向弯曲</w:t>
            </w:r>
            <w:r>
              <w:rPr>
                <w:rFonts w:hint="eastAsia" w:ascii="宋体" w:hAnsi="宋体"/>
                <w:sz w:val="18"/>
                <w:szCs w:val="18"/>
              </w:rPr>
              <w:t>（仅适用于平面</w:t>
            </w:r>
            <w:r>
              <w:rPr>
                <w:rFonts w:ascii="宋体" w:hAnsi="宋体"/>
                <w:sz w:val="18"/>
                <w:szCs w:val="18"/>
              </w:rPr>
              <w:t>构件</w:t>
            </w:r>
            <w:r>
              <w:rPr>
                <w:rFonts w:hint="eastAsia" w:ascii="宋体" w:hAnsi="宋体"/>
                <w:sz w:val="18"/>
                <w:szCs w:val="18"/>
              </w:rPr>
              <w:t>）</w:t>
            </w:r>
          </w:p>
        </w:tc>
        <w:tc>
          <w:tcPr>
            <w:tcW w:w="4212" w:type="dxa"/>
            <w:vAlign w:val="center"/>
          </w:tcPr>
          <w:p>
            <w:pPr>
              <w:adjustRightInd w:val="0"/>
              <w:snapToGrid w:val="0"/>
              <w:spacing w:line="360" w:lineRule="auto"/>
              <w:rPr>
                <w:sz w:val="18"/>
                <w:szCs w:val="18"/>
              </w:rPr>
            </w:pPr>
            <w:r>
              <w:rPr>
                <w:rFonts w:hAnsi="宋体"/>
                <w:sz w:val="18"/>
                <w:szCs w:val="18"/>
              </w:rPr>
              <w:t>允许偏差：</w:t>
            </w:r>
            <w:r>
              <w:rPr>
                <w:sz w:val="18"/>
                <w:szCs w:val="18"/>
              </w:rPr>
              <w:t>1mm/m</w:t>
            </w:r>
            <w:r>
              <w:rPr>
                <w:rFonts w:hAnsi="宋体"/>
                <w:sz w:val="18"/>
                <w:szCs w:val="18"/>
              </w:rPr>
              <w:t>，且</w:t>
            </w:r>
            <w:r>
              <w:rPr>
                <w:sz w:val="18"/>
                <w:szCs w:val="18"/>
              </w:rPr>
              <w:t>≤8mm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拉线尺量检验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Align w:val="center"/>
          </w:tcPr>
          <w:p>
            <w:pPr>
              <w:adjustRightInd w:val="0"/>
              <w:snapToGrid w:val="0"/>
              <w:spacing w:line="360" w:lineRule="auto"/>
              <w:jc w:val="center"/>
              <w:rPr>
                <w:sz w:val="18"/>
                <w:szCs w:val="18"/>
              </w:rPr>
            </w:pPr>
            <w:r>
              <w:rPr>
                <w:rFonts w:hAnsi="宋体"/>
                <w:sz w:val="18"/>
                <w:szCs w:val="18"/>
              </w:rPr>
              <w:t>扭翘</w:t>
            </w:r>
            <w:r>
              <w:rPr>
                <w:rFonts w:hint="eastAsia" w:ascii="宋体" w:hAnsi="宋体"/>
                <w:sz w:val="18"/>
                <w:szCs w:val="18"/>
              </w:rPr>
              <w:t>（仅适用于平面</w:t>
            </w:r>
            <w:r>
              <w:rPr>
                <w:rFonts w:ascii="宋体" w:hAnsi="宋体"/>
                <w:sz w:val="18"/>
                <w:szCs w:val="18"/>
              </w:rPr>
              <w:t>构件</w:t>
            </w:r>
            <w:r>
              <w:rPr>
                <w:rFonts w:hint="eastAsia" w:ascii="宋体" w:hAnsi="宋体"/>
                <w:sz w:val="18"/>
                <w:szCs w:val="18"/>
              </w:rPr>
              <w:t>）</w:t>
            </w:r>
          </w:p>
        </w:tc>
        <w:tc>
          <w:tcPr>
            <w:tcW w:w="4212" w:type="dxa"/>
            <w:vAlign w:val="center"/>
          </w:tcPr>
          <w:p>
            <w:pPr>
              <w:adjustRightInd w:val="0"/>
              <w:snapToGrid w:val="0"/>
              <w:spacing w:line="360" w:lineRule="auto"/>
              <w:rPr>
                <w:sz w:val="18"/>
                <w:szCs w:val="18"/>
              </w:rPr>
            </w:pPr>
            <w:r>
              <w:rPr>
                <w:rFonts w:hAnsi="宋体"/>
                <w:sz w:val="18"/>
                <w:szCs w:val="18"/>
              </w:rPr>
              <w:t>允许偏差：</w:t>
            </w:r>
            <w:r>
              <w:rPr>
                <w:sz w:val="18"/>
                <w:szCs w:val="18"/>
              </w:rPr>
              <w:t>1mm/m</w:t>
            </w:r>
            <w:r>
              <w:rPr>
                <w:rFonts w:hAnsi="宋体"/>
                <w:sz w:val="18"/>
                <w:szCs w:val="18"/>
              </w:rPr>
              <w:t>，且</w:t>
            </w:r>
            <w:r>
              <w:rPr>
                <w:sz w:val="18"/>
                <w:szCs w:val="18"/>
              </w:rPr>
              <w:t>≤10mm</w:t>
            </w:r>
          </w:p>
        </w:tc>
        <w:tc>
          <w:tcPr>
            <w:tcW w:w="1355" w:type="dxa"/>
            <w:vAlign w:val="center"/>
          </w:tcPr>
          <w:p>
            <w:pPr>
              <w:adjustRightInd w:val="0"/>
              <w:snapToGrid w:val="0"/>
              <w:spacing w:line="360" w:lineRule="auto"/>
              <w:jc w:val="center"/>
              <w:rPr>
                <w:rFonts w:hAnsi="宋体"/>
                <w:sz w:val="18"/>
                <w:szCs w:val="18"/>
              </w:rPr>
            </w:pPr>
            <w:r>
              <w:rPr>
                <w:rFonts w:hint="eastAsia" w:hAnsi="宋体"/>
                <w:sz w:val="18"/>
                <w:szCs w:val="18"/>
              </w:rPr>
              <w:t>拉线尺量检验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gridSpan w:val="3"/>
            <w:vAlign w:val="center"/>
          </w:tcPr>
          <w:p>
            <w:pPr>
              <w:adjustRightInd w:val="0"/>
              <w:snapToGrid w:val="0"/>
              <w:spacing w:line="360" w:lineRule="auto"/>
              <w:rPr>
                <w:rFonts w:hAnsi="宋体"/>
                <w:sz w:val="18"/>
                <w:szCs w:val="18"/>
              </w:rPr>
            </w:pPr>
            <w:r>
              <w:rPr>
                <w:rFonts w:hAnsi="宋体"/>
                <w:sz w:val="18"/>
                <w:szCs w:val="18"/>
              </w:rPr>
              <w:t>注：其他异形构件尺寸允许偏差可由供需双方确定</w:t>
            </w:r>
            <w:r>
              <w:rPr>
                <w:rFonts w:hint="eastAsia" w:hAnsi="宋体"/>
                <w:sz w:val="18"/>
                <w:szCs w:val="18"/>
              </w:rPr>
              <w:t>。</w:t>
            </w:r>
          </w:p>
        </w:tc>
      </w:tr>
    </w:tbl>
    <w:p>
      <w:pPr>
        <w:tabs>
          <w:tab w:val="left" w:pos="3450"/>
          <w:tab w:val="center" w:pos="5007"/>
        </w:tabs>
        <w:adjustRightInd w:val="0"/>
        <w:snapToGrid w:val="0"/>
        <w:spacing w:line="360" w:lineRule="auto"/>
        <w:jc w:val="center"/>
        <w:rPr>
          <w:b/>
          <w:szCs w:val="21"/>
        </w:rPr>
      </w:pPr>
    </w:p>
    <w:p>
      <w:pPr>
        <w:pStyle w:val="184"/>
        <w:outlineLvl w:val="1"/>
        <w:rPr>
          <w:rFonts w:ascii="黑体" w:hAnsi="黑体" w:eastAsia="黑体"/>
        </w:rPr>
      </w:pPr>
      <w:r>
        <w:rPr>
          <w:rFonts w:hint="eastAsia" w:ascii="黑体" w:hAnsi="黑体" w:eastAsia="黑体"/>
        </w:rPr>
        <w:t>A</w:t>
      </w:r>
      <w:r>
        <w:rPr>
          <w:rFonts w:ascii="黑体" w:hAnsi="黑体" w:eastAsia="黑体"/>
        </w:rPr>
        <w:t>.3 物理力学性能</w:t>
      </w:r>
    </w:p>
    <w:p>
      <w:pPr>
        <w:adjustRightInd w:val="0"/>
        <w:snapToGrid w:val="0"/>
        <w:spacing w:line="360" w:lineRule="auto"/>
        <w:rPr>
          <w:szCs w:val="21"/>
        </w:rPr>
      </w:pPr>
      <w:r>
        <w:rPr>
          <w:rFonts w:hint="eastAsia" w:ascii="黑体" w:hAnsi="黑体" w:eastAsia="黑体"/>
        </w:rPr>
        <w:t>A</w:t>
      </w:r>
      <w:r>
        <w:rPr>
          <w:rFonts w:ascii="黑体" w:hAnsi="黑体" w:eastAsia="黑体"/>
        </w:rPr>
        <w:t>.3.1</w:t>
      </w:r>
      <w:r>
        <w:rPr>
          <w:szCs w:val="21"/>
        </w:rPr>
        <w:t xml:space="preserve">  UHPC</w:t>
      </w:r>
      <w:r>
        <w:rPr>
          <w:rFonts w:hAnsi="宋体"/>
          <w:szCs w:val="21"/>
        </w:rPr>
        <w:t>抗压强度不应小于</w:t>
      </w:r>
      <w:r>
        <w:rPr>
          <w:szCs w:val="21"/>
        </w:rPr>
        <w:t>120 MPa</w:t>
      </w:r>
      <w:r>
        <w:rPr>
          <w:rFonts w:hAnsi="宋体"/>
          <w:szCs w:val="21"/>
        </w:rPr>
        <w:t>；</w:t>
      </w:r>
    </w:p>
    <w:p>
      <w:pPr>
        <w:adjustRightInd w:val="0"/>
        <w:snapToGrid w:val="0"/>
        <w:spacing w:line="360" w:lineRule="auto"/>
        <w:rPr>
          <w:szCs w:val="21"/>
        </w:rPr>
      </w:pPr>
      <w:r>
        <w:rPr>
          <w:rFonts w:hint="eastAsia" w:ascii="黑体" w:hAnsi="黑体" w:eastAsia="黑体"/>
        </w:rPr>
        <w:t>A</w:t>
      </w:r>
      <w:r>
        <w:rPr>
          <w:rFonts w:ascii="黑体" w:hAnsi="黑体" w:eastAsia="黑体"/>
        </w:rPr>
        <w:t>.3.2</w:t>
      </w:r>
      <w:r>
        <w:rPr>
          <w:szCs w:val="21"/>
        </w:rPr>
        <w:t xml:space="preserve">  </w:t>
      </w:r>
      <w:r>
        <w:rPr>
          <w:smallCaps/>
          <w:szCs w:val="21"/>
        </w:rPr>
        <w:t>UHPC非承重构件</w:t>
      </w:r>
      <w:r>
        <w:rPr>
          <w:rFonts w:hAnsi="宋体"/>
          <w:smallCaps/>
          <w:szCs w:val="21"/>
        </w:rPr>
        <w:t>物理力学性能应符合表</w:t>
      </w:r>
      <w:r>
        <w:rPr>
          <w:rFonts w:hint="eastAsia" w:hAnsi="宋体"/>
          <w:smallCaps/>
          <w:szCs w:val="21"/>
        </w:rPr>
        <w:t>A</w:t>
      </w:r>
      <w:r>
        <w:rPr>
          <w:rFonts w:hAnsi="宋体"/>
          <w:smallCaps/>
          <w:szCs w:val="21"/>
        </w:rPr>
        <w:t>.</w:t>
      </w:r>
      <w:r>
        <w:rPr>
          <w:smallCaps/>
          <w:szCs w:val="21"/>
        </w:rPr>
        <w:t>2</w:t>
      </w:r>
      <w:r>
        <w:rPr>
          <w:rFonts w:hAnsi="宋体"/>
          <w:smallCaps/>
          <w:szCs w:val="21"/>
        </w:rPr>
        <w:t>的规定。</w:t>
      </w:r>
    </w:p>
    <w:p>
      <w:pPr>
        <w:adjustRightInd w:val="0"/>
        <w:snapToGrid w:val="0"/>
        <w:spacing w:line="360" w:lineRule="auto"/>
        <w:jc w:val="center"/>
        <w:rPr>
          <w:b/>
          <w:szCs w:val="21"/>
        </w:rPr>
      </w:pPr>
      <w:r>
        <w:rPr>
          <w:rFonts w:hAnsi="宋体"/>
          <w:b/>
          <w:szCs w:val="21"/>
        </w:rPr>
        <w:t>表</w:t>
      </w:r>
      <w:r>
        <w:rPr>
          <w:rFonts w:hint="eastAsia" w:hAnsi="宋体"/>
          <w:b/>
          <w:szCs w:val="21"/>
        </w:rPr>
        <w:t>A</w:t>
      </w:r>
      <w:r>
        <w:rPr>
          <w:b/>
          <w:szCs w:val="21"/>
        </w:rPr>
        <w:t xml:space="preserve">.2  </w:t>
      </w:r>
      <w:r>
        <w:rPr>
          <w:rFonts w:hAnsi="宋体"/>
          <w:b/>
          <w:szCs w:val="21"/>
        </w:rPr>
        <w:t>物理力学性能指标</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8"/>
        <w:gridCol w:w="1418"/>
        <w:gridCol w:w="2268"/>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Merge w:val="restart"/>
            <w:vAlign w:val="center"/>
          </w:tcPr>
          <w:p>
            <w:pPr>
              <w:adjustRightInd w:val="0"/>
              <w:snapToGrid w:val="0"/>
              <w:spacing w:line="360" w:lineRule="auto"/>
              <w:jc w:val="center"/>
              <w:rPr>
                <w:sz w:val="18"/>
                <w:szCs w:val="18"/>
              </w:rPr>
            </w:pPr>
            <w:r>
              <w:rPr>
                <w:rFonts w:hAnsi="宋体"/>
                <w:sz w:val="18"/>
                <w:szCs w:val="18"/>
              </w:rPr>
              <w:t>性能</w:t>
            </w:r>
          </w:p>
        </w:tc>
        <w:tc>
          <w:tcPr>
            <w:tcW w:w="5154" w:type="dxa"/>
            <w:gridSpan w:val="3"/>
            <w:vAlign w:val="center"/>
          </w:tcPr>
          <w:p>
            <w:pPr>
              <w:tabs>
                <w:tab w:val="left" w:pos="780"/>
              </w:tabs>
              <w:adjustRightInd w:val="0"/>
              <w:snapToGrid w:val="0"/>
              <w:spacing w:line="360" w:lineRule="auto"/>
              <w:jc w:val="center"/>
              <w:rPr>
                <w:sz w:val="18"/>
                <w:szCs w:val="18"/>
              </w:rPr>
            </w:pPr>
            <w:r>
              <w:rPr>
                <w:rFonts w:hAnsi="宋体"/>
                <w:sz w:val="18"/>
                <w:szCs w:val="1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Merge w:val="continue"/>
            <w:vAlign w:val="center"/>
          </w:tcPr>
          <w:p>
            <w:pPr>
              <w:adjustRightInd w:val="0"/>
              <w:snapToGrid w:val="0"/>
              <w:spacing w:line="360" w:lineRule="auto"/>
              <w:jc w:val="center"/>
              <w:rPr>
                <w:sz w:val="18"/>
                <w:szCs w:val="18"/>
              </w:rPr>
            </w:pPr>
          </w:p>
        </w:tc>
        <w:tc>
          <w:tcPr>
            <w:tcW w:w="1418" w:type="dxa"/>
            <w:vAlign w:val="center"/>
          </w:tcPr>
          <w:p>
            <w:pPr>
              <w:tabs>
                <w:tab w:val="left" w:pos="780"/>
              </w:tabs>
              <w:adjustRightInd w:val="0"/>
              <w:snapToGrid w:val="0"/>
              <w:spacing w:line="360" w:lineRule="auto"/>
              <w:jc w:val="center"/>
              <w:rPr>
                <w:sz w:val="18"/>
                <w:szCs w:val="18"/>
              </w:rPr>
            </w:pPr>
            <w:r>
              <w:rPr>
                <w:rFonts w:hAnsi="宋体"/>
                <w:sz w:val="18"/>
                <w:szCs w:val="18"/>
              </w:rPr>
              <w:t>浇注工艺</w:t>
            </w:r>
          </w:p>
        </w:tc>
        <w:tc>
          <w:tcPr>
            <w:tcW w:w="2268" w:type="dxa"/>
            <w:vAlign w:val="center"/>
          </w:tcPr>
          <w:p>
            <w:pPr>
              <w:tabs>
                <w:tab w:val="left" w:pos="780"/>
              </w:tabs>
              <w:adjustRightInd w:val="0"/>
              <w:snapToGrid w:val="0"/>
              <w:spacing w:line="360" w:lineRule="auto"/>
              <w:jc w:val="center"/>
              <w:rPr>
                <w:sz w:val="18"/>
                <w:szCs w:val="18"/>
              </w:rPr>
            </w:pPr>
            <w:r>
              <w:rPr>
                <w:rFonts w:hAnsi="宋体"/>
                <w:sz w:val="18"/>
                <w:szCs w:val="18"/>
              </w:rPr>
              <w:t>浇注</w:t>
            </w:r>
            <w:r>
              <w:rPr>
                <w:sz w:val="18"/>
                <w:szCs w:val="18"/>
              </w:rPr>
              <w:t>/</w:t>
            </w:r>
            <w:r>
              <w:rPr>
                <w:rFonts w:hAnsi="宋体"/>
                <w:sz w:val="18"/>
                <w:szCs w:val="18"/>
                <w:shd w:val="clear" w:color="auto" w:fill="FFFFFF"/>
              </w:rPr>
              <w:t>挤出</w:t>
            </w:r>
            <w:r>
              <w:rPr>
                <w:sz w:val="18"/>
                <w:szCs w:val="18"/>
              </w:rPr>
              <w:t>/</w:t>
            </w:r>
            <w:r>
              <w:rPr>
                <w:rFonts w:hAnsi="宋体"/>
                <w:sz w:val="18"/>
                <w:szCs w:val="18"/>
                <w:shd w:val="clear" w:color="auto" w:fill="FFFFFF"/>
              </w:rPr>
              <w:t>压制</w:t>
            </w:r>
            <w:r>
              <w:rPr>
                <w:rFonts w:hAnsi="宋体"/>
                <w:sz w:val="18"/>
                <w:szCs w:val="18"/>
              </w:rPr>
              <w:t>工艺</w:t>
            </w:r>
          </w:p>
        </w:tc>
        <w:tc>
          <w:tcPr>
            <w:tcW w:w="1468" w:type="dxa"/>
            <w:vAlign w:val="center"/>
          </w:tcPr>
          <w:p>
            <w:pPr>
              <w:tabs>
                <w:tab w:val="left" w:pos="780"/>
              </w:tabs>
              <w:adjustRightInd w:val="0"/>
              <w:snapToGrid w:val="0"/>
              <w:spacing w:line="360" w:lineRule="auto"/>
              <w:jc w:val="center"/>
              <w:rPr>
                <w:sz w:val="18"/>
                <w:szCs w:val="18"/>
              </w:rPr>
            </w:pPr>
            <w:r>
              <w:rPr>
                <w:rFonts w:hAnsi="宋体"/>
                <w:sz w:val="18"/>
                <w:szCs w:val="18"/>
              </w:rPr>
              <w:t>喷射工艺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Merge w:val="continue"/>
            <w:vAlign w:val="center"/>
          </w:tcPr>
          <w:p>
            <w:pPr>
              <w:adjustRightInd w:val="0"/>
              <w:snapToGrid w:val="0"/>
              <w:spacing w:line="360" w:lineRule="auto"/>
              <w:jc w:val="center"/>
              <w:rPr>
                <w:sz w:val="18"/>
                <w:szCs w:val="18"/>
              </w:rPr>
            </w:pPr>
          </w:p>
        </w:tc>
        <w:tc>
          <w:tcPr>
            <w:tcW w:w="1418" w:type="dxa"/>
            <w:vAlign w:val="center"/>
          </w:tcPr>
          <w:p>
            <w:pPr>
              <w:tabs>
                <w:tab w:val="left" w:pos="780"/>
              </w:tabs>
              <w:adjustRightInd w:val="0"/>
              <w:snapToGrid w:val="0"/>
              <w:spacing w:line="360" w:lineRule="auto"/>
              <w:jc w:val="center"/>
              <w:rPr>
                <w:sz w:val="18"/>
                <w:szCs w:val="18"/>
              </w:rPr>
            </w:pPr>
            <w:r>
              <w:rPr>
                <w:rFonts w:hAnsi="宋体"/>
                <w:sz w:val="18"/>
                <w:szCs w:val="18"/>
              </w:rPr>
              <w:t>钢纤维</w:t>
            </w:r>
          </w:p>
        </w:tc>
        <w:tc>
          <w:tcPr>
            <w:tcW w:w="2268" w:type="dxa"/>
            <w:vAlign w:val="center"/>
          </w:tcPr>
          <w:p>
            <w:pPr>
              <w:tabs>
                <w:tab w:val="left" w:pos="780"/>
              </w:tabs>
              <w:adjustRightInd w:val="0"/>
              <w:snapToGrid w:val="0"/>
              <w:spacing w:line="360" w:lineRule="auto"/>
              <w:jc w:val="center"/>
              <w:rPr>
                <w:sz w:val="18"/>
                <w:szCs w:val="18"/>
              </w:rPr>
            </w:pPr>
            <w:r>
              <w:rPr>
                <w:rFonts w:hAnsi="宋体"/>
                <w:sz w:val="18"/>
                <w:szCs w:val="18"/>
              </w:rPr>
              <w:t>有机</w:t>
            </w:r>
            <w:r>
              <w:rPr>
                <w:sz w:val="18"/>
                <w:szCs w:val="18"/>
              </w:rPr>
              <w:t>/</w:t>
            </w:r>
            <w:r>
              <w:rPr>
                <w:rFonts w:hAnsi="宋体"/>
                <w:sz w:val="18"/>
                <w:szCs w:val="18"/>
              </w:rPr>
              <w:t>无机纤维</w:t>
            </w:r>
          </w:p>
        </w:tc>
        <w:tc>
          <w:tcPr>
            <w:tcW w:w="1468" w:type="dxa"/>
            <w:vAlign w:val="center"/>
          </w:tcPr>
          <w:p>
            <w:pPr>
              <w:tabs>
                <w:tab w:val="left" w:pos="780"/>
              </w:tabs>
              <w:adjustRightInd w:val="0"/>
              <w:snapToGrid w:val="0"/>
              <w:spacing w:line="360" w:lineRule="auto"/>
              <w:jc w:val="center"/>
              <w:rPr>
                <w:sz w:val="18"/>
                <w:szCs w:val="18"/>
              </w:rPr>
            </w:pPr>
            <w:r>
              <w:rPr>
                <w:rFonts w:hint="eastAsia" w:hAnsi="宋体"/>
                <w:sz w:val="18"/>
                <w:szCs w:val="18"/>
                <w:lang w:val="en-US" w:eastAsia="zh-CN"/>
              </w:rPr>
              <w:t>耐碱</w:t>
            </w:r>
            <w:r>
              <w:rPr>
                <w:rFonts w:hAnsi="宋体"/>
                <w:sz w:val="18"/>
                <w:szCs w:val="18"/>
              </w:rPr>
              <w:t>玻璃纤维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抗弯比例极限强度</w:t>
            </w:r>
            <w:r>
              <w:rPr>
                <w:sz w:val="18"/>
                <w:szCs w:val="18"/>
              </w:rPr>
              <w:t>/MPa      ≥</w:t>
            </w:r>
          </w:p>
        </w:tc>
        <w:tc>
          <w:tcPr>
            <w:tcW w:w="1418" w:type="dxa"/>
            <w:vAlign w:val="center"/>
          </w:tcPr>
          <w:p>
            <w:pPr>
              <w:adjustRightInd w:val="0"/>
              <w:snapToGrid w:val="0"/>
              <w:spacing w:line="360" w:lineRule="auto"/>
              <w:jc w:val="center"/>
              <w:rPr>
                <w:sz w:val="18"/>
                <w:szCs w:val="18"/>
              </w:rPr>
            </w:pPr>
            <w:r>
              <w:rPr>
                <w:sz w:val="18"/>
                <w:szCs w:val="18"/>
              </w:rPr>
              <w:t>13.0</w:t>
            </w:r>
          </w:p>
        </w:tc>
        <w:tc>
          <w:tcPr>
            <w:tcW w:w="2268" w:type="dxa"/>
            <w:vAlign w:val="center"/>
          </w:tcPr>
          <w:p>
            <w:pPr>
              <w:adjustRightInd w:val="0"/>
              <w:snapToGrid w:val="0"/>
              <w:spacing w:line="360" w:lineRule="auto"/>
              <w:jc w:val="center"/>
              <w:rPr>
                <w:sz w:val="18"/>
                <w:szCs w:val="18"/>
              </w:rPr>
            </w:pPr>
            <w:r>
              <w:rPr>
                <w:sz w:val="18"/>
                <w:szCs w:val="18"/>
              </w:rPr>
              <w:t>12.0</w:t>
            </w:r>
          </w:p>
        </w:tc>
        <w:tc>
          <w:tcPr>
            <w:tcW w:w="1468" w:type="dxa"/>
            <w:vAlign w:val="center"/>
          </w:tcPr>
          <w:p>
            <w:pPr>
              <w:adjustRightInd w:val="0"/>
              <w:snapToGrid w:val="0"/>
              <w:spacing w:line="360" w:lineRule="auto"/>
              <w:jc w:val="center"/>
              <w:rPr>
                <w:sz w:val="18"/>
                <w:szCs w:val="18"/>
              </w:rPr>
            </w:pPr>
            <w:r>
              <w:rPr>
                <w:sz w:val="18"/>
                <w:szCs w:val="18"/>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抗弯极限强度</w:t>
            </w:r>
            <w:r>
              <w:rPr>
                <w:sz w:val="18"/>
                <w:szCs w:val="18"/>
              </w:rPr>
              <w:t>/MPa          ≥</w:t>
            </w:r>
          </w:p>
        </w:tc>
        <w:tc>
          <w:tcPr>
            <w:tcW w:w="1418" w:type="dxa"/>
            <w:vAlign w:val="center"/>
          </w:tcPr>
          <w:p>
            <w:pPr>
              <w:adjustRightInd w:val="0"/>
              <w:snapToGrid w:val="0"/>
              <w:spacing w:line="360" w:lineRule="auto"/>
              <w:jc w:val="center"/>
              <w:rPr>
                <w:sz w:val="18"/>
                <w:szCs w:val="18"/>
              </w:rPr>
            </w:pPr>
            <w:r>
              <w:rPr>
                <w:sz w:val="18"/>
                <w:szCs w:val="18"/>
              </w:rPr>
              <w:t>20.0</w:t>
            </w:r>
          </w:p>
        </w:tc>
        <w:tc>
          <w:tcPr>
            <w:tcW w:w="2268" w:type="dxa"/>
            <w:vAlign w:val="center"/>
          </w:tcPr>
          <w:p>
            <w:pPr>
              <w:adjustRightInd w:val="0"/>
              <w:snapToGrid w:val="0"/>
              <w:spacing w:line="360" w:lineRule="auto"/>
              <w:jc w:val="center"/>
              <w:rPr>
                <w:sz w:val="18"/>
                <w:szCs w:val="18"/>
              </w:rPr>
            </w:pPr>
            <w:r>
              <w:rPr>
                <w:sz w:val="18"/>
                <w:szCs w:val="18"/>
              </w:rPr>
              <w:t>12.0</w:t>
            </w:r>
          </w:p>
        </w:tc>
        <w:tc>
          <w:tcPr>
            <w:tcW w:w="1468" w:type="dxa"/>
            <w:vAlign w:val="center"/>
          </w:tcPr>
          <w:p>
            <w:pPr>
              <w:adjustRightInd w:val="0"/>
              <w:snapToGrid w:val="0"/>
              <w:spacing w:line="360" w:lineRule="auto"/>
              <w:jc w:val="center"/>
              <w:rPr>
                <w:sz w:val="18"/>
                <w:szCs w:val="18"/>
              </w:rPr>
            </w:pPr>
            <w:r>
              <w:rPr>
                <w:sz w:val="18"/>
                <w:szCs w:val="18"/>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抗冲击强度</w:t>
            </w:r>
            <w:r>
              <w:rPr>
                <w:sz w:val="18"/>
                <w:szCs w:val="18"/>
              </w:rPr>
              <w:t>/</w:t>
            </w:r>
            <w:r>
              <w:rPr>
                <w:rFonts w:hAnsi="宋体"/>
                <w:sz w:val="18"/>
                <w:szCs w:val="18"/>
              </w:rPr>
              <w:t>（</w:t>
            </w:r>
            <w:r>
              <w:rPr>
                <w:sz w:val="18"/>
                <w:szCs w:val="18"/>
              </w:rPr>
              <w:t>kJ/m</w:t>
            </w:r>
            <w:r>
              <w:rPr>
                <w:sz w:val="18"/>
                <w:szCs w:val="18"/>
                <w:vertAlign w:val="superscript"/>
              </w:rPr>
              <w:t>2</w:t>
            </w:r>
            <w:r>
              <w:rPr>
                <w:rFonts w:hAnsi="宋体"/>
                <w:sz w:val="18"/>
                <w:szCs w:val="18"/>
              </w:rPr>
              <w:t>）</w:t>
            </w:r>
            <w:r>
              <w:rPr>
                <w:sz w:val="18"/>
                <w:szCs w:val="18"/>
              </w:rPr>
              <w:t xml:space="preserve">       ≥</w:t>
            </w:r>
          </w:p>
        </w:tc>
        <w:tc>
          <w:tcPr>
            <w:tcW w:w="1418" w:type="dxa"/>
            <w:vAlign w:val="center"/>
          </w:tcPr>
          <w:p>
            <w:pPr>
              <w:adjustRightInd w:val="0"/>
              <w:snapToGrid w:val="0"/>
              <w:spacing w:line="360" w:lineRule="auto"/>
              <w:jc w:val="center"/>
              <w:rPr>
                <w:sz w:val="18"/>
                <w:szCs w:val="18"/>
              </w:rPr>
            </w:pPr>
            <w:r>
              <w:rPr>
                <w:sz w:val="18"/>
                <w:szCs w:val="18"/>
              </w:rPr>
              <w:t>24.0</w:t>
            </w:r>
          </w:p>
        </w:tc>
        <w:tc>
          <w:tcPr>
            <w:tcW w:w="2268" w:type="dxa"/>
            <w:vAlign w:val="center"/>
          </w:tcPr>
          <w:p>
            <w:pPr>
              <w:adjustRightInd w:val="0"/>
              <w:snapToGrid w:val="0"/>
              <w:spacing w:line="360" w:lineRule="auto"/>
              <w:jc w:val="center"/>
              <w:rPr>
                <w:sz w:val="18"/>
                <w:szCs w:val="18"/>
              </w:rPr>
            </w:pPr>
            <w:r>
              <w:rPr>
                <w:sz w:val="18"/>
                <w:szCs w:val="18"/>
              </w:rPr>
              <w:t>9.0</w:t>
            </w:r>
          </w:p>
        </w:tc>
        <w:tc>
          <w:tcPr>
            <w:tcW w:w="1468" w:type="dxa"/>
            <w:vAlign w:val="center"/>
          </w:tcPr>
          <w:p>
            <w:pPr>
              <w:adjustRightInd w:val="0"/>
              <w:snapToGrid w:val="0"/>
              <w:spacing w:line="360" w:lineRule="auto"/>
              <w:jc w:val="center"/>
              <w:rPr>
                <w:sz w:val="18"/>
                <w:szCs w:val="18"/>
              </w:rPr>
            </w:pPr>
            <w:r>
              <w:rPr>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体积密度（干燥状态）</w:t>
            </w:r>
            <w:r>
              <w:rPr>
                <w:sz w:val="18"/>
                <w:szCs w:val="18"/>
              </w:rPr>
              <w:t>/</w:t>
            </w:r>
            <w:r>
              <w:rPr>
                <w:rFonts w:hAnsi="宋体"/>
                <w:sz w:val="18"/>
                <w:szCs w:val="18"/>
              </w:rPr>
              <w:t>（</w:t>
            </w:r>
            <w:r>
              <w:rPr>
                <w:sz w:val="18"/>
                <w:szCs w:val="18"/>
              </w:rPr>
              <w:t>g/cm</w:t>
            </w:r>
            <w:r>
              <w:rPr>
                <w:sz w:val="18"/>
                <w:szCs w:val="18"/>
                <w:vertAlign w:val="superscript"/>
              </w:rPr>
              <w:t>3</w:t>
            </w:r>
            <w:r>
              <w:rPr>
                <w:rFonts w:hAnsi="宋体"/>
                <w:sz w:val="18"/>
                <w:szCs w:val="18"/>
              </w:rPr>
              <w:t>）</w:t>
            </w:r>
            <w:r>
              <w:rPr>
                <w:sz w:val="18"/>
                <w:szCs w:val="18"/>
              </w:rPr>
              <w:t xml:space="preserve">  ≥</w:t>
            </w:r>
          </w:p>
        </w:tc>
        <w:tc>
          <w:tcPr>
            <w:tcW w:w="1418" w:type="dxa"/>
            <w:vAlign w:val="center"/>
          </w:tcPr>
          <w:p>
            <w:pPr>
              <w:adjustRightInd w:val="0"/>
              <w:snapToGrid w:val="0"/>
              <w:spacing w:line="360" w:lineRule="auto"/>
              <w:jc w:val="center"/>
              <w:rPr>
                <w:sz w:val="18"/>
                <w:szCs w:val="18"/>
              </w:rPr>
            </w:pPr>
            <w:r>
              <w:rPr>
                <w:sz w:val="18"/>
                <w:szCs w:val="18"/>
              </w:rPr>
              <w:t>2.4</w:t>
            </w:r>
          </w:p>
        </w:tc>
        <w:tc>
          <w:tcPr>
            <w:tcW w:w="2268" w:type="dxa"/>
            <w:vAlign w:val="center"/>
          </w:tcPr>
          <w:p>
            <w:pPr>
              <w:adjustRightInd w:val="0"/>
              <w:snapToGrid w:val="0"/>
              <w:spacing w:line="360" w:lineRule="auto"/>
              <w:jc w:val="center"/>
              <w:rPr>
                <w:sz w:val="18"/>
                <w:szCs w:val="18"/>
              </w:rPr>
            </w:pPr>
            <w:r>
              <w:rPr>
                <w:sz w:val="18"/>
                <w:szCs w:val="18"/>
              </w:rPr>
              <w:t>2.2</w:t>
            </w:r>
          </w:p>
        </w:tc>
        <w:tc>
          <w:tcPr>
            <w:tcW w:w="1468" w:type="dxa"/>
            <w:vAlign w:val="center"/>
          </w:tcPr>
          <w:p>
            <w:pPr>
              <w:adjustRightInd w:val="0"/>
              <w:snapToGrid w:val="0"/>
              <w:spacing w:line="360" w:lineRule="auto"/>
              <w:jc w:val="center"/>
              <w:rPr>
                <w:sz w:val="18"/>
                <w:szCs w:val="18"/>
              </w:rPr>
            </w:pPr>
            <w:r>
              <w:rPr>
                <w:sz w:val="18"/>
                <w:szCs w:val="18"/>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highlight w:val="none"/>
              </w:rPr>
            </w:pPr>
            <w:r>
              <w:rPr>
                <w:rFonts w:hAnsi="宋体"/>
                <w:sz w:val="18"/>
                <w:szCs w:val="18"/>
                <w:highlight w:val="none"/>
              </w:rPr>
              <w:t>吸水率</w:t>
            </w:r>
            <w:r>
              <w:rPr>
                <w:sz w:val="18"/>
                <w:szCs w:val="18"/>
                <w:highlight w:val="none"/>
              </w:rPr>
              <w:t>/%                  ≤</w:t>
            </w:r>
          </w:p>
        </w:tc>
        <w:tc>
          <w:tcPr>
            <w:tcW w:w="1418" w:type="dxa"/>
            <w:vAlign w:val="center"/>
          </w:tcPr>
          <w:p>
            <w:pPr>
              <w:adjustRightInd w:val="0"/>
              <w:snapToGrid w:val="0"/>
              <w:spacing w:line="360" w:lineRule="auto"/>
              <w:jc w:val="center"/>
              <w:rPr>
                <w:sz w:val="18"/>
                <w:szCs w:val="18"/>
                <w:highlight w:val="none"/>
              </w:rPr>
            </w:pPr>
            <w:r>
              <w:rPr>
                <w:sz w:val="18"/>
                <w:szCs w:val="18"/>
                <w:highlight w:val="none"/>
              </w:rPr>
              <w:t>2.0</w:t>
            </w:r>
          </w:p>
        </w:tc>
        <w:tc>
          <w:tcPr>
            <w:tcW w:w="2268" w:type="dxa"/>
            <w:vAlign w:val="center"/>
          </w:tcPr>
          <w:p>
            <w:pPr>
              <w:adjustRightInd w:val="0"/>
              <w:snapToGrid w:val="0"/>
              <w:spacing w:line="360" w:lineRule="auto"/>
              <w:jc w:val="center"/>
              <w:rPr>
                <w:sz w:val="18"/>
                <w:szCs w:val="18"/>
                <w:highlight w:val="none"/>
              </w:rPr>
            </w:pPr>
            <w:r>
              <w:rPr>
                <w:sz w:val="18"/>
                <w:szCs w:val="18"/>
                <w:highlight w:val="none"/>
              </w:rPr>
              <w:t>2.5</w:t>
            </w:r>
          </w:p>
        </w:tc>
        <w:tc>
          <w:tcPr>
            <w:tcW w:w="1468" w:type="dxa"/>
            <w:vAlign w:val="center"/>
          </w:tcPr>
          <w:p>
            <w:pPr>
              <w:adjustRightInd w:val="0"/>
              <w:snapToGrid w:val="0"/>
              <w:spacing w:line="360" w:lineRule="auto"/>
              <w:jc w:val="center"/>
              <w:rPr>
                <w:sz w:val="18"/>
                <w:szCs w:val="18"/>
                <w:highlight w:val="none"/>
              </w:rPr>
            </w:pPr>
            <w:r>
              <w:rPr>
                <w:sz w:val="18"/>
                <w:szCs w:val="18"/>
                <w:highlight w:val="none"/>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抗冻性</w:t>
            </w:r>
          </w:p>
        </w:tc>
        <w:tc>
          <w:tcPr>
            <w:tcW w:w="5154" w:type="dxa"/>
            <w:gridSpan w:val="3"/>
            <w:vAlign w:val="center"/>
          </w:tcPr>
          <w:p>
            <w:pPr>
              <w:adjustRightInd w:val="0"/>
              <w:snapToGrid w:val="0"/>
              <w:spacing w:line="360" w:lineRule="auto"/>
              <w:jc w:val="center"/>
              <w:rPr>
                <w:sz w:val="18"/>
                <w:szCs w:val="18"/>
              </w:rPr>
            </w:pPr>
            <w:r>
              <w:rPr>
                <w:rFonts w:hAnsi="宋体"/>
                <w:sz w:val="18"/>
                <w:szCs w:val="18"/>
              </w:rPr>
              <w:t>冻融循环</w:t>
            </w:r>
            <w:r>
              <w:rPr>
                <w:sz w:val="18"/>
                <w:szCs w:val="18"/>
              </w:rPr>
              <w:t>200</w:t>
            </w:r>
            <w:r>
              <w:rPr>
                <w:rFonts w:hAnsi="宋体"/>
                <w:sz w:val="18"/>
                <w:szCs w:val="18"/>
              </w:rPr>
              <w:t>次后，无起层、剥落等破坏现象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sz w:val="18"/>
                <w:szCs w:val="18"/>
              </w:rPr>
            </w:pPr>
            <w:r>
              <w:rPr>
                <w:rFonts w:hAnsi="宋体"/>
                <w:sz w:val="18"/>
                <w:szCs w:val="18"/>
              </w:rPr>
              <w:t>收缩率</w:t>
            </w:r>
            <w:r>
              <w:rPr>
                <w:sz w:val="18"/>
                <w:szCs w:val="18"/>
              </w:rPr>
              <w:t>/%                 ≤</w:t>
            </w:r>
          </w:p>
        </w:tc>
        <w:tc>
          <w:tcPr>
            <w:tcW w:w="5154" w:type="dxa"/>
            <w:gridSpan w:val="3"/>
            <w:vAlign w:val="center"/>
          </w:tcPr>
          <w:p>
            <w:pPr>
              <w:adjustRightInd w:val="0"/>
              <w:snapToGrid w:val="0"/>
              <w:spacing w:line="360" w:lineRule="auto"/>
              <w:jc w:val="center"/>
              <w:rPr>
                <w:sz w:val="18"/>
                <w:szCs w:val="18"/>
              </w:rPr>
            </w:pPr>
            <w:r>
              <w:rPr>
                <w:sz w:val="18"/>
                <w:szCs w:val="18"/>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rFonts w:hAnsi="宋体"/>
                <w:sz w:val="18"/>
                <w:szCs w:val="18"/>
              </w:rPr>
            </w:pPr>
            <w:r>
              <w:rPr>
                <w:rFonts w:hint="eastAsia" w:hAnsi="宋体"/>
                <w:sz w:val="18"/>
                <w:szCs w:val="18"/>
              </w:rPr>
              <w:t>锚杆拉拔力/</w:t>
            </w:r>
            <w:r>
              <w:rPr>
                <w:rFonts w:hAnsi="宋体"/>
                <w:sz w:val="18"/>
                <w:szCs w:val="18"/>
              </w:rPr>
              <w:t>k</w:t>
            </w:r>
            <w:r>
              <w:rPr>
                <w:rFonts w:hint="eastAsia" w:hAnsi="宋体"/>
                <w:sz w:val="18"/>
                <w:szCs w:val="18"/>
              </w:rPr>
              <w:t>N</w:t>
            </w:r>
            <w:r>
              <w:rPr>
                <w:sz w:val="18"/>
                <w:szCs w:val="18"/>
              </w:rPr>
              <w:t xml:space="preserve">       ≥</w:t>
            </w:r>
          </w:p>
        </w:tc>
        <w:tc>
          <w:tcPr>
            <w:tcW w:w="5154" w:type="dxa"/>
            <w:gridSpan w:val="3"/>
            <w:vAlign w:val="center"/>
          </w:tcPr>
          <w:p>
            <w:pPr>
              <w:adjustRightInd w:val="0"/>
              <w:snapToGrid w:val="0"/>
              <w:spacing w:line="360" w:lineRule="auto"/>
              <w:jc w:val="center"/>
              <w:rPr>
                <w:sz w:val="18"/>
                <w:szCs w:val="18"/>
              </w:rPr>
            </w:pP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368" w:type="dxa"/>
            <w:vAlign w:val="center"/>
          </w:tcPr>
          <w:p>
            <w:pPr>
              <w:adjustRightInd w:val="0"/>
              <w:snapToGrid w:val="0"/>
              <w:spacing w:line="360" w:lineRule="auto"/>
              <w:jc w:val="left"/>
              <w:rPr>
                <w:rFonts w:hAnsi="宋体"/>
                <w:sz w:val="18"/>
                <w:szCs w:val="18"/>
              </w:rPr>
            </w:pPr>
            <w:r>
              <w:rPr>
                <w:rFonts w:hint="eastAsia" w:hAnsi="宋体"/>
                <w:sz w:val="18"/>
                <w:szCs w:val="18"/>
              </w:rPr>
              <w:t>预埋螺栓套筒拉拔力/</w:t>
            </w:r>
            <w:r>
              <w:rPr>
                <w:rFonts w:hAnsi="宋体"/>
                <w:sz w:val="18"/>
                <w:szCs w:val="18"/>
              </w:rPr>
              <w:t>k</w:t>
            </w:r>
            <w:r>
              <w:rPr>
                <w:rFonts w:hint="eastAsia" w:hAnsi="宋体"/>
                <w:sz w:val="18"/>
                <w:szCs w:val="18"/>
              </w:rPr>
              <w:t>N</w:t>
            </w:r>
            <w:r>
              <w:rPr>
                <w:sz w:val="18"/>
                <w:szCs w:val="18"/>
              </w:rPr>
              <w:t xml:space="preserve">       ≥</w:t>
            </w:r>
          </w:p>
        </w:tc>
        <w:tc>
          <w:tcPr>
            <w:tcW w:w="5154" w:type="dxa"/>
            <w:gridSpan w:val="3"/>
            <w:vAlign w:val="center"/>
          </w:tcPr>
          <w:p>
            <w:pPr>
              <w:adjustRightInd w:val="0"/>
              <w:snapToGrid w:val="0"/>
              <w:spacing w:line="360" w:lineRule="auto"/>
              <w:jc w:val="center"/>
              <w:rPr>
                <w:sz w:val="18"/>
                <w:szCs w:val="18"/>
              </w:rPr>
            </w:pP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522" w:type="dxa"/>
            <w:gridSpan w:val="4"/>
            <w:vAlign w:val="center"/>
          </w:tcPr>
          <w:p>
            <w:pPr>
              <w:adjustRightInd w:val="0"/>
              <w:snapToGrid w:val="0"/>
              <w:spacing w:line="360" w:lineRule="auto"/>
              <w:jc w:val="left"/>
              <w:rPr>
                <w:sz w:val="18"/>
                <w:szCs w:val="18"/>
              </w:rPr>
            </w:pPr>
            <w:r>
              <w:rPr>
                <w:rFonts w:hint="eastAsia" w:hAnsi="宋体"/>
                <w:sz w:val="18"/>
                <w:szCs w:val="18"/>
              </w:rPr>
              <w:t>注：构件构造不含锚杆或预埋螺栓套筒时，锚杆拉拔力、预埋螺栓套筒拉拔力不作要求。其他连接方式由供需双方确定。</w:t>
            </w:r>
          </w:p>
        </w:tc>
      </w:tr>
    </w:tbl>
    <w:p>
      <w:pPr>
        <w:pStyle w:val="184"/>
        <w:outlineLvl w:val="1"/>
        <w:rPr>
          <w:rFonts w:ascii="黑体" w:hAnsi="黑体" w:eastAsia="黑体"/>
        </w:rPr>
      </w:pPr>
      <w:r>
        <w:rPr>
          <w:rFonts w:hint="eastAsia" w:ascii="黑体" w:hAnsi="黑体" w:eastAsia="黑体"/>
        </w:rPr>
        <w:t>A</w:t>
      </w:r>
      <w:r>
        <w:rPr>
          <w:rFonts w:ascii="黑体" w:hAnsi="黑体" w:eastAsia="黑体"/>
        </w:rPr>
        <w:t>.4物理力学性能</w:t>
      </w:r>
      <w:r>
        <w:rPr>
          <w:rFonts w:hint="eastAsia" w:ascii="黑体" w:hAnsi="黑体" w:eastAsia="黑体"/>
        </w:rPr>
        <w:t>试验</w:t>
      </w:r>
      <w:r>
        <w:rPr>
          <w:rFonts w:ascii="黑体" w:hAnsi="黑体" w:eastAsia="黑体"/>
        </w:rPr>
        <w:t>方法</w:t>
      </w:r>
    </w:p>
    <w:p>
      <w:pPr>
        <w:adjustRightInd w:val="0"/>
        <w:snapToGrid w:val="0"/>
        <w:spacing w:line="360" w:lineRule="auto"/>
        <w:rPr>
          <w:rFonts w:hint="eastAsia" w:eastAsia="宋体"/>
          <w:smallCaps/>
          <w:szCs w:val="21"/>
          <w:lang w:eastAsia="zh-CN"/>
        </w:rPr>
      </w:pPr>
      <w:r>
        <w:rPr>
          <w:rFonts w:hint="eastAsia" w:ascii="黑体" w:hAnsi="黑体" w:eastAsia="黑体"/>
        </w:rPr>
        <w:t>A</w:t>
      </w:r>
      <w:r>
        <w:rPr>
          <w:rFonts w:ascii="黑体" w:hAnsi="黑体" w:eastAsia="黑体"/>
        </w:rPr>
        <w:t xml:space="preserve">.4.1  </w:t>
      </w:r>
      <w:r>
        <w:rPr>
          <w:rFonts w:hAnsi="宋体"/>
          <w:smallCaps/>
          <w:szCs w:val="21"/>
        </w:rPr>
        <w:t>试件若采用自然养护，龄期不应小于</w:t>
      </w:r>
      <w:r>
        <w:rPr>
          <w:smallCaps/>
          <w:szCs w:val="21"/>
        </w:rPr>
        <w:t>28</w:t>
      </w:r>
      <w:r>
        <w:rPr>
          <w:szCs w:val="21"/>
        </w:rPr>
        <w:t>d</w:t>
      </w:r>
      <w:r>
        <w:rPr>
          <w:rFonts w:hAnsi="宋体"/>
          <w:szCs w:val="21"/>
        </w:rPr>
        <w:t>；</w:t>
      </w:r>
      <w:r>
        <w:rPr>
          <w:rFonts w:hAnsi="宋体"/>
          <w:smallCaps/>
          <w:szCs w:val="21"/>
        </w:rPr>
        <w:t>若采用</w:t>
      </w:r>
      <w:r>
        <w:rPr>
          <w:rFonts w:hAnsi="宋体"/>
          <w:szCs w:val="21"/>
        </w:rPr>
        <w:t>蒸汽养护，</w:t>
      </w:r>
      <w:r>
        <w:rPr>
          <w:rFonts w:hAnsi="宋体"/>
          <w:smallCaps/>
          <w:szCs w:val="21"/>
        </w:rPr>
        <w:t>龄期不应小于</w:t>
      </w:r>
      <w:r>
        <w:rPr>
          <w:smallCaps/>
          <w:szCs w:val="21"/>
        </w:rPr>
        <w:t>7</w:t>
      </w:r>
      <w:r>
        <w:rPr>
          <w:szCs w:val="21"/>
        </w:rPr>
        <w:t>d</w:t>
      </w:r>
      <w:r>
        <w:rPr>
          <w:rFonts w:hint="eastAsia" w:hAnsi="宋体"/>
          <w:smallCaps/>
          <w:szCs w:val="21"/>
          <w:lang w:eastAsia="zh-CN"/>
        </w:rPr>
        <w:t>。</w:t>
      </w:r>
    </w:p>
    <w:p>
      <w:pPr>
        <w:adjustRightInd w:val="0"/>
        <w:snapToGrid w:val="0"/>
        <w:spacing w:line="360" w:lineRule="auto"/>
        <w:rPr>
          <w:rFonts w:hint="eastAsia" w:eastAsia="宋体"/>
          <w:lang w:eastAsia="zh-CN"/>
        </w:rPr>
      </w:pPr>
      <w:r>
        <w:rPr>
          <w:rFonts w:hint="eastAsia" w:ascii="黑体" w:hAnsi="黑体" w:eastAsia="黑体"/>
        </w:rPr>
        <w:t>A</w:t>
      </w:r>
      <w:r>
        <w:rPr>
          <w:rFonts w:ascii="黑体" w:hAnsi="黑体" w:eastAsia="黑体"/>
        </w:rPr>
        <w:t xml:space="preserve">.4.2  </w:t>
      </w:r>
      <w:r>
        <w:rPr>
          <w:rFonts w:hAnsi="宋体"/>
        </w:rPr>
        <w:t>抗压强度试验方法应按</w:t>
      </w:r>
      <w:r>
        <w:t>GB/T 50081</w:t>
      </w:r>
      <w:r>
        <w:rPr>
          <w:rFonts w:hAnsi="宋体"/>
        </w:rPr>
        <w:t>的规定进行。其中加载速率应为</w:t>
      </w:r>
      <w:r>
        <w:t>1.2MPa/s~1.4MPa/s</w:t>
      </w:r>
      <w:r>
        <w:rPr>
          <w:rFonts w:hAnsi="宋体"/>
        </w:rPr>
        <w:t>；尺寸换算系数应取</w:t>
      </w:r>
      <w:r>
        <w:t>1.0</w:t>
      </w:r>
      <w:r>
        <w:rPr>
          <w:rFonts w:hAnsi="宋体"/>
        </w:rPr>
        <w:t>；试件应为与产品同环境条件、相同配合比（不含纤维）、相同成型工艺、相同养护方式制作的尺寸</w:t>
      </w:r>
      <w:r>
        <w:t>100mm×100mm×100mm</w:t>
      </w:r>
      <w:r>
        <w:rPr>
          <w:rFonts w:hAnsi="宋体"/>
        </w:rPr>
        <w:t>的立方体试件，数量应为</w:t>
      </w:r>
      <w:r>
        <w:t>3</w:t>
      </w:r>
      <w:r>
        <w:rPr>
          <w:rFonts w:hAnsi="宋体"/>
        </w:rPr>
        <w:t>块</w:t>
      </w:r>
      <w:r>
        <w:rPr>
          <w:rFonts w:hint="eastAsia" w:hAnsi="宋体"/>
          <w:lang w:eastAsia="zh-CN"/>
        </w:rPr>
        <w:t>。</w:t>
      </w:r>
    </w:p>
    <w:p>
      <w:pPr>
        <w:adjustRightInd w:val="0"/>
        <w:snapToGrid w:val="0"/>
        <w:spacing w:line="360" w:lineRule="auto"/>
      </w:pPr>
      <w:r>
        <w:rPr>
          <w:rFonts w:hint="eastAsia" w:ascii="黑体" w:hAnsi="黑体" w:eastAsia="黑体"/>
        </w:rPr>
        <w:t>A</w:t>
      </w:r>
      <w:r>
        <w:rPr>
          <w:rFonts w:ascii="黑体" w:hAnsi="黑体" w:eastAsia="黑体"/>
        </w:rPr>
        <w:t xml:space="preserve">.4.3  </w:t>
      </w:r>
      <w:r>
        <w:rPr>
          <w:rFonts w:hAnsi="宋体"/>
        </w:rPr>
        <w:t>抗弯比例极限强度、抗弯极限强度、抗冲击强度、收缩率</w:t>
      </w:r>
      <w:r>
        <w:rPr>
          <w:rFonts w:hint="eastAsia" w:hAnsi="宋体"/>
        </w:rPr>
        <w:t>、</w:t>
      </w:r>
      <w:r>
        <w:rPr>
          <w:rFonts w:hint="eastAsia" w:hAnsi="宋体"/>
          <w:szCs w:val="21"/>
        </w:rPr>
        <w:t>锚杆拉拔力、预埋螺栓套筒拉拔力</w:t>
      </w:r>
      <w:r>
        <w:rPr>
          <w:rFonts w:hAnsi="宋体"/>
        </w:rPr>
        <w:t>试验试件制备及试验方法应按</w:t>
      </w:r>
      <w:r>
        <w:t>GB/T 15231</w:t>
      </w:r>
      <w:r>
        <w:rPr>
          <w:rFonts w:hAnsi="宋体"/>
        </w:rPr>
        <w:t>的规定进行；</w:t>
      </w:r>
      <w:r>
        <w:rPr>
          <w:rFonts w:hint="eastAsia" w:ascii="Times New Roman" w:hAnsi="宋体"/>
          <w:lang w:eastAsia="zh-CN"/>
        </w:rPr>
        <w:t>其中</w:t>
      </w:r>
      <w:r>
        <w:rPr>
          <w:rFonts w:ascii="Times New Roman" w:hAnsi="宋体"/>
        </w:rPr>
        <w:t>抗弯</w:t>
      </w:r>
      <w:r>
        <w:rPr>
          <w:rFonts w:hint="eastAsia" w:ascii="Times New Roman" w:hAnsi="宋体"/>
        </w:rPr>
        <w:t>加载</w:t>
      </w:r>
      <w:r>
        <w:rPr>
          <w:rFonts w:ascii="Times New Roman" w:hAnsi="宋体"/>
        </w:rPr>
        <w:t>速率应为</w:t>
      </w:r>
      <w:r>
        <w:rPr>
          <w:rFonts w:hint="eastAsia" w:ascii="Times New Roman" w:hAnsi="宋体"/>
        </w:rPr>
        <w:t>0.5mm/min</w:t>
      </w:r>
      <w:r>
        <w:rPr>
          <w:rFonts w:hint="eastAsia" w:ascii="Times New Roman" w:hAnsi="宋体"/>
          <w:lang w:val="en-US" w:eastAsia="zh-CN"/>
        </w:rPr>
        <w:t>。</w:t>
      </w:r>
    </w:p>
    <w:p>
      <w:pPr>
        <w:adjustRightInd w:val="0"/>
        <w:snapToGrid w:val="0"/>
        <w:spacing w:line="360" w:lineRule="auto"/>
      </w:pPr>
      <w:r>
        <w:rPr>
          <w:rFonts w:hint="eastAsia" w:ascii="黑体" w:hAnsi="黑体" w:eastAsia="黑体"/>
        </w:rPr>
        <w:t>A</w:t>
      </w:r>
      <w:r>
        <w:rPr>
          <w:rFonts w:ascii="黑体" w:hAnsi="黑体" w:eastAsia="黑体"/>
        </w:rPr>
        <w:t xml:space="preserve">.4.4  </w:t>
      </w:r>
      <w:r>
        <w:rPr>
          <w:rFonts w:hAnsi="宋体"/>
        </w:rPr>
        <w:t>体积密度、吸水率、抗冻性试验方法应按</w:t>
      </w:r>
      <w:r>
        <w:t>GB/T 15231</w:t>
      </w:r>
      <w:r>
        <w:rPr>
          <w:rFonts w:hAnsi="宋体"/>
        </w:rPr>
        <w:t>规定进行。其中测量试件干燥状态的质量时，试件干燥时长应为</w:t>
      </w:r>
      <w:r>
        <w:t>48h</w:t>
      </w:r>
      <w:r>
        <w:rPr>
          <w:rFonts w:hAnsi="宋体"/>
        </w:rPr>
        <w:t>；测量试件饱水状态的质量时，试件浸水时长应为</w:t>
      </w:r>
      <w:r>
        <w:t>48h</w:t>
      </w:r>
      <w:r>
        <w:rPr>
          <w:rFonts w:hAnsi="宋体"/>
        </w:rPr>
        <w:t>；试件应从产品上切割，试件切割部位距离产品边缘不应小于</w:t>
      </w:r>
      <w:r>
        <w:t>100mm</w:t>
      </w:r>
      <w:r>
        <w:rPr>
          <w:rFonts w:hint="eastAsia"/>
        </w:rPr>
        <w:t>。</w:t>
      </w:r>
    </w:p>
    <w:p>
      <w:pPr>
        <w:widowControl/>
        <w:ind w:firstLine="420" w:firstLineChars="200"/>
        <w:jc w:val="left"/>
        <w:rPr>
          <w:rFonts w:ascii="宋体" w:hAnsi="Calibri"/>
          <w:szCs w:val="21"/>
        </w:rPr>
      </w:pPr>
      <w:r>
        <w:rPr>
          <w:rFonts w:ascii="宋体" w:hAnsi="Calibri"/>
          <w:szCs w:val="21"/>
        </w:rPr>
        <w:br w:type="page"/>
      </w:r>
    </w:p>
    <w:p>
      <w:pPr>
        <w:spacing w:line="520" w:lineRule="exact"/>
        <w:jc w:val="center"/>
        <w:outlineLvl w:val="0"/>
        <w:rPr>
          <w:b/>
          <w:szCs w:val="21"/>
        </w:rPr>
      </w:pPr>
      <w:bookmarkStart w:id="98" w:name="_Toc134449228"/>
      <w:r>
        <w:rPr>
          <w:rFonts w:hint="eastAsia"/>
          <w:b/>
          <w:szCs w:val="21"/>
        </w:rPr>
        <w:t>附录B</w:t>
      </w:r>
      <w:bookmarkEnd w:id="98"/>
    </w:p>
    <w:p>
      <w:pPr>
        <w:spacing w:line="520" w:lineRule="exact"/>
        <w:jc w:val="center"/>
        <w:outlineLvl w:val="0"/>
        <w:rPr>
          <w:b/>
          <w:szCs w:val="21"/>
        </w:rPr>
      </w:pPr>
      <w:bookmarkStart w:id="99" w:name="_Toc134449229"/>
      <w:r>
        <w:rPr>
          <w:rFonts w:hint="eastAsia"/>
          <w:b/>
          <w:szCs w:val="21"/>
        </w:rPr>
        <w:t>（规范性）</w:t>
      </w:r>
      <w:bookmarkEnd w:id="99"/>
    </w:p>
    <w:p>
      <w:pPr>
        <w:spacing w:line="520" w:lineRule="exact"/>
        <w:jc w:val="center"/>
        <w:outlineLvl w:val="0"/>
        <w:rPr>
          <w:b/>
          <w:szCs w:val="21"/>
        </w:rPr>
      </w:pPr>
      <w:bookmarkStart w:id="100" w:name="_Toc134449230"/>
      <w:r>
        <w:rPr>
          <w:rFonts w:hint="eastAsia"/>
          <w:b/>
          <w:szCs w:val="21"/>
        </w:rPr>
        <w:t>UHPC构件评价指标</w:t>
      </w:r>
      <w:r>
        <w:rPr>
          <w:b/>
          <w:szCs w:val="21"/>
        </w:rPr>
        <w:t>计算方法</w:t>
      </w:r>
      <w:bookmarkEnd w:id="100"/>
    </w:p>
    <w:p>
      <w:pPr>
        <w:pStyle w:val="184"/>
        <w:outlineLvl w:val="1"/>
        <w:rPr>
          <w:rFonts w:ascii="黑体" w:hAnsi="黑体" w:eastAsia="黑体"/>
        </w:rPr>
      </w:pPr>
      <w:r>
        <w:rPr>
          <w:rFonts w:hint="eastAsia" w:ascii="黑体" w:hAnsi="黑体" w:eastAsia="黑体"/>
        </w:rPr>
        <w:t>B</w:t>
      </w:r>
      <w:r>
        <w:rPr>
          <w:rFonts w:ascii="黑体" w:hAnsi="黑体" w:eastAsia="黑体"/>
        </w:rPr>
        <w:t>.1</w:t>
      </w:r>
      <w:r>
        <w:rPr>
          <w:rFonts w:hint="eastAsia" w:ascii="黑体" w:hAnsi="黑体" w:eastAsia="黑体"/>
        </w:rPr>
        <w:t>固体废弃物利用率</w:t>
      </w:r>
    </w:p>
    <w:p>
      <w:pPr>
        <w:pStyle w:val="26"/>
        <w:spacing w:line="276" w:lineRule="auto"/>
        <w:jc w:val="left"/>
        <w:rPr>
          <w:rFonts w:ascii="Times New Roman"/>
        </w:rPr>
      </w:pPr>
      <w:r>
        <w:t>统计期内</w:t>
      </w:r>
      <w:r>
        <w:rPr>
          <w:rFonts w:hint="eastAsia"/>
        </w:rPr>
        <w:t>UHPC构件</w:t>
      </w:r>
      <w:r>
        <w:rPr>
          <w:rFonts w:hint="eastAsia" w:ascii="Times New Roman"/>
        </w:rPr>
        <w:t>生产使用</w:t>
      </w:r>
      <w:r>
        <w:rPr>
          <w:rFonts w:hint="eastAsia"/>
        </w:rPr>
        <w:t>固体</w:t>
      </w:r>
      <w:r>
        <w:t>废弃物占原材料总量的质量百分比</w:t>
      </w:r>
      <w:r>
        <w:rPr>
          <w:rFonts w:hint="eastAsia"/>
        </w:rPr>
        <w:t>，</w:t>
      </w:r>
      <w:r>
        <w:rPr>
          <w:rFonts w:ascii="Times New Roman"/>
        </w:rPr>
        <w:t>按公式（</w:t>
      </w:r>
      <w:r>
        <w:rPr>
          <w:rFonts w:ascii="Times New Roman"/>
          <w:szCs w:val="21"/>
        </w:rPr>
        <w:t>B.1</w:t>
      </w:r>
      <w:r>
        <w:rPr>
          <w:rFonts w:ascii="Times New Roman"/>
        </w:rPr>
        <w:t>）计算：</w:t>
      </w:r>
    </w:p>
    <w:p>
      <w:pPr>
        <w:pStyle w:val="74"/>
        <w:spacing w:line="276" w:lineRule="auto"/>
        <w:ind w:firstLine="420" w:firstLineChars="200"/>
        <w:jc w:val="right"/>
        <w:rPr>
          <w:rFonts w:ascii="Times New Roman"/>
          <w:kern w:val="2"/>
          <w:szCs w:val="21"/>
        </w:rPr>
      </w:pPr>
      <m:oMathPara>
        <m:oMathParaPr>
          <m:jc m:val="right"/>
        </m:oMathParaPr>
        <m:oMath>
          <m:r>
            <m:rPr/>
            <w:rPr>
              <w:rFonts w:ascii="Cambria Math" w:hAnsi="Cambria Math"/>
            </w:rPr>
            <m:t>P</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default" w:ascii="Cambria Math" w:hAnsi="Cambria Math"/>
                    </w:rPr>
                    <m:t>i</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default" w:ascii="Cambria Math" w:hAnsi="Cambria Math"/>
                    </w:rPr>
                    <m:t>c</m:t>
                  </m:r>
                  <m:ctrlPr>
                    <w:rPr>
                      <w:rFonts w:ascii="Cambria Math" w:hAnsi="Cambria Math"/>
                      <w:i/>
                    </w:rPr>
                  </m:ctrlPr>
                </m:sub>
              </m:sSub>
              <m:ctrlPr>
                <w:rPr>
                  <w:rFonts w:ascii="Cambria Math" w:hAnsi="Cambria Math"/>
                  <w:i/>
                </w:rPr>
              </m:ctrlPr>
            </m:den>
          </m:f>
          <m:r>
            <m:rPr/>
            <w:rPr>
              <w:rFonts w:ascii="Cambria Math" w:hAnsi="Cambria Math"/>
            </w:rPr>
            <m:t>×100% ……………………………………</m:t>
          </m:r>
          <m:r>
            <m:rPr>
              <m:sty m:val="p"/>
            </m:rPr>
            <w:rPr>
              <w:rFonts w:ascii="Cambria Math" w:hAnsi="Cambria Math"/>
            </w:rPr>
            <m:t>(B.1)</m:t>
          </m:r>
        </m:oMath>
      </m:oMathPara>
    </w:p>
    <w:p>
      <w:pPr>
        <w:spacing w:line="276" w:lineRule="auto"/>
        <w:ind w:firstLine="420" w:firstLineChars="200"/>
        <w:jc w:val="left"/>
        <w:rPr>
          <w:szCs w:val="21"/>
        </w:rPr>
      </w:pPr>
      <w:r>
        <w:rPr>
          <w:szCs w:val="21"/>
        </w:rPr>
        <w:t>式中：</w:t>
      </w:r>
    </w:p>
    <w:p>
      <w:pPr>
        <w:spacing w:line="276" w:lineRule="auto"/>
        <w:ind w:firstLine="420" w:firstLineChars="200"/>
        <w:jc w:val="left"/>
        <w:rPr>
          <w:szCs w:val="21"/>
        </w:rPr>
      </w:pPr>
      <w:r>
        <w:rPr>
          <w:i/>
          <w:szCs w:val="21"/>
        </w:rPr>
        <w:t>P</w:t>
      </w:r>
      <w:r>
        <w:rPr>
          <w:szCs w:val="21"/>
        </w:rPr>
        <w:t>——</w:t>
      </w:r>
      <w:r>
        <w:rPr>
          <w:rFonts w:hint="eastAsia"/>
          <w:szCs w:val="21"/>
        </w:rPr>
        <w:t>固体废弃物利用率，%。</w:t>
      </w:r>
    </w:p>
    <w:p>
      <w:pPr>
        <w:spacing w:line="276" w:lineRule="auto"/>
        <w:ind w:firstLine="420" w:firstLineChars="200"/>
        <w:jc w:val="left"/>
        <w:rPr>
          <w:szCs w:val="21"/>
        </w:rPr>
      </w:pPr>
      <w:r>
        <w:rPr>
          <w:i/>
          <w:szCs w:val="21"/>
        </w:rPr>
        <w:t>M</w:t>
      </w:r>
      <w:r>
        <w:rPr>
          <w:i w:val="0"/>
          <w:iCs/>
          <w:szCs w:val="21"/>
          <w:vertAlign w:val="subscript"/>
        </w:rPr>
        <w:t>i</w:t>
      </w:r>
      <w:r>
        <w:rPr>
          <w:szCs w:val="21"/>
        </w:rPr>
        <w:t>——</w:t>
      </w:r>
      <w:r>
        <w:rPr>
          <w:rFonts w:hint="eastAsia"/>
          <w:szCs w:val="21"/>
        </w:rPr>
        <w:t>企业</w:t>
      </w:r>
      <w:r>
        <w:rPr>
          <w:szCs w:val="21"/>
        </w:rPr>
        <w:t>连续12个月</w:t>
      </w:r>
      <w:r>
        <w:rPr>
          <w:rFonts w:hint="eastAsia"/>
          <w:szCs w:val="21"/>
        </w:rPr>
        <w:t>平均生产每立方米</w:t>
      </w:r>
      <w:r>
        <w:rPr>
          <w:rFonts w:hint="eastAsia"/>
        </w:rPr>
        <w:t>UHPC构件</w:t>
      </w:r>
      <w:r>
        <w:rPr>
          <w:rFonts w:hint="eastAsia"/>
          <w:szCs w:val="21"/>
        </w:rPr>
        <w:t>固体废弃物使用量</w:t>
      </w:r>
      <w:r>
        <w:rPr>
          <w:szCs w:val="21"/>
        </w:rPr>
        <w:t>，单位为</w:t>
      </w:r>
      <w:r>
        <w:rPr>
          <w:rFonts w:hint="eastAsia"/>
          <w:szCs w:val="21"/>
        </w:rPr>
        <w:t>千克每立方米</w:t>
      </w:r>
      <w:r>
        <w:rPr>
          <w:szCs w:val="21"/>
        </w:rPr>
        <w:t>（kg</w:t>
      </w:r>
      <w:r>
        <w:rPr>
          <w:rFonts w:hint="eastAsia"/>
          <w:szCs w:val="21"/>
        </w:rPr>
        <w:t>/</w:t>
      </w:r>
      <w:r>
        <w:rPr>
          <w:szCs w:val="21"/>
        </w:rPr>
        <w:t>m</w:t>
      </w:r>
      <w:r>
        <w:rPr>
          <w:szCs w:val="21"/>
          <w:vertAlign w:val="superscript"/>
        </w:rPr>
        <w:t>3</w:t>
      </w:r>
      <w:r>
        <w:rPr>
          <w:szCs w:val="21"/>
        </w:rPr>
        <w:t>）；</w:t>
      </w:r>
    </w:p>
    <w:p>
      <w:pPr>
        <w:spacing w:line="276" w:lineRule="auto"/>
        <w:ind w:firstLine="420" w:firstLineChars="200"/>
        <w:jc w:val="left"/>
        <w:rPr>
          <w:szCs w:val="21"/>
        </w:rPr>
      </w:pPr>
      <w:r>
        <w:rPr>
          <w:i/>
          <w:szCs w:val="21"/>
        </w:rPr>
        <w:t>M</w:t>
      </w:r>
      <w:r>
        <w:rPr>
          <w:i w:val="0"/>
          <w:iCs/>
          <w:szCs w:val="21"/>
          <w:vertAlign w:val="subscript"/>
        </w:rPr>
        <w:t>c</w:t>
      </w:r>
      <w:r>
        <w:rPr>
          <w:i/>
          <w:szCs w:val="21"/>
          <w:vertAlign w:val="subscript"/>
        </w:rPr>
        <w:t xml:space="preserve"> </w:t>
      </w:r>
      <w:r>
        <w:rPr>
          <w:szCs w:val="21"/>
        </w:rPr>
        <w:t>——</w:t>
      </w:r>
      <w:r>
        <w:rPr>
          <w:rFonts w:hint="eastAsia"/>
          <w:szCs w:val="21"/>
        </w:rPr>
        <w:t>企业</w:t>
      </w:r>
      <w:r>
        <w:rPr>
          <w:szCs w:val="21"/>
        </w:rPr>
        <w:t>连续12个月</w:t>
      </w:r>
      <w:r>
        <w:rPr>
          <w:rFonts w:hint="eastAsia"/>
          <w:szCs w:val="21"/>
        </w:rPr>
        <w:t>平均生产每立方米</w:t>
      </w:r>
      <w:r>
        <w:rPr>
          <w:rFonts w:hint="eastAsia"/>
        </w:rPr>
        <w:t>UHPC构件</w:t>
      </w:r>
      <w:r>
        <w:rPr>
          <w:rFonts w:hint="eastAsia"/>
          <w:szCs w:val="21"/>
        </w:rPr>
        <w:t>原材料</w:t>
      </w:r>
      <w:r>
        <w:rPr>
          <w:szCs w:val="21"/>
        </w:rPr>
        <w:t>总量，单位为</w:t>
      </w:r>
      <w:r>
        <w:rPr>
          <w:rFonts w:hint="eastAsia"/>
          <w:szCs w:val="21"/>
        </w:rPr>
        <w:t>千克每立方米</w:t>
      </w:r>
      <w:r>
        <w:rPr>
          <w:szCs w:val="21"/>
        </w:rPr>
        <w:t>（kg</w:t>
      </w:r>
      <w:r>
        <w:rPr>
          <w:rFonts w:hint="eastAsia"/>
          <w:szCs w:val="21"/>
        </w:rPr>
        <w:t>/</w:t>
      </w:r>
      <w:r>
        <w:rPr>
          <w:szCs w:val="21"/>
        </w:rPr>
        <w:t>m</w:t>
      </w:r>
      <w:r>
        <w:rPr>
          <w:szCs w:val="21"/>
          <w:vertAlign w:val="superscript"/>
        </w:rPr>
        <w:t>3</w:t>
      </w:r>
      <w:r>
        <w:rPr>
          <w:szCs w:val="21"/>
        </w:rPr>
        <w:t>）</w:t>
      </w:r>
      <w:r>
        <w:rPr>
          <w:rFonts w:hint="eastAsia"/>
          <w:szCs w:val="21"/>
        </w:rPr>
        <w:t>。</w:t>
      </w:r>
    </w:p>
    <w:p>
      <w:pPr>
        <w:pStyle w:val="184"/>
        <w:outlineLvl w:val="1"/>
        <w:rPr>
          <w:rFonts w:ascii="黑体" w:hAnsi="黑体" w:eastAsia="黑体"/>
        </w:rPr>
      </w:pPr>
      <w:r>
        <w:rPr>
          <w:rFonts w:hint="eastAsia" w:ascii="黑体" w:hAnsi="黑体" w:eastAsia="黑体"/>
        </w:rPr>
        <w:t>B</w:t>
      </w:r>
      <w:r>
        <w:rPr>
          <w:rFonts w:ascii="黑体" w:hAnsi="黑体" w:eastAsia="黑体"/>
        </w:rPr>
        <w:t>.2</w:t>
      </w:r>
      <w:r>
        <w:rPr>
          <w:rFonts w:hint="eastAsia" w:ascii="黑体" w:hAnsi="黑体" w:eastAsia="黑体"/>
        </w:rPr>
        <w:t>非传统水源使用率</w:t>
      </w:r>
    </w:p>
    <w:p>
      <w:pPr>
        <w:pStyle w:val="26"/>
        <w:spacing w:line="360" w:lineRule="auto"/>
        <w:jc w:val="left"/>
        <w:rPr>
          <w:rFonts w:ascii="Times New Roman"/>
        </w:rPr>
      </w:pPr>
      <w:r>
        <w:t>统计期内</w:t>
      </w:r>
      <w:r>
        <w:rPr>
          <w:rFonts w:hint="eastAsia"/>
        </w:rPr>
        <w:t>UHPC构件</w:t>
      </w:r>
      <w:r>
        <w:rPr>
          <w:rFonts w:hint="eastAsia" w:ascii="Times New Roman"/>
        </w:rPr>
        <w:t>生产</w:t>
      </w:r>
      <w:r>
        <w:t>采用的</w:t>
      </w:r>
      <w:r>
        <w:rPr>
          <w:rFonts w:hint="eastAsia"/>
        </w:rPr>
        <w:t>非传统水源占生产</w:t>
      </w:r>
      <w:r>
        <w:t>用水总量的</w:t>
      </w:r>
      <w:r>
        <w:rPr>
          <w:rFonts w:hint="eastAsia"/>
        </w:rPr>
        <w:t>体积</w:t>
      </w:r>
      <w:r>
        <w:t>百分比</w:t>
      </w:r>
      <w:r>
        <w:rPr>
          <w:rFonts w:hint="eastAsia"/>
        </w:rPr>
        <w:t>，</w:t>
      </w:r>
      <w:r>
        <w:rPr>
          <w:rFonts w:ascii="Times New Roman"/>
        </w:rPr>
        <w:t>按公式（</w:t>
      </w:r>
      <w:r>
        <w:rPr>
          <w:rFonts w:ascii="Times New Roman"/>
          <w:szCs w:val="21"/>
        </w:rPr>
        <w:t>B.2</w:t>
      </w:r>
      <w:r>
        <w:rPr>
          <w:rFonts w:ascii="Times New Roman"/>
        </w:rPr>
        <w:t>）计算：</w:t>
      </w:r>
    </w:p>
    <w:p>
      <w:pPr>
        <w:pStyle w:val="74"/>
        <w:spacing w:line="360" w:lineRule="auto"/>
        <w:ind w:firstLine="420" w:firstLineChars="200"/>
        <w:jc w:val="right"/>
        <w:rPr>
          <w:rFonts w:ascii="Times New Roman"/>
          <w:kern w:val="2"/>
          <w:szCs w:val="21"/>
        </w:rPr>
      </w:pPr>
      <m:oMathPara>
        <m:oMathParaPr>
          <m:jc m:val="right"/>
        </m:oMathParaPr>
        <m:oMath>
          <m:r>
            <m:rPr/>
            <w:rPr>
              <w:rFonts w:ascii="Cambria Math" w:hAnsi="Cambria Math"/>
            </w:rPr>
            <m:t>R</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V</m:t>
                  </m:r>
                  <m:ctrlPr>
                    <w:rPr>
                      <w:rFonts w:ascii="Cambria Math" w:hAnsi="Cambria Math"/>
                      <w:i/>
                    </w:rPr>
                  </m:ctrlPr>
                </m:e>
                <m:sub>
                  <m:r>
                    <m:rPr>
                      <m:sty m:val="p"/>
                    </m:rPr>
                    <w:rPr>
                      <w:rFonts w:hint="default" w:ascii="Cambria Math" w:hAnsi="Cambria Math"/>
                    </w:rPr>
                    <m:t>n</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V</m:t>
                  </m:r>
                  <m:ctrlPr>
                    <w:rPr>
                      <w:rFonts w:ascii="Cambria Math" w:hAnsi="Cambria Math"/>
                      <w:i/>
                    </w:rPr>
                  </m:ctrlPr>
                </m:e>
                <m:sub>
                  <m:r>
                    <m:rPr>
                      <m:sty m:val="p"/>
                    </m:rPr>
                    <w:rPr>
                      <w:rFonts w:hint="default" w:ascii="Cambria Math" w:hAnsi="Cambria Math"/>
                    </w:rPr>
                    <m:t>t</m:t>
                  </m:r>
                  <m:ctrlPr>
                    <w:rPr>
                      <w:rFonts w:ascii="Cambria Math" w:hAnsi="Cambria Math"/>
                      <w:i/>
                    </w:rPr>
                  </m:ctrlPr>
                </m:sub>
              </m:sSub>
              <m:ctrlPr>
                <w:rPr>
                  <w:rFonts w:ascii="Cambria Math" w:hAnsi="Cambria Math"/>
                  <w:i/>
                </w:rPr>
              </m:ctrlPr>
            </m:den>
          </m:f>
          <m:r>
            <m:rPr/>
            <w:rPr>
              <w:rFonts w:ascii="Cambria Math" w:hAnsi="Cambria Math"/>
            </w:rPr>
            <m:t>×100% ……………………………………</m:t>
          </m:r>
          <m:r>
            <m:rPr>
              <m:sty m:val="p"/>
            </m:rPr>
            <w:rPr>
              <w:rFonts w:ascii="Cambria Math" w:hAnsi="Cambria Math"/>
            </w:rPr>
            <m:t>(B.2)</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szCs w:val="21"/>
        </w:rPr>
      </w:pPr>
      <w:r>
        <w:rPr>
          <w:i/>
          <w:szCs w:val="21"/>
        </w:rPr>
        <w:t>R</w:t>
      </w:r>
      <w:r>
        <w:rPr>
          <w:szCs w:val="21"/>
        </w:rPr>
        <w:t>——</w:t>
      </w:r>
      <w:r>
        <w:rPr>
          <w:rFonts w:hint="eastAsia"/>
        </w:rPr>
        <w:t>非传统水源使用率</w:t>
      </w:r>
      <w:r>
        <w:rPr>
          <w:rFonts w:hint="eastAsia"/>
          <w:szCs w:val="21"/>
        </w:rPr>
        <w:t>，%。</w:t>
      </w:r>
    </w:p>
    <w:p>
      <w:pPr>
        <w:spacing w:line="360" w:lineRule="auto"/>
        <w:ind w:firstLine="420" w:firstLineChars="200"/>
        <w:jc w:val="left"/>
        <w:rPr>
          <w:szCs w:val="21"/>
        </w:rPr>
      </w:pPr>
      <w:r>
        <w:rPr>
          <w:i/>
          <w:szCs w:val="21"/>
        </w:rPr>
        <w:t>V</w:t>
      </w:r>
      <w:r>
        <w:rPr>
          <w:i w:val="0"/>
          <w:iCs/>
          <w:szCs w:val="21"/>
          <w:vertAlign w:val="subscript"/>
        </w:rPr>
        <w:t>n</w:t>
      </w:r>
      <w:r>
        <w:rPr>
          <w:szCs w:val="21"/>
        </w:rPr>
        <w:t>——</w:t>
      </w:r>
      <w:r>
        <w:rPr>
          <w:rFonts w:hint="eastAsia"/>
          <w:szCs w:val="21"/>
        </w:rPr>
        <w:t>企业</w:t>
      </w:r>
      <w:r>
        <w:rPr>
          <w:szCs w:val="21"/>
        </w:rPr>
        <w:t>连续12个月生产采用的</w:t>
      </w:r>
      <w:r>
        <w:rPr>
          <w:rFonts w:hint="eastAsia"/>
        </w:rPr>
        <w:t>非传统水源用量</w:t>
      </w:r>
      <w:r>
        <w:t>，单位为立方米（</w:t>
      </w:r>
      <w:r>
        <w:rPr>
          <w:rFonts w:hint="eastAsia"/>
        </w:rPr>
        <w:t>m</w:t>
      </w:r>
      <w:r>
        <w:rPr>
          <w:vertAlign w:val="superscript"/>
        </w:rPr>
        <w:t>3</w:t>
      </w:r>
      <w:r>
        <w:t>）</w:t>
      </w:r>
      <w:r>
        <w:rPr>
          <w:rFonts w:hint="eastAsia"/>
          <w:szCs w:val="21"/>
        </w:rPr>
        <w:t>；</w:t>
      </w:r>
    </w:p>
    <w:p>
      <w:pPr>
        <w:spacing w:line="360" w:lineRule="auto"/>
        <w:ind w:firstLine="420" w:firstLineChars="200"/>
        <w:jc w:val="left"/>
      </w:pPr>
      <w:r>
        <w:rPr>
          <w:i/>
          <w:szCs w:val="21"/>
        </w:rPr>
        <w:t>V</w:t>
      </w:r>
      <w:r>
        <w:rPr>
          <w:i w:val="0"/>
          <w:iCs/>
          <w:szCs w:val="21"/>
          <w:vertAlign w:val="subscript"/>
        </w:rPr>
        <w:t>t</w:t>
      </w:r>
      <w:r>
        <w:rPr>
          <w:i/>
          <w:szCs w:val="21"/>
          <w:vertAlign w:val="subscript"/>
        </w:rPr>
        <w:t xml:space="preserve"> </w:t>
      </w:r>
      <w:r>
        <w:rPr>
          <w:szCs w:val="21"/>
        </w:rPr>
        <w:t>——</w:t>
      </w:r>
      <w:r>
        <w:rPr>
          <w:rFonts w:hint="eastAsia"/>
          <w:szCs w:val="21"/>
        </w:rPr>
        <w:t>企业</w:t>
      </w:r>
      <w:r>
        <w:rPr>
          <w:szCs w:val="21"/>
        </w:rPr>
        <w:t>连续12个月生产的</w:t>
      </w:r>
      <w:r>
        <w:rPr>
          <w:rFonts w:hint="eastAsia"/>
        </w:rPr>
        <w:t>用水总量</w:t>
      </w:r>
      <w:r>
        <w:t>，单位为立方米（</w:t>
      </w:r>
      <w:r>
        <w:rPr>
          <w:rFonts w:hint="eastAsia"/>
        </w:rPr>
        <w:t>m</w:t>
      </w:r>
      <w:r>
        <w:rPr>
          <w:vertAlign w:val="superscript"/>
        </w:rPr>
        <w:t>3</w:t>
      </w:r>
      <w:r>
        <w:t>）</w:t>
      </w:r>
      <w:r>
        <w:rPr>
          <w:rFonts w:hint="eastAsia"/>
          <w:szCs w:val="21"/>
        </w:rPr>
        <w:t>。</w:t>
      </w:r>
    </w:p>
    <w:p>
      <w:pPr>
        <w:pStyle w:val="184"/>
        <w:outlineLvl w:val="1"/>
        <w:rPr>
          <w:rFonts w:ascii="黑体" w:hAnsi="黑体" w:eastAsia="黑体"/>
        </w:rPr>
      </w:pPr>
      <w:r>
        <w:rPr>
          <w:rFonts w:hint="eastAsia" w:ascii="黑体" w:hAnsi="黑体" w:eastAsia="黑体"/>
        </w:rPr>
        <w:t>B</w:t>
      </w:r>
      <w:r>
        <w:rPr>
          <w:rFonts w:ascii="黑体" w:hAnsi="黑体" w:eastAsia="黑体"/>
        </w:rPr>
        <w:t>.3</w:t>
      </w:r>
      <w:r>
        <w:rPr>
          <w:rFonts w:hint="eastAsia" w:ascii="黑体" w:hAnsi="黑体" w:eastAsia="黑体"/>
        </w:rPr>
        <w:t>标准化模板或工具式模板使用率</w:t>
      </w:r>
    </w:p>
    <w:p>
      <w:pPr>
        <w:pStyle w:val="26"/>
        <w:spacing w:line="360" w:lineRule="auto"/>
        <w:jc w:val="left"/>
        <w:rPr>
          <w:rFonts w:ascii="Times New Roman"/>
        </w:rPr>
      </w:pPr>
      <w:r>
        <w:t>统计期内</w:t>
      </w:r>
      <w:r>
        <w:rPr>
          <w:rFonts w:hint="eastAsia"/>
        </w:rPr>
        <w:t>UHPC构件</w:t>
      </w:r>
      <w:r>
        <w:rPr>
          <w:rFonts w:hint="eastAsia" w:ascii="Times New Roman"/>
        </w:rPr>
        <w:t>生产</w:t>
      </w:r>
      <w:r>
        <w:t>采用的标准化或工具式模板套数占</w:t>
      </w:r>
      <w:r>
        <w:rPr>
          <w:rFonts w:hint="eastAsia"/>
        </w:rPr>
        <w:t>使用</w:t>
      </w:r>
      <w:r>
        <w:t>模板总套数的百分</w:t>
      </w:r>
      <w:r>
        <w:rPr>
          <w:rFonts w:hint="eastAsia"/>
        </w:rPr>
        <w:t>比，</w:t>
      </w:r>
      <w:r>
        <w:rPr>
          <w:rFonts w:ascii="Times New Roman"/>
        </w:rPr>
        <w:t>按公式（</w:t>
      </w:r>
      <w:r>
        <w:rPr>
          <w:rFonts w:ascii="Times New Roman"/>
          <w:szCs w:val="21"/>
        </w:rPr>
        <w:t>B.3</w:t>
      </w:r>
      <w:r>
        <w:rPr>
          <w:rFonts w:ascii="Times New Roman"/>
        </w:rPr>
        <w:t>）计算：</w:t>
      </w:r>
    </w:p>
    <w:p>
      <w:pPr>
        <w:pStyle w:val="74"/>
        <w:spacing w:line="360" w:lineRule="auto"/>
        <w:ind w:firstLine="420" w:firstLineChars="200"/>
        <w:jc w:val="right"/>
        <w:rPr>
          <w:rFonts w:ascii="Times New Roman"/>
          <w:kern w:val="2"/>
          <w:szCs w:val="21"/>
        </w:rPr>
      </w:pPr>
      <m:oMathPara>
        <m:oMathParaPr>
          <m:jc m:val="right"/>
        </m:oMathParaPr>
        <m:oMath>
          <m:r>
            <m:rPr/>
            <w:rPr>
              <w:rFonts w:ascii="Cambria Math" w:hAnsi="Cambria Math"/>
            </w:rPr>
            <m:t>Q</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default" w:ascii="Cambria Math" w:hAnsi="Cambria Math"/>
                    </w:rPr>
                    <m:t>s</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default" w:ascii="Cambria Math" w:hAnsi="Cambria Math"/>
                    </w:rPr>
                    <m:t>t</m:t>
                  </m:r>
                  <m:ctrlPr>
                    <w:rPr>
                      <w:rFonts w:ascii="Cambria Math" w:hAnsi="Cambria Math"/>
                      <w:i/>
                    </w:rPr>
                  </m:ctrlPr>
                </m:sub>
              </m:sSub>
              <m:ctrlPr>
                <w:rPr>
                  <w:rFonts w:ascii="Cambria Math" w:hAnsi="Cambria Math"/>
                  <w:i/>
                </w:rPr>
              </m:ctrlPr>
            </m:den>
          </m:f>
          <m:r>
            <m:rPr/>
            <w:rPr>
              <w:rFonts w:ascii="Cambria Math" w:hAnsi="Cambria Math"/>
            </w:rPr>
            <m:t>×100% ……………………………………</m:t>
          </m:r>
          <m:r>
            <m:rPr>
              <m:sty m:val="p"/>
            </m:rPr>
            <w:rPr>
              <w:rFonts w:ascii="Cambria Math" w:hAnsi="Cambria Math"/>
            </w:rPr>
            <m:t>(B.3)</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szCs w:val="21"/>
        </w:rPr>
      </w:pPr>
      <w:r>
        <w:rPr>
          <w:i/>
          <w:szCs w:val="21"/>
        </w:rPr>
        <w:t>Q</w:t>
      </w:r>
      <w:r>
        <w:rPr>
          <w:szCs w:val="21"/>
        </w:rPr>
        <w:t>——</w:t>
      </w:r>
      <w:r>
        <w:rPr>
          <w:rFonts w:hint="eastAsia"/>
        </w:rPr>
        <w:t>标准化模板或工具式模板使用率</w:t>
      </w:r>
      <w:r>
        <w:rPr>
          <w:rFonts w:hint="eastAsia"/>
          <w:szCs w:val="21"/>
        </w:rPr>
        <w:t>，%。</w:t>
      </w:r>
    </w:p>
    <w:p>
      <w:pPr>
        <w:spacing w:line="360" w:lineRule="auto"/>
        <w:ind w:firstLine="420" w:firstLineChars="200"/>
        <w:jc w:val="left"/>
        <w:rPr>
          <w:szCs w:val="21"/>
        </w:rPr>
      </w:pPr>
      <w:r>
        <w:rPr>
          <w:i/>
          <w:szCs w:val="21"/>
        </w:rPr>
        <w:t>M</w:t>
      </w:r>
      <w:r>
        <w:rPr>
          <w:i w:val="0"/>
          <w:iCs/>
          <w:szCs w:val="21"/>
          <w:vertAlign w:val="subscript"/>
        </w:rPr>
        <w:t>s</w:t>
      </w:r>
      <w:r>
        <w:rPr>
          <w:szCs w:val="21"/>
        </w:rPr>
        <w:t>——</w:t>
      </w:r>
      <w:r>
        <w:rPr>
          <w:rFonts w:hint="eastAsia"/>
          <w:szCs w:val="21"/>
        </w:rPr>
        <w:t>企业</w:t>
      </w:r>
      <w:r>
        <w:rPr>
          <w:szCs w:val="21"/>
        </w:rPr>
        <w:t>连续12个月生产采用的</w:t>
      </w:r>
      <w:r>
        <w:t>标准化或工具式模板套数</w:t>
      </w:r>
      <w:r>
        <w:rPr>
          <w:rFonts w:hint="eastAsia"/>
          <w:szCs w:val="21"/>
        </w:rPr>
        <w:t>；</w:t>
      </w:r>
    </w:p>
    <w:p>
      <w:pPr>
        <w:spacing w:line="360" w:lineRule="auto"/>
        <w:ind w:firstLine="420" w:firstLineChars="200"/>
        <w:jc w:val="left"/>
      </w:pPr>
      <w:r>
        <w:rPr>
          <w:i/>
          <w:szCs w:val="21"/>
        </w:rPr>
        <w:t>M</w:t>
      </w:r>
      <w:r>
        <w:rPr>
          <w:i w:val="0"/>
          <w:iCs/>
          <w:szCs w:val="21"/>
          <w:vertAlign w:val="subscript"/>
        </w:rPr>
        <w:t>t</w:t>
      </w:r>
      <w:r>
        <w:rPr>
          <w:i/>
          <w:szCs w:val="21"/>
          <w:vertAlign w:val="subscript"/>
        </w:rPr>
        <w:t xml:space="preserve"> </w:t>
      </w:r>
      <w:r>
        <w:rPr>
          <w:szCs w:val="21"/>
        </w:rPr>
        <w:t>——</w:t>
      </w:r>
      <w:r>
        <w:rPr>
          <w:rFonts w:hint="eastAsia"/>
          <w:szCs w:val="21"/>
        </w:rPr>
        <w:t>企业</w:t>
      </w:r>
      <w:r>
        <w:rPr>
          <w:szCs w:val="21"/>
        </w:rPr>
        <w:t>连续12个月生产采用的</w:t>
      </w:r>
      <w:r>
        <w:t>模板总套数</w:t>
      </w:r>
      <w:r>
        <w:rPr>
          <w:rFonts w:hint="eastAsia"/>
          <w:szCs w:val="21"/>
        </w:rPr>
        <w:t>。</w:t>
      </w:r>
    </w:p>
    <w:p>
      <w:pPr>
        <w:pStyle w:val="184"/>
        <w:outlineLvl w:val="1"/>
        <w:rPr>
          <w:rFonts w:ascii="黑体" w:hAnsi="黑体" w:eastAsia="黑体"/>
        </w:rPr>
      </w:pPr>
      <w:bookmarkStart w:id="101" w:name="_Toc459106426"/>
      <w:bookmarkStart w:id="102" w:name="_Toc456611296"/>
      <w:r>
        <w:rPr>
          <w:rFonts w:ascii="黑体" w:hAnsi="黑体" w:eastAsia="黑体"/>
        </w:rPr>
        <w:t>B.4</w:t>
      </w:r>
      <w:r>
        <w:rPr>
          <w:rFonts w:hint="eastAsia" w:ascii="黑体" w:hAnsi="黑体" w:eastAsia="黑体"/>
        </w:rPr>
        <w:t>模具循环利用次数</w:t>
      </w:r>
    </w:p>
    <w:p>
      <w:pPr>
        <w:pStyle w:val="26"/>
        <w:spacing w:line="360" w:lineRule="auto"/>
        <w:jc w:val="left"/>
        <w:rPr>
          <w:rFonts w:ascii="Times New Roman"/>
        </w:rPr>
      </w:pPr>
      <w:r>
        <w:t>统计期内</w:t>
      </w:r>
      <w:r>
        <w:rPr>
          <w:rFonts w:hint="eastAsia"/>
        </w:rPr>
        <w:t>UHPC构件</w:t>
      </w:r>
      <w:r>
        <w:rPr>
          <w:rFonts w:hint="eastAsia" w:ascii="Times New Roman"/>
        </w:rPr>
        <w:t>生产产品总面积与使用</w:t>
      </w:r>
      <w:r>
        <w:t>模板</w:t>
      </w:r>
      <w:r>
        <w:rPr>
          <w:rFonts w:hint="eastAsia"/>
        </w:rPr>
        <w:t>总面积之比，</w:t>
      </w:r>
      <w:r>
        <w:rPr>
          <w:rFonts w:ascii="Times New Roman"/>
        </w:rPr>
        <w:t>按公式（</w:t>
      </w:r>
      <w:r>
        <w:rPr>
          <w:rFonts w:ascii="Times New Roman"/>
          <w:szCs w:val="21"/>
        </w:rPr>
        <w:t>B.4</w:t>
      </w:r>
      <w:r>
        <w:rPr>
          <w:rFonts w:ascii="Times New Roman"/>
        </w:rPr>
        <w:t>）计算：</w:t>
      </w:r>
    </w:p>
    <w:p>
      <w:pPr>
        <w:pStyle w:val="74"/>
        <w:spacing w:line="360" w:lineRule="auto"/>
        <w:ind w:firstLine="420" w:firstLineChars="200"/>
        <w:jc w:val="right"/>
        <w:rPr>
          <w:rFonts w:ascii="Times New Roman"/>
          <w:kern w:val="2"/>
          <w:szCs w:val="21"/>
        </w:rPr>
      </w:pPr>
      <m:oMathPara>
        <m:oMathParaPr>
          <m:jc m:val="right"/>
        </m:oMathParaPr>
        <m:oMath>
          <m:r>
            <m:rPr>
              <m:sty m:val="p"/>
            </m:rPr>
            <w:rPr>
              <w:rFonts w:hint="eastAsia" w:ascii="Cambria Math" w:hAnsi="Cambria Math"/>
            </w:rPr>
            <m:t>N</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hint="eastAsia" w:ascii="Cambria Math" w:hAnsi="Cambria Math"/>
                    </w:rPr>
                    <m:t>S</m:t>
                  </m:r>
                  <m:ctrlPr>
                    <w:rPr>
                      <w:rFonts w:ascii="Cambria Math" w:hAnsi="Cambria Math"/>
                      <w:i/>
                    </w:rPr>
                  </m:ctrlPr>
                </m:e>
                <m:sub>
                  <m:r>
                    <m:rPr>
                      <m:sty m:val="p"/>
                    </m:rPr>
                    <w:rPr>
                      <w:rFonts w:hint="default" w:ascii="Cambria Math" w:hAnsi="Cambria Math"/>
                    </w:rPr>
                    <m:t>p</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hint="eastAsia" w:ascii="Cambria Math" w:hAnsi="Cambria Math"/>
                    </w:rPr>
                    <m:t>S</m:t>
                  </m:r>
                  <m:ctrlPr>
                    <w:rPr>
                      <w:rFonts w:ascii="Cambria Math" w:hAnsi="Cambria Math"/>
                      <w:i/>
                    </w:rPr>
                  </m:ctrlPr>
                </m:e>
                <m:sub>
                  <m:r>
                    <m:rPr>
                      <m:sty m:val="p"/>
                    </m:rPr>
                    <w:rPr>
                      <w:rFonts w:hint="default" w:ascii="Cambria Math" w:hAnsi="Cambria Math"/>
                    </w:rPr>
                    <m:t>m</m:t>
                  </m:r>
                  <m:ctrlPr>
                    <w:rPr>
                      <w:rFonts w:ascii="Cambria Math" w:hAnsi="Cambria Math"/>
                      <w:i/>
                    </w:rPr>
                  </m:ctrlPr>
                </m:sub>
              </m:sSub>
              <m:ctrlPr>
                <w:rPr>
                  <w:rFonts w:ascii="Cambria Math" w:hAnsi="Cambria Math"/>
                  <w:i/>
                </w:rPr>
              </m:ctrlPr>
            </m:den>
          </m:f>
          <m:r>
            <m:rPr/>
            <w:rPr>
              <w:rFonts w:ascii="Cambria Math" w:hAnsi="Cambria Math"/>
            </w:rPr>
            <m:t>×100% ……………………………………</m:t>
          </m:r>
          <m:d>
            <m:dPr>
              <m:ctrlPr>
                <w:rPr>
                  <w:rFonts w:ascii="Cambria Math" w:hAnsi="Cambria Math"/>
                </w:rPr>
              </m:ctrlPr>
            </m:dPr>
            <m:e>
              <m:r>
                <m:rPr>
                  <m:sty m:val="p"/>
                </m:rPr>
                <w:rPr>
                  <w:rFonts w:ascii="Cambria Math" w:hAnsi="Cambria Math"/>
                </w:rPr>
                <m:t>B.4</m:t>
              </m:r>
              <m:ctrlPr>
                <w:rPr>
                  <w:rFonts w:ascii="Cambria Math" w:hAnsi="Cambria Math"/>
                </w:rPr>
              </m:ctrlPr>
            </m:e>
          </m:d>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szCs w:val="21"/>
        </w:rPr>
      </w:pPr>
      <w:r>
        <w:rPr>
          <w:rFonts w:hint="eastAsia"/>
          <w:szCs w:val="21"/>
        </w:rPr>
        <w:t>N</w:t>
      </w:r>
      <w:r>
        <w:rPr>
          <w:szCs w:val="21"/>
        </w:rPr>
        <w:t>——</w:t>
      </w:r>
      <w:r>
        <w:rPr>
          <w:rFonts w:hint="eastAsia"/>
        </w:rPr>
        <w:t>模具循环利用次数</w:t>
      </w:r>
      <w:r>
        <w:rPr>
          <w:rFonts w:hint="eastAsia"/>
          <w:szCs w:val="21"/>
        </w:rPr>
        <w:t>；</w:t>
      </w:r>
    </w:p>
    <w:p>
      <w:pPr>
        <w:spacing w:line="360" w:lineRule="auto"/>
        <w:ind w:firstLine="420" w:firstLineChars="200"/>
        <w:jc w:val="left"/>
        <w:rPr>
          <w:szCs w:val="21"/>
        </w:rPr>
      </w:pPr>
      <w:r>
        <w:rPr>
          <w:i/>
          <w:szCs w:val="21"/>
        </w:rPr>
        <w:t>S</w:t>
      </w:r>
      <w:r>
        <w:rPr>
          <w:i w:val="0"/>
          <w:iCs/>
          <w:szCs w:val="21"/>
          <w:vertAlign w:val="subscript"/>
        </w:rPr>
        <w:t>p</w:t>
      </w:r>
      <w:r>
        <w:rPr>
          <w:szCs w:val="21"/>
        </w:rPr>
        <w:t>——</w:t>
      </w:r>
      <w:r>
        <w:rPr>
          <w:rFonts w:hint="eastAsia"/>
          <w:szCs w:val="21"/>
        </w:rPr>
        <w:t>企业</w:t>
      </w:r>
      <w:r>
        <w:rPr>
          <w:szCs w:val="21"/>
        </w:rPr>
        <w:t>连续12个月生产</w:t>
      </w:r>
      <w:r>
        <w:rPr>
          <w:rFonts w:hint="eastAsia"/>
        </w:rPr>
        <w:t>产品总面积，</w:t>
      </w:r>
      <w:r>
        <w:rPr>
          <w:szCs w:val="21"/>
        </w:rPr>
        <w:t>单位为</w:t>
      </w:r>
      <w:r>
        <w:rPr>
          <w:rFonts w:hint="eastAsia"/>
          <w:szCs w:val="21"/>
        </w:rPr>
        <w:t>平方米</w:t>
      </w:r>
      <w:r>
        <w:rPr>
          <w:szCs w:val="21"/>
        </w:rPr>
        <w:t>（m</w:t>
      </w:r>
      <w:r>
        <w:rPr>
          <w:szCs w:val="21"/>
          <w:vertAlign w:val="superscript"/>
        </w:rPr>
        <w:t>2</w:t>
      </w:r>
      <w:r>
        <w:rPr>
          <w:szCs w:val="21"/>
        </w:rPr>
        <w:t>）；</w:t>
      </w:r>
    </w:p>
    <w:p>
      <w:pPr>
        <w:spacing w:line="360" w:lineRule="auto"/>
        <w:ind w:firstLine="420" w:firstLineChars="200"/>
        <w:jc w:val="left"/>
        <w:rPr>
          <w:rFonts w:ascii="黑体" w:hAnsi="黑体" w:eastAsia="黑体"/>
        </w:rPr>
      </w:pPr>
      <w:r>
        <w:rPr>
          <w:i/>
          <w:szCs w:val="21"/>
        </w:rPr>
        <w:t>S</w:t>
      </w:r>
      <w:r>
        <w:rPr>
          <w:i w:val="0"/>
          <w:iCs/>
          <w:szCs w:val="21"/>
          <w:vertAlign w:val="subscript"/>
        </w:rPr>
        <w:t>m</w:t>
      </w:r>
      <w:r>
        <w:rPr>
          <w:szCs w:val="21"/>
        </w:rPr>
        <w:t>——</w:t>
      </w:r>
      <w:r>
        <w:rPr>
          <w:rFonts w:hint="eastAsia"/>
          <w:szCs w:val="21"/>
        </w:rPr>
        <w:t>企业</w:t>
      </w:r>
      <w:r>
        <w:rPr>
          <w:szCs w:val="21"/>
        </w:rPr>
        <w:t>连续12个月</w:t>
      </w:r>
      <w:r>
        <w:rPr>
          <w:rFonts w:hint="eastAsia"/>
        </w:rPr>
        <w:t>使用</w:t>
      </w:r>
      <w:r>
        <w:t>模板</w:t>
      </w:r>
      <w:r>
        <w:rPr>
          <w:rFonts w:hint="eastAsia"/>
        </w:rPr>
        <w:t>总面积，</w:t>
      </w:r>
      <w:r>
        <w:rPr>
          <w:szCs w:val="21"/>
        </w:rPr>
        <w:t>单位为</w:t>
      </w:r>
      <w:r>
        <w:rPr>
          <w:rFonts w:hint="eastAsia"/>
          <w:szCs w:val="21"/>
        </w:rPr>
        <w:t>平方米</w:t>
      </w:r>
      <w:r>
        <w:rPr>
          <w:szCs w:val="21"/>
        </w:rPr>
        <w:t>（m</w:t>
      </w:r>
      <w:r>
        <w:rPr>
          <w:szCs w:val="21"/>
          <w:vertAlign w:val="superscript"/>
        </w:rPr>
        <w:t>2</w:t>
      </w:r>
      <w:r>
        <w:rPr>
          <w:szCs w:val="21"/>
        </w:rPr>
        <w:t>）</w:t>
      </w:r>
      <w:r>
        <w:rPr>
          <w:rFonts w:hint="eastAsia"/>
          <w:szCs w:val="21"/>
        </w:rPr>
        <w:t>。</w:t>
      </w:r>
    </w:p>
    <w:p>
      <w:pPr>
        <w:pStyle w:val="184"/>
        <w:outlineLvl w:val="1"/>
        <w:rPr>
          <w:rFonts w:ascii="黑体" w:hAnsi="黑体" w:eastAsia="黑体"/>
        </w:rPr>
      </w:pPr>
      <w:r>
        <w:rPr>
          <w:rFonts w:ascii="黑体" w:hAnsi="黑体" w:eastAsia="黑体"/>
        </w:rPr>
        <w:t>B.</w:t>
      </w:r>
      <w:bookmarkEnd w:id="101"/>
      <w:bookmarkEnd w:id="102"/>
      <w:r>
        <w:rPr>
          <w:rFonts w:ascii="黑体" w:hAnsi="黑体" w:eastAsia="黑体"/>
        </w:rPr>
        <w:t>5</w:t>
      </w:r>
      <w:r>
        <w:rPr>
          <w:rFonts w:hint="eastAsia" w:ascii="黑体" w:hAnsi="黑体" w:eastAsia="黑体"/>
        </w:rPr>
        <w:t>单位产品养护能耗占总能耗比例</w:t>
      </w:r>
    </w:p>
    <w:p>
      <w:pPr>
        <w:pStyle w:val="26"/>
        <w:spacing w:line="360" w:lineRule="auto"/>
        <w:jc w:val="left"/>
      </w:pPr>
      <w:r>
        <w:t>统计期内</w:t>
      </w:r>
      <w:r>
        <w:rPr>
          <w:rFonts w:hint="eastAsia"/>
        </w:rPr>
        <w:t>UHPC构件</w:t>
      </w:r>
      <w:r>
        <w:rPr>
          <w:rFonts w:hint="eastAsia" w:ascii="Times New Roman"/>
        </w:rPr>
        <w:t>生产过程</w:t>
      </w:r>
      <w:r>
        <w:rPr>
          <w:rFonts w:hint="eastAsia"/>
        </w:rPr>
        <w:t>所需养护</w:t>
      </w:r>
      <w:r>
        <w:rPr>
          <w:rFonts w:hint="eastAsia" w:ascii="Times New Roman"/>
        </w:rPr>
        <w:t>能耗占生产总能耗百分比，</w:t>
      </w:r>
      <w:r>
        <w:rPr>
          <w:rFonts w:ascii="Times New Roman"/>
        </w:rPr>
        <w:t>按公式（</w:t>
      </w:r>
      <w:r>
        <w:rPr>
          <w:rFonts w:ascii="Times New Roman"/>
          <w:szCs w:val="21"/>
        </w:rPr>
        <w:t>B.5</w:t>
      </w:r>
      <w:r>
        <w:rPr>
          <w:rFonts w:ascii="Times New Roman"/>
        </w:rPr>
        <w:t>）计算：</w:t>
      </w:r>
    </w:p>
    <w:p>
      <w:pPr>
        <w:pStyle w:val="74"/>
        <w:spacing w:line="360" w:lineRule="auto"/>
        <w:ind w:firstLine="420" w:firstLineChars="200"/>
        <w:jc w:val="right"/>
        <w:rPr>
          <w:rFonts w:ascii="Times New Roman"/>
        </w:rPr>
      </w:pPr>
      <m:oMathPara>
        <m:oMathParaPr>
          <m:jc m:val="right"/>
        </m:oMathParaPr>
        <m:oMath>
          <m:r>
            <m:rPr/>
            <w:rPr>
              <w:rFonts w:ascii="Cambria Math" w:hAnsi="Cambria Math"/>
            </w:rPr>
            <m:t>S</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E</m:t>
                  </m:r>
                  <m:ctrlPr>
                    <w:rPr>
                      <w:rFonts w:ascii="Cambria Math" w:hAnsi="Cambria Math"/>
                      <w:i/>
                    </w:rPr>
                  </m:ctrlPr>
                </m:e>
                <m:sub>
                  <m:r>
                    <m:rPr>
                      <m:sty m:val="p"/>
                    </m:rPr>
                    <w:rPr>
                      <w:rFonts w:hint="default" w:ascii="Cambria Math" w:hAnsi="Cambria Math"/>
                    </w:rPr>
                    <m:t>c</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E</m:t>
                  </m:r>
                  <m:ctrlPr>
                    <w:rPr>
                      <w:rFonts w:ascii="Cambria Math" w:hAnsi="Cambria Math"/>
                      <w:i/>
                    </w:rPr>
                  </m:ctrlPr>
                </m:e>
                <m:sub>
                  <m:r>
                    <m:rPr>
                      <m:sty m:val="p"/>
                    </m:rPr>
                    <w:rPr>
                      <w:rFonts w:hint="default" w:ascii="Cambria Math" w:hAnsi="Cambria Math"/>
                    </w:rPr>
                    <m:t>t</m:t>
                  </m:r>
                  <m:ctrlPr>
                    <w:rPr>
                      <w:rFonts w:ascii="Cambria Math" w:hAnsi="Cambria Math"/>
                      <w:i/>
                    </w:rPr>
                  </m:ctrlPr>
                </m:sub>
              </m:sSub>
              <m:ctrlPr>
                <w:rPr>
                  <w:rFonts w:ascii="Cambria Math" w:hAnsi="Cambria Math"/>
                  <w:i/>
                </w:rPr>
              </m:ctrlPr>
            </m:den>
          </m:f>
          <m:r>
            <m:rPr/>
            <w:rPr>
              <w:rFonts w:ascii="Cambria Math" w:hAnsi="Cambria Math"/>
            </w:rPr>
            <m:t>………………………………………</m:t>
          </m:r>
          <m:r>
            <m:rPr>
              <m:sty m:val="p"/>
            </m:rPr>
            <w:rPr>
              <w:rFonts w:ascii="Cambria Math" w:hAnsi="Cambria Math"/>
            </w:rPr>
            <m:t>(B.5)</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szCs w:val="21"/>
        </w:rPr>
      </w:pPr>
      <w:r>
        <w:rPr>
          <w:rFonts w:hint="eastAsia"/>
          <w:i/>
        </w:rPr>
        <w:t>S</w:t>
      </w:r>
      <w:r>
        <w:rPr>
          <w:szCs w:val="21"/>
        </w:rPr>
        <w:t xml:space="preserve"> ——</w:t>
      </w:r>
      <w:r>
        <w:rPr>
          <w:rFonts w:hint="eastAsia"/>
          <w:szCs w:val="21"/>
        </w:rPr>
        <w:t>单位产品养护能耗占总能耗比例</w:t>
      </w:r>
      <w:r>
        <w:rPr>
          <w:szCs w:val="21"/>
        </w:rPr>
        <w:t>，</w:t>
      </w:r>
      <w:r>
        <w:rPr>
          <w:rFonts w:hint="eastAsia"/>
          <w:szCs w:val="21"/>
        </w:rPr>
        <w:t>%</w:t>
      </w:r>
      <w:r>
        <w:rPr>
          <w:szCs w:val="21"/>
        </w:rPr>
        <w:t>；</w:t>
      </w:r>
    </w:p>
    <w:p>
      <w:pPr>
        <w:spacing w:line="360" w:lineRule="auto"/>
        <w:ind w:firstLine="420" w:firstLineChars="200"/>
        <w:jc w:val="left"/>
        <w:rPr>
          <w:szCs w:val="21"/>
        </w:rPr>
      </w:pPr>
      <w:r>
        <w:rPr>
          <w:rFonts w:hint="eastAsia"/>
          <w:i/>
        </w:rPr>
        <w:t>E</w:t>
      </w:r>
      <w:r>
        <w:rPr>
          <w:rFonts w:hint="eastAsia"/>
          <w:vertAlign w:val="subscript"/>
        </w:rPr>
        <w:t>c</w:t>
      </w:r>
      <w:r>
        <w:rPr>
          <w:i/>
          <w:szCs w:val="21"/>
        </w:rPr>
        <w:t xml:space="preserve"> </w:t>
      </w:r>
      <w:r>
        <w:rPr>
          <w:szCs w:val="21"/>
        </w:rPr>
        <w:t>——</w:t>
      </w:r>
      <w:r>
        <w:rPr>
          <w:rFonts w:hint="eastAsia"/>
        </w:rPr>
        <w:t>企业连续12个月生产</w:t>
      </w:r>
      <w:r>
        <w:rPr>
          <w:rFonts w:hint="eastAsia"/>
          <w:szCs w:val="21"/>
        </w:rPr>
        <w:t>每立方米</w:t>
      </w:r>
      <w:r>
        <w:rPr>
          <w:rFonts w:hint="eastAsia"/>
        </w:rPr>
        <w:t>UHPC构件所需养护</w:t>
      </w:r>
      <w:r>
        <w:rPr>
          <w:szCs w:val="21"/>
        </w:rPr>
        <w:t>耗能，单位为千克标准煤</w:t>
      </w:r>
      <w:r>
        <w:rPr>
          <w:rFonts w:hint="eastAsia"/>
          <w:szCs w:val="21"/>
        </w:rPr>
        <w:t>每立方米</w:t>
      </w:r>
      <w:r>
        <w:rPr>
          <w:szCs w:val="21"/>
        </w:rPr>
        <w:t>（kgce/m</w:t>
      </w:r>
      <w:r>
        <w:rPr>
          <w:szCs w:val="21"/>
          <w:vertAlign w:val="superscript"/>
        </w:rPr>
        <w:t>3</w:t>
      </w:r>
      <w:r>
        <w:rPr>
          <w:szCs w:val="21"/>
        </w:rPr>
        <w:t>）；</w:t>
      </w:r>
    </w:p>
    <w:p>
      <w:pPr>
        <w:spacing w:line="360" w:lineRule="auto"/>
        <w:ind w:firstLine="420" w:firstLineChars="200"/>
        <w:jc w:val="left"/>
        <w:rPr>
          <w:szCs w:val="21"/>
        </w:rPr>
      </w:pPr>
      <w:r>
        <w:rPr>
          <w:rFonts w:hint="eastAsia"/>
          <w:i/>
        </w:rPr>
        <w:t>E</w:t>
      </w:r>
      <w:r>
        <w:rPr>
          <w:vertAlign w:val="subscript"/>
        </w:rPr>
        <w:t>t</w:t>
      </w:r>
      <w:r>
        <w:rPr>
          <w:i/>
          <w:szCs w:val="21"/>
        </w:rPr>
        <w:t xml:space="preserve"> </w:t>
      </w:r>
      <w:r>
        <w:rPr>
          <w:szCs w:val="21"/>
        </w:rPr>
        <w:t>——</w:t>
      </w:r>
      <w:r>
        <w:rPr>
          <w:rFonts w:hint="eastAsia"/>
        </w:rPr>
        <w:t>企业连续12个月生产</w:t>
      </w:r>
      <w:r>
        <w:rPr>
          <w:rFonts w:hint="eastAsia"/>
          <w:szCs w:val="21"/>
        </w:rPr>
        <w:t>每立方米</w:t>
      </w:r>
      <w:r>
        <w:rPr>
          <w:rFonts w:hint="eastAsia"/>
        </w:rPr>
        <w:t>UHPC构件</w:t>
      </w:r>
      <w:r>
        <w:rPr>
          <w:rFonts w:hint="eastAsia"/>
          <w:szCs w:val="21"/>
        </w:rPr>
        <w:t>的</w:t>
      </w:r>
      <w:r>
        <w:rPr>
          <w:szCs w:val="21"/>
        </w:rPr>
        <w:t>耗能总量，</w:t>
      </w:r>
      <w:r>
        <w:rPr>
          <w:rFonts w:hint="eastAsia"/>
          <w:szCs w:val="21"/>
        </w:rPr>
        <w:t>统计边界为“配料-计量-成型-包装”全过程；包括生产全过程中各种能源（包括电、燃油、煤气、天然气等）消耗量及耗能工质（不包括行政用车消耗的汽油量、基建与技改项目能源量），</w:t>
      </w:r>
      <w:r>
        <w:rPr>
          <w:szCs w:val="21"/>
        </w:rPr>
        <w:t>单位为千克标准煤</w:t>
      </w:r>
      <w:r>
        <w:rPr>
          <w:rFonts w:hint="eastAsia"/>
          <w:szCs w:val="21"/>
        </w:rPr>
        <w:t>每立方米</w:t>
      </w:r>
      <w:r>
        <w:rPr>
          <w:szCs w:val="21"/>
        </w:rPr>
        <w:t>（kgce/m</w:t>
      </w:r>
      <w:r>
        <w:rPr>
          <w:szCs w:val="21"/>
          <w:vertAlign w:val="superscript"/>
        </w:rPr>
        <w:t>3</w:t>
      </w:r>
      <w:r>
        <w:rPr>
          <w:szCs w:val="21"/>
        </w:rPr>
        <w:t>）</w:t>
      </w:r>
      <w:r>
        <w:rPr>
          <w:rFonts w:hint="eastAsia"/>
          <w:szCs w:val="21"/>
        </w:rPr>
        <w:t>。</w:t>
      </w:r>
    </w:p>
    <w:p>
      <w:pPr>
        <w:pStyle w:val="184"/>
        <w:outlineLvl w:val="1"/>
        <w:rPr>
          <w:rFonts w:ascii="黑体" w:hAnsi="黑体" w:eastAsia="黑体"/>
        </w:rPr>
      </w:pPr>
      <w:r>
        <w:rPr>
          <w:rFonts w:ascii="黑体" w:hAnsi="黑体" w:eastAsia="黑体"/>
        </w:rPr>
        <w:t xml:space="preserve">B.6 </w:t>
      </w:r>
      <w:r>
        <w:rPr>
          <w:rFonts w:hint="eastAsia" w:ascii="黑体" w:hAnsi="黑体" w:eastAsia="黑体"/>
        </w:rPr>
        <w:t>原材料本地化程度</w:t>
      </w:r>
    </w:p>
    <w:p>
      <w:pPr>
        <w:pStyle w:val="26"/>
        <w:spacing w:line="360" w:lineRule="auto"/>
        <w:jc w:val="left"/>
      </w:pPr>
      <w:r>
        <w:t>统计期内</w:t>
      </w:r>
      <w:r>
        <w:rPr>
          <w:rFonts w:hint="eastAsia" w:ascii="Times New Roman"/>
        </w:rPr>
        <w:t>以运输距离不大于</w:t>
      </w:r>
      <w:r>
        <w:rPr>
          <w:rFonts w:ascii="Times New Roman"/>
        </w:rPr>
        <w:t>35</w:t>
      </w:r>
      <w:r>
        <w:rPr>
          <w:rFonts w:hint="eastAsia" w:ascii="Times New Roman"/>
        </w:rPr>
        <w:t>0</w:t>
      </w:r>
      <w:r>
        <w:rPr>
          <w:rFonts w:ascii="Times New Roman"/>
        </w:rPr>
        <w:t>km或</w:t>
      </w:r>
      <w:r>
        <w:rPr>
          <w:rFonts w:hint="eastAsia" w:ascii="Times New Roman"/>
        </w:rPr>
        <w:t>采用</w:t>
      </w:r>
      <w:r>
        <w:rPr>
          <w:rFonts w:ascii="Times New Roman"/>
        </w:rPr>
        <w:t>铁路、船舶</w:t>
      </w:r>
      <w:r>
        <w:rPr>
          <w:rFonts w:hint="eastAsia" w:ascii="Times New Roman"/>
        </w:rPr>
        <w:t>运输</w:t>
      </w:r>
      <w:r>
        <w:rPr>
          <w:rFonts w:ascii="Times New Roman"/>
        </w:rPr>
        <w:t>的原材料使用率为计算指标</w:t>
      </w:r>
      <w:r>
        <w:rPr>
          <w:rFonts w:hint="eastAsia" w:ascii="Times New Roman"/>
        </w:rPr>
        <w:t>，材料</w:t>
      </w:r>
      <w:r>
        <w:rPr>
          <w:rFonts w:ascii="Times New Roman"/>
        </w:rPr>
        <w:t>选取主要原材料</w:t>
      </w:r>
      <w:r>
        <w:rPr>
          <w:rFonts w:hint="eastAsia" w:ascii="Times New Roman"/>
        </w:rPr>
        <w:t>进行</w:t>
      </w:r>
      <w:r>
        <w:rPr>
          <w:rFonts w:ascii="Times New Roman"/>
        </w:rPr>
        <w:t>计算，按公式（</w:t>
      </w:r>
      <w:r>
        <w:rPr>
          <w:rFonts w:ascii="Times New Roman"/>
          <w:szCs w:val="21"/>
        </w:rPr>
        <w:t>B.6</w:t>
      </w:r>
      <w:r>
        <w:rPr>
          <w:rFonts w:ascii="Times New Roman"/>
        </w:rPr>
        <w:t>）计算：</w:t>
      </w:r>
    </w:p>
    <w:p>
      <w:pPr>
        <w:pStyle w:val="74"/>
        <w:spacing w:line="360" w:lineRule="auto"/>
        <w:ind w:firstLine="420" w:firstLineChars="200"/>
        <w:jc w:val="right"/>
        <w:rPr>
          <w:rFonts w:ascii="Times New Roman"/>
        </w:rPr>
      </w:pPr>
      <m:oMathPara>
        <m:oMathParaPr>
          <m:jc m:val="right"/>
        </m:oMathParaPr>
        <m:oMath>
          <m:r>
            <m:rPr/>
            <w:rPr>
              <w:rFonts w:ascii="Cambria Math" w:hAnsi="Cambria Math"/>
            </w:rPr>
            <m:t>T</m:t>
          </m:r>
          <m:r>
            <m:rPr>
              <m:sty m:val="p"/>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hint="eastAsia" w:ascii="Cambria Math" w:hAnsi="Cambria Math"/>
                    </w:rPr>
                    <m:t>M</m:t>
                  </m:r>
                  <m:ctrlPr>
                    <w:rPr>
                      <w:rFonts w:ascii="Cambria Math" w:hAnsi="Cambria Math"/>
                      <w:i/>
                    </w:rPr>
                  </m:ctrlPr>
                </m:e>
                <m:sub>
                  <m:r>
                    <m:rPr>
                      <m:sty m:val="p"/>
                    </m:rPr>
                    <w:rPr>
                      <w:rFonts w:hint="default" w:ascii="Cambria Math" w:hAnsi="Cambria Math"/>
                    </w:rPr>
                    <m:t>j</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m:sty m:val="p"/>
                    </m:rPr>
                    <w:rPr>
                      <w:rFonts w:hint="default" w:ascii="Cambria Math" w:hAnsi="Cambria Math"/>
                    </w:rPr>
                    <m:t>c</m:t>
                  </m:r>
                  <m:ctrlPr>
                    <w:rPr>
                      <w:rFonts w:ascii="Cambria Math" w:hAnsi="Cambria Math"/>
                      <w:i/>
                    </w:rPr>
                  </m:ctrlPr>
                </m:sub>
              </m:sSub>
              <m:ctrlPr>
                <w:rPr>
                  <w:rFonts w:ascii="Cambria Math" w:hAnsi="Cambria Math"/>
                  <w:i/>
                </w:rPr>
              </m:ctrlPr>
            </m:den>
          </m:f>
          <m:r>
            <m:rPr/>
            <w:rPr>
              <w:rFonts w:ascii="Cambria Math" w:hAnsi="Cambria Math"/>
            </w:rPr>
            <m:t>………………………………………</m:t>
          </m:r>
          <m:r>
            <m:rPr>
              <m:sty m:val="p"/>
            </m:rPr>
            <w:rPr>
              <w:rFonts w:ascii="Cambria Math" w:hAnsi="Cambria Math"/>
            </w:rPr>
            <m:t>(B.6)</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szCs w:val="21"/>
        </w:rPr>
      </w:pPr>
      <w:r>
        <w:rPr>
          <w:i/>
          <w:iCs/>
          <w:szCs w:val="21"/>
        </w:rPr>
        <w:t>T</w:t>
      </w:r>
      <w:r>
        <w:rPr>
          <w:szCs w:val="21"/>
        </w:rPr>
        <w:t>——</w:t>
      </w:r>
      <w:r>
        <w:rPr>
          <w:rFonts w:hint="eastAsia"/>
          <w:szCs w:val="21"/>
        </w:rPr>
        <w:t>原材料本地化程度</w:t>
      </w:r>
      <w:r>
        <w:rPr>
          <w:szCs w:val="21"/>
        </w:rPr>
        <w:t>，</w:t>
      </w:r>
      <w:r>
        <w:rPr>
          <w:rFonts w:hint="eastAsia"/>
          <w:szCs w:val="21"/>
        </w:rPr>
        <w:t>%</w:t>
      </w:r>
      <w:r>
        <w:rPr>
          <w:szCs w:val="21"/>
        </w:rPr>
        <w:t>；</w:t>
      </w:r>
    </w:p>
    <w:p>
      <w:pPr>
        <w:spacing w:line="360" w:lineRule="auto"/>
        <w:ind w:firstLine="420" w:firstLineChars="200"/>
        <w:jc w:val="left"/>
        <w:rPr>
          <w:szCs w:val="21"/>
        </w:rPr>
      </w:pPr>
      <w:r>
        <w:rPr>
          <w:i/>
          <w:iCs/>
        </w:rPr>
        <w:t>M</w:t>
      </w:r>
      <w:r>
        <w:rPr>
          <w:vertAlign w:val="subscript"/>
        </w:rPr>
        <w:t>j</w:t>
      </w:r>
      <w:r>
        <w:rPr>
          <w:szCs w:val="21"/>
        </w:rPr>
        <w:t>——</w:t>
      </w:r>
      <w:r>
        <w:rPr>
          <w:rFonts w:hint="eastAsia"/>
          <w:szCs w:val="21"/>
        </w:rPr>
        <w:t>企业连续12个月内使用的运输距离不大于</w:t>
      </w:r>
      <w:r>
        <w:rPr>
          <w:szCs w:val="21"/>
        </w:rPr>
        <w:t>350</w:t>
      </w:r>
      <w:r>
        <w:rPr>
          <w:rFonts w:hint="eastAsia"/>
          <w:szCs w:val="21"/>
        </w:rPr>
        <w:t>km或采用铁路、船舶运输的主要原材料总量，</w:t>
      </w:r>
      <w:r>
        <w:rPr>
          <w:szCs w:val="21"/>
        </w:rPr>
        <w:t>不含水，单位为千克（kg）；</w:t>
      </w:r>
    </w:p>
    <w:p>
      <w:pPr>
        <w:spacing w:line="360" w:lineRule="auto"/>
        <w:ind w:firstLine="420" w:firstLineChars="200"/>
        <w:jc w:val="left"/>
      </w:pPr>
      <w:r>
        <w:rPr>
          <w:i/>
          <w:iCs/>
        </w:rPr>
        <w:t>M</w:t>
      </w:r>
      <w:r>
        <w:rPr>
          <w:vertAlign w:val="subscript"/>
        </w:rPr>
        <w:t>c</w:t>
      </w:r>
      <w:r>
        <w:rPr>
          <w:szCs w:val="21"/>
        </w:rPr>
        <w:t>——</w:t>
      </w:r>
      <w:r>
        <w:rPr>
          <w:rFonts w:hint="eastAsia"/>
          <w:szCs w:val="21"/>
        </w:rPr>
        <w:t>企业连续12个月内的主要原材料</w:t>
      </w:r>
      <w:r>
        <w:rPr>
          <w:szCs w:val="21"/>
        </w:rPr>
        <w:t>总量，不含水，单位为千克（kg）</w:t>
      </w:r>
      <w:r>
        <w:rPr>
          <w:rFonts w:hint="eastAsia"/>
          <w:szCs w:val="21"/>
        </w:rPr>
        <w:t>。</w:t>
      </w:r>
    </w:p>
    <w:p>
      <w:pPr>
        <w:pStyle w:val="184"/>
        <w:outlineLvl w:val="1"/>
        <w:rPr>
          <w:rFonts w:ascii="黑体" w:hAnsi="黑体" w:eastAsia="黑体"/>
        </w:rPr>
      </w:pPr>
      <w:r>
        <w:rPr>
          <w:rFonts w:hint="eastAsia" w:ascii="黑体" w:hAnsi="黑体" w:eastAsia="黑体"/>
        </w:rPr>
        <w:t>B</w:t>
      </w:r>
      <w:r>
        <w:rPr>
          <w:rFonts w:ascii="黑体" w:hAnsi="黑体" w:eastAsia="黑体"/>
        </w:rPr>
        <w:t xml:space="preserve">.7 </w:t>
      </w:r>
      <w:r>
        <w:rPr>
          <w:rFonts w:hint="eastAsia" w:ascii="黑体" w:hAnsi="黑体" w:eastAsia="黑体"/>
        </w:rPr>
        <w:t>单位产品工业废水排放量</w:t>
      </w:r>
    </w:p>
    <w:p>
      <w:pPr>
        <w:widowControl/>
        <w:tabs>
          <w:tab w:val="center" w:pos="4201"/>
          <w:tab w:val="right" w:leader="dot" w:pos="9298"/>
        </w:tabs>
        <w:autoSpaceDE w:val="0"/>
        <w:autoSpaceDN w:val="0"/>
        <w:spacing w:line="360" w:lineRule="auto"/>
        <w:ind w:firstLine="420" w:firstLineChars="200"/>
        <w:jc w:val="left"/>
        <w:rPr>
          <w:rFonts w:ascii="宋体" w:hAnsi="宋体"/>
          <w:szCs w:val="22"/>
        </w:rPr>
      </w:pPr>
      <w:r>
        <w:rPr>
          <w:rFonts w:ascii="宋体" w:hAnsi="Calibri"/>
          <w:szCs w:val="22"/>
        </w:rPr>
        <w:t>统计期内</w:t>
      </w:r>
      <w:r>
        <w:rPr>
          <w:rFonts w:hint="eastAsia" w:ascii="宋体" w:hAnsi="宋体"/>
          <w:szCs w:val="22"/>
        </w:rPr>
        <w:t>UHPC构件生产过程中</w:t>
      </w:r>
      <w:r>
        <w:rPr>
          <w:rFonts w:hint="eastAsia"/>
          <w:color w:val="000000"/>
        </w:rPr>
        <w:t>单位产品</w:t>
      </w:r>
      <w:r>
        <w:rPr>
          <w:rFonts w:hint="eastAsia" w:ascii="宋体" w:hAnsi="宋体"/>
          <w:szCs w:val="22"/>
        </w:rPr>
        <w:t>废水排放量，</w:t>
      </w:r>
      <w:r>
        <w:rPr>
          <w:rFonts w:ascii="宋体" w:hAnsi="宋体"/>
          <w:szCs w:val="22"/>
        </w:rPr>
        <w:t>按公式（</w:t>
      </w:r>
      <w:r>
        <w:rPr>
          <w:rFonts w:ascii="宋体" w:hAnsi="宋体"/>
          <w:szCs w:val="21"/>
        </w:rPr>
        <w:t>B.7</w:t>
      </w:r>
      <w:r>
        <w:rPr>
          <w:rFonts w:ascii="宋体" w:hAnsi="宋体"/>
          <w:szCs w:val="22"/>
        </w:rPr>
        <w:t>）计算：</w:t>
      </w:r>
    </w:p>
    <w:p>
      <w:pPr>
        <w:widowControl/>
        <w:tabs>
          <w:tab w:val="center" w:pos="4201"/>
          <w:tab w:val="right" w:leader="dot" w:pos="9298"/>
        </w:tabs>
        <w:autoSpaceDE w:val="0"/>
        <w:autoSpaceDN w:val="0"/>
        <w:spacing w:line="360" w:lineRule="auto"/>
        <w:ind w:firstLine="420" w:firstLineChars="200"/>
        <w:jc w:val="right"/>
        <w:rPr>
          <w:szCs w:val="21"/>
        </w:rPr>
      </w:pPr>
      <m:oMathPara>
        <m:oMathParaPr>
          <m:jc m:val="right"/>
        </m:oMathParaPr>
        <m:oMath>
          <m:r>
            <m:rPr>
              <m:sty m:val="p"/>
            </m:rPr>
            <w:rPr>
              <w:rFonts w:ascii="Cambria Math" w:hAnsi="Cambria Math"/>
              <w:kern w:val="0"/>
              <w:szCs w:val="20"/>
            </w:rPr>
            <m:t>W=</m:t>
          </m:r>
          <m:f>
            <m:fPr>
              <m:ctrlPr>
                <w:rPr>
                  <w:rFonts w:ascii="Cambria Math" w:hAnsi="Cambria Math"/>
                  <w:i/>
                  <w:kern w:val="0"/>
                  <w:szCs w:val="20"/>
                </w:rPr>
              </m:ctrlPr>
            </m:fPr>
            <m:num>
              <m:sSub>
                <m:sSubPr>
                  <m:ctrlPr>
                    <w:rPr>
                      <w:rFonts w:ascii="Cambria Math" w:hAnsi="Cambria Math"/>
                      <w:i/>
                      <w:kern w:val="0"/>
                      <w:szCs w:val="20"/>
                    </w:rPr>
                  </m:ctrlPr>
                </m:sSubPr>
                <m:e>
                  <m:r>
                    <m:rPr/>
                    <w:rPr>
                      <w:rFonts w:ascii="Cambria Math" w:hAnsi="Cambria Math"/>
                      <w:kern w:val="0"/>
                      <w:szCs w:val="20"/>
                    </w:rPr>
                    <m:t>M</m:t>
                  </m:r>
                  <m:ctrlPr>
                    <w:rPr>
                      <w:rFonts w:ascii="Cambria Math" w:hAnsi="Cambria Math"/>
                      <w:i/>
                      <w:kern w:val="0"/>
                      <w:szCs w:val="20"/>
                    </w:rPr>
                  </m:ctrlPr>
                </m:e>
                <m:sub>
                  <m:r>
                    <m:rPr>
                      <m:sty m:val="p"/>
                    </m:rPr>
                    <w:rPr>
                      <w:rFonts w:hint="default" w:ascii="Cambria Math" w:hAnsi="Cambria Math"/>
                      <w:kern w:val="0"/>
                      <w:szCs w:val="20"/>
                    </w:rPr>
                    <m:t>b</m:t>
                  </m:r>
                  <m:ctrlPr>
                    <w:rPr>
                      <w:rFonts w:ascii="Cambria Math" w:hAnsi="Cambria Math"/>
                      <w:i/>
                      <w:kern w:val="0"/>
                      <w:szCs w:val="20"/>
                    </w:rPr>
                  </m:ctrlPr>
                </m:sub>
              </m:sSub>
              <m:ctrlPr>
                <w:rPr>
                  <w:rFonts w:ascii="Cambria Math" w:hAnsi="Cambria Math"/>
                  <w:i/>
                  <w:kern w:val="0"/>
                  <w:szCs w:val="20"/>
                </w:rPr>
              </m:ctrlPr>
            </m:num>
            <m:den>
              <m:sSub>
                <m:sSubPr>
                  <m:ctrlPr>
                    <w:rPr>
                      <w:rFonts w:ascii="Cambria Math" w:hAnsi="Cambria Math"/>
                      <w:i/>
                      <w:kern w:val="0"/>
                      <w:szCs w:val="20"/>
                    </w:rPr>
                  </m:ctrlPr>
                </m:sSubPr>
                <m:e>
                  <m:r>
                    <m:rPr/>
                    <w:rPr>
                      <w:rFonts w:ascii="Cambria Math" w:hAnsi="Cambria Math"/>
                      <w:kern w:val="0"/>
                      <w:szCs w:val="20"/>
                    </w:rPr>
                    <m:t>V</m:t>
                  </m:r>
                  <m:ctrlPr>
                    <w:rPr>
                      <w:rFonts w:ascii="Cambria Math" w:hAnsi="Cambria Math"/>
                      <w:i/>
                      <w:kern w:val="0"/>
                      <w:szCs w:val="20"/>
                    </w:rPr>
                  </m:ctrlPr>
                </m:e>
                <m:sub>
                  <m:r>
                    <m:rPr>
                      <m:sty m:val="p"/>
                    </m:rPr>
                    <w:rPr>
                      <w:rFonts w:hint="default" w:ascii="Cambria Math" w:hAnsi="Cambria Math"/>
                      <w:kern w:val="0"/>
                      <w:szCs w:val="20"/>
                    </w:rPr>
                    <m:t>c</m:t>
                  </m:r>
                  <m:ctrlPr>
                    <w:rPr>
                      <w:rFonts w:ascii="Cambria Math" w:hAnsi="Cambria Math"/>
                      <w:i/>
                      <w:kern w:val="0"/>
                      <w:szCs w:val="20"/>
                    </w:rPr>
                  </m:ctrlPr>
                </m:sub>
              </m:sSub>
              <m:ctrlPr>
                <w:rPr>
                  <w:rFonts w:ascii="Cambria Math" w:hAnsi="Cambria Math"/>
                  <w:i/>
                  <w:kern w:val="0"/>
                  <w:szCs w:val="20"/>
                </w:rPr>
              </m:ctrlPr>
            </m:den>
          </m:f>
          <m:r>
            <m:rPr/>
            <w:rPr>
              <w:rFonts w:ascii="Cambria Math" w:hAnsi="Cambria Math"/>
              <w:kern w:val="0"/>
              <w:szCs w:val="20"/>
            </w:rPr>
            <m:t>×100% ……………………………………</m:t>
          </m:r>
          <m:r>
            <m:rPr>
              <m:sty m:val="p"/>
            </m:rPr>
            <w:rPr>
              <w:rFonts w:ascii="Cambria Math" w:hAnsi="Cambria Math"/>
              <w:kern w:val="0"/>
              <w:szCs w:val="20"/>
            </w:rPr>
            <m:t>(B.7)</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outlineLvl w:val="0"/>
        <w:rPr>
          <w:szCs w:val="21"/>
        </w:rPr>
      </w:pPr>
      <w:r>
        <w:rPr>
          <w:i/>
          <w:szCs w:val="21"/>
        </w:rPr>
        <w:t xml:space="preserve">W </w:t>
      </w:r>
      <w:r>
        <w:rPr>
          <w:szCs w:val="21"/>
        </w:rPr>
        <w:t>——</w:t>
      </w:r>
      <w:r>
        <w:rPr>
          <w:rFonts w:hint="eastAsia"/>
          <w:color w:val="000000"/>
        </w:rPr>
        <w:t>单位产品工业废水排放量</w:t>
      </w:r>
      <w:r>
        <w:rPr>
          <w:rFonts w:hint="eastAsia"/>
          <w:szCs w:val="21"/>
        </w:rPr>
        <w:t>，</w:t>
      </w:r>
      <w:r>
        <w:rPr>
          <w:szCs w:val="21"/>
        </w:rPr>
        <w:t>单位为</w:t>
      </w:r>
      <w:r>
        <w:rPr>
          <w:rFonts w:hint="eastAsia"/>
          <w:szCs w:val="21"/>
        </w:rPr>
        <w:t>千克每立方米</w:t>
      </w:r>
      <w:r>
        <w:rPr>
          <w:szCs w:val="21"/>
        </w:rPr>
        <w:t>（</w:t>
      </w:r>
      <w:r>
        <w:rPr>
          <w:rFonts w:hint="eastAsia"/>
          <w:szCs w:val="21"/>
        </w:rPr>
        <w:t>kg/</w:t>
      </w:r>
      <w:r>
        <w:rPr>
          <w:szCs w:val="21"/>
        </w:rPr>
        <w:t>m</w:t>
      </w:r>
      <w:r>
        <w:rPr>
          <w:szCs w:val="21"/>
          <w:vertAlign w:val="superscript"/>
        </w:rPr>
        <w:t>3</w:t>
      </w:r>
      <w:r>
        <w:rPr>
          <w:szCs w:val="21"/>
        </w:rPr>
        <w:t>）</w:t>
      </w:r>
      <w:r>
        <w:rPr>
          <w:rFonts w:hint="eastAsia"/>
          <w:szCs w:val="21"/>
        </w:rPr>
        <w:t>；</w:t>
      </w:r>
    </w:p>
    <w:p>
      <w:pPr>
        <w:spacing w:line="360" w:lineRule="auto"/>
        <w:ind w:firstLine="420" w:firstLineChars="200"/>
        <w:jc w:val="left"/>
        <w:rPr>
          <w:szCs w:val="21"/>
        </w:rPr>
      </w:pPr>
      <w:r>
        <w:rPr>
          <w:i/>
          <w:szCs w:val="21"/>
        </w:rPr>
        <w:t>M</w:t>
      </w:r>
      <w:r>
        <w:rPr>
          <w:i w:val="0"/>
          <w:iCs/>
          <w:szCs w:val="21"/>
          <w:vertAlign w:val="subscript"/>
        </w:rPr>
        <w:t>b</w:t>
      </w:r>
      <w:r>
        <w:rPr>
          <w:i/>
          <w:szCs w:val="21"/>
          <w:vertAlign w:val="subscript"/>
        </w:rPr>
        <w:t xml:space="preserve"> </w:t>
      </w:r>
      <w:r>
        <w:rPr>
          <w:szCs w:val="21"/>
        </w:rPr>
        <w:t>——</w:t>
      </w:r>
      <w:r>
        <w:rPr>
          <w:rFonts w:hint="eastAsia"/>
          <w:szCs w:val="21"/>
        </w:rPr>
        <w:t>企业连续12个月内</w:t>
      </w:r>
      <w:r>
        <w:rPr>
          <w:szCs w:val="21"/>
        </w:rPr>
        <w:t>产品生产</w:t>
      </w:r>
      <w:r>
        <w:rPr>
          <w:rFonts w:hint="eastAsia"/>
          <w:szCs w:val="21"/>
        </w:rPr>
        <w:t>废水排放量</w:t>
      </w:r>
      <w:r>
        <w:rPr>
          <w:szCs w:val="21"/>
        </w:rPr>
        <w:t>，单位为</w:t>
      </w:r>
      <w:r>
        <w:rPr>
          <w:rFonts w:hint="eastAsia"/>
          <w:szCs w:val="21"/>
        </w:rPr>
        <w:t>千克</w:t>
      </w:r>
      <w:r>
        <w:rPr>
          <w:szCs w:val="21"/>
        </w:rPr>
        <w:t>（</w:t>
      </w:r>
      <w:r>
        <w:rPr>
          <w:rFonts w:hint="eastAsia"/>
          <w:szCs w:val="21"/>
        </w:rPr>
        <w:t>kg</w:t>
      </w:r>
      <w:r>
        <w:rPr>
          <w:szCs w:val="21"/>
        </w:rPr>
        <w:t>）；</w:t>
      </w:r>
    </w:p>
    <w:p>
      <w:pPr>
        <w:spacing w:line="360" w:lineRule="auto"/>
        <w:ind w:firstLine="420" w:firstLineChars="200"/>
        <w:jc w:val="left"/>
        <w:rPr>
          <w:szCs w:val="21"/>
        </w:rPr>
      </w:pPr>
      <w:r>
        <w:rPr>
          <w:i/>
          <w:szCs w:val="21"/>
        </w:rPr>
        <w:t>V</w:t>
      </w:r>
      <w:r>
        <w:rPr>
          <w:i w:val="0"/>
          <w:iCs/>
          <w:szCs w:val="21"/>
          <w:vertAlign w:val="subscript"/>
        </w:rPr>
        <w:t>c</w:t>
      </w:r>
      <w:r>
        <w:rPr>
          <w:i/>
          <w:szCs w:val="21"/>
          <w:vertAlign w:val="subscript"/>
        </w:rPr>
        <w:t xml:space="preserve"> </w:t>
      </w:r>
      <w:r>
        <w:rPr>
          <w:szCs w:val="21"/>
        </w:rPr>
        <w:t>——</w:t>
      </w:r>
      <w:r>
        <w:rPr>
          <w:rFonts w:hint="eastAsia"/>
          <w:szCs w:val="21"/>
        </w:rPr>
        <w:t>企业连续12个月内符合</w:t>
      </w:r>
      <w:r>
        <w:rPr>
          <w:szCs w:val="21"/>
        </w:rPr>
        <w:t>相关标准的合格产品</w:t>
      </w:r>
      <w:r>
        <w:rPr>
          <w:rFonts w:hint="eastAsia"/>
          <w:szCs w:val="21"/>
        </w:rPr>
        <w:t>产量</w:t>
      </w:r>
      <w:r>
        <w:rPr>
          <w:szCs w:val="21"/>
        </w:rPr>
        <w:t>，单位为</w:t>
      </w:r>
      <w:r>
        <w:rPr>
          <w:rFonts w:hint="eastAsia"/>
          <w:szCs w:val="21"/>
        </w:rPr>
        <w:t>立方米</w:t>
      </w:r>
      <w:r>
        <w:rPr>
          <w:szCs w:val="21"/>
        </w:rPr>
        <w:t>（</w:t>
      </w:r>
      <w:r>
        <w:rPr>
          <w:rFonts w:hint="eastAsia"/>
          <w:szCs w:val="21"/>
        </w:rPr>
        <w:t>m</w:t>
      </w:r>
      <w:r>
        <w:rPr>
          <w:szCs w:val="21"/>
          <w:vertAlign w:val="superscript"/>
        </w:rPr>
        <w:t>3</w:t>
      </w:r>
      <w:r>
        <w:rPr>
          <w:szCs w:val="21"/>
        </w:rPr>
        <w:t>）</w:t>
      </w:r>
      <w:r>
        <w:rPr>
          <w:rFonts w:hint="eastAsia"/>
          <w:szCs w:val="21"/>
        </w:rPr>
        <w:t>。</w:t>
      </w:r>
    </w:p>
    <w:p>
      <w:pPr>
        <w:pStyle w:val="184"/>
        <w:outlineLvl w:val="1"/>
        <w:rPr>
          <w:rFonts w:ascii="黑体" w:hAnsi="黑体" w:eastAsia="黑体"/>
        </w:rPr>
      </w:pPr>
      <w:r>
        <w:rPr>
          <w:rFonts w:hint="eastAsia" w:ascii="黑体" w:hAnsi="黑体" w:eastAsia="黑体"/>
        </w:rPr>
        <w:t>B</w:t>
      </w:r>
      <w:r>
        <w:rPr>
          <w:rFonts w:ascii="黑体" w:hAnsi="黑体" w:eastAsia="黑体"/>
        </w:rPr>
        <w:t>.8 生产废料综合处置率</w:t>
      </w:r>
    </w:p>
    <w:p>
      <w:pPr>
        <w:widowControl/>
        <w:tabs>
          <w:tab w:val="center" w:pos="4201"/>
          <w:tab w:val="right" w:leader="dot" w:pos="9298"/>
        </w:tabs>
        <w:autoSpaceDE w:val="0"/>
        <w:autoSpaceDN w:val="0"/>
        <w:spacing w:line="360" w:lineRule="auto"/>
        <w:ind w:firstLine="420" w:firstLineChars="200"/>
        <w:jc w:val="left"/>
        <w:rPr>
          <w:rFonts w:ascii="宋体" w:hAnsi="Calibri"/>
          <w:szCs w:val="22"/>
        </w:rPr>
      </w:pPr>
      <w:r>
        <w:rPr>
          <w:rFonts w:ascii="宋体" w:hAnsi="Calibri"/>
          <w:szCs w:val="22"/>
        </w:rPr>
        <w:t>统计期内综合处置的生产废料量占生产产生的废料总量的百分比</w:t>
      </w:r>
      <w:r>
        <w:rPr>
          <w:rFonts w:hint="eastAsia" w:ascii="宋体" w:hAnsi="Calibri"/>
          <w:szCs w:val="22"/>
        </w:rPr>
        <w:t>，</w:t>
      </w:r>
      <w:r>
        <w:rPr>
          <w:rFonts w:ascii="宋体" w:hAnsi="Calibri"/>
          <w:szCs w:val="22"/>
        </w:rPr>
        <w:t>按</w:t>
      </w:r>
      <w:r>
        <w:rPr>
          <w:rFonts w:hint="eastAsia" w:ascii="宋体" w:hAnsi="Calibri"/>
          <w:szCs w:val="22"/>
        </w:rPr>
        <w:t>公</w:t>
      </w:r>
      <w:r>
        <w:rPr>
          <w:rFonts w:ascii="宋体" w:hAnsi="Calibri"/>
          <w:szCs w:val="22"/>
        </w:rPr>
        <w:t>式</w:t>
      </w:r>
      <w:r>
        <w:rPr>
          <w:rFonts w:hint="eastAsia" w:ascii="宋体" w:hAnsi="Calibri"/>
          <w:szCs w:val="22"/>
        </w:rPr>
        <w:t>（B.</w:t>
      </w:r>
      <w:r>
        <w:rPr>
          <w:rFonts w:ascii="宋体" w:hAnsi="Calibri"/>
          <w:szCs w:val="22"/>
        </w:rPr>
        <w:t>8</w:t>
      </w:r>
      <w:r>
        <w:rPr>
          <w:rFonts w:hint="eastAsia" w:ascii="宋体" w:hAnsi="Calibri"/>
          <w:szCs w:val="22"/>
        </w:rPr>
        <w:t>）</w:t>
      </w:r>
      <w:r>
        <w:rPr>
          <w:rFonts w:ascii="宋体" w:hAnsi="Calibri"/>
          <w:szCs w:val="22"/>
        </w:rPr>
        <w:t>计算</w:t>
      </w:r>
      <w:r>
        <w:rPr>
          <w:rFonts w:hint="eastAsia" w:ascii="宋体" w:hAnsi="Calibri"/>
          <w:szCs w:val="22"/>
        </w:rPr>
        <w:t>：</w:t>
      </w:r>
    </w:p>
    <w:p>
      <w:pPr>
        <w:widowControl/>
        <w:tabs>
          <w:tab w:val="center" w:pos="4201"/>
          <w:tab w:val="right" w:leader="dot" w:pos="9298"/>
        </w:tabs>
        <w:autoSpaceDE w:val="0"/>
        <w:autoSpaceDN w:val="0"/>
        <w:spacing w:line="360" w:lineRule="auto"/>
        <w:ind w:firstLine="420" w:firstLineChars="200"/>
        <w:jc w:val="right"/>
        <w:rPr>
          <w:kern w:val="0"/>
          <w:szCs w:val="20"/>
        </w:rPr>
      </w:pPr>
      <m:oMathPara>
        <m:oMathParaPr>
          <m:jc m:val="right"/>
        </m:oMathParaPr>
        <m:oMath>
          <m:r>
            <m:rPr>
              <m:sty m:val="p"/>
            </m:rPr>
            <w:rPr>
              <w:rFonts w:hint="eastAsia" w:ascii="Cambria Math" w:hAnsi="Cambria Math"/>
              <w:kern w:val="0"/>
              <w:szCs w:val="20"/>
            </w:rPr>
            <m:t>C</m:t>
          </m:r>
          <m:r>
            <m:rPr>
              <m:sty m:val="p"/>
            </m:rPr>
            <w:rPr>
              <w:rFonts w:ascii="Cambria Math" w:hAnsi="Cambria Math"/>
              <w:kern w:val="0"/>
              <w:szCs w:val="20"/>
            </w:rPr>
            <m:t>=</m:t>
          </m:r>
          <m:f>
            <m:fPr>
              <m:ctrlPr>
                <w:rPr>
                  <w:rFonts w:ascii="Cambria Math" w:hAnsi="Cambria Math"/>
                  <w:i/>
                  <w:kern w:val="0"/>
                  <w:szCs w:val="20"/>
                </w:rPr>
              </m:ctrlPr>
            </m:fPr>
            <m:num>
              <m:sSub>
                <m:sSubPr>
                  <m:ctrlPr>
                    <w:rPr>
                      <w:rFonts w:ascii="Cambria Math" w:hAnsi="Cambria Math"/>
                      <w:i/>
                      <w:kern w:val="0"/>
                      <w:szCs w:val="20"/>
                    </w:rPr>
                  </m:ctrlPr>
                </m:sSubPr>
                <m:e>
                  <m:r>
                    <m:rPr/>
                    <w:rPr>
                      <w:rFonts w:ascii="Cambria Math" w:hAnsi="Cambria Math"/>
                      <w:kern w:val="0"/>
                      <w:szCs w:val="20"/>
                    </w:rPr>
                    <m:t>M</m:t>
                  </m:r>
                  <m:ctrlPr>
                    <w:rPr>
                      <w:rFonts w:ascii="Cambria Math" w:hAnsi="Cambria Math"/>
                      <w:i/>
                      <w:kern w:val="0"/>
                      <w:szCs w:val="20"/>
                    </w:rPr>
                  </m:ctrlPr>
                </m:e>
                <m:sub>
                  <m:r>
                    <m:rPr>
                      <m:sty m:val="p"/>
                    </m:rPr>
                    <w:rPr>
                      <w:rFonts w:hint="default" w:ascii="Cambria Math" w:hAnsi="Cambria Math"/>
                      <w:kern w:val="0"/>
                      <w:szCs w:val="20"/>
                    </w:rPr>
                    <m:t>r</m:t>
                  </m:r>
                  <m:ctrlPr>
                    <w:rPr>
                      <w:rFonts w:ascii="Cambria Math" w:hAnsi="Cambria Math"/>
                      <w:i/>
                      <w:kern w:val="0"/>
                      <w:szCs w:val="20"/>
                    </w:rPr>
                  </m:ctrlPr>
                </m:sub>
              </m:sSub>
              <m:ctrlPr>
                <w:rPr>
                  <w:rFonts w:ascii="Cambria Math" w:hAnsi="Cambria Math"/>
                  <w:i/>
                  <w:kern w:val="0"/>
                  <w:szCs w:val="20"/>
                </w:rPr>
              </m:ctrlPr>
            </m:num>
            <m:den>
              <m:sSub>
                <m:sSubPr>
                  <m:ctrlPr>
                    <w:rPr>
                      <w:rFonts w:ascii="Cambria Math" w:hAnsi="Cambria Math"/>
                      <w:i/>
                      <w:kern w:val="0"/>
                      <w:szCs w:val="20"/>
                    </w:rPr>
                  </m:ctrlPr>
                </m:sSubPr>
                <m:e>
                  <m:r>
                    <m:rPr/>
                    <w:rPr>
                      <w:rFonts w:ascii="Cambria Math" w:hAnsi="Cambria Math"/>
                      <w:kern w:val="0"/>
                      <w:szCs w:val="20"/>
                    </w:rPr>
                    <m:t>M</m:t>
                  </m:r>
                  <m:ctrlPr>
                    <w:rPr>
                      <w:rFonts w:ascii="Cambria Math" w:hAnsi="Cambria Math"/>
                      <w:i/>
                      <w:kern w:val="0"/>
                      <w:szCs w:val="20"/>
                    </w:rPr>
                  </m:ctrlPr>
                </m:e>
                <m:sub>
                  <m:r>
                    <m:rPr>
                      <m:sty m:val="p"/>
                    </m:rPr>
                    <w:rPr>
                      <w:rFonts w:hint="default" w:ascii="Cambria Math" w:hAnsi="Cambria Math"/>
                      <w:kern w:val="0"/>
                      <w:szCs w:val="20"/>
                    </w:rPr>
                    <m:t>p</m:t>
                  </m:r>
                  <m:ctrlPr>
                    <w:rPr>
                      <w:rFonts w:ascii="Cambria Math" w:hAnsi="Cambria Math"/>
                      <w:i/>
                      <w:kern w:val="0"/>
                      <w:szCs w:val="20"/>
                    </w:rPr>
                  </m:ctrlPr>
                </m:sub>
              </m:sSub>
              <m:ctrlPr>
                <w:rPr>
                  <w:rFonts w:ascii="Cambria Math" w:hAnsi="Cambria Math"/>
                  <w:i/>
                  <w:kern w:val="0"/>
                  <w:szCs w:val="20"/>
                </w:rPr>
              </m:ctrlPr>
            </m:den>
          </m:f>
          <m:r>
            <m:rPr/>
            <w:rPr>
              <w:rFonts w:ascii="Cambria Math" w:hAnsi="Cambria Math"/>
              <w:kern w:val="0"/>
              <w:szCs w:val="20"/>
            </w:rPr>
            <m:t>×100% ……………………………………</m:t>
          </m:r>
          <m:r>
            <m:rPr>
              <m:sty m:val="p"/>
            </m:rPr>
            <w:rPr>
              <w:rFonts w:ascii="Cambria Math" w:hAnsi="Cambria Math"/>
              <w:kern w:val="0"/>
              <w:szCs w:val="20"/>
            </w:rPr>
            <m:t>(B.8)</m:t>
          </m:r>
        </m:oMath>
      </m:oMathPara>
    </w:p>
    <w:p>
      <w:pPr>
        <w:spacing w:line="360" w:lineRule="auto"/>
        <w:ind w:firstLine="420" w:firstLineChars="200"/>
        <w:jc w:val="left"/>
        <w:rPr>
          <w:szCs w:val="21"/>
        </w:rPr>
      </w:pPr>
      <w:r>
        <w:rPr>
          <w:szCs w:val="21"/>
        </w:rPr>
        <w:t>式中：</w:t>
      </w:r>
    </w:p>
    <w:p>
      <w:pPr>
        <w:spacing w:line="360" w:lineRule="auto"/>
        <w:ind w:firstLine="420" w:firstLineChars="200"/>
        <w:jc w:val="left"/>
        <w:rPr>
          <w:rFonts w:ascii="宋体" w:hAnsi="Calibri"/>
          <w:szCs w:val="22"/>
        </w:rPr>
      </w:pPr>
      <w:r>
        <w:rPr>
          <w:rFonts w:hint="eastAsia"/>
          <w:i/>
          <w:szCs w:val="21"/>
        </w:rPr>
        <w:t>C</w:t>
      </w:r>
      <w:r>
        <w:rPr>
          <w:i/>
          <w:szCs w:val="21"/>
        </w:rPr>
        <w:t xml:space="preserve"> </w:t>
      </w:r>
      <w:r>
        <w:rPr>
          <w:szCs w:val="21"/>
        </w:rPr>
        <w:t>——</w:t>
      </w:r>
      <w:r>
        <w:rPr>
          <w:rFonts w:ascii="宋体" w:hAnsi="Calibri"/>
          <w:szCs w:val="22"/>
        </w:rPr>
        <w:t>生产废料综合处置率</w:t>
      </w:r>
      <w:r>
        <w:rPr>
          <w:rFonts w:hint="eastAsia" w:ascii="宋体" w:hAnsi="Calibri"/>
          <w:szCs w:val="22"/>
        </w:rPr>
        <w:t>，%；</w:t>
      </w:r>
    </w:p>
    <w:p>
      <w:pPr>
        <w:spacing w:line="360" w:lineRule="auto"/>
        <w:ind w:firstLine="420" w:firstLineChars="200"/>
        <w:jc w:val="left"/>
        <w:rPr>
          <w:szCs w:val="21"/>
        </w:rPr>
      </w:pPr>
      <w:r>
        <w:rPr>
          <w:i/>
          <w:szCs w:val="21"/>
        </w:rPr>
        <w:t>M</w:t>
      </w:r>
      <w:r>
        <w:rPr>
          <w:i w:val="0"/>
          <w:iCs/>
          <w:szCs w:val="21"/>
          <w:vertAlign w:val="subscript"/>
        </w:rPr>
        <w:t>r</w:t>
      </w:r>
      <w:r>
        <w:rPr>
          <w:szCs w:val="21"/>
        </w:rPr>
        <w:t>——</w:t>
      </w:r>
      <w:r>
        <w:rPr>
          <w:rFonts w:hint="eastAsia"/>
          <w:szCs w:val="21"/>
        </w:rPr>
        <w:t>企业连续12个月内</w:t>
      </w:r>
      <w:r>
        <w:rPr>
          <w:rFonts w:ascii="宋体" w:hAnsi="Calibri"/>
          <w:szCs w:val="22"/>
        </w:rPr>
        <w:t>综合处置的生产废料量</w:t>
      </w:r>
      <w:r>
        <w:rPr>
          <w:rFonts w:hint="eastAsia" w:ascii="宋体" w:hAnsi="Calibri"/>
          <w:szCs w:val="22"/>
        </w:rPr>
        <w:t>,</w:t>
      </w:r>
      <w:r>
        <w:rPr>
          <w:szCs w:val="21"/>
        </w:rPr>
        <w:t>单位为</w:t>
      </w:r>
      <w:r>
        <w:rPr>
          <w:rFonts w:hint="eastAsia"/>
          <w:szCs w:val="21"/>
        </w:rPr>
        <w:t>千克</w:t>
      </w:r>
      <w:r>
        <w:rPr>
          <w:szCs w:val="21"/>
        </w:rPr>
        <w:t>（</w:t>
      </w:r>
      <w:r>
        <w:rPr>
          <w:rFonts w:hint="eastAsia"/>
          <w:szCs w:val="21"/>
        </w:rPr>
        <w:t>kg</w:t>
      </w:r>
      <w:r>
        <w:rPr>
          <w:szCs w:val="21"/>
        </w:rPr>
        <w:t>）；</w:t>
      </w:r>
    </w:p>
    <w:p>
      <w:pPr>
        <w:spacing w:line="360" w:lineRule="auto"/>
        <w:ind w:firstLine="420" w:firstLineChars="200"/>
        <w:jc w:val="left"/>
        <w:rPr>
          <w:szCs w:val="21"/>
        </w:rPr>
      </w:pPr>
      <w:r>
        <w:rPr>
          <w:i/>
          <w:szCs w:val="21"/>
        </w:rPr>
        <w:t>V</w:t>
      </w:r>
      <w:r>
        <w:rPr>
          <w:i w:val="0"/>
          <w:iCs/>
          <w:szCs w:val="21"/>
          <w:vertAlign w:val="subscript"/>
        </w:rPr>
        <w:t>p</w:t>
      </w:r>
      <w:r>
        <w:rPr>
          <w:i/>
          <w:szCs w:val="21"/>
          <w:vertAlign w:val="subscript"/>
        </w:rPr>
        <w:t xml:space="preserve"> </w:t>
      </w:r>
      <w:r>
        <w:rPr>
          <w:szCs w:val="21"/>
        </w:rPr>
        <w:t>——</w:t>
      </w:r>
      <w:r>
        <w:rPr>
          <w:rFonts w:hint="eastAsia"/>
          <w:szCs w:val="21"/>
        </w:rPr>
        <w:t>企业连续12个月内</w:t>
      </w:r>
      <w:r>
        <w:rPr>
          <w:rFonts w:ascii="宋体" w:hAnsi="Calibri"/>
          <w:szCs w:val="22"/>
        </w:rPr>
        <w:t>生产产生的废料总量</w:t>
      </w:r>
      <w:r>
        <w:rPr>
          <w:rFonts w:hint="eastAsia" w:ascii="宋体" w:hAnsi="Calibri"/>
          <w:szCs w:val="22"/>
        </w:rPr>
        <w:t>,</w:t>
      </w:r>
      <w:r>
        <w:rPr>
          <w:szCs w:val="21"/>
        </w:rPr>
        <w:t>单位为</w:t>
      </w:r>
      <w:r>
        <w:rPr>
          <w:rFonts w:hint="eastAsia"/>
          <w:szCs w:val="21"/>
        </w:rPr>
        <w:t>千克</w:t>
      </w:r>
      <w:r>
        <w:rPr>
          <w:szCs w:val="21"/>
        </w:rPr>
        <w:t>（</w:t>
      </w:r>
      <w:r>
        <w:rPr>
          <w:rFonts w:hint="eastAsia"/>
          <w:szCs w:val="21"/>
        </w:rPr>
        <w:t>kg</w:t>
      </w:r>
      <w:r>
        <w:rPr>
          <w:szCs w:val="21"/>
        </w:rPr>
        <w:t>）</w:t>
      </w:r>
      <w:r>
        <w:rPr>
          <w:rFonts w:hint="eastAsia"/>
          <w:szCs w:val="21"/>
        </w:rPr>
        <w:t>。</w:t>
      </w:r>
    </w:p>
    <w:p>
      <w:pPr>
        <w:widowControl/>
        <w:tabs>
          <w:tab w:val="center" w:pos="4201"/>
          <w:tab w:val="right" w:leader="dot" w:pos="9298"/>
        </w:tabs>
        <w:autoSpaceDE w:val="0"/>
        <w:autoSpaceDN w:val="0"/>
        <w:ind w:firstLine="420" w:firstLineChars="200"/>
        <w:jc w:val="center"/>
        <w:rPr>
          <w:rFonts w:ascii="宋体" w:hAnsi="Calibri"/>
          <w:szCs w:val="22"/>
        </w:rPr>
      </w:pPr>
      <w:r>
        <w:rPr>
          <w:rFonts w:hint="eastAsia" w:ascii="宋体" w:hAnsi="Calibri"/>
          <w:szCs w:val="22"/>
        </w:rPr>
        <w:t>------------------------------------------</w:t>
      </w:r>
    </w:p>
    <w:sectPr>
      <w:pgSz w:w="11906" w:h="16838"/>
      <w:pgMar w:top="1440" w:right="1800" w:bottom="1440" w:left="1800"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0002009F" w:csb1="00000000"/>
  </w:font>
  <w:font w:name="STSong-Light">
    <w:altName w:val="Times New Roman"/>
    <w:panose1 w:val="00000000000000000000"/>
    <w:charset w:val="00"/>
    <w:family w:val="roman"/>
    <w:pitch w:val="default"/>
    <w:sig w:usb0="00000000" w:usb1="00000000" w:usb2="00000000" w:usb3="00000000" w:csb0="0000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4"/>
    </w:pPr>
    <w:r>
      <w:fldChar w:fldCharType="begin"/>
    </w:r>
    <w:r>
      <w:instrText xml:space="preserve"> PAGE  \* MERGEFORMAT </w:instrText>
    </w:r>
    <w:r>
      <w:fldChar w:fldCharType="separate"/>
    </w:r>
    <w:r>
      <w:t>7</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7"/>
      <w:suff w:val="nothing"/>
      <w:lvlText w:val="%1%2.%3　"/>
      <w:lvlJc w:val="left"/>
      <w:pPr>
        <w:ind w:left="0" w:firstLine="0"/>
      </w:pPr>
      <w:rPr>
        <w:rFonts w:hint="eastAsia" w:ascii="黑体" w:hAnsi="Times New Roman" w:eastAsia="黑体"/>
        <w:b w:val="0"/>
        <w:i w:val="0"/>
        <w:sz w:val="21"/>
      </w:rPr>
    </w:lvl>
    <w:lvl w:ilvl="3" w:tentative="0">
      <w:start w:val="1"/>
      <w:numFmt w:val="decimal"/>
      <w:pStyle w:val="159"/>
      <w:suff w:val="nothing"/>
      <w:lvlText w:val="%1%2.%3.%4　"/>
      <w:lvlJc w:val="left"/>
      <w:pPr>
        <w:ind w:left="0" w:firstLine="0"/>
      </w:pPr>
      <w:rPr>
        <w:rFonts w:hint="eastAsia" w:ascii="黑体" w:hAnsi="Times New Roman" w:eastAsia="黑体"/>
        <w:b w:val="0"/>
        <w:i w:val="0"/>
        <w:sz w:val="21"/>
      </w:rPr>
    </w:lvl>
    <w:lvl w:ilvl="4" w:tentative="0">
      <w:start w:val="1"/>
      <w:numFmt w:val="decimal"/>
      <w:pStyle w:val="61"/>
      <w:suff w:val="nothing"/>
      <w:lvlText w:val="%1%2.%3.%4.%5　"/>
      <w:lvlJc w:val="left"/>
      <w:pPr>
        <w:ind w:left="0" w:firstLine="0"/>
      </w:pPr>
      <w:rPr>
        <w:rFonts w:hint="eastAsia" w:ascii="黑体" w:hAnsi="Times New Roman" w:eastAsia="黑体"/>
        <w:b w:val="0"/>
        <w:i w:val="0"/>
        <w:sz w:val="21"/>
      </w:rPr>
    </w:lvl>
    <w:lvl w:ilvl="5" w:tentative="0">
      <w:start w:val="1"/>
      <w:numFmt w:val="decimal"/>
      <w:pStyle w:val="118"/>
      <w:suff w:val="nothing"/>
      <w:lvlText w:val="%1%2.%3.%4.%5.%6　"/>
      <w:lvlJc w:val="left"/>
      <w:pPr>
        <w:ind w:left="0" w:firstLine="0"/>
      </w:pPr>
      <w:rPr>
        <w:rFonts w:hint="eastAsia" w:ascii="黑体" w:hAnsi="Times New Roman" w:eastAsia="黑体"/>
        <w:b w:val="0"/>
        <w:i w:val="0"/>
        <w:sz w:val="21"/>
      </w:rPr>
    </w:lvl>
    <w:lvl w:ilvl="6" w:tentative="0">
      <w:start w:val="1"/>
      <w:numFmt w:val="decimal"/>
      <w:pStyle w:val="16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79102AD"/>
    <w:multiLevelType w:val="multilevel"/>
    <w:tmpl w:val="079102AD"/>
    <w:lvl w:ilvl="0" w:tentative="0">
      <w:start w:val="1"/>
      <w:numFmt w:val="decimal"/>
      <w:pStyle w:val="6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59"/>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10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3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12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2A8F7113"/>
    <w:multiLevelType w:val="multilevel"/>
    <w:tmpl w:val="2A8F7113"/>
    <w:lvl w:ilvl="0" w:tentative="0">
      <w:start w:val="1"/>
      <w:numFmt w:val="upperLetter"/>
      <w:pStyle w:val="161"/>
      <w:suff w:val="space"/>
      <w:lvlText w:val="%1"/>
      <w:lvlJc w:val="left"/>
      <w:pPr>
        <w:ind w:left="623" w:hanging="425"/>
      </w:pPr>
      <w:rPr>
        <w:rFonts w:hint="eastAsia"/>
      </w:rPr>
    </w:lvl>
    <w:lvl w:ilvl="1" w:tentative="0">
      <w:start w:val="1"/>
      <w:numFmt w:val="decimal"/>
      <w:pStyle w:val="14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46"/>
      <w:suff w:val="nothing"/>
      <w:lvlText w:val="%1——"/>
      <w:lvlJc w:val="left"/>
      <w:pPr>
        <w:ind w:left="1458" w:hanging="408"/>
      </w:pPr>
      <w:rPr>
        <w:rFonts w:hint="eastAsia"/>
        <w:lang w:val="en-US"/>
      </w:rPr>
    </w:lvl>
    <w:lvl w:ilvl="1" w:tentative="0">
      <w:start w:val="1"/>
      <w:numFmt w:val="bullet"/>
      <w:pStyle w:val="121"/>
      <w:lvlText w:val=""/>
      <w:lvlJc w:val="left"/>
      <w:pPr>
        <w:tabs>
          <w:tab w:val="left" w:pos="1385"/>
        </w:tabs>
        <w:ind w:left="1889" w:hanging="413"/>
      </w:pPr>
      <w:rPr>
        <w:rFonts w:hint="default" w:ascii="Symbol" w:hAnsi="Symbol"/>
        <w:color w:val="auto"/>
      </w:rPr>
    </w:lvl>
    <w:lvl w:ilvl="2" w:tentative="0">
      <w:start w:val="1"/>
      <w:numFmt w:val="bullet"/>
      <w:pStyle w:val="120"/>
      <w:lvlText w:val=""/>
      <w:lvlJc w:val="left"/>
      <w:pPr>
        <w:tabs>
          <w:tab w:val="left" w:pos="2303"/>
        </w:tabs>
        <w:ind w:left="2303" w:hanging="414"/>
      </w:pPr>
      <w:rPr>
        <w:rFonts w:hint="default" w:ascii="Symbol" w:hAnsi="Symbol"/>
        <w:color w:val="auto"/>
      </w:rPr>
    </w:lvl>
    <w:lvl w:ilvl="3" w:tentative="0">
      <w:start w:val="1"/>
      <w:numFmt w:val="decimal"/>
      <w:lvlText w:val="%4."/>
      <w:lvlJc w:val="left"/>
      <w:pPr>
        <w:tabs>
          <w:tab w:val="left" w:pos="2696"/>
        </w:tabs>
        <w:ind w:left="2509" w:hanging="528"/>
      </w:pPr>
      <w:rPr>
        <w:rFonts w:hint="eastAsia"/>
      </w:rPr>
    </w:lvl>
    <w:lvl w:ilvl="4" w:tentative="0">
      <w:start w:val="1"/>
      <w:numFmt w:val="lowerLetter"/>
      <w:lvlText w:val="%5)"/>
      <w:lvlJc w:val="left"/>
      <w:pPr>
        <w:tabs>
          <w:tab w:val="left" w:pos="3008"/>
        </w:tabs>
        <w:ind w:left="2821" w:hanging="528"/>
      </w:pPr>
      <w:rPr>
        <w:rFonts w:hint="eastAsia"/>
      </w:rPr>
    </w:lvl>
    <w:lvl w:ilvl="5" w:tentative="0">
      <w:start w:val="1"/>
      <w:numFmt w:val="lowerRoman"/>
      <w:lvlText w:val="%6."/>
      <w:lvlJc w:val="right"/>
      <w:pPr>
        <w:tabs>
          <w:tab w:val="left" w:pos="3320"/>
        </w:tabs>
        <w:ind w:left="3133" w:hanging="528"/>
      </w:pPr>
      <w:rPr>
        <w:rFonts w:hint="eastAsia"/>
      </w:rPr>
    </w:lvl>
    <w:lvl w:ilvl="6" w:tentative="0">
      <w:start w:val="1"/>
      <w:numFmt w:val="decimal"/>
      <w:lvlText w:val="%7."/>
      <w:lvlJc w:val="left"/>
      <w:pPr>
        <w:tabs>
          <w:tab w:val="left" w:pos="3632"/>
        </w:tabs>
        <w:ind w:left="3445" w:hanging="528"/>
      </w:pPr>
      <w:rPr>
        <w:rFonts w:hint="eastAsia"/>
      </w:rPr>
    </w:lvl>
    <w:lvl w:ilvl="7" w:tentative="0">
      <w:start w:val="1"/>
      <w:numFmt w:val="lowerLetter"/>
      <w:lvlText w:val="%8)"/>
      <w:lvlJc w:val="left"/>
      <w:pPr>
        <w:tabs>
          <w:tab w:val="left" w:pos="3944"/>
        </w:tabs>
        <w:ind w:left="3757" w:hanging="528"/>
      </w:pPr>
      <w:rPr>
        <w:rFonts w:hint="eastAsia"/>
      </w:rPr>
    </w:lvl>
    <w:lvl w:ilvl="8" w:tentative="0">
      <w:start w:val="1"/>
      <w:numFmt w:val="lowerRoman"/>
      <w:lvlText w:val="%9."/>
      <w:lvlJc w:val="right"/>
      <w:pPr>
        <w:tabs>
          <w:tab w:val="left" w:pos="4256"/>
        </w:tabs>
        <w:ind w:left="4069" w:hanging="528"/>
      </w:pPr>
      <w:rPr>
        <w:rFonts w:hint="eastAsia"/>
      </w:rPr>
    </w:lvl>
  </w:abstractNum>
  <w:abstractNum w:abstractNumId="8">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151"/>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07"/>
      <w:lvlText w:val="%2)"/>
      <w:lvlJc w:val="left"/>
      <w:pPr>
        <w:tabs>
          <w:tab w:val="left" w:pos="1260"/>
        </w:tabs>
        <w:ind w:left="1259" w:hanging="419"/>
      </w:pPr>
      <w:rPr>
        <w:rFonts w:hint="eastAsia"/>
      </w:rPr>
    </w:lvl>
    <w:lvl w:ilvl="2" w:tentative="0">
      <w:start w:val="1"/>
      <w:numFmt w:val="decimal"/>
      <w:pStyle w:val="119"/>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16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0616D8B"/>
    <w:multiLevelType w:val="multilevel"/>
    <w:tmpl w:val="50616D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57C2AF5"/>
    <w:multiLevelType w:val="multilevel"/>
    <w:tmpl w:val="557C2AF5"/>
    <w:lvl w:ilvl="0" w:tentative="0">
      <w:start w:val="1"/>
      <w:numFmt w:val="decimal"/>
      <w:pStyle w:val="172"/>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40"/>
      <w:lvlText w:val="%1"/>
      <w:lvlJc w:val="left"/>
      <w:pPr>
        <w:tabs>
          <w:tab w:val="left" w:pos="0"/>
        </w:tabs>
        <w:ind w:left="0" w:hanging="425"/>
      </w:pPr>
      <w:rPr>
        <w:rFonts w:hint="eastAsia"/>
      </w:rPr>
    </w:lvl>
    <w:lvl w:ilvl="1" w:tentative="0">
      <w:start w:val="1"/>
      <w:numFmt w:val="decimal"/>
      <w:pStyle w:val="116"/>
      <w:suff w:val="nothing"/>
      <w:lvlText w:val="表%1.%2　"/>
      <w:lvlJc w:val="left"/>
      <w:pPr>
        <w:ind w:left="3970"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6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48"/>
      <w:lvlText w:val="%1)"/>
      <w:lvlJc w:val="left"/>
      <w:pPr>
        <w:tabs>
          <w:tab w:val="left" w:pos="839"/>
        </w:tabs>
        <w:ind w:left="839" w:hanging="419"/>
      </w:pPr>
      <w:rPr>
        <w:rFonts w:hint="eastAsia" w:ascii="宋体" w:eastAsia="宋体"/>
        <w:b w:val="0"/>
        <w:i w:val="0"/>
        <w:sz w:val="21"/>
      </w:rPr>
    </w:lvl>
    <w:lvl w:ilvl="1" w:tentative="0">
      <w:start w:val="1"/>
      <w:numFmt w:val="decimal"/>
      <w:pStyle w:val="15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11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2"/>
  </w:num>
  <w:num w:numId="3">
    <w:abstractNumId w:val="0"/>
  </w:num>
  <w:num w:numId="4">
    <w:abstractNumId w:val="1"/>
  </w:num>
  <w:num w:numId="5">
    <w:abstractNumId w:val="14"/>
  </w:num>
  <w:num w:numId="6">
    <w:abstractNumId w:val="3"/>
  </w:num>
  <w:num w:numId="7">
    <w:abstractNumId w:val="9"/>
  </w:num>
  <w:num w:numId="8">
    <w:abstractNumId w:val="16"/>
  </w:num>
  <w:num w:numId="9">
    <w:abstractNumId w:val="13"/>
  </w:num>
  <w:num w:numId="10">
    <w:abstractNumId w:val="7"/>
  </w:num>
  <w:num w:numId="11">
    <w:abstractNumId w:val="5"/>
  </w:num>
  <w:num w:numId="12">
    <w:abstractNumId w:val="4"/>
  </w:num>
  <w:num w:numId="13">
    <w:abstractNumId w:val="6"/>
  </w:num>
  <w:num w:numId="14">
    <w:abstractNumId w:val="15"/>
  </w:num>
  <w:num w:numId="15">
    <w:abstractNumId w:val="10"/>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IzMzS3MLawNDAzMDRU0lEKTi0uzszPAykwqgUASmf19SwAAAA="/>
    <w:docVar w:name="commondata" w:val="eyJoZGlkIjoiNGU1MzEzYjY5MDgwZmFjZWM1ZjZhOTk0OGI1NTA3YTkifQ=="/>
  </w:docVars>
  <w:rsids>
    <w:rsidRoot w:val="009F7B73"/>
    <w:rsid w:val="0000062D"/>
    <w:rsid w:val="00003895"/>
    <w:rsid w:val="000071AB"/>
    <w:rsid w:val="00012F0A"/>
    <w:rsid w:val="00017A53"/>
    <w:rsid w:val="00020899"/>
    <w:rsid w:val="00027264"/>
    <w:rsid w:val="00030E37"/>
    <w:rsid w:val="00035CE6"/>
    <w:rsid w:val="00057CED"/>
    <w:rsid w:val="00070AB2"/>
    <w:rsid w:val="00071C07"/>
    <w:rsid w:val="000730DA"/>
    <w:rsid w:val="000731F2"/>
    <w:rsid w:val="00075418"/>
    <w:rsid w:val="0007564F"/>
    <w:rsid w:val="0008369E"/>
    <w:rsid w:val="00087012"/>
    <w:rsid w:val="000901AA"/>
    <w:rsid w:val="0009418B"/>
    <w:rsid w:val="00096EA7"/>
    <w:rsid w:val="000B13A3"/>
    <w:rsid w:val="000B3044"/>
    <w:rsid w:val="000B7BD3"/>
    <w:rsid w:val="000C29B2"/>
    <w:rsid w:val="000C4656"/>
    <w:rsid w:val="000C4AD6"/>
    <w:rsid w:val="000E2A08"/>
    <w:rsid w:val="000F2A70"/>
    <w:rsid w:val="000F39C6"/>
    <w:rsid w:val="000F7FD3"/>
    <w:rsid w:val="00130C0B"/>
    <w:rsid w:val="00130F4A"/>
    <w:rsid w:val="001317D8"/>
    <w:rsid w:val="001324B3"/>
    <w:rsid w:val="001330D2"/>
    <w:rsid w:val="0013441D"/>
    <w:rsid w:val="001423CC"/>
    <w:rsid w:val="0014489B"/>
    <w:rsid w:val="001455FF"/>
    <w:rsid w:val="00150F68"/>
    <w:rsid w:val="00151ACB"/>
    <w:rsid w:val="001578BC"/>
    <w:rsid w:val="00164049"/>
    <w:rsid w:val="001649DE"/>
    <w:rsid w:val="00167DA4"/>
    <w:rsid w:val="00170BD7"/>
    <w:rsid w:val="00181AF1"/>
    <w:rsid w:val="0018565A"/>
    <w:rsid w:val="00194C60"/>
    <w:rsid w:val="001A3F41"/>
    <w:rsid w:val="001B01FB"/>
    <w:rsid w:val="001B633D"/>
    <w:rsid w:val="001C1837"/>
    <w:rsid w:val="001C28B1"/>
    <w:rsid w:val="001C2CCB"/>
    <w:rsid w:val="001E0CD9"/>
    <w:rsid w:val="001E3983"/>
    <w:rsid w:val="001E68BC"/>
    <w:rsid w:val="001F006A"/>
    <w:rsid w:val="00202595"/>
    <w:rsid w:val="00203455"/>
    <w:rsid w:val="00204851"/>
    <w:rsid w:val="002049EC"/>
    <w:rsid w:val="002128AE"/>
    <w:rsid w:val="00212FA4"/>
    <w:rsid w:val="0021307B"/>
    <w:rsid w:val="00213485"/>
    <w:rsid w:val="00213BCB"/>
    <w:rsid w:val="0021733B"/>
    <w:rsid w:val="002200E0"/>
    <w:rsid w:val="00233F40"/>
    <w:rsid w:val="00252883"/>
    <w:rsid w:val="00256BC3"/>
    <w:rsid w:val="00264565"/>
    <w:rsid w:val="00277572"/>
    <w:rsid w:val="002821DF"/>
    <w:rsid w:val="00282DCF"/>
    <w:rsid w:val="0029325D"/>
    <w:rsid w:val="002A0BC2"/>
    <w:rsid w:val="002A69C4"/>
    <w:rsid w:val="002A7C48"/>
    <w:rsid w:val="002B505D"/>
    <w:rsid w:val="002C1FA1"/>
    <w:rsid w:val="002C2BFA"/>
    <w:rsid w:val="002C3774"/>
    <w:rsid w:val="002C58EF"/>
    <w:rsid w:val="002D1D4E"/>
    <w:rsid w:val="002D7C07"/>
    <w:rsid w:val="002E1696"/>
    <w:rsid w:val="002E2431"/>
    <w:rsid w:val="002E697F"/>
    <w:rsid w:val="002F0BA7"/>
    <w:rsid w:val="002F2A62"/>
    <w:rsid w:val="002F66AC"/>
    <w:rsid w:val="00302655"/>
    <w:rsid w:val="003060A1"/>
    <w:rsid w:val="0030689F"/>
    <w:rsid w:val="003146FA"/>
    <w:rsid w:val="00315728"/>
    <w:rsid w:val="003158AE"/>
    <w:rsid w:val="00317E86"/>
    <w:rsid w:val="003220D3"/>
    <w:rsid w:val="003313BD"/>
    <w:rsid w:val="00334C9B"/>
    <w:rsid w:val="003440CC"/>
    <w:rsid w:val="00346347"/>
    <w:rsid w:val="003515C8"/>
    <w:rsid w:val="00355B15"/>
    <w:rsid w:val="0035663F"/>
    <w:rsid w:val="00360508"/>
    <w:rsid w:val="00371DC5"/>
    <w:rsid w:val="00383698"/>
    <w:rsid w:val="00385143"/>
    <w:rsid w:val="00385D80"/>
    <w:rsid w:val="003924AA"/>
    <w:rsid w:val="0039620E"/>
    <w:rsid w:val="003A08FC"/>
    <w:rsid w:val="003A0DA3"/>
    <w:rsid w:val="003A1F28"/>
    <w:rsid w:val="003A2DA5"/>
    <w:rsid w:val="003A3906"/>
    <w:rsid w:val="003B3FA2"/>
    <w:rsid w:val="003B6CDE"/>
    <w:rsid w:val="003B7E06"/>
    <w:rsid w:val="003C1573"/>
    <w:rsid w:val="003D5303"/>
    <w:rsid w:val="003E1156"/>
    <w:rsid w:val="003E3674"/>
    <w:rsid w:val="003E7193"/>
    <w:rsid w:val="003E75AE"/>
    <w:rsid w:val="003E75CD"/>
    <w:rsid w:val="004009DA"/>
    <w:rsid w:val="00401DA4"/>
    <w:rsid w:val="00404370"/>
    <w:rsid w:val="00413C17"/>
    <w:rsid w:val="004147BE"/>
    <w:rsid w:val="00415BF6"/>
    <w:rsid w:val="00420388"/>
    <w:rsid w:val="0042279D"/>
    <w:rsid w:val="0043657E"/>
    <w:rsid w:val="00440D96"/>
    <w:rsid w:val="00444531"/>
    <w:rsid w:val="00446EA6"/>
    <w:rsid w:val="00451BCB"/>
    <w:rsid w:val="0045376C"/>
    <w:rsid w:val="0046051E"/>
    <w:rsid w:val="00460FC8"/>
    <w:rsid w:val="00471432"/>
    <w:rsid w:val="00476D03"/>
    <w:rsid w:val="004777E3"/>
    <w:rsid w:val="00480C34"/>
    <w:rsid w:val="00485183"/>
    <w:rsid w:val="004969B8"/>
    <w:rsid w:val="004A17C9"/>
    <w:rsid w:val="004C0B5C"/>
    <w:rsid w:val="004C0C56"/>
    <w:rsid w:val="004D1132"/>
    <w:rsid w:val="004F4A94"/>
    <w:rsid w:val="00500DF8"/>
    <w:rsid w:val="00502E2B"/>
    <w:rsid w:val="005034B9"/>
    <w:rsid w:val="00505F81"/>
    <w:rsid w:val="00506B83"/>
    <w:rsid w:val="005071DF"/>
    <w:rsid w:val="00523940"/>
    <w:rsid w:val="005241E6"/>
    <w:rsid w:val="00533EFA"/>
    <w:rsid w:val="0053644A"/>
    <w:rsid w:val="0054058F"/>
    <w:rsid w:val="005501F2"/>
    <w:rsid w:val="005503CE"/>
    <w:rsid w:val="00566384"/>
    <w:rsid w:val="00580622"/>
    <w:rsid w:val="00581B1A"/>
    <w:rsid w:val="005853F8"/>
    <w:rsid w:val="00597CCC"/>
    <w:rsid w:val="005A5D99"/>
    <w:rsid w:val="005B465C"/>
    <w:rsid w:val="005C1044"/>
    <w:rsid w:val="005C1E17"/>
    <w:rsid w:val="005C3C9D"/>
    <w:rsid w:val="005C4F81"/>
    <w:rsid w:val="005C7815"/>
    <w:rsid w:val="005D0706"/>
    <w:rsid w:val="005D59AE"/>
    <w:rsid w:val="005D74CA"/>
    <w:rsid w:val="005E49AA"/>
    <w:rsid w:val="005F08D7"/>
    <w:rsid w:val="005F61DC"/>
    <w:rsid w:val="006174D3"/>
    <w:rsid w:val="00623196"/>
    <w:rsid w:val="00623EBD"/>
    <w:rsid w:val="00625744"/>
    <w:rsid w:val="006257C6"/>
    <w:rsid w:val="0062698F"/>
    <w:rsid w:val="00627BC5"/>
    <w:rsid w:val="0063191A"/>
    <w:rsid w:val="00632C42"/>
    <w:rsid w:val="00635291"/>
    <w:rsid w:val="006424DE"/>
    <w:rsid w:val="00643D70"/>
    <w:rsid w:val="0064788D"/>
    <w:rsid w:val="006537E1"/>
    <w:rsid w:val="00656D6B"/>
    <w:rsid w:val="00657926"/>
    <w:rsid w:val="00663918"/>
    <w:rsid w:val="00677C73"/>
    <w:rsid w:val="00685905"/>
    <w:rsid w:val="00686333"/>
    <w:rsid w:val="00690C8B"/>
    <w:rsid w:val="006A10B6"/>
    <w:rsid w:val="006A42CD"/>
    <w:rsid w:val="006A6088"/>
    <w:rsid w:val="006A78FC"/>
    <w:rsid w:val="006B02FF"/>
    <w:rsid w:val="006B3C71"/>
    <w:rsid w:val="006C5842"/>
    <w:rsid w:val="006D7FED"/>
    <w:rsid w:val="006E0AA7"/>
    <w:rsid w:val="006E0F89"/>
    <w:rsid w:val="006E34B4"/>
    <w:rsid w:val="006E5FA6"/>
    <w:rsid w:val="006F6DFD"/>
    <w:rsid w:val="007016FA"/>
    <w:rsid w:val="007112BD"/>
    <w:rsid w:val="007137CA"/>
    <w:rsid w:val="00730641"/>
    <w:rsid w:val="007365D4"/>
    <w:rsid w:val="00744646"/>
    <w:rsid w:val="007515CC"/>
    <w:rsid w:val="00760E7F"/>
    <w:rsid w:val="00762877"/>
    <w:rsid w:val="00772C41"/>
    <w:rsid w:val="00773A2C"/>
    <w:rsid w:val="00780C34"/>
    <w:rsid w:val="00783902"/>
    <w:rsid w:val="00785BDA"/>
    <w:rsid w:val="00787381"/>
    <w:rsid w:val="00787C48"/>
    <w:rsid w:val="00791433"/>
    <w:rsid w:val="00796A98"/>
    <w:rsid w:val="007A28E0"/>
    <w:rsid w:val="007A718C"/>
    <w:rsid w:val="007B19DF"/>
    <w:rsid w:val="007B1E3A"/>
    <w:rsid w:val="007B2594"/>
    <w:rsid w:val="007C2788"/>
    <w:rsid w:val="007D22FA"/>
    <w:rsid w:val="007D56BF"/>
    <w:rsid w:val="007D64A1"/>
    <w:rsid w:val="007E0253"/>
    <w:rsid w:val="007E1CD1"/>
    <w:rsid w:val="007E4FAC"/>
    <w:rsid w:val="00800BB0"/>
    <w:rsid w:val="00806738"/>
    <w:rsid w:val="008122E6"/>
    <w:rsid w:val="00827ADC"/>
    <w:rsid w:val="008358AB"/>
    <w:rsid w:val="00843599"/>
    <w:rsid w:val="00850582"/>
    <w:rsid w:val="00850A44"/>
    <w:rsid w:val="00850AE6"/>
    <w:rsid w:val="008540D5"/>
    <w:rsid w:val="00855028"/>
    <w:rsid w:val="0085543B"/>
    <w:rsid w:val="00863DE6"/>
    <w:rsid w:val="00864069"/>
    <w:rsid w:val="00864563"/>
    <w:rsid w:val="00865E42"/>
    <w:rsid w:val="00870448"/>
    <w:rsid w:val="00870DC1"/>
    <w:rsid w:val="00875EBA"/>
    <w:rsid w:val="008835CA"/>
    <w:rsid w:val="008A5A01"/>
    <w:rsid w:val="008A5E36"/>
    <w:rsid w:val="008B4643"/>
    <w:rsid w:val="008C005A"/>
    <w:rsid w:val="008C06C7"/>
    <w:rsid w:val="008C0C7F"/>
    <w:rsid w:val="008C42B0"/>
    <w:rsid w:val="008C7DB3"/>
    <w:rsid w:val="008D693A"/>
    <w:rsid w:val="008E0506"/>
    <w:rsid w:val="008E312D"/>
    <w:rsid w:val="008E5D3D"/>
    <w:rsid w:val="008F2798"/>
    <w:rsid w:val="008F4FFC"/>
    <w:rsid w:val="009016CC"/>
    <w:rsid w:val="00903573"/>
    <w:rsid w:val="009047A3"/>
    <w:rsid w:val="00925183"/>
    <w:rsid w:val="00930504"/>
    <w:rsid w:val="00930E17"/>
    <w:rsid w:val="00936DB2"/>
    <w:rsid w:val="00937094"/>
    <w:rsid w:val="009460C2"/>
    <w:rsid w:val="00955D13"/>
    <w:rsid w:val="0097258C"/>
    <w:rsid w:val="00987592"/>
    <w:rsid w:val="00995355"/>
    <w:rsid w:val="009A0D2F"/>
    <w:rsid w:val="009A14D3"/>
    <w:rsid w:val="009A5FA4"/>
    <w:rsid w:val="009B2192"/>
    <w:rsid w:val="009B40B5"/>
    <w:rsid w:val="009B4CEE"/>
    <w:rsid w:val="009C35CE"/>
    <w:rsid w:val="009C4488"/>
    <w:rsid w:val="009C5DB0"/>
    <w:rsid w:val="009C7896"/>
    <w:rsid w:val="009C7A24"/>
    <w:rsid w:val="009D5A80"/>
    <w:rsid w:val="009E0FBD"/>
    <w:rsid w:val="009E26A3"/>
    <w:rsid w:val="009E4014"/>
    <w:rsid w:val="009E5A6F"/>
    <w:rsid w:val="009E76AA"/>
    <w:rsid w:val="009F3953"/>
    <w:rsid w:val="009F5144"/>
    <w:rsid w:val="009F7B73"/>
    <w:rsid w:val="00A23122"/>
    <w:rsid w:val="00A3670B"/>
    <w:rsid w:val="00A44325"/>
    <w:rsid w:val="00A47FF3"/>
    <w:rsid w:val="00A507E8"/>
    <w:rsid w:val="00A54038"/>
    <w:rsid w:val="00A60EE7"/>
    <w:rsid w:val="00A637EB"/>
    <w:rsid w:val="00A74719"/>
    <w:rsid w:val="00A860DC"/>
    <w:rsid w:val="00A863A6"/>
    <w:rsid w:val="00A91B9F"/>
    <w:rsid w:val="00AA628A"/>
    <w:rsid w:val="00AA679A"/>
    <w:rsid w:val="00AA7D81"/>
    <w:rsid w:val="00AB0449"/>
    <w:rsid w:val="00AC348A"/>
    <w:rsid w:val="00AC3CE7"/>
    <w:rsid w:val="00AD05C8"/>
    <w:rsid w:val="00AD4652"/>
    <w:rsid w:val="00AD7A66"/>
    <w:rsid w:val="00AF3C03"/>
    <w:rsid w:val="00AF55D9"/>
    <w:rsid w:val="00B0347F"/>
    <w:rsid w:val="00B07D2E"/>
    <w:rsid w:val="00B1179F"/>
    <w:rsid w:val="00B1238D"/>
    <w:rsid w:val="00B12ABA"/>
    <w:rsid w:val="00B17831"/>
    <w:rsid w:val="00B55375"/>
    <w:rsid w:val="00B661E9"/>
    <w:rsid w:val="00B709CC"/>
    <w:rsid w:val="00B7334E"/>
    <w:rsid w:val="00B76AA5"/>
    <w:rsid w:val="00B80B33"/>
    <w:rsid w:val="00B815D3"/>
    <w:rsid w:val="00B93B51"/>
    <w:rsid w:val="00B96045"/>
    <w:rsid w:val="00B97C52"/>
    <w:rsid w:val="00BB1A1C"/>
    <w:rsid w:val="00BB5A4B"/>
    <w:rsid w:val="00BC386B"/>
    <w:rsid w:val="00BC6312"/>
    <w:rsid w:val="00BD3066"/>
    <w:rsid w:val="00BD3F9F"/>
    <w:rsid w:val="00BD486A"/>
    <w:rsid w:val="00BD561A"/>
    <w:rsid w:val="00BF64D7"/>
    <w:rsid w:val="00C076C5"/>
    <w:rsid w:val="00C11F0C"/>
    <w:rsid w:val="00C157D4"/>
    <w:rsid w:val="00C22AAC"/>
    <w:rsid w:val="00C26EC2"/>
    <w:rsid w:val="00C56F79"/>
    <w:rsid w:val="00C61EC2"/>
    <w:rsid w:val="00C677DE"/>
    <w:rsid w:val="00C7471B"/>
    <w:rsid w:val="00C774A1"/>
    <w:rsid w:val="00C809A0"/>
    <w:rsid w:val="00C824C8"/>
    <w:rsid w:val="00C83161"/>
    <w:rsid w:val="00C85042"/>
    <w:rsid w:val="00C90805"/>
    <w:rsid w:val="00C91210"/>
    <w:rsid w:val="00C917D8"/>
    <w:rsid w:val="00C91BF3"/>
    <w:rsid w:val="00C97AB9"/>
    <w:rsid w:val="00CD49F5"/>
    <w:rsid w:val="00CD5106"/>
    <w:rsid w:val="00CD7F7A"/>
    <w:rsid w:val="00CE02E2"/>
    <w:rsid w:val="00CE7707"/>
    <w:rsid w:val="00CF14AB"/>
    <w:rsid w:val="00CF1B74"/>
    <w:rsid w:val="00CF39EA"/>
    <w:rsid w:val="00CF5271"/>
    <w:rsid w:val="00CF610B"/>
    <w:rsid w:val="00D028DD"/>
    <w:rsid w:val="00D0768D"/>
    <w:rsid w:val="00D0788A"/>
    <w:rsid w:val="00D13344"/>
    <w:rsid w:val="00D20AB0"/>
    <w:rsid w:val="00D23037"/>
    <w:rsid w:val="00D25151"/>
    <w:rsid w:val="00D355F1"/>
    <w:rsid w:val="00D400E0"/>
    <w:rsid w:val="00D54177"/>
    <w:rsid w:val="00D61166"/>
    <w:rsid w:val="00D63E8C"/>
    <w:rsid w:val="00D65F5C"/>
    <w:rsid w:val="00D72163"/>
    <w:rsid w:val="00D73CBE"/>
    <w:rsid w:val="00D77F08"/>
    <w:rsid w:val="00D813F2"/>
    <w:rsid w:val="00D81C84"/>
    <w:rsid w:val="00D9271E"/>
    <w:rsid w:val="00D934B4"/>
    <w:rsid w:val="00D934F1"/>
    <w:rsid w:val="00D94348"/>
    <w:rsid w:val="00D96906"/>
    <w:rsid w:val="00DA259F"/>
    <w:rsid w:val="00DA3113"/>
    <w:rsid w:val="00DA77A7"/>
    <w:rsid w:val="00DB6D90"/>
    <w:rsid w:val="00DC0891"/>
    <w:rsid w:val="00DC3F69"/>
    <w:rsid w:val="00DC5F0E"/>
    <w:rsid w:val="00DD3DB2"/>
    <w:rsid w:val="00DD62F9"/>
    <w:rsid w:val="00DE0975"/>
    <w:rsid w:val="00DE18A8"/>
    <w:rsid w:val="00DE346C"/>
    <w:rsid w:val="00DE34EC"/>
    <w:rsid w:val="00DE3F8A"/>
    <w:rsid w:val="00DF5D90"/>
    <w:rsid w:val="00DF71BE"/>
    <w:rsid w:val="00E240F5"/>
    <w:rsid w:val="00E26DFC"/>
    <w:rsid w:val="00E31316"/>
    <w:rsid w:val="00E324B7"/>
    <w:rsid w:val="00E35C7E"/>
    <w:rsid w:val="00E41069"/>
    <w:rsid w:val="00E457CC"/>
    <w:rsid w:val="00E523A3"/>
    <w:rsid w:val="00E5511B"/>
    <w:rsid w:val="00E62793"/>
    <w:rsid w:val="00E67FE7"/>
    <w:rsid w:val="00E708A4"/>
    <w:rsid w:val="00E70C85"/>
    <w:rsid w:val="00E73F14"/>
    <w:rsid w:val="00E742EC"/>
    <w:rsid w:val="00E83D03"/>
    <w:rsid w:val="00E8645D"/>
    <w:rsid w:val="00E92D07"/>
    <w:rsid w:val="00E96163"/>
    <w:rsid w:val="00E9741C"/>
    <w:rsid w:val="00EA178F"/>
    <w:rsid w:val="00EA2239"/>
    <w:rsid w:val="00EA786C"/>
    <w:rsid w:val="00EB5516"/>
    <w:rsid w:val="00EB5A11"/>
    <w:rsid w:val="00EB7D9D"/>
    <w:rsid w:val="00EC08F6"/>
    <w:rsid w:val="00EC16AE"/>
    <w:rsid w:val="00EC3315"/>
    <w:rsid w:val="00EC6EF9"/>
    <w:rsid w:val="00EE55DF"/>
    <w:rsid w:val="00EE6332"/>
    <w:rsid w:val="00EE6E7E"/>
    <w:rsid w:val="00EF0988"/>
    <w:rsid w:val="00F006C1"/>
    <w:rsid w:val="00F077B2"/>
    <w:rsid w:val="00F12632"/>
    <w:rsid w:val="00F133AE"/>
    <w:rsid w:val="00F14693"/>
    <w:rsid w:val="00F169C9"/>
    <w:rsid w:val="00F34BE7"/>
    <w:rsid w:val="00F44A13"/>
    <w:rsid w:val="00F5124E"/>
    <w:rsid w:val="00F526A5"/>
    <w:rsid w:val="00F57618"/>
    <w:rsid w:val="00F65542"/>
    <w:rsid w:val="00F72862"/>
    <w:rsid w:val="00F73B0A"/>
    <w:rsid w:val="00F7798A"/>
    <w:rsid w:val="00F80763"/>
    <w:rsid w:val="00F85950"/>
    <w:rsid w:val="00F87A36"/>
    <w:rsid w:val="00F90BE3"/>
    <w:rsid w:val="00F91AAC"/>
    <w:rsid w:val="00F92400"/>
    <w:rsid w:val="00F93444"/>
    <w:rsid w:val="00F9611F"/>
    <w:rsid w:val="00F968F6"/>
    <w:rsid w:val="00FA5FEA"/>
    <w:rsid w:val="00FC4B96"/>
    <w:rsid w:val="00FC5943"/>
    <w:rsid w:val="00FD0E02"/>
    <w:rsid w:val="00FD3EB5"/>
    <w:rsid w:val="00FE306E"/>
    <w:rsid w:val="00FE4550"/>
    <w:rsid w:val="00FE5BF1"/>
    <w:rsid w:val="00FF0AAB"/>
    <w:rsid w:val="00FF1A75"/>
    <w:rsid w:val="0AB35CB1"/>
    <w:rsid w:val="0D467829"/>
    <w:rsid w:val="1AAA2C07"/>
    <w:rsid w:val="23BB5250"/>
    <w:rsid w:val="24363DDB"/>
    <w:rsid w:val="2CEF47EC"/>
    <w:rsid w:val="2E51605A"/>
    <w:rsid w:val="38A45637"/>
    <w:rsid w:val="426F1110"/>
    <w:rsid w:val="46CD425C"/>
    <w:rsid w:val="5B212566"/>
    <w:rsid w:val="6FC96A8C"/>
    <w:rsid w:val="73F06C49"/>
    <w:rsid w:val="7C1F5286"/>
    <w:rsid w:val="7CA51C01"/>
    <w:rsid w:val="7D556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0"/>
    <w:qFormat/>
    <w:uiPriority w:val="0"/>
    <w:pPr>
      <w:keepNext/>
      <w:keepLines/>
      <w:spacing w:before="260" w:after="260" w:line="416" w:lineRule="auto"/>
      <w:outlineLvl w:val="1"/>
    </w:pPr>
    <w:rPr>
      <w:rFonts w:ascii="Arial" w:hAnsi="Arial" w:eastAsia="黑体"/>
      <w:b/>
      <w:bCs/>
      <w:sz w:val="32"/>
      <w:szCs w:val="32"/>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qFormat/>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link w:val="75"/>
    <w:semiHidden/>
    <w:qFormat/>
    <w:uiPriority w:val="0"/>
    <w:pPr>
      <w:shd w:val="clear" w:color="auto" w:fill="000080"/>
    </w:pPr>
  </w:style>
  <w:style w:type="paragraph" w:styleId="9">
    <w:name w:val="annotation text"/>
    <w:basedOn w:val="1"/>
    <w:link w:val="68"/>
    <w:unhideWhenUsed/>
    <w:qFormat/>
    <w:uiPriority w:val="0"/>
    <w:pPr>
      <w:jc w:val="left"/>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qFormat/>
    <w:uiPriority w:val="39"/>
    <w:pPr>
      <w:tabs>
        <w:tab w:val="right" w:leader="dot" w:pos="9241"/>
      </w:tabs>
      <w:ind w:firstLine="102" w:firstLineChars="100"/>
      <w:jc w:val="left"/>
    </w:pPr>
    <w:rPr>
      <w:rFonts w:ascii="宋体"/>
      <w:szCs w:val="21"/>
    </w:rPr>
  </w:style>
  <w:style w:type="paragraph" w:styleId="14">
    <w:name w:val="Plain Text"/>
    <w:basedOn w:val="1"/>
    <w:link w:val="52"/>
    <w:qFormat/>
    <w:uiPriority w:val="0"/>
    <w:rPr>
      <w:rFonts w:ascii="宋体" w:hAnsi="Courier New" w:cs="Courier New"/>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Date"/>
    <w:basedOn w:val="1"/>
    <w:next w:val="1"/>
    <w:link w:val="181"/>
    <w:semiHidden/>
    <w:unhideWhenUsed/>
    <w:qFormat/>
    <w:uiPriority w:val="99"/>
    <w:pPr>
      <w:ind w:left="100" w:leftChars="2500"/>
    </w:pPr>
  </w:style>
  <w:style w:type="paragraph" w:styleId="18">
    <w:name w:val="endnote text"/>
    <w:basedOn w:val="1"/>
    <w:link w:val="81"/>
    <w:semiHidden/>
    <w:qFormat/>
    <w:uiPriority w:val="0"/>
    <w:pPr>
      <w:snapToGrid w:val="0"/>
      <w:jc w:val="left"/>
    </w:pPr>
  </w:style>
  <w:style w:type="paragraph" w:styleId="19">
    <w:name w:val="Balloon Text"/>
    <w:basedOn w:val="1"/>
    <w:link w:val="80"/>
    <w:qFormat/>
    <w:uiPriority w:val="0"/>
    <w:rPr>
      <w:sz w:val="18"/>
      <w:szCs w:val="18"/>
    </w:rPr>
  </w:style>
  <w:style w:type="paragraph" w:styleId="20">
    <w:name w:val="footer"/>
    <w:basedOn w:val="1"/>
    <w:link w:val="84"/>
    <w:qFormat/>
    <w:uiPriority w:val="0"/>
    <w:pPr>
      <w:snapToGrid w:val="0"/>
      <w:ind w:right="210" w:rightChars="100"/>
      <w:jc w:val="right"/>
    </w:pPr>
    <w:rPr>
      <w:sz w:val="18"/>
      <w:szCs w:val="18"/>
    </w:rPr>
  </w:style>
  <w:style w:type="paragraph" w:styleId="21">
    <w:name w:val="header"/>
    <w:basedOn w:val="1"/>
    <w:link w:val="57"/>
    <w:qFormat/>
    <w:uiPriority w:val="0"/>
    <w:pPr>
      <w:snapToGrid w:val="0"/>
      <w:jc w:val="left"/>
    </w:pPr>
    <w:rPr>
      <w:rFonts w:ascii="Calibri" w:hAnsi="Calibri"/>
      <w:sz w:val="18"/>
      <w:szCs w:val="18"/>
    </w:rPr>
  </w:style>
  <w:style w:type="paragraph" w:styleId="22">
    <w:name w:val="toc 1"/>
    <w:basedOn w:val="1"/>
    <w:next w:val="1"/>
    <w:qFormat/>
    <w:uiPriority w:val="39"/>
    <w:pPr>
      <w:tabs>
        <w:tab w:val="left" w:pos="315"/>
        <w:tab w:val="right" w:leader="dot" w:pos="9241"/>
      </w:tabs>
      <w:spacing w:beforeLines="25" w:afterLines="25"/>
      <w:jc w:val="left"/>
    </w:pPr>
    <w:rPr>
      <w:rFonts w:ascii="宋体"/>
      <w:szCs w:val="21"/>
    </w:rPr>
  </w:style>
  <w:style w:type="paragraph" w:styleId="23">
    <w:name w:val="toc 4"/>
    <w:basedOn w:val="1"/>
    <w:next w:val="1"/>
    <w:semiHidden/>
    <w:qFormat/>
    <w:uiPriority w:val="0"/>
    <w:pPr>
      <w:tabs>
        <w:tab w:val="right" w:leader="dot" w:pos="9241"/>
      </w:tabs>
      <w:ind w:firstLine="198"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55"/>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styleId="27">
    <w:name w:val="footnote text"/>
    <w:basedOn w:val="1"/>
    <w:link w:val="72"/>
    <w:qFormat/>
    <w:uiPriority w:val="0"/>
    <w:pPr>
      <w:numPr>
        <w:ilvl w:val="0"/>
        <w:numId w:val="1"/>
      </w:numPr>
      <w:snapToGrid w:val="0"/>
      <w:jc w:val="left"/>
    </w:pPr>
    <w:rPr>
      <w:rFonts w:ascii="宋体"/>
      <w:sz w:val="18"/>
      <w:szCs w:val="18"/>
    </w:rPr>
  </w:style>
  <w:style w:type="paragraph" w:styleId="28">
    <w:name w:val="toc 6"/>
    <w:basedOn w:val="1"/>
    <w:next w:val="1"/>
    <w:semiHidden/>
    <w:qFormat/>
    <w:uiPriority w:val="0"/>
    <w:pPr>
      <w:tabs>
        <w:tab w:val="right" w:leader="dot" w:pos="9241"/>
      </w:tabs>
      <w:ind w:firstLine="403"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39"/>
    <w:pPr>
      <w:tabs>
        <w:tab w:val="right" w:leader="dot" w:pos="9241"/>
      </w:tabs>
    </w:pPr>
    <w:rPr>
      <w:rFonts w:ascii="宋体"/>
      <w:szCs w:val="21"/>
    </w:rPr>
  </w:style>
  <w:style w:type="paragraph" w:styleId="32">
    <w:name w:val="toc 9"/>
    <w:basedOn w:val="1"/>
    <w:next w:val="1"/>
    <w:semiHidden/>
    <w:qFormat/>
    <w:uiPriority w:val="0"/>
    <w:pPr>
      <w:ind w:left="1470"/>
      <w:jc w:val="left"/>
    </w:pPr>
    <w:rPr>
      <w:sz w:val="20"/>
      <w:szCs w:val="20"/>
    </w:rPr>
  </w:style>
  <w:style w:type="paragraph" w:styleId="33">
    <w:name w:val="Body Text 2"/>
    <w:basedOn w:val="1"/>
    <w:link w:val="90"/>
    <w:qFormat/>
    <w:uiPriority w:val="0"/>
    <w:pPr>
      <w:spacing w:after="120" w:line="480" w:lineRule="auto"/>
    </w:pPr>
  </w:style>
  <w:style w:type="paragraph" w:styleId="34">
    <w:name w:val="HTML Preformatted"/>
    <w:basedOn w:val="1"/>
    <w:link w:val="9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5">
    <w:name w:val="index 2"/>
    <w:basedOn w:val="1"/>
    <w:next w:val="1"/>
    <w:qFormat/>
    <w:uiPriority w:val="0"/>
    <w:pPr>
      <w:ind w:left="420" w:hanging="210"/>
      <w:jc w:val="left"/>
    </w:pPr>
    <w:rPr>
      <w:rFonts w:ascii="Calibri" w:hAnsi="Calibri"/>
      <w:sz w:val="20"/>
      <w:szCs w:val="20"/>
    </w:rPr>
  </w:style>
  <w:style w:type="paragraph" w:styleId="36">
    <w:name w:val="annotation subject"/>
    <w:basedOn w:val="9"/>
    <w:next w:val="9"/>
    <w:link w:val="69"/>
    <w:qFormat/>
    <w:uiPriority w:val="0"/>
    <w:rPr>
      <w:b/>
      <w:bCs/>
    </w:rPr>
  </w:style>
  <w:style w:type="table" w:styleId="38">
    <w:name w:val="Table Grid"/>
    <w:basedOn w:val="37"/>
    <w:qFormat/>
    <w:uiPriority w:val="0"/>
    <w:rPr>
      <w:rFonts w:ascii="宋体" w:hAnsi="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0">
    <w:name w:val="Strong"/>
    <w:qFormat/>
    <w:uiPriority w:val="22"/>
    <w:rPr>
      <w:b/>
      <w:bCs/>
    </w:r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FollowedHyperlink"/>
    <w:qFormat/>
    <w:uiPriority w:val="0"/>
    <w:rPr>
      <w:color w:val="800080"/>
      <w:u w:val="single"/>
    </w:rPr>
  </w:style>
  <w:style w:type="character" w:styleId="44">
    <w:name w:val="Emphasis"/>
    <w:qFormat/>
    <w:uiPriority w:val="20"/>
    <w:rPr>
      <w:color w:val="CC0000"/>
    </w:rPr>
  </w:style>
  <w:style w:type="character" w:styleId="45">
    <w:name w:val="Hyperlink"/>
    <w:qFormat/>
    <w:uiPriority w:val="99"/>
    <w:rPr>
      <w:color w:val="0000FF"/>
      <w:spacing w:val="0"/>
      <w:w w:val="100"/>
      <w:szCs w:val="21"/>
      <w:u w:val="single"/>
      <w:lang w:val="en-US" w:eastAsia="zh-CN"/>
    </w:rPr>
  </w:style>
  <w:style w:type="character" w:styleId="46">
    <w:name w:val="HTML Code"/>
    <w:qFormat/>
    <w:uiPriority w:val="0"/>
    <w:rPr>
      <w:rFonts w:ascii="Courier New" w:hAnsi="Courier New"/>
      <w:sz w:val="20"/>
      <w:szCs w:val="20"/>
    </w:rPr>
  </w:style>
  <w:style w:type="character" w:styleId="47">
    <w:name w:val="annotation reference"/>
    <w:qFormat/>
    <w:uiPriority w:val="0"/>
    <w:rPr>
      <w:sz w:val="21"/>
      <w:szCs w:val="21"/>
    </w:rPr>
  </w:style>
  <w:style w:type="character" w:styleId="48">
    <w:name w:val="footnote reference"/>
    <w:semiHidden/>
    <w:qFormat/>
    <w:uiPriority w:val="0"/>
    <w:rPr>
      <w:vertAlign w:val="superscript"/>
    </w:rPr>
  </w:style>
  <w:style w:type="character" w:customStyle="1" w:styleId="49">
    <w:name w:val="标题 1 字符"/>
    <w:link w:val="2"/>
    <w:qFormat/>
    <w:uiPriority w:val="0"/>
    <w:rPr>
      <w:rFonts w:ascii="Times New Roman" w:hAnsi="Times New Roman" w:eastAsia="宋体" w:cs="Times New Roman"/>
      <w:b/>
      <w:bCs/>
      <w:kern w:val="44"/>
      <w:sz w:val="44"/>
      <w:szCs w:val="44"/>
    </w:rPr>
  </w:style>
  <w:style w:type="character" w:customStyle="1" w:styleId="50">
    <w:name w:val="标题 2 字符"/>
    <w:link w:val="3"/>
    <w:qFormat/>
    <w:uiPriority w:val="0"/>
    <w:rPr>
      <w:rFonts w:ascii="Arial" w:hAnsi="Arial" w:eastAsia="黑体" w:cs="Times New Roman"/>
      <w:b/>
      <w:bCs/>
      <w:sz w:val="32"/>
      <w:szCs w:val="32"/>
    </w:rPr>
  </w:style>
  <w:style w:type="character" w:customStyle="1" w:styleId="51">
    <w:name w:val="Char Char3"/>
    <w:qFormat/>
    <w:uiPriority w:val="0"/>
    <w:rPr>
      <w:rFonts w:ascii="宋体" w:hAnsi="Courier New" w:eastAsia="宋体"/>
      <w:kern w:val="2"/>
      <w:sz w:val="21"/>
      <w:szCs w:val="21"/>
      <w:lang w:bidi="ar-SA"/>
    </w:rPr>
  </w:style>
  <w:style w:type="character" w:customStyle="1" w:styleId="52">
    <w:name w:val="纯文本 字符"/>
    <w:link w:val="14"/>
    <w:qFormat/>
    <w:uiPriority w:val="0"/>
    <w:rPr>
      <w:rFonts w:ascii="宋体" w:hAnsi="Courier New" w:cs="Courier New"/>
      <w:szCs w:val="21"/>
    </w:rPr>
  </w:style>
  <w:style w:type="character" w:customStyle="1" w:styleId="53">
    <w:name w:val="附录公式 Char"/>
    <w:link w:val="54"/>
    <w:qFormat/>
    <w:uiPriority w:val="0"/>
    <w:rPr>
      <w:rFonts w:ascii="宋体"/>
    </w:rPr>
  </w:style>
  <w:style w:type="paragraph" w:customStyle="1" w:styleId="54">
    <w:name w:val="附录公式"/>
    <w:basedOn w:val="26"/>
    <w:next w:val="26"/>
    <w:link w:val="53"/>
    <w:qFormat/>
    <w:uiPriority w:val="0"/>
  </w:style>
  <w:style w:type="character" w:customStyle="1" w:styleId="55">
    <w:name w:val="段 Char"/>
    <w:link w:val="26"/>
    <w:qFormat/>
    <w:uiPriority w:val="0"/>
    <w:rPr>
      <w:rFonts w:ascii="宋体"/>
    </w:rPr>
  </w:style>
  <w:style w:type="character" w:customStyle="1" w:styleId="56">
    <w:name w:val="发布"/>
    <w:qFormat/>
    <w:uiPriority w:val="0"/>
    <w:rPr>
      <w:rFonts w:ascii="黑体" w:eastAsia="黑体"/>
      <w:spacing w:val="85"/>
      <w:w w:val="100"/>
      <w:position w:val="3"/>
      <w:sz w:val="28"/>
      <w:szCs w:val="28"/>
    </w:rPr>
  </w:style>
  <w:style w:type="character" w:customStyle="1" w:styleId="57">
    <w:name w:val="页眉 字符"/>
    <w:link w:val="21"/>
    <w:qFormat/>
    <w:uiPriority w:val="0"/>
    <w:rPr>
      <w:rFonts w:eastAsia="宋体"/>
      <w:sz w:val="18"/>
      <w:szCs w:val="18"/>
    </w:rPr>
  </w:style>
  <w:style w:type="character" w:customStyle="1" w:styleId="58">
    <w:name w:val="首示例 Char"/>
    <w:link w:val="59"/>
    <w:qFormat/>
    <w:uiPriority w:val="0"/>
    <w:rPr>
      <w:rFonts w:ascii="宋体" w:hAnsi="宋体"/>
      <w:sz w:val="18"/>
      <w:szCs w:val="18"/>
    </w:rPr>
  </w:style>
  <w:style w:type="paragraph" w:customStyle="1" w:styleId="59">
    <w:name w:val="首示例"/>
    <w:next w:val="26"/>
    <w:link w:val="58"/>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60">
    <w:name w:val="Char Char5"/>
    <w:qFormat/>
    <w:uiPriority w:val="0"/>
    <w:rPr>
      <w:rFonts w:eastAsia="宋体"/>
      <w:b/>
      <w:bCs/>
      <w:kern w:val="44"/>
      <w:sz w:val="44"/>
      <w:szCs w:val="44"/>
      <w:lang w:val="en-US" w:eastAsia="zh-CN" w:bidi="ar-SA"/>
    </w:rPr>
  </w:style>
  <w:style w:type="paragraph" w:customStyle="1" w:styleId="61">
    <w:name w:val="三级无标题条"/>
    <w:basedOn w:val="1"/>
    <w:qFormat/>
    <w:uiPriority w:val="0"/>
    <w:pPr>
      <w:numPr>
        <w:ilvl w:val="4"/>
        <w:numId w:val="3"/>
      </w:numPr>
    </w:pPr>
  </w:style>
  <w:style w:type="paragraph" w:customStyle="1" w:styleId="62">
    <w:name w:val="注×："/>
    <w:qFormat/>
    <w:uiPriority w:val="0"/>
    <w:pPr>
      <w:widowControl w:val="0"/>
      <w:numPr>
        <w:ilvl w:val="0"/>
        <w:numId w:val="4"/>
      </w:numPr>
      <w:autoSpaceDE w:val="0"/>
      <w:autoSpaceDN w:val="0"/>
      <w:jc w:val="both"/>
    </w:pPr>
    <w:rPr>
      <w:rFonts w:ascii="宋体" w:hAnsi="Times New Roman" w:eastAsia="宋体" w:cs="Times New Roman"/>
      <w:sz w:val="18"/>
      <w:szCs w:val="18"/>
      <w:lang w:val="en-US" w:eastAsia="zh-CN" w:bidi="ar-SA"/>
    </w:rPr>
  </w:style>
  <w:style w:type="paragraph" w:customStyle="1" w:styleId="63">
    <w:name w:val="附录二级无"/>
    <w:basedOn w:val="64"/>
    <w:qFormat/>
    <w:uiPriority w:val="0"/>
    <w:pPr>
      <w:spacing w:beforeLines="0" w:afterLines="0"/>
    </w:pPr>
    <w:rPr>
      <w:rFonts w:ascii="宋体" w:eastAsia="宋体"/>
      <w:szCs w:val="21"/>
    </w:rPr>
  </w:style>
  <w:style w:type="paragraph" w:customStyle="1" w:styleId="64">
    <w:name w:val="附录二级条标题"/>
    <w:basedOn w:val="1"/>
    <w:next w:val="26"/>
    <w:qFormat/>
    <w:uiPriority w:val="0"/>
    <w:pPr>
      <w:widowControl/>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65">
    <w:name w:val="附录三级无"/>
    <w:basedOn w:val="66"/>
    <w:qFormat/>
    <w:uiPriority w:val="0"/>
    <w:pPr>
      <w:spacing w:beforeLines="0" w:afterLines="0"/>
    </w:pPr>
    <w:rPr>
      <w:rFonts w:ascii="宋体" w:eastAsia="宋体"/>
      <w:szCs w:val="21"/>
    </w:rPr>
  </w:style>
  <w:style w:type="paragraph" w:customStyle="1" w:styleId="66">
    <w:name w:val="附录三级条标题"/>
    <w:basedOn w:val="64"/>
    <w:next w:val="26"/>
    <w:qFormat/>
    <w:uiPriority w:val="0"/>
    <w:pPr>
      <w:outlineLvl w:val="4"/>
    </w:pPr>
  </w:style>
  <w:style w:type="paragraph" w:customStyle="1" w:styleId="67">
    <w:name w:val="正文表标题"/>
    <w:next w:val="26"/>
    <w:qFormat/>
    <w:uiPriority w:val="99"/>
    <w:pPr>
      <w:numPr>
        <w:ilvl w:val="0"/>
        <w:numId w:val="5"/>
      </w:numPr>
      <w:spacing w:beforeLines="50" w:afterLines="50"/>
      <w:jc w:val="center"/>
    </w:pPr>
    <w:rPr>
      <w:rFonts w:ascii="黑体" w:hAnsi="Times New Roman" w:eastAsia="黑体" w:cs="Times New Roman"/>
      <w:sz w:val="21"/>
      <w:lang w:val="en-US" w:eastAsia="zh-CN" w:bidi="ar-SA"/>
    </w:rPr>
  </w:style>
  <w:style w:type="character" w:customStyle="1" w:styleId="68">
    <w:name w:val="批注文字 字符"/>
    <w:link w:val="9"/>
    <w:semiHidden/>
    <w:qFormat/>
    <w:uiPriority w:val="99"/>
    <w:rPr>
      <w:rFonts w:ascii="Times New Roman" w:hAnsi="Times New Roman" w:eastAsia="宋体" w:cs="Times New Roman"/>
      <w:szCs w:val="24"/>
    </w:rPr>
  </w:style>
  <w:style w:type="character" w:customStyle="1" w:styleId="69">
    <w:name w:val="批注主题 字符"/>
    <w:link w:val="36"/>
    <w:qFormat/>
    <w:uiPriority w:val="0"/>
    <w:rPr>
      <w:rFonts w:ascii="Times New Roman" w:hAnsi="Times New Roman" w:eastAsia="宋体" w:cs="Times New Roman"/>
      <w:b/>
      <w:bCs/>
      <w:szCs w:val="24"/>
    </w:rPr>
  </w:style>
  <w:style w:type="paragraph" w:customStyle="1" w:styleId="70">
    <w:name w:val="图表脚注"/>
    <w:next w:val="26"/>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7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character" w:customStyle="1" w:styleId="72">
    <w:name w:val="脚注文本 字符"/>
    <w:link w:val="27"/>
    <w:qFormat/>
    <w:uiPriority w:val="0"/>
    <w:rPr>
      <w:rFonts w:ascii="宋体" w:hAnsi="Times New Roman" w:eastAsia="宋体" w:cs="Times New Roman"/>
      <w:sz w:val="18"/>
      <w:szCs w:val="18"/>
    </w:rPr>
  </w:style>
  <w:style w:type="paragraph" w:customStyle="1" w:styleId="73">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74">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character" w:customStyle="1" w:styleId="75">
    <w:name w:val="文档结构图 字符"/>
    <w:link w:val="8"/>
    <w:semiHidden/>
    <w:qFormat/>
    <w:uiPriority w:val="0"/>
    <w:rPr>
      <w:rFonts w:ascii="Times New Roman" w:hAnsi="Times New Roman" w:eastAsia="宋体" w:cs="Times New Roman"/>
      <w:szCs w:val="24"/>
      <w:shd w:val="clear" w:color="auto" w:fill="000080"/>
    </w:rPr>
  </w:style>
  <w:style w:type="paragraph" w:customStyle="1" w:styleId="7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7">
    <w:name w:val="附录章标题"/>
    <w:next w:val="26"/>
    <w:qFormat/>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8">
    <w:name w:val="实施日期"/>
    <w:basedOn w:val="71"/>
    <w:qFormat/>
    <w:uiPriority w:val="0"/>
    <w:pPr>
      <w:framePr w:wrap="around" w:vAnchor="page" w:hAnchor="text"/>
      <w:jc w:val="right"/>
    </w:pPr>
  </w:style>
  <w:style w:type="character" w:customStyle="1" w:styleId="79">
    <w:name w:val="纯文本 Char1"/>
    <w:semiHidden/>
    <w:qFormat/>
    <w:uiPriority w:val="99"/>
    <w:rPr>
      <w:rFonts w:ascii="宋体" w:hAnsi="Courier New" w:eastAsia="宋体" w:cs="Courier New"/>
      <w:szCs w:val="21"/>
    </w:rPr>
  </w:style>
  <w:style w:type="character" w:customStyle="1" w:styleId="80">
    <w:name w:val="批注框文本 字符"/>
    <w:link w:val="19"/>
    <w:qFormat/>
    <w:uiPriority w:val="0"/>
    <w:rPr>
      <w:rFonts w:ascii="Times New Roman" w:hAnsi="Times New Roman" w:eastAsia="宋体" w:cs="Times New Roman"/>
      <w:sz w:val="18"/>
      <w:szCs w:val="18"/>
    </w:rPr>
  </w:style>
  <w:style w:type="character" w:customStyle="1" w:styleId="81">
    <w:name w:val="尾注文本 字符"/>
    <w:link w:val="18"/>
    <w:semiHidden/>
    <w:qFormat/>
    <w:uiPriority w:val="0"/>
    <w:rPr>
      <w:rFonts w:ascii="Times New Roman" w:hAnsi="Times New Roman" w:eastAsia="宋体" w:cs="Times New Roman"/>
      <w:szCs w:val="24"/>
    </w:rPr>
  </w:style>
  <w:style w:type="paragraph" w:customStyle="1" w:styleId="82">
    <w:name w:val="封面标准名称2"/>
    <w:basedOn w:val="83"/>
    <w:qFormat/>
    <w:uiPriority w:val="0"/>
    <w:pPr>
      <w:framePr w:wrap="around" w:y="4469"/>
      <w:spacing w:beforeLines="630"/>
    </w:p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84">
    <w:name w:val="页脚 字符"/>
    <w:link w:val="20"/>
    <w:qFormat/>
    <w:uiPriority w:val="0"/>
    <w:rPr>
      <w:rFonts w:ascii="Times New Roman" w:hAnsi="Times New Roman" w:eastAsia="宋体" w:cs="Times New Roman"/>
      <w:sz w:val="18"/>
      <w:szCs w:val="18"/>
    </w:rPr>
  </w:style>
  <w:style w:type="character" w:customStyle="1" w:styleId="85">
    <w:name w:val="页眉 Char1"/>
    <w:semiHidden/>
    <w:qFormat/>
    <w:uiPriority w:val="99"/>
    <w:rPr>
      <w:rFonts w:ascii="Times New Roman" w:hAnsi="Times New Roman" w:eastAsia="宋体" w:cs="Times New Roman"/>
      <w:sz w:val="18"/>
      <w:szCs w:val="18"/>
    </w:rPr>
  </w:style>
  <w:style w:type="paragraph" w:customStyle="1" w:styleId="86">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一级无标题条"/>
    <w:basedOn w:val="1"/>
    <w:qFormat/>
    <w:uiPriority w:val="0"/>
    <w:pPr>
      <w:numPr>
        <w:ilvl w:val="2"/>
        <w:numId w:val="3"/>
      </w:numPr>
    </w:pPr>
  </w:style>
  <w:style w:type="paragraph" w:customStyle="1" w:styleId="8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89">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character" w:customStyle="1" w:styleId="90">
    <w:name w:val="正文文本 2 字符"/>
    <w:link w:val="33"/>
    <w:qFormat/>
    <w:uiPriority w:val="0"/>
    <w:rPr>
      <w:rFonts w:ascii="Times New Roman" w:hAnsi="Times New Roman" w:eastAsia="宋体" w:cs="Times New Roman"/>
      <w:szCs w:val="24"/>
    </w:rPr>
  </w:style>
  <w:style w:type="character" w:customStyle="1" w:styleId="91">
    <w:name w:val="HTML 预设格式 字符"/>
    <w:link w:val="34"/>
    <w:qFormat/>
    <w:uiPriority w:val="0"/>
    <w:rPr>
      <w:rFonts w:ascii="宋体" w:hAnsi="宋体" w:eastAsia="宋体" w:cs="宋体"/>
      <w:kern w:val="0"/>
      <w:sz w:val="24"/>
      <w:szCs w:val="24"/>
    </w:rPr>
  </w:style>
  <w:style w:type="paragraph" w:customStyle="1" w:styleId="92">
    <w:name w:val="示例后文字"/>
    <w:basedOn w:val="26"/>
    <w:next w:val="26"/>
    <w:qFormat/>
    <w:uiPriority w:val="0"/>
    <w:pPr>
      <w:ind w:firstLine="360"/>
    </w:pPr>
    <w:rPr>
      <w:sz w:val="18"/>
    </w:rPr>
  </w:style>
  <w:style w:type="paragraph" w:customStyle="1" w:styleId="93">
    <w:name w:val="三级无"/>
    <w:basedOn w:val="94"/>
    <w:qFormat/>
    <w:uiPriority w:val="0"/>
    <w:pPr>
      <w:spacing w:beforeLines="0" w:afterLines="0"/>
    </w:pPr>
    <w:rPr>
      <w:rFonts w:ascii="宋体" w:eastAsia="宋体"/>
    </w:rPr>
  </w:style>
  <w:style w:type="paragraph" w:customStyle="1" w:styleId="94">
    <w:name w:val="三级条标题"/>
    <w:basedOn w:val="95"/>
    <w:next w:val="26"/>
    <w:qFormat/>
    <w:uiPriority w:val="0"/>
    <w:pPr>
      <w:outlineLvl w:val="4"/>
    </w:pPr>
  </w:style>
  <w:style w:type="paragraph" w:customStyle="1" w:styleId="95">
    <w:name w:val="二级条标题"/>
    <w:basedOn w:val="96"/>
    <w:next w:val="26"/>
    <w:qFormat/>
    <w:uiPriority w:val="0"/>
    <w:pPr>
      <w:spacing w:before="50" w:after="50"/>
      <w:outlineLvl w:val="3"/>
    </w:pPr>
  </w:style>
  <w:style w:type="paragraph" w:customStyle="1" w:styleId="96">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97">
    <w:name w:val="封面标准英文名称"/>
    <w:basedOn w:val="83"/>
    <w:qFormat/>
    <w:uiPriority w:val="0"/>
    <w:pPr>
      <w:framePr w:wrap="around"/>
      <w:spacing w:before="370" w:line="400" w:lineRule="exact"/>
    </w:pPr>
    <w:rPr>
      <w:rFonts w:ascii="Times New Roman"/>
      <w:sz w:val="28"/>
      <w:szCs w:val="28"/>
    </w:rPr>
  </w:style>
  <w:style w:type="paragraph" w:customStyle="1" w:styleId="98">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9">
    <w:name w:val="附录五级无"/>
    <w:basedOn w:val="100"/>
    <w:qFormat/>
    <w:uiPriority w:val="0"/>
    <w:pPr>
      <w:spacing w:beforeLines="0" w:afterLines="0"/>
    </w:pPr>
    <w:rPr>
      <w:rFonts w:ascii="宋体" w:eastAsia="宋体"/>
      <w:szCs w:val="21"/>
    </w:rPr>
  </w:style>
  <w:style w:type="paragraph" w:customStyle="1" w:styleId="100">
    <w:name w:val="附录五级条标题"/>
    <w:basedOn w:val="101"/>
    <w:next w:val="26"/>
    <w:qFormat/>
    <w:uiPriority w:val="0"/>
    <w:pPr>
      <w:outlineLvl w:val="6"/>
    </w:pPr>
  </w:style>
  <w:style w:type="paragraph" w:customStyle="1" w:styleId="101">
    <w:name w:val="附录四级条标题"/>
    <w:basedOn w:val="66"/>
    <w:next w:val="26"/>
    <w:qFormat/>
    <w:uiPriority w:val="0"/>
    <w:pPr>
      <w:outlineLvl w:val="5"/>
    </w:pPr>
  </w:style>
  <w:style w:type="paragraph" w:customStyle="1" w:styleId="10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3">
    <w:name w:val="条文脚注"/>
    <w:basedOn w:val="27"/>
    <w:qFormat/>
    <w:uiPriority w:val="0"/>
    <w:pPr>
      <w:numPr>
        <w:numId w:val="0"/>
      </w:numPr>
      <w:jc w:val="both"/>
    </w:pPr>
  </w:style>
  <w:style w:type="paragraph" w:customStyle="1" w:styleId="104">
    <w:name w:val="表格内容文字"/>
    <w:basedOn w:val="14"/>
    <w:qFormat/>
    <w:uiPriority w:val="99"/>
  </w:style>
  <w:style w:type="paragraph" w:customStyle="1" w:styleId="105">
    <w:name w:val="示例"/>
    <w:next w:val="106"/>
    <w:qFormat/>
    <w:uiPriority w:val="0"/>
    <w:pPr>
      <w:widowControl w:val="0"/>
      <w:numPr>
        <w:ilvl w:val="0"/>
        <w:numId w:val="6"/>
      </w:numPr>
      <w:jc w:val="both"/>
    </w:pPr>
    <w:rPr>
      <w:rFonts w:ascii="宋体" w:hAnsi="Times New Roman" w:eastAsia="宋体" w:cs="Times New Roman"/>
      <w:sz w:val="18"/>
      <w:szCs w:val="18"/>
      <w:lang w:val="en-US" w:eastAsia="zh-CN" w:bidi="ar-SA"/>
    </w:rPr>
  </w:style>
  <w:style w:type="paragraph" w:customStyle="1" w:styleId="10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07">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108">
    <w:name w:val="封面一致性程度标识"/>
    <w:basedOn w:val="97"/>
    <w:qFormat/>
    <w:uiPriority w:val="0"/>
    <w:pPr>
      <w:framePr w:wrap="around"/>
      <w:spacing w:before="440"/>
    </w:pPr>
    <w:rPr>
      <w:rFonts w:ascii="宋体" w:eastAsia="宋体"/>
    </w:rPr>
  </w:style>
  <w:style w:type="paragraph" w:customStyle="1" w:styleId="10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10">
    <w:name w:val="注："/>
    <w:next w:val="26"/>
    <w:qFormat/>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111">
    <w:name w:val="TOC 标题1"/>
    <w:basedOn w:val="2"/>
    <w:next w:val="1"/>
    <w:qFormat/>
    <w:uiPriority w:val="39"/>
    <w:pPr>
      <w:outlineLvl w:val="9"/>
    </w:pPr>
  </w:style>
  <w:style w:type="paragraph" w:customStyle="1" w:styleId="112">
    <w:name w:val="其他发布日期"/>
    <w:basedOn w:val="71"/>
    <w:qFormat/>
    <w:uiPriority w:val="0"/>
    <w:pPr>
      <w:framePr w:wrap="around" w:vAnchor="page" w:hAnchor="text" w:x="1419"/>
    </w:pPr>
  </w:style>
  <w:style w:type="paragraph" w:customStyle="1" w:styleId="113">
    <w:name w:val="封面标准英文名称2"/>
    <w:basedOn w:val="97"/>
    <w:qFormat/>
    <w:uiPriority w:val="0"/>
    <w:pPr>
      <w:framePr w:wrap="around" w:y="4469"/>
    </w:pPr>
  </w:style>
  <w:style w:type="paragraph" w:customStyle="1" w:styleId="114">
    <w:name w:val="标准书眉_偶数页"/>
    <w:basedOn w:val="115"/>
    <w:next w:val="1"/>
    <w:qFormat/>
    <w:uiPriority w:val="0"/>
    <w:pPr>
      <w:tabs>
        <w:tab w:val="center" w:pos="4154"/>
        <w:tab w:val="right" w:pos="8306"/>
      </w:tabs>
      <w:jc w:val="left"/>
    </w:pPr>
  </w:style>
  <w:style w:type="paragraph" w:customStyle="1" w:styleId="11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6">
    <w:name w:val="附录表标题"/>
    <w:basedOn w:val="1"/>
    <w:next w:val="26"/>
    <w:qFormat/>
    <w:uiPriority w:val="0"/>
    <w:pPr>
      <w:numPr>
        <w:ilvl w:val="1"/>
        <w:numId w:val="9"/>
      </w:numPr>
      <w:tabs>
        <w:tab w:val="left" w:pos="180"/>
      </w:tabs>
      <w:spacing w:beforeLines="50" w:afterLines="50"/>
      <w:ind w:left="0" w:firstLine="0"/>
      <w:jc w:val="center"/>
    </w:pPr>
    <w:rPr>
      <w:rFonts w:ascii="黑体" w:eastAsia="黑体"/>
      <w:szCs w:val="21"/>
    </w:rPr>
  </w:style>
  <w:style w:type="paragraph" w:customStyle="1" w:styleId="117">
    <w:name w:val="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18">
    <w:name w:val="四级无标题条"/>
    <w:basedOn w:val="1"/>
    <w:qFormat/>
    <w:uiPriority w:val="0"/>
    <w:pPr>
      <w:numPr>
        <w:ilvl w:val="5"/>
        <w:numId w:val="3"/>
      </w:numPr>
    </w:pPr>
  </w:style>
  <w:style w:type="paragraph" w:customStyle="1" w:styleId="119">
    <w:name w:val="编号列项（三级）"/>
    <w:qFormat/>
    <w:uiPriority w:val="0"/>
    <w:pPr>
      <w:numPr>
        <w:ilvl w:val="2"/>
        <w:numId w:val="7"/>
      </w:numPr>
    </w:pPr>
    <w:rPr>
      <w:rFonts w:ascii="宋体" w:hAnsi="Times New Roman" w:eastAsia="宋体" w:cs="Times New Roman"/>
      <w:sz w:val="21"/>
      <w:lang w:val="en-US" w:eastAsia="zh-CN" w:bidi="ar-SA"/>
    </w:rPr>
  </w:style>
  <w:style w:type="paragraph" w:customStyle="1" w:styleId="120">
    <w:name w:val="列项◆（三级）"/>
    <w:basedOn w:val="1"/>
    <w:qFormat/>
    <w:uiPriority w:val="0"/>
    <w:pPr>
      <w:numPr>
        <w:ilvl w:val="2"/>
        <w:numId w:val="10"/>
      </w:numPr>
    </w:pPr>
    <w:rPr>
      <w:rFonts w:ascii="宋体"/>
      <w:szCs w:val="21"/>
    </w:rPr>
  </w:style>
  <w:style w:type="paragraph" w:customStyle="1" w:styleId="121">
    <w:name w:val="列项●（二级）"/>
    <w:qFormat/>
    <w:uiPriority w:val="0"/>
    <w:pPr>
      <w:numPr>
        <w:ilvl w:val="1"/>
        <w:numId w:val="10"/>
      </w:numPr>
      <w:tabs>
        <w:tab w:val="left" w:pos="840"/>
        <w:tab w:val="clear" w:pos="1385"/>
      </w:tabs>
      <w:jc w:val="both"/>
    </w:pPr>
    <w:rPr>
      <w:rFonts w:ascii="宋体" w:hAnsi="Times New Roman" w:eastAsia="宋体" w:cs="Times New Roman"/>
      <w:sz w:val="21"/>
      <w:lang w:val="en-US" w:eastAsia="zh-CN" w:bidi="ar-SA"/>
    </w:rPr>
  </w:style>
  <w:style w:type="paragraph" w:customStyle="1" w:styleId="122">
    <w:name w:val="四级无"/>
    <w:basedOn w:val="123"/>
    <w:qFormat/>
    <w:uiPriority w:val="0"/>
    <w:pPr>
      <w:spacing w:beforeLines="0" w:afterLines="0"/>
    </w:pPr>
    <w:rPr>
      <w:rFonts w:ascii="宋体" w:eastAsia="宋体"/>
    </w:rPr>
  </w:style>
  <w:style w:type="paragraph" w:customStyle="1" w:styleId="123">
    <w:name w:val="四级条标题"/>
    <w:basedOn w:val="94"/>
    <w:next w:val="26"/>
    <w:qFormat/>
    <w:uiPriority w:val="0"/>
    <w:pPr>
      <w:outlineLvl w:val="5"/>
    </w:pPr>
  </w:style>
  <w:style w:type="paragraph" w:customStyle="1" w:styleId="12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25">
    <w:name w:val="附录标题"/>
    <w:basedOn w:val="26"/>
    <w:next w:val="26"/>
    <w:qFormat/>
    <w:uiPriority w:val="0"/>
    <w:pPr>
      <w:ind w:firstLine="0" w:firstLineChars="0"/>
      <w:jc w:val="center"/>
    </w:pPr>
    <w:rPr>
      <w:rFonts w:ascii="黑体" w:eastAsia="黑体"/>
    </w:rPr>
  </w:style>
  <w:style w:type="paragraph" w:customStyle="1" w:styleId="126">
    <w:name w:val="其他发布部门"/>
    <w:basedOn w:val="98"/>
    <w:qFormat/>
    <w:uiPriority w:val="0"/>
    <w:pPr>
      <w:framePr w:wrap="around" w:y="15310"/>
      <w:spacing w:line="0" w:lineRule="atLeast"/>
    </w:pPr>
    <w:rPr>
      <w:rFonts w:ascii="黑体" w:eastAsia="黑体"/>
      <w:b w:val="0"/>
    </w:rPr>
  </w:style>
  <w:style w:type="paragraph" w:customStyle="1" w:styleId="127">
    <w:name w:val="注×：（正文）"/>
    <w:qFormat/>
    <w:uiPriority w:val="0"/>
    <w:pPr>
      <w:numPr>
        <w:ilvl w:val="0"/>
        <w:numId w:val="11"/>
      </w:numPr>
      <w:jc w:val="both"/>
    </w:pPr>
    <w:rPr>
      <w:rFonts w:ascii="宋体" w:hAnsi="Times New Roman" w:eastAsia="宋体" w:cs="Times New Roman"/>
      <w:sz w:val="18"/>
      <w:szCs w:val="18"/>
      <w:lang w:val="en-US" w:eastAsia="zh-CN" w:bidi="ar-SA"/>
    </w:rPr>
  </w:style>
  <w:style w:type="paragraph" w:customStyle="1" w:styleId="128">
    <w:name w:val="封面一致性程度标识2"/>
    <w:basedOn w:val="108"/>
    <w:qFormat/>
    <w:uiPriority w:val="0"/>
    <w:pPr>
      <w:framePr w:wrap="around" w:y="4469"/>
    </w:pPr>
  </w:style>
  <w:style w:type="paragraph" w:customStyle="1" w:styleId="129">
    <w:name w:val="五级无"/>
    <w:basedOn w:val="130"/>
    <w:qFormat/>
    <w:uiPriority w:val="0"/>
    <w:pPr>
      <w:spacing w:beforeLines="0" w:afterLines="0"/>
    </w:pPr>
    <w:rPr>
      <w:rFonts w:ascii="宋体" w:eastAsia="宋体"/>
    </w:rPr>
  </w:style>
  <w:style w:type="paragraph" w:customStyle="1" w:styleId="130">
    <w:name w:val="五级条标题"/>
    <w:basedOn w:val="123"/>
    <w:next w:val="26"/>
    <w:qFormat/>
    <w:uiPriority w:val="0"/>
    <w:pPr>
      <w:outlineLvl w:val="6"/>
    </w:pPr>
  </w:style>
  <w:style w:type="paragraph" w:customStyle="1" w:styleId="131">
    <w:name w:val="图表脚注说明"/>
    <w:basedOn w:val="1"/>
    <w:uiPriority w:val="0"/>
    <w:pPr>
      <w:numPr>
        <w:ilvl w:val="0"/>
        <w:numId w:val="12"/>
      </w:numPr>
    </w:pPr>
    <w:rPr>
      <w:rFonts w:ascii="宋体"/>
      <w:sz w:val="18"/>
      <w:szCs w:val="18"/>
    </w:rPr>
  </w:style>
  <w:style w:type="paragraph" w:customStyle="1" w:styleId="132">
    <w:name w:val="终结线"/>
    <w:basedOn w:val="1"/>
    <w:qFormat/>
    <w:uiPriority w:val="0"/>
    <w:pPr>
      <w:framePr w:hSpace="181" w:vSpace="181" w:wrap="around" w:vAnchor="text" w:hAnchor="margin" w:xAlign="center" w:y="285"/>
    </w:pPr>
  </w:style>
  <w:style w:type="paragraph" w:customStyle="1" w:styleId="133">
    <w:name w:val="图标脚注说明"/>
    <w:basedOn w:val="26"/>
    <w:qFormat/>
    <w:uiPriority w:val="0"/>
    <w:pPr>
      <w:ind w:left="840" w:hanging="420" w:firstLineChars="0"/>
    </w:pPr>
    <w:rPr>
      <w:sz w:val="18"/>
      <w:szCs w:val="18"/>
    </w:rPr>
  </w:style>
  <w:style w:type="paragraph" w:customStyle="1" w:styleId="1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5">
    <w:name w:val="彩色列表 - 强调文字颜色 11"/>
    <w:basedOn w:val="1"/>
    <w:qFormat/>
    <w:uiPriority w:val="34"/>
    <w:pPr>
      <w:ind w:firstLine="420" w:firstLineChars="200"/>
    </w:pPr>
  </w:style>
  <w:style w:type="paragraph" w:customStyle="1" w:styleId="136">
    <w:name w:val="章标题"/>
    <w:next w:val="26"/>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13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38">
    <w:name w:val="二级无"/>
    <w:basedOn w:val="95"/>
    <w:qFormat/>
    <w:uiPriority w:val="0"/>
    <w:pPr>
      <w:spacing w:beforeLines="0" w:afterLines="0"/>
    </w:pPr>
    <w:rPr>
      <w:rFonts w:ascii="宋体" w:eastAsia="宋体"/>
    </w:rPr>
  </w:style>
  <w:style w:type="paragraph" w:customStyle="1" w:styleId="139">
    <w:name w:val="附录一级条标题"/>
    <w:basedOn w:val="77"/>
    <w:next w:val="26"/>
    <w:qFormat/>
    <w:uiPriority w:val="0"/>
    <w:pPr>
      <w:autoSpaceDN w:val="0"/>
      <w:spacing w:beforeLines="50" w:afterLines="50"/>
      <w:outlineLvl w:val="2"/>
    </w:pPr>
  </w:style>
  <w:style w:type="paragraph" w:customStyle="1" w:styleId="140">
    <w:name w:val="附录表标号"/>
    <w:basedOn w:val="1"/>
    <w:next w:val="26"/>
    <w:qFormat/>
    <w:uiPriority w:val="0"/>
    <w:pPr>
      <w:numPr>
        <w:ilvl w:val="0"/>
        <w:numId w:val="9"/>
      </w:numPr>
      <w:tabs>
        <w:tab w:val="clear" w:pos="0"/>
      </w:tabs>
      <w:spacing w:line="14" w:lineRule="exact"/>
      <w:ind w:left="811" w:hanging="448"/>
      <w:jc w:val="center"/>
      <w:outlineLvl w:val="0"/>
    </w:pPr>
    <w:rPr>
      <w:color w:val="FFFFFF"/>
    </w:rPr>
  </w:style>
  <w:style w:type="paragraph" w:customStyle="1" w:styleId="141">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42">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43">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44">
    <w:name w:val="附录四级无"/>
    <w:basedOn w:val="101"/>
    <w:qFormat/>
    <w:uiPriority w:val="0"/>
    <w:pPr>
      <w:spacing w:beforeLines="0" w:afterLines="0"/>
    </w:pPr>
    <w:rPr>
      <w:rFonts w:ascii="宋体" w:eastAsia="宋体"/>
      <w:szCs w:val="21"/>
    </w:rPr>
  </w:style>
  <w:style w:type="paragraph" w:customStyle="1" w:styleId="145">
    <w:name w:val="附录图标题"/>
    <w:basedOn w:val="1"/>
    <w:next w:val="26"/>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46">
    <w:name w:val="列项——（一级）"/>
    <w:qFormat/>
    <w:uiPriority w:val="0"/>
    <w:pPr>
      <w:widowControl w:val="0"/>
      <w:numPr>
        <w:ilvl w:val="0"/>
        <w:numId w:val="10"/>
      </w:numPr>
      <w:jc w:val="both"/>
    </w:pPr>
    <w:rPr>
      <w:rFonts w:ascii="宋体" w:hAnsi="Times New Roman" w:eastAsia="宋体" w:cs="Times New Roman"/>
      <w:sz w:val="21"/>
      <w:lang w:val="en-US" w:eastAsia="zh-CN" w:bidi="ar-SA"/>
    </w:rPr>
  </w:style>
  <w:style w:type="paragraph" w:customStyle="1" w:styleId="14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48">
    <w:name w:val="附录字母编号列项（一级）"/>
    <w:qFormat/>
    <w:uiPriority w:val="0"/>
    <w:pPr>
      <w:numPr>
        <w:ilvl w:val="0"/>
        <w:numId w:val="14"/>
      </w:numPr>
    </w:pPr>
    <w:rPr>
      <w:rFonts w:ascii="宋体" w:hAnsi="Times New Roman" w:eastAsia="宋体" w:cs="Times New Roman"/>
      <w:sz w:val="21"/>
      <w:lang w:val="en-US" w:eastAsia="zh-CN" w:bidi="ar-SA"/>
    </w:rPr>
  </w:style>
  <w:style w:type="paragraph" w:customStyle="1" w:styleId="149">
    <w:name w:val="正文公式编号制表符"/>
    <w:basedOn w:val="26"/>
    <w:next w:val="26"/>
    <w:qFormat/>
    <w:uiPriority w:val="0"/>
    <w:pPr>
      <w:ind w:firstLine="0" w:firstLineChars="0"/>
    </w:pPr>
  </w:style>
  <w:style w:type="paragraph" w:customStyle="1" w:styleId="150">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51">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152">
    <w:name w:val="附录标识"/>
    <w:basedOn w:val="1"/>
    <w:next w:val="26"/>
    <w:qFormat/>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153">
    <w:name w:val="封面标准文稿类别"/>
    <w:basedOn w:val="108"/>
    <w:qFormat/>
    <w:uiPriority w:val="0"/>
    <w:pPr>
      <w:framePr w:wrap="around"/>
      <w:spacing w:after="160" w:line="240" w:lineRule="auto"/>
    </w:pPr>
    <w:rPr>
      <w:sz w:val="24"/>
    </w:rPr>
  </w:style>
  <w:style w:type="paragraph" w:customStyle="1" w:styleId="15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5">
    <w:name w:val="封面标准文稿编辑信息"/>
    <w:basedOn w:val="153"/>
    <w:qFormat/>
    <w:uiPriority w:val="0"/>
    <w:pPr>
      <w:framePr w:wrap="around"/>
      <w:spacing w:before="180" w:line="180" w:lineRule="exact"/>
    </w:pPr>
    <w:rPr>
      <w:sz w:val="21"/>
    </w:rPr>
  </w:style>
  <w:style w:type="paragraph" w:customStyle="1" w:styleId="156">
    <w:name w:val="a"/>
    <w:basedOn w:val="1"/>
    <w:qFormat/>
    <w:uiPriority w:val="0"/>
    <w:pPr>
      <w:widowControl/>
      <w:jc w:val="left"/>
    </w:pPr>
    <w:rPr>
      <w:rFonts w:ascii="宋体" w:hAnsi="宋体" w:cs="宋体"/>
      <w:kern w:val="0"/>
      <w:sz w:val="24"/>
    </w:rPr>
  </w:style>
  <w:style w:type="paragraph" w:customStyle="1" w:styleId="157">
    <w:name w:val="附录数字编号列项（二级）"/>
    <w:qFormat/>
    <w:uiPriority w:val="0"/>
    <w:pPr>
      <w:numPr>
        <w:ilvl w:val="1"/>
        <w:numId w:val="14"/>
      </w:numPr>
    </w:pPr>
    <w:rPr>
      <w:rFonts w:ascii="宋体" w:hAnsi="Times New Roman" w:eastAsia="宋体" w:cs="Times New Roman"/>
      <w:sz w:val="21"/>
      <w:lang w:val="en-US" w:eastAsia="zh-CN" w:bidi="ar-SA"/>
    </w:rPr>
  </w:style>
  <w:style w:type="paragraph" w:customStyle="1" w:styleId="158">
    <w:name w:val="封面标准文稿编辑信息2"/>
    <w:basedOn w:val="155"/>
    <w:qFormat/>
    <w:uiPriority w:val="0"/>
    <w:pPr>
      <w:framePr w:wrap="around" w:y="4469"/>
    </w:pPr>
  </w:style>
  <w:style w:type="paragraph" w:customStyle="1" w:styleId="159">
    <w:name w:val="二级无标题条"/>
    <w:basedOn w:val="1"/>
    <w:qFormat/>
    <w:uiPriority w:val="0"/>
    <w:pPr>
      <w:numPr>
        <w:ilvl w:val="3"/>
        <w:numId w:val="3"/>
      </w:numPr>
    </w:pPr>
  </w:style>
  <w:style w:type="paragraph" w:customStyle="1" w:styleId="160">
    <w:name w:val="封面标准文稿类别2"/>
    <w:basedOn w:val="153"/>
    <w:qFormat/>
    <w:uiPriority w:val="0"/>
    <w:pPr>
      <w:framePr w:wrap="around" w:y="4469"/>
    </w:pPr>
  </w:style>
  <w:style w:type="paragraph" w:customStyle="1" w:styleId="161">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62">
    <w:name w:val="一级无"/>
    <w:basedOn w:val="96"/>
    <w:qFormat/>
    <w:uiPriority w:val="0"/>
    <w:pPr>
      <w:spacing w:beforeLines="0" w:afterLines="0"/>
    </w:pPr>
    <w:rPr>
      <w:rFonts w:ascii="宋体" w:eastAsia="宋体"/>
    </w:rPr>
  </w:style>
  <w:style w:type="paragraph" w:customStyle="1" w:styleId="163">
    <w:name w:val="其他实施日期"/>
    <w:basedOn w:val="78"/>
    <w:qFormat/>
    <w:uiPriority w:val="0"/>
    <w:pPr>
      <w:framePr w:wrap="around"/>
    </w:pPr>
  </w:style>
  <w:style w:type="paragraph" w:customStyle="1" w:styleId="164">
    <w:name w:val="示例×："/>
    <w:basedOn w:val="136"/>
    <w:qFormat/>
    <w:uiPriority w:val="0"/>
    <w:pPr>
      <w:numPr>
        <w:ilvl w:val="0"/>
        <w:numId w:val="15"/>
      </w:numPr>
      <w:spacing w:beforeLines="0" w:afterLines="0"/>
      <w:outlineLvl w:val="9"/>
    </w:pPr>
    <w:rPr>
      <w:rFonts w:ascii="宋体" w:eastAsia="宋体"/>
      <w:sz w:val="18"/>
      <w:szCs w:val="18"/>
    </w:rPr>
  </w:style>
  <w:style w:type="paragraph" w:customStyle="1" w:styleId="165">
    <w:name w:val="标准书眉一"/>
    <w:qFormat/>
    <w:uiPriority w:val="0"/>
    <w:pPr>
      <w:jc w:val="both"/>
    </w:pPr>
    <w:rPr>
      <w:rFonts w:ascii="Times New Roman" w:hAnsi="Times New Roman" w:eastAsia="宋体" w:cs="Times New Roman"/>
      <w:lang w:val="en-US" w:eastAsia="zh-CN" w:bidi="ar-SA"/>
    </w:rPr>
  </w:style>
  <w:style w:type="paragraph" w:customStyle="1" w:styleId="166">
    <w:name w:val="_Style 13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67">
    <w:name w:val="五级无标题条"/>
    <w:basedOn w:val="1"/>
    <w:qFormat/>
    <w:uiPriority w:val="0"/>
    <w:pPr>
      <w:numPr>
        <w:ilvl w:val="6"/>
        <w:numId w:val="3"/>
      </w:numPr>
    </w:pPr>
  </w:style>
  <w:style w:type="paragraph" w:customStyle="1" w:styleId="16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69">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70">
    <w:name w:val="封面正文"/>
    <w:qFormat/>
    <w:uiPriority w:val="0"/>
    <w:pPr>
      <w:jc w:val="both"/>
    </w:pPr>
    <w:rPr>
      <w:rFonts w:ascii="Times New Roman" w:hAnsi="Times New Roman" w:eastAsia="宋体" w:cs="Times New Roman"/>
      <w:lang w:val="en-US" w:eastAsia="zh-CN" w:bidi="ar-SA"/>
    </w:rPr>
  </w:style>
  <w:style w:type="paragraph" w:customStyle="1" w:styleId="171">
    <w:name w:val="附录一级无"/>
    <w:basedOn w:val="139"/>
    <w:qFormat/>
    <w:uiPriority w:val="0"/>
    <w:pPr>
      <w:spacing w:beforeLines="0" w:afterLines="0"/>
    </w:pPr>
    <w:rPr>
      <w:rFonts w:ascii="宋体" w:eastAsia="宋体"/>
      <w:szCs w:val="21"/>
    </w:rPr>
  </w:style>
  <w:style w:type="paragraph" w:customStyle="1" w:styleId="172">
    <w:name w:val="正文图标题"/>
    <w:next w:val="26"/>
    <w:qFormat/>
    <w:uiPriority w:val="0"/>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73">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74">
    <w:name w:val="注：（正文）"/>
    <w:basedOn w:val="110"/>
    <w:next w:val="26"/>
    <w:qFormat/>
    <w:uiPriority w:val="0"/>
  </w:style>
  <w:style w:type="paragraph" w:customStyle="1" w:styleId="175">
    <w:name w:val="其他标准标志"/>
    <w:basedOn w:val="137"/>
    <w:qFormat/>
    <w:uiPriority w:val="0"/>
    <w:pPr>
      <w:framePr w:w="6101" w:wrap="around" w:vAnchor="page" w:hAnchor="page" w:x="4673" w:y="942"/>
    </w:pPr>
    <w:rPr>
      <w:w w:val="130"/>
    </w:rPr>
  </w:style>
  <w:style w:type="character" w:customStyle="1" w:styleId="176">
    <w:name w:val="条文 Char"/>
    <w:link w:val="177"/>
    <w:qFormat/>
    <w:uiPriority w:val="0"/>
    <w:rPr>
      <w:szCs w:val="24"/>
    </w:rPr>
  </w:style>
  <w:style w:type="paragraph" w:customStyle="1" w:styleId="177">
    <w:name w:val="条文"/>
    <w:basedOn w:val="1"/>
    <w:link w:val="176"/>
    <w:qFormat/>
    <w:uiPriority w:val="0"/>
    <w:pPr>
      <w:spacing w:line="300" w:lineRule="auto"/>
      <w:outlineLvl w:val="2"/>
    </w:pPr>
    <w:rPr>
      <w:rFonts w:ascii="Calibri" w:hAnsi="Calibri"/>
    </w:rPr>
  </w:style>
  <w:style w:type="paragraph" w:customStyle="1" w:styleId="17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9">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80">
    <w:name w:val="apple-converted-space"/>
    <w:basedOn w:val="39"/>
    <w:qFormat/>
    <w:uiPriority w:val="0"/>
  </w:style>
  <w:style w:type="character" w:customStyle="1" w:styleId="181">
    <w:name w:val="日期 字符"/>
    <w:link w:val="17"/>
    <w:semiHidden/>
    <w:qFormat/>
    <w:uiPriority w:val="99"/>
    <w:rPr>
      <w:rFonts w:ascii="Times New Roman" w:hAnsi="Times New Roman" w:eastAsia="宋体" w:cs="Times New Roman"/>
      <w:szCs w:val="24"/>
    </w:rPr>
  </w:style>
  <w:style w:type="paragraph" w:customStyle="1" w:styleId="182">
    <w:name w:val="TOC Heading"/>
    <w:basedOn w:val="2"/>
    <w:next w:val="1"/>
    <w:unhideWhenUsed/>
    <w:qFormat/>
    <w:uiPriority w:val="39"/>
    <w:pPr>
      <w:widowControl/>
      <w:spacing w:before="240" w:after="0" w:line="259" w:lineRule="auto"/>
      <w:jc w:val="left"/>
      <w:outlineLvl w:val="9"/>
    </w:pPr>
    <w:rPr>
      <w:rFonts w:ascii="Cambria" w:hAnsi="Cambria"/>
      <w:b w:val="0"/>
      <w:bCs w:val="0"/>
      <w:color w:val="365F91"/>
      <w:kern w:val="0"/>
      <w:sz w:val="32"/>
      <w:szCs w:val="32"/>
    </w:rPr>
  </w:style>
  <w:style w:type="paragraph" w:styleId="183">
    <w:name w:val="List Paragraph"/>
    <w:basedOn w:val="1"/>
    <w:qFormat/>
    <w:uiPriority w:val="99"/>
    <w:pPr>
      <w:ind w:firstLine="420" w:firstLineChars="200"/>
    </w:pPr>
  </w:style>
  <w:style w:type="paragraph" w:customStyle="1" w:styleId="184">
    <w:name w:val="样式1"/>
    <w:basedOn w:val="1"/>
    <w:link w:val="185"/>
    <w:qFormat/>
    <w:uiPriority w:val="0"/>
    <w:pPr>
      <w:spacing w:before="156" w:beforeLines="50" w:after="156" w:afterLines="50"/>
      <w:jc w:val="left"/>
    </w:pPr>
    <w:rPr>
      <w:rFonts w:ascii="Cambria Math" w:hAnsi="Cambria Math" w:eastAsia="Cambria Math"/>
      <w:szCs w:val="21"/>
      <w:lang w:val="zh-CN" w:eastAsia="zh-CN"/>
    </w:rPr>
  </w:style>
  <w:style w:type="character" w:customStyle="1" w:styleId="185">
    <w:name w:val="样式1 Char"/>
    <w:link w:val="184"/>
    <w:qFormat/>
    <w:uiPriority w:val="0"/>
    <w:rPr>
      <w:rFonts w:ascii="Cambria Math" w:hAnsi="Cambria Math" w:eastAsia="Cambria Math"/>
      <w:kern w:val="2"/>
      <w:sz w:val="21"/>
      <w:szCs w:val="21"/>
      <w:lang w:val="zh-CN"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qhcb\Desktop\&#32511;&#33394;&#35780;&#20215;&#26631;&#20934;-2022.06.21\&#32511;&#33394;&#24314;&#26448;&#35780;&#20215;%20UHPC&#26500;&#20214;&#65288;&#35752;&#35770;&#31295;&#65289;-2023.05.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E72A1F-A928-4814-82B6-27D613B41CB8}">
  <ds:schemaRefs/>
</ds:datastoreItem>
</file>

<file path=docProps/app.xml><?xml version="1.0" encoding="utf-8"?>
<Properties xmlns="http://schemas.openxmlformats.org/officeDocument/2006/extended-properties" xmlns:vt="http://schemas.openxmlformats.org/officeDocument/2006/docPropsVTypes">
  <Template>绿色建材评价 UHPC构件（讨论稿）-2023.05.9</Template>
  <Pages>12</Pages>
  <Words>1134</Words>
  <Characters>6464</Characters>
  <Lines>53</Lines>
  <Paragraphs>15</Paragraphs>
  <TotalTime>2</TotalTime>
  <ScaleCrop>false</ScaleCrop>
  <LinksUpToDate>false</LinksUpToDate>
  <CharactersWithSpaces>7583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2023-05-08T07:49:00Z</dcterms:created>
  <dc:creator>李清海</dc:creator>
  <cp:lastModifiedBy>李清海</cp:lastModifiedBy>
  <cp:lastPrinted>2018-01-08T02:40:00Z</cp:lastPrinted>
  <dcterms:modified xsi:type="dcterms:W3CDTF">2024-04-08T01:00:03Z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FC5AA9573EBB440D950141E202913A45</vt:lpwstr>
  </property>
</Properties>
</file>