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rPr>
          <w:rFonts w:cs="Times New Roman"/>
          <w:sz w:val="20"/>
          <w:szCs w:val="20"/>
        </w:rPr>
      </w:pPr>
      <w:bookmarkStart w:id="0" w:name="_Hlk518993094"/>
      <w:bookmarkEnd w:id="0"/>
      <w:r>
        <w:rPr>
          <w:rFonts w:cs="Times New Roman"/>
          <w:sz w:val="20"/>
          <w:szCs w:val="20"/>
        </w:rPr>
        <w:t>ICS 91.100.10</w:t>
      </w:r>
    </w:p>
    <w:p>
      <w:pPr>
        <w:ind w:firstLine="0" w:firstLineChars="0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>Q 1</w:t>
      </w:r>
      <w:r>
        <w:rPr>
          <w:rFonts w:hint="eastAsia" w:cs="Times New Roman"/>
          <w:sz w:val="20"/>
          <w:szCs w:val="20"/>
        </w:rPr>
        <w:t>2</w:t>
      </w:r>
    </w:p>
    <w:p>
      <w:pPr>
        <w:ind w:firstLine="400"/>
        <w:rPr>
          <w:rFonts w:eastAsia="Times New Roman" w:cs="Times New Roman"/>
          <w:sz w:val="20"/>
          <w:szCs w:val="20"/>
        </w:rPr>
      </w:pPr>
    </w:p>
    <w:p>
      <w:pPr>
        <w:ind w:firstLine="0" w:firstLineChars="0"/>
        <w:jc w:val="distribute"/>
        <w:rPr>
          <w:rFonts w:eastAsia="微软雅黑" w:cs="Times New Roman"/>
          <w:sz w:val="56"/>
          <w:szCs w:val="52"/>
        </w:rPr>
      </w:pPr>
      <w:r>
        <w:rPr>
          <w:rFonts w:eastAsia="微软雅黑" w:cs="Times New Roman"/>
          <w:sz w:val="56"/>
          <w:szCs w:val="52"/>
        </w:rPr>
        <w:t>团体标准</w:t>
      </w:r>
    </w:p>
    <w:p>
      <w:pPr>
        <w:spacing w:before="201"/>
        <w:ind w:left="4724" w:firstLine="556"/>
        <w:jc w:val="right"/>
        <w:rPr>
          <w:rFonts w:eastAsia="Times New Roman" w:cs="Times New Roman"/>
          <w:sz w:val="28"/>
          <w:szCs w:val="28"/>
        </w:rPr>
      </w:pPr>
      <w:r>
        <w:rPr>
          <w:rFonts w:cs="Times New Roman"/>
          <w:color w:val="050505"/>
          <w:spacing w:val="-1"/>
          <w:sz w:val="28"/>
          <w:szCs w:val="28"/>
        </w:rPr>
        <w:t>T/CECS</w:t>
      </w:r>
      <w:r>
        <w:rPr>
          <w:rFonts w:cs="Times New Roman"/>
          <w:color w:val="050505"/>
          <w:sz w:val="28"/>
          <w:szCs w:val="28"/>
        </w:rPr>
        <w:t xml:space="preserve">  ×××××—20</w:t>
      </w:r>
      <w:r>
        <w:rPr>
          <w:rFonts w:hint="eastAsia" w:cs="Times New Roman"/>
          <w:color w:val="050505"/>
          <w:sz w:val="28"/>
          <w:szCs w:val="28"/>
        </w:rPr>
        <w:t>2</w:t>
      </w:r>
      <w:r>
        <w:rPr>
          <w:rFonts w:cs="Times New Roman"/>
          <w:color w:val="050505"/>
          <w:sz w:val="28"/>
          <w:szCs w:val="28"/>
        </w:rPr>
        <w:t>×</w:t>
      </w:r>
    </w:p>
    <w:p>
      <w:pPr>
        <w:spacing w:before="5"/>
        <w:ind w:firstLine="40"/>
        <w:rPr>
          <w:rFonts w:eastAsia="Times New Roman" w:cs="Times New Roman"/>
          <w:b/>
          <w:bCs/>
          <w:sz w:val="17"/>
          <w:szCs w:val="17"/>
        </w:rPr>
      </w:pPr>
      <w:r>
        <w:rPr>
          <w:rFonts w:eastAsia="Times New Roman" w:cs="Times New Roman"/>
          <w:sz w:val="2"/>
          <w:szCs w:val="2"/>
        </w:rPr>
        <mc:AlternateContent>
          <mc:Choice Requires="wpg">
            <w:drawing>
              <wp:inline distT="0" distB="0" distL="0" distR="0">
                <wp:extent cx="5274310" cy="8890"/>
                <wp:effectExtent l="0" t="9525" r="2540" b="635"/>
                <wp:docPr id="4" name="Group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74310" cy="8890"/>
                          <a:chOff x="0" y="0"/>
                          <a:chExt cx="8699" cy="15203"/>
                        </a:xfrm>
                      </wpg:grpSpPr>
                      <wpg:grpSp>
                        <wpg:cNvPr id="5" name="Group 5"/>
                        <wpg:cNvGrpSpPr/>
                        <wpg:grpSpPr>
                          <a:xfrm>
                            <a:off x="8" y="8"/>
                            <a:ext cx="8684" cy="2"/>
                            <a:chOff x="8" y="8"/>
                            <a:chExt cx="8684" cy="2"/>
                          </a:xfrm>
                        </wpg:grpSpPr>
                        <wps:wsp>
                          <wps:cNvPr id="6" name="Freeform 6"/>
                          <wps:cNvSpPr>
                            <a:spLocks noChangeArrowheads="1"/>
                          </wps:cNvSpPr>
                          <wps:spPr bwMode="auto">
                            <a:xfrm>
                              <a:off x="8" y="8"/>
                              <a:ext cx="8684" cy="2"/>
                            </a:xfrm>
                            <a:custGeom>
                              <a:avLst/>
                              <a:gdLst>
                                <a:gd name="T0" fmla="*/ 0 w 8684"/>
                                <a:gd name="T1" fmla="*/ 0 h 1"/>
                                <a:gd name="T2" fmla="*/ 8684 w 8684"/>
                                <a:gd name="T3" fmla="*/ 0 h 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8684" h="1">
                                  <a:moveTo>
                                    <a:pt x="0" y="0"/>
                                  </a:moveTo>
                                  <a:lnTo>
                                    <a:pt x="8684" y="0"/>
                                  </a:ln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12" o:spid="_x0000_s1026" o:spt="203" style="height:0.7pt;width:415.3pt;" coordsize="8699,15203" o:gfxdata="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">
                <o:lock v:ext="edit" aspectratio="f"/>
                <v:group id="Group 5" o:spid="_x0000_s1026" o:spt="203" style="position:absolute;left:8;top:8;height:2;width:8684;" coordorigin="8,8" coordsize="8684,2" o:gfxdata="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HTySXu7AAAA2gAAAA8AAAAAAAAAAQAgAAAAIgAAAGRycy9kb3ducmV2LnhtbFBL&#10;AQIUABQAAAAIAIdO4kAzLwWeOwAAADkAAAAVAAAAAAAAAAEAIAAAAAoBAABkcnMvZ3JvdXBzaGFw&#10;ZXhtbC54bWxQSwUGAAAAAAYABgBgAQAAxwMAAAAA&#10;">
                  <o:lock v:ext="edit" aspectratio="f"/>
                  <v:shape id="Freeform 6" o:spid="_x0000_s1026" o:spt="100" style="position:absolute;left:8;top:8;height:2;width:8684;" filled="f" stroked="t" coordsize="8684,1" o:gfxdata="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r8t777gAAADaAAAA&#10;DwAAAAAAAAABACAAAAAiAAAAZHJzL2Rvd25yZXYueG1sUEsBAhQAFAAAAAgAh07iQDMvBZ47AAAA&#10;OQAAABAAAAAAAAAAAQAgAAAABwEAAGRycy9zaGFwZXhtbC54bWxQSwUGAAAAAAYABgBbAQAAsQMA&#10;AAAA&#10;" path="m0,0l8684,0e">
                    <v:path o:connectlocs="0,0;8684,0" o:connectangles="0,0"/>
                    <v:fill on="f" focussize="0,0"/>
                    <v:stroke color="#000000" joinstyle="round"/>
                    <v:imagedata o:title=""/>
                    <o:lock v:ext="edit" aspectratio="f"/>
                  </v:shape>
                </v:group>
                <w10:wrap type="none"/>
                <w10:anchorlock/>
              </v:group>
            </w:pict>
          </mc:Fallback>
        </mc:AlternateContent>
      </w:r>
    </w:p>
    <w:p>
      <w:pPr>
        <w:spacing w:line="20" w:lineRule="atLeast"/>
        <w:ind w:left="119" w:firstLine="40"/>
        <w:rPr>
          <w:rFonts w:eastAsia="Times New Roman" w:cs="Times New Roman"/>
          <w:sz w:val="2"/>
          <w:szCs w:val="2"/>
        </w:rPr>
      </w:pPr>
    </w:p>
    <w:p>
      <w:pPr>
        <w:ind w:firstLine="402"/>
        <w:rPr>
          <w:rFonts w:cs="Times New Roman"/>
          <w:b/>
          <w:bCs/>
          <w:sz w:val="20"/>
          <w:szCs w:val="20"/>
        </w:rPr>
      </w:pPr>
    </w:p>
    <w:p>
      <w:pPr>
        <w:ind w:firstLine="402"/>
        <w:rPr>
          <w:rFonts w:eastAsia="Times New Roman" w:cs="Times New Roman"/>
          <w:b/>
          <w:bCs/>
          <w:sz w:val="20"/>
          <w:szCs w:val="20"/>
        </w:rPr>
      </w:pPr>
    </w:p>
    <w:p>
      <w:pPr>
        <w:ind w:firstLine="402"/>
        <w:rPr>
          <w:rFonts w:eastAsia="Times New Roman" w:cs="Times New Roman"/>
          <w:b/>
          <w:bCs/>
          <w:sz w:val="20"/>
          <w:szCs w:val="20"/>
        </w:rPr>
      </w:pPr>
    </w:p>
    <w:p>
      <w:pPr>
        <w:spacing w:before="3"/>
        <w:ind w:firstLine="640"/>
        <w:rPr>
          <w:rFonts w:cs="Times New Roman"/>
          <w:sz w:val="32"/>
          <w:szCs w:val="32"/>
        </w:rPr>
      </w:pPr>
    </w:p>
    <w:p>
      <w:pPr>
        <w:pStyle w:val="8"/>
        <w:spacing w:before="156" w:beforeLines="50" w:line="360" w:lineRule="auto"/>
        <w:ind w:firstLine="167" w:firstLineChars="38"/>
        <w:jc w:val="center"/>
        <w:rPr>
          <w:rFonts w:ascii="Times New Roman" w:hAnsi="Times New Roman" w:eastAsia="黑体" w:cs="Times New Roman"/>
          <w:sz w:val="44"/>
          <w:szCs w:val="44"/>
        </w:rPr>
      </w:pPr>
      <w:r>
        <w:rPr>
          <w:rFonts w:hint="eastAsia" w:ascii="Times New Roman" w:hAnsi="Times New Roman" w:eastAsia="黑体" w:cs="Times New Roman"/>
          <w:sz w:val="44"/>
          <w:szCs w:val="44"/>
        </w:rPr>
        <w:t>风电工程用座浆料</w:t>
      </w:r>
    </w:p>
    <w:p>
      <w:pPr>
        <w:spacing w:before="50" w:line="360" w:lineRule="auto"/>
        <w:ind w:left="400" w:right="696" w:firstLine="0" w:firstLineChars="0"/>
        <w:jc w:val="center"/>
        <w:rPr>
          <w:rFonts w:cs="Times New Roman"/>
          <w:sz w:val="32"/>
          <w:szCs w:val="32"/>
        </w:rPr>
      </w:pPr>
      <w:r>
        <w:rPr>
          <w:rFonts w:hint="eastAsia" w:cs="Times New Roman"/>
          <w:sz w:val="32"/>
          <w:szCs w:val="32"/>
        </w:rPr>
        <w:t>B</w:t>
      </w:r>
      <w:r>
        <w:rPr>
          <w:rFonts w:cs="Times New Roman"/>
          <w:sz w:val="32"/>
          <w:szCs w:val="32"/>
        </w:rPr>
        <w:t>edding mortar material for wind power engineering</w:t>
      </w:r>
    </w:p>
    <w:p>
      <w:pPr>
        <w:spacing w:before="50" w:line="360" w:lineRule="auto"/>
        <w:ind w:left="400" w:right="696" w:firstLine="0" w:firstLineChars="0"/>
        <w:jc w:val="center"/>
        <w:rPr>
          <w:rFonts w:cs="Times New Roman"/>
          <w:sz w:val="32"/>
          <w:szCs w:val="32"/>
        </w:rPr>
      </w:pPr>
      <w:r>
        <w:rPr>
          <w:rFonts w:cs="Times New Roman"/>
          <w:sz w:val="32"/>
          <w:szCs w:val="32"/>
        </w:rPr>
        <w:t>（</w:t>
      </w:r>
      <w:r>
        <w:rPr>
          <w:rFonts w:hint="eastAsia" w:cs="Times New Roman"/>
          <w:sz w:val="32"/>
          <w:szCs w:val="32"/>
        </w:rPr>
        <w:t>征求意见稿</w:t>
      </w:r>
      <w:r>
        <w:rPr>
          <w:rFonts w:cs="Times New Roman"/>
          <w:sz w:val="32"/>
          <w:szCs w:val="32"/>
        </w:rPr>
        <w:t>）</w:t>
      </w:r>
    </w:p>
    <w:p>
      <w:pPr>
        <w:ind w:firstLine="0" w:firstLineChars="0"/>
        <w:rPr>
          <w:rFonts w:cs="Times New Roman"/>
          <w:b/>
          <w:bCs/>
          <w:sz w:val="32"/>
          <w:szCs w:val="32"/>
        </w:rPr>
      </w:pPr>
    </w:p>
    <w:p>
      <w:pPr>
        <w:ind w:firstLine="0" w:firstLineChars="0"/>
        <w:rPr>
          <w:rFonts w:cs="Times New Roman"/>
          <w:b/>
          <w:bCs/>
          <w:sz w:val="32"/>
          <w:szCs w:val="32"/>
        </w:rPr>
      </w:pPr>
    </w:p>
    <w:p>
      <w:pPr>
        <w:ind w:firstLine="0" w:firstLineChars="0"/>
        <w:rPr>
          <w:rFonts w:cs="Times New Roman"/>
          <w:b/>
          <w:bCs/>
          <w:sz w:val="32"/>
          <w:szCs w:val="32"/>
        </w:rPr>
      </w:pPr>
    </w:p>
    <w:p>
      <w:pPr>
        <w:ind w:firstLine="0" w:firstLineChars="0"/>
        <w:rPr>
          <w:rFonts w:cs="Times New Roman"/>
          <w:b/>
          <w:bCs/>
          <w:sz w:val="32"/>
          <w:szCs w:val="32"/>
        </w:rPr>
      </w:pPr>
    </w:p>
    <w:p>
      <w:pPr>
        <w:ind w:firstLine="0" w:firstLineChars="0"/>
        <w:rPr>
          <w:rFonts w:cs="Times New Roman"/>
          <w:b/>
          <w:bCs/>
          <w:sz w:val="32"/>
          <w:szCs w:val="32"/>
        </w:rPr>
      </w:pPr>
    </w:p>
    <w:p>
      <w:pPr>
        <w:ind w:firstLine="0" w:firstLineChars="0"/>
        <w:rPr>
          <w:rFonts w:eastAsia="黑体" w:cs="Times New Roman"/>
          <w:bCs/>
          <w:sz w:val="28"/>
          <w:szCs w:val="24"/>
        </w:rPr>
      </w:pPr>
      <w:r>
        <w:rPr>
          <w:rFonts w:eastAsia="黑体" w:cs="Times New Roman"/>
          <w:bCs/>
          <w:sz w:val="28"/>
          <w:szCs w:val="24"/>
        </w:rPr>
        <w:t xml:space="preserve">20××-××-××发布                   </w:t>
      </w:r>
      <w:r>
        <w:rPr>
          <w:rFonts w:hint="eastAsia" w:eastAsia="黑体" w:cs="Times New Roman"/>
          <w:bCs/>
          <w:sz w:val="28"/>
          <w:szCs w:val="24"/>
        </w:rPr>
        <w:t xml:space="preserve">            </w:t>
      </w:r>
      <w:r>
        <w:rPr>
          <w:rFonts w:eastAsia="黑体" w:cs="Times New Roman"/>
          <w:bCs/>
          <w:sz w:val="28"/>
          <w:szCs w:val="24"/>
        </w:rPr>
        <w:t>20××-××-××实施</w:t>
      </w:r>
    </w:p>
    <w:p>
      <w:pPr>
        <w:ind w:firstLine="0" w:firstLineChars="0"/>
        <w:rPr>
          <w:rFonts w:cs="Times New Roman"/>
          <w:bCs/>
          <w:sz w:val="32"/>
          <w:szCs w:val="32"/>
        </w:rPr>
      </w:pPr>
      <w:r>
        <w:rPr>
          <w:rFonts w:eastAsia="Times New Roman" w:cs="Times New Roman"/>
          <w:sz w:val="2"/>
          <w:szCs w:val="2"/>
        </w:rPr>
        <mc:AlternateContent>
          <mc:Choice Requires="wpg">
            <w:drawing>
              <wp:inline distT="0" distB="0" distL="0" distR="0">
                <wp:extent cx="5274310" cy="8890"/>
                <wp:effectExtent l="0" t="9525" r="2540" b="635"/>
                <wp:docPr id="1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74310" cy="8890"/>
                          <a:chOff x="0" y="0"/>
                          <a:chExt cx="8699" cy="15203"/>
                        </a:xfrm>
                      </wpg:grpSpPr>
                      <wpg:grpSp>
                        <wpg:cNvPr id="2" name="Group 5"/>
                        <wpg:cNvGrpSpPr/>
                        <wpg:grpSpPr>
                          <a:xfrm>
                            <a:off x="8" y="8"/>
                            <a:ext cx="8684" cy="2"/>
                            <a:chOff x="8" y="8"/>
                            <a:chExt cx="8684" cy="2"/>
                          </a:xfrm>
                        </wpg:grpSpPr>
                        <wps:wsp>
                          <wps:cNvPr id="3" name="Freeform 6"/>
                          <wps:cNvSpPr>
                            <a:spLocks noChangeArrowheads="1"/>
                          </wps:cNvSpPr>
                          <wps:spPr bwMode="auto">
                            <a:xfrm>
                              <a:off x="8" y="8"/>
                              <a:ext cx="8684" cy="2"/>
                            </a:xfrm>
                            <a:custGeom>
                              <a:avLst/>
                              <a:gdLst>
                                <a:gd name="T0" fmla="*/ 0 w 8684"/>
                                <a:gd name="T1" fmla="*/ 0 h 1"/>
                                <a:gd name="T2" fmla="*/ 8684 w 8684"/>
                                <a:gd name="T3" fmla="*/ 0 h 1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8684" h="1">
                                  <a:moveTo>
                                    <a:pt x="0" y="0"/>
                                  </a:moveTo>
                                  <a:lnTo>
                                    <a:pt x="8684" y="0"/>
                                  </a:lnTo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id="Group 4" o:spid="_x0000_s1026" o:spt="203" style="height:0.7pt;width:415.3pt;" coordsize="8699,15203" o:gfxdata="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">
                <o:lock v:ext="edit" aspectratio="f"/>
                <v:group id="Group 5" o:spid="_x0000_s1026" o:spt="203" style="position:absolute;left:8;top:8;height:2;width:8684;" coordorigin="8,8" coordsize="8684,2" o:gfxdata="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Psb0Q+7AAAA2gAAAA8AAAAAAAAAAQAgAAAAIgAAAGRycy9kb3ducmV2LnhtbFBL&#10;AQIUABQAAAAIAIdO4kAzLwWeOwAAADkAAAAVAAAAAAAAAAEAIAAAAAoBAABkcnMvZ3JvdXBzaGFw&#10;ZXhtbC54bWxQSwUGAAAAAAYABgBgAQAAxwMAAAAA&#10;">
                  <o:lock v:ext="edit" aspectratio="f"/>
                  <v:shape id="Freeform 6" o:spid="_x0000_s1026" o:spt="100" style="position:absolute;left:8;top:8;height:2;width:8684;" filled="f" stroked="t" coordsize="8684,1" o:gfxdata="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L+82He5AAAA2gAA&#10;AA8AAAAAAAAAAQAgAAAAIgAAAGRycy9kb3ducmV2LnhtbFBLAQIUABQAAAAIAIdO4kAzLwWeOwAA&#10;ADkAAAAQAAAAAAAAAAEAIAAAAAgBAABkcnMvc2hhcGV4bWwueG1sUEsFBgAAAAAGAAYAWwEAALID&#10;AAAAAA==&#10;" path="m0,0l8684,0e">
                    <v:path o:connectlocs="0,0;8684,0" o:connectangles="0,0"/>
                    <v:fill on="f" focussize="0,0"/>
                    <v:stroke color="#000000" joinstyle="round"/>
                    <v:imagedata o:title=""/>
                    <o:lock v:ext="edit" aspectratio="f"/>
                  </v:shape>
                </v:group>
                <w10:wrap type="none"/>
                <w10:anchorlock/>
              </v:group>
            </w:pict>
          </mc:Fallback>
        </mc:AlternateContent>
      </w:r>
    </w:p>
    <w:p>
      <w:pPr>
        <w:ind w:firstLine="0" w:firstLineChars="0"/>
        <w:jc w:val="center"/>
        <w:rPr>
          <w:rFonts w:eastAsia="黑体" w:cs="Times New Roman"/>
          <w:sz w:val="24"/>
          <w:szCs w:val="24"/>
        </w:rPr>
      </w:pPr>
      <w:r>
        <w:rPr>
          <w:rFonts w:hint="eastAsia" w:eastAsia="黑体" w:cs="Times New Roman"/>
          <w:color w:val="050505"/>
          <w:spacing w:val="-1"/>
          <w:sz w:val="32"/>
          <w:szCs w:val="24"/>
        </w:rPr>
        <w:t xml:space="preserve">  </w:t>
      </w:r>
      <w:r>
        <w:rPr>
          <w:rFonts w:eastAsia="黑体" w:cs="Times New Roman"/>
          <w:color w:val="050505"/>
          <w:spacing w:val="-1"/>
          <w:sz w:val="32"/>
          <w:szCs w:val="24"/>
        </w:rPr>
        <w:t xml:space="preserve">中国工程建设标准化协会    </w:t>
      </w:r>
      <w:r>
        <w:rPr>
          <w:rFonts w:eastAsia="黑体" w:cs="Times New Roman"/>
          <w:color w:val="050505"/>
          <w:spacing w:val="-1"/>
          <w:sz w:val="24"/>
          <w:szCs w:val="24"/>
        </w:rPr>
        <w:t>发 布</w:t>
      </w:r>
    </w:p>
    <w:p>
      <w:pPr>
        <w:ind w:firstLine="420"/>
        <w:rPr>
          <w:rFonts w:cs="Times New Roman"/>
        </w:rPr>
        <w:sectPr>
          <w:headerReference r:id="rId7" w:type="first"/>
          <w:footerReference r:id="rId10" w:type="first"/>
          <w:headerReference r:id="rId5" w:type="default"/>
          <w:footerReference r:id="rId8" w:type="default"/>
          <w:headerReference r:id="rId6" w:type="even"/>
          <w:footerReference r:id="rId9" w:type="even"/>
          <w:pgSz w:w="11906" w:h="16838"/>
          <w:pgMar w:top="1440" w:right="1800" w:bottom="1440" w:left="1800" w:header="851" w:footer="992" w:gutter="0"/>
          <w:cols w:space="425" w:num="1"/>
          <w:titlePg/>
          <w:docGrid w:type="lines" w:linePitch="312" w:charSpace="0"/>
        </w:sectPr>
      </w:pPr>
    </w:p>
    <w:sdt>
      <w:sdtPr>
        <w:rPr>
          <w:rFonts w:cs="Times New Roman"/>
          <w:lang w:val="zh-CN"/>
        </w:rPr>
        <w:id w:val="1871722899"/>
        <w:docPartObj>
          <w:docPartGallery w:val="Table of Contents"/>
          <w:docPartUnique/>
        </w:docPartObj>
      </w:sdtPr>
      <w:sdtEndPr>
        <w:rPr>
          <w:rFonts w:cs="Times New Roman"/>
          <w:bCs/>
          <w:lang w:val="zh-CN"/>
        </w:rPr>
      </w:sdtEndPr>
      <w:sdtContent>
        <w:p>
          <w:pPr>
            <w:spacing w:line="240" w:lineRule="auto"/>
            <w:ind w:firstLine="0" w:firstLineChars="0"/>
            <w:jc w:val="center"/>
            <w:rPr>
              <w:rFonts w:cs="Times New Roman"/>
              <w:b/>
              <w:bCs/>
              <w:sz w:val="28"/>
              <w:szCs w:val="28"/>
            </w:rPr>
          </w:pPr>
          <w:r>
            <w:rPr>
              <w:rFonts w:hint="eastAsia" w:cs="Times New Roman"/>
              <w:b/>
              <w:bCs/>
              <w:sz w:val="28"/>
              <w:szCs w:val="28"/>
            </w:rPr>
            <w:t>目</w:t>
          </w:r>
          <w:r>
            <w:rPr>
              <w:rFonts w:cs="Times New Roman"/>
              <w:b/>
              <w:bCs/>
              <w:sz w:val="28"/>
              <w:szCs w:val="28"/>
            </w:rPr>
            <w:t xml:space="preserve">  </w:t>
          </w:r>
          <w:r>
            <w:rPr>
              <w:rFonts w:hint="eastAsia" w:cs="Times New Roman"/>
              <w:b/>
              <w:bCs/>
              <w:sz w:val="28"/>
              <w:szCs w:val="28"/>
            </w:rPr>
            <w:t>录</w:t>
          </w:r>
        </w:p>
        <w:p>
          <w:pPr>
            <w:pStyle w:val="13"/>
            <w:tabs>
              <w:tab w:val="right" w:leader="dot" w:pos="8296"/>
            </w:tabs>
            <w:ind w:firstLine="420"/>
            <w:rPr>
              <w:rFonts w:cs="Times New Roman" w:eastAsiaTheme="minorEastAsia"/>
              <w:sz w:val="24"/>
              <w:szCs w:val="24"/>
              <w14:ligatures w14:val="standardContextual"/>
            </w:rPr>
          </w:pPr>
          <w:r>
            <w:rPr>
              <w:rFonts w:cs="Times New Roman"/>
              <w:bCs/>
              <w:lang w:val="zh-CN"/>
            </w:rPr>
            <w:fldChar w:fldCharType="begin"/>
          </w:r>
          <w:r>
            <w:rPr>
              <w:rFonts w:cs="Times New Roman"/>
              <w:bCs/>
              <w:lang w:val="zh-CN"/>
            </w:rPr>
            <w:instrText xml:space="preserve"> TOC \o "1-3" \h \z \u </w:instrText>
          </w:r>
          <w:r>
            <w:rPr>
              <w:rFonts w:cs="Times New Roman"/>
              <w:bCs/>
              <w:lang w:val="zh-CN"/>
            </w:rPr>
            <w:fldChar w:fldCharType="separate"/>
          </w:r>
          <w:r>
            <w:fldChar w:fldCharType="begin"/>
          </w:r>
          <w:r>
            <w:instrText xml:space="preserve"> HYPERLINK \l "_Toc164066094" </w:instrText>
          </w:r>
          <w:r>
            <w:fldChar w:fldCharType="separate"/>
          </w:r>
          <w:r>
            <w:rPr>
              <w:rStyle w:val="19"/>
              <w:rFonts w:cs="Times New Roman"/>
              <w:sz w:val="24"/>
              <w:szCs w:val="24"/>
            </w:rPr>
            <w:t>前  言</w:t>
          </w:r>
          <w:r>
            <w:rPr>
              <w:rFonts w:cs="Times New Roman"/>
              <w:sz w:val="24"/>
              <w:szCs w:val="24"/>
            </w:rPr>
            <w:tab/>
          </w:r>
          <w:r>
            <w:rPr>
              <w:rFonts w:cs="Times New Roman"/>
              <w:sz w:val="24"/>
              <w:szCs w:val="24"/>
            </w:rPr>
            <w:fldChar w:fldCharType="begin"/>
          </w:r>
          <w:r>
            <w:rPr>
              <w:rFonts w:cs="Times New Roman"/>
              <w:sz w:val="24"/>
              <w:szCs w:val="24"/>
            </w:rPr>
            <w:instrText xml:space="preserve"> PAGEREF _Toc164066094 \h </w:instrText>
          </w:r>
          <w:r>
            <w:rPr>
              <w:rFonts w:cs="Times New Roman"/>
              <w:sz w:val="24"/>
              <w:szCs w:val="24"/>
            </w:rPr>
            <w:fldChar w:fldCharType="separate"/>
          </w:r>
          <w:r>
            <w:rPr>
              <w:rFonts w:cs="Times New Roman"/>
              <w:sz w:val="24"/>
              <w:szCs w:val="24"/>
            </w:rPr>
            <w:t>IV</w:t>
          </w:r>
          <w:r>
            <w:rPr>
              <w:rFonts w:cs="Times New Roman"/>
              <w:sz w:val="24"/>
              <w:szCs w:val="24"/>
            </w:rPr>
            <w:fldChar w:fldCharType="end"/>
          </w:r>
          <w:r>
            <w:rPr>
              <w:rFonts w:cs="Times New Roman"/>
              <w:sz w:val="24"/>
              <w:szCs w:val="24"/>
            </w:rPr>
            <w:fldChar w:fldCharType="end"/>
          </w:r>
        </w:p>
        <w:p>
          <w:pPr>
            <w:pStyle w:val="13"/>
            <w:tabs>
              <w:tab w:val="right" w:leader="dot" w:pos="8296"/>
            </w:tabs>
            <w:ind w:firstLine="420"/>
            <w:rPr>
              <w:rFonts w:cs="Times New Roman" w:eastAsiaTheme="minorEastAsia"/>
              <w:sz w:val="24"/>
              <w:szCs w:val="24"/>
              <w14:ligatures w14:val="standardContextual"/>
            </w:rPr>
          </w:pPr>
          <w:r>
            <w:fldChar w:fldCharType="begin"/>
          </w:r>
          <w:r>
            <w:instrText xml:space="preserve"> HYPERLINK \l "_Toc164066095" </w:instrText>
          </w:r>
          <w:r>
            <w:fldChar w:fldCharType="separate"/>
          </w:r>
          <w:r>
            <w:rPr>
              <w:rStyle w:val="19"/>
              <w:rFonts w:cs="Times New Roman"/>
              <w:kern w:val="0"/>
              <w:sz w:val="24"/>
              <w:szCs w:val="24"/>
            </w:rPr>
            <w:t>1范围</w:t>
          </w:r>
          <w:r>
            <w:rPr>
              <w:rFonts w:cs="Times New Roman"/>
              <w:sz w:val="24"/>
              <w:szCs w:val="24"/>
            </w:rPr>
            <w:tab/>
          </w:r>
          <w:r>
            <w:rPr>
              <w:rFonts w:cs="Times New Roman"/>
              <w:sz w:val="24"/>
              <w:szCs w:val="24"/>
            </w:rPr>
            <w:fldChar w:fldCharType="begin"/>
          </w:r>
          <w:r>
            <w:rPr>
              <w:rFonts w:cs="Times New Roman"/>
              <w:sz w:val="24"/>
              <w:szCs w:val="24"/>
            </w:rPr>
            <w:instrText xml:space="preserve"> PAGEREF _Toc164066095 \h </w:instrText>
          </w:r>
          <w:r>
            <w:rPr>
              <w:rFonts w:cs="Times New Roman"/>
              <w:sz w:val="24"/>
              <w:szCs w:val="24"/>
            </w:rPr>
            <w:fldChar w:fldCharType="separate"/>
          </w:r>
          <w:r>
            <w:rPr>
              <w:rFonts w:cs="Times New Roman"/>
              <w:sz w:val="24"/>
              <w:szCs w:val="24"/>
            </w:rPr>
            <w:t>1</w:t>
          </w:r>
          <w:r>
            <w:rPr>
              <w:rFonts w:cs="Times New Roman"/>
              <w:sz w:val="24"/>
              <w:szCs w:val="24"/>
            </w:rPr>
            <w:fldChar w:fldCharType="end"/>
          </w:r>
          <w:r>
            <w:rPr>
              <w:rFonts w:cs="Times New Roman"/>
              <w:sz w:val="24"/>
              <w:szCs w:val="24"/>
            </w:rPr>
            <w:fldChar w:fldCharType="end"/>
          </w:r>
        </w:p>
        <w:p>
          <w:pPr>
            <w:pStyle w:val="13"/>
            <w:tabs>
              <w:tab w:val="right" w:leader="dot" w:pos="8296"/>
            </w:tabs>
            <w:ind w:firstLine="420"/>
            <w:rPr>
              <w:rFonts w:cs="Times New Roman" w:eastAsiaTheme="minorEastAsia"/>
              <w:sz w:val="24"/>
              <w:szCs w:val="24"/>
              <w14:ligatures w14:val="standardContextual"/>
            </w:rPr>
          </w:pPr>
          <w:r>
            <w:fldChar w:fldCharType="begin"/>
          </w:r>
          <w:r>
            <w:instrText xml:space="preserve"> HYPERLINK \l "_Toc164066096" </w:instrText>
          </w:r>
          <w:r>
            <w:fldChar w:fldCharType="separate"/>
          </w:r>
          <w:r>
            <w:rPr>
              <w:rStyle w:val="19"/>
              <w:rFonts w:cs="Times New Roman"/>
              <w:kern w:val="0"/>
              <w:sz w:val="24"/>
              <w:szCs w:val="24"/>
            </w:rPr>
            <w:t>2规范性引用文件</w:t>
          </w:r>
          <w:r>
            <w:rPr>
              <w:rFonts w:cs="Times New Roman"/>
              <w:sz w:val="24"/>
              <w:szCs w:val="24"/>
            </w:rPr>
            <w:tab/>
          </w:r>
          <w:r>
            <w:rPr>
              <w:rFonts w:cs="Times New Roman"/>
              <w:sz w:val="24"/>
              <w:szCs w:val="24"/>
            </w:rPr>
            <w:fldChar w:fldCharType="begin"/>
          </w:r>
          <w:r>
            <w:rPr>
              <w:rFonts w:cs="Times New Roman"/>
              <w:sz w:val="24"/>
              <w:szCs w:val="24"/>
            </w:rPr>
            <w:instrText xml:space="preserve"> PAGEREF _Toc164066096 \h </w:instrText>
          </w:r>
          <w:r>
            <w:rPr>
              <w:rFonts w:cs="Times New Roman"/>
              <w:sz w:val="24"/>
              <w:szCs w:val="24"/>
            </w:rPr>
            <w:fldChar w:fldCharType="separate"/>
          </w:r>
          <w:r>
            <w:rPr>
              <w:rFonts w:cs="Times New Roman"/>
              <w:sz w:val="24"/>
              <w:szCs w:val="24"/>
            </w:rPr>
            <w:t>1</w:t>
          </w:r>
          <w:r>
            <w:rPr>
              <w:rFonts w:cs="Times New Roman"/>
              <w:sz w:val="24"/>
              <w:szCs w:val="24"/>
            </w:rPr>
            <w:fldChar w:fldCharType="end"/>
          </w:r>
          <w:r>
            <w:rPr>
              <w:rFonts w:cs="Times New Roman"/>
              <w:sz w:val="24"/>
              <w:szCs w:val="24"/>
            </w:rPr>
            <w:fldChar w:fldCharType="end"/>
          </w:r>
        </w:p>
        <w:p>
          <w:pPr>
            <w:pStyle w:val="13"/>
            <w:tabs>
              <w:tab w:val="right" w:leader="dot" w:pos="8296"/>
            </w:tabs>
            <w:ind w:firstLine="420"/>
            <w:rPr>
              <w:rFonts w:cs="Times New Roman" w:eastAsiaTheme="minorEastAsia"/>
              <w:sz w:val="24"/>
              <w:szCs w:val="24"/>
              <w14:ligatures w14:val="standardContextual"/>
            </w:rPr>
          </w:pPr>
          <w:r>
            <w:fldChar w:fldCharType="begin"/>
          </w:r>
          <w:r>
            <w:instrText xml:space="preserve"> HYPERLINK \l "_Toc164066097" </w:instrText>
          </w:r>
          <w:r>
            <w:fldChar w:fldCharType="separate"/>
          </w:r>
          <w:r>
            <w:rPr>
              <w:rStyle w:val="19"/>
              <w:rFonts w:cs="Times New Roman"/>
              <w:kern w:val="0"/>
              <w:sz w:val="24"/>
              <w:szCs w:val="24"/>
            </w:rPr>
            <w:t>3 术语和定义</w:t>
          </w:r>
          <w:r>
            <w:rPr>
              <w:rFonts w:cs="Times New Roman"/>
              <w:sz w:val="24"/>
              <w:szCs w:val="24"/>
            </w:rPr>
            <w:tab/>
          </w:r>
          <w:r>
            <w:rPr>
              <w:rFonts w:cs="Times New Roman"/>
              <w:sz w:val="24"/>
              <w:szCs w:val="24"/>
            </w:rPr>
            <w:fldChar w:fldCharType="begin"/>
          </w:r>
          <w:r>
            <w:rPr>
              <w:rFonts w:cs="Times New Roman"/>
              <w:sz w:val="24"/>
              <w:szCs w:val="24"/>
            </w:rPr>
            <w:instrText xml:space="preserve"> PAGEREF _Toc164066097 \h </w:instrText>
          </w:r>
          <w:r>
            <w:rPr>
              <w:rFonts w:cs="Times New Roman"/>
              <w:sz w:val="24"/>
              <w:szCs w:val="24"/>
            </w:rPr>
            <w:fldChar w:fldCharType="separate"/>
          </w:r>
          <w:r>
            <w:rPr>
              <w:rFonts w:cs="Times New Roman"/>
              <w:sz w:val="24"/>
              <w:szCs w:val="24"/>
            </w:rPr>
            <w:t>2</w:t>
          </w:r>
          <w:r>
            <w:rPr>
              <w:rFonts w:cs="Times New Roman"/>
              <w:sz w:val="24"/>
              <w:szCs w:val="24"/>
            </w:rPr>
            <w:fldChar w:fldCharType="end"/>
          </w:r>
          <w:r>
            <w:rPr>
              <w:rFonts w:cs="Times New Roman"/>
              <w:sz w:val="24"/>
              <w:szCs w:val="24"/>
            </w:rPr>
            <w:fldChar w:fldCharType="end"/>
          </w:r>
        </w:p>
        <w:p>
          <w:pPr>
            <w:pStyle w:val="13"/>
            <w:tabs>
              <w:tab w:val="right" w:leader="dot" w:pos="8296"/>
            </w:tabs>
            <w:ind w:firstLine="420"/>
            <w:rPr>
              <w:rFonts w:cs="Times New Roman" w:eastAsiaTheme="minorEastAsia"/>
              <w:sz w:val="24"/>
              <w:szCs w:val="24"/>
              <w14:ligatures w14:val="standardContextual"/>
            </w:rPr>
          </w:pPr>
          <w:r>
            <w:fldChar w:fldCharType="begin"/>
          </w:r>
          <w:r>
            <w:instrText xml:space="preserve"> HYPERLINK \l "_Toc164066104" </w:instrText>
          </w:r>
          <w:r>
            <w:fldChar w:fldCharType="separate"/>
          </w:r>
          <w:r>
            <w:rPr>
              <w:rStyle w:val="19"/>
              <w:rFonts w:cs="Times New Roman"/>
              <w:kern w:val="0"/>
              <w:sz w:val="24"/>
              <w:szCs w:val="24"/>
            </w:rPr>
            <w:t>4 分类和标记</w:t>
          </w:r>
          <w:r>
            <w:rPr>
              <w:rFonts w:cs="Times New Roman"/>
              <w:sz w:val="24"/>
              <w:szCs w:val="24"/>
            </w:rPr>
            <w:tab/>
          </w:r>
          <w:r>
            <w:rPr>
              <w:rFonts w:cs="Times New Roman"/>
              <w:sz w:val="24"/>
              <w:szCs w:val="24"/>
            </w:rPr>
            <w:fldChar w:fldCharType="begin"/>
          </w:r>
          <w:r>
            <w:rPr>
              <w:rFonts w:cs="Times New Roman"/>
              <w:sz w:val="24"/>
              <w:szCs w:val="24"/>
            </w:rPr>
            <w:instrText xml:space="preserve"> PAGEREF _Toc164066104 \h </w:instrText>
          </w:r>
          <w:r>
            <w:rPr>
              <w:rFonts w:cs="Times New Roman"/>
              <w:sz w:val="24"/>
              <w:szCs w:val="24"/>
            </w:rPr>
            <w:fldChar w:fldCharType="separate"/>
          </w:r>
          <w:r>
            <w:rPr>
              <w:rFonts w:cs="Times New Roman"/>
              <w:sz w:val="24"/>
              <w:szCs w:val="24"/>
            </w:rPr>
            <w:t>2</w:t>
          </w:r>
          <w:r>
            <w:rPr>
              <w:rFonts w:cs="Times New Roman"/>
              <w:sz w:val="24"/>
              <w:szCs w:val="24"/>
            </w:rPr>
            <w:fldChar w:fldCharType="end"/>
          </w:r>
          <w:r>
            <w:rPr>
              <w:rFonts w:cs="Times New Roman"/>
              <w:sz w:val="24"/>
              <w:szCs w:val="24"/>
            </w:rPr>
            <w:fldChar w:fldCharType="end"/>
          </w:r>
        </w:p>
        <w:p>
          <w:pPr>
            <w:pStyle w:val="13"/>
            <w:tabs>
              <w:tab w:val="right" w:leader="dot" w:pos="8296"/>
            </w:tabs>
            <w:ind w:firstLine="420"/>
            <w:rPr>
              <w:rFonts w:cs="Times New Roman" w:eastAsiaTheme="minorEastAsia"/>
              <w:sz w:val="24"/>
              <w:szCs w:val="24"/>
              <w14:ligatures w14:val="standardContextual"/>
            </w:rPr>
          </w:pPr>
          <w:r>
            <w:fldChar w:fldCharType="begin"/>
          </w:r>
          <w:r>
            <w:instrText xml:space="preserve"> HYPERLINK \l "_Toc164066119" </w:instrText>
          </w:r>
          <w:r>
            <w:fldChar w:fldCharType="separate"/>
          </w:r>
          <w:r>
            <w:rPr>
              <w:rStyle w:val="19"/>
              <w:rFonts w:cs="Times New Roman"/>
              <w:kern w:val="0"/>
              <w:sz w:val="24"/>
              <w:szCs w:val="24"/>
            </w:rPr>
            <w:t xml:space="preserve">5 </w:t>
          </w:r>
          <w:r>
            <w:rPr>
              <w:rStyle w:val="19"/>
              <w:rFonts w:hint="eastAsia" w:cs="Times New Roman"/>
              <w:kern w:val="0"/>
              <w:sz w:val="24"/>
              <w:szCs w:val="24"/>
            </w:rPr>
            <w:t>材料</w:t>
          </w:r>
          <w:r>
            <w:rPr>
              <w:rFonts w:cs="Times New Roman"/>
              <w:sz w:val="24"/>
              <w:szCs w:val="24"/>
            </w:rPr>
            <w:tab/>
          </w:r>
          <w:r>
            <w:rPr>
              <w:rFonts w:cs="Times New Roman"/>
              <w:sz w:val="24"/>
              <w:szCs w:val="24"/>
            </w:rPr>
            <w:fldChar w:fldCharType="begin"/>
          </w:r>
          <w:r>
            <w:rPr>
              <w:rFonts w:cs="Times New Roman"/>
              <w:sz w:val="24"/>
              <w:szCs w:val="24"/>
            </w:rPr>
            <w:instrText xml:space="preserve"> PAGEREF _Toc164066119 \h </w:instrText>
          </w:r>
          <w:r>
            <w:rPr>
              <w:rFonts w:cs="Times New Roman"/>
              <w:sz w:val="24"/>
              <w:szCs w:val="24"/>
            </w:rPr>
            <w:fldChar w:fldCharType="separate"/>
          </w:r>
          <w:r>
            <w:rPr>
              <w:rFonts w:cs="Times New Roman"/>
              <w:sz w:val="24"/>
              <w:szCs w:val="24"/>
            </w:rPr>
            <w:t>3</w:t>
          </w:r>
          <w:r>
            <w:rPr>
              <w:rFonts w:cs="Times New Roman"/>
              <w:sz w:val="24"/>
              <w:szCs w:val="24"/>
            </w:rPr>
            <w:fldChar w:fldCharType="end"/>
          </w:r>
          <w:r>
            <w:rPr>
              <w:rFonts w:cs="Times New Roman"/>
              <w:sz w:val="24"/>
              <w:szCs w:val="24"/>
            </w:rPr>
            <w:fldChar w:fldCharType="end"/>
          </w:r>
        </w:p>
        <w:p>
          <w:pPr>
            <w:pStyle w:val="13"/>
            <w:tabs>
              <w:tab w:val="right" w:leader="dot" w:pos="8296"/>
            </w:tabs>
            <w:ind w:firstLine="420"/>
            <w:rPr>
              <w:rFonts w:cs="Times New Roman" w:eastAsiaTheme="minorEastAsia"/>
              <w:sz w:val="24"/>
              <w:szCs w:val="24"/>
              <w14:ligatures w14:val="standardContextual"/>
            </w:rPr>
          </w:pPr>
          <w:r>
            <w:fldChar w:fldCharType="begin"/>
          </w:r>
          <w:r>
            <w:instrText xml:space="preserve"> HYPERLINK \l "_Toc164066125" </w:instrText>
          </w:r>
          <w:r>
            <w:fldChar w:fldCharType="separate"/>
          </w:r>
          <w:r>
            <w:rPr>
              <w:rStyle w:val="19"/>
              <w:rFonts w:cs="Times New Roman"/>
              <w:kern w:val="0"/>
              <w:sz w:val="24"/>
              <w:szCs w:val="24"/>
            </w:rPr>
            <w:t xml:space="preserve">6 </w:t>
          </w:r>
          <w:r>
            <w:rPr>
              <w:rStyle w:val="19"/>
              <w:rFonts w:hint="eastAsia" w:cs="Times New Roman"/>
              <w:kern w:val="0"/>
              <w:sz w:val="24"/>
              <w:szCs w:val="24"/>
            </w:rPr>
            <w:t>要求</w:t>
          </w:r>
          <w:r>
            <w:rPr>
              <w:rFonts w:cs="Times New Roman"/>
              <w:sz w:val="24"/>
              <w:szCs w:val="24"/>
            </w:rPr>
            <w:tab/>
          </w:r>
          <w:r>
            <w:rPr>
              <w:rFonts w:cs="Times New Roman"/>
              <w:sz w:val="24"/>
              <w:szCs w:val="24"/>
            </w:rPr>
            <w:fldChar w:fldCharType="begin"/>
          </w:r>
          <w:r>
            <w:rPr>
              <w:rFonts w:cs="Times New Roman"/>
              <w:sz w:val="24"/>
              <w:szCs w:val="24"/>
            </w:rPr>
            <w:instrText xml:space="preserve"> PAGEREF _Toc164066125 \h </w:instrText>
          </w:r>
          <w:r>
            <w:rPr>
              <w:rFonts w:cs="Times New Roman"/>
              <w:sz w:val="24"/>
              <w:szCs w:val="24"/>
            </w:rPr>
            <w:fldChar w:fldCharType="separate"/>
          </w:r>
          <w:r>
            <w:rPr>
              <w:rFonts w:cs="Times New Roman"/>
              <w:sz w:val="24"/>
              <w:szCs w:val="24"/>
            </w:rPr>
            <w:t>4</w:t>
          </w:r>
          <w:r>
            <w:rPr>
              <w:rFonts w:cs="Times New Roman"/>
              <w:sz w:val="24"/>
              <w:szCs w:val="24"/>
            </w:rPr>
            <w:fldChar w:fldCharType="end"/>
          </w:r>
          <w:r>
            <w:rPr>
              <w:rFonts w:cs="Times New Roman"/>
              <w:sz w:val="24"/>
              <w:szCs w:val="24"/>
            </w:rPr>
            <w:fldChar w:fldCharType="end"/>
          </w:r>
        </w:p>
        <w:p>
          <w:pPr>
            <w:pStyle w:val="13"/>
            <w:tabs>
              <w:tab w:val="right" w:leader="dot" w:pos="8296"/>
            </w:tabs>
            <w:ind w:firstLine="420"/>
            <w:rPr>
              <w:rFonts w:cs="Times New Roman" w:eastAsiaTheme="minorEastAsia"/>
              <w:sz w:val="24"/>
              <w:szCs w:val="24"/>
              <w14:ligatures w14:val="standardContextual"/>
            </w:rPr>
          </w:pPr>
          <w:r>
            <w:fldChar w:fldCharType="begin"/>
          </w:r>
          <w:r>
            <w:instrText xml:space="preserve"> HYPERLINK \l "_Toc164066129" </w:instrText>
          </w:r>
          <w:r>
            <w:fldChar w:fldCharType="separate"/>
          </w:r>
          <w:r>
            <w:rPr>
              <w:rStyle w:val="19"/>
              <w:rFonts w:cs="Times New Roman"/>
              <w:kern w:val="0"/>
              <w:sz w:val="24"/>
              <w:szCs w:val="24"/>
            </w:rPr>
            <w:t xml:space="preserve">7 </w:t>
          </w:r>
          <w:r>
            <w:rPr>
              <w:rStyle w:val="19"/>
              <w:rFonts w:hint="eastAsia" w:cs="Times New Roman"/>
              <w:kern w:val="0"/>
              <w:sz w:val="24"/>
              <w:szCs w:val="24"/>
            </w:rPr>
            <w:t>试验方法</w:t>
          </w:r>
          <w:r>
            <w:rPr>
              <w:rFonts w:cs="Times New Roman"/>
              <w:sz w:val="24"/>
              <w:szCs w:val="24"/>
            </w:rPr>
            <w:tab/>
          </w:r>
          <w:r>
            <w:rPr>
              <w:rFonts w:cs="Times New Roman"/>
              <w:sz w:val="24"/>
              <w:szCs w:val="24"/>
            </w:rPr>
            <w:fldChar w:fldCharType="begin"/>
          </w:r>
          <w:r>
            <w:rPr>
              <w:rFonts w:cs="Times New Roman"/>
              <w:sz w:val="24"/>
              <w:szCs w:val="24"/>
            </w:rPr>
            <w:instrText xml:space="preserve"> PAGEREF _Toc164066129 \h </w:instrText>
          </w:r>
          <w:r>
            <w:rPr>
              <w:rFonts w:cs="Times New Roman"/>
              <w:sz w:val="24"/>
              <w:szCs w:val="24"/>
            </w:rPr>
            <w:fldChar w:fldCharType="separate"/>
          </w:r>
          <w:r>
            <w:rPr>
              <w:rFonts w:cs="Times New Roman"/>
              <w:sz w:val="24"/>
              <w:szCs w:val="24"/>
            </w:rPr>
            <w:t>5</w:t>
          </w:r>
          <w:r>
            <w:rPr>
              <w:rFonts w:cs="Times New Roman"/>
              <w:sz w:val="24"/>
              <w:szCs w:val="24"/>
            </w:rPr>
            <w:fldChar w:fldCharType="end"/>
          </w:r>
          <w:r>
            <w:rPr>
              <w:rFonts w:cs="Times New Roman"/>
              <w:sz w:val="24"/>
              <w:szCs w:val="24"/>
            </w:rPr>
            <w:fldChar w:fldCharType="end"/>
          </w:r>
        </w:p>
        <w:p>
          <w:pPr>
            <w:pStyle w:val="13"/>
            <w:tabs>
              <w:tab w:val="right" w:leader="dot" w:pos="8296"/>
            </w:tabs>
            <w:ind w:firstLine="420"/>
            <w:rPr>
              <w:rFonts w:cs="Times New Roman" w:eastAsiaTheme="minorEastAsia"/>
              <w:sz w:val="24"/>
              <w:szCs w:val="24"/>
              <w14:ligatures w14:val="standardContextual"/>
            </w:rPr>
          </w:pPr>
          <w:r>
            <w:fldChar w:fldCharType="begin"/>
          </w:r>
          <w:r>
            <w:instrText xml:space="preserve"> HYPERLINK \l "_Toc164066145" </w:instrText>
          </w:r>
          <w:r>
            <w:fldChar w:fldCharType="separate"/>
          </w:r>
          <w:r>
            <w:rPr>
              <w:rStyle w:val="19"/>
              <w:rFonts w:cs="Times New Roman"/>
              <w:kern w:val="0"/>
              <w:sz w:val="24"/>
              <w:szCs w:val="24"/>
            </w:rPr>
            <w:t xml:space="preserve">8 </w:t>
          </w:r>
          <w:r>
            <w:rPr>
              <w:rStyle w:val="19"/>
              <w:rFonts w:hint="eastAsia" w:cs="Times New Roman"/>
              <w:kern w:val="0"/>
              <w:sz w:val="24"/>
              <w:szCs w:val="24"/>
            </w:rPr>
            <w:t>检验规则</w:t>
          </w:r>
          <w:r>
            <w:rPr>
              <w:rFonts w:cs="Times New Roman"/>
              <w:sz w:val="24"/>
              <w:szCs w:val="24"/>
            </w:rPr>
            <w:tab/>
          </w:r>
          <w:r>
            <w:rPr>
              <w:rFonts w:cs="Times New Roman"/>
              <w:sz w:val="24"/>
              <w:szCs w:val="24"/>
            </w:rPr>
            <w:fldChar w:fldCharType="begin"/>
          </w:r>
          <w:r>
            <w:rPr>
              <w:rFonts w:cs="Times New Roman"/>
              <w:sz w:val="24"/>
              <w:szCs w:val="24"/>
            </w:rPr>
            <w:instrText xml:space="preserve"> PAGEREF _Toc164066145 \h </w:instrText>
          </w:r>
          <w:r>
            <w:rPr>
              <w:rFonts w:cs="Times New Roman"/>
              <w:sz w:val="24"/>
              <w:szCs w:val="24"/>
            </w:rPr>
            <w:fldChar w:fldCharType="separate"/>
          </w:r>
          <w:r>
            <w:rPr>
              <w:rFonts w:cs="Times New Roman"/>
              <w:sz w:val="24"/>
              <w:szCs w:val="24"/>
            </w:rPr>
            <w:t>8</w:t>
          </w:r>
          <w:r>
            <w:rPr>
              <w:rFonts w:cs="Times New Roman"/>
              <w:sz w:val="24"/>
              <w:szCs w:val="24"/>
            </w:rPr>
            <w:fldChar w:fldCharType="end"/>
          </w:r>
          <w:r>
            <w:rPr>
              <w:rFonts w:cs="Times New Roman"/>
              <w:sz w:val="24"/>
              <w:szCs w:val="24"/>
            </w:rPr>
            <w:fldChar w:fldCharType="end"/>
          </w:r>
        </w:p>
        <w:p>
          <w:pPr>
            <w:pStyle w:val="13"/>
            <w:tabs>
              <w:tab w:val="right" w:leader="dot" w:pos="8296"/>
            </w:tabs>
            <w:ind w:firstLine="420"/>
            <w:rPr>
              <w:rFonts w:cs="Times New Roman" w:eastAsiaTheme="minorEastAsia"/>
              <w:sz w:val="24"/>
              <w:szCs w:val="24"/>
              <w14:ligatures w14:val="standardContextual"/>
            </w:rPr>
          </w:pPr>
          <w:r>
            <w:fldChar w:fldCharType="begin"/>
          </w:r>
          <w:r>
            <w:instrText xml:space="preserve"> HYPERLINK \l "_Toc164066152" </w:instrText>
          </w:r>
          <w:r>
            <w:fldChar w:fldCharType="separate"/>
          </w:r>
          <w:r>
            <w:rPr>
              <w:rStyle w:val="19"/>
              <w:rFonts w:cs="Times New Roman"/>
              <w:kern w:val="0"/>
              <w:sz w:val="24"/>
              <w:szCs w:val="24"/>
            </w:rPr>
            <w:t xml:space="preserve">9 </w:t>
          </w:r>
          <w:r>
            <w:rPr>
              <w:rStyle w:val="19"/>
              <w:rFonts w:hint="eastAsia" w:cs="Times New Roman"/>
              <w:kern w:val="0"/>
              <w:sz w:val="24"/>
              <w:szCs w:val="24"/>
            </w:rPr>
            <w:t>包装、标志、运输和贮存</w:t>
          </w:r>
          <w:r>
            <w:rPr>
              <w:rFonts w:cs="Times New Roman"/>
              <w:sz w:val="24"/>
              <w:szCs w:val="24"/>
            </w:rPr>
            <w:tab/>
          </w:r>
          <w:r>
            <w:rPr>
              <w:rFonts w:cs="Times New Roman"/>
              <w:sz w:val="24"/>
              <w:szCs w:val="24"/>
            </w:rPr>
            <w:fldChar w:fldCharType="begin"/>
          </w:r>
          <w:r>
            <w:rPr>
              <w:rFonts w:cs="Times New Roman"/>
              <w:sz w:val="24"/>
              <w:szCs w:val="24"/>
            </w:rPr>
            <w:instrText xml:space="preserve"> PAGEREF _Toc164066152 \h </w:instrText>
          </w:r>
          <w:r>
            <w:rPr>
              <w:rFonts w:cs="Times New Roman"/>
              <w:sz w:val="24"/>
              <w:szCs w:val="24"/>
            </w:rPr>
            <w:fldChar w:fldCharType="separate"/>
          </w:r>
          <w:r>
            <w:rPr>
              <w:rFonts w:cs="Times New Roman"/>
              <w:sz w:val="24"/>
              <w:szCs w:val="24"/>
            </w:rPr>
            <w:t>9</w:t>
          </w:r>
          <w:r>
            <w:rPr>
              <w:rFonts w:cs="Times New Roman"/>
              <w:sz w:val="24"/>
              <w:szCs w:val="24"/>
            </w:rPr>
            <w:fldChar w:fldCharType="end"/>
          </w:r>
          <w:r>
            <w:rPr>
              <w:rFonts w:cs="Times New Roman"/>
              <w:sz w:val="24"/>
              <w:szCs w:val="24"/>
            </w:rPr>
            <w:fldChar w:fldCharType="end"/>
          </w:r>
        </w:p>
        <w:p>
          <w:pPr>
            <w:pStyle w:val="13"/>
            <w:tabs>
              <w:tab w:val="right" w:leader="dot" w:pos="8296"/>
            </w:tabs>
            <w:ind w:firstLine="420"/>
            <w:rPr>
              <w:rFonts w:cs="Times New Roman" w:eastAsiaTheme="minorEastAsia"/>
              <w:sz w:val="24"/>
              <w:szCs w:val="24"/>
              <w14:ligatures w14:val="standardContextual"/>
            </w:rPr>
          </w:pPr>
          <w:r>
            <w:fldChar w:fldCharType="begin"/>
          </w:r>
          <w:r>
            <w:instrText xml:space="preserve"> HYPERLINK \l "_Toc164066156" </w:instrText>
          </w:r>
          <w:r>
            <w:fldChar w:fldCharType="separate"/>
          </w:r>
          <w:r>
            <w:rPr>
              <w:rStyle w:val="19"/>
              <w:rFonts w:hint="eastAsia" w:cs="Times New Roman"/>
              <w:sz w:val="24"/>
              <w:szCs w:val="24"/>
            </w:rPr>
            <w:t>附录</w:t>
          </w:r>
          <w:r>
            <w:rPr>
              <w:rStyle w:val="19"/>
              <w:rFonts w:cs="Times New Roman"/>
              <w:sz w:val="24"/>
              <w:szCs w:val="24"/>
            </w:rPr>
            <w:t>A</w:t>
          </w:r>
          <w:r>
            <w:rPr>
              <w:rFonts w:cs="Times New Roman"/>
              <w:sz w:val="24"/>
              <w:szCs w:val="24"/>
            </w:rPr>
            <w:tab/>
          </w:r>
          <w:r>
            <w:rPr>
              <w:rFonts w:cs="Times New Roman"/>
              <w:sz w:val="24"/>
              <w:szCs w:val="24"/>
            </w:rPr>
            <w:fldChar w:fldCharType="begin"/>
          </w:r>
          <w:r>
            <w:rPr>
              <w:rFonts w:cs="Times New Roman"/>
              <w:sz w:val="24"/>
              <w:szCs w:val="24"/>
            </w:rPr>
            <w:instrText xml:space="preserve"> PAGEREF _Toc164066156 \h </w:instrText>
          </w:r>
          <w:r>
            <w:rPr>
              <w:rFonts w:cs="Times New Roman"/>
              <w:sz w:val="24"/>
              <w:szCs w:val="24"/>
            </w:rPr>
            <w:fldChar w:fldCharType="separate"/>
          </w:r>
          <w:r>
            <w:rPr>
              <w:rFonts w:cs="Times New Roman"/>
              <w:sz w:val="24"/>
              <w:szCs w:val="24"/>
            </w:rPr>
            <w:t>10</w:t>
          </w:r>
          <w:r>
            <w:rPr>
              <w:rFonts w:cs="Times New Roman"/>
              <w:sz w:val="24"/>
              <w:szCs w:val="24"/>
            </w:rPr>
            <w:fldChar w:fldCharType="end"/>
          </w:r>
          <w:r>
            <w:rPr>
              <w:rFonts w:cs="Times New Roman"/>
              <w:sz w:val="24"/>
              <w:szCs w:val="24"/>
            </w:rPr>
            <w:fldChar w:fldCharType="end"/>
          </w:r>
        </w:p>
        <w:p>
          <w:pPr>
            <w:pStyle w:val="13"/>
            <w:tabs>
              <w:tab w:val="right" w:leader="dot" w:pos="8296"/>
            </w:tabs>
            <w:ind w:firstLine="420"/>
            <w:rPr>
              <w:rFonts w:cs="Times New Roman" w:eastAsiaTheme="minorEastAsia"/>
              <w:sz w:val="24"/>
              <w:szCs w:val="24"/>
              <w14:ligatures w14:val="standardContextual"/>
            </w:rPr>
          </w:pPr>
          <w:r>
            <w:fldChar w:fldCharType="begin"/>
          </w:r>
          <w:r>
            <w:instrText xml:space="preserve"> HYPERLINK \l "_Toc164066157" </w:instrText>
          </w:r>
          <w:r>
            <w:fldChar w:fldCharType="separate"/>
          </w:r>
          <w:r>
            <w:rPr>
              <w:rStyle w:val="19"/>
              <w:rFonts w:hint="eastAsia" w:cs="Times New Roman"/>
              <w:sz w:val="24"/>
              <w:szCs w:val="24"/>
            </w:rPr>
            <w:t>附录</w:t>
          </w:r>
          <w:r>
            <w:rPr>
              <w:rStyle w:val="19"/>
              <w:rFonts w:cs="Times New Roman"/>
              <w:sz w:val="24"/>
              <w:szCs w:val="24"/>
            </w:rPr>
            <w:t>B</w:t>
          </w:r>
          <w:r>
            <w:rPr>
              <w:rFonts w:cs="Times New Roman"/>
              <w:sz w:val="24"/>
              <w:szCs w:val="24"/>
            </w:rPr>
            <w:tab/>
          </w:r>
          <w:r>
            <w:rPr>
              <w:rFonts w:cs="Times New Roman"/>
              <w:sz w:val="24"/>
              <w:szCs w:val="24"/>
            </w:rPr>
            <w:fldChar w:fldCharType="begin"/>
          </w:r>
          <w:r>
            <w:rPr>
              <w:rFonts w:cs="Times New Roman"/>
              <w:sz w:val="24"/>
              <w:szCs w:val="24"/>
            </w:rPr>
            <w:instrText xml:space="preserve"> PAGEREF _Toc164066157 \h </w:instrText>
          </w:r>
          <w:r>
            <w:rPr>
              <w:rFonts w:cs="Times New Roman"/>
              <w:sz w:val="24"/>
              <w:szCs w:val="24"/>
            </w:rPr>
            <w:fldChar w:fldCharType="separate"/>
          </w:r>
          <w:r>
            <w:rPr>
              <w:rFonts w:cs="Times New Roman"/>
              <w:sz w:val="24"/>
              <w:szCs w:val="24"/>
            </w:rPr>
            <w:t>11</w:t>
          </w:r>
          <w:r>
            <w:rPr>
              <w:rFonts w:cs="Times New Roman"/>
              <w:sz w:val="24"/>
              <w:szCs w:val="24"/>
            </w:rPr>
            <w:fldChar w:fldCharType="end"/>
          </w:r>
          <w:r>
            <w:rPr>
              <w:rFonts w:cs="Times New Roman"/>
              <w:sz w:val="24"/>
              <w:szCs w:val="24"/>
            </w:rPr>
            <w:fldChar w:fldCharType="end"/>
          </w:r>
        </w:p>
        <w:p>
          <w:pPr>
            <w:pStyle w:val="13"/>
            <w:tabs>
              <w:tab w:val="right" w:leader="dot" w:pos="8296"/>
            </w:tabs>
            <w:ind w:firstLine="420"/>
            <w:rPr>
              <w:rFonts w:asciiTheme="minorHAnsi" w:hAnsiTheme="minorHAnsi" w:eastAsiaTheme="minorEastAsia"/>
              <w14:ligatures w14:val="standardContextual"/>
            </w:rPr>
          </w:pPr>
        </w:p>
        <w:p>
          <w:pPr>
            <w:ind w:left="0" w:leftChars="0" w:firstLine="0" w:firstLineChars="0"/>
            <w:rPr>
              <w:rFonts w:cs="Times New Roman"/>
            </w:rPr>
          </w:pPr>
          <w:r>
            <w:rPr>
              <w:rFonts w:cs="Times New Roman"/>
              <w:bCs/>
              <w:lang w:val="zh-CN"/>
            </w:rPr>
            <w:fldChar w:fldCharType="end"/>
          </w:r>
        </w:p>
      </w:sdtContent>
    </w:sdt>
    <w:p>
      <w:pPr>
        <w:ind w:firstLine="720"/>
        <w:jc w:val="center"/>
        <w:rPr>
          <w:rFonts w:eastAsia="黑体" w:cs="Times New Roman"/>
          <w:sz w:val="36"/>
        </w:rPr>
      </w:pPr>
    </w:p>
    <w:p>
      <w:pPr>
        <w:ind w:firstLine="420"/>
        <w:rPr>
          <w:rFonts w:cs="Times New Roman"/>
        </w:rPr>
      </w:pPr>
    </w:p>
    <w:p>
      <w:pPr>
        <w:tabs>
          <w:tab w:val="left" w:pos="6047"/>
        </w:tabs>
        <w:ind w:firstLine="420"/>
        <w:jc w:val="left"/>
        <w:rPr>
          <w:rFonts w:cs="Times New Roman"/>
        </w:rPr>
        <w:sectPr>
          <w:pgSz w:w="11906" w:h="16838"/>
          <w:pgMar w:top="1440" w:right="1800" w:bottom="1440" w:left="1800" w:header="851" w:footer="992" w:gutter="0"/>
          <w:pgNumType w:fmt="upperRoman" w:start="1"/>
          <w:cols w:space="425" w:num="1"/>
          <w:docGrid w:type="lines" w:linePitch="312" w:charSpace="0"/>
        </w:sectPr>
      </w:pPr>
      <w:r>
        <w:rPr>
          <w:rFonts w:cs="Times New Roman"/>
        </w:rPr>
        <w:tab/>
      </w:r>
    </w:p>
    <w:p>
      <w:pPr>
        <w:pStyle w:val="2"/>
        <w:spacing w:beforeLines="0" w:afterLines="0"/>
        <w:jc w:val="center"/>
        <w:rPr>
          <w:rFonts w:ascii="宋体" w:hAnsi="宋体" w:eastAsia="宋体" w:cs="Times New Roman"/>
          <w:bCs w:val="0"/>
          <w:sz w:val="32"/>
          <w:szCs w:val="32"/>
        </w:rPr>
      </w:pPr>
      <w:bookmarkStart w:id="1" w:name="_Toc164066094"/>
      <w:r>
        <w:rPr>
          <w:rFonts w:hint="eastAsia" w:ascii="宋体" w:hAnsi="宋体" w:eastAsia="宋体" w:cs="Times New Roman"/>
          <w:bCs w:val="0"/>
          <w:sz w:val="32"/>
          <w:szCs w:val="32"/>
        </w:rPr>
        <w:t>前</w:t>
      </w:r>
      <w:r>
        <w:rPr>
          <w:rFonts w:ascii="宋体" w:hAnsi="宋体" w:eastAsia="宋体" w:cs="Times New Roman"/>
          <w:bCs w:val="0"/>
          <w:sz w:val="32"/>
          <w:szCs w:val="32"/>
        </w:rPr>
        <w:t xml:space="preserve">  </w:t>
      </w:r>
      <w:r>
        <w:rPr>
          <w:rFonts w:hint="eastAsia" w:ascii="宋体" w:hAnsi="宋体" w:eastAsia="宋体" w:cs="Times New Roman"/>
          <w:bCs w:val="0"/>
          <w:sz w:val="32"/>
          <w:szCs w:val="32"/>
        </w:rPr>
        <w:t>言</w:t>
      </w:r>
      <w:bookmarkEnd w:id="1"/>
    </w:p>
    <w:p>
      <w:pPr>
        <w:ind w:firstLine="420"/>
        <w:rPr>
          <w:rFonts w:cs="Times New Roman"/>
        </w:rPr>
      </w:pPr>
      <w:r>
        <w:rPr>
          <w:rFonts w:cs="Times New Roman"/>
        </w:rPr>
        <w:t>本</w:t>
      </w:r>
      <w:r>
        <w:rPr>
          <w:rFonts w:hint="eastAsia" w:cs="Times New Roman"/>
        </w:rPr>
        <w:t>文件</w:t>
      </w:r>
      <w:r>
        <w:rPr>
          <w:rFonts w:cs="Times New Roman"/>
        </w:rPr>
        <w:t>按照GB/T 1.1-20</w:t>
      </w:r>
      <w:r>
        <w:rPr>
          <w:rFonts w:hint="eastAsia" w:cs="Times New Roman"/>
        </w:rPr>
        <w:t xml:space="preserve">20 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《标准化工作导则 第1部分：标准化文件的结构和起草规则》和T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/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CECS 1000-2021《工程建设标准编写导则》</w:t>
      </w:r>
      <w:r>
        <w:rPr>
          <w:color w:val="000000" w:themeColor="text1"/>
          <w14:textFill>
            <w14:solidFill>
              <w14:schemeClr w14:val="tx1"/>
            </w14:solidFill>
          </w14:textFill>
        </w:rPr>
        <w:t>的规定起草</w:t>
      </w:r>
      <w: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t>。</w:t>
      </w:r>
    </w:p>
    <w:p>
      <w:pPr>
        <w:ind w:firstLine="420"/>
        <w:rPr>
          <w:rFonts w:cs="Times New Roman"/>
        </w:rPr>
      </w:pPr>
      <w:r>
        <w:rPr>
          <w:rFonts w:cs="Times New Roman"/>
        </w:rPr>
        <w:t>本</w:t>
      </w:r>
      <w:r>
        <w:rPr>
          <w:rFonts w:hint="eastAsia" w:cs="Times New Roman"/>
        </w:rPr>
        <w:t>文件</w:t>
      </w:r>
      <w:r>
        <w:rPr>
          <w:rFonts w:cs="Times New Roman"/>
        </w:rPr>
        <w:t>是按中国工程建设标准化协会《关于印发&lt;中国工程建设标准化协会2022年第</w:t>
      </w:r>
      <w:r>
        <w:rPr>
          <w:rFonts w:hint="eastAsia" w:cs="Times New Roman"/>
        </w:rPr>
        <w:t>二</w:t>
      </w:r>
      <w:r>
        <w:rPr>
          <w:rFonts w:cs="Times New Roman"/>
        </w:rPr>
        <w:t>批</w:t>
      </w:r>
      <w:r>
        <w:rPr>
          <w:rFonts w:hint="eastAsia" w:cs="Times New Roman"/>
        </w:rPr>
        <w:t>协会</w:t>
      </w:r>
      <w:r>
        <w:rPr>
          <w:rFonts w:cs="Times New Roman"/>
        </w:rPr>
        <w:t>标准</w:t>
      </w:r>
      <w:r>
        <w:rPr>
          <w:rFonts w:hint="eastAsia" w:cs="Times New Roman"/>
        </w:rPr>
        <w:t>制订、修订</w:t>
      </w:r>
      <w:r>
        <w:rPr>
          <w:rFonts w:cs="Times New Roman"/>
        </w:rPr>
        <w:t>计划&gt;的通知》（建标协字[2022]</w:t>
      </w:r>
      <w:r>
        <w:rPr>
          <w:rFonts w:hint="eastAsia" w:cs="Times New Roman"/>
        </w:rPr>
        <w:t>40</w:t>
      </w:r>
      <w:r>
        <w:rPr>
          <w:rFonts w:cs="Times New Roman"/>
        </w:rPr>
        <w:t>号）的要求</w:t>
      </w:r>
      <w:r>
        <w:rPr>
          <w:rFonts w:hint="eastAsia" w:cs="Times New Roman"/>
        </w:rPr>
        <w:t>，编制组经深入调查研究，认真总结实践经验，参考国内外先进标准，并在广泛征求意见的基础上，制定本标准</w:t>
      </w:r>
      <w:r>
        <w:rPr>
          <w:rFonts w:cs="Times New Roman"/>
        </w:rPr>
        <w:t>。</w:t>
      </w:r>
    </w:p>
    <w:p>
      <w:pPr>
        <w:ind w:firstLine="420"/>
        <w:rPr>
          <w:rFonts w:cs="Times New Roman"/>
        </w:rPr>
      </w:pPr>
      <w:r>
        <w:rPr>
          <w:rFonts w:hint="eastAsia" w:cs="Times New Roman"/>
        </w:rPr>
        <w:t>本标准共分</w:t>
      </w:r>
      <w:r>
        <w:rPr>
          <w:rFonts w:cs="Times New Roman"/>
        </w:rPr>
        <w:t>9</w:t>
      </w:r>
      <w:r>
        <w:rPr>
          <w:rFonts w:hint="eastAsia" w:cs="Times New Roman"/>
        </w:rPr>
        <w:t>章和</w:t>
      </w:r>
      <w:r>
        <w:rPr>
          <w:rFonts w:hint="eastAsia" w:cs="Times New Roman"/>
          <w:highlight w:val="none"/>
          <w:lang w:val="en-US" w:eastAsia="zh-CN"/>
        </w:rPr>
        <w:t>2</w:t>
      </w:r>
      <w:r>
        <w:rPr>
          <w:rFonts w:hint="eastAsia" w:cs="Times New Roman"/>
          <w:highlight w:val="none"/>
        </w:rPr>
        <w:t>个</w:t>
      </w:r>
      <w:r>
        <w:rPr>
          <w:rFonts w:hint="eastAsia" w:cs="Times New Roman"/>
        </w:rPr>
        <w:t>附录，主要内容包括：水泥基</w:t>
      </w:r>
      <w:r>
        <w:rPr>
          <w:rFonts w:cs="Times New Roman"/>
        </w:rPr>
        <w:t>座浆料的范围</w:t>
      </w:r>
      <w:r>
        <w:rPr>
          <w:rFonts w:hint="eastAsia" w:cs="Times New Roman"/>
        </w:rPr>
        <w:t>，</w:t>
      </w:r>
      <w:r>
        <w:rPr>
          <w:rFonts w:cs="Times New Roman"/>
        </w:rPr>
        <w:t>规范性引用文件</w:t>
      </w:r>
      <w:r>
        <w:rPr>
          <w:rFonts w:hint="eastAsia" w:cs="Times New Roman"/>
        </w:rPr>
        <w:t>，</w:t>
      </w:r>
      <w:r>
        <w:rPr>
          <w:rFonts w:cs="Times New Roman"/>
        </w:rPr>
        <w:t>术语和定义</w:t>
      </w:r>
      <w:r>
        <w:rPr>
          <w:rFonts w:hint="eastAsia" w:cs="Times New Roman"/>
        </w:rPr>
        <w:t>，</w:t>
      </w:r>
      <w:r>
        <w:rPr>
          <w:rFonts w:hint="eastAsia" w:cs="Times New Roman"/>
          <w:bCs/>
        </w:rPr>
        <w:t>分类和标记，材料，</w:t>
      </w:r>
      <w:r>
        <w:rPr>
          <w:rFonts w:cs="Times New Roman"/>
        </w:rPr>
        <w:t>要求</w:t>
      </w:r>
      <w:r>
        <w:rPr>
          <w:rFonts w:hint="eastAsia" w:cs="Times New Roman"/>
        </w:rPr>
        <w:t>，试验方法，</w:t>
      </w:r>
      <w:r>
        <w:rPr>
          <w:rFonts w:cs="Times New Roman"/>
        </w:rPr>
        <w:t>检验规则</w:t>
      </w:r>
      <w:r>
        <w:rPr>
          <w:rFonts w:hint="eastAsia" w:cs="Times New Roman"/>
        </w:rPr>
        <w:t>，</w:t>
      </w:r>
      <w:r>
        <w:rPr>
          <w:rFonts w:cs="Times New Roman"/>
        </w:rPr>
        <w:t>包装、标志、运输和贮存。</w:t>
      </w:r>
      <w:r>
        <w:rPr>
          <w:rFonts w:hint="eastAsia" w:cs="Times New Roman"/>
        </w:rPr>
        <w:t>附录。</w:t>
      </w:r>
    </w:p>
    <w:p>
      <w:pPr>
        <w:ind w:firstLine="420"/>
        <w:rPr>
          <w:rFonts w:cs="Times New Roman"/>
        </w:rPr>
      </w:pPr>
      <w:r>
        <w:rPr>
          <w:rFonts w:hint="eastAsia" w:cs="Times New Roman"/>
        </w:rPr>
        <w:t>请注意本文件的某些内容可能涉及专利。本文件的发布机构不承担识别专利的责任。</w:t>
      </w:r>
    </w:p>
    <w:p>
      <w:pPr>
        <w:ind w:firstLine="420"/>
        <w:rPr>
          <w:rFonts w:cs="Times New Roman"/>
        </w:rPr>
      </w:pPr>
      <w:r>
        <w:rPr>
          <w:rFonts w:cs="Times New Roman"/>
        </w:rPr>
        <w:t>本</w:t>
      </w:r>
      <w:r>
        <w:rPr>
          <w:rFonts w:hint="eastAsia" w:cs="Times New Roman"/>
        </w:rPr>
        <w:t>文件</w:t>
      </w:r>
      <w:r>
        <w:rPr>
          <w:rFonts w:cs="Times New Roman"/>
        </w:rPr>
        <w:t>由中国工程建设标准化协会提出。</w:t>
      </w:r>
    </w:p>
    <w:p>
      <w:pPr>
        <w:ind w:firstLine="420"/>
        <w:rPr>
          <w:rFonts w:cs="Times New Roman"/>
        </w:rPr>
      </w:pPr>
      <w:r>
        <w:rPr>
          <w:rFonts w:cs="Times New Roman"/>
        </w:rPr>
        <w:t>本</w:t>
      </w:r>
      <w:r>
        <w:rPr>
          <w:rFonts w:hint="eastAsia" w:cs="Times New Roman"/>
        </w:rPr>
        <w:t>文件</w:t>
      </w:r>
      <w:r>
        <w:rPr>
          <w:rFonts w:cs="Times New Roman"/>
        </w:rPr>
        <w:t>由中国工程建设标准化协会</w:t>
      </w:r>
      <w:r>
        <w:rPr>
          <w:rFonts w:hint="eastAsia" w:cs="Times New Roman"/>
        </w:rPr>
        <w:t>绿色建造专业委员会</w:t>
      </w:r>
      <w:r>
        <w:rPr>
          <w:rFonts w:cs="Times New Roman"/>
        </w:rPr>
        <w:t>归口管理。</w:t>
      </w:r>
    </w:p>
    <w:p>
      <w:pPr>
        <w:ind w:firstLine="420"/>
        <w:rPr>
          <w:rFonts w:cs="Times New Roman"/>
        </w:rPr>
      </w:pPr>
      <w:r>
        <w:rPr>
          <w:rFonts w:cs="Times New Roman"/>
        </w:rPr>
        <w:t>本</w:t>
      </w:r>
      <w:r>
        <w:rPr>
          <w:rFonts w:hint="eastAsia" w:cs="Times New Roman"/>
        </w:rPr>
        <w:t>文件</w:t>
      </w:r>
      <w:r>
        <w:rPr>
          <w:rFonts w:cs="Times New Roman"/>
        </w:rPr>
        <w:t>负责起草单位：</w:t>
      </w:r>
      <w:r>
        <w:rPr>
          <w:rFonts w:hint="eastAsia" w:cs="Times New Roman"/>
        </w:rPr>
        <w:t>山东建科建筑材料有限公司</w:t>
      </w:r>
    </w:p>
    <w:p>
      <w:pPr>
        <w:ind w:firstLine="420"/>
        <w:rPr>
          <w:rFonts w:cs="Times New Roman"/>
        </w:rPr>
      </w:pPr>
      <w:r>
        <w:rPr>
          <w:rFonts w:cs="Times New Roman"/>
        </w:rPr>
        <w:t>本</w:t>
      </w:r>
      <w:r>
        <w:rPr>
          <w:rFonts w:hint="eastAsia" w:cs="Times New Roman"/>
        </w:rPr>
        <w:t>文件</w:t>
      </w:r>
      <w:r>
        <w:rPr>
          <w:rFonts w:cs="Times New Roman"/>
        </w:rPr>
        <w:t>参加起草单位：</w:t>
      </w:r>
    </w:p>
    <w:p>
      <w:pPr>
        <w:ind w:firstLine="420"/>
        <w:rPr>
          <w:rFonts w:cs="Times New Roman"/>
        </w:rPr>
      </w:pPr>
      <w:r>
        <w:rPr>
          <w:rFonts w:cs="Times New Roman"/>
        </w:rPr>
        <w:t>本</w:t>
      </w:r>
      <w:r>
        <w:rPr>
          <w:rFonts w:hint="eastAsia" w:cs="Times New Roman"/>
        </w:rPr>
        <w:t>文件</w:t>
      </w:r>
      <w:r>
        <w:rPr>
          <w:rFonts w:cs="Times New Roman"/>
        </w:rPr>
        <w:t>主要起草人：</w:t>
      </w:r>
    </w:p>
    <w:p>
      <w:pPr>
        <w:spacing w:line="360" w:lineRule="auto"/>
        <w:ind w:firstLine="480"/>
        <w:rPr>
          <w:rFonts w:cs="Times New Roman"/>
          <w:color w:val="050505"/>
          <w:kern w:val="0"/>
          <w:sz w:val="24"/>
          <w:szCs w:val="24"/>
        </w:rPr>
      </w:pPr>
    </w:p>
    <w:p>
      <w:pPr>
        <w:spacing w:line="360" w:lineRule="auto"/>
        <w:ind w:firstLine="480"/>
        <w:rPr>
          <w:rFonts w:cs="Times New Roman"/>
          <w:color w:val="050505"/>
          <w:kern w:val="0"/>
          <w:sz w:val="24"/>
          <w:szCs w:val="24"/>
        </w:rPr>
      </w:pPr>
    </w:p>
    <w:p>
      <w:pPr>
        <w:spacing w:line="360" w:lineRule="auto"/>
        <w:ind w:firstLine="480"/>
        <w:rPr>
          <w:rFonts w:cs="Times New Roman"/>
          <w:color w:val="050505"/>
          <w:kern w:val="0"/>
          <w:sz w:val="24"/>
          <w:szCs w:val="24"/>
        </w:rPr>
        <w:sectPr>
          <w:pgSz w:w="11906" w:h="16838"/>
          <w:pgMar w:top="1440" w:right="1800" w:bottom="1440" w:left="1800" w:header="851" w:footer="992" w:gutter="0"/>
          <w:pgNumType w:fmt="upperRoman"/>
          <w:cols w:space="425" w:num="1"/>
          <w:docGrid w:type="lines" w:linePitch="312" w:charSpace="0"/>
        </w:sectPr>
      </w:pPr>
    </w:p>
    <w:p>
      <w:pPr>
        <w:widowControl/>
        <w:spacing w:before="312" w:beforeLines="100" w:after="312" w:afterLines="100" w:line="240" w:lineRule="auto"/>
        <w:ind w:firstLine="0" w:firstLineChars="0"/>
        <w:jc w:val="left"/>
        <w:outlineLvl w:val="0"/>
        <w:rPr>
          <w:rFonts w:ascii="宋体" w:hAnsi="宋体" w:cs="Times New Roman"/>
          <w:b/>
          <w:kern w:val="0"/>
          <w:sz w:val="24"/>
          <w:szCs w:val="24"/>
        </w:rPr>
      </w:pPr>
      <w:bookmarkStart w:id="2" w:name="_Toc53215253"/>
      <w:bookmarkStart w:id="3" w:name="_Toc164066095"/>
      <w:r>
        <w:rPr>
          <w:rFonts w:ascii="宋体" w:hAnsi="宋体" w:cs="Times New Roman"/>
          <w:b/>
          <w:kern w:val="0"/>
          <w:sz w:val="24"/>
          <w:szCs w:val="24"/>
        </w:rPr>
        <w:t>1</w:t>
      </w:r>
      <w:r>
        <w:rPr>
          <w:rFonts w:hint="eastAsia" w:ascii="宋体" w:hAnsi="宋体" w:cs="Times New Roman"/>
          <w:b/>
          <w:kern w:val="0"/>
          <w:sz w:val="24"/>
          <w:szCs w:val="24"/>
        </w:rPr>
        <w:t>范围</w:t>
      </w:r>
      <w:bookmarkEnd w:id="2"/>
      <w:bookmarkEnd w:id="3"/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ind w:firstLine="480"/>
        <w:rPr>
          <w:rFonts w:cs="Times New Roman"/>
          <w:kern w:val="0"/>
          <w:sz w:val="24"/>
          <w:szCs w:val="24"/>
        </w:rPr>
      </w:pPr>
      <w:r>
        <w:rPr>
          <w:rFonts w:cs="Times New Roman"/>
          <w:kern w:val="0"/>
          <w:sz w:val="24"/>
          <w:szCs w:val="24"/>
        </w:rPr>
        <w:t>本标准规定了</w:t>
      </w:r>
      <w:r>
        <w:rPr>
          <w:rFonts w:hint="eastAsia" w:cs="Times New Roman"/>
          <w:kern w:val="0"/>
          <w:sz w:val="24"/>
          <w:szCs w:val="24"/>
        </w:rPr>
        <w:t>水泥基</w:t>
      </w:r>
      <w:r>
        <w:rPr>
          <w:rFonts w:cs="Times New Roman"/>
          <w:kern w:val="0"/>
          <w:sz w:val="24"/>
          <w:szCs w:val="24"/>
        </w:rPr>
        <w:t>座浆料的范围</w:t>
      </w:r>
      <w:r>
        <w:rPr>
          <w:rFonts w:hint="eastAsia" w:cs="Times New Roman"/>
          <w:kern w:val="0"/>
          <w:sz w:val="24"/>
          <w:szCs w:val="24"/>
        </w:rPr>
        <w:t>，</w:t>
      </w:r>
      <w:r>
        <w:rPr>
          <w:rFonts w:cs="Times New Roman"/>
          <w:kern w:val="0"/>
          <w:sz w:val="24"/>
          <w:szCs w:val="24"/>
        </w:rPr>
        <w:t>规范性引用文件</w:t>
      </w:r>
      <w:r>
        <w:rPr>
          <w:rFonts w:hint="eastAsia" w:cs="Times New Roman"/>
          <w:kern w:val="0"/>
          <w:sz w:val="24"/>
          <w:szCs w:val="24"/>
        </w:rPr>
        <w:t>，</w:t>
      </w:r>
      <w:r>
        <w:rPr>
          <w:rFonts w:cs="Times New Roman"/>
          <w:kern w:val="0"/>
          <w:sz w:val="24"/>
          <w:szCs w:val="24"/>
        </w:rPr>
        <w:t>术语和定义</w:t>
      </w:r>
      <w:r>
        <w:rPr>
          <w:rFonts w:hint="eastAsia" w:cs="Times New Roman"/>
          <w:kern w:val="0"/>
          <w:sz w:val="24"/>
          <w:szCs w:val="24"/>
        </w:rPr>
        <w:t>，</w:t>
      </w:r>
      <w:r>
        <w:rPr>
          <w:rFonts w:hint="eastAsia" w:cs="Times New Roman"/>
          <w:bCs/>
          <w:kern w:val="0"/>
          <w:sz w:val="24"/>
          <w:szCs w:val="24"/>
        </w:rPr>
        <w:t>分类和标记，材料，</w:t>
      </w:r>
      <w:r>
        <w:rPr>
          <w:rFonts w:cs="Times New Roman"/>
          <w:kern w:val="0"/>
          <w:sz w:val="24"/>
          <w:szCs w:val="24"/>
        </w:rPr>
        <w:t>要求</w:t>
      </w:r>
      <w:r>
        <w:rPr>
          <w:rFonts w:hint="eastAsia" w:cs="Times New Roman"/>
          <w:kern w:val="0"/>
          <w:sz w:val="24"/>
          <w:szCs w:val="24"/>
        </w:rPr>
        <w:t>，试验方法，</w:t>
      </w:r>
      <w:r>
        <w:rPr>
          <w:rFonts w:cs="Times New Roman"/>
          <w:kern w:val="0"/>
          <w:sz w:val="24"/>
          <w:szCs w:val="24"/>
        </w:rPr>
        <w:t>检验规则</w:t>
      </w:r>
      <w:r>
        <w:rPr>
          <w:rFonts w:hint="eastAsia" w:cs="Times New Roman"/>
          <w:kern w:val="0"/>
          <w:sz w:val="24"/>
          <w:szCs w:val="24"/>
        </w:rPr>
        <w:t>，</w:t>
      </w:r>
      <w:r>
        <w:rPr>
          <w:rFonts w:cs="Times New Roman"/>
          <w:kern w:val="0"/>
          <w:sz w:val="24"/>
          <w:szCs w:val="24"/>
        </w:rPr>
        <w:t>包装、标志、运输和贮存。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ind w:firstLine="480"/>
        <w:rPr>
          <w:rFonts w:cs="Times New Roman"/>
          <w:kern w:val="0"/>
          <w:sz w:val="24"/>
          <w:szCs w:val="24"/>
        </w:rPr>
      </w:pPr>
      <w:r>
        <w:rPr>
          <w:rFonts w:cs="Times New Roman"/>
          <w:kern w:val="0"/>
          <w:sz w:val="24"/>
          <w:szCs w:val="24"/>
        </w:rPr>
        <w:t>本标准适用于</w:t>
      </w:r>
      <w:bookmarkStart w:id="4" w:name="_Hlk14376725"/>
      <w:r>
        <w:rPr>
          <w:rFonts w:hint="eastAsia" w:cs="Times New Roman"/>
          <w:kern w:val="0"/>
          <w:sz w:val="24"/>
          <w:szCs w:val="24"/>
        </w:rPr>
        <w:t>风电混塔吊装施工的预制混凝土塔段水平接缝的坐浆连接</w:t>
      </w:r>
      <w:r>
        <w:rPr>
          <w:rFonts w:cs="Times New Roman"/>
          <w:kern w:val="0"/>
          <w:sz w:val="24"/>
          <w:szCs w:val="24"/>
        </w:rPr>
        <w:t>的水泥基座浆料</w:t>
      </w:r>
      <w:bookmarkEnd w:id="4"/>
      <w:r>
        <w:rPr>
          <w:rFonts w:hint="eastAsia" w:cs="Times New Roman"/>
          <w:kern w:val="0"/>
          <w:sz w:val="24"/>
          <w:szCs w:val="24"/>
        </w:rPr>
        <w:t>的生产与检验。装配式民用建筑施工用座浆料可参考使用。</w:t>
      </w:r>
    </w:p>
    <w:p>
      <w:pPr>
        <w:widowControl/>
        <w:spacing w:before="312" w:beforeLines="100" w:after="312" w:afterLines="100" w:line="240" w:lineRule="auto"/>
        <w:ind w:firstLine="0" w:firstLineChars="0"/>
        <w:outlineLvl w:val="0"/>
        <w:rPr>
          <w:rFonts w:ascii="宋体" w:hAnsi="宋体" w:cs="Times New Roman"/>
          <w:b/>
          <w:color w:val="000000"/>
          <w:kern w:val="0"/>
          <w:sz w:val="24"/>
          <w:szCs w:val="24"/>
        </w:rPr>
      </w:pPr>
      <w:bookmarkStart w:id="5" w:name="_Toc53215254"/>
      <w:bookmarkStart w:id="6" w:name="_Toc164066096"/>
      <w:r>
        <w:rPr>
          <w:rFonts w:ascii="宋体" w:hAnsi="宋体" w:cs="Times New Roman"/>
          <w:b/>
          <w:color w:val="000000"/>
          <w:kern w:val="0"/>
          <w:sz w:val="24"/>
          <w:szCs w:val="24"/>
        </w:rPr>
        <w:t>2</w:t>
      </w:r>
      <w:r>
        <w:rPr>
          <w:rFonts w:hint="eastAsia" w:ascii="宋体" w:hAnsi="宋体" w:cs="Times New Roman"/>
          <w:b/>
          <w:color w:val="000000"/>
          <w:kern w:val="0"/>
          <w:sz w:val="24"/>
          <w:szCs w:val="24"/>
        </w:rPr>
        <w:t>规范性引用文件</w:t>
      </w:r>
      <w:bookmarkEnd w:id="5"/>
      <w:bookmarkEnd w:id="6"/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ind w:firstLine="480"/>
        <w:rPr>
          <w:rFonts w:cs="Times New Roman"/>
          <w:kern w:val="0"/>
          <w:sz w:val="24"/>
          <w:szCs w:val="24"/>
        </w:rPr>
      </w:pPr>
      <w:r>
        <w:rPr>
          <w:rFonts w:cs="Times New Roman"/>
          <w:kern w:val="0"/>
          <w:sz w:val="24"/>
          <w:szCs w:val="24"/>
        </w:rPr>
        <w:t>下列文件对于本文件的应用是必不可少的。凡是注日期的引用文件，仅所注日期的版本适用于本文件。凡是不注日期的引用文件，其最新版本（包括所有的修改单）适用于本文件。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ind w:firstLine="480"/>
        <w:rPr>
          <w:rFonts w:cs="Times New Roman"/>
          <w:kern w:val="0"/>
          <w:sz w:val="24"/>
          <w:szCs w:val="24"/>
        </w:rPr>
      </w:pPr>
      <w:r>
        <w:rPr>
          <w:rFonts w:cs="Times New Roman"/>
          <w:kern w:val="0"/>
          <w:sz w:val="24"/>
          <w:szCs w:val="24"/>
        </w:rPr>
        <w:t>下列文件中的条款通过本标准的引用而成为本标准的条款。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ind w:firstLine="480"/>
        <w:rPr>
          <w:rFonts w:cs="Times New Roman"/>
          <w:kern w:val="0"/>
          <w:sz w:val="24"/>
          <w:szCs w:val="24"/>
        </w:rPr>
      </w:pPr>
      <w:r>
        <w:rPr>
          <w:rFonts w:cs="Times New Roman"/>
          <w:kern w:val="0"/>
          <w:sz w:val="24"/>
          <w:szCs w:val="24"/>
        </w:rPr>
        <w:t xml:space="preserve">GB175 </w:t>
      </w:r>
      <w:r>
        <w:rPr>
          <w:rFonts w:hint="eastAsia" w:cs="Times New Roman"/>
          <w:kern w:val="0"/>
          <w:sz w:val="24"/>
          <w:szCs w:val="24"/>
        </w:rPr>
        <w:t>通用硅酸盐水泥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ind w:firstLine="480"/>
        <w:rPr>
          <w:rFonts w:cs="Times New Roman"/>
          <w:kern w:val="0"/>
          <w:sz w:val="24"/>
          <w:szCs w:val="24"/>
        </w:rPr>
      </w:pPr>
      <w:r>
        <w:rPr>
          <w:rFonts w:cs="Times New Roman"/>
          <w:kern w:val="0"/>
          <w:sz w:val="24"/>
          <w:szCs w:val="24"/>
        </w:rPr>
        <w:t>GB/T 176 水泥</w:t>
      </w:r>
      <w:r>
        <w:rPr>
          <w:rFonts w:hint="eastAsia" w:cs="Times New Roman"/>
          <w:kern w:val="0"/>
          <w:sz w:val="24"/>
          <w:szCs w:val="24"/>
        </w:rPr>
        <w:t>化学分析方法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ind w:firstLine="480"/>
        <w:rPr>
          <w:rFonts w:cs="Times New Roman"/>
          <w:kern w:val="0"/>
          <w:sz w:val="24"/>
          <w:szCs w:val="24"/>
        </w:rPr>
      </w:pPr>
      <w:r>
        <w:rPr>
          <w:rFonts w:hint="eastAsia" w:cs="Times New Roman"/>
          <w:kern w:val="0"/>
          <w:sz w:val="24"/>
          <w:szCs w:val="24"/>
        </w:rPr>
        <w:t>GB/T 8076 混凝土外加剂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ind w:firstLine="480"/>
        <w:rPr>
          <w:rFonts w:cs="Times New Roman"/>
          <w:kern w:val="0"/>
          <w:sz w:val="24"/>
          <w:szCs w:val="24"/>
        </w:rPr>
      </w:pPr>
      <w:r>
        <w:rPr>
          <w:rFonts w:hint="eastAsia" w:cs="Times New Roman"/>
          <w:kern w:val="0"/>
          <w:sz w:val="24"/>
          <w:szCs w:val="24"/>
        </w:rPr>
        <w:t>G</w:t>
      </w:r>
      <w:r>
        <w:rPr>
          <w:rFonts w:cs="Times New Roman"/>
          <w:kern w:val="0"/>
          <w:sz w:val="24"/>
          <w:szCs w:val="24"/>
        </w:rPr>
        <w:t xml:space="preserve">B/T 8077 </w:t>
      </w:r>
      <w:r>
        <w:rPr>
          <w:rFonts w:hint="eastAsia" w:cs="Times New Roman"/>
          <w:kern w:val="0"/>
          <w:sz w:val="24"/>
          <w:szCs w:val="24"/>
        </w:rPr>
        <w:t>混凝土外加剂匀质性试验方法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ind w:firstLine="480"/>
        <w:rPr>
          <w:rFonts w:cs="Times New Roman"/>
          <w:kern w:val="0"/>
          <w:sz w:val="24"/>
          <w:szCs w:val="24"/>
        </w:rPr>
      </w:pPr>
      <w:r>
        <w:rPr>
          <w:rFonts w:cs="Times New Roman"/>
          <w:kern w:val="0"/>
          <w:sz w:val="24"/>
          <w:szCs w:val="24"/>
        </w:rPr>
        <w:t>GB/T 2419 水泥胶砂流动度测定方法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ind w:firstLine="480"/>
        <w:rPr>
          <w:rFonts w:cs="Times New Roman"/>
          <w:kern w:val="0"/>
          <w:sz w:val="24"/>
          <w:szCs w:val="24"/>
        </w:rPr>
      </w:pPr>
      <w:r>
        <w:rPr>
          <w:rFonts w:hint="eastAsia" w:cs="Times New Roman"/>
          <w:kern w:val="0"/>
          <w:sz w:val="24"/>
          <w:szCs w:val="24"/>
        </w:rPr>
        <w:t>GB/T</w:t>
      </w:r>
      <w:r>
        <w:rPr>
          <w:rFonts w:cs="Times New Roman"/>
          <w:kern w:val="0"/>
          <w:sz w:val="24"/>
          <w:szCs w:val="24"/>
        </w:rPr>
        <w:t xml:space="preserve"> </w:t>
      </w:r>
      <w:r>
        <w:rPr>
          <w:rFonts w:hint="eastAsia" w:cs="Times New Roman"/>
          <w:kern w:val="0"/>
          <w:sz w:val="24"/>
          <w:szCs w:val="24"/>
        </w:rPr>
        <w:t>14684 建设用砂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ind w:firstLine="480"/>
        <w:rPr>
          <w:rFonts w:cs="Times New Roman"/>
          <w:kern w:val="0"/>
          <w:sz w:val="24"/>
          <w:szCs w:val="24"/>
        </w:rPr>
      </w:pPr>
      <w:r>
        <w:rPr>
          <w:rFonts w:cs="Times New Roman"/>
          <w:kern w:val="0"/>
          <w:sz w:val="24"/>
          <w:szCs w:val="24"/>
        </w:rPr>
        <w:t>GB/T 17671 水泥胶砂强度检验方法（ISO法</w:t>
      </w:r>
      <w:r>
        <w:rPr>
          <w:rFonts w:hint="eastAsia" w:cs="Times New Roman"/>
          <w:kern w:val="0"/>
          <w:sz w:val="24"/>
          <w:szCs w:val="24"/>
        </w:rPr>
        <w:t>）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ind w:firstLine="480"/>
        <w:rPr>
          <w:rFonts w:hint="eastAsia" w:cs="Times New Roman"/>
          <w:kern w:val="0"/>
          <w:sz w:val="24"/>
          <w:szCs w:val="24"/>
        </w:rPr>
      </w:pPr>
      <w:r>
        <w:rPr>
          <w:rFonts w:hint="eastAsia" w:cs="Times New Roman"/>
          <w:kern w:val="0"/>
          <w:sz w:val="24"/>
          <w:szCs w:val="24"/>
        </w:rPr>
        <w:t>GB/T</w:t>
      </w:r>
      <w:r>
        <w:rPr>
          <w:rFonts w:cs="Times New Roman"/>
          <w:kern w:val="0"/>
          <w:sz w:val="24"/>
          <w:szCs w:val="24"/>
        </w:rPr>
        <w:t xml:space="preserve"> </w:t>
      </w:r>
      <w:r>
        <w:rPr>
          <w:rFonts w:hint="eastAsia" w:cs="Times New Roman"/>
          <w:kern w:val="0"/>
          <w:sz w:val="24"/>
          <w:szCs w:val="24"/>
        </w:rPr>
        <w:t xml:space="preserve">20472  硫铝酸盐水泥   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ind w:firstLine="480"/>
        <w:rPr>
          <w:rFonts w:hint="eastAsia" w:cs="Times New Roman"/>
          <w:kern w:val="0"/>
          <w:sz w:val="24"/>
          <w:szCs w:val="24"/>
          <w:highlight w:val="none"/>
        </w:rPr>
      </w:pPr>
      <w:r>
        <w:rPr>
          <w:rFonts w:hint="eastAsia" w:cs="Times New Roman"/>
          <w:kern w:val="0"/>
          <w:sz w:val="24"/>
          <w:szCs w:val="24"/>
          <w:highlight w:val="none"/>
        </w:rPr>
        <w:t>GBT201-2015</w:t>
      </w:r>
      <w:r>
        <w:rPr>
          <w:rFonts w:hint="eastAsia" w:cs="Times New Roman"/>
          <w:kern w:val="0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eastAsia" w:cs="Times New Roman"/>
          <w:kern w:val="0"/>
          <w:sz w:val="24"/>
          <w:szCs w:val="24"/>
          <w:highlight w:val="none"/>
        </w:rPr>
        <w:t>铝酸盐水泥应符合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ind w:firstLine="480"/>
        <w:rPr>
          <w:rFonts w:hint="eastAsia" w:cs="Times New Roman"/>
          <w:kern w:val="0"/>
          <w:sz w:val="24"/>
          <w:szCs w:val="24"/>
          <w:highlight w:val="none"/>
        </w:rPr>
      </w:pPr>
      <w:r>
        <w:rPr>
          <w:rFonts w:hint="eastAsia" w:cs="Times New Roman"/>
          <w:kern w:val="0"/>
          <w:sz w:val="24"/>
          <w:szCs w:val="24"/>
          <w:highlight w:val="none"/>
        </w:rPr>
        <w:t>GB/T 1596</w:t>
      </w:r>
      <w:r>
        <w:rPr>
          <w:rFonts w:hint="eastAsia" w:cs="Times New Roman"/>
          <w:kern w:val="0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eastAsia" w:cs="Times New Roman"/>
          <w:kern w:val="0"/>
          <w:sz w:val="24"/>
          <w:szCs w:val="24"/>
          <w:highlight w:val="none"/>
        </w:rPr>
        <w:t>粉煤灰</w:t>
      </w:r>
      <w:r>
        <w:rPr>
          <w:rFonts w:hint="eastAsia" w:cs="Times New Roman"/>
          <w:kern w:val="0"/>
          <w:sz w:val="24"/>
          <w:szCs w:val="24"/>
          <w:highlight w:val="none"/>
          <w:lang w:val="en-US" w:eastAsia="zh-CN"/>
        </w:rPr>
        <w:t xml:space="preserve"> 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ind w:firstLine="480"/>
        <w:rPr>
          <w:rFonts w:hint="eastAsia" w:cs="Times New Roman"/>
          <w:kern w:val="0"/>
          <w:sz w:val="24"/>
          <w:szCs w:val="24"/>
          <w:highlight w:val="none"/>
        </w:rPr>
      </w:pPr>
      <w:r>
        <w:rPr>
          <w:rFonts w:hint="eastAsia" w:cs="Times New Roman"/>
          <w:kern w:val="0"/>
          <w:sz w:val="24"/>
          <w:szCs w:val="24"/>
          <w:highlight w:val="none"/>
        </w:rPr>
        <w:t>GB/T 18046</w:t>
      </w:r>
      <w:r>
        <w:rPr>
          <w:rFonts w:hint="eastAsia" w:cs="Times New Roman"/>
          <w:kern w:val="0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eastAsia" w:cs="Times New Roman"/>
          <w:kern w:val="0"/>
          <w:sz w:val="24"/>
          <w:szCs w:val="24"/>
          <w:highlight w:val="none"/>
        </w:rPr>
        <w:t>粒化高炉矿渣粉</w:t>
      </w:r>
      <w:r>
        <w:rPr>
          <w:rFonts w:hint="eastAsia" w:cs="Times New Roman"/>
          <w:kern w:val="0"/>
          <w:sz w:val="24"/>
          <w:szCs w:val="24"/>
          <w:highlight w:val="none"/>
          <w:lang w:val="en-US" w:eastAsia="zh-CN"/>
        </w:rPr>
        <w:t xml:space="preserve"> 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ind w:firstLine="480"/>
        <w:rPr>
          <w:rFonts w:cs="Times New Roman"/>
          <w:kern w:val="0"/>
          <w:sz w:val="24"/>
          <w:szCs w:val="24"/>
          <w:highlight w:val="none"/>
        </w:rPr>
      </w:pPr>
      <w:r>
        <w:rPr>
          <w:rFonts w:hint="eastAsia" w:cs="Times New Roman"/>
          <w:kern w:val="0"/>
          <w:sz w:val="24"/>
          <w:szCs w:val="24"/>
          <w:highlight w:val="none"/>
        </w:rPr>
        <w:t>GB/T 27690</w:t>
      </w:r>
      <w:r>
        <w:rPr>
          <w:rFonts w:hint="eastAsia" w:cs="Times New Roman"/>
          <w:kern w:val="0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eastAsia" w:cs="Times New Roman"/>
          <w:kern w:val="0"/>
          <w:sz w:val="24"/>
          <w:szCs w:val="24"/>
          <w:highlight w:val="none"/>
        </w:rPr>
        <w:t>硅灰应分别符合</w:t>
      </w:r>
      <w:r>
        <w:rPr>
          <w:rFonts w:hint="eastAsia" w:cs="Times New Roman"/>
          <w:kern w:val="0"/>
          <w:sz w:val="24"/>
          <w:szCs w:val="24"/>
          <w:highlight w:val="none"/>
          <w:lang w:val="en-US" w:eastAsia="zh-CN"/>
        </w:rPr>
        <w:t xml:space="preserve"> 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ind w:firstLine="480"/>
        <w:rPr>
          <w:rFonts w:cs="Times New Roman"/>
          <w:kern w:val="0"/>
          <w:sz w:val="24"/>
          <w:szCs w:val="24"/>
        </w:rPr>
      </w:pPr>
      <w:r>
        <w:rPr>
          <w:rFonts w:hint="eastAsia" w:cs="Times New Roman"/>
          <w:kern w:val="0"/>
          <w:sz w:val="24"/>
          <w:szCs w:val="24"/>
        </w:rPr>
        <w:t>GB/T</w:t>
      </w:r>
      <w:r>
        <w:rPr>
          <w:rFonts w:cs="Times New Roman"/>
          <w:kern w:val="0"/>
          <w:sz w:val="24"/>
          <w:szCs w:val="24"/>
        </w:rPr>
        <w:t xml:space="preserve"> </w:t>
      </w:r>
      <w:r>
        <w:rPr>
          <w:rFonts w:hint="eastAsia" w:cs="Times New Roman"/>
          <w:kern w:val="0"/>
          <w:sz w:val="24"/>
          <w:szCs w:val="24"/>
        </w:rPr>
        <w:t>23439 混凝土膨胀剂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ind w:firstLine="480"/>
        <w:rPr>
          <w:rFonts w:cs="Times New Roman"/>
          <w:kern w:val="0"/>
          <w:sz w:val="24"/>
          <w:szCs w:val="24"/>
        </w:rPr>
      </w:pPr>
      <w:r>
        <w:rPr>
          <w:rFonts w:hint="eastAsia" w:cs="Times New Roman"/>
          <w:kern w:val="0"/>
          <w:sz w:val="24"/>
          <w:szCs w:val="24"/>
        </w:rPr>
        <w:t>G</w:t>
      </w:r>
      <w:r>
        <w:rPr>
          <w:rFonts w:cs="Times New Roman"/>
          <w:kern w:val="0"/>
          <w:sz w:val="24"/>
          <w:szCs w:val="24"/>
        </w:rPr>
        <w:t xml:space="preserve">B/T 50080 </w:t>
      </w:r>
      <w:r>
        <w:rPr>
          <w:rFonts w:hint="eastAsia" w:cs="Times New Roman"/>
          <w:kern w:val="0"/>
          <w:sz w:val="24"/>
          <w:szCs w:val="24"/>
        </w:rPr>
        <w:t>普通混凝土拌合物性能试验方法标准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ind w:firstLine="480"/>
        <w:rPr>
          <w:rFonts w:cs="Times New Roman"/>
          <w:kern w:val="0"/>
          <w:sz w:val="24"/>
          <w:szCs w:val="24"/>
        </w:rPr>
      </w:pPr>
      <w:r>
        <w:rPr>
          <w:rFonts w:hint="eastAsia" w:cs="Times New Roman"/>
          <w:kern w:val="0"/>
          <w:sz w:val="24"/>
          <w:szCs w:val="24"/>
        </w:rPr>
        <w:t>GB/T 50082</w:t>
      </w:r>
      <w:r>
        <w:rPr>
          <w:rFonts w:cs="Times New Roman"/>
          <w:kern w:val="0"/>
          <w:sz w:val="24"/>
          <w:szCs w:val="24"/>
        </w:rPr>
        <w:t xml:space="preserve"> </w:t>
      </w:r>
      <w:r>
        <w:rPr>
          <w:rFonts w:hint="eastAsia" w:cs="Times New Roman"/>
          <w:kern w:val="0"/>
          <w:sz w:val="24"/>
          <w:szCs w:val="24"/>
        </w:rPr>
        <w:t>普通混凝土长期性和耐久性能试验方法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ind w:firstLine="480"/>
        <w:rPr>
          <w:rFonts w:cs="Times New Roman"/>
          <w:kern w:val="0"/>
          <w:sz w:val="24"/>
          <w:szCs w:val="24"/>
        </w:rPr>
      </w:pPr>
      <w:r>
        <w:rPr>
          <w:rFonts w:hint="eastAsia" w:cs="Times New Roman"/>
          <w:kern w:val="0"/>
          <w:sz w:val="24"/>
          <w:szCs w:val="24"/>
        </w:rPr>
        <w:t>GB</w:t>
      </w:r>
      <w:r>
        <w:rPr>
          <w:rFonts w:cs="Times New Roman"/>
          <w:kern w:val="0"/>
          <w:sz w:val="24"/>
          <w:szCs w:val="24"/>
        </w:rPr>
        <w:t xml:space="preserve"> </w:t>
      </w:r>
      <w:r>
        <w:rPr>
          <w:rFonts w:hint="eastAsia" w:cs="Times New Roman"/>
          <w:kern w:val="0"/>
          <w:sz w:val="24"/>
          <w:szCs w:val="24"/>
        </w:rPr>
        <w:t>50119</w:t>
      </w:r>
      <w:r>
        <w:rPr>
          <w:rFonts w:cs="Times New Roman"/>
          <w:kern w:val="0"/>
          <w:sz w:val="24"/>
          <w:szCs w:val="24"/>
        </w:rPr>
        <w:t xml:space="preserve">-2013 </w:t>
      </w:r>
      <w:r>
        <w:rPr>
          <w:rFonts w:hint="eastAsia" w:cs="Times New Roman"/>
          <w:kern w:val="0"/>
          <w:sz w:val="24"/>
          <w:szCs w:val="24"/>
        </w:rPr>
        <w:t>混凝土外加剂应用技术规程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ind w:firstLine="480"/>
        <w:rPr>
          <w:rFonts w:cs="Times New Roman"/>
          <w:kern w:val="0"/>
          <w:sz w:val="24"/>
          <w:szCs w:val="24"/>
        </w:rPr>
      </w:pPr>
      <w:r>
        <w:rPr>
          <w:rFonts w:cs="Times New Roman"/>
          <w:kern w:val="0"/>
          <w:sz w:val="24"/>
          <w:szCs w:val="24"/>
        </w:rPr>
        <w:t>JC/T 681 行星式水泥胶砂搅拌机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ind w:firstLine="480"/>
        <w:rPr>
          <w:rFonts w:cs="Times New Roman"/>
          <w:kern w:val="0"/>
          <w:sz w:val="24"/>
          <w:szCs w:val="24"/>
        </w:rPr>
      </w:pPr>
      <w:r>
        <w:rPr>
          <w:rFonts w:cs="Times New Roman"/>
          <w:kern w:val="0"/>
          <w:sz w:val="24"/>
          <w:szCs w:val="24"/>
        </w:rPr>
        <w:t>JGJ 63 混凝土用水标准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ind w:firstLine="480"/>
        <w:rPr>
          <w:rFonts w:cs="Times New Roman"/>
          <w:kern w:val="0"/>
          <w:sz w:val="24"/>
          <w:szCs w:val="24"/>
        </w:rPr>
      </w:pPr>
      <w:r>
        <w:rPr>
          <w:rFonts w:hint="eastAsia" w:cs="Times New Roman"/>
          <w:kern w:val="0"/>
          <w:sz w:val="24"/>
          <w:szCs w:val="24"/>
        </w:rPr>
        <w:t>JG/T408 钢筋连接用套筒灌浆料</w:t>
      </w:r>
    </w:p>
    <w:p>
      <w:pPr>
        <w:widowControl/>
        <w:spacing w:before="312" w:beforeLines="100" w:after="312" w:afterLines="100" w:line="240" w:lineRule="auto"/>
        <w:ind w:firstLine="0" w:firstLineChars="0"/>
        <w:outlineLvl w:val="0"/>
        <w:rPr>
          <w:rFonts w:ascii="宋体" w:hAnsi="宋体" w:cs="Times New Roman"/>
          <w:b/>
          <w:kern w:val="0"/>
          <w:sz w:val="24"/>
          <w:szCs w:val="24"/>
        </w:rPr>
      </w:pPr>
      <w:bookmarkStart w:id="7" w:name="_Toc53215255"/>
      <w:bookmarkStart w:id="8" w:name="_Toc164066097"/>
      <w:r>
        <w:rPr>
          <w:rFonts w:ascii="宋体" w:hAnsi="宋体" w:cs="Times New Roman"/>
          <w:b/>
          <w:kern w:val="0"/>
          <w:sz w:val="24"/>
          <w:szCs w:val="24"/>
        </w:rPr>
        <w:t xml:space="preserve">3 </w:t>
      </w:r>
      <w:r>
        <w:rPr>
          <w:rFonts w:hint="eastAsia" w:ascii="宋体" w:hAnsi="宋体" w:cs="Times New Roman"/>
          <w:b/>
          <w:kern w:val="0"/>
          <w:sz w:val="24"/>
          <w:szCs w:val="24"/>
        </w:rPr>
        <w:t>术语和定义</w:t>
      </w:r>
      <w:bookmarkEnd w:id="7"/>
      <w:bookmarkEnd w:id="8"/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240" w:lineRule="auto"/>
        <w:ind w:firstLine="480"/>
        <w:rPr>
          <w:rFonts w:cs="Times New Roman"/>
          <w:kern w:val="0"/>
          <w:sz w:val="24"/>
          <w:szCs w:val="24"/>
        </w:rPr>
      </w:pPr>
      <w:r>
        <w:rPr>
          <w:rFonts w:cs="Times New Roman"/>
          <w:kern w:val="0"/>
          <w:sz w:val="24"/>
          <w:szCs w:val="24"/>
        </w:rPr>
        <w:t>下列术语和定义适用于本文件。</w:t>
      </w:r>
    </w:p>
    <w:p>
      <w:pPr>
        <w:widowControl/>
        <w:numPr>
          <w:ilvl w:val="1"/>
          <w:numId w:val="0"/>
        </w:numPr>
        <w:spacing w:before="156" w:beforeLines="50" w:after="156" w:afterLines="50" w:line="240" w:lineRule="auto"/>
        <w:ind w:left="1680" w:hanging="1680"/>
        <w:jc w:val="left"/>
        <w:outlineLvl w:val="1"/>
        <w:rPr>
          <w:rFonts w:eastAsia="黑体" w:cs="Times New Roman"/>
          <w:kern w:val="0"/>
          <w:sz w:val="24"/>
          <w:szCs w:val="24"/>
        </w:rPr>
      </w:pPr>
      <w:bookmarkStart w:id="9" w:name="_Toc164066098"/>
      <w:r>
        <w:rPr>
          <w:rFonts w:cs="Times New Roman"/>
          <w:b/>
          <w:bCs/>
          <w:kern w:val="0"/>
          <w:sz w:val="24"/>
          <w:szCs w:val="24"/>
        </w:rPr>
        <w:t>3.1</w:t>
      </w:r>
      <w:r>
        <w:rPr>
          <w:rFonts w:hint="eastAsia" w:cs="Times New Roman"/>
          <w:b/>
          <w:bCs/>
          <w:kern w:val="0"/>
          <w:sz w:val="24"/>
          <w:szCs w:val="24"/>
        </w:rPr>
        <w:t>水泥基座浆料</w:t>
      </w:r>
      <w:r>
        <w:rPr>
          <w:rFonts w:cs="Times New Roman"/>
          <w:b/>
          <w:bCs/>
          <w:kern w:val="0"/>
          <w:sz w:val="24"/>
          <w:szCs w:val="24"/>
        </w:rPr>
        <w:t xml:space="preserve"> </w:t>
      </w:r>
      <w:r>
        <w:rPr>
          <w:rFonts w:hint="eastAsia" w:eastAsia="黑体" w:cs="Times New Roman"/>
          <w:kern w:val="0"/>
          <w:sz w:val="24"/>
          <w:szCs w:val="24"/>
        </w:rPr>
        <w:t xml:space="preserve"> </w:t>
      </w:r>
      <w:r>
        <w:rPr>
          <w:rFonts w:eastAsia="黑体" w:cs="Times New Roman"/>
          <w:b/>
          <w:bCs/>
          <w:kern w:val="0"/>
          <w:sz w:val="24"/>
          <w:szCs w:val="24"/>
        </w:rPr>
        <w:t xml:space="preserve">cement-based </w:t>
      </w:r>
      <w:bookmarkStart w:id="10" w:name="_Hlk34641620"/>
      <w:r>
        <w:rPr>
          <w:rFonts w:eastAsia="黑体" w:cs="Times New Roman"/>
          <w:b/>
          <w:bCs/>
          <w:kern w:val="0"/>
          <w:sz w:val="24"/>
          <w:szCs w:val="24"/>
        </w:rPr>
        <w:t>bedding mortar material</w:t>
      </w:r>
      <w:bookmarkEnd w:id="9"/>
      <w:bookmarkEnd w:id="10"/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ind w:firstLine="480"/>
        <w:rPr>
          <w:rFonts w:cs="Times New Roman"/>
          <w:kern w:val="0"/>
          <w:sz w:val="24"/>
          <w:szCs w:val="24"/>
        </w:rPr>
      </w:pPr>
      <w:r>
        <w:rPr>
          <w:rFonts w:hint="eastAsia" w:cs="Times New Roman"/>
          <w:kern w:val="0"/>
          <w:sz w:val="24"/>
          <w:szCs w:val="24"/>
        </w:rPr>
        <w:t>水泥基座浆料是以水泥为基本胶结材料，掺加高强细骨料、外加剂和矿物掺合料及其他辅助材料，经工业化生产的具有合理级配的干混料（简称“座浆料”，代号</w:t>
      </w:r>
      <w:r>
        <w:rPr>
          <w:rFonts w:cs="Times New Roman"/>
          <w:kern w:val="0"/>
          <w:sz w:val="24"/>
          <w:szCs w:val="24"/>
        </w:rPr>
        <w:t>CB</w:t>
      </w:r>
      <w:r>
        <w:rPr>
          <w:rFonts w:hint="eastAsia" w:cs="Times New Roman"/>
          <w:kern w:val="0"/>
          <w:sz w:val="24"/>
          <w:szCs w:val="24"/>
        </w:rPr>
        <w:t>M）。加水拌合后</w:t>
      </w:r>
      <w:r>
        <w:rPr>
          <w:rFonts w:hint="eastAsia" w:cs="Times New Roman"/>
          <w:color w:val="auto"/>
          <w:kern w:val="0"/>
          <w:sz w:val="24"/>
          <w:szCs w:val="24"/>
        </w:rPr>
        <w:t>具有不流挂、可触变、可挤压、早</w:t>
      </w:r>
      <w:r>
        <w:rPr>
          <w:rFonts w:hint="eastAsia" w:cs="Times New Roman"/>
          <w:kern w:val="0"/>
          <w:sz w:val="24"/>
          <w:szCs w:val="24"/>
        </w:rPr>
        <w:t>强、高强、微膨胀、粘结力强等性能，用于风电混塔吊装施工的预制混凝土塔段水平接缝的坐浆连接。</w:t>
      </w:r>
    </w:p>
    <w:p>
      <w:pPr>
        <w:widowControl/>
        <w:numPr>
          <w:ilvl w:val="1"/>
          <w:numId w:val="0"/>
        </w:numPr>
        <w:spacing w:before="156" w:beforeLines="50" w:after="156" w:afterLines="50" w:line="240" w:lineRule="auto"/>
        <w:ind w:left="1680" w:hanging="1680"/>
        <w:jc w:val="left"/>
        <w:outlineLvl w:val="1"/>
        <w:rPr>
          <w:rFonts w:cs="Times New Roman"/>
          <w:b/>
          <w:bCs/>
          <w:kern w:val="0"/>
          <w:sz w:val="24"/>
          <w:szCs w:val="24"/>
        </w:rPr>
      </w:pPr>
      <w:bookmarkStart w:id="11" w:name="_Toc164066099"/>
      <w:r>
        <w:rPr>
          <w:rFonts w:cs="Times New Roman"/>
          <w:b/>
          <w:bCs/>
          <w:kern w:val="0"/>
          <w:sz w:val="24"/>
          <w:szCs w:val="24"/>
        </w:rPr>
        <w:t>3.2</w:t>
      </w:r>
      <w:r>
        <w:rPr>
          <w:rFonts w:hint="eastAsia" w:cs="Times New Roman"/>
          <w:b/>
          <w:bCs/>
          <w:kern w:val="0"/>
          <w:sz w:val="24"/>
          <w:szCs w:val="24"/>
        </w:rPr>
        <w:t>常温型座浆料</w:t>
      </w:r>
      <w:r>
        <w:rPr>
          <w:rFonts w:cs="Times New Roman"/>
          <w:b/>
          <w:bCs/>
          <w:kern w:val="0"/>
          <w:sz w:val="24"/>
          <w:szCs w:val="24"/>
        </w:rPr>
        <w:t>normal temperature bedding mortar material</w:t>
      </w:r>
      <w:bookmarkEnd w:id="11"/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ind w:firstLine="480"/>
        <w:rPr>
          <w:rFonts w:cs="Times New Roman"/>
          <w:kern w:val="0"/>
          <w:sz w:val="24"/>
          <w:szCs w:val="24"/>
        </w:rPr>
      </w:pPr>
      <w:r>
        <w:rPr>
          <w:rFonts w:hint="eastAsia" w:cs="Times New Roman"/>
          <w:kern w:val="0"/>
          <w:sz w:val="24"/>
          <w:szCs w:val="24"/>
        </w:rPr>
        <w:t>用于坐浆施工及养护过程中24h内座浆部位环境温度在5℃~35℃的座浆料。</w:t>
      </w:r>
    </w:p>
    <w:p>
      <w:pPr>
        <w:widowControl/>
        <w:numPr>
          <w:ilvl w:val="1"/>
          <w:numId w:val="0"/>
        </w:numPr>
        <w:spacing w:before="156" w:beforeLines="50" w:after="156" w:afterLines="50" w:line="240" w:lineRule="auto"/>
        <w:ind w:left="1680" w:hanging="1680"/>
        <w:jc w:val="left"/>
        <w:outlineLvl w:val="1"/>
        <w:rPr>
          <w:rFonts w:cs="Times New Roman"/>
          <w:b/>
          <w:bCs/>
          <w:kern w:val="0"/>
          <w:sz w:val="24"/>
          <w:szCs w:val="24"/>
        </w:rPr>
      </w:pPr>
      <w:bookmarkStart w:id="12" w:name="_Toc164066100"/>
      <w:r>
        <w:rPr>
          <w:rFonts w:hint="eastAsia" w:cs="Times New Roman"/>
          <w:b/>
          <w:bCs/>
          <w:kern w:val="0"/>
          <w:sz w:val="24"/>
          <w:szCs w:val="24"/>
        </w:rPr>
        <w:t>3.3高温型座浆料high</w:t>
      </w:r>
      <w:r>
        <w:rPr>
          <w:rFonts w:cs="Times New Roman"/>
          <w:b/>
          <w:bCs/>
          <w:kern w:val="0"/>
          <w:sz w:val="24"/>
          <w:szCs w:val="24"/>
        </w:rPr>
        <w:t xml:space="preserve"> temperature bedding mortar material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ind w:firstLine="480"/>
        <w:rPr>
          <w:rFonts w:cs="Times New Roman"/>
          <w:b/>
          <w:bCs/>
          <w:kern w:val="0"/>
          <w:sz w:val="24"/>
          <w:szCs w:val="24"/>
        </w:rPr>
      </w:pPr>
      <w:r>
        <w:rPr>
          <w:rFonts w:hint="eastAsia" w:cs="Times New Roman"/>
          <w:kern w:val="0"/>
          <w:sz w:val="24"/>
          <w:szCs w:val="24"/>
        </w:rPr>
        <w:t>用于坐浆施工及养护过程中24h内座浆部位环境温度30℃~40℃（座浆面不高于</w:t>
      </w:r>
      <w:r>
        <w:rPr>
          <w:rFonts w:cs="Times New Roman"/>
          <w:kern w:val="0"/>
          <w:sz w:val="24"/>
          <w:szCs w:val="24"/>
        </w:rPr>
        <w:t>5</w:t>
      </w:r>
      <w:r>
        <w:rPr>
          <w:rFonts w:hint="eastAsia" w:cs="Times New Roman"/>
          <w:kern w:val="0"/>
          <w:sz w:val="24"/>
          <w:szCs w:val="24"/>
        </w:rPr>
        <w:t>0℃）的座浆料。</w:t>
      </w:r>
    </w:p>
    <w:p>
      <w:pPr>
        <w:widowControl/>
        <w:numPr>
          <w:ilvl w:val="1"/>
          <w:numId w:val="0"/>
        </w:numPr>
        <w:spacing w:before="156" w:beforeLines="50" w:after="156" w:afterLines="50" w:line="240" w:lineRule="auto"/>
        <w:ind w:left="1680" w:hanging="1680"/>
        <w:jc w:val="left"/>
        <w:outlineLvl w:val="1"/>
        <w:rPr>
          <w:rFonts w:cs="Times New Roman"/>
          <w:b/>
          <w:bCs/>
          <w:kern w:val="0"/>
          <w:sz w:val="24"/>
          <w:szCs w:val="24"/>
        </w:rPr>
      </w:pPr>
      <w:r>
        <w:rPr>
          <w:rFonts w:hint="eastAsia" w:cs="Times New Roman"/>
          <w:b/>
          <w:bCs/>
          <w:kern w:val="0"/>
          <w:sz w:val="24"/>
          <w:szCs w:val="24"/>
        </w:rPr>
        <w:t>3.4低温型座浆料low</w:t>
      </w:r>
      <w:r>
        <w:rPr>
          <w:rFonts w:cs="Times New Roman"/>
          <w:b/>
          <w:bCs/>
          <w:kern w:val="0"/>
          <w:sz w:val="24"/>
          <w:szCs w:val="24"/>
        </w:rPr>
        <w:t xml:space="preserve"> temperature bedding mortar material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ind w:firstLine="480"/>
        <w:rPr>
          <w:rFonts w:cs="Times New Roman"/>
          <w:b/>
          <w:bCs/>
          <w:kern w:val="0"/>
          <w:sz w:val="24"/>
          <w:szCs w:val="24"/>
        </w:rPr>
      </w:pPr>
      <w:r>
        <w:rPr>
          <w:rFonts w:hint="eastAsia" w:cs="Times New Roman"/>
          <w:kern w:val="0"/>
          <w:sz w:val="24"/>
          <w:szCs w:val="24"/>
        </w:rPr>
        <w:t>用于坐浆施工及养护过程中24h内座浆部位环境温度在-5℃~5℃的座浆料。</w:t>
      </w:r>
    </w:p>
    <w:p>
      <w:pPr>
        <w:widowControl/>
        <w:numPr>
          <w:ilvl w:val="1"/>
          <w:numId w:val="0"/>
        </w:numPr>
        <w:spacing w:before="156" w:beforeLines="50" w:after="156" w:afterLines="50" w:line="240" w:lineRule="auto"/>
        <w:ind w:left="1680" w:hanging="1680"/>
        <w:jc w:val="left"/>
        <w:outlineLvl w:val="1"/>
        <w:rPr>
          <w:rFonts w:cs="Times New Roman"/>
          <w:b/>
          <w:bCs/>
          <w:kern w:val="0"/>
          <w:sz w:val="24"/>
          <w:szCs w:val="24"/>
        </w:rPr>
      </w:pPr>
      <w:r>
        <w:rPr>
          <w:rFonts w:cs="Times New Roman"/>
          <w:b/>
          <w:bCs/>
          <w:kern w:val="0"/>
          <w:sz w:val="24"/>
          <w:szCs w:val="24"/>
        </w:rPr>
        <w:t>3.5</w:t>
      </w:r>
      <w:r>
        <w:rPr>
          <w:rFonts w:hint="eastAsia" w:cs="Times New Roman"/>
          <w:b/>
          <w:bCs/>
          <w:kern w:val="0"/>
          <w:sz w:val="24"/>
          <w:szCs w:val="24"/>
        </w:rPr>
        <w:t>负温型座浆料</w:t>
      </w:r>
      <w:r>
        <w:rPr>
          <w:rFonts w:cs="Times New Roman"/>
          <w:b/>
          <w:bCs/>
          <w:kern w:val="0"/>
          <w:sz w:val="24"/>
          <w:szCs w:val="24"/>
        </w:rPr>
        <w:t>negative temperature bedding mortar material</w:t>
      </w:r>
      <w:bookmarkEnd w:id="12"/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ind w:firstLine="480"/>
        <w:rPr>
          <w:rFonts w:cs="Times New Roman"/>
          <w:b/>
          <w:bCs/>
          <w:kern w:val="0"/>
          <w:sz w:val="24"/>
          <w:szCs w:val="24"/>
        </w:rPr>
      </w:pPr>
      <w:bookmarkStart w:id="13" w:name="_Toc164066101"/>
      <w:r>
        <w:rPr>
          <w:rFonts w:hint="eastAsia" w:cs="Times New Roman"/>
          <w:kern w:val="0"/>
          <w:sz w:val="24"/>
          <w:szCs w:val="24"/>
        </w:rPr>
        <w:t>用于坐浆施工及养护过程中24h内座浆部位环境温度在-10℃~0℃的座浆料。</w:t>
      </w:r>
    </w:p>
    <w:bookmarkEnd w:id="13"/>
    <w:p>
      <w:pPr>
        <w:widowControl/>
        <w:numPr>
          <w:ilvl w:val="1"/>
          <w:numId w:val="0"/>
        </w:numPr>
        <w:spacing w:before="156" w:beforeLines="50" w:after="156" w:afterLines="50" w:line="240" w:lineRule="auto"/>
        <w:ind w:left="1680" w:hanging="1680"/>
        <w:jc w:val="left"/>
        <w:outlineLvl w:val="1"/>
        <w:rPr>
          <w:rFonts w:cs="Times New Roman"/>
          <w:b/>
          <w:bCs/>
          <w:kern w:val="0"/>
          <w:sz w:val="24"/>
          <w:szCs w:val="24"/>
        </w:rPr>
      </w:pPr>
      <w:bookmarkStart w:id="14" w:name="_Toc164066102"/>
      <w:bookmarkStart w:id="15" w:name="_Hlk29290616"/>
      <w:r>
        <w:rPr>
          <w:rFonts w:cs="Times New Roman"/>
          <w:b/>
          <w:bCs/>
          <w:kern w:val="0"/>
          <w:sz w:val="24"/>
          <w:szCs w:val="24"/>
        </w:rPr>
        <w:t>3.</w:t>
      </w:r>
      <w:bookmarkStart w:id="16" w:name="_Hlk34641638"/>
      <w:r>
        <w:rPr>
          <w:rFonts w:cs="Times New Roman"/>
          <w:b/>
          <w:bCs/>
          <w:kern w:val="0"/>
          <w:sz w:val="24"/>
          <w:szCs w:val="24"/>
        </w:rPr>
        <w:t>6</w:t>
      </w:r>
      <w:r>
        <w:rPr>
          <w:rFonts w:hint="eastAsia" w:cs="Times New Roman"/>
          <w:b/>
          <w:bCs/>
          <w:kern w:val="0"/>
          <w:sz w:val="24"/>
          <w:szCs w:val="24"/>
        </w:rPr>
        <w:t xml:space="preserve">水料比 </w:t>
      </w:r>
      <w:r>
        <w:rPr>
          <w:rFonts w:cs="Times New Roman"/>
          <w:b/>
          <w:bCs/>
          <w:kern w:val="0"/>
          <w:sz w:val="24"/>
          <w:szCs w:val="24"/>
        </w:rPr>
        <w:t>ratio of water to material</w:t>
      </w:r>
      <w:bookmarkEnd w:id="14"/>
    </w:p>
    <w:bookmarkEnd w:id="15"/>
    <w:bookmarkEnd w:id="16"/>
    <w:p>
      <w:pPr>
        <w:widowControl/>
        <w:numPr>
          <w:ilvl w:val="1"/>
          <w:numId w:val="0"/>
        </w:numPr>
        <w:spacing w:before="156" w:beforeLines="50" w:after="156" w:afterLines="50" w:line="240" w:lineRule="auto"/>
        <w:ind w:left="105" w:leftChars="50" w:firstLine="360" w:firstLineChars="150"/>
        <w:jc w:val="left"/>
        <w:outlineLvl w:val="1"/>
        <w:rPr>
          <w:rFonts w:cs="Times New Roman"/>
          <w:kern w:val="0"/>
          <w:sz w:val="24"/>
          <w:szCs w:val="24"/>
        </w:rPr>
      </w:pPr>
      <w:bookmarkStart w:id="17" w:name="_Toc164066103"/>
      <w:r>
        <w:rPr>
          <w:rFonts w:hint="eastAsia" w:cs="Times New Roman"/>
          <w:kern w:val="0"/>
          <w:sz w:val="24"/>
          <w:szCs w:val="24"/>
        </w:rPr>
        <w:t>每立方米座浆料的用水量与干混座浆料</w:t>
      </w:r>
      <w:r>
        <w:rPr>
          <w:rFonts w:hint="eastAsia" w:cs="Times New Roman"/>
          <w:kern w:val="0"/>
          <w:sz w:val="24"/>
          <w:szCs w:val="24"/>
          <w:lang w:val="en-US" w:eastAsia="zh-CN"/>
        </w:rPr>
        <w:t>质</w:t>
      </w:r>
      <w:r>
        <w:rPr>
          <w:rFonts w:hint="eastAsia" w:cs="Times New Roman"/>
          <w:kern w:val="0"/>
          <w:sz w:val="24"/>
          <w:szCs w:val="24"/>
        </w:rPr>
        <w:t>量的比值。</w:t>
      </w:r>
      <w:bookmarkEnd w:id="17"/>
    </w:p>
    <w:p>
      <w:pPr>
        <w:widowControl/>
        <w:spacing w:before="156" w:beforeLines="50" w:after="156" w:afterLines="50" w:line="240" w:lineRule="auto"/>
        <w:ind w:firstLine="0" w:firstLineChars="0"/>
        <w:outlineLvl w:val="0"/>
        <w:rPr>
          <w:rFonts w:ascii="宋体" w:hAnsi="宋体" w:cs="Times New Roman"/>
          <w:b/>
          <w:bCs/>
          <w:kern w:val="0"/>
          <w:sz w:val="24"/>
          <w:szCs w:val="24"/>
        </w:rPr>
      </w:pPr>
      <w:bookmarkStart w:id="18" w:name="_Toc53215256"/>
      <w:bookmarkStart w:id="19" w:name="_Toc164066104"/>
      <w:r>
        <w:rPr>
          <w:rFonts w:ascii="宋体" w:hAnsi="宋体" w:cs="Times New Roman"/>
          <w:b/>
          <w:bCs/>
          <w:kern w:val="0"/>
          <w:sz w:val="24"/>
          <w:szCs w:val="24"/>
        </w:rPr>
        <w:t xml:space="preserve">4 </w:t>
      </w:r>
      <w:r>
        <w:rPr>
          <w:rFonts w:hint="eastAsia" w:ascii="宋体" w:hAnsi="宋体" w:cs="Times New Roman"/>
          <w:b/>
          <w:bCs/>
          <w:kern w:val="0"/>
          <w:sz w:val="24"/>
          <w:szCs w:val="24"/>
        </w:rPr>
        <w:t>分类和标记</w:t>
      </w:r>
      <w:bookmarkEnd w:id="18"/>
      <w:bookmarkEnd w:id="19"/>
    </w:p>
    <w:p>
      <w:pPr>
        <w:widowControl/>
        <w:numPr>
          <w:ilvl w:val="1"/>
          <w:numId w:val="0"/>
        </w:numPr>
        <w:spacing w:before="156" w:beforeLines="50" w:after="156" w:afterLines="50" w:line="240" w:lineRule="auto"/>
        <w:ind w:left="1680" w:hanging="1680"/>
        <w:jc w:val="left"/>
        <w:outlineLvl w:val="1"/>
        <w:rPr>
          <w:rFonts w:ascii="宋体" w:hAnsi="宋体" w:cs="Times New Roman"/>
          <w:b/>
          <w:bCs/>
          <w:kern w:val="0"/>
          <w:sz w:val="24"/>
          <w:szCs w:val="24"/>
        </w:rPr>
      </w:pPr>
      <w:bookmarkStart w:id="20" w:name="_Toc164066105"/>
      <w:r>
        <w:rPr>
          <w:rFonts w:ascii="宋体" w:hAnsi="宋体" w:cs="Times New Roman"/>
          <w:b/>
          <w:bCs/>
          <w:kern w:val="0"/>
          <w:sz w:val="24"/>
          <w:szCs w:val="24"/>
        </w:rPr>
        <w:t>4.1</w:t>
      </w:r>
      <w:r>
        <w:rPr>
          <w:rFonts w:hint="eastAsia" w:ascii="宋体" w:hAnsi="宋体" w:cs="Times New Roman"/>
          <w:b/>
          <w:bCs/>
          <w:kern w:val="0"/>
          <w:sz w:val="24"/>
          <w:szCs w:val="24"/>
        </w:rPr>
        <w:t>分类</w:t>
      </w:r>
      <w:bookmarkEnd w:id="20"/>
    </w:p>
    <w:p>
      <w:pPr>
        <w:widowControl/>
        <w:snapToGrid w:val="0"/>
        <w:spacing w:before="156" w:beforeLines="50" w:after="156" w:afterLines="50" w:line="240" w:lineRule="auto"/>
        <w:ind w:firstLine="0" w:firstLineChars="0"/>
        <w:jc w:val="left"/>
        <w:outlineLvl w:val="2"/>
        <w:rPr>
          <w:rFonts w:cs="Times New Roman"/>
          <w:kern w:val="0"/>
          <w:sz w:val="24"/>
          <w:szCs w:val="24"/>
        </w:rPr>
      </w:pPr>
      <w:bookmarkStart w:id="21" w:name="_Toc164066106"/>
      <w:r>
        <w:rPr>
          <w:rFonts w:cs="Times New Roman"/>
          <w:b/>
          <w:bCs/>
          <w:kern w:val="0"/>
          <w:sz w:val="24"/>
          <w:szCs w:val="24"/>
        </w:rPr>
        <w:t>4.1.1</w:t>
      </w:r>
      <w:r>
        <w:rPr>
          <w:rFonts w:ascii="黑体" w:hAnsi="黑体" w:eastAsia="黑体" w:cs="Times New Roman"/>
          <w:kern w:val="0"/>
          <w:sz w:val="24"/>
          <w:szCs w:val="24"/>
        </w:rPr>
        <w:t xml:space="preserve"> </w:t>
      </w:r>
      <w:r>
        <w:rPr>
          <w:rFonts w:hint="eastAsia" w:cs="Times New Roman"/>
          <w:kern w:val="0"/>
          <w:sz w:val="24"/>
          <w:szCs w:val="24"/>
        </w:rPr>
        <w:t>按抗压强度分为三个等级：</w:t>
      </w:r>
      <w:r>
        <w:rPr>
          <w:rFonts w:cs="Times New Roman"/>
          <w:kern w:val="0"/>
          <w:sz w:val="24"/>
          <w:szCs w:val="24"/>
        </w:rPr>
        <w:t>CBM</w:t>
      </w:r>
      <w:r>
        <w:rPr>
          <w:rFonts w:hint="eastAsia" w:cs="Times New Roman"/>
          <w:kern w:val="0"/>
          <w:sz w:val="24"/>
          <w:szCs w:val="24"/>
        </w:rPr>
        <w:t>80（强度等级为80MPa）、</w:t>
      </w:r>
      <w:r>
        <w:rPr>
          <w:rFonts w:cs="Times New Roman"/>
          <w:kern w:val="0"/>
          <w:sz w:val="24"/>
          <w:szCs w:val="24"/>
        </w:rPr>
        <w:t>CBM</w:t>
      </w:r>
      <w:r>
        <w:rPr>
          <w:rFonts w:hint="eastAsia" w:cs="Times New Roman"/>
          <w:kern w:val="0"/>
          <w:sz w:val="24"/>
          <w:szCs w:val="24"/>
        </w:rPr>
        <w:t>100（强度等级为100MPa）和</w:t>
      </w:r>
      <w:r>
        <w:rPr>
          <w:rFonts w:cs="Times New Roman"/>
          <w:kern w:val="0"/>
          <w:sz w:val="24"/>
          <w:szCs w:val="24"/>
        </w:rPr>
        <w:t>CBM</w:t>
      </w:r>
      <w:r>
        <w:rPr>
          <w:rFonts w:hint="eastAsia" w:cs="Times New Roman"/>
          <w:kern w:val="0"/>
          <w:sz w:val="24"/>
          <w:szCs w:val="24"/>
        </w:rPr>
        <w:t>120（强度等级为120MPa）。</w:t>
      </w:r>
      <w:bookmarkEnd w:id="21"/>
    </w:p>
    <w:p>
      <w:pPr>
        <w:widowControl/>
        <w:snapToGrid w:val="0"/>
        <w:spacing w:before="156" w:beforeLines="50" w:after="156" w:afterLines="50" w:line="240" w:lineRule="auto"/>
        <w:ind w:firstLine="0" w:firstLineChars="0"/>
        <w:jc w:val="left"/>
        <w:outlineLvl w:val="2"/>
        <w:rPr>
          <w:rFonts w:cs="Times New Roman"/>
          <w:kern w:val="0"/>
          <w:sz w:val="24"/>
          <w:szCs w:val="24"/>
        </w:rPr>
      </w:pPr>
      <w:bookmarkStart w:id="22" w:name="_Toc164066107"/>
      <w:r>
        <w:rPr>
          <w:rFonts w:cs="Times New Roman"/>
          <w:b/>
          <w:bCs/>
          <w:kern w:val="0"/>
          <w:sz w:val="24"/>
          <w:szCs w:val="24"/>
        </w:rPr>
        <w:t>4.1.2</w:t>
      </w:r>
      <w:r>
        <w:rPr>
          <w:rFonts w:ascii="黑体" w:hAnsi="黑体" w:eastAsia="黑体" w:cs="Times New Roman"/>
          <w:kern w:val="0"/>
          <w:sz w:val="24"/>
          <w:szCs w:val="24"/>
        </w:rPr>
        <w:t xml:space="preserve"> </w:t>
      </w:r>
      <w:r>
        <w:rPr>
          <w:rFonts w:hint="eastAsia" w:cs="Times New Roman"/>
          <w:kern w:val="0"/>
          <w:sz w:val="24"/>
          <w:szCs w:val="24"/>
        </w:rPr>
        <w:t>按照适用坐浆施工及养护过程中24h内座浆部位环境温度分为常温型、高温型、低温型和负温型：</w:t>
      </w:r>
      <w:bookmarkEnd w:id="22"/>
    </w:p>
    <w:p>
      <w:pPr>
        <w:widowControl/>
        <w:numPr>
          <w:ilvl w:val="1"/>
          <w:numId w:val="0"/>
        </w:numPr>
        <w:spacing w:before="156" w:beforeLines="50" w:after="156" w:afterLines="50" w:line="240" w:lineRule="auto"/>
        <w:ind w:left="1680" w:hanging="1680"/>
        <w:jc w:val="left"/>
        <w:outlineLvl w:val="1"/>
        <w:rPr>
          <w:rFonts w:cs="Times New Roman"/>
          <w:b/>
          <w:bCs/>
          <w:kern w:val="0"/>
          <w:sz w:val="24"/>
          <w:szCs w:val="24"/>
        </w:rPr>
      </w:pPr>
      <w:bookmarkStart w:id="23" w:name="_Toc164066115"/>
      <w:r>
        <w:rPr>
          <w:rFonts w:cs="Times New Roman"/>
          <w:b/>
          <w:bCs/>
          <w:kern w:val="0"/>
          <w:sz w:val="24"/>
          <w:szCs w:val="24"/>
        </w:rPr>
        <w:t xml:space="preserve">4.2  </w:t>
      </w:r>
      <w:r>
        <w:rPr>
          <w:rFonts w:hint="eastAsia" w:cs="Times New Roman"/>
          <w:b/>
          <w:bCs/>
          <w:kern w:val="0"/>
          <w:sz w:val="24"/>
          <w:szCs w:val="24"/>
        </w:rPr>
        <w:t>标记</w:t>
      </w:r>
      <w:bookmarkEnd w:id="23"/>
    </w:p>
    <w:p>
      <w:pPr>
        <w:widowControl/>
        <w:spacing w:before="156" w:beforeLines="50" w:after="156" w:afterLines="50" w:line="240" w:lineRule="auto"/>
        <w:ind w:left="1575" w:hanging="1575" w:firstLineChars="0"/>
        <w:jc w:val="left"/>
        <w:outlineLvl w:val="2"/>
        <w:rPr>
          <w:rFonts w:cs="Times New Roman"/>
          <w:b/>
          <w:bCs/>
          <w:kern w:val="0"/>
          <w:sz w:val="24"/>
          <w:szCs w:val="24"/>
        </w:rPr>
      </w:pPr>
      <w:bookmarkStart w:id="24" w:name="_Toc164066116"/>
      <w:r>
        <w:rPr>
          <w:rFonts w:cs="Times New Roman"/>
          <w:b/>
          <w:bCs/>
          <w:kern w:val="0"/>
          <w:sz w:val="24"/>
          <w:szCs w:val="24"/>
        </w:rPr>
        <w:t>4.2.1</w:t>
      </w:r>
      <w:r>
        <w:rPr>
          <w:rFonts w:hint="eastAsia" w:cs="Times New Roman"/>
          <w:b/>
          <w:bCs/>
          <w:kern w:val="0"/>
          <w:sz w:val="24"/>
          <w:szCs w:val="24"/>
        </w:rPr>
        <w:t>标记方法</w:t>
      </w:r>
      <w:bookmarkEnd w:id="24"/>
    </w:p>
    <w:p>
      <w:pPr>
        <w:widowControl/>
        <w:spacing w:before="156" w:beforeLines="50" w:after="156" w:afterLines="50" w:line="240" w:lineRule="auto"/>
        <w:ind w:left="210" w:leftChars="100" w:firstLine="480"/>
        <w:jc w:val="left"/>
        <w:outlineLvl w:val="2"/>
        <w:rPr>
          <w:rFonts w:cs="Times New Roman"/>
          <w:kern w:val="0"/>
          <w:sz w:val="24"/>
          <w:szCs w:val="24"/>
        </w:rPr>
      </w:pPr>
      <w:bookmarkStart w:id="25" w:name="_Toc164066117"/>
      <w:r>
        <w:rPr>
          <w:rFonts w:cs="Times New Roman"/>
          <w:kern w:val="0"/>
          <w:sz w:val="24"/>
          <w:szCs w:val="24"/>
        </w:rPr>
        <w:t>a) 座浆料产品标记为</w:t>
      </w:r>
      <w:bookmarkStart w:id="26" w:name="_Hlk167699040"/>
      <w:r>
        <w:rPr>
          <w:rFonts w:hint="eastAsia" w:cs="Times New Roman"/>
          <w:kern w:val="0"/>
          <w:sz w:val="24"/>
          <w:szCs w:val="24"/>
        </w:rPr>
        <w:t>CB</w:t>
      </w:r>
      <w:r>
        <w:rPr>
          <w:rFonts w:cs="Times New Roman"/>
          <w:kern w:val="0"/>
          <w:sz w:val="24"/>
          <w:szCs w:val="24"/>
        </w:rPr>
        <w:t>M</w:t>
      </w:r>
      <w:bookmarkEnd w:id="26"/>
      <w:r>
        <w:rPr>
          <w:rFonts w:hint="eastAsia" w:cs="Times New Roman"/>
          <w:kern w:val="0"/>
          <w:sz w:val="24"/>
          <w:szCs w:val="24"/>
        </w:rPr>
        <w:t>；</w:t>
      </w:r>
      <w:bookmarkEnd w:id="25"/>
    </w:p>
    <w:p>
      <w:pPr>
        <w:widowControl/>
        <w:spacing w:before="156" w:beforeLines="50" w:after="156" w:afterLines="50" w:line="240" w:lineRule="auto"/>
        <w:ind w:left="210" w:leftChars="100" w:firstLine="480"/>
        <w:jc w:val="left"/>
        <w:outlineLvl w:val="2"/>
        <w:rPr>
          <w:rFonts w:cs="Times New Roman"/>
          <w:kern w:val="0"/>
          <w:sz w:val="24"/>
          <w:szCs w:val="24"/>
        </w:rPr>
      </w:pPr>
      <w:r>
        <w:rPr>
          <w:rFonts w:hint="eastAsia" w:cs="Times New Roman"/>
          <w:kern w:val="0"/>
          <w:sz w:val="24"/>
          <w:szCs w:val="24"/>
        </w:rPr>
        <w:t>b）常温型代号为O、高温型代号为</w:t>
      </w:r>
      <w:r>
        <w:rPr>
          <w:rFonts w:cs="Times New Roman"/>
          <w:kern w:val="0"/>
          <w:sz w:val="24"/>
          <w:szCs w:val="24"/>
        </w:rPr>
        <w:t>H</w:t>
      </w:r>
      <w:r>
        <w:rPr>
          <w:rFonts w:hint="eastAsia" w:cs="Times New Roman"/>
          <w:kern w:val="0"/>
          <w:sz w:val="24"/>
          <w:szCs w:val="24"/>
        </w:rPr>
        <w:t>、低温型代号为</w:t>
      </w:r>
      <w:r>
        <w:rPr>
          <w:rFonts w:cs="Times New Roman"/>
          <w:kern w:val="0"/>
          <w:sz w:val="24"/>
          <w:szCs w:val="24"/>
        </w:rPr>
        <w:t>L</w:t>
      </w:r>
      <w:r>
        <w:rPr>
          <w:rFonts w:hint="eastAsia" w:cs="Times New Roman"/>
          <w:kern w:val="0"/>
          <w:sz w:val="24"/>
          <w:szCs w:val="24"/>
        </w:rPr>
        <w:t>和负温型代号为N。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ind w:firstLine="720" w:firstLineChars="300"/>
        <w:rPr>
          <w:rFonts w:cs="Times New Roman"/>
          <w:kern w:val="0"/>
          <w:sz w:val="24"/>
          <w:szCs w:val="24"/>
        </w:rPr>
      </w:pPr>
      <w:r>
        <w:rPr>
          <w:rFonts w:cs="Times New Roman"/>
          <w:kern w:val="0"/>
          <w:sz w:val="24"/>
          <w:szCs w:val="24"/>
        </w:rPr>
        <w:t>b</w:t>
      </w:r>
      <w:r>
        <w:rPr>
          <w:rFonts w:hint="eastAsia" w:cs="Times New Roman"/>
          <w:kern w:val="0"/>
          <w:sz w:val="24"/>
          <w:szCs w:val="24"/>
        </w:rPr>
        <w:t>）</w:t>
      </w:r>
      <w:r>
        <w:rPr>
          <w:rFonts w:hint="eastAsia" w:cs="Times New Roman"/>
          <w:kern w:val="0"/>
          <w:sz w:val="24"/>
          <w:szCs w:val="20"/>
        </w:rPr>
        <w:t>按产品名称、类别、标准编号顺序进行标记。</w:t>
      </w:r>
    </w:p>
    <w:p>
      <w:pPr>
        <w:widowControl/>
        <w:numPr>
          <w:ilvl w:val="1"/>
          <w:numId w:val="0"/>
        </w:numPr>
        <w:spacing w:before="156" w:beforeLines="50" w:after="156" w:afterLines="50" w:line="240" w:lineRule="auto"/>
        <w:ind w:left="1680" w:hanging="1680"/>
        <w:jc w:val="left"/>
        <w:outlineLvl w:val="1"/>
        <w:rPr>
          <w:rFonts w:cs="Times New Roman"/>
          <w:kern w:val="0"/>
          <w:sz w:val="24"/>
          <w:szCs w:val="24"/>
        </w:rPr>
      </w:pPr>
      <w:bookmarkStart w:id="27" w:name="_Toc164066118"/>
      <w:r>
        <w:rPr>
          <w:rFonts w:eastAsia="黑体" w:cs="Times New Roman"/>
          <w:b/>
          <w:kern w:val="0"/>
          <w:sz w:val="24"/>
          <w:szCs w:val="24"/>
        </w:rPr>
        <w:t>4.2.2</w:t>
      </w:r>
      <w:r>
        <w:rPr>
          <w:rFonts w:hint="eastAsia" w:ascii="宋体" w:cs="Times New Roman"/>
          <w:b/>
          <w:bCs/>
          <w:kern w:val="0"/>
          <w:sz w:val="24"/>
          <w:szCs w:val="20"/>
        </w:rPr>
        <w:t>示例</w:t>
      </w:r>
      <w:bookmarkEnd w:id="27"/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ind w:firstLine="480"/>
        <w:rPr>
          <w:rFonts w:cs="Times New Roman"/>
          <w:color w:val="auto"/>
          <w:kern w:val="0"/>
          <w:sz w:val="24"/>
          <w:szCs w:val="20"/>
        </w:rPr>
      </w:pPr>
      <w:r>
        <w:rPr>
          <w:rFonts w:hint="eastAsia" w:ascii="宋体" w:cs="Times New Roman"/>
          <w:color w:val="auto"/>
          <w:kern w:val="0"/>
          <w:sz w:val="24"/>
          <w:szCs w:val="20"/>
        </w:rPr>
        <w:t>常温型</w:t>
      </w:r>
      <w:r>
        <w:rPr>
          <w:rFonts w:cs="Times New Roman"/>
          <w:color w:val="auto"/>
          <w:kern w:val="0"/>
          <w:sz w:val="24"/>
          <w:szCs w:val="20"/>
        </w:rPr>
        <w:t>80M</w:t>
      </w:r>
      <w:r>
        <w:rPr>
          <w:rFonts w:hint="eastAsia" w:cs="Times New Roman"/>
          <w:color w:val="auto"/>
          <w:kern w:val="0"/>
          <w:sz w:val="24"/>
          <w:szCs w:val="20"/>
        </w:rPr>
        <w:t>Pa</w:t>
      </w:r>
      <w:r>
        <w:rPr>
          <w:rFonts w:cs="Times New Roman"/>
          <w:color w:val="auto"/>
          <w:kern w:val="0"/>
          <w:sz w:val="24"/>
          <w:szCs w:val="20"/>
        </w:rPr>
        <w:t xml:space="preserve">座浆料的产品标记为：           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ind w:firstLine="1680" w:firstLineChars="700"/>
        <w:jc w:val="left"/>
        <w:rPr>
          <w:rFonts w:cs="Times New Roman"/>
          <w:color w:val="auto"/>
          <w:kern w:val="0"/>
          <w:sz w:val="24"/>
          <w:szCs w:val="20"/>
        </w:rPr>
      </w:pPr>
      <w:bookmarkStart w:id="28" w:name="_Hlk162772421"/>
      <w:r>
        <w:rPr>
          <w:rFonts w:cs="Times New Roman"/>
          <w:color w:val="auto"/>
          <w:kern w:val="0"/>
          <w:sz w:val="24"/>
          <w:szCs w:val="20"/>
        </w:rPr>
        <w:t>CB</w:t>
      </w:r>
      <w:r>
        <w:rPr>
          <w:rFonts w:hint="eastAsia" w:cs="Times New Roman"/>
          <w:color w:val="auto"/>
          <w:kern w:val="0"/>
          <w:sz w:val="24"/>
          <w:szCs w:val="20"/>
        </w:rPr>
        <w:t>M80</w:t>
      </w:r>
      <w:r>
        <w:rPr>
          <w:rFonts w:cs="Times New Roman"/>
          <w:color w:val="auto"/>
          <w:kern w:val="0"/>
          <w:sz w:val="24"/>
          <w:szCs w:val="20"/>
        </w:rPr>
        <w:t>(O)</w:t>
      </w:r>
      <w:r>
        <w:rPr>
          <w:rFonts w:hint="eastAsia" w:cs="Times New Roman"/>
          <w:color w:val="auto"/>
          <w:kern w:val="0"/>
          <w:sz w:val="24"/>
          <w:szCs w:val="20"/>
        </w:rPr>
        <w:t>-T/CECS xxxxx-202x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ind w:firstLine="480"/>
        <w:rPr>
          <w:rFonts w:cs="Times New Roman"/>
          <w:color w:val="auto"/>
          <w:kern w:val="0"/>
          <w:sz w:val="24"/>
          <w:szCs w:val="20"/>
        </w:rPr>
      </w:pPr>
      <w:r>
        <w:rPr>
          <w:rFonts w:hint="eastAsia" w:ascii="宋体" w:cs="Times New Roman"/>
          <w:color w:val="auto"/>
          <w:kern w:val="0"/>
          <w:sz w:val="24"/>
          <w:szCs w:val="20"/>
        </w:rPr>
        <w:t>高温型</w:t>
      </w:r>
      <w:r>
        <w:rPr>
          <w:rFonts w:cs="Times New Roman"/>
          <w:color w:val="auto"/>
          <w:kern w:val="0"/>
          <w:sz w:val="24"/>
          <w:szCs w:val="20"/>
        </w:rPr>
        <w:t>100M</w:t>
      </w:r>
      <w:r>
        <w:rPr>
          <w:rFonts w:hint="eastAsia" w:cs="Times New Roman"/>
          <w:color w:val="auto"/>
          <w:kern w:val="0"/>
          <w:sz w:val="24"/>
          <w:szCs w:val="20"/>
        </w:rPr>
        <w:t>Pa</w:t>
      </w:r>
      <w:r>
        <w:rPr>
          <w:rFonts w:cs="Times New Roman"/>
          <w:color w:val="auto"/>
          <w:kern w:val="0"/>
          <w:sz w:val="24"/>
          <w:szCs w:val="20"/>
        </w:rPr>
        <w:t xml:space="preserve">座浆料的产品标记为：           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ind w:firstLine="1680" w:firstLineChars="700"/>
        <w:jc w:val="left"/>
        <w:rPr>
          <w:rFonts w:cs="Times New Roman"/>
          <w:color w:val="auto"/>
          <w:kern w:val="0"/>
          <w:sz w:val="24"/>
          <w:szCs w:val="20"/>
        </w:rPr>
      </w:pPr>
      <w:r>
        <w:rPr>
          <w:rFonts w:hint="eastAsia" w:cs="Times New Roman"/>
          <w:color w:val="auto"/>
          <w:kern w:val="0"/>
          <w:sz w:val="24"/>
          <w:szCs w:val="20"/>
        </w:rPr>
        <w:t>CBM</w:t>
      </w:r>
      <w:r>
        <w:rPr>
          <w:rFonts w:cs="Times New Roman"/>
          <w:color w:val="auto"/>
          <w:kern w:val="0"/>
          <w:sz w:val="24"/>
          <w:szCs w:val="20"/>
        </w:rPr>
        <w:t>100(H)</w:t>
      </w:r>
      <w:r>
        <w:rPr>
          <w:rFonts w:hint="eastAsia" w:cs="Times New Roman"/>
          <w:color w:val="auto"/>
          <w:kern w:val="0"/>
          <w:sz w:val="24"/>
          <w:szCs w:val="20"/>
        </w:rPr>
        <w:t>-T/CECS xxxxx-202x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ind w:firstLine="480"/>
        <w:rPr>
          <w:rFonts w:cs="Times New Roman"/>
          <w:color w:val="auto"/>
          <w:kern w:val="0"/>
          <w:sz w:val="24"/>
          <w:szCs w:val="20"/>
        </w:rPr>
      </w:pPr>
      <w:r>
        <w:rPr>
          <w:rFonts w:hint="eastAsia" w:ascii="宋体" w:cs="Times New Roman"/>
          <w:color w:val="auto"/>
          <w:kern w:val="0"/>
          <w:sz w:val="24"/>
          <w:szCs w:val="20"/>
        </w:rPr>
        <w:t>低温型</w:t>
      </w:r>
      <w:r>
        <w:rPr>
          <w:rFonts w:cs="Times New Roman"/>
          <w:color w:val="auto"/>
          <w:kern w:val="0"/>
          <w:sz w:val="24"/>
          <w:szCs w:val="20"/>
        </w:rPr>
        <w:t>80M</w:t>
      </w:r>
      <w:r>
        <w:rPr>
          <w:rFonts w:hint="eastAsia" w:cs="Times New Roman"/>
          <w:color w:val="auto"/>
          <w:kern w:val="0"/>
          <w:sz w:val="24"/>
          <w:szCs w:val="20"/>
        </w:rPr>
        <w:t>Pa</w:t>
      </w:r>
      <w:r>
        <w:rPr>
          <w:rFonts w:cs="Times New Roman"/>
          <w:color w:val="auto"/>
          <w:kern w:val="0"/>
          <w:sz w:val="24"/>
          <w:szCs w:val="20"/>
        </w:rPr>
        <w:t xml:space="preserve">座浆料的产品标记为：           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ind w:firstLine="1680" w:firstLineChars="700"/>
        <w:jc w:val="left"/>
        <w:rPr>
          <w:rFonts w:cs="Times New Roman"/>
          <w:color w:val="auto"/>
          <w:kern w:val="0"/>
          <w:sz w:val="24"/>
          <w:szCs w:val="20"/>
        </w:rPr>
      </w:pPr>
      <w:r>
        <w:rPr>
          <w:rFonts w:hint="eastAsia" w:cs="Times New Roman"/>
          <w:color w:val="auto"/>
          <w:kern w:val="0"/>
          <w:sz w:val="24"/>
          <w:szCs w:val="20"/>
        </w:rPr>
        <w:t>CBM</w:t>
      </w:r>
      <w:r>
        <w:rPr>
          <w:rFonts w:cs="Times New Roman"/>
          <w:color w:val="auto"/>
          <w:kern w:val="0"/>
          <w:sz w:val="24"/>
          <w:szCs w:val="20"/>
        </w:rPr>
        <w:t>80(L)</w:t>
      </w:r>
      <w:r>
        <w:rPr>
          <w:rFonts w:hint="eastAsia" w:cs="Times New Roman"/>
          <w:color w:val="auto"/>
          <w:kern w:val="0"/>
          <w:sz w:val="24"/>
          <w:szCs w:val="20"/>
        </w:rPr>
        <w:t>-T/CECS xxxxx-202x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ind w:firstLine="480"/>
        <w:rPr>
          <w:rFonts w:cs="Times New Roman"/>
          <w:color w:val="auto"/>
          <w:kern w:val="0"/>
          <w:sz w:val="24"/>
          <w:szCs w:val="20"/>
        </w:rPr>
      </w:pPr>
      <w:r>
        <w:rPr>
          <w:rFonts w:hint="eastAsia" w:ascii="宋体" w:cs="Times New Roman"/>
          <w:color w:val="auto"/>
          <w:kern w:val="0"/>
          <w:sz w:val="24"/>
          <w:szCs w:val="20"/>
        </w:rPr>
        <w:t>负温型</w:t>
      </w:r>
      <w:r>
        <w:rPr>
          <w:rFonts w:cs="Times New Roman"/>
          <w:color w:val="auto"/>
          <w:kern w:val="0"/>
          <w:sz w:val="24"/>
          <w:szCs w:val="20"/>
        </w:rPr>
        <w:t>80M</w:t>
      </w:r>
      <w:r>
        <w:rPr>
          <w:rFonts w:hint="eastAsia" w:cs="Times New Roman"/>
          <w:color w:val="auto"/>
          <w:kern w:val="0"/>
          <w:sz w:val="24"/>
          <w:szCs w:val="20"/>
        </w:rPr>
        <w:t>Pa</w:t>
      </w:r>
      <w:r>
        <w:rPr>
          <w:rFonts w:cs="Times New Roman"/>
          <w:color w:val="auto"/>
          <w:kern w:val="0"/>
          <w:sz w:val="24"/>
          <w:szCs w:val="20"/>
        </w:rPr>
        <w:t xml:space="preserve">座浆料的产品标记为：           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ind w:firstLine="1680" w:firstLineChars="700"/>
        <w:jc w:val="left"/>
        <w:rPr>
          <w:rFonts w:cs="Times New Roman"/>
          <w:color w:val="auto"/>
          <w:kern w:val="0"/>
          <w:sz w:val="24"/>
          <w:szCs w:val="20"/>
        </w:rPr>
      </w:pPr>
      <w:r>
        <w:rPr>
          <w:rFonts w:hint="eastAsia" w:cs="Times New Roman"/>
          <w:color w:val="auto"/>
          <w:kern w:val="0"/>
          <w:sz w:val="24"/>
          <w:szCs w:val="20"/>
        </w:rPr>
        <w:t>CBM</w:t>
      </w:r>
      <w:r>
        <w:rPr>
          <w:rFonts w:cs="Times New Roman"/>
          <w:color w:val="auto"/>
          <w:kern w:val="0"/>
          <w:sz w:val="24"/>
          <w:szCs w:val="20"/>
        </w:rPr>
        <w:t>80(N)</w:t>
      </w:r>
      <w:r>
        <w:rPr>
          <w:rFonts w:hint="eastAsia" w:cs="Times New Roman"/>
          <w:color w:val="auto"/>
          <w:kern w:val="0"/>
          <w:sz w:val="24"/>
          <w:szCs w:val="20"/>
        </w:rPr>
        <w:t>-T/CECS xxxxx-202x</w:t>
      </w:r>
    </w:p>
    <w:bookmarkEnd w:id="28"/>
    <w:p>
      <w:pPr>
        <w:pStyle w:val="2"/>
        <w:spacing w:before="62" w:after="62"/>
        <w:rPr>
          <w:rFonts w:cs="Times New Roman"/>
          <w:kern w:val="0"/>
          <w:sz w:val="24"/>
          <w:szCs w:val="24"/>
        </w:rPr>
      </w:pPr>
      <w:bookmarkStart w:id="29" w:name="_Toc164066119"/>
      <w:bookmarkStart w:id="30" w:name="_Toc88505302"/>
      <w:bookmarkStart w:id="31" w:name="_Toc1193"/>
      <w:bookmarkStart w:id="32" w:name="_Toc129591555"/>
      <w:bookmarkStart w:id="33" w:name="_Toc53215257"/>
      <w:r>
        <w:rPr>
          <w:rFonts w:cs="Times New Roman"/>
          <w:kern w:val="0"/>
          <w:sz w:val="24"/>
          <w:szCs w:val="24"/>
        </w:rPr>
        <w:t>5  材料</w:t>
      </w:r>
      <w:bookmarkEnd w:id="29"/>
      <w:bookmarkEnd w:id="30"/>
      <w:bookmarkEnd w:id="31"/>
      <w:bookmarkEnd w:id="32"/>
    </w:p>
    <w:p>
      <w:pPr>
        <w:widowControl/>
        <w:numPr>
          <w:ilvl w:val="1"/>
          <w:numId w:val="0"/>
        </w:numPr>
        <w:spacing w:before="156" w:beforeLines="50" w:after="156" w:afterLines="50" w:line="240" w:lineRule="auto"/>
        <w:ind w:left="1680" w:hanging="1680"/>
        <w:jc w:val="left"/>
        <w:outlineLvl w:val="1"/>
        <w:rPr>
          <w:rFonts w:cs="Times New Roman"/>
          <w:b/>
          <w:bCs/>
          <w:kern w:val="0"/>
          <w:sz w:val="24"/>
          <w:szCs w:val="24"/>
        </w:rPr>
      </w:pPr>
      <w:bookmarkStart w:id="34" w:name="_Toc164066120"/>
      <w:r>
        <w:rPr>
          <w:rFonts w:cs="Times New Roman"/>
          <w:b/>
          <w:bCs/>
          <w:kern w:val="0"/>
          <w:sz w:val="24"/>
          <w:szCs w:val="24"/>
        </w:rPr>
        <w:t xml:space="preserve">5.1  </w:t>
      </w:r>
      <w:r>
        <w:rPr>
          <w:rFonts w:hint="eastAsia" w:cs="Times New Roman"/>
          <w:b/>
          <w:bCs/>
          <w:kern w:val="0"/>
          <w:sz w:val="24"/>
          <w:szCs w:val="24"/>
        </w:rPr>
        <w:t>水泥</w:t>
      </w:r>
      <w:bookmarkEnd w:id="34"/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ind w:firstLine="480"/>
        <w:rPr>
          <w:rFonts w:cs="Times New Roman"/>
          <w:kern w:val="0"/>
          <w:sz w:val="24"/>
          <w:szCs w:val="24"/>
        </w:rPr>
      </w:pPr>
      <w:r>
        <w:rPr>
          <w:rFonts w:cs="Times New Roman"/>
          <w:kern w:val="0"/>
          <w:sz w:val="24"/>
          <w:szCs w:val="24"/>
        </w:rPr>
        <w:t>硅酸盐水泥应符合GB 175的规定，硫铝酸盐水泥应符合GB/T 20472的规定，</w:t>
      </w:r>
      <w:r>
        <w:rPr>
          <w:rFonts w:hint="eastAsia" w:cs="Times New Roman"/>
          <w:kern w:val="0"/>
          <w:sz w:val="24"/>
          <w:szCs w:val="24"/>
        </w:rPr>
        <w:t>铝酸盐水泥应符合GBT201-2015 的规定，</w:t>
      </w:r>
      <w:r>
        <w:rPr>
          <w:rFonts w:cs="Times New Roman"/>
          <w:kern w:val="0"/>
          <w:sz w:val="24"/>
          <w:szCs w:val="24"/>
        </w:rPr>
        <w:t>其他水泥应符合相关标准的要求。</w:t>
      </w:r>
    </w:p>
    <w:p>
      <w:pPr>
        <w:widowControl/>
        <w:numPr>
          <w:ilvl w:val="1"/>
          <w:numId w:val="0"/>
        </w:numPr>
        <w:spacing w:before="156" w:beforeLines="50" w:after="156" w:afterLines="50" w:line="240" w:lineRule="auto"/>
        <w:ind w:left="1680" w:hanging="1680"/>
        <w:jc w:val="left"/>
        <w:outlineLvl w:val="1"/>
        <w:rPr>
          <w:rFonts w:cs="Times New Roman"/>
          <w:b/>
          <w:bCs/>
          <w:kern w:val="0"/>
          <w:sz w:val="24"/>
          <w:szCs w:val="24"/>
        </w:rPr>
      </w:pPr>
      <w:bookmarkStart w:id="35" w:name="_Toc164066121"/>
      <w:r>
        <w:rPr>
          <w:rFonts w:cs="Times New Roman"/>
          <w:b/>
          <w:bCs/>
          <w:kern w:val="0"/>
          <w:sz w:val="24"/>
          <w:szCs w:val="24"/>
        </w:rPr>
        <w:t xml:space="preserve">5.2  </w:t>
      </w:r>
      <w:r>
        <w:rPr>
          <w:rFonts w:hint="eastAsia" w:cs="Times New Roman"/>
          <w:b/>
          <w:bCs/>
          <w:kern w:val="0"/>
          <w:sz w:val="24"/>
          <w:szCs w:val="24"/>
        </w:rPr>
        <w:t>细骨料</w:t>
      </w:r>
      <w:bookmarkEnd w:id="35"/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ind w:firstLine="480"/>
        <w:rPr>
          <w:rFonts w:cs="Times New Roman"/>
          <w:kern w:val="0"/>
          <w:sz w:val="24"/>
          <w:szCs w:val="24"/>
        </w:rPr>
      </w:pPr>
      <w:r>
        <w:rPr>
          <w:rFonts w:hint="eastAsia" w:cs="Times New Roman"/>
          <w:kern w:val="0"/>
          <w:sz w:val="24"/>
          <w:szCs w:val="24"/>
        </w:rPr>
        <w:t>细骨料</w:t>
      </w:r>
      <w:r>
        <w:rPr>
          <w:rFonts w:cs="Times New Roman"/>
          <w:kern w:val="0"/>
          <w:sz w:val="24"/>
          <w:szCs w:val="24"/>
        </w:rPr>
        <w:t>应符合GB/T 14684的规定，含泥量不大于0.5%，</w:t>
      </w:r>
      <w:r>
        <w:rPr>
          <w:rFonts w:hint="eastAsia" w:cs="Times New Roman"/>
          <w:kern w:val="0"/>
          <w:sz w:val="24"/>
          <w:szCs w:val="24"/>
        </w:rPr>
        <w:t>吸水率不大于</w:t>
      </w:r>
      <w:r>
        <w:rPr>
          <w:rFonts w:cs="Times New Roman"/>
          <w:kern w:val="0"/>
          <w:sz w:val="24"/>
          <w:szCs w:val="24"/>
        </w:rPr>
        <w:t>1.0%。</w:t>
      </w:r>
    </w:p>
    <w:p>
      <w:pPr>
        <w:widowControl/>
        <w:numPr>
          <w:ilvl w:val="1"/>
          <w:numId w:val="0"/>
        </w:numPr>
        <w:spacing w:before="156" w:beforeLines="50" w:after="156" w:afterLines="50" w:line="240" w:lineRule="auto"/>
        <w:ind w:left="1680" w:hanging="1680"/>
        <w:jc w:val="left"/>
        <w:outlineLvl w:val="1"/>
        <w:rPr>
          <w:rFonts w:cs="Times New Roman"/>
          <w:b/>
          <w:bCs/>
          <w:kern w:val="0"/>
          <w:sz w:val="24"/>
          <w:szCs w:val="24"/>
        </w:rPr>
      </w:pPr>
      <w:bookmarkStart w:id="36" w:name="_Toc164066122"/>
      <w:r>
        <w:rPr>
          <w:rFonts w:cs="Times New Roman"/>
          <w:b/>
          <w:bCs/>
          <w:kern w:val="0"/>
          <w:sz w:val="24"/>
          <w:szCs w:val="24"/>
        </w:rPr>
        <w:t xml:space="preserve">5.3  </w:t>
      </w:r>
      <w:r>
        <w:rPr>
          <w:rFonts w:hint="eastAsia" w:cs="Times New Roman"/>
          <w:b/>
          <w:bCs/>
          <w:kern w:val="0"/>
          <w:sz w:val="24"/>
          <w:szCs w:val="24"/>
        </w:rPr>
        <w:t>掺合料</w:t>
      </w:r>
      <w:bookmarkEnd w:id="36"/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ind w:firstLine="480"/>
        <w:rPr>
          <w:rFonts w:cs="Times New Roman"/>
          <w:kern w:val="0"/>
          <w:sz w:val="24"/>
          <w:szCs w:val="24"/>
        </w:rPr>
      </w:pPr>
      <w:r>
        <w:rPr>
          <w:rFonts w:cs="Times New Roman"/>
          <w:kern w:val="0"/>
          <w:sz w:val="24"/>
          <w:szCs w:val="24"/>
        </w:rPr>
        <w:t>粉煤灰、粒化高炉矿渣粉、硅灰应分别符合GB/T 1596、GB/T 18046、GB/T 27690的规定，其他矿物掺合料应符合相关标准的要求。</w:t>
      </w:r>
    </w:p>
    <w:p>
      <w:pPr>
        <w:widowControl/>
        <w:numPr>
          <w:ilvl w:val="1"/>
          <w:numId w:val="0"/>
        </w:numPr>
        <w:spacing w:before="156" w:beforeLines="50" w:after="156" w:afterLines="50" w:line="240" w:lineRule="auto"/>
        <w:ind w:left="1680" w:hanging="1680"/>
        <w:jc w:val="left"/>
        <w:outlineLvl w:val="1"/>
        <w:rPr>
          <w:rFonts w:cs="Times New Roman"/>
          <w:b/>
          <w:bCs/>
          <w:kern w:val="0"/>
          <w:sz w:val="24"/>
          <w:szCs w:val="24"/>
        </w:rPr>
      </w:pPr>
      <w:bookmarkStart w:id="37" w:name="_Toc164066123"/>
      <w:r>
        <w:rPr>
          <w:rFonts w:cs="Times New Roman"/>
          <w:b/>
          <w:bCs/>
          <w:kern w:val="0"/>
          <w:sz w:val="24"/>
          <w:szCs w:val="24"/>
        </w:rPr>
        <w:t xml:space="preserve">5.4  </w:t>
      </w:r>
      <w:r>
        <w:rPr>
          <w:rFonts w:hint="eastAsia" w:cs="Times New Roman"/>
          <w:b/>
          <w:bCs/>
          <w:kern w:val="0"/>
          <w:sz w:val="24"/>
          <w:szCs w:val="24"/>
        </w:rPr>
        <w:t>外加剂</w:t>
      </w:r>
      <w:bookmarkEnd w:id="37"/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ind w:firstLine="480"/>
        <w:rPr>
          <w:rFonts w:cs="Times New Roman"/>
          <w:kern w:val="0"/>
          <w:sz w:val="24"/>
          <w:szCs w:val="24"/>
        </w:rPr>
      </w:pPr>
      <w:r>
        <w:rPr>
          <w:rFonts w:cs="Times New Roman"/>
          <w:kern w:val="0"/>
          <w:sz w:val="24"/>
          <w:szCs w:val="24"/>
        </w:rPr>
        <w:t>外加剂应符合GB/T 8076的规定，膨胀剂应符合GB/T 23439的规定，其他外加剂应符合相关标准的要求。</w:t>
      </w:r>
    </w:p>
    <w:p>
      <w:pPr>
        <w:widowControl/>
        <w:numPr>
          <w:ilvl w:val="1"/>
          <w:numId w:val="0"/>
        </w:numPr>
        <w:spacing w:before="156" w:beforeLines="50" w:after="156" w:afterLines="50" w:line="240" w:lineRule="auto"/>
        <w:ind w:left="1680" w:hanging="1680"/>
        <w:jc w:val="left"/>
        <w:outlineLvl w:val="1"/>
        <w:rPr>
          <w:rFonts w:cs="Times New Roman"/>
          <w:b/>
          <w:bCs/>
          <w:kern w:val="0"/>
          <w:sz w:val="24"/>
          <w:szCs w:val="24"/>
        </w:rPr>
      </w:pPr>
      <w:bookmarkStart w:id="38" w:name="_Toc164066124"/>
      <w:r>
        <w:rPr>
          <w:rFonts w:cs="Times New Roman"/>
          <w:b/>
          <w:bCs/>
          <w:kern w:val="0"/>
          <w:sz w:val="24"/>
          <w:szCs w:val="24"/>
        </w:rPr>
        <w:t xml:space="preserve">5.5  </w:t>
      </w:r>
      <w:r>
        <w:rPr>
          <w:rFonts w:hint="eastAsia" w:cs="Times New Roman"/>
          <w:b/>
          <w:bCs/>
          <w:kern w:val="0"/>
          <w:sz w:val="24"/>
          <w:szCs w:val="24"/>
        </w:rPr>
        <w:t>其他材料</w:t>
      </w:r>
      <w:bookmarkEnd w:id="38"/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ind w:firstLine="480"/>
        <w:rPr>
          <w:rFonts w:cs="Times New Roman"/>
          <w:kern w:val="0"/>
          <w:sz w:val="24"/>
          <w:szCs w:val="24"/>
        </w:rPr>
      </w:pPr>
      <w:r>
        <w:rPr>
          <w:rFonts w:cs="Times New Roman"/>
          <w:kern w:val="0"/>
          <w:sz w:val="24"/>
          <w:szCs w:val="24"/>
        </w:rPr>
        <w:t>设计配方规定的其他材料均应符合现行相关标准的规定。</w:t>
      </w:r>
    </w:p>
    <w:p>
      <w:pPr>
        <w:widowControl/>
        <w:spacing w:before="156" w:beforeLines="50" w:after="156" w:afterLines="50" w:line="240" w:lineRule="auto"/>
        <w:ind w:firstLine="0" w:firstLineChars="0"/>
        <w:outlineLvl w:val="0"/>
        <w:rPr>
          <w:rFonts w:cs="Times New Roman"/>
          <w:b/>
          <w:bCs/>
          <w:kern w:val="0"/>
          <w:sz w:val="24"/>
          <w:szCs w:val="24"/>
        </w:rPr>
      </w:pPr>
      <w:bookmarkStart w:id="39" w:name="_Toc164066125"/>
      <w:r>
        <w:rPr>
          <w:rFonts w:cs="Times New Roman"/>
          <w:b/>
          <w:bCs/>
          <w:kern w:val="0"/>
          <w:sz w:val="24"/>
          <w:szCs w:val="24"/>
        </w:rPr>
        <w:t xml:space="preserve">6 </w:t>
      </w:r>
      <w:r>
        <w:rPr>
          <w:rFonts w:hint="eastAsia" w:cs="Times New Roman"/>
          <w:b/>
          <w:bCs/>
          <w:kern w:val="0"/>
          <w:sz w:val="24"/>
          <w:szCs w:val="24"/>
        </w:rPr>
        <w:t>要求</w:t>
      </w:r>
      <w:bookmarkEnd w:id="33"/>
      <w:bookmarkEnd w:id="39"/>
    </w:p>
    <w:p>
      <w:pPr>
        <w:widowControl/>
        <w:numPr>
          <w:ilvl w:val="1"/>
          <w:numId w:val="0"/>
        </w:numPr>
        <w:spacing w:before="156" w:beforeLines="50" w:after="156" w:afterLines="50" w:line="240" w:lineRule="auto"/>
        <w:ind w:left="1680" w:hanging="1680"/>
        <w:jc w:val="left"/>
        <w:outlineLvl w:val="1"/>
        <w:rPr>
          <w:rFonts w:cs="Times New Roman"/>
          <w:b/>
          <w:bCs/>
          <w:kern w:val="0"/>
          <w:sz w:val="24"/>
          <w:szCs w:val="24"/>
        </w:rPr>
      </w:pPr>
      <w:bookmarkStart w:id="40" w:name="_Toc164066126"/>
      <w:bookmarkStart w:id="41" w:name="_Hlk14377579"/>
      <w:r>
        <w:rPr>
          <w:rFonts w:cs="Times New Roman"/>
          <w:b/>
          <w:bCs/>
          <w:kern w:val="0"/>
          <w:sz w:val="24"/>
          <w:szCs w:val="24"/>
        </w:rPr>
        <w:t xml:space="preserve">6.1 </w:t>
      </w:r>
      <w:r>
        <w:rPr>
          <w:rFonts w:hint="eastAsia" w:cs="Times New Roman"/>
          <w:b/>
          <w:bCs/>
          <w:kern w:val="0"/>
          <w:sz w:val="24"/>
          <w:szCs w:val="24"/>
        </w:rPr>
        <w:t>匀质性</w:t>
      </w:r>
      <w:bookmarkEnd w:id="40"/>
    </w:p>
    <w:bookmarkEnd w:id="41"/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ind w:firstLine="0" w:firstLineChars="0"/>
        <w:rPr>
          <w:rFonts w:cs="Times New Roman"/>
          <w:kern w:val="0"/>
          <w:sz w:val="24"/>
          <w:szCs w:val="24"/>
        </w:rPr>
      </w:pPr>
      <w:r>
        <w:rPr>
          <w:rFonts w:cs="Times New Roman"/>
          <w:b/>
          <w:bCs/>
          <w:kern w:val="0"/>
          <w:sz w:val="24"/>
          <w:szCs w:val="24"/>
        </w:rPr>
        <w:t>6.1.1</w:t>
      </w:r>
      <w:r>
        <w:rPr>
          <w:rFonts w:cs="Times New Roman"/>
          <w:kern w:val="0"/>
          <w:sz w:val="24"/>
          <w:szCs w:val="24"/>
        </w:rPr>
        <w:t xml:space="preserve"> </w:t>
      </w:r>
      <w:r>
        <w:rPr>
          <w:rFonts w:hint="eastAsia" w:cs="Times New Roman"/>
          <w:kern w:val="0"/>
          <w:sz w:val="24"/>
          <w:szCs w:val="24"/>
        </w:rPr>
        <w:t>外观，座浆料应为均匀、无杂质、无结块的干混料。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ind w:firstLine="0" w:firstLineChars="0"/>
        <w:rPr>
          <w:rFonts w:cs="Times New Roman"/>
          <w:kern w:val="0"/>
          <w:sz w:val="24"/>
          <w:szCs w:val="24"/>
        </w:rPr>
      </w:pPr>
      <w:r>
        <w:rPr>
          <w:rFonts w:cs="Times New Roman"/>
          <w:b/>
          <w:bCs/>
          <w:kern w:val="0"/>
          <w:sz w:val="24"/>
          <w:szCs w:val="24"/>
        </w:rPr>
        <w:t>6.1.2</w:t>
      </w:r>
      <w:r>
        <w:rPr>
          <w:rFonts w:cs="Times New Roman"/>
          <w:kern w:val="0"/>
          <w:sz w:val="24"/>
          <w:szCs w:val="24"/>
        </w:rPr>
        <w:t xml:space="preserve"> </w:t>
      </w:r>
      <w:r>
        <w:rPr>
          <w:rFonts w:hint="eastAsia" w:cs="Times New Roman"/>
          <w:kern w:val="0"/>
          <w:sz w:val="24"/>
          <w:szCs w:val="24"/>
        </w:rPr>
        <w:t>其它匀质性指标应符合表</w:t>
      </w:r>
      <w:r>
        <w:rPr>
          <w:rFonts w:cs="Times New Roman"/>
          <w:kern w:val="0"/>
          <w:sz w:val="24"/>
          <w:szCs w:val="24"/>
        </w:rPr>
        <w:t>1</w:t>
      </w:r>
      <w:r>
        <w:rPr>
          <w:rFonts w:hint="eastAsia" w:cs="Times New Roman"/>
          <w:kern w:val="0"/>
          <w:sz w:val="24"/>
          <w:szCs w:val="24"/>
        </w:rPr>
        <w:t>的规定。</w:t>
      </w:r>
    </w:p>
    <w:p>
      <w:pPr>
        <w:widowControl/>
        <w:shd w:val="clear" w:color="auto" w:fill="FFFFFF"/>
        <w:spacing w:line="240" w:lineRule="auto"/>
        <w:ind w:firstLine="0" w:firstLineChars="0"/>
        <w:jc w:val="center"/>
        <w:rPr>
          <w:rFonts w:cs="Times New Roman"/>
          <w:kern w:val="0"/>
          <w:sz w:val="24"/>
          <w:szCs w:val="24"/>
        </w:rPr>
      </w:pPr>
      <w:r>
        <w:rPr>
          <w:rFonts w:hint="eastAsia" w:cs="Times New Roman"/>
          <w:kern w:val="0"/>
          <w:szCs w:val="20"/>
        </w:rPr>
        <w:t>表</w:t>
      </w:r>
      <w:r>
        <w:rPr>
          <w:rFonts w:cs="Times New Roman"/>
          <w:kern w:val="0"/>
          <w:szCs w:val="20"/>
        </w:rPr>
        <w:t>1</w:t>
      </w:r>
      <w:r>
        <w:rPr>
          <w:rFonts w:hint="eastAsia" w:cs="Times New Roman"/>
          <w:kern w:val="0"/>
          <w:szCs w:val="20"/>
        </w:rPr>
        <w:t>座浆料匀质性指标</w:t>
      </w:r>
    </w:p>
    <w:tbl>
      <w:tblPr>
        <w:tblStyle w:val="1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14"/>
        <w:gridCol w:w="3115"/>
        <w:gridCol w:w="31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cs="Times New Roman"/>
                <w:kern w:val="0"/>
                <w:szCs w:val="21"/>
                <w:lang w:eastAsia="en-US"/>
              </w:rPr>
            </w:pPr>
            <w:r>
              <w:rPr>
                <w:rFonts w:hint="eastAsia" w:cs="Times New Roman"/>
                <w:kern w:val="0"/>
                <w:szCs w:val="21"/>
                <w:lang w:eastAsia="en-US"/>
              </w:rPr>
              <w:t>序号</w:t>
            </w:r>
          </w:p>
        </w:tc>
        <w:tc>
          <w:tcPr>
            <w:tcW w:w="3115" w:type="dxa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cs="Times New Roman"/>
                <w:kern w:val="0"/>
                <w:szCs w:val="21"/>
                <w:lang w:eastAsia="en-US"/>
              </w:rPr>
            </w:pPr>
            <w:r>
              <w:rPr>
                <w:rFonts w:hint="eastAsia" w:cs="Times New Roman"/>
                <w:kern w:val="0"/>
                <w:szCs w:val="21"/>
                <w:lang w:eastAsia="en-US"/>
              </w:rPr>
              <w:t>检测项目</w:t>
            </w:r>
          </w:p>
        </w:tc>
        <w:tc>
          <w:tcPr>
            <w:tcW w:w="3115" w:type="dxa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cs="Times New Roman"/>
                <w:kern w:val="0"/>
                <w:szCs w:val="21"/>
                <w:lang w:eastAsia="en-US"/>
              </w:rPr>
            </w:pPr>
            <w:r>
              <w:rPr>
                <w:rFonts w:hint="eastAsia" w:cs="Times New Roman"/>
                <w:kern w:val="0"/>
                <w:szCs w:val="21"/>
                <w:lang w:eastAsia="en-US"/>
              </w:rPr>
              <w:t>性能指标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cs="Times New Roman"/>
                <w:kern w:val="0"/>
                <w:szCs w:val="21"/>
              </w:rPr>
            </w:pPr>
            <w:r>
              <w:rPr>
                <w:rFonts w:hint="eastAsia" w:cs="Times New Roman"/>
                <w:kern w:val="0"/>
                <w:szCs w:val="21"/>
              </w:rPr>
              <w:t>1</w:t>
            </w:r>
          </w:p>
        </w:tc>
        <w:tc>
          <w:tcPr>
            <w:tcW w:w="3115" w:type="dxa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cs="Times New Roman"/>
                <w:kern w:val="0"/>
                <w:szCs w:val="21"/>
              </w:rPr>
            </w:pPr>
            <w:r>
              <w:rPr>
                <w:rFonts w:hint="eastAsia" w:cs="Times New Roman"/>
                <w:kern w:val="0"/>
                <w:szCs w:val="21"/>
              </w:rPr>
              <w:t>含水率/%</w:t>
            </w:r>
          </w:p>
        </w:tc>
        <w:tc>
          <w:tcPr>
            <w:tcW w:w="3115" w:type="dxa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cs="Times New Roman"/>
                <w:kern w:val="0"/>
                <w:szCs w:val="21"/>
              </w:rPr>
            </w:pPr>
            <w:r>
              <w:rPr>
                <w:rFonts w:cs="Times New Roman"/>
                <w:kern w:val="0"/>
                <w:szCs w:val="21"/>
              </w:rPr>
              <w:t>≤2.0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cs="Times New Roman"/>
                <w:kern w:val="0"/>
                <w:szCs w:val="21"/>
              </w:rPr>
            </w:pPr>
            <w:r>
              <w:rPr>
                <w:rFonts w:hint="eastAsia" w:cs="Times New Roman"/>
                <w:kern w:val="0"/>
                <w:szCs w:val="21"/>
              </w:rPr>
              <w:t>2</w:t>
            </w:r>
          </w:p>
        </w:tc>
        <w:tc>
          <w:tcPr>
            <w:tcW w:w="3115" w:type="dxa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cs="Times New Roman"/>
                <w:kern w:val="0"/>
                <w:szCs w:val="21"/>
              </w:rPr>
            </w:pPr>
            <w:r>
              <w:rPr>
                <w:rFonts w:hint="eastAsia" w:cs="Times New Roman"/>
                <w:kern w:val="0"/>
                <w:szCs w:val="21"/>
              </w:rPr>
              <w:t>细度（</w:t>
            </w:r>
            <w:r>
              <w:rPr>
                <w:rFonts w:cs="Times New Roman"/>
                <w:kern w:val="0"/>
                <w:szCs w:val="21"/>
              </w:rPr>
              <w:t>4.75</w:t>
            </w:r>
            <w:r>
              <w:rPr>
                <w:rFonts w:hint="eastAsia" w:cs="Times New Roman"/>
                <w:kern w:val="0"/>
                <w:szCs w:val="21"/>
              </w:rPr>
              <w:t>mm筛筛余）/%</w:t>
            </w:r>
          </w:p>
        </w:tc>
        <w:tc>
          <w:tcPr>
            <w:tcW w:w="3115" w:type="dxa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cs="Times New Roman"/>
                <w:kern w:val="0"/>
                <w:szCs w:val="21"/>
              </w:rPr>
            </w:pPr>
            <w:r>
              <w:rPr>
                <w:rFonts w:cs="Times New Roman"/>
                <w:kern w:val="0"/>
                <w:szCs w:val="21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4" w:type="dxa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cs="Times New Roman"/>
                <w:kern w:val="0"/>
                <w:szCs w:val="21"/>
              </w:rPr>
            </w:pPr>
            <w:r>
              <w:rPr>
                <w:rFonts w:hint="eastAsia" w:cs="Times New Roman"/>
                <w:kern w:val="0"/>
                <w:szCs w:val="21"/>
              </w:rPr>
              <w:t>3</w:t>
            </w:r>
          </w:p>
        </w:tc>
        <w:tc>
          <w:tcPr>
            <w:tcW w:w="3115" w:type="dxa"/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cs="Times New Roman"/>
                <w:kern w:val="0"/>
                <w:szCs w:val="21"/>
              </w:rPr>
            </w:pPr>
            <w:r>
              <w:rPr>
                <w:rFonts w:cs="Times New Roman"/>
                <w:kern w:val="0"/>
                <w:szCs w:val="21"/>
              </w:rPr>
              <w:t>氯离子含量</w:t>
            </w:r>
            <w:r>
              <w:rPr>
                <w:rFonts w:cs="Times New Roman"/>
                <w:szCs w:val="21"/>
              </w:rPr>
              <w:t>/%</w:t>
            </w:r>
          </w:p>
        </w:tc>
        <w:tc>
          <w:tcPr>
            <w:tcW w:w="3115" w:type="dxa"/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cs="Times New Roman"/>
                <w:kern w:val="0"/>
                <w:szCs w:val="21"/>
              </w:rPr>
            </w:pPr>
            <w:r>
              <w:rPr>
                <w:rFonts w:cs="Times New Roman"/>
                <w:kern w:val="0"/>
                <w:szCs w:val="21"/>
                <w:lang w:eastAsia="en-US"/>
              </w:rPr>
              <w:t>≤0.06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344" w:type="dxa"/>
            <w:gridSpan w:val="3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left"/>
              <w:rPr>
                <w:rFonts w:cs="Times New Roman"/>
                <w:kern w:val="0"/>
                <w:szCs w:val="21"/>
              </w:rPr>
            </w:pPr>
            <w:r>
              <w:rPr>
                <w:rFonts w:hint="eastAsia" w:cs="Times New Roman"/>
                <w:kern w:val="0"/>
                <w:szCs w:val="21"/>
              </w:rPr>
              <w:t>注</w:t>
            </w:r>
            <w:r>
              <w:rPr>
                <w:rFonts w:cs="Times New Roman"/>
                <w:kern w:val="0"/>
                <w:szCs w:val="21"/>
              </w:rPr>
              <w:t>1</w:t>
            </w:r>
            <w:r>
              <w:rPr>
                <w:rFonts w:hint="eastAsia" w:cs="Times New Roman"/>
                <w:kern w:val="0"/>
                <w:szCs w:val="21"/>
              </w:rPr>
              <w:t>：氯离子含量以座浆料总量为基准。</w:t>
            </w:r>
          </w:p>
        </w:tc>
      </w:tr>
    </w:tbl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ind w:firstLine="0" w:firstLineChars="0"/>
        <w:rPr>
          <w:rFonts w:ascii="宋体" w:cs="Times New Roman"/>
          <w:kern w:val="0"/>
          <w:sz w:val="24"/>
          <w:szCs w:val="24"/>
        </w:rPr>
      </w:pPr>
      <w:r>
        <w:rPr>
          <w:rFonts w:cs="Times New Roman"/>
          <w:kern w:val="0"/>
          <w:sz w:val="24"/>
          <w:szCs w:val="24"/>
        </w:rPr>
        <w:t xml:space="preserve"> </w:t>
      </w:r>
    </w:p>
    <w:p>
      <w:pPr>
        <w:widowControl/>
        <w:numPr>
          <w:ilvl w:val="1"/>
          <w:numId w:val="0"/>
        </w:numPr>
        <w:spacing w:line="240" w:lineRule="auto"/>
        <w:ind w:left="1678" w:hanging="1678"/>
        <w:jc w:val="left"/>
        <w:outlineLvl w:val="1"/>
        <w:rPr>
          <w:rFonts w:cs="Times New Roman"/>
          <w:b/>
          <w:bCs/>
          <w:kern w:val="0"/>
          <w:sz w:val="24"/>
          <w:szCs w:val="24"/>
        </w:rPr>
      </w:pPr>
      <w:bookmarkStart w:id="42" w:name="_Toc164066127"/>
      <w:r>
        <w:rPr>
          <w:rFonts w:cs="Times New Roman"/>
          <w:b/>
          <w:bCs/>
          <w:kern w:val="0"/>
          <w:sz w:val="24"/>
          <w:szCs w:val="24"/>
        </w:rPr>
        <w:t xml:space="preserve">6.2 </w:t>
      </w:r>
      <w:r>
        <w:rPr>
          <w:rFonts w:hint="eastAsia" w:cs="Times New Roman"/>
          <w:b/>
          <w:bCs/>
          <w:kern w:val="0"/>
          <w:sz w:val="24"/>
          <w:szCs w:val="24"/>
        </w:rPr>
        <w:t>座浆料浆体性能</w:t>
      </w:r>
      <w:bookmarkEnd w:id="42"/>
    </w:p>
    <w:p>
      <w:pPr>
        <w:widowControl/>
        <w:numPr>
          <w:ilvl w:val="1"/>
          <w:numId w:val="0"/>
        </w:numPr>
        <w:spacing w:line="360" w:lineRule="auto"/>
        <w:ind w:left="210" w:leftChars="100" w:firstLine="480" w:firstLineChars="200"/>
        <w:jc w:val="left"/>
        <w:outlineLvl w:val="1"/>
        <w:rPr>
          <w:rFonts w:cs="Times New Roman"/>
          <w:color w:val="000000"/>
          <w:kern w:val="0"/>
          <w:sz w:val="24"/>
          <w:szCs w:val="24"/>
        </w:rPr>
      </w:pPr>
      <w:bookmarkStart w:id="43" w:name="_Toc164066128"/>
      <w:r>
        <w:rPr>
          <w:rFonts w:hint="eastAsia" w:cs="Times New Roman"/>
          <w:color w:val="000000"/>
          <w:kern w:val="0"/>
          <w:sz w:val="24"/>
          <w:szCs w:val="24"/>
        </w:rPr>
        <w:t>座浆料与水按一定比例拌制而成的座浆料浆体的性能应符合表</w:t>
      </w:r>
      <w:r>
        <w:rPr>
          <w:rFonts w:cs="Times New Roman"/>
          <w:color w:val="000000"/>
          <w:kern w:val="0"/>
          <w:sz w:val="24"/>
          <w:szCs w:val="24"/>
        </w:rPr>
        <w:t>2</w:t>
      </w:r>
      <w:r>
        <w:rPr>
          <w:rFonts w:hint="eastAsia" w:cs="Times New Roman"/>
          <w:color w:val="000000"/>
          <w:kern w:val="0"/>
          <w:sz w:val="24"/>
          <w:szCs w:val="24"/>
        </w:rPr>
        <w:t>和表3的规定。</w:t>
      </w:r>
      <w:bookmarkEnd w:id="43"/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ind w:firstLine="0" w:firstLineChars="0"/>
        <w:rPr>
          <w:rFonts w:cs="Times New Roman"/>
          <w:kern w:val="0"/>
          <w:sz w:val="24"/>
          <w:szCs w:val="24"/>
        </w:rPr>
      </w:pPr>
      <w:r>
        <w:rPr>
          <w:rFonts w:eastAsia="黑体" w:cs="Times New Roman"/>
          <w:b/>
          <w:bCs/>
          <w:kern w:val="0"/>
          <w:sz w:val="24"/>
          <w:szCs w:val="24"/>
        </w:rPr>
        <w:t>6.2.1</w:t>
      </w:r>
      <w:r>
        <w:rPr>
          <w:rFonts w:cs="Times New Roman"/>
          <w:b/>
          <w:bCs/>
          <w:kern w:val="0"/>
          <w:sz w:val="24"/>
          <w:szCs w:val="24"/>
        </w:rPr>
        <w:t xml:space="preserve"> </w:t>
      </w:r>
      <w:r>
        <w:rPr>
          <w:rFonts w:hint="eastAsia" w:cs="Times New Roman"/>
          <w:kern w:val="0"/>
          <w:sz w:val="24"/>
          <w:szCs w:val="24"/>
        </w:rPr>
        <w:t>常温型、高温型座浆料浆体的性能指标应符合表</w:t>
      </w:r>
      <w:r>
        <w:rPr>
          <w:rFonts w:cs="Times New Roman"/>
          <w:kern w:val="0"/>
          <w:sz w:val="24"/>
          <w:szCs w:val="24"/>
        </w:rPr>
        <w:t>2</w:t>
      </w:r>
      <w:r>
        <w:rPr>
          <w:rFonts w:hint="eastAsia" w:cs="Times New Roman"/>
          <w:kern w:val="0"/>
          <w:sz w:val="24"/>
          <w:szCs w:val="24"/>
        </w:rPr>
        <w:t>的规定。</w:t>
      </w:r>
    </w:p>
    <w:p>
      <w:pPr>
        <w:widowControl/>
        <w:shd w:val="clear" w:color="auto" w:fill="FFFFFF"/>
        <w:spacing w:line="240" w:lineRule="auto"/>
        <w:ind w:firstLine="0" w:firstLineChars="0"/>
        <w:jc w:val="center"/>
        <w:rPr>
          <w:rFonts w:cs="Times New Roman"/>
          <w:kern w:val="0"/>
          <w:szCs w:val="20"/>
        </w:rPr>
      </w:pPr>
      <w:r>
        <w:rPr>
          <w:rFonts w:hint="eastAsia" w:cs="Times New Roman"/>
          <w:kern w:val="0"/>
          <w:szCs w:val="20"/>
        </w:rPr>
        <w:t>表</w:t>
      </w:r>
      <w:r>
        <w:rPr>
          <w:rFonts w:cs="Times New Roman"/>
          <w:kern w:val="0"/>
          <w:szCs w:val="20"/>
        </w:rPr>
        <w:t xml:space="preserve">2 </w:t>
      </w:r>
      <w:r>
        <w:rPr>
          <w:rFonts w:hint="eastAsia" w:cs="Times New Roman"/>
          <w:kern w:val="0"/>
          <w:szCs w:val="20"/>
        </w:rPr>
        <w:t>常温型、高温型座浆料浆体性能</w:t>
      </w:r>
    </w:p>
    <w:tbl>
      <w:tblPr>
        <w:tblStyle w:val="16"/>
        <w:tblW w:w="8078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21"/>
        <w:gridCol w:w="1842"/>
        <w:gridCol w:w="1418"/>
        <w:gridCol w:w="1417"/>
        <w:gridCol w:w="1280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  <w:jc w:val="center"/>
        </w:trPr>
        <w:tc>
          <w:tcPr>
            <w:tcW w:w="3963" w:type="dxa"/>
            <w:gridSpan w:val="2"/>
            <w:vMerge w:val="restart"/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cs="Times New Roman"/>
                <w:kern w:val="0"/>
                <w:szCs w:val="21"/>
                <w:lang w:eastAsia="en-US"/>
              </w:rPr>
            </w:pPr>
            <w:r>
              <w:rPr>
                <w:rFonts w:cs="Times New Roman"/>
                <w:kern w:val="0"/>
                <w:szCs w:val="21"/>
                <w:lang w:eastAsia="en-US"/>
              </w:rPr>
              <w:t>检测项目</w:t>
            </w:r>
          </w:p>
        </w:tc>
        <w:tc>
          <w:tcPr>
            <w:tcW w:w="4115" w:type="dxa"/>
            <w:gridSpan w:val="3"/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cs="Times New Roman"/>
                <w:kern w:val="0"/>
                <w:szCs w:val="21"/>
                <w:lang w:eastAsia="en-US"/>
              </w:rPr>
            </w:pPr>
            <w:r>
              <w:rPr>
                <w:rFonts w:cs="Times New Roman"/>
                <w:kern w:val="0"/>
                <w:szCs w:val="21"/>
                <w:lang w:eastAsia="en-US"/>
              </w:rPr>
              <w:t>性</w:t>
            </w:r>
            <w:r>
              <w:rPr>
                <w:rFonts w:cs="Times New Roman"/>
                <w:kern w:val="0"/>
                <w:szCs w:val="21"/>
              </w:rPr>
              <w:t>能指标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  <w:jc w:val="center"/>
        </w:trPr>
        <w:tc>
          <w:tcPr>
            <w:tcW w:w="3963" w:type="dxa"/>
            <w:gridSpan w:val="2"/>
            <w:vMerge w:val="continue"/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cs="Times New Roman"/>
                <w:kern w:val="0"/>
                <w:szCs w:val="21"/>
                <w:lang w:eastAsia="en-US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cs="Times New Roman"/>
                <w:kern w:val="0"/>
                <w:szCs w:val="21"/>
              </w:rPr>
            </w:pPr>
            <w:r>
              <w:rPr>
                <w:rFonts w:cs="Times New Roman"/>
                <w:kern w:val="0"/>
                <w:szCs w:val="21"/>
              </w:rPr>
              <w:t>CBM</w:t>
            </w:r>
            <w:r>
              <w:rPr>
                <w:rFonts w:hint="eastAsia" w:cs="Times New Roman"/>
                <w:kern w:val="0"/>
                <w:szCs w:val="21"/>
              </w:rPr>
              <w:t>80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cs="Times New Roman"/>
                <w:kern w:val="0"/>
                <w:szCs w:val="21"/>
              </w:rPr>
            </w:pPr>
            <w:r>
              <w:rPr>
                <w:rFonts w:cs="Times New Roman"/>
                <w:kern w:val="0"/>
                <w:szCs w:val="21"/>
              </w:rPr>
              <w:t>CBM10</w:t>
            </w:r>
            <w:r>
              <w:rPr>
                <w:rFonts w:hint="eastAsia" w:cs="Times New Roman"/>
                <w:kern w:val="0"/>
                <w:szCs w:val="21"/>
              </w:rPr>
              <w:t>0</w:t>
            </w:r>
          </w:p>
        </w:tc>
        <w:tc>
          <w:tcPr>
            <w:tcW w:w="1280" w:type="dxa"/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cs="Times New Roman"/>
                <w:kern w:val="0"/>
                <w:szCs w:val="21"/>
              </w:rPr>
            </w:pPr>
            <w:r>
              <w:rPr>
                <w:rFonts w:cs="Times New Roman"/>
                <w:kern w:val="0"/>
                <w:szCs w:val="21"/>
              </w:rPr>
              <w:t>CBM120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  <w:jc w:val="center"/>
        </w:trPr>
        <w:tc>
          <w:tcPr>
            <w:tcW w:w="2121" w:type="dxa"/>
            <w:vMerge w:val="restart"/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cs="Times New Roman"/>
                <w:szCs w:val="21"/>
              </w:rPr>
            </w:pPr>
            <w:r>
              <w:rPr>
                <w:rFonts w:hint="eastAsia" w:cs="Times New Roman"/>
                <w:color w:val="000000"/>
                <w:szCs w:val="21"/>
              </w:rPr>
              <w:t>流动度</w:t>
            </w:r>
            <w:r>
              <w:rPr>
                <w:rFonts w:cs="Times New Roman"/>
                <w:szCs w:val="21"/>
              </w:rPr>
              <w:t>/mm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初始</w:t>
            </w:r>
          </w:p>
        </w:tc>
        <w:tc>
          <w:tcPr>
            <w:tcW w:w="4115" w:type="dxa"/>
            <w:gridSpan w:val="3"/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cs="Times New Roman"/>
                <w:kern w:val="0"/>
                <w:szCs w:val="21"/>
              </w:rPr>
            </w:pPr>
            <w:r>
              <w:rPr>
                <w:rFonts w:cs="Times New Roman"/>
                <w:kern w:val="0"/>
                <w:szCs w:val="21"/>
              </w:rPr>
              <w:t>150-200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  <w:jc w:val="center"/>
        </w:trPr>
        <w:tc>
          <w:tcPr>
            <w:tcW w:w="2121" w:type="dxa"/>
            <w:vMerge w:val="continue"/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60min</w:t>
            </w:r>
          </w:p>
        </w:tc>
        <w:tc>
          <w:tcPr>
            <w:tcW w:w="4115" w:type="dxa"/>
            <w:gridSpan w:val="3"/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hint="default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cs="Times New Roman"/>
                <w:kern w:val="0"/>
                <w:szCs w:val="21"/>
              </w:rPr>
              <w:t>≥</w:t>
            </w:r>
            <w:r>
              <w:rPr>
                <w:rFonts w:hint="eastAsia" w:cs="Times New Roman"/>
                <w:color w:val="auto"/>
                <w:kern w:val="0"/>
                <w:szCs w:val="21"/>
                <w:highlight w:val="none"/>
                <w:lang w:val="en-US" w:eastAsia="zh-CN"/>
              </w:rPr>
              <w:t>130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  <w:jc w:val="center"/>
        </w:trPr>
        <w:tc>
          <w:tcPr>
            <w:tcW w:w="2121" w:type="dxa"/>
            <w:vMerge w:val="restart"/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cs="Times New Roman"/>
                <w:kern w:val="0"/>
                <w:szCs w:val="21"/>
                <w:lang w:eastAsia="en-US"/>
              </w:rPr>
            </w:pPr>
          </w:p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cs="Times New Roman"/>
                <w:kern w:val="0"/>
                <w:szCs w:val="21"/>
                <w:lang w:eastAsia="en-US"/>
              </w:rPr>
            </w:pPr>
            <w:r>
              <w:rPr>
                <w:rFonts w:cs="Times New Roman"/>
                <w:kern w:val="0"/>
                <w:szCs w:val="21"/>
                <w:lang w:eastAsia="en-US"/>
              </w:rPr>
              <w:t>抗压强度/MPa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cs="Times New Roman"/>
                <w:kern w:val="0"/>
                <w:szCs w:val="21"/>
                <w:lang w:eastAsia="en-US"/>
              </w:rPr>
            </w:pPr>
            <w:r>
              <w:rPr>
                <w:rFonts w:cs="Times New Roman"/>
                <w:kern w:val="0"/>
                <w:szCs w:val="21"/>
                <w:lang w:eastAsia="en-US"/>
              </w:rPr>
              <w:t>1d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cs="Times New Roman"/>
                <w:kern w:val="0"/>
                <w:szCs w:val="21"/>
                <w:lang w:eastAsia="en-US"/>
              </w:rPr>
            </w:pPr>
            <w:r>
              <w:rPr>
                <w:rFonts w:cs="Times New Roman"/>
                <w:kern w:val="0"/>
                <w:szCs w:val="21"/>
                <w:lang w:eastAsia="en-US"/>
              </w:rPr>
              <w:t>≥35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cs="Times New Roman"/>
                <w:kern w:val="0"/>
                <w:szCs w:val="21"/>
              </w:rPr>
            </w:pPr>
            <w:r>
              <w:rPr>
                <w:rFonts w:cs="Times New Roman"/>
                <w:kern w:val="0"/>
                <w:szCs w:val="21"/>
              </w:rPr>
              <w:t>≥35</w:t>
            </w:r>
          </w:p>
        </w:tc>
        <w:tc>
          <w:tcPr>
            <w:tcW w:w="1280" w:type="dxa"/>
            <w:shd w:val="clear" w:color="auto" w:fill="auto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cs="Times New Roman"/>
                <w:kern w:val="0"/>
                <w:szCs w:val="21"/>
              </w:rPr>
            </w:pPr>
            <w:r>
              <w:rPr>
                <w:rFonts w:hint="eastAsia" w:cs="Times New Roman"/>
                <w:szCs w:val="24"/>
              </w:rPr>
              <w:t>≥</w:t>
            </w:r>
            <w:r>
              <w:rPr>
                <w:rFonts w:cs="Times New Roman"/>
                <w:szCs w:val="24"/>
              </w:rPr>
              <w:t>35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  <w:jc w:val="center"/>
        </w:trPr>
        <w:tc>
          <w:tcPr>
            <w:tcW w:w="2121" w:type="dxa"/>
            <w:vMerge w:val="continue"/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cs="Times New Roman"/>
                <w:kern w:val="0"/>
                <w:szCs w:val="21"/>
                <w:lang w:eastAsia="en-US"/>
              </w:rPr>
            </w:pPr>
            <w:r>
              <w:rPr>
                <w:rFonts w:cs="Times New Roman"/>
                <w:kern w:val="0"/>
                <w:szCs w:val="21"/>
                <w:lang w:eastAsia="en-US"/>
              </w:rPr>
              <w:t>3d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cs="Times New Roman"/>
                <w:kern w:val="0"/>
                <w:szCs w:val="21"/>
                <w:lang w:eastAsia="en-US"/>
              </w:rPr>
            </w:pPr>
            <w:r>
              <w:rPr>
                <w:rFonts w:cs="Times New Roman"/>
                <w:kern w:val="0"/>
                <w:szCs w:val="21"/>
                <w:lang w:eastAsia="en-US"/>
              </w:rPr>
              <w:t>≥60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cs="Times New Roman"/>
                <w:kern w:val="0"/>
                <w:szCs w:val="21"/>
              </w:rPr>
            </w:pPr>
            <w:r>
              <w:rPr>
                <w:rFonts w:cs="Times New Roman"/>
                <w:kern w:val="0"/>
                <w:szCs w:val="21"/>
              </w:rPr>
              <w:t>≥70</w:t>
            </w:r>
          </w:p>
        </w:tc>
        <w:tc>
          <w:tcPr>
            <w:tcW w:w="1280" w:type="dxa"/>
            <w:shd w:val="clear" w:color="auto" w:fill="auto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cs="Times New Roman"/>
                <w:kern w:val="0"/>
                <w:szCs w:val="21"/>
              </w:rPr>
            </w:pPr>
            <w:r>
              <w:rPr>
                <w:rFonts w:hint="eastAsia" w:cs="Times New Roman"/>
                <w:szCs w:val="24"/>
              </w:rPr>
              <w:t>≥</w:t>
            </w:r>
            <w:r>
              <w:rPr>
                <w:rFonts w:cs="Times New Roman"/>
                <w:szCs w:val="24"/>
              </w:rPr>
              <w:t>80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  <w:jc w:val="center"/>
        </w:trPr>
        <w:tc>
          <w:tcPr>
            <w:tcW w:w="2121" w:type="dxa"/>
            <w:vMerge w:val="continue"/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cs="Times New Roman"/>
                <w:kern w:val="0"/>
                <w:szCs w:val="21"/>
                <w:lang w:eastAsia="en-US"/>
              </w:rPr>
            </w:pPr>
            <w:r>
              <w:rPr>
                <w:rFonts w:cs="Times New Roman"/>
                <w:kern w:val="0"/>
                <w:szCs w:val="21"/>
                <w:lang w:eastAsia="en-US"/>
              </w:rPr>
              <w:t>28d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cs="Times New Roman"/>
                <w:kern w:val="0"/>
                <w:szCs w:val="21"/>
                <w:lang w:eastAsia="en-US"/>
              </w:rPr>
            </w:pPr>
            <w:r>
              <w:rPr>
                <w:rFonts w:cs="Times New Roman"/>
                <w:kern w:val="0"/>
                <w:szCs w:val="21"/>
                <w:lang w:eastAsia="en-US"/>
              </w:rPr>
              <w:t>≥80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cs="Times New Roman"/>
                <w:kern w:val="0"/>
                <w:szCs w:val="21"/>
              </w:rPr>
            </w:pPr>
            <w:r>
              <w:rPr>
                <w:rFonts w:cs="Times New Roman"/>
                <w:kern w:val="0"/>
                <w:szCs w:val="21"/>
              </w:rPr>
              <w:t>≥10</w:t>
            </w:r>
            <w:r>
              <w:rPr>
                <w:rFonts w:hint="eastAsia" w:cs="Times New Roman"/>
                <w:kern w:val="0"/>
                <w:szCs w:val="21"/>
              </w:rPr>
              <w:t>0</w:t>
            </w:r>
          </w:p>
        </w:tc>
        <w:tc>
          <w:tcPr>
            <w:tcW w:w="1280" w:type="dxa"/>
            <w:shd w:val="clear" w:color="auto" w:fill="auto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cs="Times New Roman"/>
                <w:kern w:val="0"/>
                <w:szCs w:val="21"/>
              </w:rPr>
            </w:pPr>
            <w:r>
              <w:rPr>
                <w:rFonts w:hint="eastAsia" w:cs="Times New Roman"/>
                <w:szCs w:val="24"/>
              </w:rPr>
              <w:t>≥1</w:t>
            </w:r>
            <w:r>
              <w:rPr>
                <w:rFonts w:cs="Times New Roman"/>
                <w:szCs w:val="24"/>
              </w:rPr>
              <w:t>2</w:t>
            </w:r>
            <w:r>
              <w:rPr>
                <w:rFonts w:hint="eastAsia" w:cs="Times New Roman"/>
                <w:szCs w:val="24"/>
              </w:rPr>
              <w:t>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  <w:jc w:val="center"/>
        </w:trPr>
        <w:tc>
          <w:tcPr>
            <w:tcW w:w="2121" w:type="dxa"/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cs="Times New Roman"/>
                <w:szCs w:val="21"/>
              </w:rPr>
            </w:pPr>
            <w:r>
              <w:rPr>
                <w:rFonts w:hint="eastAsia" w:cs="Times New Roman"/>
                <w:szCs w:val="21"/>
              </w:rPr>
              <w:t>抗折强度</w:t>
            </w:r>
            <w:r>
              <w:rPr>
                <w:rFonts w:cs="Times New Roman"/>
                <w:szCs w:val="21"/>
              </w:rPr>
              <w:t>/MPa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cs="Times New Roman"/>
                <w:kern w:val="0"/>
                <w:szCs w:val="21"/>
              </w:rPr>
            </w:pPr>
            <w:r>
              <w:rPr>
                <w:rFonts w:hint="eastAsia" w:cs="Times New Roman"/>
                <w:kern w:val="0"/>
                <w:szCs w:val="21"/>
              </w:rPr>
              <w:t>28d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cs="Times New Roman"/>
                <w:kern w:val="0"/>
                <w:szCs w:val="21"/>
                <w:lang w:eastAsia="en-US"/>
              </w:rPr>
            </w:pPr>
            <w:r>
              <w:rPr>
                <w:rFonts w:cs="Times New Roman"/>
                <w:kern w:val="0"/>
                <w:szCs w:val="21"/>
                <w:lang w:eastAsia="en-US"/>
              </w:rPr>
              <w:t>≥11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cs="Times New Roman"/>
                <w:kern w:val="0"/>
                <w:szCs w:val="21"/>
              </w:rPr>
            </w:pPr>
            <w:r>
              <w:rPr>
                <w:rFonts w:cs="Times New Roman"/>
                <w:kern w:val="0"/>
                <w:szCs w:val="21"/>
              </w:rPr>
              <w:t>≥12</w:t>
            </w:r>
          </w:p>
        </w:tc>
        <w:tc>
          <w:tcPr>
            <w:tcW w:w="1280" w:type="dxa"/>
            <w:shd w:val="clear" w:color="auto" w:fill="auto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cs="Times New Roman"/>
                <w:kern w:val="0"/>
                <w:szCs w:val="21"/>
              </w:rPr>
            </w:pPr>
            <w:r>
              <w:rPr>
                <w:rFonts w:hint="eastAsia" w:cs="Times New Roman"/>
                <w:szCs w:val="24"/>
              </w:rPr>
              <w:t>≥1</w:t>
            </w:r>
            <w:r>
              <w:rPr>
                <w:rFonts w:cs="Times New Roman"/>
                <w:szCs w:val="24"/>
              </w:rPr>
              <w:t>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  <w:jc w:val="center"/>
        </w:trPr>
        <w:tc>
          <w:tcPr>
            <w:tcW w:w="2121" w:type="dxa"/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cs="Times New Roman"/>
                <w:kern w:val="0"/>
                <w:szCs w:val="21"/>
              </w:rPr>
            </w:pPr>
            <w:r>
              <w:rPr>
                <w:rFonts w:cs="Times New Roman"/>
                <w:kern w:val="0"/>
                <w:szCs w:val="21"/>
              </w:rPr>
              <w:t>竖向膨胀率</w:t>
            </w:r>
            <w:r>
              <w:rPr>
                <w:rFonts w:cs="Times New Roman"/>
                <w:szCs w:val="21"/>
              </w:rPr>
              <w:t>/%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cs="Times New Roman"/>
                <w:kern w:val="0"/>
                <w:szCs w:val="21"/>
                <w:lang w:eastAsia="en-US"/>
              </w:rPr>
            </w:pPr>
            <w:r>
              <w:rPr>
                <w:rFonts w:cs="Times New Roman"/>
                <w:kern w:val="0"/>
                <w:szCs w:val="21"/>
                <w:lang w:eastAsia="en-US"/>
              </w:rPr>
              <w:t>24h</w:t>
            </w:r>
          </w:p>
        </w:tc>
        <w:tc>
          <w:tcPr>
            <w:tcW w:w="4115" w:type="dxa"/>
            <w:gridSpan w:val="3"/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cs="Times New Roman"/>
                <w:kern w:val="0"/>
                <w:szCs w:val="21"/>
                <w:lang w:eastAsia="en-US"/>
              </w:rPr>
            </w:pPr>
            <w:r>
              <w:rPr>
                <w:rFonts w:cs="Times New Roman"/>
                <w:kern w:val="0"/>
                <w:szCs w:val="21"/>
                <w:lang w:eastAsia="en-US"/>
              </w:rPr>
              <w:t>≥0.04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  <w:jc w:val="center"/>
        </w:trPr>
        <w:tc>
          <w:tcPr>
            <w:tcW w:w="2121" w:type="dxa"/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cs="Times New Roman"/>
                <w:kern w:val="0"/>
                <w:szCs w:val="21"/>
                <w:lang w:eastAsia="en-US"/>
              </w:rPr>
            </w:pPr>
            <w:r>
              <w:rPr>
                <w:rFonts w:hint="eastAsia" w:cs="Times New Roman"/>
                <w:kern w:val="0"/>
                <w:szCs w:val="21"/>
              </w:rPr>
              <w:t>自干燥收缩率/%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cs="Times New Roman"/>
                <w:kern w:val="0"/>
                <w:szCs w:val="21"/>
              </w:rPr>
            </w:pPr>
            <w:r>
              <w:rPr>
                <w:rFonts w:hint="eastAsia" w:cs="Times New Roman"/>
                <w:kern w:val="0"/>
                <w:szCs w:val="21"/>
              </w:rPr>
              <w:t>28d</w:t>
            </w:r>
          </w:p>
        </w:tc>
        <w:tc>
          <w:tcPr>
            <w:tcW w:w="4115" w:type="dxa"/>
            <w:gridSpan w:val="3"/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cs="Times New Roman"/>
                <w:kern w:val="0"/>
                <w:szCs w:val="21"/>
              </w:rPr>
            </w:pPr>
            <w:r>
              <w:rPr>
                <w:rFonts w:cs="Times New Roman"/>
                <w:kern w:val="0"/>
                <w:szCs w:val="21"/>
              </w:rPr>
              <w:t>≤0.045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  <w:jc w:val="center"/>
        </w:trPr>
        <w:tc>
          <w:tcPr>
            <w:tcW w:w="3963" w:type="dxa"/>
            <w:gridSpan w:val="2"/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cs="Times New Roman"/>
                <w:kern w:val="0"/>
                <w:szCs w:val="21"/>
              </w:rPr>
            </w:pPr>
            <w:r>
              <w:rPr>
                <w:rFonts w:cs="Times New Roman"/>
                <w:kern w:val="0"/>
                <w:szCs w:val="21"/>
              </w:rPr>
              <w:t>泌水率</w:t>
            </w:r>
            <w:r>
              <w:rPr>
                <w:rFonts w:cs="Times New Roman"/>
                <w:szCs w:val="21"/>
              </w:rPr>
              <w:t>/%</w:t>
            </w:r>
          </w:p>
        </w:tc>
        <w:tc>
          <w:tcPr>
            <w:tcW w:w="4115" w:type="dxa"/>
            <w:gridSpan w:val="3"/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cs="Times New Roman"/>
                <w:kern w:val="0"/>
                <w:szCs w:val="21"/>
              </w:rPr>
            </w:pPr>
            <w:r>
              <w:rPr>
                <w:rFonts w:cs="Times New Roman"/>
                <w:kern w:val="0"/>
                <w:szCs w:val="21"/>
              </w:rPr>
              <w:t>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  <w:jc w:val="center"/>
        </w:trPr>
        <w:tc>
          <w:tcPr>
            <w:tcW w:w="8078" w:type="dxa"/>
            <w:gridSpan w:val="5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240" w:lineRule="auto"/>
              <w:ind w:firstLine="210" w:firstLineChars="100"/>
              <w:rPr>
                <w:rFonts w:cs="Times New Roman"/>
                <w:kern w:val="0"/>
                <w:szCs w:val="21"/>
              </w:rPr>
            </w:pPr>
            <w:r>
              <w:rPr>
                <w:rFonts w:hint="eastAsia" w:cs="Times New Roman"/>
                <w:kern w:val="0"/>
                <w:szCs w:val="21"/>
              </w:rPr>
              <w:t>注1：座浆料初始状态应呈粘稠状、不流淌；</w:t>
            </w:r>
            <w:r>
              <w:rPr>
                <w:rFonts w:cs="Times New Roman"/>
                <w:kern w:val="0"/>
                <w:szCs w:val="21"/>
              </w:rPr>
              <w:t>60</w:t>
            </w:r>
            <w:r>
              <w:rPr>
                <w:rFonts w:hint="eastAsia" w:cs="Times New Roman"/>
                <w:kern w:val="0"/>
                <w:szCs w:val="21"/>
              </w:rPr>
              <w:t>min应具有</w:t>
            </w:r>
            <w:r>
              <w:rPr>
                <w:rFonts w:cs="Times New Roman"/>
                <w:kern w:val="0"/>
                <w:szCs w:val="21"/>
              </w:rPr>
              <w:t>可塑性、可挤压性、触变性</w:t>
            </w:r>
            <w:r>
              <w:rPr>
                <w:rFonts w:hint="eastAsia" w:cs="Times New Roman"/>
                <w:kern w:val="0"/>
                <w:szCs w:val="21"/>
              </w:rPr>
              <w:t>。</w:t>
            </w:r>
          </w:p>
        </w:tc>
      </w:tr>
    </w:tbl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before="156" w:beforeLines="50" w:line="360" w:lineRule="auto"/>
        <w:ind w:firstLine="241" w:firstLineChars="100"/>
        <w:rPr>
          <w:rFonts w:cs="Times New Roman"/>
          <w:kern w:val="0"/>
          <w:szCs w:val="20"/>
        </w:rPr>
      </w:pPr>
      <w:r>
        <w:rPr>
          <w:rFonts w:eastAsia="黑体" w:cs="Times New Roman"/>
          <w:b/>
          <w:bCs/>
          <w:kern w:val="0"/>
          <w:sz w:val="24"/>
          <w:szCs w:val="24"/>
        </w:rPr>
        <w:t>6.2.2</w:t>
      </w:r>
      <w:r>
        <w:rPr>
          <w:rFonts w:eastAsia="黑体" w:cs="Times New Roman"/>
          <w:kern w:val="0"/>
          <w:sz w:val="24"/>
          <w:szCs w:val="24"/>
        </w:rPr>
        <w:t xml:space="preserve"> </w:t>
      </w:r>
      <w:r>
        <w:rPr>
          <w:rFonts w:hint="eastAsia" w:cs="Times New Roman"/>
          <w:kern w:val="0"/>
          <w:sz w:val="24"/>
          <w:szCs w:val="24"/>
        </w:rPr>
        <w:t>低温型、负温型座浆料浆体</w:t>
      </w:r>
      <w:r>
        <w:rPr>
          <w:rFonts w:hint="eastAsia" w:ascii="黑体" w:hAnsi="黑体" w:eastAsia="黑体" w:cs="Times New Roman"/>
          <w:kern w:val="0"/>
          <w:sz w:val="24"/>
          <w:szCs w:val="24"/>
        </w:rPr>
        <w:t>的</w:t>
      </w:r>
      <w:r>
        <w:rPr>
          <w:rFonts w:hint="eastAsia" w:cs="Times New Roman"/>
          <w:kern w:val="0"/>
          <w:sz w:val="24"/>
          <w:szCs w:val="24"/>
        </w:rPr>
        <w:t>性能指标应符合表</w:t>
      </w:r>
      <w:r>
        <w:rPr>
          <w:rFonts w:cs="Times New Roman"/>
          <w:kern w:val="0"/>
          <w:sz w:val="24"/>
          <w:szCs w:val="24"/>
        </w:rPr>
        <w:t>3</w:t>
      </w:r>
      <w:r>
        <w:rPr>
          <w:rFonts w:hint="eastAsia" w:cs="Times New Roman"/>
          <w:kern w:val="0"/>
          <w:sz w:val="24"/>
          <w:szCs w:val="24"/>
        </w:rPr>
        <w:t>的规定。</w:t>
      </w:r>
      <w:bookmarkStart w:id="44" w:name="_Hlk128731541"/>
    </w:p>
    <w:p>
      <w:pPr>
        <w:widowControl/>
        <w:shd w:val="clear" w:color="auto" w:fill="FFFFFF"/>
        <w:tabs>
          <w:tab w:val="left" w:pos="3054"/>
          <w:tab w:val="center" w:pos="4677"/>
        </w:tabs>
        <w:spacing w:line="240" w:lineRule="auto"/>
        <w:ind w:firstLine="0" w:firstLineChars="0"/>
        <w:jc w:val="left"/>
        <w:rPr>
          <w:rFonts w:cs="Times New Roman"/>
          <w:kern w:val="0"/>
          <w:szCs w:val="20"/>
        </w:rPr>
      </w:pPr>
      <w:r>
        <w:rPr>
          <w:rFonts w:cs="Times New Roman"/>
          <w:kern w:val="0"/>
          <w:szCs w:val="20"/>
        </w:rPr>
        <w:tab/>
      </w:r>
      <w:r>
        <w:rPr>
          <w:rFonts w:cs="Times New Roman"/>
          <w:kern w:val="0"/>
          <w:szCs w:val="20"/>
        </w:rPr>
        <w:tab/>
      </w:r>
      <w:r>
        <w:rPr>
          <w:rFonts w:hint="eastAsia" w:cs="Times New Roman"/>
          <w:kern w:val="0"/>
          <w:szCs w:val="20"/>
        </w:rPr>
        <w:t>表</w:t>
      </w:r>
      <w:r>
        <w:rPr>
          <w:rFonts w:cs="Times New Roman"/>
          <w:kern w:val="0"/>
          <w:szCs w:val="20"/>
        </w:rPr>
        <w:t xml:space="preserve">3 </w:t>
      </w:r>
      <w:r>
        <w:rPr>
          <w:rFonts w:hint="eastAsia" w:cs="Times New Roman"/>
          <w:kern w:val="0"/>
          <w:szCs w:val="20"/>
        </w:rPr>
        <w:t>低温型、负温型座浆料浆体技术性能</w:t>
      </w:r>
    </w:p>
    <w:bookmarkEnd w:id="44"/>
    <w:tbl>
      <w:tblPr>
        <w:tblStyle w:val="16"/>
        <w:tblW w:w="8080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37"/>
        <w:gridCol w:w="1359"/>
        <w:gridCol w:w="1654"/>
        <w:gridCol w:w="1655"/>
        <w:gridCol w:w="167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" w:hRule="atLeast"/>
          <w:jc w:val="center"/>
        </w:trPr>
        <w:tc>
          <w:tcPr>
            <w:tcW w:w="3096" w:type="dxa"/>
            <w:gridSpan w:val="2"/>
            <w:vMerge w:val="restart"/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cs="Times New Roman"/>
                <w:kern w:val="0"/>
                <w:szCs w:val="21"/>
                <w:lang w:eastAsia="en-US"/>
              </w:rPr>
            </w:pPr>
            <w:r>
              <w:rPr>
                <w:rFonts w:cs="Times New Roman"/>
                <w:kern w:val="0"/>
                <w:szCs w:val="21"/>
                <w:lang w:eastAsia="en-US"/>
              </w:rPr>
              <w:t>检测项目</w:t>
            </w:r>
          </w:p>
        </w:tc>
        <w:tc>
          <w:tcPr>
            <w:tcW w:w="4984" w:type="dxa"/>
            <w:gridSpan w:val="3"/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cs="Times New Roman"/>
                <w:kern w:val="0"/>
                <w:szCs w:val="21"/>
                <w:lang w:eastAsia="en-US"/>
              </w:rPr>
            </w:pPr>
            <w:r>
              <w:rPr>
                <w:rFonts w:cs="Times New Roman"/>
                <w:kern w:val="0"/>
                <w:szCs w:val="21"/>
                <w:lang w:eastAsia="en-US"/>
              </w:rPr>
              <w:t>性</w:t>
            </w:r>
            <w:r>
              <w:rPr>
                <w:rFonts w:cs="Times New Roman"/>
                <w:kern w:val="0"/>
                <w:szCs w:val="21"/>
              </w:rPr>
              <w:t>能指标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" w:hRule="atLeast"/>
          <w:jc w:val="center"/>
        </w:trPr>
        <w:tc>
          <w:tcPr>
            <w:tcW w:w="3096" w:type="dxa"/>
            <w:gridSpan w:val="2"/>
            <w:vMerge w:val="continue"/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cs="Times New Roman"/>
                <w:kern w:val="0"/>
                <w:szCs w:val="21"/>
                <w:lang w:eastAsia="en-US"/>
              </w:rPr>
            </w:pPr>
          </w:p>
        </w:tc>
        <w:tc>
          <w:tcPr>
            <w:tcW w:w="1654" w:type="dxa"/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cs="Times New Roman"/>
                <w:kern w:val="0"/>
                <w:szCs w:val="21"/>
              </w:rPr>
            </w:pPr>
            <w:r>
              <w:rPr>
                <w:rFonts w:hint="eastAsia" w:cs="Times New Roman"/>
                <w:kern w:val="0"/>
                <w:szCs w:val="21"/>
              </w:rPr>
              <w:t>CBM</w:t>
            </w:r>
            <w:r>
              <w:rPr>
                <w:rFonts w:cs="Times New Roman"/>
                <w:kern w:val="0"/>
                <w:szCs w:val="21"/>
              </w:rPr>
              <w:t>80</w:t>
            </w:r>
          </w:p>
        </w:tc>
        <w:tc>
          <w:tcPr>
            <w:tcW w:w="1655" w:type="dxa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cs="Times New Roman"/>
                <w:kern w:val="0"/>
                <w:szCs w:val="21"/>
              </w:rPr>
            </w:pPr>
            <w:r>
              <w:rPr>
                <w:rFonts w:hint="eastAsia" w:cs="Times New Roman"/>
                <w:kern w:val="0"/>
                <w:szCs w:val="21"/>
              </w:rPr>
              <w:t>CBM</w:t>
            </w:r>
            <w:r>
              <w:rPr>
                <w:rFonts w:cs="Times New Roman"/>
                <w:kern w:val="0"/>
                <w:szCs w:val="21"/>
              </w:rPr>
              <w:t>10</w:t>
            </w:r>
            <w:r>
              <w:rPr>
                <w:rFonts w:hint="eastAsia" w:cs="Times New Roman"/>
                <w:kern w:val="0"/>
                <w:szCs w:val="21"/>
              </w:rPr>
              <w:t>0</w:t>
            </w:r>
          </w:p>
        </w:tc>
        <w:tc>
          <w:tcPr>
            <w:tcW w:w="1675" w:type="dxa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cs="Times New Roman"/>
                <w:kern w:val="0"/>
                <w:szCs w:val="21"/>
              </w:rPr>
            </w:pPr>
            <w:r>
              <w:rPr>
                <w:rFonts w:hint="eastAsia" w:cs="Times New Roman"/>
                <w:kern w:val="0"/>
                <w:szCs w:val="21"/>
              </w:rPr>
              <w:t>CBM1</w:t>
            </w:r>
            <w:r>
              <w:rPr>
                <w:rFonts w:cs="Times New Roman"/>
                <w:kern w:val="0"/>
                <w:szCs w:val="21"/>
              </w:rPr>
              <w:t>2</w:t>
            </w:r>
            <w:r>
              <w:rPr>
                <w:rFonts w:hint="eastAsia" w:cs="Times New Roman"/>
                <w:kern w:val="0"/>
                <w:szCs w:val="21"/>
              </w:rPr>
              <w:t>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  <w:jc w:val="center"/>
        </w:trPr>
        <w:tc>
          <w:tcPr>
            <w:tcW w:w="1737" w:type="dxa"/>
            <w:vMerge w:val="restart"/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cs="Times New Roman"/>
                <w:szCs w:val="21"/>
              </w:rPr>
            </w:pPr>
            <w:r>
              <w:rPr>
                <w:rFonts w:hint="eastAsia" w:cs="Times New Roman"/>
                <w:color w:val="000000"/>
                <w:szCs w:val="21"/>
              </w:rPr>
              <w:t>流动度</w:t>
            </w:r>
            <w:r>
              <w:rPr>
                <w:rFonts w:cs="Times New Roman"/>
                <w:szCs w:val="21"/>
              </w:rPr>
              <w:t>/mm</w:t>
            </w:r>
          </w:p>
        </w:tc>
        <w:tc>
          <w:tcPr>
            <w:tcW w:w="1359" w:type="dxa"/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初始</w:t>
            </w:r>
          </w:p>
        </w:tc>
        <w:tc>
          <w:tcPr>
            <w:tcW w:w="4984" w:type="dxa"/>
            <w:gridSpan w:val="3"/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cs="Times New Roman"/>
                <w:kern w:val="0"/>
                <w:szCs w:val="21"/>
              </w:rPr>
            </w:pPr>
            <w:r>
              <w:rPr>
                <w:rFonts w:cs="Times New Roman"/>
                <w:kern w:val="0"/>
                <w:szCs w:val="21"/>
              </w:rPr>
              <w:t>150-200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  <w:jc w:val="center"/>
        </w:trPr>
        <w:tc>
          <w:tcPr>
            <w:tcW w:w="1737" w:type="dxa"/>
            <w:vMerge w:val="continue"/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359" w:type="dxa"/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60min</w:t>
            </w:r>
          </w:p>
        </w:tc>
        <w:tc>
          <w:tcPr>
            <w:tcW w:w="4984" w:type="dxa"/>
            <w:gridSpan w:val="3"/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cs="Times New Roman"/>
                <w:kern w:val="0"/>
                <w:szCs w:val="21"/>
              </w:rPr>
            </w:pPr>
            <w:r>
              <w:rPr>
                <w:rFonts w:hint="eastAsia" w:cs="Times New Roman"/>
                <w:kern w:val="0"/>
                <w:szCs w:val="21"/>
              </w:rPr>
              <w:t>≥</w:t>
            </w:r>
            <w:r>
              <w:rPr>
                <w:rFonts w:cs="Times New Roman"/>
                <w:kern w:val="0"/>
                <w:szCs w:val="21"/>
                <w:highlight w:val="none"/>
              </w:rPr>
              <w:t>1</w:t>
            </w:r>
            <w:r>
              <w:rPr>
                <w:rFonts w:hint="eastAsia" w:cs="Times New Roman"/>
                <w:kern w:val="0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cs="Times New Roman"/>
                <w:kern w:val="0"/>
                <w:szCs w:val="21"/>
                <w:highlight w:val="none"/>
              </w:rPr>
              <w:t>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  <w:jc w:val="center"/>
        </w:trPr>
        <w:tc>
          <w:tcPr>
            <w:tcW w:w="1737" w:type="dxa"/>
            <w:vMerge w:val="restart"/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cs="Times New Roman"/>
                <w:kern w:val="0"/>
                <w:szCs w:val="21"/>
              </w:rPr>
            </w:pPr>
            <w:r>
              <w:rPr>
                <w:rFonts w:cs="Times New Roman"/>
                <w:kern w:val="0"/>
                <w:szCs w:val="21"/>
                <w:lang w:eastAsia="en-US"/>
              </w:rPr>
              <w:t>抗压强度/MPa</w:t>
            </w:r>
          </w:p>
        </w:tc>
        <w:tc>
          <w:tcPr>
            <w:tcW w:w="1359" w:type="dxa"/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cs="Times New Roman"/>
                <w:kern w:val="0"/>
                <w:szCs w:val="21"/>
                <w:lang w:eastAsia="en-US"/>
              </w:rPr>
            </w:pPr>
            <w:r>
              <w:rPr>
                <w:rFonts w:cs="Times New Roman"/>
                <w:kern w:val="0"/>
                <w:szCs w:val="21"/>
                <w:lang w:eastAsia="en-US"/>
              </w:rPr>
              <w:t>-1d</w:t>
            </w:r>
          </w:p>
        </w:tc>
        <w:tc>
          <w:tcPr>
            <w:tcW w:w="1654" w:type="dxa"/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cs="Times New Roman"/>
                <w:kern w:val="0"/>
                <w:szCs w:val="21"/>
                <w:lang w:eastAsia="en-US"/>
              </w:rPr>
            </w:pPr>
            <w:r>
              <w:rPr>
                <w:rFonts w:cs="Times New Roman"/>
                <w:kern w:val="0"/>
                <w:szCs w:val="21"/>
                <w:lang w:eastAsia="en-US"/>
              </w:rPr>
              <w:t>≥30</w:t>
            </w:r>
          </w:p>
        </w:tc>
        <w:tc>
          <w:tcPr>
            <w:tcW w:w="1655" w:type="dxa"/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cs="Times New Roman"/>
                <w:kern w:val="0"/>
                <w:szCs w:val="21"/>
                <w:lang w:eastAsia="en-US"/>
              </w:rPr>
            </w:pPr>
            <w:r>
              <w:rPr>
                <w:rFonts w:cs="Times New Roman"/>
                <w:kern w:val="0"/>
                <w:szCs w:val="21"/>
                <w:lang w:eastAsia="en-US"/>
              </w:rPr>
              <w:t>≥30</w:t>
            </w:r>
          </w:p>
        </w:tc>
        <w:tc>
          <w:tcPr>
            <w:tcW w:w="1675" w:type="dxa"/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cs="Times New Roman"/>
                <w:kern w:val="0"/>
                <w:szCs w:val="21"/>
                <w:lang w:eastAsia="en-US"/>
              </w:rPr>
            </w:pPr>
            <w:r>
              <w:rPr>
                <w:rFonts w:cs="Times New Roman"/>
                <w:kern w:val="0"/>
                <w:szCs w:val="21"/>
                <w:lang w:eastAsia="en-US"/>
              </w:rPr>
              <w:t>≥30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  <w:jc w:val="center"/>
        </w:trPr>
        <w:tc>
          <w:tcPr>
            <w:tcW w:w="1737" w:type="dxa"/>
            <w:vMerge w:val="continue"/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359" w:type="dxa"/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cs="Times New Roman"/>
                <w:kern w:val="0"/>
                <w:szCs w:val="21"/>
                <w:lang w:eastAsia="en-US"/>
              </w:rPr>
            </w:pPr>
            <w:r>
              <w:rPr>
                <w:rFonts w:cs="Times New Roman"/>
                <w:kern w:val="0"/>
                <w:szCs w:val="21"/>
                <w:lang w:eastAsia="en-US"/>
              </w:rPr>
              <w:t>-3d</w:t>
            </w:r>
          </w:p>
        </w:tc>
        <w:tc>
          <w:tcPr>
            <w:tcW w:w="1654" w:type="dxa"/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cs="Times New Roman"/>
                <w:kern w:val="0"/>
                <w:szCs w:val="21"/>
              </w:rPr>
            </w:pPr>
            <w:r>
              <w:rPr>
                <w:rFonts w:cs="Times New Roman"/>
                <w:kern w:val="0"/>
                <w:szCs w:val="21"/>
                <w:lang w:eastAsia="en-US"/>
              </w:rPr>
              <w:t>≥60</w:t>
            </w:r>
          </w:p>
        </w:tc>
        <w:tc>
          <w:tcPr>
            <w:tcW w:w="1655" w:type="dxa"/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cs="Times New Roman"/>
                <w:kern w:val="0"/>
                <w:szCs w:val="21"/>
              </w:rPr>
            </w:pPr>
            <w:r>
              <w:rPr>
                <w:rFonts w:cs="Times New Roman"/>
                <w:kern w:val="0"/>
                <w:szCs w:val="21"/>
                <w:lang w:eastAsia="en-US"/>
              </w:rPr>
              <w:t>≥60</w:t>
            </w:r>
          </w:p>
        </w:tc>
        <w:tc>
          <w:tcPr>
            <w:tcW w:w="1675" w:type="dxa"/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cs="Times New Roman"/>
                <w:kern w:val="0"/>
                <w:szCs w:val="21"/>
              </w:rPr>
            </w:pPr>
            <w:r>
              <w:rPr>
                <w:rFonts w:cs="Times New Roman"/>
                <w:kern w:val="0"/>
                <w:szCs w:val="21"/>
                <w:lang w:eastAsia="en-US"/>
              </w:rPr>
              <w:t>≥60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  <w:jc w:val="center"/>
        </w:trPr>
        <w:tc>
          <w:tcPr>
            <w:tcW w:w="1737" w:type="dxa"/>
            <w:vMerge w:val="continue"/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359" w:type="dxa"/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cs="Times New Roman"/>
                <w:kern w:val="0"/>
                <w:szCs w:val="21"/>
                <w:lang w:eastAsia="en-US"/>
              </w:rPr>
            </w:pPr>
            <w:r>
              <w:rPr>
                <w:rFonts w:cs="Times New Roman"/>
                <w:kern w:val="0"/>
                <w:szCs w:val="21"/>
                <w:lang w:eastAsia="en-US"/>
              </w:rPr>
              <w:t>-</w:t>
            </w:r>
            <w:r>
              <w:rPr>
                <w:rFonts w:cs="Times New Roman"/>
                <w:kern w:val="0"/>
                <w:szCs w:val="21"/>
              </w:rPr>
              <w:t>7</w:t>
            </w:r>
            <w:r>
              <w:rPr>
                <w:rFonts w:hint="eastAsia" w:cs="Times New Roman"/>
                <w:kern w:val="0"/>
                <w:szCs w:val="21"/>
              </w:rPr>
              <w:t>d+</w:t>
            </w:r>
            <w:r>
              <w:rPr>
                <w:rFonts w:cs="Times New Roman"/>
                <w:kern w:val="0"/>
                <w:szCs w:val="21"/>
                <w:lang w:eastAsia="en-US"/>
              </w:rPr>
              <w:t>21d</w:t>
            </w:r>
          </w:p>
        </w:tc>
        <w:tc>
          <w:tcPr>
            <w:tcW w:w="1654" w:type="dxa"/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cs="Times New Roman"/>
                <w:kern w:val="0"/>
                <w:szCs w:val="21"/>
                <w:lang w:eastAsia="en-US"/>
              </w:rPr>
            </w:pPr>
            <w:r>
              <w:rPr>
                <w:rFonts w:cs="Times New Roman"/>
                <w:kern w:val="0"/>
                <w:szCs w:val="21"/>
                <w:lang w:eastAsia="en-US"/>
              </w:rPr>
              <w:t>≥80</w:t>
            </w:r>
          </w:p>
        </w:tc>
        <w:tc>
          <w:tcPr>
            <w:tcW w:w="1655" w:type="dxa"/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cs="Times New Roman"/>
                <w:kern w:val="0"/>
                <w:szCs w:val="21"/>
                <w:lang w:eastAsia="en-US"/>
              </w:rPr>
            </w:pPr>
            <w:r>
              <w:rPr>
                <w:rFonts w:cs="Times New Roman"/>
                <w:kern w:val="0"/>
                <w:szCs w:val="21"/>
                <w:lang w:eastAsia="en-US"/>
              </w:rPr>
              <w:t>≥100</w:t>
            </w:r>
          </w:p>
        </w:tc>
        <w:tc>
          <w:tcPr>
            <w:tcW w:w="1675" w:type="dxa"/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cs="Times New Roman"/>
                <w:kern w:val="0"/>
                <w:szCs w:val="21"/>
                <w:lang w:eastAsia="en-US"/>
              </w:rPr>
            </w:pPr>
            <w:r>
              <w:rPr>
                <w:rFonts w:cs="Times New Roman"/>
                <w:kern w:val="0"/>
                <w:szCs w:val="21"/>
                <w:lang w:eastAsia="en-US"/>
              </w:rPr>
              <w:t>≥120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  <w:jc w:val="center"/>
        </w:trPr>
        <w:tc>
          <w:tcPr>
            <w:tcW w:w="1737" w:type="dxa"/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cs="Times New Roman"/>
                <w:szCs w:val="21"/>
              </w:rPr>
            </w:pPr>
            <w:r>
              <w:rPr>
                <w:rFonts w:hint="eastAsia" w:cs="Times New Roman"/>
                <w:szCs w:val="21"/>
              </w:rPr>
              <w:t>抗折强度/</w:t>
            </w:r>
            <w:r>
              <w:rPr>
                <w:rFonts w:cs="Times New Roman"/>
                <w:szCs w:val="21"/>
              </w:rPr>
              <w:t>MPa</w:t>
            </w:r>
          </w:p>
        </w:tc>
        <w:tc>
          <w:tcPr>
            <w:tcW w:w="1359" w:type="dxa"/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cs="Times New Roman"/>
                <w:kern w:val="0"/>
                <w:szCs w:val="21"/>
                <w:lang w:eastAsia="en-US"/>
              </w:rPr>
            </w:pPr>
            <w:r>
              <w:rPr>
                <w:rFonts w:cs="Times New Roman"/>
                <w:kern w:val="0"/>
                <w:szCs w:val="21"/>
                <w:lang w:eastAsia="en-US"/>
              </w:rPr>
              <w:t>-7d</w:t>
            </w:r>
            <w:r>
              <w:rPr>
                <w:rFonts w:hint="eastAsia" w:cs="Times New Roman"/>
                <w:kern w:val="0"/>
                <w:szCs w:val="21"/>
              </w:rPr>
              <w:t>+</w:t>
            </w:r>
            <w:r>
              <w:rPr>
                <w:rFonts w:cs="Times New Roman"/>
                <w:kern w:val="0"/>
                <w:szCs w:val="21"/>
                <w:lang w:eastAsia="en-US"/>
              </w:rPr>
              <w:t>21d</w:t>
            </w:r>
          </w:p>
        </w:tc>
        <w:tc>
          <w:tcPr>
            <w:tcW w:w="1654" w:type="dxa"/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cs="Times New Roman"/>
                <w:kern w:val="0"/>
                <w:szCs w:val="21"/>
                <w:lang w:eastAsia="en-US"/>
              </w:rPr>
            </w:pPr>
            <w:r>
              <w:rPr>
                <w:rFonts w:cs="Times New Roman"/>
                <w:kern w:val="0"/>
                <w:szCs w:val="21"/>
                <w:lang w:eastAsia="en-US"/>
              </w:rPr>
              <w:t>≥11</w:t>
            </w:r>
          </w:p>
        </w:tc>
        <w:tc>
          <w:tcPr>
            <w:tcW w:w="1655" w:type="dxa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cs="Times New Roman"/>
                <w:kern w:val="0"/>
                <w:szCs w:val="21"/>
                <w:lang w:eastAsia="en-US"/>
              </w:rPr>
            </w:pPr>
            <w:r>
              <w:rPr>
                <w:rFonts w:cs="Times New Roman"/>
                <w:kern w:val="0"/>
                <w:szCs w:val="21"/>
                <w:lang w:eastAsia="en-US"/>
              </w:rPr>
              <w:t>≥12</w:t>
            </w:r>
          </w:p>
        </w:tc>
        <w:tc>
          <w:tcPr>
            <w:tcW w:w="1675" w:type="dxa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cs="Times New Roman"/>
                <w:kern w:val="0"/>
                <w:szCs w:val="21"/>
                <w:lang w:eastAsia="en-US"/>
              </w:rPr>
            </w:pPr>
            <w:r>
              <w:rPr>
                <w:rFonts w:cs="Times New Roman"/>
                <w:kern w:val="0"/>
                <w:szCs w:val="21"/>
                <w:lang w:eastAsia="en-US"/>
              </w:rPr>
              <w:t>≥13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  <w:jc w:val="center"/>
        </w:trPr>
        <w:tc>
          <w:tcPr>
            <w:tcW w:w="1737" w:type="dxa"/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cs="Times New Roman"/>
                <w:kern w:val="0"/>
                <w:szCs w:val="21"/>
              </w:rPr>
            </w:pPr>
            <w:r>
              <w:rPr>
                <w:rFonts w:cs="Times New Roman"/>
                <w:kern w:val="0"/>
                <w:szCs w:val="21"/>
              </w:rPr>
              <w:t>竖向膨胀率</w:t>
            </w:r>
            <w:r>
              <w:rPr>
                <w:rFonts w:cs="Times New Roman"/>
                <w:szCs w:val="21"/>
              </w:rPr>
              <w:t>/%</w:t>
            </w:r>
          </w:p>
        </w:tc>
        <w:tc>
          <w:tcPr>
            <w:tcW w:w="1359" w:type="dxa"/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cs="Times New Roman"/>
                <w:kern w:val="0"/>
                <w:szCs w:val="21"/>
                <w:lang w:eastAsia="en-US"/>
              </w:rPr>
            </w:pPr>
            <w:r>
              <w:rPr>
                <w:rFonts w:cs="Times New Roman"/>
                <w:kern w:val="0"/>
                <w:szCs w:val="21"/>
                <w:lang w:eastAsia="en-US"/>
              </w:rPr>
              <w:t xml:space="preserve">24h </w:t>
            </w:r>
          </w:p>
        </w:tc>
        <w:tc>
          <w:tcPr>
            <w:tcW w:w="4984" w:type="dxa"/>
            <w:gridSpan w:val="3"/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cs="Times New Roman"/>
                <w:kern w:val="0"/>
                <w:szCs w:val="21"/>
                <w:lang w:eastAsia="en-US"/>
              </w:rPr>
            </w:pPr>
            <w:r>
              <w:rPr>
                <w:rFonts w:cs="Times New Roman"/>
                <w:kern w:val="0"/>
                <w:szCs w:val="21"/>
                <w:lang w:eastAsia="en-US"/>
              </w:rPr>
              <w:t>≥0.04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  <w:jc w:val="center"/>
        </w:trPr>
        <w:tc>
          <w:tcPr>
            <w:tcW w:w="1737" w:type="dxa"/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cs="Times New Roman"/>
                <w:kern w:val="0"/>
                <w:szCs w:val="21"/>
                <w:lang w:eastAsia="en-US"/>
              </w:rPr>
            </w:pPr>
            <w:r>
              <w:rPr>
                <w:rFonts w:hint="eastAsia" w:cs="Times New Roman"/>
                <w:kern w:val="0"/>
                <w:szCs w:val="21"/>
              </w:rPr>
              <w:t>自干燥收缩率/%</w:t>
            </w:r>
          </w:p>
        </w:tc>
        <w:tc>
          <w:tcPr>
            <w:tcW w:w="1359" w:type="dxa"/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cs="Times New Roman"/>
                <w:kern w:val="0"/>
                <w:szCs w:val="21"/>
              </w:rPr>
            </w:pPr>
            <w:r>
              <w:rPr>
                <w:rFonts w:hint="eastAsia" w:cs="Times New Roman"/>
                <w:kern w:val="0"/>
                <w:szCs w:val="21"/>
              </w:rPr>
              <w:t>28d</w:t>
            </w:r>
          </w:p>
        </w:tc>
        <w:tc>
          <w:tcPr>
            <w:tcW w:w="4984" w:type="dxa"/>
            <w:gridSpan w:val="3"/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cs="Times New Roman"/>
                <w:kern w:val="0"/>
                <w:szCs w:val="21"/>
              </w:rPr>
            </w:pPr>
            <w:r>
              <w:rPr>
                <w:rFonts w:cs="Times New Roman"/>
                <w:kern w:val="0"/>
                <w:szCs w:val="21"/>
              </w:rPr>
              <w:t>≤0.045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  <w:jc w:val="center"/>
        </w:trPr>
        <w:tc>
          <w:tcPr>
            <w:tcW w:w="3096" w:type="dxa"/>
            <w:gridSpan w:val="2"/>
            <w:shd w:val="clear" w:color="auto" w:fill="auto"/>
            <w:vAlign w:val="center"/>
          </w:tcPr>
          <w:p>
            <w:pPr>
              <w:widowControl/>
              <w:tabs>
                <w:tab w:val="center" w:pos="4201"/>
                <w:tab w:val="right" w:leader="dot" w:pos="9298"/>
              </w:tabs>
              <w:autoSpaceDE w:val="0"/>
              <w:autoSpaceDN w:val="0"/>
              <w:spacing w:line="240" w:lineRule="auto"/>
              <w:ind w:firstLine="420"/>
              <w:jc w:val="center"/>
              <w:rPr>
                <w:rFonts w:ascii="宋体" w:cs="Times New Roman"/>
                <w:kern w:val="0"/>
                <w:szCs w:val="20"/>
              </w:rPr>
            </w:pPr>
            <w:r>
              <w:rPr>
                <w:rFonts w:ascii="宋体" w:cs="Times New Roman"/>
                <w:kern w:val="0"/>
                <w:szCs w:val="20"/>
              </w:rPr>
              <w:t>泌水率/%</w:t>
            </w:r>
          </w:p>
        </w:tc>
        <w:tc>
          <w:tcPr>
            <w:tcW w:w="4984" w:type="dxa"/>
            <w:gridSpan w:val="3"/>
            <w:shd w:val="clear" w:color="auto" w:fill="auto"/>
            <w:vAlign w:val="center"/>
          </w:tcPr>
          <w:p>
            <w:pPr>
              <w:autoSpaceDE w:val="0"/>
              <w:autoSpaceDN w:val="0"/>
              <w:spacing w:line="240" w:lineRule="auto"/>
              <w:ind w:firstLine="0" w:firstLineChars="0"/>
              <w:jc w:val="center"/>
              <w:rPr>
                <w:rFonts w:cs="Times New Roman"/>
                <w:kern w:val="0"/>
                <w:szCs w:val="21"/>
              </w:rPr>
            </w:pPr>
            <w:r>
              <w:rPr>
                <w:rFonts w:cs="Times New Roman"/>
                <w:kern w:val="0"/>
                <w:szCs w:val="21"/>
              </w:rPr>
              <w:t>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3" w:hRule="atLeast"/>
          <w:jc w:val="center"/>
        </w:trPr>
        <w:tc>
          <w:tcPr>
            <w:tcW w:w="8080" w:type="dxa"/>
            <w:gridSpan w:val="5"/>
            <w:shd w:val="clear" w:color="auto" w:fill="auto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60" w:lineRule="auto"/>
              <w:ind w:left="630" w:leftChars="100" w:hanging="420" w:hangingChars="200"/>
              <w:jc w:val="left"/>
              <w:rPr>
                <w:rFonts w:cs="Times New Roman"/>
                <w:kern w:val="0"/>
                <w:szCs w:val="21"/>
              </w:rPr>
            </w:pPr>
            <w:r>
              <w:rPr>
                <w:rFonts w:hint="eastAsia" w:cs="Times New Roman"/>
                <w:kern w:val="0"/>
                <w:szCs w:val="21"/>
              </w:rPr>
              <w:t>注1：座浆料初始状态应呈粘稠状、不流淌；</w:t>
            </w:r>
            <w:r>
              <w:rPr>
                <w:rFonts w:cs="Times New Roman"/>
                <w:kern w:val="0"/>
                <w:szCs w:val="21"/>
              </w:rPr>
              <w:t>60</w:t>
            </w:r>
            <w:r>
              <w:rPr>
                <w:rFonts w:hint="eastAsia" w:cs="Times New Roman"/>
                <w:kern w:val="0"/>
                <w:szCs w:val="21"/>
              </w:rPr>
              <w:t>min应具有</w:t>
            </w:r>
            <w:r>
              <w:rPr>
                <w:rFonts w:cs="Times New Roman"/>
                <w:kern w:val="0"/>
                <w:szCs w:val="21"/>
              </w:rPr>
              <w:t>可塑性、可挤</w:t>
            </w:r>
            <w:r>
              <w:rPr>
                <w:rFonts w:hint="eastAsia" w:cs="Times New Roman"/>
                <w:kern w:val="0"/>
                <w:szCs w:val="21"/>
              </w:rPr>
              <w:t>压</w:t>
            </w:r>
            <w:r>
              <w:rPr>
                <w:rFonts w:cs="Times New Roman"/>
                <w:kern w:val="0"/>
                <w:szCs w:val="21"/>
              </w:rPr>
              <w:t>性</w:t>
            </w:r>
            <w:r>
              <w:rPr>
                <w:rFonts w:hint="eastAsia" w:cs="Times New Roman"/>
                <w:kern w:val="0"/>
                <w:szCs w:val="21"/>
              </w:rPr>
              <w:t>。</w:t>
            </w:r>
          </w:p>
          <w:p>
            <w:pPr>
              <w:autoSpaceDE w:val="0"/>
              <w:autoSpaceDN w:val="0"/>
              <w:adjustRightInd w:val="0"/>
              <w:snapToGrid w:val="0"/>
              <w:spacing w:line="360" w:lineRule="auto"/>
              <w:ind w:left="630" w:leftChars="100" w:hanging="420" w:hangingChars="200"/>
              <w:jc w:val="left"/>
              <w:rPr>
                <w:rFonts w:hint="eastAsia" w:cs="Times New Roman"/>
                <w:kern w:val="0"/>
                <w:szCs w:val="21"/>
              </w:rPr>
            </w:pPr>
            <w:r>
              <w:rPr>
                <w:rFonts w:hint="eastAsia" w:cs="Times New Roman"/>
                <w:kern w:val="0"/>
                <w:szCs w:val="21"/>
              </w:rPr>
              <w:t>注2：</w:t>
            </w:r>
            <w:r>
              <w:rPr>
                <w:rFonts w:hint="eastAsia" w:cs="Times New Roman"/>
                <w:kern w:val="0"/>
                <w:szCs w:val="21"/>
                <w:lang w:val="en-US" w:eastAsia="zh-CN"/>
              </w:rPr>
              <w:t>低温型座浆料</w:t>
            </w:r>
            <w:r>
              <w:rPr>
                <w:rFonts w:hint="eastAsia" w:cs="Times New Roman"/>
                <w:kern w:val="0"/>
                <w:szCs w:val="21"/>
              </w:rPr>
              <w:t>-</w:t>
            </w:r>
            <w:r>
              <w:rPr>
                <w:rFonts w:cs="Times New Roman"/>
                <w:kern w:val="0"/>
                <w:szCs w:val="21"/>
              </w:rPr>
              <w:t>1</w:t>
            </w:r>
            <w:r>
              <w:rPr>
                <w:rFonts w:hint="eastAsia" w:cs="Times New Roman"/>
                <w:kern w:val="0"/>
                <w:szCs w:val="21"/>
              </w:rPr>
              <w:t>d、-</w:t>
            </w:r>
            <w:r>
              <w:rPr>
                <w:rFonts w:cs="Times New Roman"/>
                <w:kern w:val="0"/>
                <w:szCs w:val="21"/>
              </w:rPr>
              <w:t>3</w:t>
            </w:r>
            <w:r>
              <w:rPr>
                <w:rFonts w:hint="eastAsia" w:cs="Times New Roman"/>
                <w:kern w:val="0"/>
                <w:szCs w:val="21"/>
              </w:rPr>
              <w:t>d代表试件在养护温度</w:t>
            </w:r>
            <w:r>
              <w:rPr>
                <w:rFonts w:hint="eastAsia" w:cs="Times New Roman"/>
                <w:kern w:val="0"/>
                <w:szCs w:val="21"/>
                <w:lang w:val="en-US" w:eastAsia="zh-CN"/>
              </w:rPr>
              <w:t>位-5℃时</w:t>
            </w:r>
            <w:r>
              <w:rPr>
                <w:rFonts w:hint="eastAsia" w:cs="Times New Roman"/>
                <w:kern w:val="0"/>
                <w:szCs w:val="21"/>
              </w:rPr>
              <w:t>养护1d、3d；-</w:t>
            </w:r>
            <w:r>
              <w:rPr>
                <w:rFonts w:cs="Times New Roman"/>
                <w:kern w:val="0"/>
                <w:szCs w:val="21"/>
              </w:rPr>
              <w:t>7</w:t>
            </w:r>
            <w:r>
              <w:rPr>
                <w:rFonts w:hint="eastAsia" w:cs="Times New Roman"/>
                <w:kern w:val="0"/>
                <w:szCs w:val="21"/>
              </w:rPr>
              <w:t>d</w:t>
            </w:r>
            <w:r>
              <w:rPr>
                <w:rFonts w:cs="Times New Roman"/>
                <w:kern w:val="0"/>
                <w:szCs w:val="21"/>
              </w:rPr>
              <w:t>+21</w:t>
            </w:r>
            <w:r>
              <w:rPr>
                <w:rFonts w:hint="eastAsia" w:cs="Times New Roman"/>
                <w:kern w:val="0"/>
                <w:szCs w:val="21"/>
              </w:rPr>
              <w:t>d代表试件在</w:t>
            </w:r>
            <w:r>
              <w:rPr>
                <w:rFonts w:hint="eastAsia" w:cs="Times New Roman"/>
                <w:kern w:val="0"/>
                <w:szCs w:val="21"/>
                <w:lang w:val="en-US" w:eastAsia="zh-CN"/>
              </w:rPr>
              <w:t>-5℃时</w:t>
            </w:r>
            <w:r>
              <w:rPr>
                <w:rFonts w:hint="eastAsia" w:cs="Times New Roman"/>
                <w:kern w:val="0"/>
                <w:szCs w:val="21"/>
              </w:rPr>
              <w:t>养护</w:t>
            </w:r>
            <w:r>
              <w:rPr>
                <w:rFonts w:cs="Times New Roman"/>
                <w:kern w:val="0"/>
                <w:szCs w:val="21"/>
              </w:rPr>
              <w:t>7</w:t>
            </w:r>
            <w:r>
              <w:rPr>
                <w:rFonts w:hint="eastAsia" w:cs="Times New Roman"/>
                <w:kern w:val="0"/>
                <w:szCs w:val="21"/>
              </w:rPr>
              <w:t>d，再转标准养护2</w:t>
            </w:r>
            <w:r>
              <w:rPr>
                <w:rFonts w:cs="Times New Roman"/>
                <w:kern w:val="0"/>
                <w:szCs w:val="21"/>
              </w:rPr>
              <w:t>1</w:t>
            </w:r>
            <w:r>
              <w:rPr>
                <w:rFonts w:hint="eastAsia" w:cs="Times New Roman"/>
                <w:kern w:val="0"/>
                <w:szCs w:val="21"/>
              </w:rPr>
              <w:t>d。</w:t>
            </w:r>
          </w:p>
          <w:p>
            <w:pPr>
              <w:autoSpaceDE w:val="0"/>
              <w:autoSpaceDN w:val="0"/>
              <w:adjustRightInd w:val="0"/>
              <w:snapToGrid w:val="0"/>
              <w:spacing w:line="360" w:lineRule="auto"/>
              <w:ind w:left="630" w:leftChars="100" w:hanging="420" w:hangingChars="200"/>
              <w:jc w:val="left"/>
              <w:rPr>
                <w:rFonts w:hint="eastAsia" w:cs="Times New Roman"/>
                <w:kern w:val="0"/>
                <w:szCs w:val="21"/>
              </w:rPr>
            </w:pPr>
            <w:r>
              <w:rPr>
                <w:rFonts w:hint="eastAsia" w:cs="Times New Roman"/>
                <w:kern w:val="0"/>
                <w:szCs w:val="21"/>
              </w:rPr>
              <w:t>注</w:t>
            </w:r>
            <w:r>
              <w:rPr>
                <w:rFonts w:hint="eastAsia" w:cs="Times New Roman"/>
                <w:kern w:val="0"/>
                <w:szCs w:val="21"/>
                <w:lang w:val="en-US" w:eastAsia="zh-CN"/>
              </w:rPr>
              <w:t>3</w:t>
            </w:r>
            <w:r>
              <w:rPr>
                <w:rFonts w:hint="eastAsia" w:cs="Times New Roman"/>
                <w:kern w:val="0"/>
                <w:szCs w:val="21"/>
              </w:rPr>
              <w:t>：</w:t>
            </w:r>
            <w:r>
              <w:rPr>
                <w:rFonts w:hint="eastAsia" w:cs="Times New Roman"/>
                <w:kern w:val="0"/>
                <w:szCs w:val="21"/>
                <w:lang w:val="en-US" w:eastAsia="zh-CN"/>
              </w:rPr>
              <w:t>负温型座浆料</w:t>
            </w:r>
            <w:r>
              <w:rPr>
                <w:rFonts w:hint="eastAsia" w:cs="Times New Roman"/>
                <w:kern w:val="0"/>
                <w:szCs w:val="21"/>
              </w:rPr>
              <w:t>-</w:t>
            </w:r>
            <w:r>
              <w:rPr>
                <w:rFonts w:cs="Times New Roman"/>
                <w:kern w:val="0"/>
                <w:szCs w:val="21"/>
              </w:rPr>
              <w:t>1</w:t>
            </w:r>
            <w:r>
              <w:rPr>
                <w:rFonts w:hint="eastAsia" w:cs="Times New Roman"/>
                <w:kern w:val="0"/>
                <w:szCs w:val="21"/>
              </w:rPr>
              <w:t>d、-</w:t>
            </w:r>
            <w:r>
              <w:rPr>
                <w:rFonts w:cs="Times New Roman"/>
                <w:kern w:val="0"/>
                <w:szCs w:val="21"/>
              </w:rPr>
              <w:t>3</w:t>
            </w:r>
            <w:r>
              <w:rPr>
                <w:rFonts w:hint="eastAsia" w:cs="Times New Roman"/>
                <w:kern w:val="0"/>
                <w:szCs w:val="21"/>
              </w:rPr>
              <w:t>d代表试件在养护温度</w:t>
            </w:r>
            <w:r>
              <w:rPr>
                <w:rFonts w:hint="eastAsia" w:cs="Times New Roman"/>
                <w:kern w:val="0"/>
                <w:szCs w:val="21"/>
                <w:lang w:val="en-US" w:eastAsia="zh-CN"/>
              </w:rPr>
              <w:t>位-10℃时</w:t>
            </w:r>
            <w:r>
              <w:rPr>
                <w:rFonts w:hint="eastAsia" w:cs="Times New Roman"/>
                <w:kern w:val="0"/>
                <w:szCs w:val="21"/>
              </w:rPr>
              <w:t>养护1d、3d；-</w:t>
            </w:r>
            <w:r>
              <w:rPr>
                <w:rFonts w:cs="Times New Roman"/>
                <w:kern w:val="0"/>
                <w:szCs w:val="21"/>
              </w:rPr>
              <w:t>7</w:t>
            </w:r>
            <w:r>
              <w:rPr>
                <w:rFonts w:hint="eastAsia" w:cs="Times New Roman"/>
                <w:kern w:val="0"/>
                <w:szCs w:val="21"/>
              </w:rPr>
              <w:t>d</w:t>
            </w:r>
            <w:r>
              <w:rPr>
                <w:rFonts w:cs="Times New Roman"/>
                <w:kern w:val="0"/>
                <w:szCs w:val="21"/>
              </w:rPr>
              <w:t>+21</w:t>
            </w:r>
            <w:r>
              <w:rPr>
                <w:rFonts w:hint="eastAsia" w:cs="Times New Roman"/>
                <w:kern w:val="0"/>
                <w:szCs w:val="21"/>
              </w:rPr>
              <w:t>d代表试件在</w:t>
            </w:r>
            <w:r>
              <w:rPr>
                <w:rFonts w:hint="eastAsia" w:cs="Times New Roman"/>
                <w:kern w:val="0"/>
                <w:szCs w:val="21"/>
                <w:lang w:val="en-US" w:eastAsia="zh-CN"/>
              </w:rPr>
              <w:t>-10</w:t>
            </w:r>
            <w:bookmarkStart w:id="95" w:name="_GoBack"/>
            <w:bookmarkEnd w:id="95"/>
            <w:r>
              <w:rPr>
                <w:rFonts w:hint="eastAsia" w:cs="Times New Roman"/>
                <w:kern w:val="0"/>
                <w:szCs w:val="21"/>
                <w:lang w:val="en-US" w:eastAsia="zh-CN"/>
              </w:rPr>
              <w:t>℃时</w:t>
            </w:r>
            <w:r>
              <w:rPr>
                <w:rFonts w:hint="eastAsia" w:cs="Times New Roman"/>
                <w:kern w:val="0"/>
                <w:szCs w:val="21"/>
              </w:rPr>
              <w:t>养护</w:t>
            </w:r>
            <w:r>
              <w:rPr>
                <w:rFonts w:cs="Times New Roman"/>
                <w:kern w:val="0"/>
                <w:szCs w:val="21"/>
              </w:rPr>
              <w:t>7</w:t>
            </w:r>
            <w:r>
              <w:rPr>
                <w:rFonts w:hint="eastAsia" w:cs="Times New Roman"/>
                <w:kern w:val="0"/>
                <w:szCs w:val="21"/>
              </w:rPr>
              <w:t>d，再转标准养护2</w:t>
            </w:r>
            <w:r>
              <w:rPr>
                <w:rFonts w:cs="Times New Roman"/>
                <w:kern w:val="0"/>
                <w:szCs w:val="21"/>
              </w:rPr>
              <w:t>1</w:t>
            </w:r>
            <w:r>
              <w:rPr>
                <w:rFonts w:hint="eastAsia" w:cs="Times New Roman"/>
                <w:kern w:val="0"/>
                <w:szCs w:val="21"/>
              </w:rPr>
              <w:t>d。</w:t>
            </w:r>
          </w:p>
        </w:tc>
      </w:tr>
    </w:tbl>
    <w:p>
      <w:pPr>
        <w:widowControl/>
        <w:spacing w:line="240" w:lineRule="auto"/>
        <w:ind w:firstLine="0" w:firstLineChars="0"/>
        <w:jc w:val="left"/>
        <w:rPr>
          <w:rFonts w:eastAsia="黑体" w:cs="Times New Roman"/>
          <w:kern w:val="0"/>
          <w:sz w:val="24"/>
          <w:szCs w:val="24"/>
        </w:rPr>
      </w:pPr>
    </w:p>
    <w:p>
      <w:pPr>
        <w:widowControl/>
        <w:spacing w:line="240" w:lineRule="auto"/>
        <w:ind w:firstLine="0" w:firstLineChars="0"/>
        <w:jc w:val="left"/>
        <w:rPr>
          <w:rFonts w:cs="Times New Roman"/>
          <w:b/>
          <w:kern w:val="0"/>
          <w:sz w:val="24"/>
          <w:szCs w:val="24"/>
        </w:rPr>
      </w:pPr>
      <w:r>
        <w:rPr>
          <w:rFonts w:cs="Times New Roman"/>
          <w:b/>
          <w:bCs/>
          <w:kern w:val="0"/>
          <w:sz w:val="24"/>
          <w:szCs w:val="24"/>
        </w:rPr>
        <w:t>6.2.3</w:t>
      </w:r>
      <w:r>
        <w:rPr>
          <w:rFonts w:hint="eastAsia" w:cs="Times New Roman"/>
          <w:kern w:val="0"/>
          <w:sz w:val="24"/>
          <w:szCs w:val="24"/>
        </w:rPr>
        <w:t>抗压疲劳变形试验</w:t>
      </w:r>
      <w:r>
        <w:rPr>
          <w:rFonts w:cs="Times New Roman"/>
          <w:kern w:val="0"/>
          <w:sz w:val="24"/>
          <w:szCs w:val="24"/>
        </w:rPr>
        <w:t>/200</w:t>
      </w:r>
      <w:r>
        <w:rPr>
          <w:rFonts w:hint="eastAsia" w:cs="Times New Roman"/>
          <w:kern w:val="0"/>
          <w:sz w:val="24"/>
          <w:szCs w:val="24"/>
        </w:rPr>
        <w:t>万次（选择性指标）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ind w:firstLine="480"/>
        <w:rPr>
          <w:rFonts w:cs="Times New Roman"/>
          <w:color w:val="000000"/>
          <w:kern w:val="0"/>
          <w:sz w:val="24"/>
          <w:szCs w:val="24"/>
        </w:rPr>
      </w:pPr>
      <w:r>
        <w:rPr>
          <w:rFonts w:hint="eastAsia" w:cs="Times New Roman"/>
          <w:color w:val="000000"/>
          <w:kern w:val="0"/>
          <w:sz w:val="24"/>
          <w:szCs w:val="24"/>
        </w:rPr>
        <w:t>抗压疲劳变形试验/200万次试件不破坏。</w:t>
      </w:r>
      <w:bookmarkStart w:id="45" w:name="_Toc29374651"/>
      <w:bookmarkEnd w:id="45"/>
      <w:bookmarkStart w:id="46" w:name="_Toc29374649"/>
      <w:bookmarkEnd w:id="46"/>
      <w:bookmarkStart w:id="47" w:name="_Toc29374646"/>
      <w:bookmarkEnd w:id="47"/>
      <w:bookmarkStart w:id="48" w:name="_Toc53215266"/>
      <w:bookmarkEnd w:id="48"/>
      <w:bookmarkStart w:id="49" w:name="_Toc53215265"/>
      <w:bookmarkEnd w:id="49"/>
      <w:bookmarkStart w:id="50" w:name="_Toc29374650"/>
      <w:bookmarkEnd w:id="50"/>
      <w:bookmarkStart w:id="51" w:name="_Toc29374647"/>
      <w:bookmarkEnd w:id="51"/>
      <w:bookmarkStart w:id="52" w:name="_Toc53215260"/>
      <w:bookmarkEnd w:id="52"/>
      <w:bookmarkStart w:id="53" w:name="_Toc53215263"/>
      <w:bookmarkEnd w:id="53"/>
      <w:bookmarkStart w:id="54" w:name="_Toc53215264"/>
      <w:bookmarkEnd w:id="54"/>
      <w:bookmarkStart w:id="55" w:name="_Toc53215262"/>
      <w:bookmarkEnd w:id="55"/>
      <w:bookmarkStart w:id="56" w:name="_Toc53215261"/>
      <w:bookmarkEnd w:id="56"/>
      <w:bookmarkStart w:id="57" w:name="_Toc29374645"/>
      <w:bookmarkEnd w:id="57"/>
      <w:bookmarkStart w:id="58" w:name="_Toc29374644"/>
      <w:bookmarkEnd w:id="58"/>
      <w:bookmarkStart w:id="59" w:name="_Toc29374648"/>
      <w:bookmarkEnd w:id="59"/>
      <w:bookmarkStart w:id="60" w:name="_Toc53215259"/>
      <w:bookmarkEnd w:id="60"/>
      <w:bookmarkStart w:id="61" w:name="_Toc53215267"/>
    </w:p>
    <w:p>
      <w:pPr>
        <w:pStyle w:val="2"/>
        <w:spacing w:before="62" w:after="62"/>
        <w:rPr>
          <w:rFonts w:eastAsia="宋体" w:cs="Times New Roman"/>
          <w:b w:val="0"/>
          <w:kern w:val="0"/>
          <w:sz w:val="24"/>
          <w:szCs w:val="24"/>
        </w:rPr>
      </w:pPr>
      <w:bookmarkStart w:id="62" w:name="_Toc164066129"/>
      <w:r>
        <w:rPr>
          <w:rFonts w:eastAsia="宋体" w:cs="Times New Roman"/>
          <w:bCs w:val="0"/>
          <w:kern w:val="0"/>
          <w:sz w:val="24"/>
          <w:szCs w:val="24"/>
        </w:rPr>
        <w:t xml:space="preserve">7 </w:t>
      </w:r>
      <w:r>
        <w:rPr>
          <w:rFonts w:hint="eastAsia" w:eastAsia="宋体" w:cs="Times New Roman"/>
          <w:bCs w:val="0"/>
          <w:kern w:val="0"/>
          <w:sz w:val="24"/>
          <w:szCs w:val="24"/>
        </w:rPr>
        <w:t>试验方法</w:t>
      </w:r>
      <w:bookmarkEnd w:id="61"/>
      <w:bookmarkEnd w:id="62"/>
    </w:p>
    <w:p>
      <w:pPr>
        <w:widowControl/>
        <w:numPr>
          <w:ilvl w:val="1"/>
          <w:numId w:val="0"/>
        </w:numPr>
        <w:spacing w:before="156" w:beforeLines="50" w:after="156" w:afterLines="50" w:line="240" w:lineRule="auto"/>
        <w:ind w:left="1680" w:hanging="1680"/>
        <w:jc w:val="left"/>
        <w:outlineLvl w:val="1"/>
        <w:rPr>
          <w:rFonts w:cs="Times New Roman"/>
          <w:b/>
          <w:bCs/>
          <w:kern w:val="0"/>
          <w:sz w:val="24"/>
          <w:szCs w:val="24"/>
        </w:rPr>
      </w:pPr>
      <w:bookmarkStart w:id="63" w:name="_Toc164066130"/>
      <w:bookmarkStart w:id="64" w:name="_Hlk29372278"/>
      <w:r>
        <w:rPr>
          <w:rFonts w:cs="Times New Roman"/>
          <w:b/>
          <w:bCs/>
          <w:kern w:val="0"/>
          <w:sz w:val="24"/>
          <w:szCs w:val="24"/>
        </w:rPr>
        <w:t>7.1</w:t>
      </w:r>
      <w:r>
        <w:rPr>
          <w:rFonts w:hint="eastAsia" w:cs="Times New Roman"/>
          <w:b/>
          <w:bCs/>
          <w:kern w:val="0"/>
          <w:sz w:val="24"/>
          <w:szCs w:val="24"/>
        </w:rPr>
        <w:t xml:space="preserve">  匀质性试验方法</w:t>
      </w:r>
      <w:bookmarkEnd w:id="63"/>
    </w:p>
    <w:p>
      <w:pPr>
        <w:widowControl/>
        <w:numPr>
          <w:ilvl w:val="1"/>
          <w:numId w:val="0"/>
        </w:numPr>
        <w:spacing w:before="156" w:beforeLines="50" w:after="156" w:afterLines="50" w:line="240" w:lineRule="auto"/>
        <w:ind w:left="1680" w:hanging="1680"/>
        <w:jc w:val="left"/>
        <w:outlineLvl w:val="1"/>
        <w:rPr>
          <w:rFonts w:cs="Times New Roman"/>
          <w:kern w:val="0"/>
          <w:sz w:val="24"/>
          <w:szCs w:val="24"/>
        </w:rPr>
      </w:pPr>
      <w:bookmarkStart w:id="65" w:name="_Toc164066131"/>
      <w:r>
        <w:rPr>
          <w:rFonts w:cs="Times New Roman"/>
          <w:b/>
          <w:bCs/>
          <w:kern w:val="0"/>
          <w:sz w:val="24"/>
          <w:szCs w:val="24"/>
        </w:rPr>
        <w:t>7.1.1</w:t>
      </w:r>
      <w:r>
        <w:rPr>
          <w:rFonts w:hint="eastAsia" w:cs="Times New Roman"/>
          <w:kern w:val="0"/>
          <w:sz w:val="24"/>
          <w:szCs w:val="24"/>
        </w:rPr>
        <w:t>外观</w:t>
      </w:r>
      <w:bookmarkEnd w:id="65"/>
    </w:p>
    <w:p>
      <w:pPr>
        <w:widowControl/>
        <w:numPr>
          <w:ilvl w:val="1"/>
          <w:numId w:val="0"/>
        </w:numPr>
        <w:spacing w:before="156" w:beforeLines="50" w:after="156" w:afterLines="50" w:line="240" w:lineRule="auto"/>
        <w:ind w:firstLine="480" w:firstLineChars="200"/>
        <w:jc w:val="left"/>
        <w:outlineLvl w:val="1"/>
        <w:rPr>
          <w:rFonts w:cs="Times New Roman"/>
          <w:color w:val="000000"/>
          <w:kern w:val="0"/>
          <w:sz w:val="24"/>
          <w:szCs w:val="24"/>
        </w:rPr>
      </w:pPr>
      <w:bookmarkStart w:id="66" w:name="_Toc164066132"/>
      <w:r>
        <w:rPr>
          <w:rFonts w:hint="eastAsia" w:cs="Times New Roman"/>
          <w:color w:val="000000"/>
          <w:kern w:val="0"/>
          <w:sz w:val="24"/>
          <w:szCs w:val="24"/>
        </w:rPr>
        <w:t>观察法。</w:t>
      </w:r>
      <w:bookmarkEnd w:id="66"/>
    </w:p>
    <w:p>
      <w:pPr>
        <w:widowControl/>
        <w:numPr>
          <w:ilvl w:val="1"/>
          <w:numId w:val="0"/>
        </w:numPr>
        <w:spacing w:before="156" w:beforeLines="50" w:after="156" w:afterLines="50" w:line="240" w:lineRule="auto"/>
        <w:ind w:left="1680" w:hanging="1680"/>
        <w:jc w:val="left"/>
        <w:outlineLvl w:val="1"/>
        <w:rPr>
          <w:rFonts w:cs="Times New Roman"/>
          <w:kern w:val="0"/>
          <w:sz w:val="24"/>
          <w:szCs w:val="24"/>
        </w:rPr>
      </w:pPr>
      <w:bookmarkStart w:id="67" w:name="_Toc164066133"/>
      <w:r>
        <w:rPr>
          <w:rFonts w:cs="Times New Roman"/>
          <w:b/>
          <w:bCs/>
          <w:kern w:val="0"/>
          <w:sz w:val="24"/>
          <w:szCs w:val="24"/>
        </w:rPr>
        <w:t>7.1.2</w:t>
      </w:r>
      <w:r>
        <w:rPr>
          <w:rFonts w:hint="eastAsia" w:cs="Times New Roman"/>
          <w:kern w:val="0"/>
          <w:sz w:val="24"/>
          <w:szCs w:val="24"/>
        </w:rPr>
        <w:t>含水率</w:t>
      </w:r>
      <w:bookmarkEnd w:id="67"/>
    </w:p>
    <w:p>
      <w:pPr>
        <w:widowControl/>
        <w:numPr>
          <w:ilvl w:val="1"/>
          <w:numId w:val="0"/>
        </w:numPr>
        <w:spacing w:before="156" w:beforeLines="50" w:after="156" w:afterLines="50" w:line="240" w:lineRule="auto"/>
        <w:ind w:firstLine="480" w:firstLineChars="200"/>
        <w:jc w:val="left"/>
        <w:outlineLvl w:val="1"/>
        <w:rPr>
          <w:rFonts w:cs="Times New Roman"/>
          <w:color w:val="000000"/>
          <w:kern w:val="0"/>
          <w:sz w:val="24"/>
          <w:szCs w:val="24"/>
        </w:rPr>
      </w:pPr>
      <w:bookmarkStart w:id="68" w:name="_Toc164066134"/>
      <w:r>
        <w:rPr>
          <w:rFonts w:hint="eastAsia" w:cs="Times New Roman"/>
          <w:color w:val="000000"/>
          <w:kern w:val="0"/>
          <w:sz w:val="24"/>
          <w:szCs w:val="24"/>
        </w:rPr>
        <w:t>按照</w:t>
      </w:r>
      <w:r>
        <w:rPr>
          <w:rFonts w:cs="Times New Roman"/>
          <w:color w:val="000000"/>
          <w:kern w:val="0"/>
          <w:sz w:val="24"/>
          <w:szCs w:val="24"/>
        </w:rPr>
        <w:t>GB/T8077</w:t>
      </w:r>
      <w:r>
        <w:rPr>
          <w:rFonts w:hint="eastAsia" w:cs="Times New Roman"/>
          <w:color w:val="000000"/>
          <w:kern w:val="0"/>
          <w:sz w:val="24"/>
          <w:szCs w:val="24"/>
        </w:rPr>
        <w:t>进行。</w:t>
      </w:r>
      <w:bookmarkEnd w:id="68"/>
    </w:p>
    <w:p>
      <w:pPr>
        <w:widowControl/>
        <w:numPr>
          <w:ilvl w:val="1"/>
          <w:numId w:val="0"/>
        </w:numPr>
        <w:spacing w:before="156" w:beforeLines="50" w:after="156" w:afterLines="50" w:line="240" w:lineRule="auto"/>
        <w:jc w:val="left"/>
        <w:outlineLvl w:val="1"/>
        <w:rPr>
          <w:rFonts w:cs="Times New Roman"/>
          <w:color w:val="000000"/>
          <w:kern w:val="0"/>
          <w:sz w:val="24"/>
          <w:szCs w:val="24"/>
        </w:rPr>
      </w:pPr>
      <w:bookmarkStart w:id="69" w:name="_Toc164066135"/>
      <w:r>
        <w:rPr>
          <w:rFonts w:cs="Times New Roman"/>
          <w:b/>
          <w:bCs/>
          <w:color w:val="000000"/>
          <w:kern w:val="0"/>
          <w:sz w:val="24"/>
          <w:szCs w:val="24"/>
        </w:rPr>
        <w:t>7.1.3</w:t>
      </w:r>
      <w:r>
        <w:rPr>
          <w:rFonts w:hint="eastAsia" w:cs="Times New Roman"/>
          <w:color w:val="000000"/>
          <w:kern w:val="0"/>
          <w:sz w:val="24"/>
          <w:szCs w:val="24"/>
        </w:rPr>
        <w:t>细度</w:t>
      </w:r>
      <w:bookmarkEnd w:id="69"/>
    </w:p>
    <w:p>
      <w:pPr>
        <w:widowControl/>
        <w:numPr>
          <w:ilvl w:val="1"/>
          <w:numId w:val="0"/>
        </w:numPr>
        <w:spacing w:before="156" w:beforeLines="50" w:after="156" w:afterLines="50" w:line="240" w:lineRule="auto"/>
        <w:ind w:firstLine="480" w:firstLineChars="200"/>
        <w:jc w:val="left"/>
        <w:outlineLvl w:val="1"/>
        <w:rPr>
          <w:rFonts w:cs="Times New Roman"/>
          <w:color w:val="000000"/>
          <w:kern w:val="0"/>
          <w:sz w:val="24"/>
          <w:szCs w:val="24"/>
        </w:rPr>
      </w:pPr>
      <w:bookmarkStart w:id="70" w:name="_Toc164066136"/>
      <w:r>
        <w:rPr>
          <w:rFonts w:hint="eastAsia" w:cs="Times New Roman"/>
          <w:color w:val="000000"/>
          <w:kern w:val="0"/>
          <w:sz w:val="24"/>
          <w:szCs w:val="24"/>
        </w:rPr>
        <w:t>称取500g座浆料，精确至1g，将试样倒入4.75mm筛中，采用手筛，筛至每分钟通过量小于试样重量的0.1%为止。</w:t>
      </w:r>
      <w:bookmarkEnd w:id="70"/>
    </w:p>
    <w:p>
      <w:pPr>
        <w:widowControl/>
        <w:numPr>
          <w:ilvl w:val="1"/>
          <w:numId w:val="0"/>
        </w:numPr>
        <w:spacing w:before="156" w:beforeLines="50" w:after="156" w:afterLines="50" w:line="240" w:lineRule="auto"/>
        <w:ind w:firstLine="480" w:firstLineChars="200"/>
        <w:jc w:val="left"/>
        <w:outlineLvl w:val="1"/>
        <w:rPr>
          <w:rFonts w:cs="Times New Roman"/>
          <w:color w:val="000000"/>
          <w:kern w:val="0"/>
          <w:sz w:val="24"/>
          <w:szCs w:val="24"/>
        </w:rPr>
      </w:pPr>
      <w:bookmarkStart w:id="71" w:name="_Toc164066137"/>
      <w:r>
        <w:rPr>
          <w:rFonts w:hint="eastAsia" w:cs="Times New Roman"/>
          <w:color w:val="000000"/>
          <w:kern w:val="0"/>
          <w:sz w:val="24"/>
          <w:szCs w:val="24"/>
        </w:rPr>
        <w:t>座浆料试样筛余百分数按公式（1）计算：</w:t>
      </w:r>
      <w:bookmarkEnd w:id="71"/>
    </w:p>
    <w:p>
      <w:pPr>
        <w:widowControl/>
        <w:numPr>
          <w:ilvl w:val="1"/>
          <w:numId w:val="0"/>
        </w:numPr>
        <w:spacing w:before="156" w:beforeLines="50" w:after="156" w:afterLines="50" w:line="240" w:lineRule="auto"/>
        <w:jc w:val="center"/>
        <w:outlineLvl w:val="1"/>
        <w:rPr>
          <w:rFonts w:cs="Times New Roman"/>
          <w:color w:val="000000"/>
          <w:kern w:val="0"/>
          <w:sz w:val="24"/>
          <w:szCs w:val="24"/>
        </w:rPr>
      </w:pPr>
      <m:oMath>
        <w:bookmarkStart w:id="72" w:name="_Toc164066138"/>
        <m:r>
          <m:rPr/>
          <w:rPr>
            <w:rFonts w:ascii="Cambria Math" w:hAnsi="Cambria Math" w:eastAsia="Cambria Math" w:cs="Cambria Math"/>
            <w:color w:val="000000"/>
            <w:kern w:val="0"/>
            <w:sz w:val="24"/>
            <w:szCs w:val="24"/>
          </w:rPr>
          <m:t>F</m:t>
        </m:r>
        <m:r>
          <m:rPr>
            <m:sty m:val="p"/>
          </m:rPr>
          <w:rPr>
            <w:rFonts w:ascii="Cambria Math" w:hAnsi="Cambria Math" w:eastAsia="Cambria Math" w:cs="Cambria Math"/>
            <w:color w:val="000000"/>
            <w:kern w:val="0"/>
            <w:sz w:val="24"/>
            <w:szCs w:val="24"/>
          </w:rPr>
          <m:t>=</m:t>
        </m:r>
        <m:f>
          <m:fPr>
            <m:ctrlPr>
              <w:rPr>
                <w:rFonts w:ascii="Cambria Math" w:hAnsi="Cambria Math" w:eastAsia="Cambria Math" w:cs="Times New Roman"/>
                <w:color w:val="000000"/>
                <w:kern w:val="0"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eastAsia="Cambria Math" w:cs="Cambria Math"/>
                <w:color w:val="000000"/>
                <w:kern w:val="0"/>
                <w:sz w:val="24"/>
                <w:szCs w:val="24"/>
              </w:rPr>
              <m:t>R</m:t>
            </m:r>
            <m:ctrlPr>
              <w:rPr>
                <w:rFonts w:ascii="Cambria Math" w:hAnsi="Cambria Math" w:eastAsia="Cambria Math" w:cs="Times New Roman"/>
                <w:color w:val="000000"/>
                <w:kern w:val="0"/>
                <w:sz w:val="24"/>
                <w:szCs w:val="24"/>
              </w:rPr>
            </m:ctrlPr>
          </m:num>
          <m:den>
            <m:r>
              <m:rPr>
                <m:sty m:val="p"/>
              </m:rPr>
              <w:rPr>
                <w:rFonts w:ascii="Cambria Math" w:hAnsi="Cambria Math" w:eastAsia="Cambria Math" w:cs="Cambria Math"/>
                <w:color w:val="000000"/>
                <w:kern w:val="0"/>
                <w:sz w:val="24"/>
                <w:szCs w:val="24"/>
              </w:rPr>
              <m:t>W</m:t>
            </m:r>
            <m:ctrlPr>
              <w:rPr>
                <w:rFonts w:ascii="Cambria Math" w:hAnsi="Cambria Math" w:eastAsia="Cambria Math" w:cs="Times New Roman"/>
                <w:color w:val="000000"/>
                <w:kern w:val="0"/>
                <w:sz w:val="24"/>
                <w:szCs w:val="24"/>
              </w:rPr>
            </m:ctrlPr>
          </m:den>
        </m:f>
      </m:oMath>
      <w:r>
        <w:rPr>
          <w:rFonts w:hint="eastAsia" w:cs="Times New Roman"/>
          <w:color w:val="000000"/>
          <w:kern w:val="0"/>
          <w:sz w:val="24"/>
          <w:szCs w:val="24"/>
        </w:rPr>
        <w:t>×100%</w:t>
      </w:r>
      <w:r>
        <w:rPr>
          <w:rFonts w:cs="Times New Roman"/>
          <w:color w:val="000000"/>
          <w:kern w:val="0"/>
          <w:sz w:val="24"/>
          <w:szCs w:val="24"/>
        </w:rPr>
        <w:t>...................</w:t>
      </w:r>
      <w:r>
        <w:rPr>
          <w:rFonts w:hint="eastAsia" w:cs="Times New Roman"/>
          <w:color w:val="000000"/>
          <w:kern w:val="0"/>
          <w:sz w:val="24"/>
          <w:szCs w:val="24"/>
        </w:rPr>
        <w:t>（1）</w:t>
      </w:r>
      <w:bookmarkEnd w:id="72"/>
    </w:p>
    <w:p>
      <w:pPr>
        <w:widowControl/>
        <w:numPr>
          <w:ilvl w:val="1"/>
          <w:numId w:val="0"/>
        </w:numPr>
        <w:spacing w:before="156" w:beforeLines="50" w:after="156" w:afterLines="50" w:line="240" w:lineRule="auto"/>
        <w:ind w:firstLine="480" w:firstLineChars="200"/>
        <w:jc w:val="left"/>
        <w:outlineLvl w:val="1"/>
        <w:rPr>
          <w:rFonts w:cs="Times New Roman"/>
          <w:color w:val="000000"/>
          <w:kern w:val="0"/>
          <w:sz w:val="24"/>
          <w:szCs w:val="24"/>
        </w:rPr>
      </w:pPr>
      <w:bookmarkStart w:id="73" w:name="_Toc164066139"/>
      <w:r>
        <w:rPr>
          <w:rFonts w:hint="eastAsia" w:cs="Times New Roman"/>
          <w:color w:val="000000"/>
          <w:kern w:val="0"/>
          <w:sz w:val="24"/>
          <w:szCs w:val="24"/>
        </w:rPr>
        <w:t>式中</w:t>
      </w:r>
      <m:oMath>
        <m:r>
          <m:rPr>
            <m:sty m:val="p"/>
          </m:rPr>
          <w:rPr>
            <w:rFonts w:hint="eastAsia" w:ascii="Cambria Math" w:hAnsi="Cambria Math" w:cs="Times New Roman"/>
            <w:color w:val="000000"/>
            <w:kern w:val="0"/>
            <w:sz w:val="24"/>
            <w:szCs w:val="24"/>
          </w:rPr>
          <m:t>：</m:t>
        </m:r>
      </m:oMath>
      <w:bookmarkEnd w:id="73"/>
    </w:p>
    <w:p>
      <w:pPr>
        <w:widowControl/>
        <w:numPr>
          <w:ilvl w:val="1"/>
          <w:numId w:val="0"/>
        </w:numPr>
        <w:spacing w:before="156" w:beforeLines="50" w:after="156" w:afterLines="50" w:line="240" w:lineRule="auto"/>
        <w:ind w:firstLine="960" w:firstLineChars="400"/>
        <w:jc w:val="left"/>
        <w:outlineLvl w:val="1"/>
        <w:rPr>
          <w:rFonts w:cs="Times New Roman"/>
          <w:color w:val="000000"/>
          <w:kern w:val="0"/>
          <w:sz w:val="24"/>
          <w:szCs w:val="24"/>
        </w:rPr>
      </w:pPr>
      <w:bookmarkStart w:id="74" w:name="_Toc164066140"/>
      <w:r>
        <w:rPr>
          <w:rFonts w:cs="Times New Roman"/>
          <w:color w:val="000000"/>
          <w:kern w:val="0"/>
          <w:sz w:val="24"/>
          <w:szCs w:val="24"/>
        </w:rPr>
        <w:t>F</w:t>
      </w:r>
      <w:r>
        <w:rPr>
          <w:rFonts w:hint="eastAsia" w:cs="Times New Roman"/>
          <w:color w:val="000000"/>
          <w:kern w:val="0"/>
          <w:sz w:val="24"/>
          <w:szCs w:val="24"/>
        </w:rPr>
        <w:t>---</w:t>
      </w:r>
      <w:r>
        <w:rPr>
          <w:rFonts w:cs="Times New Roman"/>
          <w:color w:val="000000"/>
          <w:kern w:val="0"/>
          <w:sz w:val="24"/>
          <w:szCs w:val="24"/>
        </w:rPr>
        <w:t>-</w:t>
      </w:r>
      <w:r>
        <w:rPr>
          <w:rFonts w:hint="eastAsia" w:cs="Times New Roman"/>
          <w:color w:val="000000"/>
          <w:kern w:val="0"/>
          <w:sz w:val="24"/>
          <w:szCs w:val="24"/>
        </w:rPr>
        <w:t>座浆料试样筛余百分数，%；</w:t>
      </w:r>
      <w:bookmarkEnd w:id="74"/>
    </w:p>
    <w:p>
      <w:pPr>
        <w:widowControl/>
        <w:numPr>
          <w:ilvl w:val="1"/>
          <w:numId w:val="0"/>
        </w:numPr>
        <w:spacing w:before="156" w:beforeLines="50" w:after="156" w:afterLines="50" w:line="240" w:lineRule="auto"/>
        <w:ind w:firstLine="960" w:firstLineChars="400"/>
        <w:jc w:val="left"/>
        <w:outlineLvl w:val="1"/>
        <w:rPr>
          <w:rFonts w:cs="Times New Roman"/>
          <w:color w:val="000000"/>
          <w:kern w:val="0"/>
          <w:sz w:val="24"/>
          <w:szCs w:val="24"/>
        </w:rPr>
      </w:pPr>
      <w:bookmarkStart w:id="75" w:name="_Toc164066141"/>
      <w:r>
        <w:rPr>
          <w:rFonts w:hint="eastAsia" w:cs="Times New Roman"/>
          <w:color w:val="000000"/>
          <w:kern w:val="0"/>
          <w:sz w:val="24"/>
          <w:szCs w:val="24"/>
        </w:rPr>
        <w:t>R---</w:t>
      </w:r>
      <w:r>
        <w:rPr>
          <w:rFonts w:cs="Times New Roman"/>
          <w:color w:val="000000"/>
          <w:kern w:val="0"/>
          <w:sz w:val="24"/>
          <w:szCs w:val="24"/>
        </w:rPr>
        <w:t>-</w:t>
      </w:r>
      <w:r>
        <w:rPr>
          <w:rFonts w:hint="eastAsia" w:cs="Times New Roman"/>
          <w:color w:val="000000"/>
          <w:kern w:val="0"/>
          <w:sz w:val="24"/>
          <w:szCs w:val="24"/>
        </w:rPr>
        <w:t>座浆料筛余物质量，单位为克（g）；</w:t>
      </w:r>
      <w:bookmarkEnd w:id="75"/>
    </w:p>
    <w:p>
      <w:pPr>
        <w:widowControl/>
        <w:numPr>
          <w:ilvl w:val="1"/>
          <w:numId w:val="0"/>
        </w:numPr>
        <w:spacing w:before="156" w:beforeLines="50" w:after="156" w:afterLines="50" w:line="240" w:lineRule="auto"/>
        <w:ind w:firstLine="960" w:firstLineChars="400"/>
        <w:jc w:val="left"/>
        <w:outlineLvl w:val="1"/>
        <w:rPr>
          <w:rFonts w:cs="Times New Roman"/>
          <w:color w:val="000000"/>
          <w:kern w:val="0"/>
          <w:sz w:val="24"/>
          <w:szCs w:val="24"/>
        </w:rPr>
      </w:pPr>
      <w:bookmarkStart w:id="76" w:name="_Toc164066142"/>
      <w:r>
        <w:rPr>
          <w:rFonts w:hint="eastAsia" w:cs="Times New Roman"/>
          <w:color w:val="000000"/>
          <w:kern w:val="0"/>
          <w:sz w:val="24"/>
          <w:szCs w:val="24"/>
        </w:rPr>
        <w:t>W----座浆料试样的质量，单位为克（g）。</w:t>
      </w:r>
      <w:bookmarkEnd w:id="76"/>
    </w:p>
    <w:p>
      <w:pPr>
        <w:widowControl/>
        <w:numPr>
          <w:ilvl w:val="1"/>
          <w:numId w:val="0"/>
        </w:numPr>
        <w:spacing w:before="156" w:beforeLines="50" w:after="156" w:afterLines="50" w:line="240" w:lineRule="auto"/>
        <w:ind w:left="1680" w:hanging="1680"/>
        <w:jc w:val="left"/>
        <w:outlineLvl w:val="1"/>
        <w:rPr>
          <w:rFonts w:cs="Times New Roman"/>
          <w:b/>
          <w:bCs/>
          <w:kern w:val="0"/>
          <w:sz w:val="24"/>
          <w:szCs w:val="24"/>
        </w:rPr>
      </w:pPr>
      <w:bookmarkStart w:id="77" w:name="_Toc164066143"/>
      <w:r>
        <w:rPr>
          <w:rFonts w:cs="Times New Roman"/>
          <w:b/>
          <w:bCs/>
          <w:kern w:val="0"/>
          <w:sz w:val="24"/>
          <w:szCs w:val="24"/>
        </w:rPr>
        <w:t xml:space="preserve">7.2  </w:t>
      </w:r>
      <w:r>
        <w:rPr>
          <w:rFonts w:hint="eastAsia" w:cs="Times New Roman"/>
          <w:b/>
          <w:bCs/>
          <w:kern w:val="0"/>
          <w:sz w:val="24"/>
          <w:szCs w:val="24"/>
        </w:rPr>
        <w:t>座浆料浆体性能试验方法</w:t>
      </w:r>
      <w:bookmarkEnd w:id="77"/>
    </w:p>
    <w:bookmarkEnd w:id="64"/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ind w:firstLine="0" w:firstLineChars="0"/>
        <w:rPr>
          <w:rFonts w:cs="Times New Roman"/>
          <w:kern w:val="0"/>
          <w:sz w:val="24"/>
          <w:szCs w:val="24"/>
        </w:rPr>
      </w:pPr>
      <w:r>
        <w:rPr>
          <w:rFonts w:cs="Times New Roman"/>
          <w:b/>
          <w:kern w:val="0"/>
          <w:sz w:val="24"/>
          <w:szCs w:val="24"/>
        </w:rPr>
        <w:t>7.2.1</w:t>
      </w:r>
      <w:r>
        <w:rPr>
          <w:rFonts w:cs="Times New Roman"/>
          <w:kern w:val="0"/>
          <w:sz w:val="24"/>
          <w:szCs w:val="24"/>
        </w:rPr>
        <w:t xml:space="preserve"> </w:t>
      </w:r>
      <w:r>
        <w:rPr>
          <w:rFonts w:hint="eastAsia" w:cs="Times New Roman"/>
          <w:kern w:val="0"/>
          <w:sz w:val="24"/>
          <w:szCs w:val="24"/>
        </w:rPr>
        <w:t>试验条件与浆体制备应符合附录 A 的要求。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ind w:firstLine="0" w:firstLineChars="0"/>
        <w:rPr>
          <w:rFonts w:cs="Times New Roman"/>
          <w:b/>
          <w:bCs/>
          <w:kern w:val="0"/>
          <w:sz w:val="24"/>
          <w:szCs w:val="24"/>
        </w:rPr>
      </w:pPr>
      <w:bookmarkStart w:id="78" w:name="_Hlk29372935"/>
      <w:r>
        <w:rPr>
          <w:rFonts w:cs="Times New Roman"/>
          <w:b/>
          <w:kern w:val="0"/>
          <w:sz w:val="24"/>
          <w:szCs w:val="24"/>
        </w:rPr>
        <w:t>7.2.2</w:t>
      </w:r>
      <w:r>
        <w:rPr>
          <w:rFonts w:cs="Times New Roman"/>
          <w:bCs/>
          <w:kern w:val="0"/>
          <w:sz w:val="24"/>
          <w:szCs w:val="24"/>
        </w:rPr>
        <w:t xml:space="preserve"> 流动</w:t>
      </w:r>
      <w:r>
        <w:rPr>
          <w:rFonts w:hint="eastAsia" w:cs="Times New Roman"/>
          <w:bCs/>
          <w:kern w:val="0"/>
          <w:sz w:val="24"/>
          <w:szCs w:val="24"/>
        </w:rPr>
        <w:t>度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ind w:firstLine="480"/>
        <w:rPr>
          <w:rFonts w:cs="Times New Roman"/>
          <w:color w:val="000000"/>
          <w:kern w:val="0"/>
          <w:sz w:val="24"/>
          <w:szCs w:val="24"/>
        </w:rPr>
      </w:pPr>
      <w:r>
        <w:rPr>
          <w:rFonts w:hint="eastAsia" w:cs="Times New Roman"/>
          <w:color w:val="000000"/>
          <w:kern w:val="0"/>
          <w:sz w:val="24"/>
          <w:szCs w:val="24"/>
        </w:rPr>
        <w:t>按</w:t>
      </w:r>
      <w:r>
        <w:rPr>
          <w:rFonts w:cs="Times New Roman"/>
          <w:color w:val="000000"/>
          <w:kern w:val="0"/>
          <w:sz w:val="24"/>
          <w:szCs w:val="24"/>
        </w:rPr>
        <w:t>GB/T2419</w:t>
      </w:r>
      <w:r>
        <w:rPr>
          <w:rFonts w:hint="eastAsia" w:cs="Times New Roman"/>
          <w:color w:val="000000"/>
          <w:kern w:val="0"/>
          <w:sz w:val="24"/>
          <w:szCs w:val="24"/>
        </w:rPr>
        <w:t>中的规定进行。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ind w:firstLine="0" w:firstLineChars="0"/>
        <w:rPr>
          <w:rFonts w:cs="Times New Roman"/>
          <w:bCs/>
          <w:kern w:val="0"/>
          <w:sz w:val="24"/>
          <w:szCs w:val="24"/>
        </w:rPr>
      </w:pPr>
      <w:bookmarkStart w:id="79" w:name="_Hlk29297879"/>
      <w:r>
        <w:rPr>
          <w:rFonts w:eastAsia="黑体" w:cs="Times New Roman"/>
          <w:b/>
          <w:kern w:val="0"/>
          <w:sz w:val="24"/>
          <w:szCs w:val="24"/>
        </w:rPr>
        <w:t>7.2.3</w:t>
      </w:r>
      <w:r>
        <w:rPr>
          <w:rFonts w:eastAsia="黑体" w:cs="Times New Roman"/>
          <w:bCs/>
          <w:kern w:val="0"/>
          <w:sz w:val="24"/>
          <w:szCs w:val="24"/>
        </w:rPr>
        <w:t xml:space="preserve"> </w:t>
      </w:r>
      <w:r>
        <w:rPr>
          <w:rFonts w:hint="eastAsia" w:ascii="宋体" w:hAnsi="宋体" w:cs="Times New Roman"/>
          <w:bCs/>
          <w:kern w:val="0"/>
          <w:sz w:val="24"/>
          <w:szCs w:val="24"/>
        </w:rPr>
        <w:t>抗压强度、抗折强度</w:t>
      </w:r>
    </w:p>
    <w:bookmarkEnd w:id="79"/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ind w:firstLine="480"/>
        <w:rPr>
          <w:rFonts w:cs="Times New Roman"/>
          <w:kern w:val="0"/>
          <w:sz w:val="24"/>
          <w:szCs w:val="24"/>
        </w:rPr>
      </w:pPr>
      <w:bookmarkStart w:id="80" w:name="_Hlk29297984"/>
      <w:r>
        <w:rPr>
          <w:rFonts w:hint="eastAsia" w:cs="Times New Roman"/>
          <w:kern w:val="0"/>
          <w:sz w:val="24"/>
          <w:szCs w:val="24"/>
        </w:rPr>
        <w:t>按GB/T 17671中的规定进行</w:t>
      </w:r>
      <w:r>
        <w:rPr>
          <w:rFonts w:cs="Times New Roman"/>
          <w:kern w:val="0"/>
          <w:sz w:val="24"/>
          <w:szCs w:val="24"/>
        </w:rPr>
        <w:t>。</w:t>
      </w:r>
    </w:p>
    <w:bookmarkEnd w:id="80"/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ind w:firstLine="0" w:firstLineChars="0"/>
        <w:rPr>
          <w:rFonts w:cs="Times New Roman"/>
          <w:bCs/>
          <w:kern w:val="0"/>
          <w:sz w:val="24"/>
          <w:szCs w:val="24"/>
        </w:rPr>
      </w:pPr>
      <w:r>
        <w:rPr>
          <w:rFonts w:eastAsia="黑体" w:cs="Times New Roman"/>
          <w:b/>
          <w:kern w:val="0"/>
          <w:sz w:val="24"/>
          <w:szCs w:val="24"/>
        </w:rPr>
        <w:t>7.2.5</w:t>
      </w:r>
      <w:r>
        <w:rPr>
          <w:rFonts w:eastAsia="黑体" w:cs="Times New Roman"/>
          <w:bCs/>
          <w:kern w:val="0"/>
          <w:sz w:val="24"/>
          <w:szCs w:val="24"/>
        </w:rPr>
        <w:t xml:space="preserve"> </w:t>
      </w:r>
      <w:r>
        <w:rPr>
          <w:rFonts w:hint="eastAsia" w:ascii="宋体" w:hAnsi="宋体" w:cs="Times New Roman"/>
          <w:bCs/>
          <w:kern w:val="0"/>
          <w:sz w:val="24"/>
          <w:szCs w:val="24"/>
        </w:rPr>
        <w:t>竖向膨胀率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ind w:firstLine="480"/>
        <w:rPr>
          <w:rFonts w:cs="Times New Roman"/>
          <w:kern w:val="0"/>
          <w:sz w:val="24"/>
          <w:szCs w:val="24"/>
        </w:rPr>
      </w:pPr>
      <w:r>
        <w:rPr>
          <w:rFonts w:cs="Times New Roman"/>
          <w:kern w:val="0"/>
          <w:sz w:val="24"/>
          <w:szCs w:val="24"/>
        </w:rPr>
        <w:t>按照</w:t>
      </w:r>
      <w:r>
        <w:rPr>
          <w:rFonts w:hint="eastAsia" w:cs="Times New Roman"/>
          <w:kern w:val="0"/>
          <w:sz w:val="24"/>
          <w:szCs w:val="24"/>
        </w:rPr>
        <w:t>附录B</w:t>
      </w:r>
      <w:r>
        <w:rPr>
          <w:rFonts w:cs="Times New Roman"/>
          <w:kern w:val="0"/>
          <w:sz w:val="24"/>
          <w:szCs w:val="24"/>
        </w:rPr>
        <w:t>进行。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ind w:firstLine="0" w:firstLineChars="0"/>
        <w:rPr>
          <w:rFonts w:eastAsia="黑体" w:cs="Times New Roman"/>
          <w:bCs/>
          <w:kern w:val="0"/>
          <w:sz w:val="24"/>
          <w:szCs w:val="24"/>
        </w:rPr>
      </w:pPr>
      <w:r>
        <w:rPr>
          <w:rFonts w:eastAsia="黑体" w:cs="Times New Roman"/>
          <w:b/>
          <w:kern w:val="0"/>
          <w:sz w:val="24"/>
          <w:szCs w:val="24"/>
        </w:rPr>
        <w:t>7.2.6</w:t>
      </w:r>
      <w:r>
        <w:rPr>
          <w:rFonts w:eastAsia="黑体" w:cs="Times New Roman"/>
          <w:bCs/>
          <w:kern w:val="0"/>
          <w:sz w:val="24"/>
          <w:szCs w:val="24"/>
        </w:rPr>
        <w:t xml:space="preserve"> </w:t>
      </w:r>
      <w:r>
        <w:rPr>
          <w:rFonts w:hint="eastAsia" w:ascii="宋体" w:hAnsi="宋体" w:cs="Times New Roman"/>
          <w:bCs/>
          <w:kern w:val="0"/>
          <w:sz w:val="24"/>
          <w:szCs w:val="24"/>
        </w:rPr>
        <w:t>自干燥收缩率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ind w:firstLine="480"/>
        <w:rPr>
          <w:rFonts w:cs="Times New Roman"/>
          <w:kern w:val="0"/>
          <w:sz w:val="24"/>
          <w:szCs w:val="24"/>
        </w:rPr>
      </w:pPr>
      <w:r>
        <w:rPr>
          <w:rFonts w:hint="eastAsia" w:cs="Times New Roman"/>
          <w:kern w:val="0"/>
          <w:sz w:val="24"/>
          <w:szCs w:val="24"/>
        </w:rPr>
        <w:t>按照</w:t>
      </w:r>
      <w:r>
        <w:rPr>
          <w:rFonts w:cs="Times New Roman"/>
          <w:kern w:val="0"/>
          <w:sz w:val="24"/>
          <w:szCs w:val="24"/>
        </w:rPr>
        <w:t>JG/T 408</w:t>
      </w:r>
      <w:r>
        <w:rPr>
          <w:rFonts w:hint="eastAsia" w:cs="Times New Roman"/>
          <w:kern w:val="0"/>
          <w:sz w:val="24"/>
          <w:szCs w:val="24"/>
        </w:rPr>
        <w:t>附录D</w:t>
      </w:r>
      <w:r>
        <w:rPr>
          <w:rFonts w:cs="Times New Roman"/>
          <w:kern w:val="0"/>
          <w:sz w:val="24"/>
          <w:szCs w:val="24"/>
        </w:rPr>
        <w:t>进行</w:t>
      </w:r>
      <w:r>
        <w:rPr>
          <w:rFonts w:hint="eastAsia" w:cs="Times New Roman"/>
          <w:kern w:val="0"/>
          <w:sz w:val="24"/>
          <w:szCs w:val="24"/>
        </w:rPr>
        <w:t>。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ind w:firstLine="0" w:firstLineChars="0"/>
        <w:rPr>
          <w:rFonts w:cs="Times New Roman"/>
          <w:bCs/>
          <w:kern w:val="0"/>
          <w:sz w:val="24"/>
          <w:szCs w:val="24"/>
        </w:rPr>
      </w:pPr>
      <w:r>
        <w:rPr>
          <w:rFonts w:cs="Times New Roman"/>
          <w:b/>
          <w:kern w:val="0"/>
          <w:sz w:val="24"/>
          <w:szCs w:val="24"/>
        </w:rPr>
        <w:t>7.2.7</w:t>
      </w:r>
      <w:r>
        <w:rPr>
          <w:rFonts w:cs="Times New Roman"/>
          <w:bCs/>
          <w:kern w:val="0"/>
          <w:sz w:val="24"/>
          <w:szCs w:val="24"/>
        </w:rPr>
        <w:t xml:space="preserve"> </w:t>
      </w:r>
      <w:r>
        <w:rPr>
          <w:rFonts w:hint="eastAsia" w:cs="Times New Roman"/>
          <w:bCs/>
          <w:kern w:val="0"/>
          <w:sz w:val="24"/>
          <w:szCs w:val="24"/>
        </w:rPr>
        <w:t>泌水率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ind w:firstLine="480"/>
        <w:rPr>
          <w:rFonts w:cs="Times New Roman"/>
          <w:kern w:val="0"/>
          <w:sz w:val="24"/>
          <w:szCs w:val="24"/>
        </w:rPr>
      </w:pPr>
      <w:r>
        <w:rPr>
          <w:rFonts w:hint="eastAsia" w:cs="Times New Roman"/>
          <w:kern w:val="0"/>
          <w:sz w:val="24"/>
          <w:szCs w:val="24"/>
        </w:rPr>
        <w:t>拌合后的座浆料直接装入容量筒，振动台振实，按照</w:t>
      </w:r>
      <w:r>
        <w:rPr>
          <w:rFonts w:cs="Times New Roman"/>
          <w:color w:val="000000"/>
          <w:kern w:val="0"/>
          <w:sz w:val="24"/>
          <w:szCs w:val="24"/>
        </w:rPr>
        <w:t>G</w:t>
      </w:r>
      <w:r>
        <w:rPr>
          <w:rFonts w:cs="Times New Roman"/>
          <w:kern w:val="0"/>
          <w:sz w:val="24"/>
          <w:szCs w:val="24"/>
        </w:rPr>
        <w:t>B/T 50080</w:t>
      </w:r>
      <w:r>
        <w:rPr>
          <w:rFonts w:hint="eastAsia" w:cs="Times New Roman"/>
          <w:kern w:val="0"/>
          <w:sz w:val="24"/>
          <w:szCs w:val="24"/>
        </w:rPr>
        <w:t>中的规定</w:t>
      </w:r>
      <w:r>
        <w:rPr>
          <w:rFonts w:cs="Times New Roman"/>
          <w:kern w:val="0"/>
          <w:sz w:val="24"/>
          <w:szCs w:val="24"/>
        </w:rPr>
        <w:t>进行。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ind w:firstLine="0" w:firstLineChars="0"/>
        <w:rPr>
          <w:rFonts w:cs="Times New Roman"/>
          <w:kern w:val="0"/>
          <w:sz w:val="24"/>
          <w:szCs w:val="24"/>
        </w:rPr>
      </w:pPr>
      <w:r>
        <w:rPr>
          <w:rFonts w:hint="eastAsia" w:cs="Times New Roman"/>
          <w:kern w:val="0"/>
          <w:sz w:val="24"/>
          <w:szCs w:val="24"/>
        </w:rPr>
        <w:t>7.2.8</w:t>
      </w:r>
      <w:r>
        <w:rPr>
          <w:rFonts w:cs="Times New Roman"/>
          <w:kern w:val="0"/>
          <w:sz w:val="24"/>
          <w:szCs w:val="24"/>
        </w:rPr>
        <w:t xml:space="preserve"> </w:t>
      </w:r>
      <w:r>
        <w:rPr>
          <w:rFonts w:hint="eastAsia" w:cs="Times New Roman"/>
          <w:kern w:val="0"/>
          <w:sz w:val="24"/>
          <w:szCs w:val="24"/>
        </w:rPr>
        <w:t>抗压疲劳变形试验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ind w:firstLine="480"/>
        <w:rPr>
          <w:rFonts w:cs="Times New Roman"/>
          <w:kern w:val="0"/>
          <w:sz w:val="24"/>
          <w:szCs w:val="24"/>
        </w:rPr>
      </w:pPr>
      <w:r>
        <w:rPr>
          <w:rFonts w:hint="eastAsia" w:cs="Times New Roman"/>
          <w:kern w:val="0"/>
          <w:sz w:val="24"/>
          <w:szCs w:val="24"/>
        </w:rPr>
        <w:t>按照GB/T 50082的规定进行。</w:t>
      </w:r>
    </w:p>
    <w:bookmarkEnd w:id="78"/>
    <w:p>
      <w:pPr>
        <w:widowControl/>
        <w:spacing w:before="312" w:beforeLines="100" w:after="312" w:afterLines="100" w:line="240" w:lineRule="auto"/>
        <w:ind w:firstLine="0" w:firstLineChars="0"/>
        <w:outlineLvl w:val="0"/>
        <w:rPr>
          <w:rFonts w:cs="Times New Roman"/>
          <w:b/>
          <w:kern w:val="0"/>
          <w:sz w:val="24"/>
          <w:szCs w:val="24"/>
        </w:rPr>
      </w:pPr>
      <w:bookmarkStart w:id="81" w:name="_Toc164066145"/>
      <w:bookmarkStart w:id="82" w:name="_Toc53215271"/>
      <w:r>
        <w:rPr>
          <w:rFonts w:cs="Times New Roman"/>
          <w:b/>
          <w:kern w:val="0"/>
          <w:sz w:val="24"/>
          <w:szCs w:val="24"/>
        </w:rPr>
        <w:t xml:space="preserve">8 </w:t>
      </w:r>
      <w:r>
        <w:rPr>
          <w:rFonts w:hint="eastAsia" w:cs="Times New Roman"/>
          <w:b/>
          <w:kern w:val="0"/>
          <w:sz w:val="24"/>
          <w:szCs w:val="24"/>
        </w:rPr>
        <w:t>检验规则</w:t>
      </w:r>
      <w:bookmarkEnd w:id="81"/>
      <w:bookmarkEnd w:id="82"/>
    </w:p>
    <w:p>
      <w:pPr>
        <w:widowControl/>
        <w:numPr>
          <w:ilvl w:val="1"/>
          <w:numId w:val="0"/>
        </w:numPr>
        <w:spacing w:before="156" w:beforeLines="50" w:after="156" w:afterLines="50" w:line="240" w:lineRule="auto"/>
        <w:ind w:left="1680" w:hanging="1680"/>
        <w:jc w:val="left"/>
        <w:outlineLvl w:val="1"/>
        <w:rPr>
          <w:rFonts w:cs="Times New Roman"/>
          <w:kern w:val="0"/>
          <w:sz w:val="24"/>
          <w:szCs w:val="24"/>
        </w:rPr>
      </w:pPr>
      <w:bookmarkStart w:id="83" w:name="_Toc164066146"/>
      <w:r>
        <w:rPr>
          <w:rFonts w:cs="Times New Roman"/>
          <w:b/>
          <w:bCs/>
          <w:kern w:val="0"/>
          <w:sz w:val="24"/>
          <w:szCs w:val="24"/>
        </w:rPr>
        <w:t>8.1</w:t>
      </w:r>
      <w:r>
        <w:rPr>
          <w:rFonts w:cs="Times New Roman"/>
          <w:b/>
          <w:bCs/>
          <w:kern w:val="0"/>
          <w:szCs w:val="21"/>
        </w:rPr>
        <w:t xml:space="preserve"> </w:t>
      </w:r>
      <w:r>
        <w:rPr>
          <w:rFonts w:hint="eastAsia" w:cs="Times New Roman"/>
          <w:b/>
          <w:bCs/>
          <w:kern w:val="0"/>
          <w:sz w:val="24"/>
          <w:szCs w:val="24"/>
        </w:rPr>
        <w:t>批量</w:t>
      </w:r>
      <w:bookmarkEnd w:id="83"/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ind w:firstLine="480"/>
        <w:rPr>
          <w:rFonts w:cs="Times New Roman"/>
          <w:kern w:val="0"/>
          <w:sz w:val="24"/>
          <w:szCs w:val="24"/>
        </w:rPr>
      </w:pPr>
      <w:r>
        <w:rPr>
          <w:rFonts w:cs="Times New Roman"/>
          <w:kern w:val="0"/>
          <w:sz w:val="24"/>
          <w:szCs w:val="24"/>
        </w:rPr>
        <w:t>出厂前按同品种编号和取样，每一批号为一取样单位，出厂批号按生产能力规定：日产量超过200t 时，以不超过200t为一批号</w:t>
      </w:r>
      <w:r>
        <w:rPr>
          <w:rFonts w:hint="eastAsia" w:cs="Times New Roman"/>
          <w:kern w:val="0"/>
          <w:sz w:val="24"/>
          <w:szCs w:val="24"/>
        </w:rPr>
        <w:t>；</w:t>
      </w:r>
      <w:r>
        <w:rPr>
          <w:rFonts w:cs="Times New Roman"/>
          <w:kern w:val="0"/>
          <w:sz w:val="24"/>
          <w:szCs w:val="24"/>
        </w:rPr>
        <w:t>不足200t时，应以不超过日产量为一批号。</w:t>
      </w:r>
    </w:p>
    <w:p>
      <w:pPr>
        <w:widowControl/>
        <w:numPr>
          <w:ilvl w:val="1"/>
          <w:numId w:val="0"/>
        </w:numPr>
        <w:spacing w:before="156" w:beforeLines="50" w:after="156" w:afterLines="50" w:line="240" w:lineRule="auto"/>
        <w:ind w:left="1680" w:hanging="1680"/>
        <w:jc w:val="left"/>
        <w:outlineLvl w:val="1"/>
        <w:rPr>
          <w:rFonts w:cs="Times New Roman"/>
          <w:b/>
          <w:bCs/>
          <w:kern w:val="0"/>
          <w:sz w:val="24"/>
          <w:szCs w:val="24"/>
        </w:rPr>
      </w:pPr>
      <w:bookmarkStart w:id="84" w:name="_Toc164066147"/>
      <w:r>
        <w:rPr>
          <w:rFonts w:cs="Times New Roman"/>
          <w:b/>
          <w:bCs/>
          <w:kern w:val="0"/>
          <w:sz w:val="24"/>
          <w:szCs w:val="24"/>
        </w:rPr>
        <w:t>8.2</w:t>
      </w:r>
      <w:r>
        <w:rPr>
          <w:rFonts w:hint="eastAsia" w:cs="Times New Roman"/>
          <w:b/>
          <w:bCs/>
          <w:kern w:val="0"/>
          <w:sz w:val="24"/>
          <w:szCs w:val="24"/>
        </w:rPr>
        <w:t xml:space="preserve"> 取样及留样</w:t>
      </w:r>
      <w:bookmarkEnd w:id="84"/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ind w:firstLine="480"/>
        <w:rPr>
          <w:rFonts w:cs="Times New Roman"/>
          <w:kern w:val="0"/>
          <w:sz w:val="24"/>
          <w:szCs w:val="24"/>
        </w:rPr>
      </w:pPr>
      <w:r>
        <w:rPr>
          <w:rFonts w:cs="Times New Roman"/>
          <w:kern w:val="0"/>
          <w:sz w:val="24"/>
          <w:szCs w:val="24"/>
        </w:rPr>
        <w:t>按下列要求取样及留样：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ind w:firstLine="480"/>
        <w:rPr>
          <w:rFonts w:cs="Times New Roman"/>
          <w:kern w:val="0"/>
          <w:sz w:val="24"/>
          <w:szCs w:val="24"/>
        </w:rPr>
      </w:pPr>
      <w:r>
        <w:rPr>
          <w:rFonts w:cs="Times New Roman"/>
          <w:kern w:val="0"/>
          <w:sz w:val="24"/>
          <w:szCs w:val="24"/>
        </w:rPr>
        <w:t>a） 取样应具有代表性；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ind w:firstLine="480"/>
        <w:rPr>
          <w:rFonts w:cs="Times New Roman"/>
          <w:kern w:val="0"/>
          <w:sz w:val="24"/>
          <w:szCs w:val="24"/>
        </w:rPr>
      </w:pPr>
      <w:r>
        <w:rPr>
          <w:rFonts w:cs="Times New Roman"/>
          <w:kern w:val="0"/>
          <w:sz w:val="24"/>
          <w:szCs w:val="24"/>
        </w:rPr>
        <w:t>b） 每一批取样量不少于25kg；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ind w:firstLine="480"/>
        <w:rPr>
          <w:rFonts w:cs="Times New Roman"/>
          <w:kern w:val="0"/>
          <w:sz w:val="24"/>
          <w:szCs w:val="24"/>
        </w:rPr>
      </w:pPr>
      <w:r>
        <w:rPr>
          <w:rFonts w:cs="Times New Roman"/>
          <w:kern w:val="0"/>
          <w:sz w:val="24"/>
          <w:szCs w:val="24"/>
        </w:rPr>
        <w:t>c） 取得的试样应充分混合均匀，分为两等份，一份按本标准规定的项目和方法进行试验，另一份密封保存90d，以备有疑问时交国家指定的检验机构进行复检和仲裁。</w:t>
      </w:r>
    </w:p>
    <w:p>
      <w:pPr>
        <w:widowControl/>
        <w:numPr>
          <w:ilvl w:val="1"/>
          <w:numId w:val="0"/>
        </w:numPr>
        <w:spacing w:before="156" w:beforeLines="50" w:after="156" w:afterLines="50" w:line="240" w:lineRule="auto"/>
        <w:ind w:left="1680" w:hanging="1680"/>
        <w:jc w:val="left"/>
        <w:outlineLvl w:val="1"/>
        <w:rPr>
          <w:rFonts w:cs="Times New Roman"/>
          <w:b/>
          <w:bCs/>
          <w:kern w:val="0"/>
          <w:sz w:val="24"/>
          <w:szCs w:val="24"/>
        </w:rPr>
      </w:pPr>
      <w:bookmarkStart w:id="85" w:name="_Toc164066148"/>
      <w:r>
        <w:rPr>
          <w:rFonts w:cs="Times New Roman"/>
          <w:b/>
          <w:bCs/>
          <w:kern w:val="0"/>
          <w:sz w:val="24"/>
          <w:szCs w:val="24"/>
        </w:rPr>
        <w:t>8.3</w:t>
      </w:r>
      <w:r>
        <w:rPr>
          <w:rFonts w:hint="eastAsia" w:cs="Times New Roman"/>
          <w:b/>
          <w:bCs/>
          <w:kern w:val="0"/>
          <w:sz w:val="24"/>
          <w:szCs w:val="24"/>
        </w:rPr>
        <w:t xml:space="preserve"> 出厂检验</w:t>
      </w:r>
      <w:bookmarkEnd w:id="85"/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ind w:firstLine="480"/>
        <w:rPr>
          <w:rFonts w:cs="Times New Roman"/>
          <w:kern w:val="0"/>
          <w:sz w:val="24"/>
          <w:szCs w:val="24"/>
        </w:rPr>
      </w:pPr>
      <w:r>
        <w:rPr>
          <w:rFonts w:cs="Times New Roman"/>
          <w:kern w:val="0"/>
          <w:sz w:val="24"/>
          <w:szCs w:val="24"/>
        </w:rPr>
        <w:t>产品出厂时应进行出厂检验。</w:t>
      </w:r>
      <w:r>
        <w:rPr>
          <w:rFonts w:hint="eastAsia" w:cs="Times New Roman"/>
          <w:kern w:val="0"/>
          <w:sz w:val="24"/>
          <w:szCs w:val="24"/>
        </w:rPr>
        <w:t>常温型</w:t>
      </w:r>
      <w:r>
        <w:rPr>
          <w:rFonts w:cs="Times New Roman"/>
          <w:kern w:val="0"/>
          <w:sz w:val="24"/>
          <w:szCs w:val="24"/>
        </w:rPr>
        <w:t>座浆料</w:t>
      </w:r>
      <w:r>
        <w:rPr>
          <w:rFonts w:hint="eastAsia" w:cs="Times New Roman"/>
          <w:kern w:val="0"/>
          <w:sz w:val="24"/>
          <w:szCs w:val="24"/>
          <w:lang w:val="en-US" w:eastAsia="zh-CN"/>
        </w:rPr>
        <w:t>和高温型座浆料</w:t>
      </w:r>
      <w:r>
        <w:rPr>
          <w:rFonts w:cs="Times New Roman"/>
          <w:kern w:val="0"/>
          <w:sz w:val="24"/>
          <w:szCs w:val="24"/>
        </w:rPr>
        <w:t>出厂检验项目应包括</w:t>
      </w:r>
      <w:r>
        <w:rPr>
          <w:rFonts w:cs="Times New Roman"/>
          <w:color w:val="000000"/>
          <w:kern w:val="0"/>
          <w:sz w:val="24"/>
          <w:szCs w:val="24"/>
        </w:rPr>
        <w:t>：</w:t>
      </w:r>
      <w:r>
        <w:rPr>
          <w:rFonts w:hint="eastAsia" w:cs="Times New Roman"/>
          <w:color w:val="000000"/>
          <w:kern w:val="0"/>
          <w:sz w:val="24"/>
          <w:szCs w:val="24"/>
        </w:rPr>
        <w:t>含水率、细度、</w:t>
      </w:r>
      <w:r>
        <w:rPr>
          <w:rFonts w:cs="Times New Roman"/>
          <w:color w:val="000000"/>
          <w:kern w:val="0"/>
          <w:sz w:val="24"/>
          <w:szCs w:val="24"/>
        </w:rPr>
        <w:t>流动</w:t>
      </w:r>
      <w:r>
        <w:rPr>
          <w:rFonts w:hint="eastAsia" w:cs="Times New Roman"/>
          <w:color w:val="000000"/>
          <w:kern w:val="0"/>
          <w:sz w:val="24"/>
          <w:szCs w:val="24"/>
        </w:rPr>
        <w:t>度、泌水率</w:t>
      </w:r>
      <w:r>
        <w:rPr>
          <w:rFonts w:cs="Times New Roman"/>
          <w:color w:val="000000"/>
          <w:kern w:val="0"/>
          <w:sz w:val="24"/>
          <w:szCs w:val="24"/>
        </w:rPr>
        <w:t>、抗压强度(1d、3d)</w:t>
      </w:r>
      <w:r>
        <w:rPr>
          <w:rFonts w:hint="eastAsia" w:cs="Times New Roman"/>
          <w:color w:val="000000"/>
          <w:kern w:val="0"/>
          <w:sz w:val="24"/>
          <w:szCs w:val="24"/>
        </w:rPr>
        <w:t>；低温型座浆料</w:t>
      </w:r>
      <w:r>
        <w:rPr>
          <w:rFonts w:hint="eastAsia" w:cs="Times New Roman"/>
          <w:color w:val="000000"/>
          <w:kern w:val="0"/>
          <w:sz w:val="24"/>
          <w:szCs w:val="24"/>
          <w:lang w:val="en-US" w:eastAsia="zh-CN"/>
        </w:rPr>
        <w:t>和负温型座浆料</w:t>
      </w:r>
      <w:r>
        <w:rPr>
          <w:rFonts w:hint="eastAsia" w:cs="Times New Roman"/>
          <w:color w:val="000000"/>
          <w:kern w:val="0"/>
          <w:sz w:val="24"/>
          <w:szCs w:val="24"/>
        </w:rPr>
        <w:t>出厂检验项目应包括：含水率、细度、流动度</w:t>
      </w:r>
      <w:r>
        <w:rPr>
          <w:rFonts w:hint="eastAsia" w:cs="Times New Roman"/>
          <w:kern w:val="0"/>
          <w:sz w:val="24"/>
          <w:szCs w:val="24"/>
        </w:rPr>
        <w:t>、泌水率</w:t>
      </w:r>
      <w:r>
        <w:rPr>
          <w:rFonts w:hint="eastAsia" w:cs="Times New Roman"/>
          <w:color w:val="000000"/>
          <w:kern w:val="0"/>
          <w:sz w:val="24"/>
          <w:szCs w:val="24"/>
        </w:rPr>
        <w:t>、抗压强度（</w:t>
      </w:r>
      <w:r>
        <w:rPr>
          <w:rFonts w:cs="Times New Roman"/>
          <w:color w:val="000000"/>
          <w:kern w:val="0"/>
          <w:sz w:val="24"/>
          <w:szCs w:val="24"/>
        </w:rPr>
        <w:t>-1d</w:t>
      </w:r>
      <w:r>
        <w:rPr>
          <w:rFonts w:hint="eastAsia" w:cs="Times New Roman"/>
          <w:color w:val="000000"/>
          <w:kern w:val="0"/>
          <w:sz w:val="24"/>
          <w:szCs w:val="24"/>
        </w:rPr>
        <w:t>、</w:t>
      </w:r>
      <w:r>
        <w:rPr>
          <w:rFonts w:cs="Times New Roman"/>
          <w:color w:val="000000"/>
          <w:kern w:val="0"/>
          <w:sz w:val="24"/>
          <w:szCs w:val="24"/>
        </w:rPr>
        <w:t>-3d</w:t>
      </w:r>
      <w:r>
        <w:rPr>
          <w:rFonts w:hint="eastAsia" w:cs="Times New Roman"/>
          <w:kern w:val="0"/>
          <w:sz w:val="24"/>
          <w:szCs w:val="24"/>
        </w:rPr>
        <w:t>）。</w:t>
      </w:r>
    </w:p>
    <w:p>
      <w:pPr>
        <w:widowControl/>
        <w:numPr>
          <w:ilvl w:val="1"/>
          <w:numId w:val="0"/>
        </w:numPr>
        <w:spacing w:before="156" w:beforeLines="50" w:after="156" w:afterLines="50" w:line="240" w:lineRule="auto"/>
        <w:ind w:left="1680" w:hanging="1680"/>
        <w:jc w:val="left"/>
        <w:outlineLvl w:val="1"/>
        <w:rPr>
          <w:rFonts w:cs="Times New Roman"/>
          <w:b/>
          <w:bCs/>
          <w:color w:val="FF0000"/>
          <w:kern w:val="0"/>
          <w:sz w:val="24"/>
          <w:szCs w:val="24"/>
        </w:rPr>
      </w:pPr>
      <w:bookmarkStart w:id="86" w:name="_Toc164066149"/>
      <w:r>
        <w:rPr>
          <w:rFonts w:cs="Times New Roman"/>
          <w:b/>
          <w:bCs/>
          <w:kern w:val="0"/>
          <w:sz w:val="24"/>
          <w:szCs w:val="24"/>
        </w:rPr>
        <w:t xml:space="preserve">8.4 </w:t>
      </w:r>
      <w:r>
        <w:rPr>
          <w:rFonts w:hint="eastAsia" w:cs="Times New Roman"/>
          <w:b/>
          <w:bCs/>
          <w:kern w:val="0"/>
          <w:sz w:val="24"/>
          <w:szCs w:val="24"/>
        </w:rPr>
        <w:t>型式检验</w:t>
      </w:r>
      <w:bookmarkEnd w:id="86"/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ind w:firstLine="480"/>
        <w:rPr>
          <w:rFonts w:ascii="宋体" w:cs="Times New Roman"/>
          <w:color w:val="000000"/>
          <w:kern w:val="0"/>
          <w:sz w:val="24"/>
          <w:szCs w:val="24"/>
        </w:rPr>
      </w:pPr>
      <w:r>
        <w:rPr>
          <w:rFonts w:ascii="宋体" w:hAnsi="宋体" w:cs="Times New Roman"/>
          <w:color w:val="000000"/>
          <w:kern w:val="0"/>
          <w:sz w:val="24"/>
          <w:szCs w:val="24"/>
        </w:rPr>
        <w:t>相应产品的型式检验项目应包括</w:t>
      </w:r>
      <w:r>
        <w:rPr>
          <w:rFonts w:hint="eastAsia" w:ascii="宋体" w:hAnsi="宋体" w:cs="Times New Roman"/>
          <w:color w:val="000000"/>
          <w:kern w:val="0"/>
          <w:sz w:val="24"/>
          <w:szCs w:val="24"/>
        </w:rPr>
        <w:t>第6章</w:t>
      </w:r>
      <w:r>
        <w:rPr>
          <w:rFonts w:ascii="宋体" w:hAnsi="宋体" w:cs="Times New Roman"/>
          <w:color w:val="000000"/>
          <w:kern w:val="0"/>
          <w:sz w:val="24"/>
          <w:szCs w:val="24"/>
        </w:rPr>
        <w:t>中</w:t>
      </w:r>
      <w:r>
        <w:rPr>
          <w:rFonts w:hint="eastAsia" w:ascii="宋体" w:hAnsi="宋体" w:cs="Times New Roman"/>
          <w:color w:val="000000"/>
          <w:kern w:val="0"/>
          <w:sz w:val="24"/>
          <w:szCs w:val="24"/>
        </w:rPr>
        <w:t>表1、表2和表3</w:t>
      </w:r>
      <w:r>
        <w:rPr>
          <w:rFonts w:ascii="宋体" w:hAnsi="宋体" w:cs="Times New Roman"/>
          <w:color w:val="000000"/>
          <w:kern w:val="0"/>
          <w:sz w:val="24"/>
          <w:szCs w:val="24"/>
        </w:rPr>
        <w:t>，有下列情况之一者，应进行型式检验：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ind w:firstLine="480"/>
        <w:rPr>
          <w:rFonts w:cs="Times New Roman"/>
          <w:color w:val="000000"/>
          <w:kern w:val="0"/>
          <w:sz w:val="24"/>
          <w:szCs w:val="24"/>
        </w:rPr>
      </w:pPr>
      <w:r>
        <w:rPr>
          <w:rFonts w:hAnsi="宋体" w:cs="Times New Roman"/>
          <w:color w:val="000000"/>
          <w:kern w:val="0"/>
          <w:sz w:val="24"/>
          <w:szCs w:val="24"/>
        </w:rPr>
        <w:t xml:space="preserve"> a） 正常生产时，每一年至少进行一次检验；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ind w:firstLine="480"/>
        <w:rPr>
          <w:rFonts w:cs="Times New Roman"/>
          <w:color w:val="000000"/>
          <w:kern w:val="0"/>
          <w:sz w:val="24"/>
          <w:szCs w:val="24"/>
        </w:rPr>
      </w:pPr>
      <w:r>
        <w:rPr>
          <w:rFonts w:hAnsi="宋体" w:cs="Times New Roman"/>
          <w:color w:val="000000"/>
          <w:kern w:val="0"/>
          <w:sz w:val="24"/>
          <w:szCs w:val="24"/>
        </w:rPr>
        <w:t xml:space="preserve"> b） 新产品或老产品转厂生产的试制定型鉴定；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ind w:firstLine="480"/>
        <w:rPr>
          <w:rFonts w:cs="Times New Roman"/>
          <w:color w:val="000000"/>
          <w:kern w:val="0"/>
          <w:sz w:val="24"/>
          <w:szCs w:val="24"/>
        </w:rPr>
      </w:pPr>
      <w:r>
        <w:rPr>
          <w:rFonts w:hAnsi="宋体" w:cs="Times New Roman"/>
          <w:color w:val="000000"/>
          <w:kern w:val="0"/>
          <w:sz w:val="24"/>
          <w:szCs w:val="24"/>
        </w:rPr>
        <w:t xml:space="preserve"> c） 正式生产后，如材料、工艺有较大改变，可能影响产品性能时；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ind w:firstLine="480"/>
        <w:rPr>
          <w:rFonts w:cs="Times New Roman"/>
          <w:color w:val="000000"/>
          <w:kern w:val="0"/>
          <w:sz w:val="24"/>
          <w:szCs w:val="24"/>
        </w:rPr>
      </w:pPr>
      <w:r>
        <w:rPr>
          <w:rFonts w:hAnsi="宋体" w:cs="Times New Roman"/>
          <w:color w:val="000000"/>
          <w:kern w:val="0"/>
          <w:sz w:val="24"/>
          <w:szCs w:val="24"/>
        </w:rPr>
        <w:t xml:space="preserve"> d） 出厂检验结果与上次型式检验有较大差异时；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ind w:firstLine="480"/>
        <w:rPr>
          <w:rFonts w:cs="Times New Roman"/>
          <w:color w:val="000000"/>
          <w:kern w:val="0"/>
          <w:sz w:val="24"/>
          <w:szCs w:val="24"/>
        </w:rPr>
      </w:pPr>
      <w:r>
        <w:rPr>
          <w:rFonts w:hAnsi="宋体" w:cs="Times New Roman"/>
          <w:color w:val="000000"/>
          <w:kern w:val="0"/>
          <w:sz w:val="24"/>
          <w:szCs w:val="24"/>
        </w:rPr>
        <w:t xml:space="preserve"> e） 国家质量监督机构提出进行型式检验要求时。</w:t>
      </w:r>
    </w:p>
    <w:p>
      <w:pPr>
        <w:widowControl/>
        <w:numPr>
          <w:ilvl w:val="1"/>
          <w:numId w:val="0"/>
        </w:numPr>
        <w:spacing w:before="156" w:beforeLines="50" w:after="156" w:afterLines="50" w:line="240" w:lineRule="auto"/>
        <w:ind w:left="1680" w:hanging="1680"/>
        <w:jc w:val="left"/>
        <w:outlineLvl w:val="1"/>
        <w:rPr>
          <w:rFonts w:cs="Times New Roman"/>
          <w:b/>
          <w:bCs/>
          <w:color w:val="FF0000"/>
          <w:kern w:val="0"/>
          <w:sz w:val="24"/>
          <w:szCs w:val="24"/>
        </w:rPr>
      </w:pPr>
      <w:bookmarkStart w:id="87" w:name="_Toc164066150"/>
      <w:r>
        <w:rPr>
          <w:rFonts w:cs="Times New Roman"/>
          <w:b/>
          <w:bCs/>
          <w:kern w:val="0"/>
          <w:sz w:val="24"/>
          <w:szCs w:val="24"/>
        </w:rPr>
        <w:t xml:space="preserve">8.5 </w:t>
      </w:r>
      <w:r>
        <w:rPr>
          <w:rFonts w:hint="eastAsia" w:cs="Times New Roman"/>
          <w:b/>
          <w:bCs/>
          <w:kern w:val="0"/>
          <w:sz w:val="24"/>
          <w:szCs w:val="24"/>
        </w:rPr>
        <w:t>判定规则</w:t>
      </w:r>
      <w:bookmarkEnd w:id="87"/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ind w:firstLine="480"/>
        <w:rPr>
          <w:rFonts w:cs="Times New Roman"/>
          <w:color w:val="000000"/>
          <w:kern w:val="0"/>
          <w:sz w:val="24"/>
          <w:szCs w:val="24"/>
        </w:rPr>
      </w:pPr>
      <w:r>
        <w:rPr>
          <w:rFonts w:cs="Times New Roman"/>
          <w:color w:val="000000"/>
          <w:kern w:val="0"/>
          <w:sz w:val="24"/>
          <w:szCs w:val="24"/>
        </w:rPr>
        <w:t>进行出厂检验时，检验结果全部符合出厂检验指标要求时，则判定合格，否则为不合格。进行型式检验时，检验结果</w:t>
      </w:r>
      <w:r>
        <w:rPr>
          <w:rFonts w:cs="Times New Roman"/>
          <w:color w:val="000000"/>
          <w:kern w:val="0"/>
          <w:sz w:val="24"/>
          <w:szCs w:val="24"/>
          <w:highlight w:val="none"/>
        </w:rPr>
        <w:t>全部符合第6</w:t>
      </w:r>
      <w:r>
        <w:rPr>
          <w:rFonts w:hint="eastAsia" w:cs="Times New Roman"/>
          <w:color w:val="000000"/>
          <w:kern w:val="0"/>
          <w:sz w:val="24"/>
          <w:szCs w:val="24"/>
          <w:highlight w:val="none"/>
        </w:rPr>
        <w:t>章</w:t>
      </w:r>
      <w:r>
        <w:rPr>
          <w:rFonts w:cs="Times New Roman"/>
          <w:color w:val="000000"/>
          <w:kern w:val="0"/>
          <w:sz w:val="24"/>
          <w:szCs w:val="24"/>
          <w:highlight w:val="none"/>
        </w:rPr>
        <w:t>中的所有项目</w:t>
      </w:r>
      <w:r>
        <w:rPr>
          <w:rFonts w:cs="Times New Roman"/>
          <w:color w:val="000000"/>
          <w:kern w:val="0"/>
          <w:sz w:val="24"/>
          <w:szCs w:val="24"/>
        </w:rPr>
        <w:t>的指标要求时，则判定合格，否则为不合格。</w:t>
      </w:r>
    </w:p>
    <w:p>
      <w:pPr>
        <w:widowControl/>
        <w:numPr>
          <w:ilvl w:val="1"/>
          <w:numId w:val="0"/>
        </w:numPr>
        <w:spacing w:before="156" w:beforeLines="50" w:after="156" w:afterLines="50" w:line="240" w:lineRule="auto"/>
        <w:ind w:left="1680" w:hanging="1680"/>
        <w:jc w:val="left"/>
        <w:outlineLvl w:val="1"/>
        <w:rPr>
          <w:rFonts w:cs="Times New Roman"/>
          <w:b/>
          <w:bCs/>
          <w:color w:val="000000"/>
          <w:kern w:val="0"/>
          <w:sz w:val="24"/>
          <w:szCs w:val="24"/>
        </w:rPr>
      </w:pPr>
      <w:bookmarkStart w:id="88" w:name="_Toc164066151"/>
      <w:r>
        <w:rPr>
          <w:rFonts w:cs="Times New Roman"/>
          <w:b/>
          <w:bCs/>
          <w:kern w:val="0"/>
          <w:sz w:val="24"/>
          <w:szCs w:val="24"/>
        </w:rPr>
        <w:t xml:space="preserve">8.6 </w:t>
      </w:r>
      <w:r>
        <w:rPr>
          <w:rFonts w:hint="eastAsia" w:cs="Times New Roman"/>
          <w:b/>
          <w:bCs/>
          <w:kern w:val="0"/>
          <w:sz w:val="24"/>
          <w:szCs w:val="24"/>
        </w:rPr>
        <w:t>出厂检验报告</w:t>
      </w:r>
      <w:bookmarkEnd w:id="88"/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ind w:firstLine="480"/>
        <w:rPr>
          <w:rFonts w:cs="Times New Roman"/>
          <w:color w:val="000000"/>
          <w:kern w:val="0"/>
          <w:sz w:val="24"/>
          <w:szCs w:val="24"/>
        </w:rPr>
      </w:pPr>
      <w:r>
        <w:rPr>
          <w:rFonts w:cs="Times New Roman"/>
          <w:color w:val="000000"/>
          <w:kern w:val="0"/>
          <w:sz w:val="24"/>
          <w:szCs w:val="24"/>
        </w:rPr>
        <w:t>检验报告内容应包括出厂检验项目以及合同约定的其他技术要求。</w:t>
      </w:r>
    </w:p>
    <w:p>
      <w:pPr>
        <w:widowControl/>
        <w:spacing w:before="312" w:beforeLines="100" w:after="312" w:afterLines="100" w:line="240" w:lineRule="auto"/>
        <w:ind w:firstLine="0" w:firstLineChars="0"/>
        <w:outlineLvl w:val="0"/>
        <w:rPr>
          <w:rFonts w:cs="Times New Roman"/>
          <w:b/>
          <w:kern w:val="0"/>
          <w:sz w:val="24"/>
          <w:szCs w:val="24"/>
        </w:rPr>
      </w:pPr>
      <w:bookmarkStart w:id="89" w:name="_Toc53215272"/>
      <w:bookmarkStart w:id="90" w:name="_Toc164066152"/>
      <w:r>
        <w:rPr>
          <w:rFonts w:cs="Times New Roman"/>
          <w:b/>
          <w:kern w:val="0"/>
          <w:sz w:val="24"/>
          <w:szCs w:val="24"/>
        </w:rPr>
        <w:t xml:space="preserve">9 </w:t>
      </w:r>
      <w:r>
        <w:rPr>
          <w:rFonts w:hint="eastAsia" w:cs="Times New Roman"/>
          <w:b/>
          <w:kern w:val="0"/>
          <w:sz w:val="24"/>
          <w:szCs w:val="24"/>
        </w:rPr>
        <w:t>包装、标志、运输和贮存</w:t>
      </w:r>
      <w:bookmarkEnd w:id="89"/>
      <w:bookmarkEnd w:id="90"/>
    </w:p>
    <w:p>
      <w:pPr>
        <w:widowControl/>
        <w:numPr>
          <w:ilvl w:val="1"/>
          <w:numId w:val="0"/>
        </w:numPr>
        <w:spacing w:before="156" w:beforeLines="50" w:after="156" w:afterLines="50" w:line="240" w:lineRule="auto"/>
        <w:ind w:left="1680" w:hanging="1680"/>
        <w:jc w:val="left"/>
        <w:outlineLvl w:val="1"/>
        <w:rPr>
          <w:rFonts w:cs="Times New Roman"/>
          <w:b/>
          <w:bCs/>
          <w:kern w:val="0"/>
          <w:sz w:val="24"/>
          <w:szCs w:val="24"/>
        </w:rPr>
      </w:pPr>
      <w:bookmarkStart w:id="91" w:name="_Toc164066153"/>
      <w:r>
        <w:rPr>
          <w:rFonts w:cs="Times New Roman"/>
          <w:b/>
          <w:bCs/>
          <w:kern w:val="0"/>
          <w:sz w:val="24"/>
          <w:szCs w:val="24"/>
        </w:rPr>
        <w:t xml:space="preserve">9.1 </w:t>
      </w:r>
      <w:r>
        <w:rPr>
          <w:rFonts w:hint="eastAsia" w:cs="Times New Roman"/>
          <w:b/>
          <w:bCs/>
          <w:kern w:val="0"/>
          <w:sz w:val="24"/>
          <w:szCs w:val="24"/>
        </w:rPr>
        <w:t>包装</w:t>
      </w:r>
      <w:bookmarkEnd w:id="91"/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ind w:firstLine="480"/>
        <w:rPr>
          <w:rFonts w:cs="Times New Roman"/>
          <w:color w:val="000000"/>
          <w:kern w:val="0"/>
          <w:sz w:val="24"/>
          <w:szCs w:val="24"/>
        </w:rPr>
      </w:pPr>
      <w:r>
        <w:rPr>
          <w:rFonts w:cs="Times New Roman"/>
          <w:color w:val="000000"/>
          <w:kern w:val="0"/>
          <w:sz w:val="24"/>
          <w:szCs w:val="24"/>
        </w:rPr>
        <w:t>产品使用防潮袋包装。袋装产品每袋净重25kg</w:t>
      </w:r>
      <w:r>
        <w:rPr>
          <w:rFonts w:hint="eastAsia" w:cs="Times New Roman"/>
          <w:color w:val="000000"/>
          <w:kern w:val="0"/>
          <w:sz w:val="24"/>
          <w:szCs w:val="24"/>
        </w:rPr>
        <w:t>，</w:t>
      </w:r>
      <w:r>
        <w:rPr>
          <w:rFonts w:cs="Times New Roman"/>
          <w:color w:val="000000"/>
          <w:kern w:val="0"/>
          <w:sz w:val="24"/>
          <w:szCs w:val="24"/>
        </w:rPr>
        <w:t>随机抽取40袋产品，其总净含量不得少于1000kg。其他包装形式由供需双方协商确定。</w:t>
      </w:r>
    </w:p>
    <w:p>
      <w:pPr>
        <w:widowControl/>
        <w:numPr>
          <w:ilvl w:val="1"/>
          <w:numId w:val="0"/>
        </w:numPr>
        <w:spacing w:before="156" w:beforeLines="50" w:after="156" w:afterLines="50" w:line="240" w:lineRule="auto"/>
        <w:ind w:left="1680" w:hanging="1680"/>
        <w:jc w:val="left"/>
        <w:outlineLvl w:val="1"/>
        <w:rPr>
          <w:rFonts w:cs="Times New Roman"/>
          <w:b/>
          <w:bCs/>
          <w:kern w:val="0"/>
          <w:sz w:val="24"/>
          <w:szCs w:val="24"/>
        </w:rPr>
      </w:pPr>
      <w:bookmarkStart w:id="92" w:name="_Toc164066154"/>
      <w:r>
        <w:rPr>
          <w:rFonts w:cs="Times New Roman"/>
          <w:b/>
          <w:bCs/>
          <w:kern w:val="0"/>
          <w:sz w:val="24"/>
          <w:szCs w:val="24"/>
        </w:rPr>
        <w:t xml:space="preserve">9.2 </w:t>
      </w:r>
      <w:r>
        <w:rPr>
          <w:rFonts w:hint="eastAsia" w:cs="Times New Roman"/>
          <w:b/>
          <w:bCs/>
          <w:kern w:val="0"/>
          <w:sz w:val="24"/>
          <w:szCs w:val="24"/>
        </w:rPr>
        <w:t>标志</w:t>
      </w:r>
      <w:bookmarkEnd w:id="92"/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ind w:firstLine="480"/>
        <w:rPr>
          <w:rFonts w:cs="Times New Roman"/>
          <w:kern w:val="0"/>
          <w:sz w:val="24"/>
          <w:szCs w:val="24"/>
        </w:rPr>
      </w:pPr>
      <w:r>
        <w:rPr>
          <w:rFonts w:hint="eastAsia" w:cs="Times New Roman"/>
          <w:kern w:val="0"/>
          <w:sz w:val="24"/>
          <w:szCs w:val="24"/>
        </w:rPr>
        <w:t>所有包装袋上均应在明显位置清楚标明：产品名称、标记型号、净重量、生产厂家（包括单位地址、电话）、出厂编号、生产日期。保质期、水料比等内容应于产品合格证上予以说明。</w:t>
      </w:r>
    </w:p>
    <w:p>
      <w:pPr>
        <w:widowControl/>
        <w:numPr>
          <w:ilvl w:val="1"/>
          <w:numId w:val="0"/>
        </w:numPr>
        <w:spacing w:before="156" w:beforeLines="50" w:after="156" w:afterLines="50" w:line="240" w:lineRule="auto"/>
        <w:ind w:left="1680" w:hanging="1680"/>
        <w:jc w:val="left"/>
        <w:outlineLvl w:val="1"/>
        <w:rPr>
          <w:rFonts w:cs="Times New Roman"/>
          <w:b/>
          <w:bCs/>
          <w:kern w:val="0"/>
          <w:sz w:val="24"/>
          <w:szCs w:val="24"/>
        </w:rPr>
      </w:pPr>
      <w:bookmarkStart w:id="93" w:name="_Toc164066155"/>
      <w:r>
        <w:rPr>
          <w:rFonts w:cs="Times New Roman"/>
          <w:b/>
          <w:bCs/>
          <w:kern w:val="0"/>
          <w:sz w:val="24"/>
          <w:szCs w:val="24"/>
        </w:rPr>
        <w:t xml:space="preserve">9.3 </w:t>
      </w:r>
      <w:r>
        <w:rPr>
          <w:rFonts w:hint="eastAsia" w:cs="Times New Roman"/>
          <w:b/>
          <w:bCs/>
          <w:kern w:val="0"/>
          <w:sz w:val="24"/>
          <w:szCs w:val="24"/>
        </w:rPr>
        <w:t>贮存、运输</w:t>
      </w:r>
      <w:bookmarkEnd w:id="93"/>
      <w:r>
        <w:rPr>
          <w:rFonts w:cs="Times New Roman"/>
          <w:b/>
          <w:bCs/>
          <w:kern w:val="0"/>
          <w:sz w:val="24"/>
          <w:szCs w:val="24"/>
        </w:rPr>
        <w:t xml:space="preserve"> 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ind w:firstLine="0" w:firstLineChars="0"/>
        <w:rPr>
          <w:rFonts w:cs="Times New Roman"/>
          <w:kern w:val="0"/>
          <w:sz w:val="24"/>
          <w:szCs w:val="24"/>
        </w:rPr>
      </w:pPr>
      <w:r>
        <w:rPr>
          <w:rFonts w:cs="Times New Roman"/>
          <w:b/>
          <w:kern w:val="0"/>
          <w:sz w:val="24"/>
          <w:szCs w:val="24"/>
        </w:rPr>
        <w:t>9.3.1</w:t>
      </w:r>
      <w:r>
        <w:rPr>
          <w:rFonts w:cs="Times New Roman"/>
          <w:kern w:val="0"/>
          <w:sz w:val="24"/>
          <w:szCs w:val="24"/>
        </w:rPr>
        <w:t xml:space="preserve"> </w:t>
      </w:r>
      <w:r>
        <w:rPr>
          <w:rFonts w:hint="eastAsia" w:cs="Times New Roman"/>
          <w:kern w:val="0"/>
          <w:sz w:val="24"/>
          <w:szCs w:val="24"/>
        </w:rPr>
        <w:t>产品应贮存于专用仓库或固定的干燥通风场所，以易于识别和便于检查、提货为原则。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ind w:firstLine="0" w:firstLineChars="0"/>
        <w:rPr>
          <w:rFonts w:cs="Times New Roman"/>
          <w:kern w:val="0"/>
          <w:sz w:val="24"/>
          <w:szCs w:val="24"/>
        </w:rPr>
      </w:pPr>
      <w:r>
        <w:rPr>
          <w:rFonts w:cs="Times New Roman"/>
          <w:b/>
          <w:kern w:val="0"/>
          <w:sz w:val="24"/>
          <w:szCs w:val="24"/>
        </w:rPr>
        <w:t>9.3.2</w:t>
      </w:r>
      <w:r>
        <w:rPr>
          <w:rFonts w:cs="Times New Roman"/>
          <w:kern w:val="0"/>
          <w:sz w:val="24"/>
          <w:szCs w:val="24"/>
        </w:rPr>
        <w:t xml:space="preserve"> </w:t>
      </w:r>
      <w:r>
        <w:rPr>
          <w:rFonts w:hint="eastAsia" w:cs="Times New Roman"/>
          <w:kern w:val="0"/>
          <w:sz w:val="24"/>
          <w:szCs w:val="24"/>
        </w:rPr>
        <w:t>产品运输贮存时不应受潮和混入杂物，运输过程中应避免雨雪、暴晒。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ind w:firstLine="0" w:firstLineChars="0"/>
        <w:rPr>
          <w:rFonts w:cs="Times New Roman"/>
          <w:kern w:val="0"/>
          <w:sz w:val="24"/>
          <w:szCs w:val="24"/>
        </w:rPr>
      </w:pPr>
      <w:r>
        <w:rPr>
          <w:rFonts w:cs="Times New Roman"/>
          <w:b/>
          <w:kern w:val="0"/>
          <w:sz w:val="24"/>
          <w:szCs w:val="24"/>
        </w:rPr>
        <w:t>9.3.3</w:t>
      </w:r>
      <w:r>
        <w:rPr>
          <w:rFonts w:cs="Times New Roman"/>
          <w:kern w:val="0"/>
          <w:sz w:val="24"/>
          <w:szCs w:val="24"/>
        </w:rPr>
        <w:t xml:space="preserve"> </w:t>
      </w:r>
      <w:r>
        <w:rPr>
          <w:rFonts w:hint="eastAsia" w:cs="Times New Roman"/>
          <w:kern w:val="0"/>
          <w:sz w:val="24"/>
          <w:szCs w:val="24"/>
        </w:rPr>
        <w:t>从产品包装之日起，贮存有效期为</w:t>
      </w:r>
      <w:r>
        <w:rPr>
          <w:rFonts w:cs="Times New Roman"/>
          <w:color w:val="000000"/>
          <w:kern w:val="0"/>
          <w:sz w:val="24"/>
          <w:szCs w:val="24"/>
        </w:rPr>
        <w:t>90d</w:t>
      </w:r>
      <w:r>
        <w:rPr>
          <w:rFonts w:hint="eastAsia" w:cs="Times New Roman"/>
          <w:color w:val="000000"/>
          <w:kern w:val="0"/>
          <w:sz w:val="24"/>
          <w:szCs w:val="24"/>
        </w:rPr>
        <w:t>，逾</w:t>
      </w:r>
      <w:r>
        <w:rPr>
          <w:rFonts w:hint="eastAsia" w:cs="Times New Roman"/>
          <w:kern w:val="0"/>
          <w:sz w:val="24"/>
          <w:szCs w:val="24"/>
        </w:rPr>
        <w:t>期应经检验合格后使用。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ind w:firstLine="0" w:firstLineChars="0"/>
        <w:rPr>
          <w:rFonts w:cs="Times New Roman"/>
          <w:kern w:val="0"/>
          <w:sz w:val="24"/>
          <w:szCs w:val="24"/>
        </w:rPr>
      </w:pP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ind w:firstLine="0" w:firstLineChars="0"/>
        <w:rPr>
          <w:rFonts w:cs="Times New Roman"/>
          <w:kern w:val="0"/>
          <w:sz w:val="24"/>
          <w:szCs w:val="24"/>
        </w:rPr>
      </w:pP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ind w:firstLine="0" w:firstLineChars="0"/>
        <w:rPr>
          <w:rFonts w:cs="Times New Roman"/>
          <w:kern w:val="0"/>
          <w:sz w:val="24"/>
          <w:szCs w:val="24"/>
        </w:rPr>
      </w:pP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ind w:firstLine="0" w:firstLineChars="0"/>
        <w:rPr>
          <w:rFonts w:cs="Times New Roman"/>
          <w:kern w:val="0"/>
          <w:sz w:val="24"/>
          <w:szCs w:val="24"/>
        </w:rPr>
      </w:pP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ind w:firstLine="0" w:firstLineChars="0"/>
        <w:rPr>
          <w:rFonts w:cs="Times New Roman"/>
          <w:kern w:val="0"/>
          <w:sz w:val="24"/>
          <w:szCs w:val="24"/>
        </w:rPr>
      </w:pP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ind w:firstLine="0" w:firstLineChars="0"/>
        <w:rPr>
          <w:rFonts w:cs="Times New Roman"/>
          <w:kern w:val="0"/>
          <w:sz w:val="24"/>
          <w:szCs w:val="24"/>
        </w:rPr>
      </w:pP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ind w:firstLine="0" w:firstLineChars="0"/>
        <w:rPr>
          <w:rFonts w:cs="Times New Roman"/>
          <w:kern w:val="0"/>
          <w:sz w:val="24"/>
          <w:szCs w:val="24"/>
        </w:rPr>
      </w:pP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ind w:firstLine="0" w:firstLineChars="0"/>
        <w:rPr>
          <w:rFonts w:cs="Times New Roman"/>
          <w:kern w:val="0"/>
          <w:sz w:val="24"/>
          <w:szCs w:val="24"/>
        </w:rPr>
      </w:pP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ind w:firstLine="0" w:firstLineChars="0"/>
        <w:rPr>
          <w:rFonts w:cs="Times New Roman"/>
          <w:kern w:val="0"/>
          <w:sz w:val="24"/>
          <w:szCs w:val="24"/>
        </w:rPr>
      </w:pP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ind w:firstLine="0" w:firstLineChars="0"/>
        <w:rPr>
          <w:rFonts w:cs="Times New Roman"/>
          <w:kern w:val="0"/>
          <w:sz w:val="24"/>
          <w:szCs w:val="24"/>
        </w:rPr>
      </w:pP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ind w:firstLine="0" w:firstLineChars="0"/>
        <w:rPr>
          <w:rFonts w:cs="Times New Roman"/>
          <w:kern w:val="0"/>
          <w:sz w:val="24"/>
          <w:szCs w:val="24"/>
        </w:rPr>
      </w:pP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ind w:firstLine="0" w:firstLineChars="0"/>
        <w:rPr>
          <w:rFonts w:cs="Times New Roman"/>
          <w:kern w:val="0"/>
          <w:sz w:val="24"/>
          <w:szCs w:val="24"/>
        </w:rPr>
      </w:pP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ind w:firstLine="0" w:firstLineChars="0"/>
        <w:rPr>
          <w:rFonts w:cs="Times New Roman"/>
          <w:kern w:val="0"/>
          <w:sz w:val="24"/>
          <w:szCs w:val="24"/>
        </w:rPr>
      </w:pP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ind w:firstLine="0" w:firstLineChars="0"/>
        <w:rPr>
          <w:rFonts w:cs="Times New Roman"/>
          <w:kern w:val="0"/>
          <w:sz w:val="24"/>
          <w:szCs w:val="24"/>
        </w:rPr>
      </w:pP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ind w:firstLine="0" w:firstLineChars="0"/>
        <w:rPr>
          <w:rFonts w:cs="Times New Roman"/>
          <w:kern w:val="0"/>
          <w:sz w:val="24"/>
          <w:szCs w:val="24"/>
        </w:rPr>
      </w:pPr>
    </w:p>
    <w:p>
      <w:pPr>
        <w:pStyle w:val="2"/>
        <w:spacing w:before="62" w:after="62"/>
        <w:jc w:val="center"/>
        <w:rPr>
          <w:rFonts w:eastAsia="宋体" w:cs="Times New Roman"/>
          <w:sz w:val="28"/>
          <w:szCs w:val="28"/>
        </w:rPr>
      </w:pPr>
      <w:bookmarkStart w:id="94" w:name="_Toc164066156"/>
      <w:r>
        <w:rPr>
          <w:rFonts w:hint="eastAsia" w:eastAsia="宋体" w:cs="Times New Roman"/>
          <w:sz w:val="28"/>
          <w:szCs w:val="28"/>
        </w:rPr>
        <w:t>附录</w:t>
      </w:r>
      <w:r>
        <w:rPr>
          <w:rFonts w:eastAsia="宋体" w:cs="Times New Roman"/>
          <w:sz w:val="28"/>
          <w:szCs w:val="28"/>
        </w:rPr>
        <w:t>A</w:t>
      </w:r>
    </w:p>
    <w:p>
      <w:pPr>
        <w:spacing w:line="360" w:lineRule="auto"/>
        <w:ind w:firstLine="480"/>
        <w:jc w:val="center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(</w:t>
      </w:r>
      <w:r>
        <w:rPr>
          <w:rFonts w:hint="eastAsia" w:cs="Times New Roman"/>
          <w:sz w:val="24"/>
          <w:szCs w:val="24"/>
        </w:rPr>
        <w:t>规范性附录</w:t>
      </w:r>
      <w:r>
        <w:rPr>
          <w:rFonts w:cs="Times New Roman"/>
          <w:sz w:val="24"/>
          <w:szCs w:val="24"/>
        </w:rPr>
        <w:t>)</w:t>
      </w:r>
    </w:p>
    <w:p>
      <w:pPr>
        <w:pStyle w:val="2"/>
        <w:spacing w:before="62" w:after="62"/>
        <w:jc w:val="center"/>
        <w:rPr>
          <w:rFonts w:eastAsia="宋体" w:cs="Times New Roman"/>
          <w:b w:val="0"/>
          <w:bCs w:val="0"/>
          <w:kern w:val="2"/>
          <w:sz w:val="24"/>
          <w:szCs w:val="24"/>
        </w:rPr>
      </w:pPr>
      <w:r>
        <w:rPr>
          <w:rFonts w:hint="eastAsia" w:eastAsia="宋体" w:cs="Times New Roman"/>
          <w:b w:val="0"/>
          <w:bCs w:val="0"/>
          <w:kern w:val="2"/>
          <w:sz w:val="24"/>
          <w:szCs w:val="24"/>
        </w:rPr>
        <w:t>座浆料浆体性能试验条件</w:t>
      </w:r>
    </w:p>
    <w:p>
      <w:pPr>
        <w:spacing w:line="360" w:lineRule="auto"/>
        <w:ind w:firstLine="480"/>
        <w:jc w:val="left"/>
        <w:rPr>
          <w:rFonts w:cs="Times New Roman"/>
          <w:bCs/>
          <w:sz w:val="24"/>
          <w:szCs w:val="24"/>
        </w:rPr>
      </w:pPr>
      <w:r>
        <w:rPr>
          <w:rFonts w:hint="eastAsia" w:cs="Times New Roman"/>
          <w:bCs/>
          <w:sz w:val="24"/>
          <w:szCs w:val="24"/>
        </w:rPr>
        <w:t>A.1 试验环境</w:t>
      </w:r>
    </w:p>
    <w:p>
      <w:pPr>
        <w:spacing w:line="360" w:lineRule="auto"/>
        <w:ind w:firstLine="480"/>
        <w:jc w:val="left"/>
        <w:rPr>
          <w:rFonts w:cs="Times New Roman"/>
          <w:bCs/>
          <w:sz w:val="24"/>
          <w:szCs w:val="24"/>
        </w:rPr>
      </w:pPr>
      <w:r>
        <w:rPr>
          <w:rFonts w:hint="eastAsia" w:cs="Times New Roman"/>
          <w:bCs/>
          <w:sz w:val="24"/>
          <w:szCs w:val="24"/>
        </w:rPr>
        <w:t>A.1.1 常温型座浆料试验温度和湿度应符合 GB/T 17671 的要求。</w:t>
      </w:r>
    </w:p>
    <w:p>
      <w:pPr>
        <w:spacing w:line="360" w:lineRule="auto"/>
        <w:ind w:firstLine="480"/>
        <w:jc w:val="left"/>
        <w:rPr>
          <w:rFonts w:cs="Times New Roman"/>
          <w:bCs/>
          <w:sz w:val="24"/>
          <w:szCs w:val="24"/>
        </w:rPr>
      </w:pPr>
      <w:r>
        <w:rPr>
          <w:rFonts w:hint="eastAsia" w:cs="Times New Roman"/>
          <w:bCs/>
          <w:sz w:val="24"/>
          <w:szCs w:val="24"/>
        </w:rPr>
        <w:t>A.1.2</w:t>
      </w:r>
      <w:r>
        <w:rPr>
          <w:rFonts w:cs="Times New Roman"/>
          <w:bCs/>
          <w:sz w:val="24"/>
          <w:szCs w:val="24"/>
        </w:rPr>
        <w:t xml:space="preserve"> </w:t>
      </w:r>
      <w:r>
        <w:rPr>
          <w:rFonts w:hint="eastAsia" w:cs="Times New Roman"/>
          <w:bCs/>
          <w:sz w:val="24"/>
          <w:szCs w:val="24"/>
        </w:rPr>
        <w:t>高温型座浆料浆体拌和的温度和湿度</w:t>
      </w:r>
      <w:r>
        <w:rPr>
          <w:rFonts w:hint="eastAsia" w:cs="Times New Roman"/>
          <w:bCs/>
          <w:sz w:val="24"/>
          <w:szCs w:val="24"/>
          <w:lang w:val="en-US" w:eastAsia="zh-CN"/>
        </w:rPr>
        <w:t>及标准试验室条件</w:t>
      </w:r>
      <w:r>
        <w:rPr>
          <w:rFonts w:hint="eastAsia" w:cs="Times New Roman"/>
          <w:bCs/>
          <w:sz w:val="24"/>
          <w:szCs w:val="24"/>
        </w:rPr>
        <w:t>应符合 GB/T 17671 的要求。</w:t>
      </w:r>
    </w:p>
    <w:p>
      <w:pPr>
        <w:spacing w:line="360" w:lineRule="auto"/>
        <w:ind w:firstLine="480"/>
        <w:jc w:val="left"/>
        <w:rPr>
          <w:rFonts w:cs="Times New Roman"/>
          <w:bCs/>
          <w:sz w:val="24"/>
          <w:szCs w:val="24"/>
        </w:rPr>
      </w:pPr>
      <w:r>
        <w:rPr>
          <w:rFonts w:hint="eastAsia" w:cs="Times New Roman"/>
          <w:bCs/>
          <w:sz w:val="24"/>
          <w:szCs w:val="24"/>
        </w:rPr>
        <w:t xml:space="preserve">A.1.3 </w:t>
      </w:r>
      <w:r>
        <w:rPr>
          <w:rFonts w:cs="Times New Roman"/>
          <w:bCs/>
          <w:sz w:val="24"/>
          <w:szCs w:val="24"/>
        </w:rPr>
        <w:t>高温型</w:t>
      </w:r>
      <w:r>
        <w:rPr>
          <w:rFonts w:hint="eastAsia" w:cs="Times New Roman"/>
          <w:bCs/>
          <w:sz w:val="24"/>
          <w:szCs w:val="24"/>
        </w:rPr>
        <w:t>座浆料宜配置40</w:t>
      </w:r>
      <w:r>
        <w:rPr>
          <w:rFonts w:cs="Times New Roman"/>
          <w:bCs/>
          <w:sz w:val="24"/>
          <w:szCs w:val="24"/>
        </w:rPr>
        <w:t>℃</w:t>
      </w:r>
      <w:r>
        <w:rPr>
          <w:rFonts w:hint="eastAsia" w:cs="Times New Roman"/>
          <w:bCs/>
          <w:sz w:val="24"/>
          <w:szCs w:val="24"/>
        </w:rPr>
        <w:t>±2℃、相对湿度为</w:t>
      </w:r>
      <w:r>
        <w:rPr>
          <w:rFonts w:cs="Times New Roman"/>
          <w:bCs/>
          <w:sz w:val="24"/>
          <w:szCs w:val="24"/>
        </w:rPr>
        <w:t>6</w:t>
      </w:r>
      <w:r>
        <w:rPr>
          <w:rFonts w:hint="eastAsia" w:cs="Times New Roman"/>
          <w:bCs/>
          <w:sz w:val="24"/>
          <w:szCs w:val="24"/>
        </w:rPr>
        <w:t>0%±5%试验箱。</w:t>
      </w:r>
    </w:p>
    <w:p>
      <w:pPr>
        <w:spacing w:line="360" w:lineRule="auto"/>
        <w:ind w:firstLine="480"/>
        <w:jc w:val="left"/>
        <w:rPr>
          <w:rFonts w:cs="Times New Roman"/>
          <w:bCs/>
          <w:sz w:val="24"/>
          <w:szCs w:val="24"/>
        </w:rPr>
      </w:pPr>
      <w:r>
        <w:rPr>
          <w:rFonts w:hint="eastAsia" w:cs="Times New Roman"/>
          <w:bCs/>
          <w:sz w:val="24"/>
          <w:szCs w:val="24"/>
        </w:rPr>
        <w:t xml:space="preserve">A.1.4 </w:t>
      </w:r>
      <w:r>
        <w:rPr>
          <w:rFonts w:cs="Times New Roman"/>
          <w:bCs/>
          <w:sz w:val="24"/>
          <w:szCs w:val="24"/>
        </w:rPr>
        <w:t>高温型</w:t>
      </w:r>
      <w:r>
        <w:rPr>
          <w:rFonts w:hint="eastAsia" w:cs="Times New Roman"/>
          <w:bCs/>
          <w:sz w:val="24"/>
          <w:szCs w:val="24"/>
        </w:rPr>
        <w:t>座浆料开展试验时，试验仪器、试验模具应在温度和湿度应符合 GB/T 17671 的要求实验室至少放置 24h。</w:t>
      </w:r>
      <w:r>
        <w:rPr>
          <w:rFonts w:cs="Times New Roman"/>
          <w:bCs/>
          <w:sz w:val="24"/>
          <w:szCs w:val="24"/>
        </w:rPr>
        <w:t>高温型</w:t>
      </w:r>
      <w:r>
        <w:rPr>
          <w:rFonts w:hint="eastAsia" w:cs="Times New Roman"/>
          <w:bCs/>
          <w:sz w:val="24"/>
          <w:szCs w:val="24"/>
        </w:rPr>
        <w:t>座浆料应至少在40</w:t>
      </w:r>
      <w:r>
        <w:rPr>
          <w:rFonts w:cs="Times New Roman"/>
          <w:bCs/>
          <w:sz w:val="24"/>
          <w:szCs w:val="24"/>
        </w:rPr>
        <w:t>℃</w:t>
      </w:r>
      <w:r>
        <w:rPr>
          <w:rFonts w:hint="eastAsia" w:cs="Times New Roman"/>
          <w:bCs/>
          <w:sz w:val="24"/>
          <w:szCs w:val="24"/>
        </w:rPr>
        <w:t>±2℃、相对湿度为</w:t>
      </w:r>
      <w:r>
        <w:rPr>
          <w:rFonts w:cs="Times New Roman"/>
          <w:bCs/>
          <w:sz w:val="24"/>
          <w:szCs w:val="24"/>
        </w:rPr>
        <w:t>6</w:t>
      </w:r>
      <w:r>
        <w:rPr>
          <w:rFonts w:hint="eastAsia" w:cs="Times New Roman"/>
          <w:bCs/>
          <w:sz w:val="24"/>
          <w:szCs w:val="24"/>
        </w:rPr>
        <w:t>0%±5%条件下放置 24h。试验用拌和用水温度应在20℃±2℃范围。</w:t>
      </w:r>
    </w:p>
    <w:p>
      <w:pPr>
        <w:widowControl/>
        <w:tabs>
          <w:tab w:val="center" w:pos="4201"/>
          <w:tab w:val="right" w:leader="dot" w:pos="9298"/>
        </w:tabs>
        <w:autoSpaceDE w:val="0"/>
        <w:autoSpaceDN w:val="0"/>
        <w:spacing w:line="360" w:lineRule="auto"/>
        <w:ind w:firstLine="480"/>
        <w:rPr>
          <w:rFonts w:cs="Times New Roman"/>
          <w:bCs/>
          <w:sz w:val="24"/>
          <w:szCs w:val="24"/>
        </w:rPr>
      </w:pPr>
      <w:r>
        <w:rPr>
          <w:rFonts w:hint="eastAsia" w:cs="Times New Roman"/>
          <w:bCs/>
          <w:sz w:val="24"/>
          <w:szCs w:val="24"/>
        </w:rPr>
        <w:t xml:space="preserve">A.1.5 </w:t>
      </w:r>
      <w:r>
        <w:rPr>
          <w:rFonts w:cs="Times New Roman"/>
          <w:bCs/>
          <w:sz w:val="24"/>
          <w:szCs w:val="24"/>
        </w:rPr>
        <w:t>高温型</w:t>
      </w:r>
      <w:r>
        <w:rPr>
          <w:rFonts w:hint="eastAsia" w:cs="Times New Roman"/>
          <w:bCs/>
          <w:sz w:val="24"/>
          <w:szCs w:val="24"/>
        </w:rPr>
        <w:t>座浆料浆体的流动度试验，在温度和湿度应符合 GB/T 17671 的要求实验室测试初始流动度后，在温度为40℃±2℃、相对湿度为</w:t>
      </w:r>
      <w:r>
        <w:rPr>
          <w:rFonts w:cs="Times New Roman"/>
          <w:bCs/>
          <w:sz w:val="24"/>
          <w:szCs w:val="24"/>
        </w:rPr>
        <w:t>6</w:t>
      </w:r>
      <w:r>
        <w:rPr>
          <w:rFonts w:hint="eastAsia" w:cs="Times New Roman"/>
          <w:bCs/>
          <w:sz w:val="24"/>
          <w:szCs w:val="24"/>
        </w:rPr>
        <w:t>0%±5%的养护箱中存放60min后，取出在</w:t>
      </w:r>
      <w:r>
        <w:rPr>
          <w:rFonts w:hint="eastAsia" w:cs="Times New Roman"/>
          <w:bCs/>
          <w:sz w:val="24"/>
          <w:szCs w:val="24"/>
          <w:highlight w:val="none"/>
        </w:rPr>
        <w:t>标准实验室</w:t>
      </w:r>
      <w:r>
        <w:rPr>
          <w:rFonts w:hint="eastAsia" w:cs="Times New Roman"/>
          <w:bCs/>
          <w:sz w:val="24"/>
          <w:szCs w:val="24"/>
        </w:rPr>
        <w:t>测试60min的流动度。</w:t>
      </w:r>
      <w:r>
        <w:rPr>
          <w:rFonts w:hint="eastAsia" w:cs="Times New Roman"/>
          <w:kern w:val="0"/>
          <w:sz w:val="24"/>
          <w:szCs w:val="24"/>
        </w:rPr>
        <w:t>自加水搅拌至放入养护箱的时间，应控制在</w:t>
      </w:r>
      <w:r>
        <w:rPr>
          <w:rFonts w:cs="Times New Roman"/>
          <w:kern w:val="0"/>
          <w:sz w:val="24"/>
          <w:szCs w:val="24"/>
        </w:rPr>
        <w:t>6</w:t>
      </w:r>
      <w:r>
        <w:rPr>
          <w:rFonts w:hint="eastAsia" w:cs="Times New Roman"/>
          <w:kern w:val="0"/>
          <w:sz w:val="24"/>
          <w:szCs w:val="24"/>
        </w:rPr>
        <w:t>min之内完成；从养护箱取出，快速档搅拌30s，测流动度，这段时间应控制在</w:t>
      </w:r>
      <w:r>
        <w:rPr>
          <w:rFonts w:cs="Times New Roman"/>
          <w:kern w:val="0"/>
          <w:sz w:val="24"/>
          <w:szCs w:val="24"/>
        </w:rPr>
        <w:t>3</w:t>
      </w:r>
      <w:r>
        <w:rPr>
          <w:rFonts w:hint="eastAsia" w:cs="Times New Roman"/>
          <w:kern w:val="0"/>
          <w:sz w:val="24"/>
          <w:szCs w:val="24"/>
        </w:rPr>
        <w:t>min以内完成。</w:t>
      </w:r>
    </w:p>
    <w:p>
      <w:pPr>
        <w:spacing w:line="360" w:lineRule="auto"/>
        <w:ind w:firstLine="480"/>
        <w:jc w:val="left"/>
        <w:rPr>
          <w:rFonts w:cs="Times New Roman"/>
          <w:bCs/>
          <w:sz w:val="24"/>
          <w:szCs w:val="24"/>
        </w:rPr>
      </w:pPr>
      <w:r>
        <w:rPr>
          <w:rFonts w:hint="eastAsia" w:cs="Times New Roman"/>
          <w:bCs/>
          <w:sz w:val="24"/>
          <w:szCs w:val="24"/>
        </w:rPr>
        <w:t>A.1.</w:t>
      </w:r>
      <w:r>
        <w:rPr>
          <w:rFonts w:cs="Times New Roman"/>
          <w:bCs/>
          <w:sz w:val="24"/>
          <w:szCs w:val="24"/>
        </w:rPr>
        <w:t>6</w:t>
      </w:r>
      <w:r>
        <w:rPr>
          <w:rFonts w:hint="eastAsia" w:cs="Times New Roman"/>
          <w:bCs/>
          <w:sz w:val="24"/>
          <w:szCs w:val="24"/>
        </w:rPr>
        <w:t xml:space="preserve"> </w:t>
      </w:r>
      <w:r>
        <w:rPr>
          <w:rFonts w:cs="Times New Roman"/>
          <w:bCs/>
          <w:sz w:val="24"/>
          <w:szCs w:val="24"/>
        </w:rPr>
        <w:t>高温型</w:t>
      </w:r>
      <w:r>
        <w:rPr>
          <w:rFonts w:hint="eastAsia" w:cs="Times New Roman"/>
          <w:bCs/>
          <w:sz w:val="24"/>
          <w:szCs w:val="24"/>
        </w:rPr>
        <w:t>座浆料浆体的其它性能试验和常温型一致。</w:t>
      </w:r>
    </w:p>
    <w:p>
      <w:pPr>
        <w:spacing w:line="360" w:lineRule="auto"/>
        <w:ind w:firstLine="480"/>
        <w:jc w:val="left"/>
        <w:rPr>
          <w:rFonts w:cs="Times New Roman"/>
          <w:bCs/>
          <w:sz w:val="24"/>
          <w:szCs w:val="24"/>
        </w:rPr>
      </w:pPr>
      <w:r>
        <w:rPr>
          <w:rFonts w:hint="eastAsia" w:cs="Times New Roman"/>
          <w:bCs/>
          <w:sz w:val="24"/>
          <w:szCs w:val="24"/>
        </w:rPr>
        <w:t>A.1.</w:t>
      </w:r>
      <w:r>
        <w:rPr>
          <w:rFonts w:cs="Times New Roman"/>
          <w:bCs/>
          <w:sz w:val="24"/>
          <w:szCs w:val="24"/>
        </w:rPr>
        <w:t>7</w:t>
      </w:r>
      <w:r>
        <w:rPr>
          <w:rFonts w:hint="eastAsia" w:cs="Times New Roman"/>
          <w:bCs/>
          <w:sz w:val="24"/>
          <w:szCs w:val="24"/>
        </w:rPr>
        <w:t xml:space="preserve"> 低温型、负温型座浆料应在表 A.</w:t>
      </w:r>
      <w:r>
        <w:rPr>
          <w:rFonts w:cs="Times New Roman"/>
          <w:bCs/>
          <w:sz w:val="24"/>
          <w:szCs w:val="24"/>
        </w:rPr>
        <w:t>1</w:t>
      </w:r>
      <w:r>
        <w:rPr>
          <w:rFonts w:hint="eastAsia" w:cs="Times New Roman"/>
          <w:bCs/>
          <w:sz w:val="24"/>
          <w:szCs w:val="24"/>
        </w:rPr>
        <w:t>规定的试验环境下开展试验。</w:t>
      </w:r>
    </w:p>
    <w:p>
      <w:pPr>
        <w:spacing w:line="360" w:lineRule="auto"/>
        <w:ind w:firstLine="480"/>
        <w:jc w:val="left"/>
        <w:rPr>
          <w:rFonts w:cs="Times New Roman"/>
          <w:bCs/>
          <w:sz w:val="24"/>
          <w:szCs w:val="24"/>
        </w:rPr>
      </w:pPr>
      <w:r>
        <w:rPr>
          <w:rFonts w:hint="eastAsia" w:cs="Times New Roman"/>
          <w:bCs/>
          <w:sz w:val="24"/>
          <w:szCs w:val="24"/>
        </w:rPr>
        <w:t>A.1.</w:t>
      </w:r>
      <w:r>
        <w:rPr>
          <w:rFonts w:cs="Times New Roman"/>
          <w:bCs/>
          <w:sz w:val="24"/>
          <w:szCs w:val="24"/>
        </w:rPr>
        <w:t>8</w:t>
      </w:r>
      <w:r>
        <w:rPr>
          <w:rFonts w:hint="eastAsia" w:cs="Times New Roman"/>
          <w:bCs/>
          <w:sz w:val="24"/>
          <w:szCs w:val="24"/>
        </w:rPr>
        <w:t xml:space="preserve"> 低温型、负温型座浆料宜配置符合表 A.</w:t>
      </w:r>
      <w:r>
        <w:rPr>
          <w:rFonts w:cs="Times New Roman"/>
          <w:bCs/>
          <w:sz w:val="24"/>
          <w:szCs w:val="24"/>
        </w:rPr>
        <w:t>1</w:t>
      </w:r>
      <w:r>
        <w:rPr>
          <w:rFonts w:hint="eastAsia" w:cs="Times New Roman"/>
          <w:bCs/>
          <w:sz w:val="24"/>
          <w:szCs w:val="24"/>
        </w:rPr>
        <w:t>试验环境的低负温试验室。</w:t>
      </w:r>
    </w:p>
    <w:p>
      <w:pPr>
        <w:spacing w:line="360" w:lineRule="auto"/>
        <w:ind w:firstLine="480"/>
        <w:jc w:val="left"/>
        <w:rPr>
          <w:rFonts w:cs="Times New Roman"/>
          <w:bCs/>
          <w:sz w:val="24"/>
          <w:szCs w:val="24"/>
        </w:rPr>
      </w:pPr>
      <w:r>
        <w:rPr>
          <w:rFonts w:hint="eastAsia" w:cs="Times New Roman"/>
          <w:bCs/>
          <w:sz w:val="24"/>
          <w:szCs w:val="24"/>
        </w:rPr>
        <w:t>A.1.</w:t>
      </w:r>
      <w:r>
        <w:rPr>
          <w:rFonts w:cs="Times New Roman"/>
          <w:bCs/>
          <w:sz w:val="24"/>
          <w:szCs w:val="24"/>
        </w:rPr>
        <w:t>9</w:t>
      </w:r>
      <w:r>
        <w:rPr>
          <w:rFonts w:hint="eastAsia" w:cs="Times New Roman"/>
          <w:bCs/>
          <w:sz w:val="24"/>
          <w:szCs w:val="24"/>
        </w:rPr>
        <w:t xml:space="preserve"> 低温型、负温型座浆料开展试验时，试验仪器、试验模具与低温型、负温型座浆料应至少在低温、负温条件下放置 24h。试验用拌和用水温度应在5℃-2</w:t>
      </w:r>
      <w:r>
        <w:rPr>
          <w:rFonts w:cs="Times New Roman"/>
          <w:bCs/>
          <w:sz w:val="24"/>
          <w:szCs w:val="24"/>
        </w:rPr>
        <w:t>0</w:t>
      </w:r>
      <w:r>
        <w:rPr>
          <w:rFonts w:hint="eastAsia" w:cs="Times New Roman"/>
          <w:bCs/>
          <w:sz w:val="24"/>
          <w:szCs w:val="24"/>
        </w:rPr>
        <w:t>℃范围。</w:t>
      </w:r>
    </w:p>
    <w:p>
      <w:pPr>
        <w:spacing w:line="360" w:lineRule="auto"/>
        <w:ind w:firstLine="480"/>
        <w:jc w:val="center"/>
        <w:rPr>
          <w:rFonts w:cs="Times New Roman"/>
          <w:bCs/>
          <w:sz w:val="24"/>
          <w:szCs w:val="24"/>
        </w:rPr>
      </w:pPr>
      <w:r>
        <w:rPr>
          <w:rFonts w:hint="eastAsia" w:cs="Times New Roman"/>
          <w:bCs/>
          <w:sz w:val="24"/>
          <w:szCs w:val="24"/>
        </w:rPr>
        <w:t>表 A.</w:t>
      </w:r>
      <w:r>
        <w:rPr>
          <w:rFonts w:cs="Times New Roman"/>
          <w:bCs/>
          <w:sz w:val="24"/>
          <w:szCs w:val="24"/>
        </w:rPr>
        <w:t>1</w:t>
      </w:r>
      <w:r>
        <w:rPr>
          <w:rFonts w:hint="eastAsia" w:cs="Times New Roman"/>
          <w:bCs/>
          <w:sz w:val="24"/>
          <w:szCs w:val="24"/>
        </w:rPr>
        <w:t xml:space="preserve"> 低温型、负温型座浆料试验环境</w:t>
      </w:r>
    </w:p>
    <w:tbl>
      <w:tblPr>
        <w:tblStyle w:val="1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14"/>
        <w:gridCol w:w="3115"/>
        <w:gridCol w:w="31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14" w:type="dxa"/>
            <w:vAlign w:val="center"/>
          </w:tcPr>
          <w:p>
            <w:pPr>
              <w:spacing w:line="360" w:lineRule="auto"/>
              <w:ind w:firstLine="0" w:firstLineChars="0"/>
              <w:jc w:val="center"/>
              <w:rPr>
                <w:rFonts w:cs="Times New Roman"/>
                <w:bCs/>
                <w:sz w:val="24"/>
                <w:szCs w:val="24"/>
              </w:rPr>
            </w:pPr>
            <w:r>
              <w:rPr>
                <w:rFonts w:hint="eastAsia" w:cs="Times New Roman"/>
                <w:bCs/>
                <w:sz w:val="24"/>
                <w:szCs w:val="24"/>
              </w:rPr>
              <w:t>座浆料类型</w:t>
            </w:r>
          </w:p>
        </w:tc>
        <w:tc>
          <w:tcPr>
            <w:tcW w:w="3115" w:type="dxa"/>
            <w:vAlign w:val="center"/>
          </w:tcPr>
          <w:p>
            <w:pPr>
              <w:spacing w:line="360" w:lineRule="auto"/>
              <w:ind w:firstLine="0" w:firstLineChars="0"/>
              <w:jc w:val="center"/>
              <w:rPr>
                <w:rFonts w:cs="Times New Roman"/>
                <w:bCs/>
                <w:sz w:val="24"/>
                <w:szCs w:val="24"/>
              </w:rPr>
            </w:pPr>
            <w:r>
              <w:rPr>
                <w:rFonts w:hint="eastAsia" w:cs="Times New Roman"/>
                <w:bCs/>
                <w:sz w:val="24"/>
                <w:szCs w:val="24"/>
              </w:rPr>
              <w:t>低温型</w:t>
            </w:r>
          </w:p>
        </w:tc>
        <w:tc>
          <w:tcPr>
            <w:tcW w:w="3115" w:type="dxa"/>
            <w:vAlign w:val="center"/>
          </w:tcPr>
          <w:p>
            <w:pPr>
              <w:spacing w:line="360" w:lineRule="auto"/>
              <w:ind w:firstLine="480"/>
              <w:jc w:val="center"/>
              <w:rPr>
                <w:rFonts w:cs="Times New Roman"/>
                <w:bCs/>
                <w:sz w:val="24"/>
                <w:szCs w:val="24"/>
              </w:rPr>
            </w:pPr>
            <w:r>
              <w:rPr>
                <w:rFonts w:hint="eastAsia" w:cs="Times New Roman"/>
                <w:bCs/>
                <w:sz w:val="24"/>
                <w:szCs w:val="24"/>
              </w:rPr>
              <w:t>负温型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14" w:type="dxa"/>
            <w:vAlign w:val="center"/>
          </w:tcPr>
          <w:p>
            <w:pPr>
              <w:spacing w:line="360" w:lineRule="auto"/>
              <w:ind w:firstLine="0" w:firstLineChars="0"/>
              <w:jc w:val="center"/>
              <w:rPr>
                <w:rFonts w:cs="Times New Roman"/>
                <w:bCs/>
                <w:sz w:val="24"/>
                <w:szCs w:val="24"/>
              </w:rPr>
            </w:pPr>
            <w:r>
              <w:rPr>
                <w:rFonts w:hint="eastAsia" w:cs="Times New Roman"/>
                <w:bCs/>
                <w:sz w:val="24"/>
                <w:szCs w:val="24"/>
              </w:rPr>
              <w:t>试验温度范围</w:t>
            </w:r>
          </w:p>
        </w:tc>
        <w:tc>
          <w:tcPr>
            <w:tcW w:w="3115" w:type="dxa"/>
            <w:vAlign w:val="center"/>
          </w:tcPr>
          <w:p>
            <w:pPr>
              <w:spacing w:line="360" w:lineRule="auto"/>
              <w:ind w:firstLine="0" w:firstLineChars="0"/>
              <w:jc w:val="center"/>
              <w:rPr>
                <w:rFonts w:cs="Times New Roman"/>
                <w:bCs/>
                <w:sz w:val="24"/>
                <w:szCs w:val="24"/>
              </w:rPr>
            </w:pPr>
            <w:r>
              <w:rPr>
                <w:rFonts w:hint="eastAsia" w:cs="Times New Roman"/>
                <w:bCs/>
                <w:sz w:val="24"/>
                <w:szCs w:val="24"/>
              </w:rPr>
              <w:t>-5℃±2℃</w:t>
            </w:r>
          </w:p>
        </w:tc>
        <w:tc>
          <w:tcPr>
            <w:tcW w:w="3115" w:type="dxa"/>
            <w:vAlign w:val="center"/>
          </w:tcPr>
          <w:p>
            <w:pPr>
              <w:spacing w:line="360" w:lineRule="auto"/>
              <w:ind w:firstLine="0" w:firstLineChars="0"/>
              <w:jc w:val="center"/>
              <w:rPr>
                <w:rFonts w:cs="Times New Roman"/>
                <w:bCs/>
                <w:sz w:val="24"/>
                <w:szCs w:val="24"/>
              </w:rPr>
            </w:pPr>
            <w:r>
              <w:rPr>
                <w:rFonts w:hint="eastAsia" w:cs="Times New Roman"/>
                <w:bCs/>
                <w:sz w:val="24"/>
                <w:szCs w:val="24"/>
              </w:rPr>
              <w:t>-10℃±2℃</w:t>
            </w:r>
          </w:p>
        </w:tc>
      </w:tr>
    </w:tbl>
    <w:p>
      <w:pPr>
        <w:spacing w:line="360" w:lineRule="auto"/>
        <w:ind w:firstLine="480"/>
        <w:jc w:val="left"/>
        <w:rPr>
          <w:rFonts w:cs="Times New Roman"/>
          <w:bCs/>
          <w:sz w:val="24"/>
          <w:szCs w:val="24"/>
        </w:rPr>
      </w:pPr>
      <w:r>
        <w:rPr>
          <w:rFonts w:hint="eastAsia" w:cs="Times New Roman"/>
          <w:bCs/>
          <w:sz w:val="24"/>
          <w:szCs w:val="24"/>
        </w:rPr>
        <w:t>A.1.</w:t>
      </w:r>
      <w:r>
        <w:rPr>
          <w:rFonts w:cs="Times New Roman"/>
          <w:bCs/>
          <w:sz w:val="24"/>
          <w:szCs w:val="24"/>
        </w:rPr>
        <w:t>10</w:t>
      </w:r>
      <w:r>
        <w:rPr>
          <w:rFonts w:hint="eastAsia" w:cs="Times New Roman"/>
          <w:bCs/>
          <w:sz w:val="24"/>
          <w:szCs w:val="24"/>
        </w:rPr>
        <w:t xml:space="preserve"> 低温型、负温型座浆料浆体的流动度、泌水率、应在规定的低、负温试验环境下完成搅拌、成型及试验。</w:t>
      </w:r>
    </w:p>
    <w:p>
      <w:pPr>
        <w:spacing w:line="360" w:lineRule="auto"/>
        <w:ind w:firstLine="480"/>
        <w:jc w:val="left"/>
        <w:rPr>
          <w:rFonts w:cs="Times New Roman"/>
          <w:bCs/>
          <w:sz w:val="24"/>
          <w:szCs w:val="24"/>
        </w:rPr>
      </w:pPr>
      <w:r>
        <w:rPr>
          <w:rFonts w:hint="eastAsia" w:cs="Times New Roman"/>
          <w:bCs/>
          <w:sz w:val="24"/>
          <w:szCs w:val="24"/>
        </w:rPr>
        <w:t>A.1.</w:t>
      </w:r>
      <w:r>
        <w:rPr>
          <w:rFonts w:cs="Times New Roman"/>
          <w:bCs/>
          <w:sz w:val="24"/>
          <w:szCs w:val="24"/>
        </w:rPr>
        <w:t>11</w:t>
      </w:r>
      <w:r>
        <w:rPr>
          <w:rFonts w:hint="eastAsia" w:cs="Times New Roman"/>
          <w:bCs/>
          <w:sz w:val="24"/>
          <w:szCs w:val="24"/>
        </w:rPr>
        <w:t xml:space="preserve"> 低温型、负温型座浆料浆体的强度试验应在规定的低、负温试验环境下完成搅拌及成型，成型后根据表</w:t>
      </w:r>
      <w:r>
        <w:rPr>
          <w:rFonts w:cs="Times New Roman"/>
          <w:bCs/>
          <w:sz w:val="24"/>
          <w:szCs w:val="24"/>
        </w:rPr>
        <w:t>3</w:t>
      </w:r>
      <w:r>
        <w:rPr>
          <w:rFonts w:hint="eastAsia" w:cs="Times New Roman"/>
          <w:bCs/>
          <w:sz w:val="24"/>
          <w:szCs w:val="24"/>
        </w:rPr>
        <w:t>的养护龄期及养护温度要求进行养护，至规定龄期，然后立即移入试验温度和湿度符合 GB/T 17671 要求的常温环境下进行。</w:t>
      </w:r>
    </w:p>
    <w:p>
      <w:pPr>
        <w:spacing w:line="360" w:lineRule="auto"/>
        <w:ind w:firstLine="480"/>
        <w:jc w:val="left"/>
        <w:rPr>
          <w:rFonts w:cs="Times New Roman"/>
          <w:bCs/>
          <w:sz w:val="24"/>
          <w:szCs w:val="24"/>
        </w:rPr>
      </w:pPr>
      <w:r>
        <w:rPr>
          <w:rFonts w:hint="eastAsia" w:cs="Times New Roman"/>
          <w:bCs/>
          <w:sz w:val="24"/>
          <w:szCs w:val="24"/>
        </w:rPr>
        <w:t>A.</w:t>
      </w:r>
      <w:r>
        <w:rPr>
          <w:rFonts w:cs="Times New Roman"/>
          <w:bCs/>
          <w:sz w:val="24"/>
          <w:szCs w:val="24"/>
        </w:rPr>
        <w:t>2</w:t>
      </w:r>
      <w:r>
        <w:rPr>
          <w:rFonts w:hint="eastAsia" w:cs="Times New Roman"/>
          <w:bCs/>
          <w:sz w:val="24"/>
          <w:szCs w:val="24"/>
        </w:rPr>
        <w:t xml:space="preserve"> 试验仪器及座浆料浆体制备</w:t>
      </w:r>
    </w:p>
    <w:p>
      <w:pPr>
        <w:spacing w:line="360" w:lineRule="auto"/>
        <w:ind w:firstLine="480"/>
        <w:jc w:val="left"/>
        <w:rPr>
          <w:rFonts w:cs="Times New Roman"/>
          <w:sz w:val="24"/>
          <w:szCs w:val="24"/>
        </w:rPr>
      </w:pPr>
      <w:r>
        <w:rPr>
          <w:rFonts w:cs="Times New Roman"/>
          <w:bCs/>
          <w:sz w:val="24"/>
          <w:szCs w:val="24"/>
        </w:rPr>
        <w:t>A.2.1</w:t>
      </w:r>
      <w:r>
        <w:rPr>
          <w:rFonts w:cs="Times New Roman"/>
          <w:sz w:val="24"/>
          <w:szCs w:val="24"/>
        </w:rPr>
        <w:t xml:space="preserve">  </w:t>
      </w:r>
      <w:r>
        <w:rPr>
          <w:rFonts w:hint="eastAsia" w:cs="Times New Roman"/>
          <w:sz w:val="24"/>
          <w:szCs w:val="24"/>
        </w:rPr>
        <w:t>座浆料拌合搅拌机应符合</w:t>
      </w:r>
      <w:r>
        <w:rPr>
          <w:rFonts w:cs="Times New Roman"/>
          <w:sz w:val="24"/>
          <w:szCs w:val="24"/>
        </w:rPr>
        <w:t>JC/T 681</w:t>
      </w:r>
      <w:r>
        <w:rPr>
          <w:rFonts w:hint="eastAsia" w:cs="Times New Roman"/>
          <w:sz w:val="24"/>
          <w:szCs w:val="24"/>
        </w:rPr>
        <w:t>要求。</w:t>
      </w:r>
    </w:p>
    <w:p>
      <w:pPr>
        <w:spacing w:line="360" w:lineRule="auto"/>
        <w:ind w:firstLine="480"/>
        <w:jc w:val="left"/>
        <w:rPr>
          <w:rFonts w:cs="Times New Roman"/>
          <w:sz w:val="24"/>
          <w:szCs w:val="24"/>
        </w:rPr>
      </w:pPr>
      <w:r>
        <w:rPr>
          <w:rFonts w:cs="Times New Roman"/>
          <w:bCs/>
          <w:sz w:val="24"/>
          <w:szCs w:val="24"/>
        </w:rPr>
        <w:t>A.2.2</w:t>
      </w:r>
      <w:r>
        <w:rPr>
          <w:rFonts w:cs="Times New Roman"/>
          <w:sz w:val="24"/>
          <w:szCs w:val="24"/>
        </w:rPr>
        <w:t xml:space="preserve">  </w:t>
      </w:r>
      <w:r>
        <w:rPr>
          <w:rFonts w:hint="eastAsia" w:cs="Times New Roman"/>
          <w:sz w:val="24"/>
          <w:szCs w:val="24"/>
        </w:rPr>
        <w:t>座浆料浆体制备应按下列步骤进行：</w:t>
      </w:r>
    </w:p>
    <w:p>
      <w:pPr>
        <w:spacing w:line="360" w:lineRule="auto"/>
        <w:ind w:left="1320" w:leftChars="400" w:hanging="480" w:hangingChars="200"/>
        <w:jc w:val="left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a</w:t>
      </w:r>
      <w:r>
        <w:rPr>
          <w:rFonts w:hint="eastAsia" w:cs="Times New Roman"/>
          <w:sz w:val="24"/>
          <w:szCs w:val="24"/>
        </w:rPr>
        <w:t>）</w:t>
      </w:r>
      <w:r>
        <w:rPr>
          <w:rFonts w:cs="Times New Roman"/>
          <w:sz w:val="24"/>
          <w:szCs w:val="24"/>
        </w:rPr>
        <w:t xml:space="preserve"> </w:t>
      </w:r>
      <w:r>
        <w:rPr>
          <w:rFonts w:hint="eastAsia" w:cs="Times New Roman"/>
          <w:sz w:val="24"/>
          <w:szCs w:val="24"/>
        </w:rPr>
        <w:t>称取</w:t>
      </w:r>
      <w:r>
        <w:rPr>
          <w:rFonts w:cs="Times New Roman"/>
          <w:sz w:val="24"/>
          <w:szCs w:val="24"/>
        </w:rPr>
        <w:t>1800g</w:t>
      </w:r>
      <w:r>
        <w:rPr>
          <w:rFonts w:hint="eastAsia" w:cs="Times New Roman"/>
          <w:sz w:val="24"/>
          <w:szCs w:val="24"/>
        </w:rPr>
        <w:t>座浆料，精确至</w:t>
      </w:r>
      <w:r>
        <w:rPr>
          <w:rFonts w:cs="Times New Roman"/>
          <w:sz w:val="24"/>
          <w:szCs w:val="24"/>
        </w:rPr>
        <w:t>5g</w:t>
      </w:r>
      <w:r>
        <w:rPr>
          <w:rFonts w:hint="eastAsia" w:cs="Times New Roman"/>
          <w:sz w:val="24"/>
          <w:szCs w:val="24"/>
        </w:rPr>
        <w:t>；按照产品设计（说明书）要求的用水量称量好拌合用水，精确至</w:t>
      </w:r>
      <w:r>
        <w:rPr>
          <w:rFonts w:cs="Times New Roman"/>
          <w:sz w:val="24"/>
          <w:szCs w:val="24"/>
        </w:rPr>
        <w:t>1g</w:t>
      </w:r>
      <w:r>
        <w:rPr>
          <w:rFonts w:hint="eastAsia" w:cs="Times New Roman"/>
          <w:sz w:val="24"/>
          <w:szCs w:val="24"/>
        </w:rPr>
        <w:t>。</w:t>
      </w:r>
    </w:p>
    <w:p>
      <w:pPr>
        <w:spacing w:line="360" w:lineRule="auto"/>
        <w:ind w:left="1320" w:leftChars="400" w:hanging="480" w:hangingChars="200"/>
        <w:jc w:val="left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b</w:t>
      </w:r>
      <w:r>
        <w:rPr>
          <w:rFonts w:hint="eastAsia" w:cs="Times New Roman"/>
          <w:sz w:val="24"/>
          <w:szCs w:val="24"/>
        </w:rPr>
        <w:t>）</w:t>
      </w:r>
      <w:r>
        <w:rPr>
          <w:rFonts w:cs="Times New Roman"/>
          <w:sz w:val="24"/>
          <w:szCs w:val="24"/>
        </w:rPr>
        <w:t xml:space="preserve"> </w:t>
      </w:r>
      <w:r>
        <w:rPr>
          <w:rFonts w:hint="eastAsia" w:cs="Times New Roman"/>
          <w:sz w:val="24"/>
          <w:szCs w:val="24"/>
        </w:rPr>
        <w:t>润湿搅拌锅和搅拌叶，但不得有明水，将座浆料倒入搅拌锅中。开启搅拌机，同时加入拌合水，应在</w:t>
      </w:r>
      <w:r>
        <w:rPr>
          <w:rFonts w:cs="Times New Roman"/>
          <w:sz w:val="24"/>
          <w:szCs w:val="24"/>
        </w:rPr>
        <w:t>10s</w:t>
      </w:r>
      <w:r>
        <w:rPr>
          <w:rFonts w:hint="eastAsia" w:cs="Times New Roman"/>
          <w:sz w:val="24"/>
          <w:szCs w:val="24"/>
        </w:rPr>
        <w:t>内加完。</w:t>
      </w:r>
    </w:p>
    <w:p>
      <w:pPr>
        <w:spacing w:line="360" w:lineRule="auto"/>
        <w:ind w:left="1320" w:leftChars="400" w:hanging="480" w:hangingChars="200"/>
        <w:jc w:val="left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c</w:t>
      </w:r>
      <w:r>
        <w:rPr>
          <w:rFonts w:hint="eastAsia" w:cs="Times New Roman"/>
          <w:sz w:val="24"/>
          <w:szCs w:val="24"/>
        </w:rPr>
        <w:t>）按水泥胶砂搅拌机的设定程序搅拌</w:t>
      </w:r>
      <w:r>
        <w:rPr>
          <w:rFonts w:cs="Times New Roman"/>
          <w:sz w:val="24"/>
          <w:szCs w:val="24"/>
        </w:rPr>
        <w:t>240s</w:t>
      </w:r>
      <w:r>
        <w:rPr>
          <w:rFonts w:hint="eastAsia" w:cs="Times New Roman"/>
          <w:sz w:val="24"/>
          <w:szCs w:val="24"/>
        </w:rPr>
        <w:t>。</w:t>
      </w:r>
    </w:p>
    <w:p>
      <w:pPr>
        <w:spacing w:line="360" w:lineRule="auto"/>
        <w:ind w:left="1320" w:leftChars="400" w:hanging="480" w:hangingChars="200"/>
        <w:jc w:val="left"/>
        <w:rPr>
          <w:rFonts w:cs="Times New Roman"/>
          <w:sz w:val="24"/>
          <w:szCs w:val="24"/>
        </w:rPr>
      </w:pPr>
    </w:p>
    <w:p>
      <w:pPr>
        <w:spacing w:line="360" w:lineRule="auto"/>
        <w:ind w:firstLine="480"/>
        <w:jc w:val="left"/>
        <w:rPr>
          <w:rFonts w:cs="Times New Roman"/>
          <w:bCs/>
          <w:sz w:val="24"/>
          <w:szCs w:val="24"/>
        </w:rPr>
      </w:pPr>
    </w:p>
    <w:p>
      <w:pPr>
        <w:spacing w:line="360" w:lineRule="auto"/>
        <w:ind w:firstLine="480"/>
        <w:jc w:val="left"/>
        <w:rPr>
          <w:rFonts w:cs="Times New Roman"/>
          <w:bCs/>
          <w:sz w:val="24"/>
          <w:szCs w:val="24"/>
        </w:rPr>
      </w:pPr>
    </w:p>
    <w:p>
      <w:pPr>
        <w:spacing w:line="360" w:lineRule="auto"/>
        <w:ind w:firstLine="480"/>
        <w:jc w:val="left"/>
        <w:rPr>
          <w:rFonts w:cs="Times New Roman"/>
          <w:bCs/>
          <w:sz w:val="24"/>
          <w:szCs w:val="24"/>
        </w:rPr>
      </w:pPr>
    </w:p>
    <w:p>
      <w:pPr>
        <w:spacing w:line="360" w:lineRule="auto"/>
        <w:ind w:firstLine="480"/>
        <w:jc w:val="left"/>
        <w:rPr>
          <w:rFonts w:cs="Times New Roman"/>
          <w:bCs/>
          <w:sz w:val="24"/>
          <w:szCs w:val="24"/>
        </w:rPr>
      </w:pPr>
    </w:p>
    <w:p>
      <w:pPr>
        <w:spacing w:line="360" w:lineRule="auto"/>
        <w:ind w:firstLine="480"/>
        <w:jc w:val="left"/>
        <w:rPr>
          <w:rFonts w:cs="Times New Roman"/>
          <w:bCs/>
          <w:sz w:val="24"/>
          <w:szCs w:val="24"/>
        </w:rPr>
      </w:pPr>
    </w:p>
    <w:p>
      <w:pPr>
        <w:spacing w:line="360" w:lineRule="auto"/>
        <w:ind w:firstLine="480"/>
        <w:jc w:val="left"/>
        <w:rPr>
          <w:rFonts w:cs="Times New Roman"/>
          <w:bCs/>
          <w:sz w:val="24"/>
          <w:szCs w:val="24"/>
        </w:rPr>
      </w:pPr>
    </w:p>
    <w:p>
      <w:pPr>
        <w:spacing w:line="360" w:lineRule="auto"/>
        <w:ind w:firstLine="480"/>
        <w:jc w:val="left"/>
        <w:rPr>
          <w:rFonts w:cs="Times New Roman"/>
          <w:bCs/>
          <w:sz w:val="24"/>
          <w:szCs w:val="24"/>
        </w:rPr>
      </w:pPr>
    </w:p>
    <w:p>
      <w:pPr>
        <w:spacing w:line="360" w:lineRule="auto"/>
        <w:ind w:firstLine="480"/>
        <w:jc w:val="left"/>
        <w:rPr>
          <w:rFonts w:cs="Times New Roman"/>
          <w:bCs/>
          <w:sz w:val="24"/>
          <w:szCs w:val="24"/>
        </w:rPr>
      </w:pPr>
    </w:p>
    <w:p>
      <w:pPr>
        <w:spacing w:line="360" w:lineRule="auto"/>
        <w:ind w:firstLine="480"/>
        <w:jc w:val="left"/>
        <w:rPr>
          <w:rFonts w:cs="Times New Roman"/>
          <w:bCs/>
          <w:sz w:val="24"/>
          <w:szCs w:val="24"/>
        </w:rPr>
      </w:pPr>
    </w:p>
    <w:p>
      <w:pPr>
        <w:spacing w:line="360" w:lineRule="auto"/>
        <w:ind w:firstLine="480"/>
        <w:jc w:val="left"/>
        <w:rPr>
          <w:rFonts w:cs="Times New Roman"/>
          <w:bCs/>
          <w:sz w:val="24"/>
          <w:szCs w:val="24"/>
        </w:rPr>
      </w:pPr>
    </w:p>
    <w:p>
      <w:pPr>
        <w:spacing w:line="360" w:lineRule="auto"/>
        <w:ind w:firstLine="480"/>
        <w:jc w:val="left"/>
        <w:rPr>
          <w:rFonts w:cs="Times New Roman"/>
          <w:bCs/>
          <w:sz w:val="24"/>
          <w:szCs w:val="24"/>
        </w:rPr>
      </w:pPr>
    </w:p>
    <w:p>
      <w:pPr>
        <w:spacing w:line="360" w:lineRule="auto"/>
        <w:ind w:firstLine="480"/>
        <w:jc w:val="left"/>
        <w:rPr>
          <w:rFonts w:cs="Times New Roman"/>
          <w:bCs/>
          <w:sz w:val="24"/>
          <w:szCs w:val="24"/>
        </w:rPr>
      </w:pPr>
    </w:p>
    <w:p>
      <w:pPr>
        <w:spacing w:line="360" w:lineRule="auto"/>
        <w:ind w:firstLine="480"/>
        <w:jc w:val="left"/>
        <w:rPr>
          <w:rFonts w:cs="Times New Roman"/>
          <w:bCs/>
          <w:sz w:val="24"/>
          <w:szCs w:val="24"/>
        </w:rPr>
      </w:pPr>
    </w:p>
    <w:p>
      <w:pPr>
        <w:spacing w:line="360" w:lineRule="auto"/>
        <w:ind w:firstLine="480"/>
        <w:jc w:val="left"/>
        <w:rPr>
          <w:rFonts w:cs="Times New Roman"/>
          <w:bCs/>
          <w:sz w:val="24"/>
          <w:szCs w:val="24"/>
        </w:rPr>
      </w:pPr>
    </w:p>
    <w:p>
      <w:pPr>
        <w:spacing w:line="360" w:lineRule="auto"/>
        <w:ind w:firstLine="480"/>
        <w:jc w:val="left"/>
        <w:rPr>
          <w:rFonts w:cs="Times New Roman"/>
          <w:bCs/>
          <w:sz w:val="24"/>
          <w:szCs w:val="24"/>
        </w:rPr>
      </w:pPr>
    </w:p>
    <w:p>
      <w:pPr>
        <w:spacing w:line="360" w:lineRule="auto"/>
        <w:ind w:firstLine="480"/>
        <w:jc w:val="left"/>
        <w:rPr>
          <w:rFonts w:cs="Times New Roman"/>
          <w:bCs/>
          <w:sz w:val="24"/>
          <w:szCs w:val="24"/>
        </w:rPr>
      </w:pPr>
    </w:p>
    <w:p>
      <w:pPr>
        <w:spacing w:line="360" w:lineRule="auto"/>
        <w:ind w:firstLine="480"/>
        <w:jc w:val="left"/>
        <w:rPr>
          <w:rFonts w:cs="Times New Roman"/>
          <w:bCs/>
          <w:sz w:val="24"/>
          <w:szCs w:val="24"/>
        </w:rPr>
      </w:pPr>
    </w:p>
    <w:p>
      <w:pPr>
        <w:pStyle w:val="2"/>
        <w:spacing w:before="62" w:after="62"/>
        <w:jc w:val="center"/>
        <w:rPr>
          <w:rFonts w:eastAsia="宋体" w:cs="Times New Roman"/>
          <w:sz w:val="28"/>
          <w:szCs w:val="28"/>
        </w:rPr>
      </w:pPr>
      <w:r>
        <w:rPr>
          <w:rFonts w:hint="eastAsia" w:eastAsia="宋体" w:cs="Times New Roman"/>
          <w:sz w:val="28"/>
          <w:szCs w:val="28"/>
        </w:rPr>
        <w:t>附录</w:t>
      </w:r>
      <w:bookmarkEnd w:id="94"/>
      <w:r>
        <w:rPr>
          <w:rFonts w:hint="eastAsia" w:eastAsia="宋体" w:cs="Times New Roman"/>
          <w:sz w:val="28"/>
          <w:szCs w:val="28"/>
        </w:rPr>
        <w:t>B</w:t>
      </w:r>
    </w:p>
    <w:p>
      <w:pPr>
        <w:spacing w:line="360" w:lineRule="auto"/>
        <w:ind w:firstLine="480"/>
        <w:jc w:val="center"/>
      </w:pPr>
      <w:r>
        <w:rPr>
          <w:rFonts w:cs="Times New Roman"/>
          <w:sz w:val="24"/>
          <w:szCs w:val="24"/>
        </w:rPr>
        <w:t>(</w:t>
      </w:r>
      <w:r>
        <w:rPr>
          <w:rFonts w:hint="eastAsia" w:cs="Times New Roman"/>
          <w:sz w:val="24"/>
          <w:szCs w:val="24"/>
        </w:rPr>
        <w:t>规范性附录</w:t>
      </w:r>
      <w:r>
        <w:rPr>
          <w:rFonts w:cs="Times New Roman"/>
          <w:sz w:val="24"/>
          <w:szCs w:val="24"/>
        </w:rPr>
        <w:t>)</w:t>
      </w:r>
    </w:p>
    <w:p>
      <w:pPr>
        <w:ind w:firstLine="480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竖向膨胀率试验</w:t>
      </w:r>
    </w:p>
    <w:p>
      <w:pPr>
        <w:ind w:firstLine="480"/>
        <w:jc w:val="center"/>
        <w:rPr>
          <w:sz w:val="24"/>
          <w:szCs w:val="24"/>
        </w:rPr>
      </w:pPr>
    </w:p>
    <w:p>
      <w:pPr>
        <w:ind w:firstLine="482"/>
        <w:jc w:val="left"/>
        <w:rPr>
          <w:sz w:val="24"/>
          <w:szCs w:val="24"/>
        </w:rPr>
      </w:pPr>
      <w:r>
        <w:rPr>
          <w:b/>
          <w:bCs/>
          <w:sz w:val="24"/>
          <w:szCs w:val="24"/>
        </w:rPr>
        <w:t>B.0.1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竖向膨胀率测试仪器和测试装置应符合</w:t>
      </w:r>
      <w:r>
        <w:rPr>
          <w:sz w:val="24"/>
          <w:szCs w:val="24"/>
        </w:rPr>
        <w:t>GB50119-2013</w:t>
      </w:r>
      <w:r>
        <w:rPr>
          <w:rFonts w:hint="eastAsia"/>
          <w:sz w:val="24"/>
          <w:szCs w:val="24"/>
        </w:rPr>
        <w:t>附录</w:t>
      </w:r>
      <w:r>
        <w:rPr>
          <w:sz w:val="24"/>
          <w:szCs w:val="24"/>
        </w:rPr>
        <w:t>C</w:t>
      </w:r>
      <w:r>
        <w:rPr>
          <w:rFonts w:hint="eastAsia"/>
          <w:sz w:val="24"/>
          <w:szCs w:val="24"/>
        </w:rPr>
        <w:t>的规定。</w:t>
      </w:r>
    </w:p>
    <w:p>
      <w:pPr>
        <w:ind w:firstLine="482"/>
        <w:jc w:val="left"/>
        <w:rPr>
          <w:sz w:val="24"/>
          <w:szCs w:val="24"/>
        </w:rPr>
      </w:pPr>
      <w:r>
        <w:rPr>
          <w:b/>
          <w:bCs/>
          <w:sz w:val="24"/>
          <w:szCs w:val="24"/>
        </w:rPr>
        <w:t>B.0.2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竖向膨胀率试验应按下列步骤进行：</w:t>
      </w:r>
    </w:p>
    <w:p>
      <w:pPr>
        <w:spacing w:line="360" w:lineRule="auto"/>
        <w:ind w:left="1320" w:leftChars="400" w:hanging="480" w:hangingChars="200"/>
        <w:jc w:val="left"/>
        <w:rPr>
          <w:sz w:val="24"/>
          <w:szCs w:val="24"/>
        </w:rPr>
      </w:pPr>
      <w:r>
        <w:rPr>
          <w:sz w:val="24"/>
          <w:szCs w:val="24"/>
        </w:rPr>
        <w:t>a</w:t>
      </w:r>
      <w:r>
        <w:rPr>
          <w:rFonts w:hint="eastAsia"/>
          <w:sz w:val="24"/>
          <w:szCs w:val="24"/>
        </w:rPr>
        <w:t>）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称取</w:t>
      </w:r>
      <w:r>
        <w:rPr>
          <w:sz w:val="24"/>
          <w:szCs w:val="24"/>
          <w:highlight w:val="none"/>
        </w:rPr>
        <w:t>2</w:t>
      </w:r>
      <w:r>
        <w:rPr>
          <w:rFonts w:hint="eastAsia"/>
          <w:sz w:val="24"/>
          <w:szCs w:val="24"/>
          <w:highlight w:val="none"/>
          <w:lang w:val="en-US" w:eastAsia="zh-CN"/>
        </w:rPr>
        <w:t>5</w:t>
      </w:r>
      <w:r>
        <w:rPr>
          <w:sz w:val="24"/>
          <w:szCs w:val="24"/>
          <w:highlight w:val="none"/>
        </w:rPr>
        <w:t>00g</w:t>
      </w:r>
      <w:r>
        <w:rPr>
          <w:rFonts w:hint="eastAsia"/>
          <w:sz w:val="24"/>
          <w:szCs w:val="24"/>
        </w:rPr>
        <w:t>座浆料，精确至</w:t>
      </w:r>
      <w:r>
        <w:rPr>
          <w:sz w:val="24"/>
          <w:szCs w:val="24"/>
        </w:rPr>
        <w:t>5g</w:t>
      </w:r>
      <w:r>
        <w:rPr>
          <w:rFonts w:hint="eastAsia"/>
          <w:sz w:val="24"/>
          <w:szCs w:val="24"/>
        </w:rPr>
        <w:t>；按照产品设计（说明书）要求的用水量称量好拌合用水，精确至</w:t>
      </w:r>
      <w:r>
        <w:rPr>
          <w:sz w:val="24"/>
          <w:szCs w:val="24"/>
        </w:rPr>
        <w:t>1g</w:t>
      </w:r>
      <w:r>
        <w:rPr>
          <w:rFonts w:hint="eastAsia"/>
          <w:sz w:val="24"/>
          <w:szCs w:val="24"/>
        </w:rPr>
        <w:t>。</w:t>
      </w:r>
    </w:p>
    <w:p>
      <w:pPr>
        <w:spacing w:line="360" w:lineRule="auto"/>
        <w:ind w:left="1320" w:leftChars="400" w:hanging="480" w:hangingChars="200"/>
        <w:jc w:val="left"/>
        <w:rPr>
          <w:sz w:val="24"/>
          <w:szCs w:val="24"/>
        </w:rPr>
      </w:pPr>
      <w:r>
        <w:rPr>
          <w:sz w:val="24"/>
          <w:szCs w:val="24"/>
        </w:rPr>
        <w:t>b</w:t>
      </w:r>
      <w:r>
        <w:rPr>
          <w:rFonts w:hint="eastAsia"/>
          <w:sz w:val="24"/>
          <w:szCs w:val="24"/>
        </w:rPr>
        <w:t>）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润湿搅拌锅和搅拌叶，但不得有明水，将座浆料倒入搅拌锅中。开启搅拌机，同时加入拌合水，应在</w:t>
      </w:r>
      <w:r>
        <w:rPr>
          <w:sz w:val="24"/>
          <w:szCs w:val="24"/>
        </w:rPr>
        <w:t>10s</w:t>
      </w:r>
      <w:r>
        <w:rPr>
          <w:rFonts w:hint="eastAsia"/>
          <w:sz w:val="24"/>
          <w:szCs w:val="24"/>
        </w:rPr>
        <w:t>内加完。</w:t>
      </w:r>
    </w:p>
    <w:p>
      <w:pPr>
        <w:spacing w:line="360" w:lineRule="auto"/>
        <w:ind w:left="1320" w:leftChars="400" w:hanging="480" w:hangingChars="200"/>
        <w:jc w:val="left"/>
        <w:rPr>
          <w:sz w:val="24"/>
          <w:szCs w:val="24"/>
        </w:rPr>
      </w:pPr>
      <w:r>
        <w:rPr>
          <w:sz w:val="24"/>
          <w:szCs w:val="24"/>
        </w:rPr>
        <w:t>c</w:t>
      </w:r>
      <w:r>
        <w:rPr>
          <w:rFonts w:hint="eastAsia"/>
          <w:sz w:val="24"/>
          <w:szCs w:val="24"/>
        </w:rPr>
        <w:t>）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按水泥胶砂搅拌机的设定程序搅拌</w:t>
      </w:r>
      <w:r>
        <w:rPr>
          <w:sz w:val="24"/>
          <w:szCs w:val="24"/>
        </w:rPr>
        <w:t>240s</w:t>
      </w:r>
      <w:r>
        <w:rPr>
          <w:rFonts w:hint="eastAsia"/>
          <w:sz w:val="24"/>
          <w:szCs w:val="24"/>
        </w:rPr>
        <w:t>。</w:t>
      </w:r>
    </w:p>
    <w:p>
      <w:pPr>
        <w:spacing w:line="360" w:lineRule="auto"/>
        <w:ind w:left="1320" w:leftChars="400" w:hanging="480" w:hangingChars="200"/>
        <w:jc w:val="left"/>
        <w:rPr>
          <w:sz w:val="24"/>
          <w:szCs w:val="24"/>
        </w:rPr>
      </w:pPr>
      <w:r>
        <w:rPr>
          <w:sz w:val="24"/>
          <w:szCs w:val="24"/>
        </w:rPr>
        <w:t>d</w:t>
      </w:r>
      <w:r>
        <w:rPr>
          <w:rFonts w:hint="eastAsia"/>
          <w:sz w:val="24"/>
          <w:szCs w:val="24"/>
        </w:rPr>
        <w:t>）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将搅拌好的座浆料一次性贯入试模中，并高出试模表面，将试模置于混凝土振动台上震动</w:t>
      </w:r>
      <w:r>
        <w:rPr>
          <w:rFonts w:hint="eastAsia"/>
          <w:sz w:val="24"/>
          <w:szCs w:val="24"/>
          <w:lang w:val="en-US" w:eastAsia="zh-CN"/>
        </w:rPr>
        <w:t>10s</w:t>
      </w:r>
      <w:r>
        <w:rPr>
          <w:rFonts w:hint="eastAsia"/>
          <w:sz w:val="24"/>
          <w:szCs w:val="24"/>
        </w:rPr>
        <w:t>。</w:t>
      </w:r>
      <w:r>
        <w:rPr>
          <w:rFonts w:hint="eastAsia"/>
          <w:sz w:val="24"/>
          <w:szCs w:val="24"/>
          <w:highlight w:val="none"/>
          <w:lang w:val="en-US" w:eastAsia="zh-CN"/>
        </w:rPr>
        <w:t>抹</w:t>
      </w:r>
      <w:r>
        <w:rPr>
          <w:rFonts w:hint="eastAsia"/>
          <w:sz w:val="24"/>
          <w:szCs w:val="24"/>
        </w:rPr>
        <w:t>平座浆料表面，并使成型后的座浆料表面略高于试模上口</w:t>
      </w:r>
      <w:r>
        <w:rPr>
          <w:sz w:val="24"/>
          <w:szCs w:val="24"/>
        </w:rPr>
        <w:t>1mm-2mm</w:t>
      </w:r>
      <w:r>
        <w:rPr>
          <w:rFonts w:hint="eastAsia"/>
          <w:sz w:val="24"/>
          <w:szCs w:val="24"/>
        </w:rPr>
        <w:t>，然后盖上玻璃板，玻璃板应平放在试模中间</w:t>
      </w:r>
      <w:r>
        <w:rPr>
          <w:rFonts w:hint="eastAsia"/>
          <w:sz w:val="24"/>
          <w:szCs w:val="24"/>
          <w:highlight w:val="none"/>
          <w:lang w:val="en-US" w:eastAsia="zh-CN"/>
        </w:rPr>
        <w:t>位</w:t>
      </w:r>
      <w:r>
        <w:rPr>
          <w:rFonts w:hint="eastAsia"/>
          <w:sz w:val="24"/>
          <w:szCs w:val="24"/>
          <w:highlight w:val="none"/>
        </w:rPr>
        <w:t>置</w:t>
      </w:r>
      <w:r>
        <w:rPr>
          <w:rFonts w:hint="eastAsia"/>
          <w:sz w:val="24"/>
          <w:szCs w:val="24"/>
        </w:rPr>
        <w:t>，其左右两边与试模内侧边应留出</w:t>
      </w:r>
      <w:r>
        <w:rPr>
          <w:sz w:val="24"/>
          <w:szCs w:val="24"/>
        </w:rPr>
        <w:t>10mm</w:t>
      </w:r>
      <w:r>
        <w:rPr>
          <w:rFonts w:hint="eastAsia"/>
          <w:sz w:val="24"/>
          <w:szCs w:val="24"/>
        </w:rPr>
        <w:t>空隙。</w:t>
      </w:r>
    </w:p>
    <w:p>
      <w:pPr>
        <w:spacing w:line="360" w:lineRule="auto"/>
        <w:ind w:left="1320" w:leftChars="400" w:hanging="480" w:hangingChars="200"/>
        <w:jc w:val="left"/>
        <w:rPr>
          <w:sz w:val="24"/>
          <w:szCs w:val="24"/>
        </w:rPr>
      </w:pPr>
      <w:r>
        <w:rPr>
          <w:sz w:val="24"/>
          <w:szCs w:val="24"/>
        </w:rPr>
        <w:t>e</w:t>
      </w:r>
      <w:r>
        <w:rPr>
          <w:rFonts w:hint="eastAsia"/>
          <w:sz w:val="24"/>
          <w:szCs w:val="24"/>
        </w:rPr>
        <w:t>）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玻璃板两侧座浆料表面，用小刀轻轻抹成斜坡，斜坡的高度与玻璃板相平，斜坡的低边与试模内侧顶面相平。抹斜坡的时候不应超过</w:t>
      </w:r>
      <w:r>
        <w:rPr>
          <w:sz w:val="24"/>
          <w:szCs w:val="24"/>
        </w:rPr>
        <w:t>30s</w:t>
      </w:r>
      <w:r>
        <w:rPr>
          <w:rFonts w:hint="eastAsia"/>
          <w:sz w:val="24"/>
          <w:szCs w:val="24"/>
        </w:rPr>
        <w:t>。之后</w:t>
      </w:r>
      <w:r>
        <w:rPr>
          <w:sz w:val="24"/>
          <w:szCs w:val="24"/>
        </w:rPr>
        <w:t>30s</w:t>
      </w:r>
      <w:r>
        <w:rPr>
          <w:rFonts w:hint="eastAsia"/>
          <w:sz w:val="24"/>
          <w:szCs w:val="24"/>
        </w:rPr>
        <w:t>内，用两层湿棉布覆盖在玻璃板两侧座浆料表面，湿棉布的两端放入盛水的容器中。</w:t>
      </w:r>
    </w:p>
    <w:p>
      <w:pPr>
        <w:spacing w:line="360" w:lineRule="auto"/>
        <w:ind w:left="1320" w:leftChars="400" w:hanging="480" w:hangingChars="200"/>
        <w:jc w:val="left"/>
        <w:rPr>
          <w:sz w:val="24"/>
          <w:szCs w:val="24"/>
        </w:rPr>
      </w:pPr>
      <w:r>
        <w:rPr>
          <w:sz w:val="24"/>
          <w:szCs w:val="24"/>
        </w:rPr>
        <w:t>f</w:t>
      </w:r>
      <w:r>
        <w:rPr>
          <w:rFonts w:hint="eastAsia"/>
          <w:sz w:val="24"/>
          <w:szCs w:val="24"/>
        </w:rPr>
        <w:t>）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把钢质压块置于玻璃板中央，再把千分表测量头垂放在钢质压板上，在</w:t>
      </w:r>
      <w:r>
        <w:rPr>
          <w:sz w:val="24"/>
          <w:szCs w:val="24"/>
        </w:rPr>
        <w:t>30s</w:t>
      </w:r>
      <w:r>
        <w:rPr>
          <w:rFonts w:hint="eastAsia"/>
          <w:sz w:val="24"/>
          <w:szCs w:val="24"/>
        </w:rPr>
        <w:t>内记录千分表读数</w:t>
      </w:r>
      <w:r>
        <w:rPr>
          <w:sz w:val="24"/>
          <w:szCs w:val="24"/>
        </w:rPr>
        <w:t>h</w:t>
      </w:r>
      <w:r>
        <w:rPr>
          <w:sz w:val="24"/>
          <w:szCs w:val="24"/>
          <w:vertAlign w:val="subscript"/>
        </w:rPr>
        <w:t>0</w:t>
      </w:r>
      <w:r>
        <w:rPr>
          <w:rFonts w:hint="eastAsia"/>
          <w:sz w:val="24"/>
          <w:szCs w:val="24"/>
        </w:rPr>
        <w:t>，为初读数。</w:t>
      </w:r>
    </w:p>
    <w:p>
      <w:pPr>
        <w:spacing w:line="360" w:lineRule="auto"/>
        <w:ind w:left="1320" w:leftChars="400" w:hanging="480" w:hangingChars="200"/>
        <w:jc w:val="left"/>
        <w:rPr>
          <w:sz w:val="24"/>
          <w:szCs w:val="24"/>
        </w:rPr>
      </w:pPr>
      <w:r>
        <w:rPr>
          <w:sz w:val="24"/>
          <w:szCs w:val="24"/>
        </w:rPr>
        <w:t>g</w:t>
      </w:r>
      <w:r>
        <w:rPr>
          <w:rFonts w:hint="eastAsia"/>
          <w:sz w:val="24"/>
          <w:szCs w:val="24"/>
        </w:rPr>
        <w:t>）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自加水搅合时起于</w:t>
      </w:r>
      <w:r>
        <w:rPr>
          <w:sz w:val="24"/>
          <w:szCs w:val="24"/>
        </w:rPr>
        <w:t>24h</w:t>
      </w:r>
      <w:r>
        <w:rPr>
          <w:rFonts w:hint="eastAsia"/>
          <w:sz w:val="24"/>
          <w:szCs w:val="24"/>
        </w:rPr>
        <w:t>记取千分表读数</w:t>
      </w:r>
      <w:r>
        <w:rPr>
          <w:sz w:val="24"/>
          <w:szCs w:val="24"/>
        </w:rPr>
        <w:t>h</w:t>
      </w:r>
      <w:r>
        <w:rPr>
          <w:sz w:val="24"/>
          <w:szCs w:val="24"/>
          <w:vertAlign w:val="subscript"/>
        </w:rPr>
        <w:t>1</w:t>
      </w:r>
      <w:r>
        <w:rPr>
          <w:rFonts w:hint="eastAsia"/>
          <w:sz w:val="24"/>
          <w:szCs w:val="24"/>
        </w:rPr>
        <w:t>。</w:t>
      </w:r>
    </w:p>
    <w:p>
      <w:pPr>
        <w:spacing w:line="360" w:lineRule="auto"/>
        <w:ind w:left="1320" w:leftChars="400" w:hanging="480" w:hangingChars="200"/>
        <w:jc w:val="left"/>
        <w:rPr>
          <w:sz w:val="24"/>
          <w:szCs w:val="24"/>
        </w:rPr>
      </w:pPr>
      <w:r>
        <w:rPr>
          <w:sz w:val="24"/>
          <w:szCs w:val="24"/>
        </w:rPr>
        <w:t>h</w:t>
      </w:r>
      <w:r>
        <w:rPr>
          <w:rFonts w:hint="eastAsia"/>
          <w:sz w:val="24"/>
          <w:szCs w:val="24"/>
        </w:rPr>
        <w:t>）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从测量初始读数开始，测量装置和试件应保持静止不动，并不得振动。</w:t>
      </w:r>
    </w:p>
    <w:p>
      <w:pPr>
        <w:spacing w:line="360" w:lineRule="auto"/>
        <w:ind w:left="1320" w:leftChars="400" w:hanging="480" w:hangingChars="200"/>
        <w:jc w:val="left"/>
        <w:rPr>
          <w:sz w:val="24"/>
          <w:szCs w:val="24"/>
        </w:rPr>
      </w:pPr>
      <w:r>
        <w:rPr>
          <w:sz w:val="24"/>
          <w:szCs w:val="24"/>
        </w:rPr>
        <w:t>i</w:t>
      </w:r>
      <w:r>
        <w:rPr>
          <w:rFonts w:hint="eastAsia"/>
          <w:sz w:val="24"/>
          <w:szCs w:val="24"/>
        </w:rPr>
        <w:t>）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成型温度和环境温度应为</w:t>
      </w:r>
      <w:r>
        <w:rPr>
          <w:sz w:val="24"/>
          <w:szCs w:val="24"/>
        </w:rPr>
        <w:t>20</w:t>
      </w:r>
      <w:r>
        <w:rPr>
          <w:rFonts w:hint="eastAsia"/>
          <w:sz w:val="24"/>
          <w:szCs w:val="24"/>
        </w:rPr>
        <w:t>℃</w:t>
      </w:r>
      <w:r>
        <w:rPr>
          <w:rFonts w:hint="eastAsia" w:ascii="宋体" w:hAnsi="宋体"/>
          <w:sz w:val="24"/>
          <w:szCs w:val="24"/>
        </w:rPr>
        <w:t>±</w:t>
      </w:r>
      <w:r>
        <w:rPr>
          <w:sz w:val="24"/>
          <w:szCs w:val="24"/>
        </w:rPr>
        <w:t>2</w:t>
      </w:r>
      <w:r>
        <w:rPr>
          <w:rFonts w:hint="eastAsia"/>
          <w:sz w:val="24"/>
          <w:szCs w:val="24"/>
        </w:rPr>
        <w:t>℃。</w:t>
      </w:r>
    </w:p>
    <w:p>
      <w:pPr>
        <w:spacing w:line="360" w:lineRule="auto"/>
        <w:ind w:left="1320" w:leftChars="400" w:hanging="480" w:hangingChars="200"/>
        <w:jc w:val="left"/>
        <w:rPr>
          <w:sz w:val="24"/>
          <w:szCs w:val="24"/>
        </w:rPr>
      </w:pPr>
      <w:r>
        <w:rPr>
          <w:sz w:val="24"/>
          <w:szCs w:val="24"/>
        </w:rPr>
        <w:t>k</w:t>
      </w:r>
      <w:r>
        <w:rPr>
          <w:rFonts w:hint="eastAsia"/>
          <w:sz w:val="24"/>
          <w:szCs w:val="24"/>
        </w:rPr>
        <w:t>）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竖向膨胀率应按照</w:t>
      </w:r>
      <w:r>
        <w:rPr>
          <w:sz w:val="24"/>
          <w:szCs w:val="24"/>
        </w:rPr>
        <w:t>GB50119-2013</w:t>
      </w:r>
      <w:r>
        <w:rPr>
          <w:rFonts w:hint="eastAsia"/>
          <w:sz w:val="24"/>
          <w:szCs w:val="24"/>
        </w:rPr>
        <w:t>附录</w:t>
      </w:r>
      <w:r>
        <w:rPr>
          <w:sz w:val="24"/>
          <w:szCs w:val="24"/>
        </w:rPr>
        <w:t>C</w:t>
      </w:r>
      <w:r>
        <w:rPr>
          <w:rFonts w:hint="eastAsia"/>
          <w:sz w:val="24"/>
          <w:szCs w:val="24"/>
        </w:rPr>
        <w:t>中的</w:t>
      </w:r>
      <w:r>
        <w:rPr>
          <w:sz w:val="24"/>
          <w:szCs w:val="24"/>
        </w:rPr>
        <w:t>C.0.5</w:t>
      </w:r>
      <w:r>
        <w:rPr>
          <w:rFonts w:hint="eastAsia"/>
          <w:sz w:val="24"/>
          <w:szCs w:val="24"/>
        </w:rPr>
        <w:t>公式计算，试验结果</w:t>
      </w:r>
      <w:r>
        <w:rPr>
          <w:rFonts w:hint="eastAsia"/>
          <w:sz w:val="24"/>
          <w:szCs w:val="24"/>
          <w:highlight w:val="none"/>
          <w:lang w:val="en-US" w:eastAsia="zh-CN"/>
        </w:rPr>
        <w:t>取</w:t>
      </w:r>
      <w:r>
        <w:rPr>
          <w:rFonts w:hint="eastAsia"/>
          <w:sz w:val="24"/>
          <w:szCs w:val="24"/>
        </w:rPr>
        <w:t>一组三个试件的算数平均值。</w:t>
      </w:r>
    </w:p>
    <w:p>
      <w:pPr>
        <w:spacing w:line="360" w:lineRule="auto"/>
        <w:ind w:left="1260" w:leftChars="400" w:hanging="420" w:hangingChars="200"/>
        <w:jc w:val="left"/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1181100</wp:posOffset>
                </wp:positionH>
                <wp:positionV relativeFrom="paragraph">
                  <wp:posOffset>143510</wp:posOffset>
                </wp:positionV>
                <wp:extent cx="3725545" cy="15240"/>
                <wp:effectExtent l="0" t="0" r="27940" b="22860"/>
                <wp:wrapNone/>
                <wp:docPr id="7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725481" cy="15368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flip:y;margin-left:93pt;margin-top:11.3pt;height:1.2pt;width:293.35pt;z-index:251660288;mso-width-relative:page;mso-height-relative:page;" filled="f" stroked="t" coordsize="21600,21600" o:gfxdata="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DISxD81wAAAAkBAAAPAAAAAAAAAAEAIAAAACIAAABkcnMvZG93bnJldi54bWxQSwECFAAUAAAA&#10;CACHTuJAwaCMGe8BAAC/AwAADgAAAAAAAAABACAAAAAmAQAAZHJzL2Uyb0RvYy54bWxQSwUGAAAA&#10;AAYABgBZAQAAhwUAAAAA&#10;">
                <v:fill on="f" focussize="0,0"/>
                <v:stroke weight="0.5pt" color="#000000 [3200]" miterlimit="8" joinstyle="miter"/>
                <v:imagedata o:title=""/>
                <o:lock v:ext="edit" aspectratio="f"/>
              </v:line>
            </w:pict>
          </mc:Fallback>
        </mc:AlternateContent>
      </w:r>
    </w:p>
    <w:p>
      <w:pPr>
        <w:ind w:firstLine="0" w:firstLineChars="0"/>
      </w:pPr>
    </w:p>
    <w:sectPr>
      <w:footerReference r:id="rId11" w:type="default"/>
      <w:pgSz w:w="11906" w:h="16838"/>
      <w:pgMar w:top="567" w:right="1134" w:bottom="1134" w:left="1418" w:header="1531" w:footer="1644" w:gutter="0"/>
      <w:pgNumType w:start="1"/>
      <w:cols w:space="425" w:num="1"/>
      <w:formProt w:val="0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659969492"/>
    </w:sdtPr>
    <w:sdtContent>
      <w:p>
        <w:pPr>
          <w:pStyle w:val="11"/>
          <w:ind w:firstLine="360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I</w:t>
        </w:r>
        <w:r>
          <w:fldChar w:fldCharType="end"/>
        </w:r>
      </w:p>
    </w:sdtContent>
  </w:sdt>
  <w:p>
    <w:pPr>
      <w:pStyle w:val="11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935389679"/>
    </w:sdtPr>
    <w:sdtContent>
      <w:p>
        <w:pPr>
          <w:pStyle w:val="11"/>
          <w:ind w:firstLine="360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8</w:t>
        </w:r>
        <w:r>
          <w:fldChar w:fldCharType="end"/>
        </w:r>
      </w:p>
    </w:sdtContent>
  </w:sdt>
  <w:p>
    <w:pPr>
      <w:pStyle w:val="11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ind w:firstLine="360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2"/>
    </w:pPr>
    <w:r>
      <w:fldChar w:fldCharType="begin"/>
    </w:r>
    <w:r>
      <w:instrText xml:space="preserve"> PAGE  \* MERGEFORMAT </w:instrText>
    </w:r>
    <w:r>
      <w:fldChar w:fldCharType="separate"/>
    </w:r>
    <w:r>
      <w:t>9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00" w:lineRule="auto"/>
        <w:ind w:firstLine="420"/>
      </w:pPr>
      <w:r>
        <w:separator/>
      </w:r>
    </w:p>
  </w:footnote>
  <w:footnote w:type="continuationSeparator" w:id="1">
    <w:p>
      <w:pPr>
        <w:spacing w:line="30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416"/>
      <w:jc w:val="left"/>
      <w:rPr>
        <w:rFonts w:cs="Times New Roman"/>
        <w:szCs w:val="21"/>
      </w:rPr>
    </w:pPr>
    <w:r>
      <w:rPr>
        <w:rFonts w:cs="Times New Roman"/>
        <w:spacing w:val="-1"/>
        <w:szCs w:val="21"/>
      </w:rPr>
      <w:t>T/CECS</w:t>
    </w:r>
    <w:r>
      <w:rPr>
        <w:rFonts w:cs="Times New Roman"/>
        <w:szCs w:val="21"/>
      </w:rPr>
      <w:t xml:space="preserve">  ×××××—20××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416"/>
      <w:jc w:val="right"/>
      <w:rPr>
        <w:rFonts w:cs="Times New Roman"/>
      </w:rPr>
    </w:pPr>
    <w:r>
      <w:rPr>
        <w:rFonts w:cs="Times New Roman"/>
        <w:spacing w:val="-1"/>
      </w:rPr>
      <w:t>T/CECS</w:t>
    </w:r>
    <w:r>
      <w:rPr>
        <w:rFonts w:cs="Times New Roman"/>
      </w:rPr>
      <w:t xml:space="preserve">  </w:t>
    </w:r>
    <w:r>
      <w:rPr>
        <w:rFonts w:cs="Times New Roman"/>
        <w:sz w:val="28"/>
      </w:rPr>
      <w:t>×××××</w:t>
    </w:r>
    <w:r>
      <w:rPr>
        <w:rFonts w:cs="Times New Roman"/>
      </w:rPr>
      <w:t>—20</w:t>
    </w:r>
    <w:r>
      <w:rPr>
        <w:rFonts w:cs="Times New Roman"/>
        <w:sz w:val="28"/>
      </w:rPr>
      <w:t>××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firstLine="42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10"/>
    <w:multiLevelType w:val="multilevel"/>
    <w:tmpl w:val="00000010"/>
    <w:lvl w:ilvl="0" w:tentative="0">
      <w:start w:val="1"/>
      <w:numFmt w:val="none"/>
      <w:suff w:val="nothing"/>
      <w:lvlText w:val="%1"/>
      <w:lvlJc w:val="left"/>
      <w:pPr>
        <w:ind w:left="0" w:firstLine="0"/>
      </w:pPr>
      <w:rPr>
        <w:rFonts w:hint="default" w:ascii="Times New Roman" w:hAnsi="Times New Roman"/>
        <w:b/>
        <w:i w:val="0"/>
        <w:sz w:val="21"/>
      </w:rPr>
    </w:lvl>
    <w:lvl w:ilvl="1" w:tentative="0">
      <w:start w:val="1"/>
      <w:numFmt w:val="decimal"/>
      <w:suff w:val="nothing"/>
      <w:lvlText w:val="%1%2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8"/>
        <w:szCs w:val="28"/>
      </w:rPr>
    </w:lvl>
    <w:lvl w:ilvl="2" w:tentative="0">
      <w:start w:val="1"/>
      <w:numFmt w:val="decimal"/>
      <w:pStyle w:val="35"/>
      <w:suff w:val="nothing"/>
      <w:lvlText w:val="%1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pStyle w:val="34"/>
      <w:suff w:val="nothing"/>
      <w:lvlText w:val="%1%2.%3.%4　"/>
      <w:lvlJc w:val="left"/>
      <w:pPr>
        <w:ind w:left="1275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1">
    <w:nsid w:val="646260FA"/>
    <w:multiLevelType w:val="multilevel"/>
    <w:tmpl w:val="646260FA"/>
    <w:lvl w:ilvl="0" w:tentative="0">
      <w:start w:val="1"/>
      <w:numFmt w:val="decimal"/>
      <w:pStyle w:val="42"/>
      <w:suff w:val="nothing"/>
      <w:lvlText w:val="表%1　"/>
      <w:lvlJc w:val="left"/>
      <w:pPr>
        <w:ind w:left="2694" w:firstLine="0"/>
      </w:pPr>
      <w:rPr>
        <w:rFonts w:hint="eastAsia" w:ascii="黑体" w:hAnsi="Times New Roman" w:eastAsia="黑体"/>
        <w:b w:val="0"/>
        <w:i w:val="0"/>
        <w:sz w:val="21"/>
      </w:rPr>
    </w:lvl>
    <w:lvl w:ilvl="1" w:tentative="0">
      <w:start w:val="1"/>
      <w:numFmt w:val="decimal"/>
      <w:lvlText w:val="%1.%2"/>
      <w:lvlJc w:val="left"/>
      <w:pPr>
        <w:tabs>
          <w:tab w:val="left" w:pos="3686"/>
        </w:tabs>
        <w:ind w:left="3686" w:hanging="567"/>
      </w:pPr>
      <w:rPr>
        <w:rFonts w:hint="eastAsia"/>
      </w:rPr>
    </w:lvl>
    <w:lvl w:ilvl="2" w:tentative="0">
      <w:start w:val="1"/>
      <w:numFmt w:val="decimal"/>
      <w:lvlText w:val="%1.%2.%3"/>
      <w:lvlJc w:val="left"/>
      <w:pPr>
        <w:tabs>
          <w:tab w:val="left" w:pos="4112"/>
        </w:tabs>
        <w:ind w:left="4112" w:hanging="567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4678"/>
        </w:tabs>
        <w:ind w:left="4678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5245"/>
        </w:tabs>
        <w:ind w:left="5245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5954"/>
        </w:tabs>
        <w:ind w:left="5954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6521"/>
        </w:tabs>
        <w:ind w:left="6521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7088"/>
        </w:tabs>
        <w:ind w:left="7088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7796"/>
        </w:tabs>
        <w:ind w:left="7796" w:hanging="1700"/>
      </w:pPr>
      <w:rPr>
        <w:rFonts w:hint="eastAsia"/>
      </w:rPr>
    </w:lvl>
  </w:abstractNum>
  <w:abstractNum w:abstractNumId="2">
    <w:nsid w:val="657D3FBC"/>
    <w:multiLevelType w:val="multilevel"/>
    <w:tmpl w:val="657D3FBC"/>
    <w:lvl w:ilvl="0" w:tentative="0">
      <w:start w:val="1"/>
      <w:numFmt w:val="upperLetter"/>
      <w:pStyle w:val="36"/>
      <w:suff w:val="nothing"/>
      <w:lvlText w:val="附　录　%1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1" w:tentative="0">
      <w:start w:val="1"/>
      <w:numFmt w:val="decimal"/>
      <w:suff w:val="nothing"/>
      <w:lvlText w:val="%1.%2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napToGrid/>
        <w:spacing w:val="0"/>
        <w:w w:val="100"/>
        <w:kern w:val="21"/>
        <w:sz w:val="21"/>
      </w:rPr>
    </w:lvl>
    <w:lvl w:ilvl="2" w:tentative="0">
      <w:start w:val="1"/>
      <w:numFmt w:val="decimal"/>
      <w:suff w:val="nothing"/>
      <w:lvlText w:val="%1.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.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3">
    <w:nsid w:val="6CEA2025"/>
    <w:multiLevelType w:val="multilevel"/>
    <w:tmpl w:val="6CEA2025"/>
    <w:lvl w:ilvl="0" w:tentative="0">
      <w:start w:val="1"/>
      <w:numFmt w:val="none"/>
      <w:pStyle w:val="37"/>
      <w:suff w:val="nothing"/>
      <w:lvlText w:val="%1"/>
      <w:lvlJc w:val="left"/>
      <w:pPr>
        <w:ind w:left="0" w:firstLine="0"/>
      </w:pPr>
      <w:rPr>
        <w:rFonts w:hint="default" w:ascii="Times New Roman" w:hAnsi="Times New Roman"/>
        <w:b/>
        <w:i w:val="0"/>
        <w:sz w:val="21"/>
      </w:rPr>
    </w:lvl>
    <w:lvl w:ilvl="1" w:tentative="0">
      <w:start w:val="1"/>
      <w:numFmt w:val="decimal"/>
      <w:suff w:val="nothing"/>
      <w:lvlText w:val="%1%2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2" w:tentative="0">
      <w:start w:val="1"/>
      <w:numFmt w:val="decimal"/>
      <w:suff w:val="nothing"/>
      <w:lvlText w:val="%1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suff w:val="nothing"/>
      <w:lvlText w:val="%1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FlOTFhYzI5NDA1MjQzZGZjYzhjZTc2MTY0NmM5ZDAifQ=="/>
  </w:docVars>
  <w:rsids>
    <w:rsidRoot w:val="000C68B4"/>
    <w:rsid w:val="00001036"/>
    <w:rsid w:val="000043A0"/>
    <w:rsid w:val="000061BC"/>
    <w:rsid w:val="00006985"/>
    <w:rsid w:val="00011151"/>
    <w:rsid w:val="00016B4E"/>
    <w:rsid w:val="00021CC1"/>
    <w:rsid w:val="0002306A"/>
    <w:rsid w:val="00023CA5"/>
    <w:rsid w:val="00027069"/>
    <w:rsid w:val="0003144C"/>
    <w:rsid w:val="000337D5"/>
    <w:rsid w:val="0004173F"/>
    <w:rsid w:val="00044B18"/>
    <w:rsid w:val="00044E26"/>
    <w:rsid w:val="000458E7"/>
    <w:rsid w:val="000466E6"/>
    <w:rsid w:val="00046724"/>
    <w:rsid w:val="00047A68"/>
    <w:rsid w:val="000519C8"/>
    <w:rsid w:val="000569BE"/>
    <w:rsid w:val="0006002A"/>
    <w:rsid w:val="000601D9"/>
    <w:rsid w:val="000634EB"/>
    <w:rsid w:val="00065D76"/>
    <w:rsid w:val="00070D06"/>
    <w:rsid w:val="0007363B"/>
    <w:rsid w:val="0007594D"/>
    <w:rsid w:val="000776B1"/>
    <w:rsid w:val="00080486"/>
    <w:rsid w:val="00082062"/>
    <w:rsid w:val="00086A3A"/>
    <w:rsid w:val="00087924"/>
    <w:rsid w:val="00092DE3"/>
    <w:rsid w:val="00095C39"/>
    <w:rsid w:val="000A3B86"/>
    <w:rsid w:val="000A4455"/>
    <w:rsid w:val="000A6333"/>
    <w:rsid w:val="000A70DA"/>
    <w:rsid w:val="000B11FD"/>
    <w:rsid w:val="000B50BA"/>
    <w:rsid w:val="000B66E4"/>
    <w:rsid w:val="000B7E8C"/>
    <w:rsid w:val="000C546C"/>
    <w:rsid w:val="000C68B4"/>
    <w:rsid w:val="000C7216"/>
    <w:rsid w:val="000D6C05"/>
    <w:rsid w:val="000E16EE"/>
    <w:rsid w:val="000F37C7"/>
    <w:rsid w:val="000F42FC"/>
    <w:rsid w:val="000F6F1C"/>
    <w:rsid w:val="000F796C"/>
    <w:rsid w:val="0010582F"/>
    <w:rsid w:val="0011130D"/>
    <w:rsid w:val="0011331C"/>
    <w:rsid w:val="00113F41"/>
    <w:rsid w:val="0011427F"/>
    <w:rsid w:val="00115633"/>
    <w:rsid w:val="001156E1"/>
    <w:rsid w:val="001177AA"/>
    <w:rsid w:val="00122DC4"/>
    <w:rsid w:val="00127E14"/>
    <w:rsid w:val="001307F3"/>
    <w:rsid w:val="001331B0"/>
    <w:rsid w:val="00137D93"/>
    <w:rsid w:val="00141D93"/>
    <w:rsid w:val="00142E04"/>
    <w:rsid w:val="0014731B"/>
    <w:rsid w:val="001476E5"/>
    <w:rsid w:val="00152A34"/>
    <w:rsid w:val="001538CC"/>
    <w:rsid w:val="001565B2"/>
    <w:rsid w:val="0015793A"/>
    <w:rsid w:val="00162EAC"/>
    <w:rsid w:val="00164B2C"/>
    <w:rsid w:val="0016781A"/>
    <w:rsid w:val="00173A22"/>
    <w:rsid w:val="00176C9B"/>
    <w:rsid w:val="00177D6D"/>
    <w:rsid w:val="0018178C"/>
    <w:rsid w:val="001833B1"/>
    <w:rsid w:val="00191DCB"/>
    <w:rsid w:val="001928F8"/>
    <w:rsid w:val="00194CAA"/>
    <w:rsid w:val="001966D9"/>
    <w:rsid w:val="0019679E"/>
    <w:rsid w:val="001A235D"/>
    <w:rsid w:val="001A4BC0"/>
    <w:rsid w:val="001B16FD"/>
    <w:rsid w:val="001B2599"/>
    <w:rsid w:val="001B25FE"/>
    <w:rsid w:val="001B2B58"/>
    <w:rsid w:val="001B479F"/>
    <w:rsid w:val="001D0FD8"/>
    <w:rsid w:val="001D430B"/>
    <w:rsid w:val="001D4747"/>
    <w:rsid w:val="001E682E"/>
    <w:rsid w:val="001F08CC"/>
    <w:rsid w:val="001F15B3"/>
    <w:rsid w:val="001F7946"/>
    <w:rsid w:val="002031F4"/>
    <w:rsid w:val="00206575"/>
    <w:rsid w:val="00210DB3"/>
    <w:rsid w:val="0021591C"/>
    <w:rsid w:val="00223043"/>
    <w:rsid w:val="002361FC"/>
    <w:rsid w:val="00237886"/>
    <w:rsid w:val="00245974"/>
    <w:rsid w:val="00246216"/>
    <w:rsid w:val="00247B92"/>
    <w:rsid w:val="00254839"/>
    <w:rsid w:val="00261CC6"/>
    <w:rsid w:val="002622A0"/>
    <w:rsid w:val="00264305"/>
    <w:rsid w:val="0026577B"/>
    <w:rsid w:val="00267865"/>
    <w:rsid w:val="00270022"/>
    <w:rsid w:val="00271539"/>
    <w:rsid w:val="0027795E"/>
    <w:rsid w:val="00281CF0"/>
    <w:rsid w:val="002827FD"/>
    <w:rsid w:val="00282947"/>
    <w:rsid w:val="00295D22"/>
    <w:rsid w:val="0029687C"/>
    <w:rsid w:val="00297B79"/>
    <w:rsid w:val="002B04A2"/>
    <w:rsid w:val="002B0A55"/>
    <w:rsid w:val="002B1A41"/>
    <w:rsid w:val="002B6D71"/>
    <w:rsid w:val="002B7B75"/>
    <w:rsid w:val="002C0AA5"/>
    <w:rsid w:val="002C406B"/>
    <w:rsid w:val="002C65E4"/>
    <w:rsid w:val="002D2192"/>
    <w:rsid w:val="002D2459"/>
    <w:rsid w:val="002D310A"/>
    <w:rsid w:val="002D4174"/>
    <w:rsid w:val="002D4928"/>
    <w:rsid w:val="002D6CEA"/>
    <w:rsid w:val="002E0DC3"/>
    <w:rsid w:val="002F175D"/>
    <w:rsid w:val="002F4909"/>
    <w:rsid w:val="002F562D"/>
    <w:rsid w:val="002F6668"/>
    <w:rsid w:val="0030458F"/>
    <w:rsid w:val="00305A81"/>
    <w:rsid w:val="003125EB"/>
    <w:rsid w:val="00316BF2"/>
    <w:rsid w:val="00321F8D"/>
    <w:rsid w:val="00324001"/>
    <w:rsid w:val="00325277"/>
    <w:rsid w:val="0032689D"/>
    <w:rsid w:val="003311A9"/>
    <w:rsid w:val="00337C8F"/>
    <w:rsid w:val="0034394D"/>
    <w:rsid w:val="003457AA"/>
    <w:rsid w:val="00345F12"/>
    <w:rsid w:val="00346260"/>
    <w:rsid w:val="00346995"/>
    <w:rsid w:val="0035493F"/>
    <w:rsid w:val="00354B1C"/>
    <w:rsid w:val="00354B7F"/>
    <w:rsid w:val="00367F70"/>
    <w:rsid w:val="00376A7B"/>
    <w:rsid w:val="003778C8"/>
    <w:rsid w:val="00383CA2"/>
    <w:rsid w:val="003851EB"/>
    <w:rsid w:val="0039473C"/>
    <w:rsid w:val="003961FE"/>
    <w:rsid w:val="003A4B51"/>
    <w:rsid w:val="003B039E"/>
    <w:rsid w:val="003B2DF4"/>
    <w:rsid w:val="003C3467"/>
    <w:rsid w:val="003C3E03"/>
    <w:rsid w:val="003C5F35"/>
    <w:rsid w:val="003C6062"/>
    <w:rsid w:val="003D2640"/>
    <w:rsid w:val="003D35BF"/>
    <w:rsid w:val="003E00A9"/>
    <w:rsid w:val="003F0293"/>
    <w:rsid w:val="00403BF7"/>
    <w:rsid w:val="00406DE3"/>
    <w:rsid w:val="00407FC1"/>
    <w:rsid w:val="00412F33"/>
    <w:rsid w:val="00412F52"/>
    <w:rsid w:val="00417AB4"/>
    <w:rsid w:val="00417BD9"/>
    <w:rsid w:val="004204C1"/>
    <w:rsid w:val="004218C0"/>
    <w:rsid w:val="00426131"/>
    <w:rsid w:val="00427CFB"/>
    <w:rsid w:val="00435475"/>
    <w:rsid w:val="004450B1"/>
    <w:rsid w:val="00452619"/>
    <w:rsid w:val="00453D55"/>
    <w:rsid w:val="00462F4F"/>
    <w:rsid w:val="004754D3"/>
    <w:rsid w:val="00481B82"/>
    <w:rsid w:val="00493663"/>
    <w:rsid w:val="00493A57"/>
    <w:rsid w:val="00494631"/>
    <w:rsid w:val="004948C5"/>
    <w:rsid w:val="004A00E4"/>
    <w:rsid w:val="004A438D"/>
    <w:rsid w:val="004B3C4D"/>
    <w:rsid w:val="004B5F4D"/>
    <w:rsid w:val="004C06D2"/>
    <w:rsid w:val="004C219A"/>
    <w:rsid w:val="004C6EBA"/>
    <w:rsid w:val="004C7CBF"/>
    <w:rsid w:val="004D3E2E"/>
    <w:rsid w:val="004D41CA"/>
    <w:rsid w:val="004D7082"/>
    <w:rsid w:val="004E6687"/>
    <w:rsid w:val="004E75B7"/>
    <w:rsid w:val="004F6C51"/>
    <w:rsid w:val="00500668"/>
    <w:rsid w:val="005045B9"/>
    <w:rsid w:val="00522476"/>
    <w:rsid w:val="00525235"/>
    <w:rsid w:val="00526D6D"/>
    <w:rsid w:val="00526F32"/>
    <w:rsid w:val="00537615"/>
    <w:rsid w:val="00550AD9"/>
    <w:rsid w:val="005510B2"/>
    <w:rsid w:val="00552D8C"/>
    <w:rsid w:val="00553823"/>
    <w:rsid w:val="00561146"/>
    <w:rsid w:val="00563CED"/>
    <w:rsid w:val="00563FF3"/>
    <w:rsid w:val="005668E3"/>
    <w:rsid w:val="00571D6D"/>
    <w:rsid w:val="00572C01"/>
    <w:rsid w:val="00580AF9"/>
    <w:rsid w:val="00580EB1"/>
    <w:rsid w:val="00591155"/>
    <w:rsid w:val="00592970"/>
    <w:rsid w:val="00594A0C"/>
    <w:rsid w:val="005A1528"/>
    <w:rsid w:val="005A2B34"/>
    <w:rsid w:val="005A4668"/>
    <w:rsid w:val="005A6A17"/>
    <w:rsid w:val="005B2641"/>
    <w:rsid w:val="005B67AC"/>
    <w:rsid w:val="005C26AC"/>
    <w:rsid w:val="005C3F95"/>
    <w:rsid w:val="005C79D9"/>
    <w:rsid w:val="005D128F"/>
    <w:rsid w:val="005D403D"/>
    <w:rsid w:val="005D4931"/>
    <w:rsid w:val="005D73F9"/>
    <w:rsid w:val="005E0FB4"/>
    <w:rsid w:val="005E2D08"/>
    <w:rsid w:val="005E43A1"/>
    <w:rsid w:val="005F1712"/>
    <w:rsid w:val="005F26A7"/>
    <w:rsid w:val="005F52DA"/>
    <w:rsid w:val="005F5928"/>
    <w:rsid w:val="005F786B"/>
    <w:rsid w:val="00605E3F"/>
    <w:rsid w:val="00607EE8"/>
    <w:rsid w:val="006151FC"/>
    <w:rsid w:val="00615FD4"/>
    <w:rsid w:val="00624E41"/>
    <w:rsid w:val="00630430"/>
    <w:rsid w:val="0063400A"/>
    <w:rsid w:val="00634084"/>
    <w:rsid w:val="0064442A"/>
    <w:rsid w:val="00650007"/>
    <w:rsid w:val="00650B57"/>
    <w:rsid w:val="006520A5"/>
    <w:rsid w:val="006527EE"/>
    <w:rsid w:val="00654A03"/>
    <w:rsid w:val="00654FF5"/>
    <w:rsid w:val="00665E96"/>
    <w:rsid w:val="0067645A"/>
    <w:rsid w:val="00677A69"/>
    <w:rsid w:val="00677BC4"/>
    <w:rsid w:val="00680346"/>
    <w:rsid w:val="00681EAE"/>
    <w:rsid w:val="00684068"/>
    <w:rsid w:val="0068499B"/>
    <w:rsid w:val="00691516"/>
    <w:rsid w:val="00692294"/>
    <w:rsid w:val="00694738"/>
    <w:rsid w:val="00695E8B"/>
    <w:rsid w:val="006A2143"/>
    <w:rsid w:val="006A7B29"/>
    <w:rsid w:val="006B035D"/>
    <w:rsid w:val="006B528C"/>
    <w:rsid w:val="006B56D5"/>
    <w:rsid w:val="006B69F5"/>
    <w:rsid w:val="006B70E1"/>
    <w:rsid w:val="006C6146"/>
    <w:rsid w:val="006C6E2B"/>
    <w:rsid w:val="006E360F"/>
    <w:rsid w:val="006F1C7D"/>
    <w:rsid w:val="006F2400"/>
    <w:rsid w:val="006F3A92"/>
    <w:rsid w:val="006F59AC"/>
    <w:rsid w:val="007105B7"/>
    <w:rsid w:val="00712A67"/>
    <w:rsid w:val="00721FD5"/>
    <w:rsid w:val="00722CFD"/>
    <w:rsid w:val="00726C9E"/>
    <w:rsid w:val="007310CF"/>
    <w:rsid w:val="00736713"/>
    <w:rsid w:val="00736C3B"/>
    <w:rsid w:val="00743642"/>
    <w:rsid w:val="00746457"/>
    <w:rsid w:val="007519C0"/>
    <w:rsid w:val="00752B82"/>
    <w:rsid w:val="007545FE"/>
    <w:rsid w:val="00757B80"/>
    <w:rsid w:val="00762FE4"/>
    <w:rsid w:val="00765253"/>
    <w:rsid w:val="00765AFA"/>
    <w:rsid w:val="00770357"/>
    <w:rsid w:val="00771C9F"/>
    <w:rsid w:val="0077324B"/>
    <w:rsid w:val="00776457"/>
    <w:rsid w:val="007858AD"/>
    <w:rsid w:val="00793487"/>
    <w:rsid w:val="007940E9"/>
    <w:rsid w:val="00797733"/>
    <w:rsid w:val="00797D1B"/>
    <w:rsid w:val="007A1ED7"/>
    <w:rsid w:val="007A27B1"/>
    <w:rsid w:val="007A6B8F"/>
    <w:rsid w:val="007B44FC"/>
    <w:rsid w:val="007B496E"/>
    <w:rsid w:val="007B5048"/>
    <w:rsid w:val="007B63EF"/>
    <w:rsid w:val="007C078D"/>
    <w:rsid w:val="007C142A"/>
    <w:rsid w:val="007C1D6A"/>
    <w:rsid w:val="007C6647"/>
    <w:rsid w:val="007C666C"/>
    <w:rsid w:val="007D03CE"/>
    <w:rsid w:val="007D0576"/>
    <w:rsid w:val="007D1FA7"/>
    <w:rsid w:val="007E23EE"/>
    <w:rsid w:val="007E2F8D"/>
    <w:rsid w:val="007F0B21"/>
    <w:rsid w:val="007F333B"/>
    <w:rsid w:val="007F5D67"/>
    <w:rsid w:val="007F610C"/>
    <w:rsid w:val="007F6C6A"/>
    <w:rsid w:val="007F7A92"/>
    <w:rsid w:val="0080050F"/>
    <w:rsid w:val="00801AAB"/>
    <w:rsid w:val="00802814"/>
    <w:rsid w:val="00803A7C"/>
    <w:rsid w:val="00813B7C"/>
    <w:rsid w:val="008220CD"/>
    <w:rsid w:val="00824676"/>
    <w:rsid w:val="00826DB0"/>
    <w:rsid w:val="008270C9"/>
    <w:rsid w:val="008300A9"/>
    <w:rsid w:val="00840749"/>
    <w:rsid w:val="00844C09"/>
    <w:rsid w:val="008453CE"/>
    <w:rsid w:val="00846B6E"/>
    <w:rsid w:val="008504E9"/>
    <w:rsid w:val="00852450"/>
    <w:rsid w:val="00860D50"/>
    <w:rsid w:val="008649DE"/>
    <w:rsid w:val="00882595"/>
    <w:rsid w:val="00891770"/>
    <w:rsid w:val="00893996"/>
    <w:rsid w:val="00895739"/>
    <w:rsid w:val="00897836"/>
    <w:rsid w:val="00897D5A"/>
    <w:rsid w:val="008A2164"/>
    <w:rsid w:val="008A31BB"/>
    <w:rsid w:val="008A4CF5"/>
    <w:rsid w:val="008A6DE7"/>
    <w:rsid w:val="008C0AF1"/>
    <w:rsid w:val="008C0CD5"/>
    <w:rsid w:val="008C7331"/>
    <w:rsid w:val="008C7BF6"/>
    <w:rsid w:val="008D0B5A"/>
    <w:rsid w:val="008D4687"/>
    <w:rsid w:val="008D79FE"/>
    <w:rsid w:val="008E12A8"/>
    <w:rsid w:val="008E177E"/>
    <w:rsid w:val="008E431F"/>
    <w:rsid w:val="008E6630"/>
    <w:rsid w:val="008F5AF7"/>
    <w:rsid w:val="0090252A"/>
    <w:rsid w:val="009058C9"/>
    <w:rsid w:val="009076FA"/>
    <w:rsid w:val="00911C9B"/>
    <w:rsid w:val="00912366"/>
    <w:rsid w:val="0091792B"/>
    <w:rsid w:val="00917B36"/>
    <w:rsid w:val="009232F7"/>
    <w:rsid w:val="00925E49"/>
    <w:rsid w:val="00926C95"/>
    <w:rsid w:val="00931941"/>
    <w:rsid w:val="00932A2A"/>
    <w:rsid w:val="00943F62"/>
    <w:rsid w:val="00945E56"/>
    <w:rsid w:val="00946F59"/>
    <w:rsid w:val="00955942"/>
    <w:rsid w:val="0095754E"/>
    <w:rsid w:val="00960B03"/>
    <w:rsid w:val="009615B6"/>
    <w:rsid w:val="00962BA2"/>
    <w:rsid w:val="00964EDD"/>
    <w:rsid w:val="00980C22"/>
    <w:rsid w:val="00985EF7"/>
    <w:rsid w:val="00990825"/>
    <w:rsid w:val="00992273"/>
    <w:rsid w:val="00996E24"/>
    <w:rsid w:val="00997936"/>
    <w:rsid w:val="009A3F13"/>
    <w:rsid w:val="009A71DA"/>
    <w:rsid w:val="009A7593"/>
    <w:rsid w:val="009B0483"/>
    <w:rsid w:val="009C615F"/>
    <w:rsid w:val="009C796D"/>
    <w:rsid w:val="009D73C8"/>
    <w:rsid w:val="009D7626"/>
    <w:rsid w:val="009E408C"/>
    <w:rsid w:val="009F000E"/>
    <w:rsid w:val="009F1F90"/>
    <w:rsid w:val="00A01B25"/>
    <w:rsid w:val="00A06455"/>
    <w:rsid w:val="00A0691E"/>
    <w:rsid w:val="00A07E61"/>
    <w:rsid w:val="00A106C4"/>
    <w:rsid w:val="00A12151"/>
    <w:rsid w:val="00A1284E"/>
    <w:rsid w:val="00A15592"/>
    <w:rsid w:val="00A17D50"/>
    <w:rsid w:val="00A26336"/>
    <w:rsid w:val="00A308B6"/>
    <w:rsid w:val="00A35775"/>
    <w:rsid w:val="00A37950"/>
    <w:rsid w:val="00A37E2F"/>
    <w:rsid w:val="00A40BFB"/>
    <w:rsid w:val="00A42C5E"/>
    <w:rsid w:val="00A47BDF"/>
    <w:rsid w:val="00A509EC"/>
    <w:rsid w:val="00A5691B"/>
    <w:rsid w:val="00A56EE8"/>
    <w:rsid w:val="00A612F8"/>
    <w:rsid w:val="00A66872"/>
    <w:rsid w:val="00A7308E"/>
    <w:rsid w:val="00A76441"/>
    <w:rsid w:val="00A81F8C"/>
    <w:rsid w:val="00A828F4"/>
    <w:rsid w:val="00A90ED0"/>
    <w:rsid w:val="00A93ABC"/>
    <w:rsid w:val="00AA127E"/>
    <w:rsid w:val="00AA1F25"/>
    <w:rsid w:val="00AA5D23"/>
    <w:rsid w:val="00AA69D4"/>
    <w:rsid w:val="00AB2A49"/>
    <w:rsid w:val="00AC03AD"/>
    <w:rsid w:val="00AC1EB0"/>
    <w:rsid w:val="00AC3D65"/>
    <w:rsid w:val="00AC4FE8"/>
    <w:rsid w:val="00AD3DAD"/>
    <w:rsid w:val="00AD3EC1"/>
    <w:rsid w:val="00AD6304"/>
    <w:rsid w:val="00AE058B"/>
    <w:rsid w:val="00AE3DE6"/>
    <w:rsid w:val="00AE5FF6"/>
    <w:rsid w:val="00AE6699"/>
    <w:rsid w:val="00AE7A25"/>
    <w:rsid w:val="00AF695B"/>
    <w:rsid w:val="00B03EBB"/>
    <w:rsid w:val="00B04E73"/>
    <w:rsid w:val="00B0565D"/>
    <w:rsid w:val="00B05B48"/>
    <w:rsid w:val="00B074CC"/>
    <w:rsid w:val="00B21385"/>
    <w:rsid w:val="00B21DDE"/>
    <w:rsid w:val="00B25FC4"/>
    <w:rsid w:val="00B34764"/>
    <w:rsid w:val="00B40163"/>
    <w:rsid w:val="00B4019A"/>
    <w:rsid w:val="00B43669"/>
    <w:rsid w:val="00B46992"/>
    <w:rsid w:val="00B47168"/>
    <w:rsid w:val="00B50C41"/>
    <w:rsid w:val="00B54994"/>
    <w:rsid w:val="00B57A2F"/>
    <w:rsid w:val="00B636F3"/>
    <w:rsid w:val="00B65A43"/>
    <w:rsid w:val="00B66B17"/>
    <w:rsid w:val="00B708B0"/>
    <w:rsid w:val="00B71749"/>
    <w:rsid w:val="00B72783"/>
    <w:rsid w:val="00B734BF"/>
    <w:rsid w:val="00B74AC8"/>
    <w:rsid w:val="00B80894"/>
    <w:rsid w:val="00B878F9"/>
    <w:rsid w:val="00B9018C"/>
    <w:rsid w:val="00B91CDC"/>
    <w:rsid w:val="00B93E4D"/>
    <w:rsid w:val="00BA4CE2"/>
    <w:rsid w:val="00BB49F3"/>
    <w:rsid w:val="00BC0DF5"/>
    <w:rsid w:val="00BC1C65"/>
    <w:rsid w:val="00BC49B9"/>
    <w:rsid w:val="00BC4CDF"/>
    <w:rsid w:val="00BC5510"/>
    <w:rsid w:val="00BD4D1B"/>
    <w:rsid w:val="00BD5452"/>
    <w:rsid w:val="00BD6648"/>
    <w:rsid w:val="00BE06C5"/>
    <w:rsid w:val="00BE4772"/>
    <w:rsid w:val="00BF0B6D"/>
    <w:rsid w:val="00BF5BAF"/>
    <w:rsid w:val="00BF7AB2"/>
    <w:rsid w:val="00C00E72"/>
    <w:rsid w:val="00C0399E"/>
    <w:rsid w:val="00C03BD4"/>
    <w:rsid w:val="00C07D4A"/>
    <w:rsid w:val="00C14D7F"/>
    <w:rsid w:val="00C158EE"/>
    <w:rsid w:val="00C173E4"/>
    <w:rsid w:val="00C200DA"/>
    <w:rsid w:val="00C21579"/>
    <w:rsid w:val="00C21905"/>
    <w:rsid w:val="00C24B03"/>
    <w:rsid w:val="00C2664F"/>
    <w:rsid w:val="00C268C1"/>
    <w:rsid w:val="00C26FB7"/>
    <w:rsid w:val="00C313F8"/>
    <w:rsid w:val="00C32DDC"/>
    <w:rsid w:val="00C37FA0"/>
    <w:rsid w:val="00C40811"/>
    <w:rsid w:val="00C44785"/>
    <w:rsid w:val="00C44959"/>
    <w:rsid w:val="00C44A63"/>
    <w:rsid w:val="00C504F2"/>
    <w:rsid w:val="00C553A7"/>
    <w:rsid w:val="00C62887"/>
    <w:rsid w:val="00C66D1B"/>
    <w:rsid w:val="00C70868"/>
    <w:rsid w:val="00C84410"/>
    <w:rsid w:val="00C85B93"/>
    <w:rsid w:val="00C952F7"/>
    <w:rsid w:val="00CA1090"/>
    <w:rsid w:val="00CB36AA"/>
    <w:rsid w:val="00CB4369"/>
    <w:rsid w:val="00CB50F5"/>
    <w:rsid w:val="00CB658D"/>
    <w:rsid w:val="00CB7A83"/>
    <w:rsid w:val="00CC3590"/>
    <w:rsid w:val="00CC4C97"/>
    <w:rsid w:val="00CC6D3A"/>
    <w:rsid w:val="00CD251C"/>
    <w:rsid w:val="00CD5C8B"/>
    <w:rsid w:val="00CD6588"/>
    <w:rsid w:val="00CD7023"/>
    <w:rsid w:val="00CD75AC"/>
    <w:rsid w:val="00CE0553"/>
    <w:rsid w:val="00CE4C38"/>
    <w:rsid w:val="00CE579D"/>
    <w:rsid w:val="00CE7903"/>
    <w:rsid w:val="00CF33BD"/>
    <w:rsid w:val="00CF3C50"/>
    <w:rsid w:val="00CF654F"/>
    <w:rsid w:val="00CF72AE"/>
    <w:rsid w:val="00D04EDB"/>
    <w:rsid w:val="00D13598"/>
    <w:rsid w:val="00D16FFD"/>
    <w:rsid w:val="00D17C7E"/>
    <w:rsid w:val="00D20524"/>
    <w:rsid w:val="00D21A76"/>
    <w:rsid w:val="00D2285B"/>
    <w:rsid w:val="00D2410E"/>
    <w:rsid w:val="00D30132"/>
    <w:rsid w:val="00D335C0"/>
    <w:rsid w:val="00D451D6"/>
    <w:rsid w:val="00D47CAA"/>
    <w:rsid w:val="00D51889"/>
    <w:rsid w:val="00D53EAA"/>
    <w:rsid w:val="00D552EA"/>
    <w:rsid w:val="00D55F9A"/>
    <w:rsid w:val="00D577DC"/>
    <w:rsid w:val="00D61861"/>
    <w:rsid w:val="00D66954"/>
    <w:rsid w:val="00D723FB"/>
    <w:rsid w:val="00D85195"/>
    <w:rsid w:val="00D86636"/>
    <w:rsid w:val="00D901AB"/>
    <w:rsid w:val="00D95FEF"/>
    <w:rsid w:val="00DA6EE5"/>
    <w:rsid w:val="00DB2AD2"/>
    <w:rsid w:val="00DB60E3"/>
    <w:rsid w:val="00DC4D74"/>
    <w:rsid w:val="00DC6326"/>
    <w:rsid w:val="00DC6FF0"/>
    <w:rsid w:val="00DD4912"/>
    <w:rsid w:val="00DD77B6"/>
    <w:rsid w:val="00DF1FD1"/>
    <w:rsid w:val="00DF35A9"/>
    <w:rsid w:val="00DF6B89"/>
    <w:rsid w:val="00E01590"/>
    <w:rsid w:val="00E01F98"/>
    <w:rsid w:val="00E02D23"/>
    <w:rsid w:val="00E10A8E"/>
    <w:rsid w:val="00E1154A"/>
    <w:rsid w:val="00E13B8D"/>
    <w:rsid w:val="00E15E42"/>
    <w:rsid w:val="00E1618C"/>
    <w:rsid w:val="00E17186"/>
    <w:rsid w:val="00E21A53"/>
    <w:rsid w:val="00E27E35"/>
    <w:rsid w:val="00E31621"/>
    <w:rsid w:val="00E40817"/>
    <w:rsid w:val="00E43B31"/>
    <w:rsid w:val="00E467FF"/>
    <w:rsid w:val="00E50E06"/>
    <w:rsid w:val="00E520B0"/>
    <w:rsid w:val="00E52E39"/>
    <w:rsid w:val="00E53AC6"/>
    <w:rsid w:val="00E63434"/>
    <w:rsid w:val="00E664FA"/>
    <w:rsid w:val="00E70D06"/>
    <w:rsid w:val="00E73274"/>
    <w:rsid w:val="00E75930"/>
    <w:rsid w:val="00E7698F"/>
    <w:rsid w:val="00E77214"/>
    <w:rsid w:val="00E81030"/>
    <w:rsid w:val="00E86BFD"/>
    <w:rsid w:val="00E92D21"/>
    <w:rsid w:val="00E9389C"/>
    <w:rsid w:val="00E94A24"/>
    <w:rsid w:val="00EA4257"/>
    <w:rsid w:val="00EA65C9"/>
    <w:rsid w:val="00EA7E2A"/>
    <w:rsid w:val="00EB089E"/>
    <w:rsid w:val="00EB0DA5"/>
    <w:rsid w:val="00EB30F4"/>
    <w:rsid w:val="00EB58E4"/>
    <w:rsid w:val="00EC0F5E"/>
    <w:rsid w:val="00EC14C2"/>
    <w:rsid w:val="00EC1A3C"/>
    <w:rsid w:val="00EC1F9A"/>
    <w:rsid w:val="00EC415E"/>
    <w:rsid w:val="00EC4FD2"/>
    <w:rsid w:val="00EC53B9"/>
    <w:rsid w:val="00EC5957"/>
    <w:rsid w:val="00EC7793"/>
    <w:rsid w:val="00EC785F"/>
    <w:rsid w:val="00EC79B9"/>
    <w:rsid w:val="00ED08FC"/>
    <w:rsid w:val="00ED26B8"/>
    <w:rsid w:val="00ED7BF2"/>
    <w:rsid w:val="00EE342F"/>
    <w:rsid w:val="00EE523D"/>
    <w:rsid w:val="00EF4FAC"/>
    <w:rsid w:val="00EF52E9"/>
    <w:rsid w:val="00EF5A93"/>
    <w:rsid w:val="00F02911"/>
    <w:rsid w:val="00F049D1"/>
    <w:rsid w:val="00F049EA"/>
    <w:rsid w:val="00F050C6"/>
    <w:rsid w:val="00F1138E"/>
    <w:rsid w:val="00F129DC"/>
    <w:rsid w:val="00F14288"/>
    <w:rsid w:val="00F200A3"/>
    <w:rsid w:val="00F2219D"/>
    <w:rsid w:val="00F30212"/>
    <w:rsid w:val="00F31013"/>
    <w:rsid w:val="00F37047"/>
    <w:rsid w:val="00F37D5C"/>
    <w:rsid w:val="00F40567"/>
    <w:rsid w:val="00F4244B"/>
    <w:rsid w:val="00F47551"/>
    <w:rsid w:val="00F5253D"/>
    <w:rsid w:val="00F54DC0"/>
    <w:rsid w:val="00F57EEA"/>
    <w:rsid w:val="00F62D96"/>
    <w:rsid w:val="00F64867"/>
    <w:rsid w:val="00F72103"/>
    <w:rsid w:val="00F74163"/>
    <w:rsid w:val="00F75156"/>
    <w:rsid w:val="00F7568C"/>
    <w:rsid w:val="00F8352F"/>
    <w:rsid w:val="00F85AFE"/>
    <w:rsid w:val="00F91565"/>
    <w:rsid w:val="00FA0A7A"/>
    <w:rsid w:val="00FA1AFA"/>
    <w:rsid w:val="00FA3AB1"/>
    <w:rsid w:val="00FA5E7E"/>
    <w:rsid w:val="00FA624A"/>
    <w:rsid w:val="00FB0541"/>
    <w:rsid w:val="00FC1384"/>
    <w:rsid w:val="00FC1B2B"/>
    <w:rsid w:val="00FC1C6B"/>
    <w:rsid w:val="00FC7D37"/>
    <w:rsid w:val="00FD0766"/>
    <w:rsid w:val="00FD1BE2"/>
    <w:rsid w:val="00FD26B2"/>
    <w:rsid w:val="00FD27E6"/>
    <w:rsid w:val="00FD70EA"/>
    <w:rsid w:val="00FD7B32"/>
    <w:rsid w:val="00FE2419"/>
    <w:rsid w:val="00FE28EB"/>
    <w:rsid w:val="00FE2BD4"/>
    <w:rsid w:val="00FF6A34"/>
    <w:rsid w:val="025A3F2A"/>
    <w:rsid w:val="026F3ADD"/>
    <w:rsid w:val="04E66927"/>
    <w:rsid w:val="05705BC7"/>
    <w:rsid w:val="05885EAF"/>
    <w:rsid w:val="06721146"/>
    <w:rsid w:val="06C04B4A"/>
    <w:rsid w:val="06F836BE"/>
    <w:rsid w:val="0BC6030C"/>
    <w:rsid w:val="0D26463F"/>
    <w:rsid w:val="0D4C6650"/>
    <w:rsid w:val="0ED85373"/>
    <w:rsid w:val="0F2F4822"/>
    <w:rsid w:val="0FCE3F47"/>
    <w:rsid w:val="106E6276"/>
    <w:rsid w:val="12A042B8"/>
    <w:rsid w:val="161C2A39"/>
    <w:rsid w:val="16B61DCE"/>
    <w:rsid w:val="1ACA4F34"/>
    <w:rsid w:val="1C7D5B98"/>
    <w:rsid w:val="1FF06C37"/>
    <w:rsid w:val="22CE3069"/>
    <w:rsid w:val="247D73DD"/>
    <w:rsid w:val="2552221F"/>
    <w:rsid w:val="26D2436F"/>
    <w:rsid w:val="272931DB"/>
    <w:rsid w:val="2871410D"/>
    <w:rsid w:val="2AD176C4"/>
    <w:rsid w:val="2B0B1E63"/>
    <w:rsid w:val="2B1759EA"/>
    <w:rsid w:val="2BF07E99"/>
    <w:rsid w:val="2D9702C0"/>
    <w:rsid w:val="2F892E5B"/>
    <w:rsid w:val="324E34B8"/>
    <w:rsid w:val="32B15C9C"/>
    <w:rsid w:val="33907132"/>
    <w:rsid w:val="3495430F"/>
    <w:rsid w:val="398523C6"/>
    <w:rsid w:val="3DA52918"/>
    <w:rsid w:val="3DBF4831"/>
    <w:rsid w:val="3E5B2D82"/>
    <w:rsid w:val="3ED86481"/>
    <w:rsid w:val="401B708A"/>
    <w:rsid w:val="42607B17"/>
    <w:rsid w:val="45DB348F"/>
    <w:rsid w:val="48E31261"/>
    <w:rsid w:val="498D7A19"/>
    <w:rsid w:val="49B82275"/>
    <w:rsid w:val="4D710104"/>
    <w:rsid w:val="4D9375D2"/>
    <w:rsid w:val="4E6616F1"/>
    <w:rsid w:val="4F1464EE"/>
    <w:rsid w:val="527C1EE6"/>
    <w:rsid w:val="52B3025F"/>
    <w:rsid w:val="52EE3831"/>
    <w:rsid w:val="56DA5273"/>
    <w:rsid w:val="57D85AA5"/>
    <w:rsid w:val="58423A15"/>
    <w:rsid w:val="593C5085"/>
    <w:rsid w:val="5CF02A85"/>
    <w:rsid w:val="5EA96BCD"/>
    <w:rsid w:val="61B97060"/>
    <w:rsid w:val="649D0DCC"/>
    <w:rsid w:val="66061D78"/>
    <w:rsid w:val="66FF1D0D"/>
    <w:rsid w:val="67321CEC"/>
    <w:rsid w:val="67392400"/>
    <w:rsid w:val="67402408"/>
    <w:rsid w:val="67FF6B21"/>
    <w:rsid w:val="6AC67AFF"/>
    <w:rsid w:val="6B667E5A"/>
    <w:rsid w:val="6B766F6E"/>
    <w:rsid w:val="6BBF2716"/>
    <w:rsid w:val="6C1444AE"/>
    <w:rsid w:val="6C342386"/>
    <w:rsid w:val="6CCE465D"/>
    <w:rsid w:val="6F8C2305"/>
    <w:rsid w:val="723C5327"/>
    <w:rsid w:val="76703E94"/>
    <w:rsid w:val="791616FD"/>
    <w:rsid w:val="7E2755F0"/>
    <w:rsid w:val="7E5F3B1B"/>
    <w:rsid w:val="7EC60EEE"/>
    <w:rsid w:val="7F0E28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00" w:lineRule="auto"/>
      <w:ind w:firstLine="200" w:firstLineChars="200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8"/>
    <w:qFormat/>
    <w:uiPriority w:val="9"/>
    <w:pPr>
      <w:keepNext/>
      <w:keepLines/>
      <w:spacing w:beforeLines="20" w:afterLines="20"/>
      <w:ind w:firstLine="0" w:firstLineChars="0"/>
      <w:jc w:val="left"/>
      <w:outlineLvl w:val="0"/>
    </w:pPr>
    <w:rPr>
      <w:rFonts w:eastAsia="黑体"/>
      <w:b/>
      <w:bCs/>
      <w:kern w:val="44"/>
      <w:szCs w:val="44"/>
    </w:rPr>
  </w:style>
  <w:style w:type="paragraph" w:styleId="3">
    <w:name w:val="heading 2"/>
    <w:basedOn w:val="1"/>
    <w:next w:val="1"/>
    <w:link w:val="29"/>
    <w:unhideWhenUsed/>
    <w:qFormat/>
    <w:uiPriority w:val="9"/>
    <w:pPr>
      <w:keepNext/>
      <w:keepLines/>
      <w:spacing w:before="260" w:after="260"/>
      <w:ind w:firstLine="0" w:firstLineChars="0"/>
      <w:outlineLvl w:val="1"/>
    </w:pPr>
    <w:rPr>
      <w:rFonts w:ascii="黑体" w:hAnsi="黑体" w:eastAsia="黑体" w:cstheme="majorBidi"/>
      <w:bCs/>
      <w:szCs w:val="32"/>
    </w:rPr>
  </w:style>
  <w:style w:type="paragraph" w:styleId="4">
    <w:name w:val="heading 3"/>
    <w:basedOn w:val="1"/>
    <w:next w:val="1"/>
    <w:link w:val="30"/>
    <w:autoRedefine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8">
    <w:name w:val="Default Paragraph Font"/>
    <w:semiHidden/>
    <w:unhideWhenUsed/>
    <w:uiPriority w:val="1"/>
  </w:style>
  <w:style w:type="table" w:default="1" w:styleId="1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link w:val="23"/>
    <w:semiHidden/>
    <w:unhideWhenUsed/>
    <w:qFormat/>
    <w:uiPriority w:val="99"/>
    <w:pPr>
      <w:jc w:val="left"/>
    </w:pPr>
  </w:style>
  <w:style w:type="paragraph" w:styleId="6">
    <w:name w:val="Body Text"/>
    <w:basedOn w:val="1"/>
    <w:link w:val="51"/>
    <w:qFormat/>
    <w:uiPriority w:val="1"/>
    <w:pPr>
      <w:autoSpaceDE w:val="0"/>
      <w:autoSpaceDN w:val="0"/>
      <w:spacing w:line="240" w:lineRule="auto"/>
      <w:ind w:firstLine="0" w:firstLineChars="0"/>
      <w:jc w:val="left"/>
    </w:pPr>
    <w:rPr>
      <w:rFonts w:ascii="宋体" w:hAnsi="宋体" w:cs="宋体"/>
      <w:kern w:val="0"/>
      <w:szCs w:val="21"/>
      <w:lang w:eastAsia="en-US"/>
    </w:rPr>
  </w:style>
  <w:style w:type="paragraph" w:styleId="7">
    <w:name w:val="toc 3"/>
    <w:basedOn w:val="1"/>
    <w:next w:val="1"/>
    <w:unhideWhenUsed/>
    <w:qFormat/>
    <w:uiPriority w:val="39"/>
    <w:pPr>
      <w:ind w:left="840" w:leftChars="400"/>
    </w:pPr>
  </w:style>
  <w:style w:type="paragraph" w:styleId="8">
    <w:name w:val="Plain Text"/>
    <w:basedOn w:val="1"/>
    <w:qFormat/>
    <w:uiPriority w:val="0"/>
    <w:rPr>
      <w:rFonts w:ascii="宋体" w:hAnsi="Courier New"/>
    </w:rPr>
  </w:style>
  <w:style w:type="paragraph" w:styleId="9">
    <w:name w:val="Date"/>
    <w:basedOn w:val="1"/>
    <w:next w:val="1"/>
    <w:link w:val="49"/>
    <w:semiHidden/>
    <w:unhideWhenUsed/>
    <w:qFormat/>
    <w:uiPriority w:val="99"/>
    <w:pPr>
      <w:ind w:left="100" w:leftChars="2500"/>
    </w:pPr>
  </w:style>
  <w:style w:type="paragraph" w:styleId="10">
    <w:name w:val="Balloon Text"/>
    <w:basedOn w:val="1"/>
    <w:link w:val="25"/>
    <w:semiHidden/>
    <w:unhideWhenUsed/>
    <w:qFormat/>
    <w:uiPriority w:val="99"/>
    <w:rPr>
      <w:sz w:val="18"/>
      <w:szCs w:val="18"/>
    </w:rPr>
  </w:style>
  <w:style w:type="paragraph" w:styleId="11">
    <w:name w:val="footer"/>
    <w:basedOn w:val="1"/>
    <w:link w:val="2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2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toc 1"/>
    <w:basedOn w:val="1"/>
    <w:next w:val="1"/>
    <w:unhideWhenUsed/>
    <w:qFormat/>
    <w:uiPriority w:val="39"/>
  </w:style>
  <w:style w:type="paragraph" w:styleId="14">
    <w:name w:val="toc 2"/>
    <w:basedOn w:val="1"/>
    <w:next w:val="1"/>
    <w:unhideWhenUsed/>
    <w:qFormat/>
    <w:uiPriority w:val="39"/>
    <w:pPr>
      <w:ind w:left="420" w:leftChars="200"/>
    </w:pPr>
  </w:style>
  <w:style w:type="paragraph" w:styleId="15">
    <w:name w:val="annotation subject"/>
    <w:basedOn w:val="5"/>
    <w:next w:val="5"/>
    <w:link w:val="24"/>
    <w:semiHidden/>
    <w:unhideWhenUsed/>
    <w:qFormat/>
    <w:uiPriority w:val="99"/>
    <w:rPr>
      <w:b/>
      <w:bCs/>
    </w:rPr>
  </w:style>
  <w:style w:type="table" w:styleId="17">
    <w:name w:val="Table Grid"/>
    <w:basedOn w:val="1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9">
    <w:name w:val="Hyperlink"/>
    <w:basedOn w:val="18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20">
    <w:name w:val="annotation reference"/>
    <w:basedOn w:val="18"/>
    <w:semiHidden/>
    <w:unhideWhenUsed/>
    <w:qFormat/>
    <w:uiPriority w:val="99"/>
    <w:rPr>
      <w:sz w:val="21"/>
      <w:szCs w:val="21"/>
    </w:rPr>
  </w:style>
  <w:style w:type="character" w:customStyle="1" w:styleId="21">
    <w:name w:val="页眉 字符"/>
    <w:basedOn w:val="18"/>
    <w:link w:val="12"/>
    <w:qFormat/>
    <w:uiPriority w:val="99"/>
    <w:rPr>
      <w:sz w:val="18"/>
      <w:szCs w:val="18"/>
    </w:rPr>
  </w:style>
  <w:style w:type="character" w:customStyle="1" w:styleId="22">
    <w:name w:val="页脚 字符"/>
    <w:basedOn w:val="18"/>
    <w:link w:val="11"/>
    <w:qFormat/>
    <w:uiPriority w:val="99"/>
    <w:rPr>
      <w:sz w:val="18"/>
      <w:szCs w:val="18"/>
    </w:rPr>
  </w:style>
  <w:style w:type="character" w:customStyle="1" w:styleId="23">
    <w:name w:val="批注文字 字符"/>
    <w:basedOn w:val="18"/>
    <w:link w:val="5"/>
    <w:semiHidden/>
    <w:qFormat/>
    <w:uiPriority w:val="99"/>
  </w:style>
  <w:style w:type="character" w:customStyle="1" w:styleId="24">
    <w:name w:val="批注主题 字符"/>
    <w:basedOn w:val="23"/>
    <w:link w:val="15"/>
    <w:semiHidden/>
    <w:qFormat/>
    <w:uiPriority w:val="99"/>
    <w:rPr>
      <w:b/>
      <w:bCs/>
    </w:rPr>
  </w:style>
  <w:style w:type="character" w:customStyle="1" w:styleId="25">
    <w:name w:val="批注框文本 字符"/>
    <w:basedOn w:val="18"/>
    <w:link w:val="10"/>
    <w:semiHidden/>
    <w:qFormat/>
    <w:uiPriority w:val="99"/>
    <w:rPr>
      <w:sz w:val="18"/>
      <w:szCs w:val="18"/>
    </w:rPr>
  </w:style>
  <w:style w:type="character" w:styleId="26">
    <w:name w:val="Placeholder Text"/>
    <w:basedOn w:val="18"/>
    <w:semiHidden/>
    <w:qFormat/>
    <w:uiPriority w:val="99"/>
    <w:rPr>
      <w:color w:val="808080"/>
    </w:rPr>
  </w:style>
  <w:style w:type="paragraph" w:styleId="27">
    <w:name w:val="List Paragraph"/>
    <w:basedOn w:val="1"/>
    <w:qFormat/>
    <w:uiPriority w:val="34"/>
    <w:pPr>
      <w:ind w:firstLine="420"/>
    </w:pPr>
  </w:style>
  <w:style w:type="character" w:customStyle="1" w:styleId="28">
    <w:name w:val="标题 1 字符"/>
    <w:basedOn w:val="18"/>
    <w:link w:val="2"/>
    <w:qFormat/>
    <w:uiPriority w:val="9"/>
    <w:rPr>
      <w:rFonts w:eastAsia="黑体" w:cstheme="minorBidi"/>
      <w:b/>
      <w:bCs/>
      <w:kern w:val="44"/>
      <w:sz w:val="21"/>
      <w:szCs w:val="44"/>
    </w:rPr>
  </w:style>
  <w:style w:type="character" w:customStyle="1" w:styleId="29">
    <w:name w:val="标题 2 字符"/>
    <w:basedOn w:val="18"/>
    <w:link w:val="3"/>
    <w:qFormat/>
    <w:uiPriority w:val="9"/>
    <w:rPr>
      <w:rFonts w:ascii="黑体" w:hAnsi="黑体" w:eastAsia="黑体" w:cstheme="majorBidi"/>
      <w:bCs/>
      <w:szCs w:val="32"/>
    </w:rPr>
  </w:style>
  <w:style w:type="character" w:customStyle="1" w:styleId="30">
    <w:name w:val="标题 3 字符"/>
    <w:basedOn w:val="18"/>
    <w:link w:val="4"/>
    <w:qFormat/>
    <w:uiPriority w:val="9"/>
    <w:rPr>
      <w:b/>
      <w:bCs/>
      <w:sz w:val="32"/>
      <w:szCs w:val="32"/>
    </w:rPr>
  </w:style>
  <w:style w:type="paragraph" w:customStyle="1" w:styleId="31">
    <w:name w:val="TOC 标题1"/>
    <w:basedOn w:val="2"/>
    <w:next w:val="1"/>
    <w:unhideWhenUsed/>
    <w:qFormat/>
    <w:uiPriority w:val="39"/>
    <w:pPr>
      <w:widowControl/>
      <w:spacing w:before="240" w:line="259" w:lineRule="auto"/>
      <w:outlineLvl w:val="9"/>
    </w:pPr>
    <w:rPr>
      <w:rFonts w:asciiTheme="majorHAnsi" w:hAnsiTheme="majorHAnsi" w:eastAsiaTheme="majorEastAsia" w:cstheme="majorBidi"/>
      <w:b w:val="0"/>
      <w:bCs w:val="0"/>
      <w:color w:val="2F5597" w:themeColor="accent1" w:themeShade="BF"/>
      <w:kern w:val="0"/>
      <w:szCs w:val="32"/>
    </w:rPr>
  </w:style>
  <w:style w:type="paragraph" w:customStyle="1" w:styleId="32">
    <w:name w:val="段"/>
    <w:link w:val="38"/>
    <w:qFormat/>
    <w:uiPriority w:val="0"/>
    <w:pPr>
      <w:autoSpaceDE w:val="0"/>
      <w:autoSpaceDN w:val="0"/>
      <w:ind w:firstLine="200" w:firstLineChars="200"/>
      <w:jc w:val="both"/>
    </w:pPr>
    <w:rPr>
      <w:rFonts w:ascii="宋体" w:hAnsi="Calibri" w:eastAsia="宋体" w:cs="Times New Roman"/>
      <w:sz w:val="21"/>
      <w:lang w:val="en-US" w:eastAsia="zh-CN" w:bidi="ar-SA"/>
    </w:rPr>
  </w:style>
  <w:style w:type="paragraph" w:customStyle="1" w:styleId="33">
    <w:name w:val="章标题"/>
    <w:next w:val="32"/>
    <w:qFormat/>
    <w:uiPriority w:val="0"/>
    <w:pPr>
      <w:spacing w:beforeLines="50" w:afterLines="50"/>
      <w:jc w:val="both"/>
      <w:outlineLvl w:val="1"/>
    </w:pPr>
    <w:rPr>
      <w:rFonts w:ascii="黑体" w:hAnsi="Calibri" w:eastAsia="黑体" w:cs="Times New Roman"/>
      <w:sz w:val="21"/>
      <w:lang w:val="en-US" w:eastAsia="zh-CN" w:bidi="ar-SA"/>
    </w:rPr>
  </w:style>
  <w:style w:type="paragraph" w:customStyle="1" w:styleId="34">
    <w:name w:val="二级条标题"/>
    <w:basedOn w:val="35"/>
    <w:next w:val="32"/>
    <w:qFormat/>
    <w:uiPriority w:val="0"/>
    <w:pPr>
      <w:numPr>
        <w:ilvl w:val="3"/>
      </w:numPr>
      <w:outlineLvl w:val="3"/>
    </w:pPr>
  </w:style>
  <w:style w:type="paragraph" w:customStyle="1" w:styleId="35">
    <w:name w:val="一级条标题"/>
    <w:next w:val="32"/>
    <w:qFormat/>
    <w:uiPriority w:val="0"/>
    <w:pPr>
      <w:numPr>
        <w:ilvl w:val="2"/>
        <w:numId w:val="1"/>
      </w:numPr>
      <w:outlineLvl w:val="2"/>
    </w:pPr>
    <w:rPr>
      <w:rFonts w:ascii="Calibri" w:hAnsi="Calibri" w:eastAsia="黑体" w:cs="Times New Roman"/>
      <w:sz w:val="21"/>
      <w:lang w:val="en-US" w:eastAsia="zh-CN" w:bidi="ar-SA"/>
    </w:rPr>
  </w:style>
  <w:style w:type="paragraph" w:customStyle="1" w:styleId="36">
    <w:name w:val="附录标识"/>
    <w:basedOn w:val="37"/>
    <w:qFormat/>
    <w:uiPriority w:val="0"/>
    <w:pPr>
      <w:numPr>
        <w:ilvl w:val="0"/>
        <w:numId w:val="2"/>
      </w:numPr>
      <w:tabs>
        <w:tab w:val="left" w:pos="6405"/>
      </w:tabs>
      <w:spacing w:after="200"/>
    </w:pPr>
    <w:rPr>
      <w:sz w:val="21"/>
    </w:rPr>
  </w:style>
  <w:style w:type="paragraph" w:customStyle="1" w:styleId="37">
    <w:name w:val="前言、引言标题"/>
    <w:next w:val="1"/>
    <w:qFormat/>
    <w:uiPriority w:val="0"/>
    <w:pPr>
      <w:numPr>
        <w:ilvl w:val="0"/>
        <w:numId w:val="3"/>
      </w:numPr>
      <w:shd w:val="clear" w:color="FFFFFF" w:fill="FFFFFF"/>
      <w:spacing w:before="640" w:after="560"/>
      <w:jc w:val="center"/>
      <w:outlineLvl w:val="0"/>
    </w:pPr>
    <w:rPr>
      <w:rFonts w:ascii="黑体" w:hAnsi="Times New Roman" w:eastAsia="黑体" w:cs="Times New Roman"/>
      <w:sz w:val="32"/>
      <w:lang w:val="en-US" w:eastAsia="zh-CN" w:bidi="ar-SA"/>
    </w:rPr>
  </w:style>
  <w:style w:type="character" w:customStyle="1" w:styleId="38">
    <w:name w:val="段 Char"/>
    <w:link w:val="32"/>
    <w:qFormat/>
    <w:uiPriority w:val="0"/>
    <w:rPr>
      <w:rFonts w:ascii="宋体" w:hAnsi="Calibri"/>
      <w:sz w:val="21"/>
    </w:rPr>
  </w:style>
  <w:style w:type="paragraph" w:customStyle="1" w:styleId="39">
    <w:name w:val="目次、标准名称标题"/>
    <w:basedOn w:val="1"/>
    <w:next w:val="32"/>
    <w:qFormat/>
    <w:uiPriority w:val="0"/>
    <w:pPr>
      <w:keepNext/>
      <w:pageBreakBefore/>
      <w:widowControl/>
      <w:shd w:val="clear" w:color="FFFFFF" w:fill="FFFFFF"/>
      <w:spacing w:before="640" w:after="560" w:line="460" w:lineRule="exact"/>
      <w:ind w:firstLine="0" w:firstLineChars="0"/>
      <w:jc w:val="center"/>
      <w:outlineLvl w:val="0"/>
    </w:pPr>
    <w:rPr>
      <w:rFonts w:ascii="黑体" w:eastAsia="黑体" w:cs="Times New Roman"/>
      <w:kern w:val="0"/>
      <w:sz w:val="32"/>
      <w:szCs w:val="20"/>
    </w:rPr>
  </w:style>
  <w:style w:type="paragraph" w:customStyle="1" w:styleId="40">
    <w:name w:val="四级条标题"/>
    <w:basedOn w:val="1"/>
    <w:next w:val="32"/>
    <w:qFormat/>
    <w:uiPriority w:val="0"/>
    <w:pPr>
      <w:widowControl/>
      <w:spacing w:beforeLines="50" w:afterLines="50" w:line="240" w:lineRule="auto"/>
      <w:ind w:firstLine="0" w:firstLineChars="0"/>
      <w:jc w:val="left"/>
      <w:outlineLvl w:val="5"/>
    </w:pPr>
    <w:rPr>
      <w:rFonts w:ascii="黑体" w:eastAsia="黑体" w:cs="Times New Roman"/>
      <w:kern w:val="0"/>
      <w:szCs w:val="21"/>
    </w:rPr>
  </w:style>
  <w:style w:type="paragraph" w:customStyle="1" w:styleId="41">
    <w:name w:val="五级条标题"/>
    <w:basedOn w:val="40"/>
    <w:next w:val="32"/>
    <w:qFormat/>
    <w:uiPriority w:val="0"/>
    <w:pPr>
      <w:outlineLvl w:val="6"/>
    </w:pPr>
  </w:style>
  <w:style w:type="paragraph" w:customStyle="1" w:styleId="42">
    <w:name w:val="正文表标题"/>
    <w:next w:val="32"/>
    <w:qFormat/>
    <w:uiPriority w:val="0"/>
    <w:pPr>
      <w:numPr>
        <w:ilvl w:val="0"/>
        <w:numId w:val="4"/>
      </w:numPr>
      <w:tabs>
        <w:tab w:val="left" w:pos="360"/>
      </w:tabs>
      <w:spacing w:beforeLines="50" w:afterLines="50"/>
      <w:jc w:val="center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43">
    <w:name w:val="附录二级条标题"/>
    <w:basedOn w:val="1"/>
    <w:next w:val="32"/>
    <w:qFormat/>
    <w:uiPriority w:val="0"/>
    <w:pPr>
      <w:widowControl/>
      <w:tabs>
        <w:tab w:val="left" w:pos="360"/>
      </w:tabs>
      <w:wordWrap w:val="0"/>
      <w:overflowPunct w:val="0"/>
      <w:autoSpaceDE w:val="0"/>
      <w:autoSpaceDN w:val="0"/>
      <w:spacing w:beforeLines="50" w:afterLines="50" w:line="240" w:lineRule="auto"/>
      <w:ind w:firstLine="0" w:firstLineChars="0"/>
      <w:textAlignment w:val="baseline"/>
      <w:outlineLvl w:val="3"/>
    </w:pPr>
    <w:rPr>
      <w:rFonts w:ascii="黑体" w:eastAsia="黑体" w:cs="Times New Roman"/>
      <w:kern w:val="21"/>
      <w:szCs w:val="20"/>
    </w:rPr>
  </w:style>
  <w:style w:type="paragraph" w:customStyle="1" w:styleId="44">
    <w:name w:val="附录三级条标题"/>
    <w:basedOn w:val="43"/>
    <w:next w:val="32"/>
    <w:qFormat/>
    <w:uiPriority w:val="0"/>
    <w:pPr>
      <w:outlineLvl w:val="4"/>
    </w:pPr>
  </w:style>
  <w:style w:type="paragraph" w:customStyle="1" w:styleId="45">
    <w:name w:val="附录四级条标题"/>
    <w:basedOn w:val="44"/>
    <w:next w:val="32"/>
    <w:qFormat/>
    <w:uiPriority w:val="0"/>
    <w:pPr>
      <w:outlineLvl w:val="5"/>
    </w:pPr>
  </w:style>
  <w:style w:type="paragraph" w:customStyle="1" w:styleId="46">
    <w:name w:val="附录五级条标题"/>
    <w:basedOn w:val="45"/>
    <w:next w:val="32"/>
    <w:qFormat/>
    <w:uiPriority w:val="0"/>
    <w:pPr>
      <w:outlineLvl w:val="6"/>
    </w:pPr>
  </w:style>
  <w:style w:type="paragraph" w:customStyle="1" w:styleId="47">
    <w:name w:val="附录章标题"/>
    <w:next w:val="32"/>
    <w:qFormat/>
    <w:uiPriority w:val="0"/>
    <w:pPr>
      <w:tabs>
        <w:tab w:val="left" w:pos="360"/>
      </w:tabs>
      <w:wordWrap w:val="0"/>
      <w:overflowPunct w:val="0"/>
      <w:autoSpaceDE w:val="0"/>
      <w:spacing w:beforeLines="100" w:afterLines="100"/>
      <w:jc w:val="both"/>
      <w:textAlignment w:val="baseline"/>
      <w:outlineLvl w:val="1"/>
    </w:pPr>
    <w:rPr>
      <w:rFonts w:ascii="黑体" w:hAnsi="Times New Roman" w:eastAsia="黑体" w:cs="Times New Roman"/>
      <w:kern w:val="21"/>
      <w:sz w:val="21"/>
      <w:lang w:val="en-US" w:eastAsia="zh-CN" w:bidi="ar-SA"/>
    </w:rPr>
  </w:style>
  <w:style w:type="paragraph" w:customStyle="1" w:styleId="48">
    <w:name w:val="附录一级条标题"/>
    <w:basedOn w:val="47"/>
    <w:next w:val="32"/>
    <w:qFormat/>
    <w:uiPriority w:val="0"/>
    <w:pPr>
      <w:autoSpaceDN w:val="0"/>
      <w:spacing w:beforeLines="50" w:afterLines="50"/>
      <w:outlineLvl w:val="2"/>
    </w:pPr>
  </w:style>
  <w:style w:type="character" w:customStyle="1" w:styleId="49">
    <w:name w:val="日期 字符"/>
    <w:basedOn w:val="18"/>
    <w:link w:val="9"/>
    <w:semiHidden/>
    <w:qFormat/>
    <w:uiPriority w:val="99"/>
    <w:rPr>
      <w:rFonts w:cstheme="minorBidi"/>
      <w:kern w:val="2"/>
      <w:sz w:val="21"/>
      <w:szCs w:val="22"/>
    </w:rPr>
  </w:style>
  <w:style w:type="paragraph" w:customStyle="1" w:styleId="50">
    <w:name w:val="三级条标题"/>
    <w:basedOn w:val="34"/>
    <w:next w:val="32"/>
    <w:qFormat/>
    <w:uiPriority w:val="0"/>
    <w:pPr>
      <w:numPr>
        <w:ilvl w:val="0"/>
        <w:numId w:val="0"/>
      </w:numPr>
      <w:spacing w:beforeLines="50" w:afterLines="50"/>
      <w:ind w:left="710"/>
      <w:outlineLvl w:val="4"/>
    </w:pPr>
    <w:rPr>
      <w:rFonts w:ascii="黑体" w:hAnsi="Times New Roman"/>
      <w:szCs w:val="21"/>
    </w:rPr>
  </w:style>
  <w:style w:type="character" w:customStyle="1" w:styleId="51">
    <w:name w:val="正文文本 字符"/>
    <w:basedOn w:val="18"/>
    <w:link w:val="6"/>
    <w:qFormat/>
    <w:uiPriority w:val="1"/>
    <w:rPr>
      <w:rFonts w:ascii="宋体" w:hAnsi="宋体" w:cs="宋体"/>
      <w:sz w:val="21"/>
      <w:szCs w:val="21"/>
      <w:lang w:eastAsia="en-US"/>
    </w:rPr>
  </w:style>
  <w:style w:type="paragraph" w:customStyle="1" w:styleId="52">
    <w:name w:val="标准书脚_奇数页"/>
    <w:qFormat/>
    <w:uiPriority w:val="0"/>
    <w:pPr>
      <w:spacing w:before="120"/>
      <w:ind w:right="198"/>
      <w:jc w:val="right"/>
    </w:pPr>
    <w:rPr>
      <w:rFonts w:ascii="宋体" w:hAnsi="Times New Roman" w:eastAsia="宋体" w:cs="Times New Roman"/>
      <w:sz w:val="18"/>
      <w:szCs w:val="18"/>
      <w:lang w:val="en-US" w:eastAsia="zh-CN" w:bidi="ar-SA"/>
    </w:rPr>
  </w:style>
  <w:style w:type="paragraph" w:customStyle="1" w:styleId="53">
    <w:name w:val="修订1"/>
    <w:hidden/>
    <w:semiHidden/>
    <w:qFormat/>
    <w:uiPriority w:val="99"/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2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gradFill rotWithShape="0">
          <a:gsLst>
            <a:gs pos="0">
              <a:srgbClr val="FFFFFF"/>
            </a:gs>
            <a:gs pos="100000">
              <a:srgbClr val="FFFFFF"/>
            </a:gs>
          </a:gsLst>
          <a:lin ang="16200000" scaled="1"/>
        </a:gradFill>
        <a:ln w="6350">
          <a:solidFill>
            <a:srgbClr val="FFFFFF"/>
          </a:solidFill>
          <a:miter lim="200000"/>
        </a:ln>
      </a:spPr>
      <a:bodyPr rot="0" vert="horz" wrap="square" lIns="0" tIns="0" rIns="0" bIns="0" anchor="t" anchorCtr="0" upright="1">
        <a:noAutofit/>
      </a:bodyPr>
      <a:lstStyle/>
    </a:sp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4D25F38-71A2-4889-8D69-AF6A0A444F4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15</Pages>
  <Words>1179</Words>
  <Characters>6722</Characters>
  <Lines>56</Lines>
  <Paragraphs>15</Paragraphs>
  <TotalTime>2</TotalTime>
  <ScaleCrop>false</ScaleCrop>
  <LinksUpToDate>false</LinksUpToDate>
  <CharactersWithSpaces>7886</CharactersWithSpaces>
  <Application>WPS Office_12.1.0.16364_F1E327BC-269C-435d-A152-05C5408002CA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2024-05-15T02:35:00Z</dcterms:created>
  <dc:creator>lenovo lenovo</dc:creator>
  <cp:lastModifiedBy>generalwky</cp:lastModifiedBy>
  <dcterms:modified xsi:type="dcterms:W3CDTF">2024-08-01T06:44:59Z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2052-12.1.0.16364</vt:lpwstr>
  </property>
  <property fmtid="{D5CDD505-2E9C-101B-9397-08002B2CF9AE}" pid="3" name="ICV">
    <vt:lpwstr>A858723274194198B88C8E0169C38BC1_12</vt:lpwstr>
  </property>
</Properties>
</file>