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B01E9">
      <w:pPr>
        <w:pStyle w:val="42"/>
        <w:framePr w:w="2043" w:h="986" w:hRule="exact" w:vAnchor="page" w:hAnchor="page" w:x="1481" w:y="1601"/>
        <w:rPr>
          <w:rFonts w:eastAsiaTheme="minorEastAsia"/>
          <w:b/>
          <w:bCs/>
        </w:rPr>
      </w:pPr>
      <w:r>
        <w:rPr>
          <w:rFonts w:hint="eastAsia" w:eastAsiaTheme="minorEastAsia"/>
          <w:b/>
          <w:bCs/>
        </w:rPr>
        <w:t>I</w:t>
      </w:r>
      <w:r>
        <w:rPr>
          <w:rFonts w:eastAsiaTheme="minorEastAsia"/>
          <w:b/>
          <w:bCs/>
        </w:rPr>
        <w:t>CS</w:t>
      </w:r>
    </w:p>
    <w:p w14:paraId="3574D255">
      <w:pPr>
        <w:pStyle w:val="42"/>
        <w:framePr w:w="2043" w:h="986" w:hRule="exact" w:vAnchor="page" w:hAnchor="page" w:x="1481" w:y="1601"/>
      </w:pPr>
    </w:p>
    <w:p w14:paraId="7941B584">
      <w:pPr>
        <w:pStyle w:val="42"/>
        <w:framePr w:w="2043" w:h="986" w:hRule="exact" w:vAnchor="page" w:hAnchor="page" w:x="1481" w:y="1601"/>
        <w:rPr>
          <w:b/>
          <w:bCs/>
        </w:rPr>
      </w:pPr>
      <w:r>
        <w:rPr>
          <w:rFonts w:hint="eastAsia"/>
          <w:b/>
          <w:bCs/>
        </w:rPr>
        <w:t>CCS</w:t>
      </w:r>
    </w:p>
    <w:p w14:paraId="67C3A890">
      <w:pPr>
        <w:pStyle w:val="17"/>
        <w:framePr w:w="8579" w:h="961" w:hRule="exact" w:wrap="notBeside" w:x="1800" w:y="3221"/>
        <w:ind w:firstLine="0" w:firstLineChars="0"/>
        <w:rPr>
          <w:sz w:val="56"/>
          <w:szCs w:val="72"/>
        </w:rPr>
      </w:pPr>
      <w:bookmarkStart w:id="0" w:name="_Hlk144307714"/>
      <w:r>
        <w:rPr>
          <w:rFonts w:hint="eastAsia"/>
          <w:sz w:val="56"/>
          <w:szCs w:val="72"/>
        </w:rPr>
        <w:t>中国工程建设标准化协会</w:t>
      </w:r>
      <w:bookmarkEnd w:id="0"/>
      <w:r>
        <w:rPr>
          <w:rFonts w:hint="eastAsia"/>
          <w:sz w:val="56"/>
          <w:szCs w:val="72"/>
        </w:rPr>
        <w:t>标准</w:t>
      </w:r>
    </w:p>
    <w:p w14:paraId="1DE4ABFA"/>
    <w:p w14:paraId="23EC9F60">
      <w:r>
        <mc:AlternateContent>
          <mc:Choice Requires="wps">
            <w:drawing>
              <wp:anchor distT="0" distB="0" distL="114300" distR="114300" simplePos="0" relativeHeight="251662336" behindDoc="0" locked="0" layoutInCell="1" allowOverlap="1">
                <wp:simplePos x="0" y="0"/>
                <wp:positionH relativeFrom="column">
                  <wp:posOffset>-138430</wp:posOffset>
                </wp:positionH>
                <wp:positionV relativeFrom="page">
                  <wp:posOffset>2907665</wp:posOffset>
                </wp:positionV>
                <wp:extent cx="6362700" cy="25400"/>
                <wp:effectExtent l="0" t="0" r="19050" b="31750"/>
                <wp:wrapNone/>
                <wp:docPr id="1789628889" name="直接连接符 1"/>
                <wp:cNvGraphicFramePr/>
                <a:graphic xmlns:a="http://schemas.openxmlformats.org/drawingml/2006/main">
                  <a:graphicData uri="http://schemas.microsoft.com/office/word/2010/wordprocessingShape">
                    <wps:wsp>
                      <wps:cNvCnPr/>
                      <wps:spPr>
                        <a:xfrm>
                          <a:off x="0" y="0"/>
                          <a:ext cx="6362700" cy="25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o:spt="20" style="position:absolute;left:0pt;margin-left:-10.9pt;margin-top:228.95pt;height:2pt;width:501pt;mso-position-vertical-relative:page;z-index:251662336;mso-width-relative:page;mso-height-relative:page;" filled="f" stroked="t" coordsize="21600,21600" o:gfxdata="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YbCvK2QAAAAsBAAAPAAAAAAAAAAEAIAAAACIAAABkcnMvZG93bnJldi54bWxQSwECFAAUAAAA&#10;CACHTuJAawck4+0BAAC+AwAADgAAAAAAAAABACAAAAAoAQAAZHJzL2Uyb0RvYy54bWxQSwUGAAAA&#10;AAYABgBZAQAAhwUAAAAA&#10;">
                <v:fill on="f" focussize="0,0"/>
                <v:stroke weight="0.5pt" color="#000000 [3200]" miterlimit="8" joinstyle="miter"/>
                <v:imagedata o:title=""/>
                <o:lock v:ext="edit" aspectratio="f"/>
              </v:line>
            </w:pict>
          </mc:Fallback>
        </mc:AlternateContent>
      </w:r>
    </w:p>
    <w:p w14:paraId="78171106"/>
    <w:p w14:paraId="2F99A737"/>
    <w:p w14:paraId="1840DA73">
      <w:pPr>
        <w:jc w:val="center"/>
        <w:rPr>
          <w:rFonts w:ascii="黑体" w:hAnsi="黑体" w:eastAsia="黑体"/>
          <w:sz w:val="32"/>
          <w:szCs w:val="32"/>
        </w:rPr>
      </w:pPr>
    </w:p>
    <w:p w14:paraId="5DAA0D5E">
      <w:pPr>
        <w:jc w:val="center"/>
        <w:rPr>
          <w:rFonts w:ascii="黑体" w:hAnsi="黑体" w:eastAsia="黑体"/>
          <w:sz w:val="32"/>
          <w:szCs w:val="32"/>
        </w:rPr>
      </w:pPr>
    </w:p>
    <w:p w14:paraId="28F53CE1">
      <w:pPr>
        <w:jc w:val="center"/>
        <w:rPr>
          <w:rFonts w:ascii="黑体" w:hAnsi="黑体" w:eastAsia="黑体"/>
          <w:sz w:val="32"/>
          <w:szCs w:val="32"/>
        </w:rPr>
      </w:pPr>
    </w:p>
    <w:p w14:paraId="7FB124C0">
      <w:pPr>
        <w:jc w:val="center"/>
        <w:outlineLvl w:val="0"/>
        <w:rPr>
          <w:sz w:val="48"/>
          <w:szCs w:val="48"/>
        </w:rPr>
      </w:pPr>
      <w:r>
        <w:rPr>
          <w:rFonts w:ascii="黑体" w:hAnsi="黑体" w:eastAsia="黑体"/>
          <w:sz w:val="48"/>
          <w:szCs w:val="48"/>
        </w:rPr>
        <w:t>建筑用气凝胶纤维复合保温防火板</w:t>
      </w:r>
    </w:p>
    <w:p w14:paraId="3379DD19">
      <w:pPr>
        <w:pStyle w:val="18"/>
        <w:framePr w:w="4109" w:h="941" w:hRule="exact" w:wrap="around" w:x="7177" w:y="3941"/>
        <w:wordWrap w:val="0"/>
        <w:spacing w:before="312" w:after="312"/>
        <w:ind w:firstLine="562"/>
        <w:rPr>
          <w:rFonts w:hAnsi="黑体"/>
        </w:rPr>
      </w:pPr>
      <w:r>
        <w:rPr>
          <w:rFonts w:hint="eastAsia" w:ascii="Times New Roman"/>
          <w:b/>
        </w:rPr>
        <w:t>T</w:t>
      </w:r>
      <w:r>
        <w:rPr>
          <w:rFonts w:ascii="Times New Roman"/>
          <w:b/>
        </w:rPr>
        <w:t>/</w:t>
      </w:r>
      <w:bookmarkStart w:id="1" w:name="StdNo1"/>
      <w:r>
        <w:rPr>
          <w:rFonts w:hint="eastAsia" w:ascii="Times New Roman"/>
          <w:b/>
        </w:rPr>
        <w:t>CECS</w:t>
      </w:r>
      <w:bookmarkEnd w:id="1"/>
      <w:r>
        <w:rPr>
          <w:rFonts w:hAnsi="黑体"/>
        </w:rPr>
        <w:t xml:space="preserve"> </w:t>
      </w:r>
      <w:r>
        <w:rPr>
          <w:rFonts w:hint="eastAsia" w:hAnsi="黑体"/>
        </w:rPr>
        <w:t>XX-XXXX</w:t>
      </w:r>
    </w:p>
    <w:p w14:paraId="4433FA30">
      <w:pPr>
        <w:pStyle w:val="18"/>
        <w:framePr w:w="4109" w:h="941" w:hRule="exact" w:wrap="around" w:x="7177" w:y="3941"/>
        <w:spacing w:before="312" w:after="312"/>
        <w:ind w:firstLine="560"/>
        <w:rPr>
          <w:rFonts w:hAnsi="黑体"/>
        </w:rPr>
      </w:pPr>
    </w:p>
    <w:p w14:paraId="6949B3EF">
      <w:pPr>
        <w:pStyle w:val="25"/>
        <w:framePr w:wrap="around" w:hAnchor="page" w:x="1208" w:y="14140"/>
        <w:ind w:firstLine="560"/>
      </w:pPr>
      <w:r>
        <w:rPr>
          <w:rFonts w:hint="eastAsia" w:ascii="黑体"/>
        </w:rPr>
        <w:t>XXXX-XX-XX</w:t>
      </w:r>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-66675</wp:posOffset>
                </wp:positionH>
                <wp:positionV relativeFrom="page">
                  <wp:posOffset>9275445</wp:posOffset>
                </wp:positionV>
                <wp:extent cx="6120130" cy="0"/>
                <wp:effectExtent l="13970" t="7620" r="9525" b="11430"/>
                <wp:wrapNone/>
                <wp:docPr id="1110357574"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5.25pt;margin-top:730.35pt;height:0pt;width:481.9pt;mso-position-vertical-relative:page;z-index:251659264;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JyfPrYAAAADQEAAA8AAAAAAAAAAQAgAAAA&#10;IgAAAGRycy9kb3ducmV2LnhtbFBLAQIUABQAAAAIAIdO4kDk8qpL0gEAAKkDAAAOAAAAAAAAAAEA&#10;IAAAACcBAABkcnMvZTJvRG9jLnhtbFBLBQYAAAAABgAGAFkBAABrBQAAAAA=&#10;">
                <v:fill on="f" focussize="0,0"/>
                <v:stroke color="#000000" joinstyle="round"/>
                <v:imagedata o:title=""/>
                <o:lock v:ext="edit" aspectratio="f"/>
                <w10:anchorlock/>
              </v:line>
            </w:pict>
          </mc:Fallback>
        </mc:AlternateContent>
      </w:r>
    </w:p>
    <w:p w14:paraId="7A8DF41E">
      <w:pPr>
        <w:pStyle w:val="27"/>
        <w:framePr w:wrap="around" w:hAnchor="page" w:x="6668" w:y="14140"/>
        <w:ind w:firstLine="560"/>
      </w:pPr>
      <w:r>
        <w:rPr>
          <w:rFonts w:hint="eastAsia" w:ascii="黑体"/>
        </w:rPr>
        <w:t>XXXX-XX-XX</w:t>
      </w:r>
      <w:r>
        <w:rPr>
          <w:rFonts w:hint="eastAsia"/>
        </w:rPr>
        <w:t>实施</w:t>
      </w:r>
    </w:p>
    <w:p w14:paraId="00D02EA9">
      <w:pPr>
        <w:pStyle w:val="29"/>
        <w:framePr w:wrap="around" w:x="2516" w:y="15041"/>
        <w:ind w:firstLine="730"/>
        <w:jc w:val="both"/>
      </w:pPr>
      <w:bookmarkStart w:id="2" w:name="fm"/>
      <w:r>
        <w:rPr>
          <w:rStyle w:val="41"/>
          <w:rFonts w:hint="eastAsia"/>
          <w:szCs w:val="28"/>
        </w:rPr>
        <w:t>中国工程建设标准化协会</w:t>
      </w:r>
      <w:r>
        <w:rPr>
          <w:w w:val="100"/>
        </w:rPr>
        <mc:AlternateContent>
          <mc:Choice Requires="wps">
            <w:drawing>
              <wp:anchor distT="0" distB="0" distL="114300" distR="114300" simplePos="0" relativeHeight="251660288" behindDoc="1" locked="1" layoutInCell="1" allowOverlap="1">
                <wp:simplePos x="0" y="0"/>
                <wp:positionH relativeFrom="column">
                  <wp:posOffset>4413885</wp:posOffset>
                </wp:positionH>
                <wp:positionV relativeFrom="paragraph">
                  <wp:posOffset>-7435215</wp:posOffset>
                </wp:positionV>
                <wp:extent cx="1143000" cy="228600"/>
                <wp:effectExtent l="0" t="0" r="3175" b="0"/>
                <wp:wrapNone/>
                <wp:docPr id="994317683"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56192;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8mKEdoAAAAPAQAADwAAAAAA&#10;AAABACAAAAAiAAAAZHJzL2Rvd25yZXYueG1sUEsBAhQAFAAAAAgAh07iQGSjsFkRAgAAKAQAAA4A&#10;AAAAAAAAAQAgAAAAKQEAAGRycy9lMm9Eb2MueG1sUEsFBgAAAAAGAAYAWQEAAKwFAAAAAA==&#10;">
                <v:fill on="t" focussize="0,0"/>
                <v:stroke on="f"/>
                <v:imagedata o:title=""/>
                <o:lock v:ext="edit" aspectratio="f"/>
                <w10:anchorlock/>
              </v:rect>
            </w:pict>
          </mc:Fallback>
        </mc:AlternateContent>
      </w:r>
      <w:bookmarkEnd w:id="2"/>
      <w:r>
        <w:rPr>
          <w:rStyle w:val="41"/>
          <w:rFonts w:hint="eastAsia"/>
          <w:szCs w:val="28"/>
        </w:rPr>
        <w:t xml:space="preserve"> </w:t>
      </w:r>
      <w:r>
        <w:rPr>
          <w:rStyle w:val="41"/>
          <w:szCs w:val="28"/>
        </w:rPr>
        <w:t xml:space="preserve"> </w:t>
      </w:r>
      <w:r>
        <w:rPr>
          <w:rStyle w:val="41"/>
          <w:rFonts w:hint="eastAsia"/>
          <w:szCs w:val="28"/>
        </w:rPr>
        <w:t>发布</w:t>
      </w:r>
    </w:p>
    <w:p w14:paraId="32401B69">
      <w:pPr>
        <w:pStyle w:val="31"/>
        <w:autoSpaceDE/>
        <w:autoSpaceDN/>
        <w:ind w:firstLine="0" w:firstLineChars="0"/>
        <w:jc w:val="center"/>
        <w:rPr>
          <w:rFonts w:ascii="Times New Roman"/>
          <w:sz w:val="18"/>
          <w:szCs w:val="16"/>
        </w:rPr>
      </w:pPr>
      <w:r>
        <w:rPr>
          <w:rFonts w:ascii="Times New Roman"/>
          <w:sz w:val="32"/>
          <w:szCs w:val="28"/>
        </w:rPr>
        <w:t>Aerogel fiber composite thermal insulation fireproof board for building</w:t>
      </w:r>
      <w:r>
        <w:rPr>
          <w:rFonts w:ascii="Times New Roman"/>
          <w:sz w:val="18"/>
          <w:szCs w:val="16"/>
        </w:rPr>
        <w:t xml:space="preserve"> </w:t>
      </w:r>
    </w:p>
    <w:p w14:paraId="6F1518E1">
      <w:pPr>
        <w:spacing w:line="360" w:lineRule="auto"/>
        <w:ind w:firstLine="480"/>
        <w:jc w:val="center"/>
        <w:outlineLvl w:val="0"/>
        <w:rPr>
          <w:rFonts w:hint="eastAsia"/>
          <w:sz w:val="24"/>
        </w:rPr>
      </w:pPr>
      <w:r>
        <w:rPr>
          <w:rFonts w:hint="eastAsia"/>
          <w:sz w:val="24"/>
          <w:lang w:eastAsia="zh-CN"/>
        </w:rPr>
        <w:t>（</w:t>
      </w:r>
      <w:r>
        <w:rPr>
          <w:rFonts w:hint="eastAsia"/>
          <w:sz w:val="24"/>
        </w:rPr>
        <w:t>征求意见稿</w:t>
      </w:r>
      <w:r>
        <w:rPr>
          <w:rFonts w:hint="eastAsia"/>
          <w:sz w:val="24"/>
          <w:lang w:eastAsia="zh-CN"/>
        </w:rPr>
        <w:t>）</w:t>
      </w:r>
    </w:p>
    <w:p w14:paraId="77476642">
      <w:pPr>
        <w:pStyle w:val="31"/>
        <w:autoSpaceDE/>
        <w:autoSpaceDN/>
        <w:ind w:firstLine="0" w:firstLineChars="0"/>
        <w:jc w:val="center"/>
        <w:rPr>
          <w:rFonts w:ascii="Times New Roman"/>
          <w:sz w:val="18"/>
          <w:szCs w:val="16"/>
        </w:rPr>
      </w:pPr>
      <w:r>
        <w:rPr>
          <w:rFonts w:ascii="Times New Roman"/>
          <w:szCs w:val="21"/>
        </w:rPr>
        <mc:AlternateContent>
          <mc:Choice Requires="wps">
            <w:drawing>
              <wp:anchor distT="0" distB="0" distL="114300" distR="114300" simplePos="0" relativeHeight="251661312" behindDoc="0" locked="0" layoutInCell="1" allowOverlap="1">
                <wp:simplePos x="0" y="0"/>
                <wp:positionH relativeFrom="page">
                  <wp:posOffset>4216400</wp:posOffset>
                </wp:positionH>
                <wp:positionV relativeFrom="page">
                  <wp:posOffset>1007110</wp:posOffset>
                </wp:positionV>
                <wp:extent cx="2199640" cy="581660"/>
                <wp:effectExtent l="6350" t="6985" r="3810" b="1905"/>
                <wp:wrapNone/>
                <wp:docPr id="1101475262" name="WordArt 2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99640" cy="581660"/>
                        </a:xfrm>
                        <a:prstGeom prst="rect">
                          <a:avLst/>
                        </a:prstGeom>
                      </wps:spPr>
                      <wps:txbx>
                        <w:txbxContent>
                          <w:p w14:paraId="4865B7DA">
                            <w:pPr>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wps:txbx>
                      <wps:bodyPr wrap="square" numCol="1" fromWordArt="1">
                        <a:prstTxWarp prst="textPlain">
                          <a:avLst>
                            <a:gd name="adj" fmla="val 50000"/>
                          </a:avLst>
                        </a:prstTxWarp>
                        <a:spAutoFit/>
                      </wps:bodyPr>
                    </wps:wsp>
                  </a:graphicData>
                </a:graphic>
              </wp:anchor>
            </w:drawing>
          </mc:Choice>
          <mc:Fallback>
            <w:pict>
              <v:shape id="WordArt 23" o:spid="_x0000_s1026" o:spt="202" type="#_x0000_t202" style="position:absolute;left:0pt;margin-left:332pt;margin-top:79.3pt;height:45.8pt;width:173.2pt;mso-position-horizontal-relative:page;mso-position-vertical-relative:page;z-index:251661312;mso-width-relative:page;mso-height-relative:page;" filled="f" stroked="f" coordsize="21600,21600" o:gfxdata="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y0rfX9oAAAAM&#10;AQAADwAAAAAAAAABACAAAAAiAAAAZHJzL2Rvd25yZXYueG1sUEsBAhQAFAAAAAgAh07iQK8BUKQa&#10;AgAAMQQAAA4AAAAAAAAAAQAgAAAAKQEAAGRycy9lMm9Eb2MueG1sUEsFBgAAAAAGAAYAWQEAALUF&#10;AAAAAA==&#10;" adj="10800">
                <v:fill on="f" focussize="0,0"/>
                <v:stroke on="f"/>
                <v:imagedata o:title=""/>
                <o:lock v:ext="edit" text="t" aspectratio="f"/>
                <v:textbox style="mso-fit-shape-to-text:t;">
                  <w:txbxContent>
                    <w:p w14:paraId="4865B7DA">
                      <w:pPr>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v:textbox>
              </v:shape>
            </w:pict>
          </mc:Fallback>
        </mc:AlternateContent>
      </w:r>
      <w:r>
        <w:rPr>
          <w:rFonts w:ascii="Times New Roman"/>
          <w:sz w:val="18"/>
          <w:szCs w:val="16"/>
        </w:rPr>
        <mc:AlternateContent>
          <mc:Choice Requires="wps">
            <w:drawing>
              <wp:anchor distT="0" distB="0" distL="114300" distR="114300" simplePos="0" relativeHeight="251663360" behindDoc="0" locked="0" layoutInCell="1" allowOverlap="1">
                <wp:simplePos x="0" y="0"/>
                <wp:positionH relativeFrom="column">
                  <wp:posOffset>-24130</wp:posOffset>
                </wp:positionH>
                <wp:positionV relativeFrom="page">
                  <wp:posOffset>9444355</wp:posOffset>
                </wp:positionV>
                <wp:extent cx="5867400" cy="38100"/>
                <wp:effectExtent l="0" t="0" r="19050" b="19050"/>
                <wp:wrapNone/>
                <wp:docPr id="1207179546" name="直接连接符 2"/>
                <wp:cNvGraphicFramePr/>
                <a:graphic xmlns:a="http://schemas.openxmlformats.org/drawingml/2006/main">
                  <a:graphicData uri="http://schemas.microsoft.com/office/word/2010/wordprocessingShape">
                    <wps:wsp>
                      <wps:cNvCnPr/>
                      <wps:spPr>
                        <a:xfrm>
                          <a:off x="0" y="0"/>
                          <a:ext cx="5867400"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 o:spid="_x0000_s1026" o:spt="20" style="position:absolute;left:0pt;margin-left:-1.9pt;margin-top:743.65pt;height:3pt;width:462pt;mso-position-vertical-relative:page;z-index:251663360;mso-width-relative:page;mso-height-relative:page;" filled="f" stroked="t" coordsize="21600,21600" o:gfxdata="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fSWz9kAAAAMAQAADwAAAAAAAAABACAAAAAiAAAAZHJzL2Rvd25yZXYueG1sUEsBAhQAFAAA&#10;AAgAh07iQMup9DTuAQAAvgMAAA4AAAAAAAAAAQAgAAAAKAEAAGRycy9lMm9Eb2MueG1sUEsFBgAA&#10;AAAGAAYAWQEAAIgFAAAAAA==&#10;">
                <v:fill on="f" focussize="0,0"/>
                <v:stroke weight="0.5pt" color="#000000 [3200]" miterlimit="8" joinstyle="miter"/>
                <v:imagedata o:title=""/>
                <o:lock v:ext="edit" aspectratio="f"/>
              </v:line>
            </w:pict>
          </mc:Fallback>
        </mc:AlternateContent>
      </w:r>
    </w:p>
    <w:p w14:paraId="05E40EF2">
      <w:pPr>
        <w:keepNext/>
        <w:pageBreakBefore/>
        <w:widowControl/>
        <w:shd w:val="clear" w:color="FFFFFF" w:fill="FFFFFF"/>
        <w:spacing w:before="640" w:after="560" w:line="360" w:lineRule="exact"/>
        <w:jc w:val="center"/>
        <w:rPr>
          <w:rFonts w:ascii="黑体" w:hAnsi="黑体" w:eastAsia="黑体" w:cs="Times New Roman"/>
          <w:kern w:val="0"/>
          <w:sz w:val="32"/>
          <w:szCs w:val="20"/>
        </w:rPr>
      </w:pPr>
      <w:bookmarkStart w:id="3" w:name="_Hlk144469721"/>
      <w:r>
        <w:rPr>
          <w:rFonts w:hint="eastAsia" w:ascii="黑体" w:hAnsi="黑体" w:eastAsia="黑体" w:cs="MS Mincho"/>
          <w:kern w:val="0"/>
          <w:sz w:val="32"/>
          <w:szCs w:val="20"/>
        </w:rPr>
        <w:t xml:space="preserve">前 </w:t>
      </w:r>
      <w:r>
        <w:rPr>
          <w:rFonts w:ascii="黑体" w:hAnsi="黑体" w:eastAsia="黑体" w:cs="MS Mincho"/>
          <w:kern w:val="0"/>
          <w:sz w:val="32"/>
          <w:szCs w:val="20"/>
        </w:rPr>
        <w:t xml:space="preserve">  </w:t>
      </w:r>
      <w:r>
        <w:rPr>
          <w:rFonts w:hint="eastAsia" w:ascii="黑体" w:hAnsi="黑体" w:eastAsia="黑体" w:cs="Times New Roman"/>
          <w:kern w:val="0"/>
          <w:sz w:val="32"/>
          <w:szCs w:val="20"/>
        </w:rPr>
        <w:t>言</w:t>
      </w:r>
    </w:p>
    <w:p w14:paraId="53AE8D47">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w:t>
      </w:r>
      <w:r>
        <w:rPr>
          <w:rFonts w:hint="eastAsia" w:ascii="宋体" w:hAnsi="宋体"/>
          <w:szCs w:val="21"/>
        </w:rPr>
        <w:t>按照</w:t>
      </w:r>
      <w:r>
        <w:rPr>
          <w:rFonts w:ascii="宋体" w:hAnsi="宋体" w:eastAsia="宋体" w:cs="宋体"/>
          <w:szCs w:val="21"/>
        </w:rPr>
        <w:t xml:space="preserve">GB/T 1.1—2020《标准化工作导则 </w:t>
      </w:r>
      <w:r>
        <w:rPr>
          <w:rFonts w:hint="eastAsia" w:ascii="宋体" w:hAnsi="宋体" w:eastAsia="宋体" w:cs="宋体"/>
          <w:szCs w:val="21"/>
        </w:rPr>
        <w:t>第</w:t>
      </w:r>
      <w:r>
        <w:rPr>
          <w:rFonts w:ascii="宋体" w:hAnsi="宋体" w:eastAsia="宋体" w:cs="宋体"/>
          <w:szCs w:val="21"/>
        </w:rPr>
        <w:t xml:space="preserve">1部分：标准化文件的结构和起草规则》，GB/T 20001.10《标准编写规则 </w:t>
      </w:r>
      <w:r>
        <w:rPr>
          <w:rFonts w:hint="eastAsia" w:ascii="宋体" w:hAnsi="宋体" w:eastAsia="宋体" w:cs="宋体"/>
          <w:szCs w:val="21"/>
        </w:rPr>
        <w:t>第</w:t>
      </w:r>
      <w:r>
        <w:rPr>
          <w:rFonts w:ascii="宋体" w:hAnsi="宋体" w:eastAsia="宋体" w:cs="宋体"/>
          <w:szCs w:val="21"/>
        </w:rPr>
        <w:t>10部分：产品标准》的</w:t>
      </w:r>
      <w:r>
        <w:rPr>
          <w:rFonts w:hint="eastAsia" w:ascii="宋体" w:hAnsi="宋体"/>
          <w:szCs w:val="21"/>
        </w:rPr>
        <w:t>规定</w:t>
      </w:r>
      <w:r>
        <w:rPr>
          <w:rFonts w:ascii="宋体" w:hAnsi="宋体" w:eastAsia="宋体" w:cs="宋体"/>
          <w:szCs w:val="21"/>
        </w:rPr>
        <w:t>起草。</w:t>
      </w:r>
    </w:p>
    <w:p w14:paraId="6F5AE0A9">
      <w:pPr>
        <w:spacing w:line="360" w:lineRule="exact"/>
        <w:ind w:right="-2" w:firstLine="420" w:firstLineChars="200"/>
        <w:rPr>
          <w:rFonts w:ascii="宋体" w:hAnsi="宋体" w:eastAsia="宋体" w:cs="宋体"/>
          <w:szCs w:val="21"/>
        </w:rPr>
      </w:pPr>
      <w:r>
        <w:rPr>
          <w:rFonts w:hint="eastAsia" w:ascii="宋体" w:hAnsi="宋体" w:eastAsia="宋体" w:cs="宋体"/>
          <w:szCs w:val="21"/>
        </w:rPr>
        <w:t>请注意本文件的某些内容可能涉及专利。本文件的发布机构不承担识别专利的责任。</w:t>
      </w:r>
    </w:p>
    <w:p w14:paraId="3D288C8A">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本文件由中国工程建设标准化协会建筑材料分会提出并归口。</w:t>
      </w:r>
    </w:p>
    <w:p w14:paraId="6DA8BFDD">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本文件负责起草单位：</w:t>
      </w:r>
    </w:p>
    <w:p w14:paraId="67B978AF">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本文件参加起草单位：</w:t>
      </w:r>
    </w:p>
    <w:p w14:paraId="7D3ACF2A">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本文件主要起草人：</w:t>
      </w:r>
    </w:p>
    <w:p w14:paraId="3EDEDE03">
      <w:pPr>
        <w:spacing w:line="360" w:lineRule="exact"/>
        <w:ind w:right="-2" w:firstLine="420" w:firstLineChars="200"/>
        <w:rPr>
          <w:rFonts w:ascii="宋体" w:hAnsi="宋体" w:eastAsia="宋体" w:cs="宋体"/>
          <w:szCs w:val="21"/>
        </w:rPr>
      </w:pPr>
      <w:r>
        <w:rPr>
          <w:rFonts w:hint="eastAsia" w:ascii="宋体" w:hAnsi="宋体" w:eastAsia="宋体" w:cs="宋体"/>
          <w:szCs w:val="21"/>
        </w:rPr>
        <w:t>本文件为首次发布。</w:t>
      </w:r>
    </w:p>
    <w:bookmarkEnd w:id="3"/>
    <w:p w14:paraId="63F0E4A2">
      <w:pPr>
        <w:spacing w:line="360" w:lineRule="exact"/>
        <w:ind w:right="-2" w:firstLine="420" w:firstLineChars="200"/>
        <w:rPr>
          <w:rFonts w:ascii="宋体" w:hAnsi="宋体" w:eastAsia="宋体" w:cs="宋体"/>
          <w:szCs w:val="21"/>
        </w:rPr>
      </w:pPr>
    </w:p>
    <w:p w14:paraId="260CB4DE">
      <w:pPr>
        <w:widowControl/>
        <w:spacing w:line="360" w:lineRule="exact"/>
        <w:jc w:val="left"/>
        <w:rPr>
          <w:rFonts w:ascii="宋体" w:hAnsi="宋体" w:eastAsia="宋体" w:cs="宋体"/>
          <w:szCs w:val="21"/>
        </w:rPr>
      </w:pPr>
      <w:r>
        <w:rPr>
          <w:rFonts w:ascii="宋体" w:hAnsi="宋体" w:eastAsia="宋体" w:cs="宋体"/>
          <w:szCs w:val="21"/>
        </w:rPr>
        <w:br w:type="page"/>
      </w:r>
    </w:p>
    <w:p w14:paraId="09F2C0B5">
      <w:pPr>
        <w:spacing w:line="360" w:lineRule="exact"/>
        <w:rPr>
          <w:rFonts w:ascii="宋体" w:hAnsi="宋体" w:eastAsia="宋体" w:cs="宋体"/>
          <w:sz w:val="10"/>
          <w:szCs w:val="10"/>
        </w:rPr>
      </w:pPr>
    </w:p>
    <w:p w14:paraId="3DE177B4">
      <w:pPr>
        <w:widowControl/>
        <w:spacing w:before="312" w:beforeLines="100" w:line="360" w:lineRule="exact"/>
        <w:jc w:val="center"/>
      </w:pPr>
      <w:bookmarkStart w:id="4" w:name="_Hlk116381250"/>
      <w:bookmarkStart w:id="5" w:name="_Hlk129268354"/>
      <w:r>
        <w:rPr>
          <w:rFonts w:ascii="黑体" w:hAnsi="黑体" w:eastAsia="黑体"/>
          <w:sz w:val="32"/>
          <w:szCs w:val="32"/>
        </w:rPr>
        <w:t>建筑用气凝胶纤维复合保温防火板</w:t>
      </w:r>
      <w:bookmarkEnd w:id="4"/>
    </w:p>
    <w:bookmarkEnd w:id="5"/>
    <w:p w14:paraId="29E0C5E8">
      <w:pPr>
        <w:pStyle w:val="13"/>
        <w:numPr>
          <w:ilvl w:val="0"/>
          <w:numId w:val="0"/>
        </w:numPr>
        <w:spacing w:before="312" w:after="312" w:line="360" w:lineRule="exact"/>
        <w:outlineLvl w:val="0"/>
      </w:pPr>
      <w:r>
        <w:rPr>
          <w:rFonts w:hint="eastAsia"/>
        </w:rPr>
        <w:t>1 范围</w:t>
      </w:r>
    </w:p>
    <w:p w14:paraId="63EBBBA7">
      <w:pPr>
        <w:spacing w:line="360" w:lineRule="exact"/>
        <w:ind w:firstLine="420" w:firstLineChars="200"/>
        <w:rPr>
          <w:rFonts w:ascii="宋体" w:hAnsi="宋体" w:eastAsia="宋体" w:cs="宋体"/>
          <w:szCs w:val="21"/>
        </w:rPr>
      </w:pPr>
      <w:r>
        <w:rPr>
          <w:rFonts w:hint="eastAsia" w:ascii="宋体" w:hAnsi="宋体" w:eastAsia="宋体" w:cs="宋体"/>
          <w:szCs w:val="21"/>
        </w:rPr>
        <w:t>本文件规定了建筑用气凝胶纤维复合保温防火板尺寸规格、技术要求、试验方法、检验规则、标志、包装、运输和贮存。</w:t>
      </w:r>
    </w:p>
    <w:p w14:paraId="13617C7A">
      <w:pPr>
        <w:spacing w:line="360" w:lineRule="exact"/>
        <w:ind w:firstLine="420" w:firstLineChars="200"/>
        <w:rPr>
          <w:rFonts w:ascii="宋体" w:hAnsi="宋体" w:eastAsia="宋体" w:cs="宋体"/>
          <w:szCs w:val="21"/>
        </w:rPr>
      </w:pPr>
      <w:r>
        <w:rPr>
          <w:rFonts w:hint="eastAsia" w:ascii="宋体" w:hAnsi="宋体" w:eastAsia="宋体" w:cs="宋体"/>
          <w:szCs w:val="21"/>
        </w:rPr>
        <w:t>本文件适用于防火门、钢结构、防火隔离、防火隔离带等用的气凝胶纤维复合保温防火板</w:t>
      </w:r>
      <w:r>
        <w:rPr>
          <w:rFonts w:hint="eastAsia"/>
        </w:rPr>
        <w:t>的生产和检验</w:t>
      </w:r>
      <w:r>
        <w:rPr>
          <w:rFonts w:hint="eastAsia" w:ascii="宋体" w:hAnsi="宋体" w:eastAsia="宋体" w:cs="宋体"/>
          <w:szCs w:val="21"/>
        </w:rPr>
        <w:t>。</w:t>
      </w:r>
    </w:p>
    <w:p w14:paraId="0D46B3CB">
      <w:pPr>
        <w:pStyle w:val="13"/>
        <w:numPr>
          <w:ilvl w:val="0"/>
          <w:numId w:val="0"/>
        </w:numPr>
        <w:spacing w:before="312" w:after="312" w:line="360" w:lineRule="exact"/>
        <w:outlineLvl w:val="0"/>
      </w:pPr>
      <w:r>
        <w:rPr>
          <w:rFonts w:hint="eastAsia"/>
        </w:rPr>
        <w:t>2 规范性引用文件</w:t>
      </w:r>
    </w:p>
    <w:p w14:paraId="0F51CF72">
      <w:pPr>
        <w:spacing w:line="360" w:lineRule="exact"/>
        <w:ind w:firstLine="420" w:firstLineChars="200"/>
        <w:rPr>
          <w:rFonts w:ascii="宋体" w:hAnsi="宋体" w:cs="宋体"/>
          <w:szCs w:val="21"/>
        </w:rPr>
      </w:pPr>
      <w:r>
        <w:rPr>
          <w:rFonts w:hint="eastAsia" w:ascii="宋体" w:hAnsi="宋体" w:eastAsia="宋体" w:cs="宋体"/>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bookmarkStart w:id="27" w:name="_GoBack"/>
      <w:bookmarkEnd w:id="27"/>
    </w:p>
    <w:p w14:paraId="52C8DDD3">
      <w:pPr>
        <w:spacing w:line="360" w:lineRule="exact"/>
        <w:ind w:firstLine="420"/>
        <w:rPr>
          <w:rFonts w:ascii="宋体" w:hAnsi="宋体" w:eastAsia="宋体" w:cs="宋体"/>
          <w:szCs w:val="21"/>
        </w:rPr>
      </w:pPr>
      <w:r>
        <w:rPr>
          <w:rFonts w:hint="eastAsia" w:ascii="宋体" w:hAnsi="宋体" w:eastAsia="宋体" w:cs="宋体"/>
          <w:szCs w:val="21"/>
        </w:rPr>
        <w:t xml:space="preserve">GB/T </w:t>
      </w:r>
      <w:r>
        <w:rPr>
          <w:rFonts w:ascii="宋体" w:hAnsi="宋体" w:eastAsia="宋体" w:cs="宋体"/>
          <w:szCs w:val="21"/>
        </w:rPr>
        <w:t>4132</w:t>
      </w:r>
      <w:r>
        <w:rPr>
          <w:rFonts w:hint="eastAsia" w:ascii="宋体" w:hAnsi="宋体" w:eastAsia="宋体" w:cs="宋体"/>
          <w:szCs w:val="21"/>
        </w:rPr>
        <w:t xml:space="preserve">     绝热材料及相关术语</w:t>
      </w:r>
    </w:p>
    <w:p w14:paraId="6B0507BF">
      <w:pPr>
        <w:spacing w:line="360" w:lineRule="exact"/>
        <w:ind w:firstLine="420"/>
        <w:rPr>
          <w:rFonts w:ascii="宋体" w:hAnsi="宋体" w:eastAsia="宋体" w:cs="宋体"/>
          <w:szCs w:val="21"/>
        </w:rPr>
      </w:pPr>
      <w:r>
        <w:rPr>
          <w:rFonts w:ascii="宋体" w:hAnsi="宋体" w:eastAsia="宋体" w:cs="宋体"/>
          <w:szCs w:val="21"/>
        </w:rPr>
        <w:t xml:space="preserve">GB/T 5480     </w:t>
      </w:r>
      <w:r>
        <w:rPr>
          <w:rFonts w:hint="eastAsia" w:ascii="宋体" w:hAnsi="宋体" w:eastAsia="宋体" w:cs="宋体"/>
          <w:szCs w:val="21"/>
        </w:rPr>
        <w:t>矿物棉及其制品试验方法</w:t>
      </w:r>
    </w:p>
    <w:p w14:paraId="3BBC72EC">
      <w:pPr>
        <w:spacing w:line="360" w:lineRule="exact"/>
        <w:ind w:firstLine="420"/>
        <w:rPr>
          <w:rFonts w:ascii="宋体" w:hAnsi="宋体" w:eastAsia="宋体" w:cs="宋体"/>
          <w:szCs w:val="21"/>
        </w:rPr>
      </w:pPr>
      <w:r>
        <w:rPr>
          <w:rFonts w:ascii="宋体" w:hAnsi="宋体" w:eastAsia="宋体" w:cs="宋体"/>
          <w:szCs w:val="21"/>
        </w:rPr>
        <w:t xml:space="preserve">GB/T 5486     </w:t>
      </w:r>
      <w:r>
        <w:rPr>
          <w:rFonts w:hint="eastAsia" w:ascii="宋体" w:hAnsi="宋体" w:eastAsia="宋体" w:cs="宋体"/>
          <w:szCs w:val="21"/>
        </w:rPr>
        <w:t>无机硬质绝热制品试验方法</w:t>
      </w:r>
    </w:p>
    <w:p w14:paraId="26B0582D">
      <w:pPr>
        <w:spacing w:line="360" w:lineRule="exact"/>
        <w:ind w:firstLine="420"/>
        <w:rPr>
          <w:rFonts w:ascii="宋体" w:hAnsi="宋体" w:eastAsia="宋体" w:cs="宋体"/>
          <w:szCs w:val="21"/>
        </w:rPr>
      </w:pPr>
      <w:r>
        <w:rPr>
          <w:rFonts w:ascii="宋体" w:hAnsi="宋体" w:eastAsia="宋体" w:cs="宋体"/>
          <w:szCs w:val="21"/>
        </w:rPr>
        <w:t>GB/T 8811     硬质泡沫塑料  尺寸稳定性试验方法</w:t>
      </w:r>
    </w:p>
    <w:p w14:paraId="6AEEF34D">
      <w:pPr>
        <w:spacing w:line="360" w:lineRule="exact"/>
        <w:ind w:firstLine="420"/>
        <w:rPr>
          <w:rFonts w:ascii="宋体" w:hAnsi="宋体" w:eastAsia="宋体" w:cs="宋体"/>
          <w:szCs w:val="21"/>
        </w:rPr>
      </w:pPr>
      <w:r>
        <w:rPr>
          <w:rFonts w:hint="eastAsia" w:ascii="宋体" w:hAnsi="宋体" w:eastAsia="宋体" w:cs="宋体"/>
          <w:szCs w:val="21"/>
        </w:rPr>
        <w:t xml:space="preserve">GB  </w:t>
      </w:r>
      <w:r>
        <w:rPr>
          <w:rFonts w:ascii="宋体" w:hAnsi="宋体" w:eastAsia="宋体" w:cs="宋体"/>
          <w:szCs w:val="21"/>
        </w:rPr>
        <w:t xml:space="preserve"> 8624       </w:t>
      </w:r>
      <w:r>
        <w:rPr>
          <w:rFonts w:hint="eastAsia" w:ascii="宋体" w:hAnsi="宋体" w:eastAsia="宋体" w:cs="宋体"/>
          <w:szCs w:val="21"/>
        </w:rPr>
        <w:t>建筑材料及制品燃烧性能分级</w:t>
      </w:r>
    </w:p>
    <w:p w14:paraId="5209C5BC">
      <w:pPr>
        <w:spacing w:line="360" w:lineRule="exact"/>
        <w:ind w:firstLine="420"/>
        <w:rPr>
          <w:rFonts w:ascii="宋体" w:hAnsi="宋体" w:eastAsia="宋体" w:cs="宋体"/>
          <w:szCs w:val="21"/>
        </w:rPr>
      </w:pPr>
      <w:r>
        <w:rPr>
          <w:rFonts w:ascii="宋体" w:hAnsi="宋体" w:eastAsia="宋体" w:cs="宋体"/>
          <w:szCs w:val="21"/>
        </w:rPr>
        <w:t>GB/T 8626     建筑材料热性能分级方法</w:t>
      </w:r>
    </w:p>
    <w:p w14:paraId="0FF978B4">
      <w:pPr>
        <w:spacing w:line="360" w:lineRule="exact"/>
        <w:ind w:firstLine="420"/>
        <w:rPr>
          <w:rFonts w:ascii="宋体" w:hAnsi="宋体" w:eastAsia="宋体" w:cs="宋体"/>
          <w:szCs w:val="21"/>
        </w:rPr>
      </w:pPr>
      <w:r>
        <w:rPr>
          <w:rFonts w:ascii="宋体" w:hAnsi="宋体" w:cs="宋体"/>
          <w:szCs w:val="21"/>
        </w:rPr>
        <w:t xml:space="preserve">GB/T 10294    </w:t>
      </w:r>
      <w:r>
        <w:rPr>
          <w:rFonts w:ascii="宋体" w:hAnsi="宋体" w:eastAsia="宋体" w:cs="宋体"/>
          <w:szCs w:val="21"/>
        </w:rPr>
        <w:t>绝热材料稳态热阻及有关特性的测定  防护热板法</w:t>
      </w:r>
    </w:p>
    <w:p w14:paraId="7F5D75E3">
      <w:pPr>
        <w:spacing w:line="360" w:lineRule="exact"/>
        <w:ind w:firstLine="420"/>
        <w:rPr>
          <w:rFonts w:ascii="宋体" w:hAnsi="宋体" w:eastAsia="宋体" w:cs="宋体"/>
          <w:szCs w:val="21"/>
        </w:rPr>
      </w:pPr>
      <w:r>
        <w:rPr>
          <w:rFonts w:hint="eastAsia" w:ascii="宋体" w:hAnsi="宋体" w:eastAsia="宋体" w:cs="宋体"/>
          <w:szCs w:val="21"/>
        </w:rPr>
        <w:t>GB/T</w:t>
      </w:r>
      <w:r>
        <w:rPr>
          <w:rFonts w:ascii="宋体" w:hAnsi="宋体" w:eastAsia="宋体" w:cs="宋体"/>
          <w:szCs w:val="21"/>
        </w:rPr>
        <w:t xml:space="preserve"> 10295    绝热材料稳态热阻及有关特性的测定</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热流计法</w:t>
      </w:r>
    </w:p>
    <w:p w14:paraId="1BAE4E0C">
      <w:pPr>
        <w:spacing w:line="360" w:lineRule="exact"/>
        <w:ind w:firstLine="420"/>
        <w:rPr>
          <w:rFonts w:ascii="宋体" w:hAnsi="宋体" w:eastAsia="宋体" w:cs="宋体"/>
          <w:szCs w:val="21"/>
        </w:rPr>
      </w:pPr>
      <w:r>
        <w:rPr>
          <w:rFonts w:hint="eastAsia" w:ascii="宋体" w:hAnsi="宋体" w:eastAsia="宋体" w:cs="宋体"/>
          <w:szCs w:val="21"/>
        </w:rPr>
        <w:t>GB/T</w:t>
      </w:r>
      <w:r>
        <w:rPr>
          <w:rFonts w:ascii="宋体" w:hAnsi="宋体" w:eastAsia="宋体" w:cs="宋体"/>
          <w:szCs w:val="21"/>
        </w:rPr>
        <w:t xml:space="preserve"> 10299    </w:t>
      </w:r>
      <w:r>
        <w:rPr>
          <w:rFonts w:hint="eastAsia" w:ascii="宋体" w:hAnsi="宋体" w:eastAsia="宋体" w:cs="宋体"/>
          <w:szCs w:val="21"/>
        </w:rPr>
        <w:t>绝热材料憎水性试验方法</w:t>
      </w:r>
    </w:p>
    <w:p w14:paraId="3B8F5BA6">
      <w:pPr>
        <w:spacing w:line="360" w:lineRule="exact"/>
        <w:ind w:firstLine="420"/>
        <w:rPr>
          <w:rFonts w:ascii="宋体" w:hAnsi="宋体" w:eastAsia="宋体" w:cs="宋体"/>
          <w:szCs w:val="21"/>
        </w:rPr>
      </w:pPr>
      <w:r>
        <w:rPr>
          <w:rFonts w:hint="eastAsia" w:ascii="宋体" w:hAnsi="宋体" w:eastAsia="宋体" w:cs="宋体"/>
          <w:szCs w:val="21"/>
        </w:rPr>
        <w:t>GB/T</w:t>
      </w:r>
      <w:r>
        <w:rPr>
          <w:rFonts w:ascii="宋体" w:hAnsi="宋体" w:eastAsia="宋体" w:cs="宋体"/>
          <w:szCs w:val="21"/>
        </w:rPr>
        <w:t xml:space="preserve"> 13480    </w:t>
      </w:r>
      <w:r>
        <w:rPr>
          <w:rFonts w:hint="eastAsia" w:ascii="宋体" w:hAnsi="宋体" w:eastAsia="宋体" w:cs="宋体"/>
          <w:szCs w:val="21"/>
        </w:rPr>
        <w:t>建筑用绝热制品 压缩性能的测定</w:t>
      </w:r>
    </w:p>
    <w:p w14:paraId="46D9FD71">
      <w:pPr>
        <w:spacing w:line="360" w:lineRule="exact"/>
        <w:ind w:firstLine="420"/>
        <w:rPr>
          <w:rFonts w:ascii="宋体" w:hAnsi="宋体" w:eastAsia="宋体" w:cs="宋体"/>
          <w:szCs w:val="21"/>
        </w:rPr>
      </w:pPr>
      <w:r>
        <w:rPr>
          <w:rFonts w:hint="eastAsia" w:ascii="宋体" w:hAnsi="宋体" w:eastAsia="宋体" w:cs="宋体"/>
          <w:szCs w:val="21"/>
        </w:rPr>
        <w:t>GB/T</w:t>
      </w:r>
      <w:r>
        <w:rPr>
          <w:rFonts w:ascii="宋体" w:hAnsi="宋体" w:eastAsia="宋体" w:cs="宋体"/>
          <w:szCs w:val="21"/>
        </w:rPr>
        <w:t xml:space="preserve"> 14402    </w:t>
      </w:r>
      <w:r>
        <w:rPr>
          <w:rFonts w:hint="eastAsia" w:ascii="宋体" w:hAnsi="宋体" w:eastAsia="宋体" w:cs="宋体"/>
          <w:szCs w:val="21"/>
        </w:rPr>
        <w:t xml:space="preserve">建筑材料及制品的燃烧性能 </w:t>
      </w:r>
      <w:r>
        <w:rPr>
          <w:rFonts w:ascii="宋体" w:hAnsi="宋体" w:eastAsia="宋体" w:cs="宋体"/>
          <w:szCs w:val="21"/>
        </w:rPr>
        <w:t xml:space="preserve"> </w:t>
      </w:r>
      <w:r>
        <w:rPr>
          <w:rFonts w:hint="eastAsia" w:ascii="宋体" w:hAnsi="宋体" w:eastAsia="宋体" w:cs="宋体"/>
          <w:szCs w:val="21"/>
        </w:rPr>
        <w:t>燃烧热值的测定</w:t>
      </w:r>
    </w:p>
    <w:p w14:paraId="533BCD17">
      <w:pPr>
        <w:spacing w:line="360" w:lineRule="exact"/>
        <w:ind w:firstLine="420"/>
        <w:rPr>
          <w:rFonts w:ascii="宋体" w:hAnsi="宋体" w:eastAsia="宋体" w:cs="宋体"/>
          <w:szCs w:val="21"/>
        </w:rPr>
      </w:pPr>
      <w:r>
        <w:rPr>
          <w:rFonts w:hint="eastAsia" w:ascii="宋体" w:hAnsi="宋体" w:eastAsia="宋体" w:cs="宋体"/>
          <w:szCs w:val="21"/>
        </w:rPr>
        <w:t>GB/T</w:t>
      </w:r>
      <w:r>
        <w:rPr>
          <w:rFonts w:ascii="宋体" w:hAnsi="宋体" w:eastAsia="宋体" w:cs="宋体"/>
          <w:szCs w:val="21"/>
        </w:rPr>
        <w:t xml:space="preserve"> 20313    </w:t>
      </w:r>
      <w:r>
        <w:rPr>
          <w:rFonts w:hint="eastAsia" w:ascii="宋体" w:hAnsi="宋体" w:eastAsia="宋体" w:cs="宋体"/>
          <w:szCs w:val="21"/>
        </w:rPr>
        <w:t xml:space="preserve">建筑材料及制品的湿热性能 </w:t>
      </w:r>
      <w:r>
        <w:rPr>
          <w:rFonts w:ascii="宋体" w:hAnsi="宋体" w:eastAsia="宋体" w:cs="宋体"/>
          <w:szCs w:val="21"/>
        </w:rPr>
        <w:t xml:space="preserve"> </w:t>
      </w:r>
      <w:r>
        <w:rPr>
          <w:rFonts w:hint="eastAsia" w:ascii="宋体" w:hAnsi="宋体" w:eastAsia="宋体" w:cs="宋体"/>
          <w:szCs w:val="21"/>
        </w:rPr>
        <w:t xml:space="preserve">含湿率的测定 </w:t>
      </w:r>
      <w:r>
        <w:rPr>
          <w:rFonts w:ascii="宋体" w:hAnsi="宋体" w:eastAsia="宋体" w:cs="宋体"/>
          <w:szCs w:val="21"/>
        </w:rPr>
        <w:t xml:space="preserve"> </w:t>
      </w:r>
      <w:r>
        <w:rPr>
          <w:rFonts w:hint="eastAsia" w:ascii="宋体" w:hAnsi="宋体" w:eastAsia="宋体" w:cs="宋体"/>
          <w:szCs w:val="21"/>
        </w:rPr>
        <w:t>烘干法</w:t>
      </w:r>
    </w:p>
    <w:p w14:paraId="2345672E">
      <w:pPr>
        <w:spacing w:line="360" w:lineRule="exact"/>
        <w:ind w:firstLine="420"/>
        <w:rPr>
          <w:rFonts w:ascii="宋体" w:hAnsi="宋体" w:cs="宋体"/>
          <w:szCs w:val="21"/>
        </w:rPr>
      </w:pPr>
      <w:r>
        <w:rPr>
          <w:rFonts w:hint="eastAsia" w:ascii="宋体" w:hAnsi="宋体" w:eastAsia="宋体" w:cs="宋体"/>
          <w:szCs w:val="21"/>
        </w:rPr>
        <w:t xml:space="preserve">GB/T 29906    </w:t>
      </w:r>
      <w:r>
        <w:rPr>
          <w:rFonts w:ascii="宋体" w:hAnsi="宋体" w:eastAsia="宋体" w:cs="宋体"/>
          <w:szCs w:val="21"/>
        </w:rPr>
        <w:t>模塑聚苯板薄抹灰外墙外保温系统材料</w:t>
      </w:r>
    </w:p>
    <w:p w14:paraId="6FBBA72A">
      <w:pPr>
        <w:pStyle w:val="13"/>
        <w:numPr>
          <w:ilvl w:val="0"/>
          <w:numId w:val="0"/>
        </w:numPr>
        <w:spacing w:before="312" w:after="312" w:line="360" w:lineRule="exact"/>
        <w:outlineLvl w:val="0"/>
      </w:pPr>
      <w:r>
        <w:rPr>
          <w:rFonts w:hint="eastAsia"/>
        </w:rPr>
        <w:t>3 术语及定义</w:t>
      </w:r>
    </w:p>
    <w:p w14:paraId="22792ACA">
      <w:pPr>
        <w:spacing w:line="360" w:lineRule="exact"/>
        <w:ind w:firstLine="420" w:firstLineChars="200"/>
        <w:rPr>
          <w:rFonts w:ascii="宋体" w:hAnsi="宋体" w:eastAsia="宋体" w:cs="宋体"/>
          <w:szCs w:val="21"/>
        </w:rPr>
      </w:pPr>
      <w:r>
        <w:rPr>
          <w:rFonts w:hint="eastAsia" w:ascii="宋体" w:hAnsi="宋体" w:eastAsia="宋体" w:cs="宋体"/>
          <w:szCs w:val="21"/>
        </w:rPr>
        <w:t>下列术语和定义适用于本文件。</w:t>
      </w:r>
    </w:p>
    <w:p w14:paraId="27E75303">
      <w:pPr>
        <w:spacing w:before="156" w:beforeLines="50" w:after="156" w:afterLines="50" w:line="360" w:lineRule="exact"/>
        <w:ind w:left="420" w:hanging="420" w:hangingChars="200"/>
        <w:rPr>
          <w:rFonts w:ascii="黑体" w:hAnsi="黑体" w:eastAsia="黑体" w:cs="宋体"/>
          <w:szCs w:val="21"/>
        </w:rPr>
      </w:pPr>
      <w:r>
        <w:rPr>
          <w:rFonts w:hint="eastAsia" w:ascii="黑体" w:hAnsi="黑体" w:eastAsia="黑体" w:cs="宋体"/>
          <w:szCs w:val="21"/>
        </w:rPr>
        <w:t>3</w:t>
      </w:r>
      <w:r>
        <w:rPr>
          <w:rFonts w:ascii="黑体" w:hAnsi="黑体" w:eastAsia="黑体" w:cs="宋体"/>
          <w:szCs w:val="21"/>
        </w:rPr>
        <w:t xml:space="preserve">.1 </w:t>
      </w:r>
      <w:bookmarkStart w:id="6" w:name="_Hlk129272182"/>
    </w:p>
    <w:p w14:paraId="427F090E">
      <w:pPr>
        <w:spacing w:before="156" w:beforeLines="50" w:after="156" w:afterLines="50" w:line="360" w:lineRule="exact"/>
        <w:ind w:firstLine="420" w:firstLineChars="200"/>
        <w:rPr>
          <w:rFonts w:ascii="Times New Roman" w:hAnsi="Times New Roman" w:eastAsia="黑体" w:cs="Times New Roman"/>
          <w:szCs w:val="21"/>
        </w:rPr>
      </w:pPr>
      <w:bookmarkStart w:id="7" w:name="_Hlk169081682"/>
      <w:r>
        <w:rPr>
          <w:rFonts w:hint="eastAsia" w:ascii="黑体" w:hAnsi="黑体" w:eastAsia="黑体" w:cs="宋体"/>
          <w:szCs w:val="21"/>
        </w:rPr>
        <w:t>建筑用气凝胶纤维复合保温防火板</w:t>
      </w:r>
      <w:bookmarkEnd w:id="7"/>
      <w:r>
        <w:rPr>
          <w:rFonts w:hint="eastAsia" w:ascii="黑体" w:hAnsi="黑体" w:eastAsia="黑体" w:cs="宋体"/>
          <w:szCs w:val="21"/>
        </w:rPr>
        <w:t xml:space="preserve"> </w:t>
      </w:r>
      <w:r>
        <w:rPr>
          <w:rFonts w:hint="eastAsia" w:ascii="Times New Roman" w:hAnsi="Times New Roman" w:eastAsia="黑体" w:cs="Times New Roman"/>
          <w:szCs w:val="21"/>
        </w:rPr>
        <w:t>a</w:t>
      </w:r>
      <w:r>
        <w:rPr>
          <w:rFonts w:ascii="Times New Roman" w:hAnsi="Times New Roman" w:eastAsia="黑体" w:cs="Times New Roman"/>
          <w:szCs w:val="21"/>
        </w:rPr>
        <w:t>erogel fiber composite thermal insulation fireproof board for building</w:t>
      </w:r>
    </w:p>
    <w:bookmarkEnd w:id="6"/>
    <w:p w14:paraId="74B49749">
      <w:pPr>
        <w:spacing w:line="360" w:lineRule="exact"/>
        <w:ind w:firstLine="420" w:firstLineChars="200"/>
        <w:rPr>
          <w:rFonts w:ascii="宋体" w:hAnsi="宋体" w:eastAsia="宋体" w:cs="宋体"/>
          <w:szCs w:val="21"/>
        </w:rPr>
      </w:pPr>
      <w:bookmarkStart w:id="8" w:name="_Hlk169081674"/>
      <w:r>
        <w:rPr>
          <w:rFonts w:hint="eastAsia" w:ascii="宋体" w:hAnsi="宋体" w:eastAsia="宋体" w:cs="宋体"/>
          <w:szCs w:val="21"/>
        </w:rPr>
        <w:t>以气凝胶为主要保温防火材料，经特殊工艺与纤维基材复合而成的具有一定刚度和保温防火性能的建筑用板材制品。</w:t>
      </w:r>
    </w:p>
    <w:bookmarkEnd w:id="8"/>
    <w:p w14:paraId="31FD200B">
      <w:pPr>
        <w:pStyle w:val="13"/>
        <w:numPr>
          <w:ilvl w:val="0"/>
          <w:numId w:val="0"/>
        </w:numPr>
        <w:spacing w:before="312" w:after="312" w:line="360" w:lineRule="exact"/>
        <w:outlineLvl w:val="0"/>
        <w:rPr>
          <w:rFonts w:hint="eastAsia"/>
          <w:lang w:val="en-US" w:eastAsia="zh-CN"/>
        </w:rPr>
      </w:pPr>
      <w:r>
        <w:t xml:space="preserve">4 </w:t>
      </w:r>
      <w:r>
        <w:rPr>
          <w:rFonts w:hint="eastAsia"/>
        </w:rPr>
        <w:t>规格</w:t>
      </w:r>
      <w:r>
        <w:rPr>
          <w:rFonts w:hint="eastAsia"/>
          <w:lang w:val="en-US" w:eastAsia="zh-CN"/>
        </w:rPr>
        <w:t>与标记</w:t>
      </w:r>
    </w:p>
    <w:p w14:paraId="381FD1D1">
      <w:pPr>
        <w:pStyle w:val="13"/>
        <w:numPr>
          <w:ilvl w:val="0"/>
          <w:numId w:val="0"/>
        </w:numPr>
        <w:spacing w:before="312" w:after="312" w:line="360" w:lineRule="exact"/>
        <w:outlineLvl w:val="0"/>
      </w:pPr>
      <w:r>
        <w:t>4</w:t>
      </w:r>
      <w:r>
        <w:rPr>
          <w:rFonts w:hint="eastAsia"/>
          <w:lang w:val="en-US" w:eastAsia="zh-CN"/>
        </w:rPr>
        <w:t>.1</w:t>
      </w:r>
      <w:r>
        <w:t xml:space="preserve"> </w:t>
      </w:r>
      <w:r>
        <w:rPr>
          <w:rFonts w:hint="eastAsia"/>
        </w:rPr>
        <w:t>规格</w:t>
      </w:r>
    </w:p>
    <w:p w14:paraId="44F6C51E">
      <w:pPr>
        <w:ind w:firstLine="420"/>
        <w:rPr>
          <w:rFonts w:ascii="宋体" w:hAnsi="宋体" w:eastAsia="宋体" w:cs="宋体"/>
          <w:szCs w:val="21"/>
        </w:rPr>
      </w:pPr>
      <w:r>
        <w:rPr>
          <w:rFonts w:ascii="宋体" w:hAnsi="宋体" w:eastAsia="宋体" w:cs="宋体"/>
          <w:szCs w:val="21"/>
        </w:rPr>
        <w:t>主要规格尺寸见表1，其他规格由供需双方协商确定。</w:t>
      </w:r>
    </w:p>
    <w:p w14:paraId="1C53DD4C">
      <w:pPr>
        <w:spacing w:before="156" w:beforeLines="50" w:after="156" w:afterLines="50" w:line="360" w:lineRule="exact"/>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表1主要尺寸规格</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5"/>
        <w:gridCol w:w="4785"/>
      </w:tblGrid>
      <w:tr w14:paraId="5E86D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500" w:type="pct"/>
            <w:tcBorders>
              <w:top w:val="single" w:color="auto" w:sz="12" w:space="0"/>
              <w:left w:val="single" w:color="auto" w:sz="12" w:space="0"/>
              <w:bottom w:val="single" w:color="auto" w:sz="12" w:space="0"/>
              <w:right w:val="single" w:color="auto" w:sz="8" w:space="0"/>
            </w:tcBorders>
            <w:vAlign w:val="center"/>
          </w:tcPr>
          <w:p w14:paraId="6C09FBB2">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项目</w:t>
            </w:r>
          </w:p>
        </w:tc>
        <w:tc>
          <w:tcPr>
            <w:tcW w:w="2500" w:type="pct"/>
            <w:tcBorders>
              <w:top w:val="single" w:color="auto" w:sz="12" w:space="0"/>
              <w:left w:val="single" w:color="auto" w:sz="8" w:space="0"/>
              <w:bottom w:val="single" w:color="auto" w:sz="12" w:space="0"/>
              <w:right w:val="single" w:color="auto" w:sz="12" w:space="0"/>
            </w:tcBorders>
            <w:vAlign w:val="center"/>
          </w:tcPr>
          <w:p w14:paraId="4969CB7E">
            <w:pPr>
              <w:spacing w:line="360" w:lineRule="exact"/>
              <w:jc w:val="center"/>
              <w:rPr>
                <w:rFonts w:ascii="宋体" w:hAnsi="宋体" w:eastAsia="宋体" w:cs="宋体"/>
                <w:color w:val="000000" w:themeColor="text1"/>
                <w:sz w:val="18"/>
                <w:szCs w:val="18"/>
                <w14:textFill>
                  <w14:solidFill>
                    <w14:schemeClr w14:val="tx1"/>
                  </w14:solidFill>
                </w14:textFill>
              </w:rPr>
            </w:pPr>
            <w:r>
              <w:rPr>
                <w:rFonts w:ascii="宋体" w:hAnsi="宋体" w:eastAsia="宋体"/>
                <w:sz w:val="18"/>
                <w:szCs w:val="18"/>
              </w:rPr>
              <w:t>指标</w:t>
            </w:r>
          </w:p>
        </w:tc>
      </w:tr>
      <w:tr w14:paraId="7B198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500" w:type="pct"/>
            <w:tcBorders>
              <w:top w:val="single" w:color="auto" w:sz="12" w:space="0"/>
              <w:left w:val="single" w:color="auto" w:sz="12" w:space="0"/>
            </w:tcBorders>
            <w:vAlign w:val="center"/>
          </w:tcPr>
          <w:p w14:paraId="5F391DC6">
            <w:pPr>
              <w:spacing w:line="360" w:lineRule="exact"/>
              <w:jc w:val="center"/>
              <w:rPr>
                <w:rFonts w:ascii="宋体" w:hAnsi="宋体" w:eastAsia="宋体" w:cs="宋体"/>
                <w:color w:val="000000" w:themeColor="text1"/>
                <w:sz w:val="18"/>
                <w:szCs w:val="18"/>
                <w14:textFill>
                  <w14:solidFill>
                    <w14:schemeClr w14:val="tx1"/>
                  </w14:solidFill>
                </w14:textFill>
              </w:rPr>
            </w:pPr>
            <w:r>
              <w:rPr>
                <w:rFonts w:ascii="宋体" w:hAnsi="宋体" w:eastAsia="宋体"/>
                <w:sz w:val="18"/>
                <w:szCs w:val="18"/>
              </w:rPr>
              <w:t>长度</w:t>
            </w:r>
            <w:r>
              <w:rPr>
                <w:rFonts w:hint="eastAsia" w:ascii="宋体" w:hAnsi="宋体" w:eastAsia="宋体"/>
                <w:sz w:val="18"/>
                <w:szCs w:val="18"/>
              </w:rPr>
              <w:t>/</w:t>
            </w:r>
            <w:r>
              <w:rPr>
                <w:rFonts w:ascii="宋体" w:hAnsi="宋体" w:eastAsia="宋体"/>
                <w:sz w:val="18"/>
                <w:szCs w:val="18"/>
              </w:rPr>
              <w:t>mm</w:t>
            </w:r>
          </w:p>
        </w:tc>
        <w:tc>
          <w:tcPr>
            <w:tcW w:w="2500" w:type="pct"/>
            <w:tcBorders>
              <w:top w:val="single" w:color="auto" w:sz="12" w:space="0"/>
              <w:right w:val="single" w:color="auto" w:sz="12" w:space="0"/>
            </w:tcBorders>
            <w:vAlign w:val="center"/>
          </w:tcPr>
          <w:p w14:paraId="655D16F7">
            <w:pPr>
              <w:spacing w:line="360" w:lineRule="exact"/>
              <w:jc w:val="center"/>
              <w:rPr>
                <w:rFonts w:ascii="宋体" w:hAnsi="宋体" w:eastAsia="宋体" w:cs="宋体"/>
                <w:color w:val="000000" w:themeColor="text1"/>
                <w:sz w:val="18"/>
                <w:szCs w:val="18"/>
                <w14:textFill>
                  <w14:solidFill>
                    <w14:schemeClr w14:val="tx1"/>
                  </w14:solidFill>
                </w14:textFill>
              </w:rPr>
            </w:pPr>
            <w:bookmarkStart w:id="9" w:name="_Hlk169537250"/>
            <w:r>
              <w:rPr>
                <w:rFonts w:hint="eastAsia" w:ascii="宋体" w:hAnsi="宋体" w:eastAsia="宋体"/>
                <w:sz w:val="18"/>
                <w:szCs w:val="18"/>
              </w:rPr>
              <w:t>300</w:t>
            </w:r>
            <w:r>
              <w:rPr>
                <w:rFonts w:hint="eastAsia" w:ascii="宋体" w:hAnsi="宋体" w:eastAsia="宋体"/>
                <w:color w:val="333333"/>
                <w:sz w:val="18"/>
                <w:szCs w:val="18"/>
                <w:shd w:val="clear" w:color="auto" w:fill="FFFFFF"/>
              </w:rPr>
              <w:t>～1200</w:t>
            </w:r>
            <w:bookmarkEnd w:id="9"/>
          </w:p>
        </w:tc>
      </w:tr>
      <w:tr w14:paraId="2EFFE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500" w:type="pct"/>
            <w:tcBorders>
              <w:left w:val="single" w:color="auto" w:sz="12" w:space="0"/>
            </w:tcBorders>
            <w:vAlign w:val="center"/>
          </w:tcPr>
          <w:p w14:paraId="0B8BE075">
            <w:pPr>
              <w:spacing w:line="360" w:lineRule="exact"/>
              <w:jc w:val="center"/>
              <w:rPr>
                <w:rFonts w:ascii="宋体" w:hAnsi="宋体" w:eastAsia="宋体" w:cs="Times New Roman"/>
                <w:color w:val="000000" w:themeColor="text1"/>
                <w:sz w:val="18"/>
                <w:szCs w:val="18"/>
                <w14:textFill>
                  <w14:solidFill>
                    <w14:schemeClr w14:val="tx1"/>
                  </w14:solidFill>
                </w14:textFill>
              </w:rPr>
            </w:pPr>
            <w:r>
              <w:rPr>
                <w:rFonts w:ascii="宋体" w:hAnsi="宋体" w:eastAsia="宋体"/>
                <w:sz w:val="18"/>
                <w:szCs w:val="18"/>
              </w:rPr>
              <w:t>宽度</w:t>
            </w:r>
            <w:r>
              <w:rPr>
                <w:rFonts w:hint="eastAsia" w:ascii="宋体" w:hAnsi="宋体" w:eastAsia="宋体"/>
                <w:sz w:val="18"/>
                <w:szCs w:val="18"/>
              </w:rPr>
              <w:t>/</w:t>
            </w:r>
            <w:r>
              <w:rPr>
                <w:rFonts w:ascii="宋体" w:hAnsi="宋体" w:eastAsia="宋体"/>
                <w:sz w:val="18"/>
                <w:szCs w:val="18"/>
              </w:rPr>
              <w:t>mm</w:t>
            </w:r>
          </w:p>
        </w:tc>
        <w:tc>
          <w:tcPr>
            <w:tcW w:w="2500" w:type="pct"/>
            <w:tcBorders>
              <w:right w:val="single" w:color="auto" w:sz="12" w:space="0"/>
            </w:tcBorders>
            <w:vAlign w:val="center"/>
          </w:tcPr>
          <w:p w14:paraId="2E3B3B86">
            <w:pPr>
              <w:spacing w:line="360" w:lineRule="exact"/>
              <w:jc w:val="center"/>
              <w:rPr>
                <w:rFonts w:ascii="宋体" w:hAnsi="宋体" w:eastAsia="宋体" w:cs="宋体"/>
                <w:color w:val="000000" w:themeColor="text1"/>
                <w:sz w:val="18"/>
                <w:szCs w:val="18"/>
                <w14:textFill>
                  <w14:solidFill>
                    <w14:schemeClr w14:val="tx1"/>
                  </w14:solidFill>
                </w14:textFill>
              </w:rPr>
            </w:pPr>
            <w:bookmarkStart w:id="10" w:name="_Hlk169537274"/>
            <w:r>
              <w:rPr>
                <w:rFonts w:hint="eastAsia" w:ascii="宋体" w:hAnsi="宋体" w:eastAsia="宋体"/>
                <w:sz w:val="18"/>
                <w:szCs w:val="18"/>
              </w:rPr>
              <w:t>3</w:t>
            </w:r>
            <w:r>
              <w:rPr>
                <w:rFonts w:ascii="宋体" w:hAnsi="宋体" w:eastAsia="宋体"/>
                <w:sz w:val="18"/>
                <w:szCs w:val="18"/>
              </w:rPr>
              <w:t>00</w:t>
            </w:r>
            <w:r>
              <w:rPr>
                <w:rFonts w:hint="eastAsia" w:ascii="宋体" w:hAnsi="宋体" w:eastAsia="宋体"/>
                <w:color w:val="333333"/>
                <w:sz w:val="18"/>
                <w:szCs w:val="18"/>
                <w:shd w:val="clear" w:color="auto" w:fill="FFFFFF"/>
              </w:rPr>
              <w:t>～</w:t>
            </w:r>
            <w:r>
              <w:rPr>
                <w:rFonts w:hint="eastAsia" w:ascii="宋体" w:hAnsi="宋体" w:eastAsia="宋体"/>
                <w:sz w:val="18"/>
                <w:szCs w:val="18"/>
              </w:rPr>
              <w:t>5</w:t>
            </w:r>
            <w:r>
              <w:rPr>
                <w:rFonts w:ascii="宋体" w:hAnsi="宋体" w:eastAsia="宋体"/>
                <w:sz w:val="18"/>
                <w:szCs w:val="18"/>
              </w:rPr>
              <w:t>00</w:t>
            </w:r>
            <w:bookmarkEnd w:id="10"/>
          </w:p>
        </w:tc>
      </w:tr>
      <w:tr w14:paraId="29448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500" w:type="pct"/>
            <w:tcBorders>
              <w:left w:val="single" w:color="auto" w:sz="12" w:space="0"/>
            </w:tcBorders>
            <w:vAlign w:val="center"/>
          </w:tcPr>
          <w:p w14:paraId="72D4BFE4">
            <w:pPr>
              <w:spacing w:line="360" w:lineRule="exact"/>
              <w:jc w:val="center"/>
              <w:rPr>
                <w:rFonts w:ascii="宋体" w:hAnsi="宋体" w:eastAsia="宋体" w:cs="Times New Roman"/>
                <w:color w:val="000000" w:themeColor="text1"/>
                <w:sz w:val="18"/>
                <w:szCs w:val="18"/>
                <w14:textFill>
                  <w14:solidFill>
                    <w14:schemeClr w14:val="tx1"/>
                  </w14:solidFill>
                </w14:textFill>
              </w:rPr>
            </w:pPr>
            <w:r>
              <w:rPr>
                <w:rFonts w:ascii="宋体" w:hAnsi="宋体" w:eastAsia="宋体"/>
                <w:sz w:val="18"/>
                <w:szCs w:val="18"/>
              </w:rPr>
              <w:t>厚度</w:t>
            </w:r>
            <w:r>
              <w:rPr>
                <w:rFonts w:hint="eastAsia" w:ascii="宋体" w:hAnsi="宋体" w:eastAsia="宋体"/>
                <w:sz w:val="18"/>
                <w:szCs w:val="18"/>
              </w:rPr>
              <w:t>/</w:t>
            </w:r>
            <w:r>
              <w:rPr>
                <w:rFonts w:ascii="宋体" w:hAnsi="宋体" w:eastAsia="宋体"/>
                <w:sz w:val="18"/>
                <w:szCs w:val="18"/>
              </w:rPr>
              <w:t>mm</w:t>
            </w:r>
          </w:p>
        </w:tc>
        <w:tc>
          <w:tcPr>
            <w:tcW w:w="2500" w:type="pct"/>
            <w:tcBorders>
              <w:right w:val="single" w:color="auto" w:sz="12" w:space="0"/>
            </w:tcBorders>
            <w:vAlign w:val="center"/>
          </w:tcPr>
          <w:p w14:paraId="4D519F83">
            <w:pPr>
              <w:spacing w:line="360" w:lineRule="exact"/>
              <w:jc w:val="center"/>
              <w:rPr>
                <w:rFonts w:ascii="宋体" w:hAnsi="宋体" w:eastAsia="宋体" w:cs="宋体"/>
                <w:color w:val="000000" w:themeColor="text1"/>
                <w:sz w:val="18"/>
                <w:szCs w:val="18"/>
                <w14:textFill>
                  <w14:solidFill>
                    <w14:schemeClr w14:val="tx1"/>
                  </w14:solidFill>
                </w14:textFill>
              </w:rPr>
            </w:pPr>
            <w:bookmarkStart w:id="11" w:name="_Hlk169537291"/>
            <w:r>
              <w:rPr>
                <w:rFonts w:hint="eastAsia" w:ascii="宋体" w:hAnsi="宋体" w:eastAsia="宋体"/>
                <w:sz w:val="18"/>
                <w:szCs w:val="18"/>
              </w:rPr>
              <w:t>10</w:t>
            </w:r>
            <w:r>
              <w:rPr>
                <w:rFonts w:hint="eastAsia" w:ascii="宋体" w:hAnsi="宋体" w:eastAsia="宋体"/>
                <w:color w:val="333333"/>
                <w:sz w:val="18"/>
                <w:szCs w:val="18"/>
                <w:shd w:val="clear" w:color="auto" w:fill="FFFFFF"/>
              </w:rPr>
              <w:t>～25</w:t>
            </w:r>
            <w:bookmarkEnd w:id="11"/>
          </w:p>
        </w:tc>
      </w:tr>
      <w:tr w14:paraId="4AFB0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000" w:type="pct"/>
            <w:gridSpan w:val="2"/>
            <w:tcBorders>
              <w:left w:val="single" w:color="auto" w:sz="12" w:space="0"/>
              <w:bottom w:val="single" w:color="auto" w:sz="12" w:space="0"/>
              <w:right w:val="single" w:color="auto" w:sz="12" w:space="0"/>
            </w:tcBorders>
            <w:vAlign w:val="center"/>
          </w:tcPr>
          <w:p w14:paraId="6B9F9BF0">
            <w:pPr>
              <w:spacing w:line="360" w:lineRule="exact"/>
              <w:ind w:firstLine="360" w:firstLineChars="200"/>
              <w:rPr>
                <w:rFonts w:ascii="宋体" w:hAnsi="宋体" w:eastAsia="宋体" w:cs="宋体"/>
                <w:color w:val="000000" w:themeColor="text1"/>
                <w:sz w:val="18"/>
                <w:szCs w:val="18"/>
                <w14:textFill>
                  <w14:solidFill>
                    <w14:schemeClr w14:val="tx1"/>
                  </w14:solidFill>
                </w14:textFill>
              </w:rPr>
            </w:pPr>
          </w:p>
        </w:tc>
      </w:tr>
    </w:tbl>
    <w:p w14:paraId="5584AEE5">
      <w:pPr>
        <w:pStyle w:val="13"/>
        <w:numPr>
          <w:ilvl w:val="0"/>
          <w:numId w:val="0"/>
        </w:numPr>
        <w:spacing w:before="312" w:after="312" w:line="360" w:lineRule="exact"/>
      </w:pPr>
      <w:r>
        <w:t>4</w:t>
      </w:r>
      <w:r>
        <w:rPr>
          <w:rFonts w:hint="eastAsia"/>
          <w:lang w:val="en-US" w:eastAsia="zh-CN"/>
        </w:rPr>
        <w:t>.2</w:t>
      </w:r>
      <w:r>
        <w:t xml:space="preserve"> </w:t>
      </w:r>
      <w:r>
        <w:rPr>
          <w:rFonts w:hint="eastAsia"/>
          <w:lang w:val="en-US" w:eastAsia="zh-CN"/>
        </w:rPr>
        <w:t>标记</w:t>
      </w:r>
    </w:p>
    <w:p w14:paraId="2FDBE391">
      <w:pPr>
        <w:pStyle w:val="13"/>
        <w:numPr>
          <w:ilvl w:val="0"/>
          <w:numId w:val="0"/>
        </w:numPr>
        <w:spacing w:before="312" w:after="312" w:line="360" w:lineRule="exact"/>
        <w:rPr>
          <w:b/>
          <w:bCs/>
        </w:rPr>
      </w:pPr>
      <w:r>
        <w:rPr>
          <w:rFonts w:hint="eastAsia"/>
          <w:lang w:val="en-US" w:eastAsia="zh-CN"/>
        </w:rPr>
        <w:t>*******（补充内容）</w:t>
      </w:r>
    </w:p>
    <w:p w14:paraId="009803B6">
      <w:pPr>
        <w:pStyle w:val="13"/>
        <w:numPr>
          <w:ilvl w:val="0"/>
          <w:numId w:val="0"/>
        </w:numPr>
        <w:spacing w:before="312" w:after="312" w:line="360" w:lineRule="exact"/>
      </w:pPr>
      <w:r>
        <w:t>5</w:t>
      </w:r>
      <w:r>
        <w:rPr>
          <w:rFonts w:hint="eastAsia"/>
        </w:rPr>
        <w:t>技术要求</w:t>
      </w:r>
    </w:p>
    <w:p w14:paraId="3D75B13C">
      <w:pPr>
        <w:spacing w:before="156" w:beforeLines="50" w:after="156" w:afterLines="50" w:line="360" w:lineRule="exact"/>
        <w:rPr>
          <w:rFonts w:ascii="黑体" w:hAnsi="黑体" w:eastAsia="黑体" w:cs="宋体"/>
          <w:color w:val="000000" w:themeColor="text1"/>
          <w:szCs w:val="21"/>
          <w14:textFill>
            <w14:solidFill>
              <w14:schemeClr w14:val="tx1"/>
            </w14:solidFill>
          </w14:textFill>
        </w:rPr>
      </w:pPr>
      <w:bookmarkStart w:id="12" w:name="_Hlk169083518"/>
      <w:r>
        <w:rPr>
          <w:rFonts w:hint="eastAsia" w:ascii="黑体" w:hAnsi="黑体" w:eastAsia="黑体" w:cs="宋体"/>
          <w:color w:val="000000" w:themeColor="text1"/>
          <w:szCs w:val="21"/>
          <w14:textFill>
            <w14:solidFill>
              <w14:schemeClr w14:val="tx1"/>
            </w14:solidFill>
          </w14:textFill>
        </w:rPr>
        <w:t>5</w:t>
      </w:r>
      <w:r>
        <w:rPr>
          <w:rFonts w:ascii="黑体" w:hAnsi="黑体" w:eastAsia="黑体" w:cs="宋体"/>
          <w:color w:val="000000" w:themeColor="text1"/>
          <w:szCs w:val="21"/>
          <w14:textFill>
            <w14:solidFill>
              <w14:schemeClr w14:val="tx1"/>
            </w14:solidFill>
          </w14:textFill>
        </w:rPr>
        <w:t xml:space="preserve">.1 </w:t>
      </w:r>
      <w:r>
        <w:rPr>
          <w:rFonts w:hint="eastAsia" w:ascii="黑体" w:hAnsi="黑体" w:eastAsia="黑体" w:cs="宋体"/>
          <w:color w:val="000000" w:themeColor="text1"/>
          <w:szCs w:val="21"/>
          <w14:textFill>
            <w14:solidFill>
              <w14:schemeClr w14:val="tx1"/>
            </w14:solidFill>
          </w14:textFill>
        </w:rPr>
        <w:t>外观</w:t>
      </w:r>
    </w:p>
    <w:p w14:paraId="676C0289">
      <w:pPr>
        <w:spacing w:line="360" w:lineRule="exact"/>
        <w:ind w:firstLine="420" w:firstLineChars="200"/>
        <w:rPr>
          <w:rFonts w:ascii="宋体" w:hAnsi="宋体" w:eastAsia="宋体" w:cs="宋体"/>
          <w:color w:val="000000" w:themeColor="text1"/>
          <w:szCs w:val="21"/>
          <w14:textFill>
            <w14:solidFill>
              <w14:schemeClr w14:val="tx1"/>
            </w14:solidFill>
          </w14:textFill>
        </w:rPr>
      </w:pPr>
      <w:bookmarkStart w:id="13" w:name="_Hlk144908766"/>
      <w:r>
        <w:rPr>
          <w:rFonts w:hint="eastAsia" w:ascii="宋体" w:hAnsi="宋体" w:eastAsia="宋体" w:cs="宋体"/>
          <w:color w:val="000000" w:themeColor="text1"/>
          <w:szCs w:val="21"/>
          <w14:textFill>
            <w14:solidFill>
              <w14:schemeClr w14:val="tx1"/>
            </w14:solidFill>
          </w14:textFill>
        </w:rPr>
        <w:t>建筑用气凝胶纤维复合保温防火板外观应平整，不应有妨碍使用的污渍、异物、孔洞、明显的条纹等瑕疵点，不应有分层、破损、缺角缺棱和薄厚不均现象。同一批保温防火板的颜色和纹理应基本一致。</w:t>
      </w:r>
      <w:bookmarkEnd w:id="13"/>
    </w:p>
    <w:bookmarkEnd w:id="12"/>
    <w:p w14:paraId="62E6E6E8">
      <w:pPr>
        <w:spacing w:before="156" w:beforeLines="50" w:after="156" w:afterLines="50" w:line="360" w:lineRule="exact"/>
        <w:rPr>
          <w:rFonts w:ascii="黑体" w:hAnsi="黑体" w:eastAsia="黑体" w:cs="宋体"/>
          <w:color w:val="000000" w:themeColor="text1"/>
          <w:szCs w:val="21"/>
          <w14:textFill>
            <w14:solidFill>
              <w14:schemeClr w14:val="tx1"/>
            </w14:solidFill>
          </w14:textFill>
        </w:rPr>
      </w:pPr>
      <w:bookmarkStart w:id="14" w:name="_Hlk169083667"/>
      <w:r>
        <w:rPr>
          <w:rFonts w:hint="eastAsia" w:ascii="黑体" w:hAnsi="黑体" w:eastAsia="黑体" w:cs="宋体"/>
          <w:color w:val="000000" w:themeColor="text1"/>
          <w:szCs w:val="21"/>
          <w14:textFill>
            <w14:solidFill>
              <w14:schemeClr w14:val="tx1"/>
            </w14:solidFill>
          </w14:textFill>
        </w:rPr>
        <w:t>5</w:t>
      </w:r>
      <w:r>
        <w:rPr>
          <w:rFonts w:ascii="黑体" w:hAnsi="黑体" w:eastAsia="黑体" w:cs="宋体"/>
          <w:color w:val="000000" w:themeColor="text1"/>
          <w:szCs w:val="21"/>
          <w14:textFill>
            <w14:solidFill>
              <w14:schemeClr w14:val="tx1"/>
            </w14:solidFill>
          </w14:textFill>
        </w:rPr>
        <w:t>.2</w:t>
      </w:r>
      <w:r>
        <w:rPr>
          <w:rFonts w:hint="eastAsia" w:ascii="黑体" w:hAnsi="黑体" w:eastAsia="黑体" w:cs="宋体"/>
          <w:color w:val="000000" w:themeColor="text1"/>
          <w:szCs w:val="21"/>
          <w14:textFill>
            <w14:solidFill>
              <w14:schemeClr w14:val="tx1"/>
            </w14:solidFill>
          </w14:textFill>
        </w:rPr>
        <w:t>尺寸允许偏差</w:t>
      </w:r>
    </w:p>
    <w:p w14:paraId="7260B745">
      <w:pPr>
        <w:spacing w:before="156" w:beforeLines="50" w:after="156" w:afterLines="50"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应符合表</w:t>
      </w:r>
      <w:bookmarkStart w:id="15" w:name="_Hlk144908880"/>
      <w:r>
        <w:rPr>
          <w:rFonts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规定</w:t>
      </w:r>
      <w:bookmarkEnd w:id="15"/>
      <w:r>
        <w:rPr>
          <w:rFonts w:hint="eastAsia" w:ascii="宋体" w:hAnsi="宋体" w:eastAsia="宋体" w:cs="宋体"/>
          <w:color w:val="000000" w:themeColor="text1"/>
          <w:szCs w:val="21"/>
          <w14:textFill>
            <w14:solidFill>
              <w14:schemeClr w14:val="tx1"/>
            </w14:solidFill>
          </w14:textFill>
        </w:rPr>
        <w:t>。异型制品的尺寸及允许偏差由供需双方确定。</w:t>
      </w:r>
    </w:p>
    <w:bookmarkEnd w:id="14"/>
    <w:p w14:paraId="12E95BA8">
      <w:pPr>
        <w:spacing w:before="156" w:beforeLines="50" w:after="156" w:afterLines="50" w:line="360" w:lineRule="exact"/>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表</w:t>
      </w:r>
      <w:r>
        <w:rPr>
          <w:rFonts w:ascii="黑体" w:hAnsi="黑体" w:eastAsia="黑体" w:cs="宋体"/>
          <w:color w:val="000000" w:themeColor="text1"/>
          <w:szCs w:val="21"/>
          <w14:textFill>
            <w14:solidFill>
              <w14:schemeClr w14:val="tx1"/>
            </w14:solidFill>
          </w14:textFill>
        </w:rPr>
        <w:t>2</w:t>
      </w:r>
      <w:r>
        <w:rPr>
          <w:rFonts w:hint="eastAsia" w:ascii="黑体" w:hAnsi="黑体" w:eastAsia="黑体" w:cs="宋体"/>
          <w:color w:val="000000" w:themeColor="text1"/>
          <w:szCs w:val="21"/>
          <w14:textFill>
            <w14:solidFill>
              <w14:schemeClr w14:val="tx1"/>
            </w14:solidFill>
          </w14:textFill>
        </w:rPr>
        <w:t>尺寸允许偏差</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5"/>
        <w:gridCol w:w="4785"/>
      </w:tblGrid>
      <w:tr w14:paraId="1F7BD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top w:val="single" w:color="auto" w:sz="12" w:space="0"/>
              <w:left w:val="single" w:color="auto" w:sz="12" w:space="0"/>
              <w:bottom w:val="single" w:color="auto" w:sz="12" w:space="0"/>
            </w:tcBorders>
          </w:tcPr>
          <w:p w14:paraId="7F9A985E">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分类名称</w:t>
            </w:r>
          </w:p>
        </w:tc>
        <w:tc>
          <w:tcPr>
            <w:tcW w:w="2500" w:type="pct"/>
            <w:tcBorders>
              <w:top w:val="single" w:color="auto" w:sz="12" w:space="0"/>
              <w:bottom w:val="single" w:color="auto" w:sz="12" w:space="0"/>
              <w:right w:val="single" w:color="auto" w:sz="12" w:space="0"/>
            </w:tcBorders>
          </w:tcPr>
          <w:p w14:paraId="08840B09">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要求</w:t>
            </w:r>
          </w:p>
        </w:tc>
      </w:tr>
      <w:tr w14:paraId="763C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top w:val="single" w:color="auto" w:sz="12" w:space="0"/>
              <w:left w:val="single" w:color="auto" w:sz="12" w:space="0"/>
            </w:tcBorders>
          </w:tcPr>
          <w:p w14:paraId="1B632830">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长度/</w:t>
            </w:r>
            <w:r>
              <w:rPr>
                <w:rFonts w:ascii="宋体" w:hAnsi="宋体" w:eastAsia="宋体" w:cs="宋体"/>
                <w:color w:val="000000" w:themeColor="text1"/>
                <w:sz w:val="18"/>
                <w:szCs w:val="18"/>
                <w14:textFill>
                  <w14:solidFill>
                    <w14:schemeClr w14:val="tx1"/>
                  </w14:solidFill>
                </w14:textFill>
              </w:rPr>
              <w:t>mm</w:t>
            </w:r>
          </w:p>
        </w:tc>
        <w:tc>
          <w:tcPr>
            <w:tcW w:w="2500" w:type="pct"/>
            <w:tcBorders>
              <w:top w:val="single" w:color="auto" w:sz="12" w:space="0"/>
              <w:right w:val="single" w:color="auto" w:sz="12" w:space="0"/>
            </w:tcBorders>
          </w:tcPr>
          <w:p w14:paraId="1214DF4A">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ascii="宋体" w:hAnsi="宋体" w:eastAsia="宋体" w:cs="宋体"/>
                <w:color w:val="000000" w:themeColor="text1"/>
                <w:sz w:val="18"/>
                <w:szCs w:val="18"/>
                <w14:textFill>
                  <w14:solidFill>
                    <w14:schemeClr w14:val="tx1"/>
                  </w14:solidFill>
                </w14:textFill>
              </w:rPr>
              <w:t>3</w:t>
            </w:r>
          </w:p>
        </w:tc>
      </w:tr>
      <w:tr w14:paraId="5C104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single" w:color="auto" w:sz="12" w:space="0"/>
            </w:tcBorders>
          </w:tcPr>
          <w:p w14:paraId="357598C6">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宽度/m</w:t>
            </w:r>
            <w:r>
              <w:rPr>
                <w:rFonts w:ascii="宋体" w:hAnsi="宋体" w:eastAsia="宋体" w:cs="宋体"/>
                <w:color w:val="000000" w:themeColor="text1"/>
                <w:sz w:val="18"/>
                <w:szCs w:val="18"/>
                <w14:textFill>
                  <w14:solidFill>
                    <w14:schemeClr w14:val="tx1"/>
                  </w14:solidFill>
                </w14:textFill>
              </w:rPr>
              <w:t>m</w:t>
            </w:r>
          </w:p>
        </w:tc>
        <w:tc>
          <w:tcPr>
            <w:tcW w:w="2500" w:type="pct"/>
            <w:tcBorders>
              <w:right w:val="single" w:color="auto" w:sz="12" w:space="0"/>
            </w:tcBorders>
          </w:tcPr>
          <w:p w14:paraId="2014F4D3">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ascii="宋体" w:hAnsi="宋体" w:eastAsia="宋体" w:cs="宋体"/>
                <w:color w:val="000000" w:themeColor="text1"/>
                <w:sz w:val="18"/>
                <w:szCs w:val="18"/>
                <w14:textFill>
                  <w14:solidFill>
                    <w14:schemeClr w14:val="tx1"/>
                  </w14:solidFill>
                </w14:textFill>
              </w:rPr>
              <w:t>3</w:t>
            </w:r>
          </w:p>
        </w:tc>
      </w:tr>
      <w:tr w14:paraId="7AD92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single" w:color="auto" w:sz="12" w:space="0"/>
            </w:tcBorders>
          </w:tcPr>
          <w:p w14:paraId="2B6EAEB9">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厚度/m</w:t>
            </w:r>
            <w:r>
              <w:rPr>
                <w:rFonts w:ascii="宋体" w:hAnsi="宋体" w:eastAsia="宋体" w:cs="宋体"/>
                <w:color w:val="000000" w:themeColor="text1"/>
                <w:sz w:val="18"/>
                <w:szCs w:val="18"/>
                <w14:textFill>
                  <w14:solidFill>
                    <w14:schemeClr w14:val="tx1"/>
                  </w14:solidFill>
                </w14:textFill>
              </w:rPr>
              <w:t>m</w:t>
            </w:r>
          </w:p>
        </w:tc>
        <w:tc>
          <w:tcPr>
            <w:tcW w:w="2500" w:type="pct"/>
            <w:tcBorders>
              <w:right w:val="single" w:color="auto" w:sz="12" w:space="0"/>
            </w:tcBorders>
          </w:tcPr>
          <w:p w14:paraId="776775FC">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ascii="宋体" w:hAnsi="宋体" w:eastAsia="宋体" w:cs="宋体"/>
                <w:color w:val="000000" w:themeColor="text1"/>
                <w:sz w:val="18"/>
                <w:szCs w:val="18"/>
                <w14:textFill>
                  <w14:solidFill>
                    <w14:schemeClr w14:val="tx1"/>
                  </w14:solidFill>
                </w14:textFill>
              </w:rPr>
              <w:t>2</w:t>
            </w:r>
          </w:p>
        </w:tc>
      </w:tr>
      <w:tr w14:paraId="30B4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single" w:color="auto" w:sz="12" w:space="0"/>
            </w:tcBorders>
          </w:tcPr>
          <w:p w14:paraId="1030232B">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翘曲度/m</w:t>
            </w:r>
            <w:r>
              <w:rPr>
                <w:rFonts w:ascii="宋体" w:hAnsi="宋体" w:eastAsia="宋体" w:cs="宋体"/>
                <w:color w:val="000000" w:themeColor="text1"/>
                <w:sz w:val="18"/>
                <w:szCs w:val="18"/>
                <w14:textFill>
                  <w14:solidFill>
                    <w14:schemeClr w14:val="tx1"/>
                  </w14:solidFill>
                </w14:textFill>
              </w:rPr>
              <w:t>m</w:t>
            </w:r>
          </w:p>
        </w:tc>
        <w:tc>
          <w:tcPr>
            <w:tcW w:w="2500" w:type="pct"/>
            <w:tcBorders>
              <w:right w:val="single" w:color="auto" w:sz="12" w:space="0"/>
            </w:tcBorders>
          </w:tcPr>
          <w:p w14:paraId="70065DEC">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ascii="宋体" w:hAnsi="宋体" w:eastAsia="宋体" w:cs="宋体"/>
                <w:color w:val="000000" w:themeColor="text1"/>
                <w:sz w:val="18"/>
                <w:szCs w:val="18"/>
                <w14:textFill>
                  <w14:solidFill>
                    <w14:schemeClr w14:val="tx1"/>
                  </w14:solidFill>
                </w14:textFill>
              </w:rPr>
              <w:t>3</w:t>
            </w:r>
          </w:p>
        </w:tc>
      </w:tr>
      <w:tr w14:paraId="204E2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00" w:type="pct"/>
            <w:tcBorders>
              <w:left w:val="single" w:color="auto" w:sz="12" w:space="0"/>
              <w:bottom w:val="single" w:color="auto" w:sz="12" w:space="0"/>
            </w:tcBorders>
          </w:tcPr>
          <w:p w14:paraId="4D01AF54">
            <w:pPr>
              <w:spacing w:line="360" w:lineRule="exact"/>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垂直度/m</w:t>
            </w:r>
            <w:r>
              <w:rPr>
                <w:rFonts w:ascii="宋体" w:hAnsi="宋体" w:eastAsia="宋体" w:cs="宋体"/>
                <w:color w:val="000000" w:themeColor="text1"/>
                <w:sz w:val="18"/>
                <w:szCs w:val="18"/>
                <w14:textFill>
                  <w14:solidFill>
                    <w14:schemeClr w14:val="tx1"/>
                  </w14:solidFill>
                </w14:textFill>
              </w:rPr>
              <w:t>m</w:t>
            </w:r>
          </w:p>
        </w:tc>
        <w:tc>
          <w:tcPr>
            <w:tcW w:w="2500" w:type="pct"/>
            <w:tcBorders>
              <w:bottom w:val="single" w:color="auto" w:sz="12" w:space="0"/>
              <w:right w:val="single" w:color="auto" w:sz="12" w:space="0"/>
            </w:tcBorders>
          </w:tcPr>
          <w:p w14:paraId="4F2CE7EB">
            <w:pPr>
              <w:spacing w:line="360" w:lineRule="exact"/>
              <w:jc w:val="center"/>
              <w:rPr>
                <w:rFonts w:ascii="宋体" w:hAnsi="宋体" w:eastAsia="宋体" w:cs="宋体"/>
                <w:color w:val="000000" w:themeColor="text1"/>
                <w:sz w:val="18"/>
                <w:szCs w:val="18"/>
                <w14:textFill>
                  <w14:solidFill>
                    <w14:schemeClr w14:val="tx1"/>
                  </w14:solidFill>
                </w14:textFill>
              </w:rPr>
            </w:pPr>
            <w:bookmarkStart w:id="16" w:name="_Hlk169537600"/>
            <w:r>
              <w:rPr>
                <w:rFonts w:hint="eastAsia" w:ascii="宋体" w:hAnsi="宋体" w:eastAsia="宋体" w:cs="宋体"/>
                <w:color w:val="000000" w:themeColor="text1"/>
                <w:sz w:val="18"/>
                <w:szCs w:val="18"/>
                <w14:textFill>
                  <w14:solidFill>
                    <w14:schemeClr w14:val="tx1"/>
                  </w14:solidFill>
                </w14:textFill>
              </w:rPr>
              <w:t>≤2</w:t>
            </w:r>
            <w:bookmarkEnd w:id="16"/>
          </w:p>
        </w:tc>
      </w:tr>
    </w:tbl>
    <w:p w14:paraId="5CBCD0A2">
      <w:pPr>
        <w:spacing w:before="156" w:beforeLines="50" w:after="156" w:afterLines="50" w:line="360" w:lineRule="exact"/>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5</w:t>
      </w:r>
      <w:r>
        <w:rPr>
          <w:rFonts w:ascii="黑体" w:hAnsi="黑体" w:eastAsia="黑体" w:cs="宋体"/>
          <w:color w:val="000000" w:themeColor="text1"/>
          <w:szCs w:val="21"/>
          <w14:textFill>
            <w14:solidFill>
              <w14:schemeClr w14:val="tx1"/>
            </w14:solidFill>
          </w14:textFill>
        </w:rPr>
        <w:t xml:space="preserve">.3 </w:t>
      </w:r>
      <w:r>
        <w:rPr>
          <w:rFonts w:hint="eastAsia" w:ascii="黑体" w:hAnsi="黑体" w:eastAsia="黑体" w:cs="宋体"/>
          <w:color w:val="000000" w:themeColor="text1"/>
          <w:szCs w:val="21"/>
          <w14:textFill>
            <w14:solidFill>
              <w14:schemeClr w14:val="tx1"/>
            </w14:solidFill>
          </w14:textFill>
        </w:rPr>
        <w:t>性能指标要求</w:t>
      </w:r>
    </w:p>
    <w:p w14:paraId="25F43AEC">
      <w:pPr>
        <w:spacing w:before="156" w:beforeLines="50" w:after="156" w:afterLines="50"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应符合表3规定。</w:t>
      </w:r>
    </w:p>
    <w:p w14:paraId="3C0A50FA">
      <w:pPr>
        <w:spacing w:before="156" w:beforeLines="50" w:after="156" w:afterLines="50" w:line="360" w:lineRule="exact"/>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表3性能指标</w:t>
      </w:r>
    </w:p>
    <w:tbl>
      <w:tblPr>
        <w:tblStyle w:val="7"/>
        <w:tblW w:w="9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0"/>
        <w:gridCol w:w="4660"/>
      </w:tblGrid>
      <w:tr w14:paraId="4EAA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60" w:type="dxa"/>
            <w:tcBorders>
              <w:top w:val="single" w:color="auto" w:sz="12" w:space="0"/>
              <w:left w:val="single" w:color="auto" w:sz="12" w:space="0"/>
              <w:bottom w:val="single" w:color="auto" w:sz="12" w:space="0"/>
            </w:tcBorders>
            <w:vAlign w:val="center"/>
          </w:tcPr>
          <w:p w14:paraId="7C1C4B0B">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性能名称</w:t>
            </w:r>
          </w:p>
        </w:tc>
        <w:tc>
          <w:tcPr>
            <w:tcW w:w="4660" w:type="dxa"/>
            <w:tcBorders>
              <w:top w:val="single" w:color="auto" w:sz="12" w:space="0"/>
              <w:bottom w:val="single" w:color="auto" w:sz="12" w:space="0"/>
              <w:right w:val="single" w:color="auto" w:sz="12" w:space="0"/>
            </w:tcBorders>
            <w:vAlign w:val="center"/>
          </w:tcPr>
          <w:p w14:paraId="6BF616A5">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指标</w:t>
            </w:r>
          </w:p>
        </w:tc>
      </w:tr>
      <w:tr w14:paraId="6F149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60" w:type="dxa"/>
            <w:tcBorders>
              <w:top w:val="single" w:color="auto" w:sz="12" w:space="0"/>
              <w:left w:val="single" w:color="auto" w:sz="12" w:space="0"/>
            </w:tcBorders>
            <w:vAlign w:val="center"/>
          </w:tcPr>
          <w:p w14:paraId="1110A50C">
            <w:pPr>
              <w:jc w:val="center"/>
              <w:rPr>
                <w:rFonts w:ascii="宋体" w:hAnsi="宋体" w:eastAsia="宋体" w:cs="宋体"/>
                <w:color w:val="000000" w:themeColor="text1"/>
                <w:sz w:val="18"/>
                <w:szCs w:val="18"/>
                <w14:textFill>
                  <w14:solidFill>
                    <w14:schemeClr w14:val="tx1"/>
                  </w14:solidFill>
                </w14:textFill>
              </w:rPr>
            </w:pPr>
            <w:bookmarkStart w:id="17" w:name="_Hlk169538505"/>
            <w:r>
              <w:rPr>
                <w:rFonts w:hint="eastAsia" w:ascii="宋体" w:hAnsi="宋体" w:eastAsia="宋体" w:cs="宋体"/>
                <w:color w:val="000000" w:themeColor="text1"/>
                <w:sz w:val="18"/>
                <w:szCs w:val="18"/>
                <w14:textFill>
                  <w14:solidFill>
                    <w14:schemeClr w14:val="tx1"/>
                  </w14:solidFill>
                </w14:textFill>
              </w:rPr>
              <w:t>导热系数(</w:t>
            </w:r>
            <w:r>
              <w:rPr>
                <w:rFonts w:ascii="宋体" w:hAnsi="宋体" w:eastAsia="宋体" w:cs="Times New Roman"/>
                <w:color w:val="000000" w:themeColor="text1"/>
                <w:sz w:val="18"/>
                <w:szCs w:val="18"/>
                <w14:textFill>
                  <w14:solidFill>
                    <w14:schemeClr w14:val="tx1"/>
                  </w14:solidFill>
                </w14:textFill>
              </w:rPr>
              <w:t>25℃</w:t>
            </w:r>
            <w:r>
              <w:rPr>
                <w:rFonts w:hint="eastAsia" w:ascii="宋体" w:hAnsi="宋体" w:eastAsia="宋体" w:cs="Times New Roman"/>
                <w:color w:val="000000" w:themeColor="text1"/>
                <w:sz w:val="18"/>
                <w:szCs w:val="18"/>
                <w14:textFill>
                  <w14:solidFill>
                    <w14:schemeClr w14:val="tx1"/>
                  </w14:solidFill>
                </w14:textFill>
              </w:rPr>
              <w:t>)/</w:t>
            </w:r>
            <w:r>
              <w:rPr>
                <w:rFonts w:ascii="宋体" w:hAnsi="宋体" w:eastAsia="宋体" w:cs="Times New Roman"/>
                <w:color w:val="000000" w:themeColor="text1"/>
                <w:sz w:val="18"/>
                <w:szCs w:val="18"/>
                <w14:textFill>
                  <w14:solidFill>
                    <w14:schemeClr w14:val="tx1"/>
                  </w14:solidFill>
                </w14:textFill>
              </w:rPr>
              <w:t>[W/</w:t>
            </w:r>
            <w:r>
              <w:rPr>
                <w:rFonts w:hint="eastAsia" w:ascii="宋体" w:hAnsi="宋体" w:eastAsia="宋体" w:cs="Times New Roman"/>
                <w:color w:val="000000" w:themeColor="text1"/>
                <w:sz w:val="18"/>
                <w:szCs w:val="18"/>
                <w14:textFill>
                  <w14:solidFill>
                    <w14:schemeClr w14:val="tx1"/>
                  </w14:solidFill>
                </w14:textFill>
              </w:rPr>
              <w:t>(</w:t>
            </w:r>
            <w:r>
              <w:rPr>
                <w:rFonts w:ascii="宋体" w:hAnsi="宋体" w:eastAsia="宋体" w:cs="Times New Roman"/>
                <w:color w:val="000000" w:themeColor="text1"/>
                <w:sz w:val="18"/>
                <w:szCs w:val="18"/>
                <w14:textFill>
                  <w14:solidFill>
                    <w14:schemeClr w14:val="tx1"/>
                  </w14:solidFill>
                </w14:textFill>
              </w:rPr>
              <w:t>m·K</w:t>
            </w:r>
            <w:r>
              <w:rPr>
                <w:rFonts w:hint="eastAsia" w:ascii="宋体" w:hAnsi="宋体" w:eastAsia="宋体" w:cs="Times New Roman"/>
                <w:color w:val="000000" w:themeColor="text1"/>
                <w:sz w:val="18"/>
                <w:szCs w:val="18"/>
                <w14:textFill>
                  <w14:solidFill>
                    <w14:schemeClr w14:val="tx1"/>
                  </w14:solidFill>
                </w14:textFill>
              </w:rPr>
              <w:t>)</w:t>
            </w:r>
            <w:r>
              <w:rPr>
                <w:rFonts w:ascii="宋体" w:hAnsi="宋体" w:eastAsia="宋体" w:cs="Times New Roman"/>
                <w:color w:val="000000" w:themeColor="text1"/>
                <w:sz w:val="18"/>
                <w:szCs w:val="18"/>
                <w14:textFill>
                  <w14:solidFill>
                    <w14:schemeClr w14:val="tx1"/>
                  </w14:solidFill>
                </w14:textFill>
              </w:rPr>
              <w:t>]</w:t>
            </w:r>
            <w:bookmarkEnd w:id="17"/>
          </w:p>
        </w:tc>
        <w:tc>
          <w:tcPr>
            <w:tcW w:w="4660" w:type="dxa"/>
            <w:tcBorders>
              <w:top w:val="single" w:color="auto" w:sz="12" w:space="0"/>
              <w:right w:val="single" w:color="auto" w:sz="12" w:space="0"/>
            </w:tcBorders>
            <w:vAlign w:val="center"/>
          </w:tcPr>
          <w:p w14:paraId="154CFD3E">
            <w:pPr>
              <w:jc w:val="center"/>
              <w:rPr>
                <w:rFonts w:ascii="宋体" w:hAnsi="宋体" w:eastAsia="宋体" w:cs="宋体"/>
                <w:color w:val="000000" w:themeColor="text1"/>
                <w:sz w:val="18"/>
                <w:szCs w:val="18"/>
                <w14:textFill>
                  <w14:solidFill>
                    <w14:schemeClr w14:val="tx1"/>
                  </w14:solidFill>
                </w14:textFill>
              </w:rPr>
            </w:pPr>
            <w:r>
              <w:rPr>
                <w:rFonts w:ascii="宋体" w:hAnsi="宋体" w:eastAsia="宋体" w:cs="Times New Roman"/>
                <w:color w:val="000000" w:themeColor="text1"/>
                <w:sz w:val="18"/>
                <w:szCs w:val="18"/>
                <w14:textFill>
                  <w14:solidFill>
                    <w14:schemeClr w14:val="tx1"/>
                  </w14:solidFill>
                </w14:textFill>
              </w:rPr>
              <w:t>≤0.02</w:t>
            </w:r>
            <w:r>
              <w:rPr>
                <w:rFonts w:hint="eastAsia" w:ascii="宋体" w:hAnsi="宋体" w:eastAsia="宋体" w:cs="Times New Roman"/>
                <w:color w:val="000000" w:themeColor="text1"/>
                <w:sz w:val="18"/>
                <w:szCs w:val="18"/>
                <w14:textFill>
                  <w14:solidFill>
                    <w14:schemeClr w14:val="tx1"/>
                  </w14:solidFill>
                </w14:textFill>
              </w:rPr>
              <w:t>5</w:t>
            </w:r>
          </w:p>
        </w:tc>
      </w:tr>
      <w:tr w14:paraId="42EC0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60" w:type="dxa"/>
            <w:tcBorders>
              <w:left w:val="single" w:color="auto" w:sz="12" w:space="0"/>
            </w:tcBorders>
            <w:vAlign w:val="center"/>
          </w:tcPr>
          <w:p w14:paraId="1A24B73A">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燃烧性能等级</w:t>
            </w:r>
          </w:p>
        </w:tc>
        <w:tc>
          <w:tcPr>
            <w:tcW w:w="4660" w:type="dxa"/>
            <w:tcBorders>
              <w:right w:val="single" w:color="auto" w:sz="12" w:space="0"/>
            </w:tcBorders>
            <w:vAlign w:val="center"/>
          </w:tcPr>
          <w:p w14:paraId="6B99E49B">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A</w:t>
            </w:r>
          </w:p>
        </w:tc>
      </w:tr>
      <w:tr w14:paraId="015F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60" w:type="dxa"/>
            <w:tcBorders>
              <w:left w:val="single" w:color="auto" w:sz="12" w:space="0"/>
            </w:tcBorders>
            <w:vAlign w:val="center"/>
          </w:tcPr>
          <w:p w14:paraId="3B310FA4">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抗压强度(压缩变形10%)/KPa</w:t>
            </w:r>
          </w:p>
        </w:tc>
        <w:tc>
          <w:tcPr>
            <w:tcW w:w="4660" w:type="dxa"/>
            <w:tcBorders>
              <w:right w:val="single" w:color="auto" w:sz="12" w:space="0"/>
            </w:tcBorders>
            <w:vAlign w:val="center"/>
          </w:tcPr>
          <w:p w14:paraId="3DEE67BF">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≥200</w:t>
            </w:r>
          </w:p>
        </w:tc>
      </w:tr>
      <w:tr w14:paraId="1F01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60" w:type="dxa"/>
            <w:tcBorders>
              <w:left w:val="single" w:color="auto" w:sz="12" w:space="0"/>
              <w:bottom w:val="single" w:color="auto" w:sz="12" w:space="0"/>
            </w:tcBorders>
            <w:vAlign w:val="center"/>
          </w:tcPr>
          <w:p w14:paraId="41DF2B88">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含水率/%</w:t>
            </w:r>
          </w:p>
        </w:tc>
        <w:tc>
          <w:tcPr>
            <w:tcW w:w="4660" w:type="dxa"/>
            <w:tcBorders>
              <w:bottom w:val="single" w:color="auto" w:sz="12" w:space="0"/>
              <w:right w:val="single" w:color="auto" w:sz="12" w:space="0"/>
            </w:tcBorders>
            <w:vAlign w:val="center"/>
          </w:tcPr>
          <w:p w14:paraId="508458D9">
            <w:pPr>
              <w:jc w:val="center"/>
              <w:rPr>
                <w:rFonts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≤2</w:t>
            </w:r>
          </w:p>
        </w:tc>
      </w:tr>
    </w:tbl>
    <w:p w14:paraId="1C31BA44">
      <w:pPr>
        <w:spacing w:before="312" w:beforeLines="100" w:after="156" w:afterLines="50" w:line="360" w:lineRule="exact"/>
        <w:rPr>
          <w:rFonts w:ascii="宋体" w:hAnsi="宋体" w:eastAsia="宋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 xml:space="preserve">5.4 </w:t>
      </w:r>
      <w:r>
        <w:rPr>
          <w:rFonts w:hint="eastAsia" w:ascii="宋体" w:hAnsi="宋体" w:eastAsia="宋体" w:cs="宋体"/>
          <w:color w:val="000000" w:themeColor="text1"/>
          <w:szCs w:val="21"/>
          <w14:textFill>
            <w14:solidFill>
              <w14:schemeClr w14:val="tx1"/>
            </w14:solidFill>
          </w14:textFill>
        </w:rPr>
        <w:t>有防水防潮要求时，体积吸水率应不大于1</w:t>
      </w:r>
      <w:r>
        <w:rPr>
          <w:rFonts w:ascii="宋体" w:hAnsi="宋体" w:eastAsia="宋体" w:cs="宋体"/>
          <w:color w:val="000000" w:themeColor="text1"/>
          <w:szCs w:val="21"/>
          <w14:textFill>
            <w14:solidFill>
              <w14:schemeClr w14:val="tx1"/>
            </w14:solidFill>
          </w14:textFill>
        </w:rPr>
        <w:t>.0</w:t>
      </w:r>
      <w:r>
        <w:rPr>
          <w:rFonts w:hint="eastAsia" w:ascii="宋体" w:hAnsi="宋体" w:eastAsia="宋体" w:cs="宋体"/>
          <w:color w:val="000000" w:themeColor="text1"/>
          <w:szCs w:val="21"/>
          <w14:textFill>
            <w14:solidFill>
              <w14:schemeClr w14:val="tx1"/>
            </w14:solidFill>
          </w14:textFill>
        </w:rPr>
        <w:t>%，憎水率应不小于9</w:t>
      </w:r>
      <w:r>
        <w:rPr>
          <w:rFonts w:ascii="宋体" w:hAnsi="宋体" w:eastAsia="宋体" w:cs="宋体"/>
          <w:color w:val="000000" w:themeColor="text1"/>
          <w:szCs w:val="21"/>
          <w14:textFill>
            <w14:solidFill>
              <w14:schemeClr w14:val="tx1"/>
            </w14:solidFill>
          </w14:textFill>
        </w:rPr>
        <w:t>8.0</w:t>
      </w:r>
      <w:r>
        <w:rPr>
          <w:rFonts w:hint="eastAsia" w:ascii="宋体" w:hAnsi="宋体" w:eastAsia="宋体" w:cs="宋体"/>
          <w:color w:val="000000" w:themeColor="text1"/>
          <w:szCs w:val="21"/>
          <w14:textFill>
            <w14:solidFill>
              <w14:schemeClr w14:val="tx1"/>
            </w14:solidFill>
          </w14:textFill>
        </w:rPr>
        <w:t>%。</w:t>
      </w:r>
    </w:p>
    <w:p w14:paraId="5E301795">
      <w:pPr>
        <w:spacing w:before="312" w:beforeLines="100" w:after="156" w:afterLines="50" w:line="360" w:lineRule="exact"/>
        <w:rPr>
          <w:rFonts w:ascii="宋体" w:hAnsi="宋体" w:eastAsia="宋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 xml:space="preserve">5.5 </w:t>
      </w:r>
      <w:r>
        <w:rPr>
          <w:rFonts w:ascii="宋体" w:hAnsi="宋体" w:eastAsia="宋体" w:cs="宋体"/>
          <w:color w:val="000000" w:themeColor="text1"/>
          <w:szCs w:val="21"/>
          <w14:textFill>
            <w14:solidFill>
              <w14:schemeClr w14:val="tx1"/>
            </w14:solidFill>
          </w14:textFill>
        </w:rPr>
        <w:t>用于</w:t>
      </w:r>
      <w:bookmarkStart w:id="18" w:name="_Hlk169537477"/>
      <w:r>
        <w:rPr>
          <w:rFonts w:ascii="宋体" w:hAnsi="宋体" w:eastAsia="宋体" w:cs="宋体"/>
          <w:color w:val="000000" w:themeColor="text1"/>
          <w:szCs w:val="21"/>
          <w14:textFill>
            <w14:solidFill>
              <w14:schemeClr w14:val="tx1"/>
            </w14:solidFill>
          </w14:textFill>
        </w:rPr>
        <w:t>防火隔离带</w:t>
      </w:r>
      <w:bookmarkEnd w:id="18"/>
      <w:r>
        <w:rPr>
          <w:rFonts w:ascii="宋体" w:hAnsi="宋体" w:eastAsia="宋体" w:cs="宋体"/>
          <w:color w:val="000000" w:themeColor="text1"/>
          <w:szCs w:val="21"/>
          <w14:textFill>
            <w14:solidFill>
              <w14:schemeClr w14:val="tx1"/>
            </w14:solidFill>
          </w14:textFill>
        </w:rPr>
        <w:t>时,应做750℃恒温0.5h的匀温灼烧性能测试,其线收缩率应不大于2%,其质量损失率应不大于10%;应做垂直于表面的抗拉强度测试,垂直于表面的抗拉强度应不小于80</w:t>
      </w:r>
      <w:r>
        <w:rPr>
          <w:rFonts w:hint="eastAsia" w:ascii="宋体" w:hAnsi="宋体" w:eastAsia="宋体" w:cs="宋体"/>
          <w:color w:val="000000" w:themeColor="text1"/>
          <w:szCs w:val="21"/>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kPa;应做尺寸稳定性测试,所有样品长度、宽度和厚度的尺寸变化率的绝对值的算术平均值应不大于1%。</w:t>
      </w:r>
    </w:p>
    <w:p w14:paraId="6F2CC5A9">
      <w:pPr>
        <w:spacing w:before="312" w:beforeLines="100" w:after="156" w:afterLines="50" w:line="360" w:lineRule="exact"/>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5</w:t>
      </w:r>
      <w:r>
        <w:rPr>
          <w:rFonts w:ascii="黑体" w:hAnsi="黑体" w:eastAsia="黑体" w:cs="宋体"/>
          <w:color w:val="000000" w:themeColor="text1"/>
          <w:szCs w:val="21"/>
          <w14:textFill>
            <w14:solidFill>
              <w14:schemeClr w14:val="tx1"/>
            </w14:solidFill>
          </w14:textFill>
        </w:rPr>
        <w:t xml:space="preserve">.6 </w:t>
      </w:r>
      <w:r>
        <w:rPr>
          <w:rFonts w:ascii="宋体" w:hAnsi="宋体" w:eastAsia="宋体" w:cs="宋体"/>
          <w:color w:val="000000" w:themeColor="text1"/>
          <w:szCs w:val="21"/>
          <w14:textFill>
            <w14:solidFill>
              <w14:schemeClr w14:val="tx1"/>
            </w14:solidFill>
          </w14:textFill>
        </w:rPr>
        <w:t>用于防火门芯时,其燃烧性能应为 A1级。</w:t>
      </w:r>
    </w:p>
    <w:p w14:paraId="4338C68B">
      <w:pPr>
        <w:pStyle w:val="13"/>
        <w:numPr>
          <w:ilvl w:val="0"/>
          <w:numId w:val="0"/>
        </w:numPr>
        <w:spacing w:before="312" w:after="312" w:line="360" w:lineRule="exact"/>
        <w:outlineLvl w:val="0"/>
      </w:pPr>
      <w:r>
        <w:t>6</w:t>
      </w:r>
      <w:r>
        <w:rPr>
          <w:rFonts w:hint="eastAsia"/>
        </w:rPr>
        <w:t xml:space="preserve"> 试验方法</w:t>
      </w:r>
    </w:p>
    <w:p w14:paraId="36E4B777">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6.1 </w:t>
      </w:r>
      <w:r>
        <w:rPr>
          <w:rFonts w:hint="eastAsia" w:ascii="黑体" w:hAnsi="黑体" w:eastAsia="黑体" w:cs="宋体"/>
          <w:color w:val="000000" w:themeColor="text1"/>
          <w:szCs w:val="21"/>
          <w14:textFill>
            <w14:solidFill>
              <w14:schemeClr w14:val="tx1"/>
            </w14:solidFill>
          </w14:textFill>
        </w:rPr>
        <w:t>外观</w:t>
      </w:r>
    </w:p>
    <w:p w14:paraId="4400745D">
      <w:pPr>
        <w:spacing w:line="360" w:lineRule="exact"/>
        <w:ind w:firstLine="420" w:firstLineChars="200"/>
        <w:rPr>
          <w:rFonts w:hint="default" w:ascii="宋体" w:hAnsi="宋体" w:eastAsia="宋体" w:cs="宋体"/>
          <w:color w:val="000000" w:themeColor="text1"/>
          <w:szCs w:val="21"/>
          <w:lang w:val="en-US" w:eastAsia="zh-CN"/>
          <w14:textFill>
            <w14:solidFill>
              <w14:schemeClr w14:val="tx1"/>
            </w14:solidFill>
          </w14:textFill>
        </w:rPr>
      </w:pPr>
      <w:bookmarkStart w:id="19" w:name="_Hlk144913099"/>
      <w:r>
        <w:rPr>
          <w:rFonts w:hint="eastAsia" w:ascii="宋体" w:hAnsi="宋体" w:eastAsia="宋体" w:cs="宋体"/>
          <w:color w:val="000000" w:themeColor="text1"/>
          <w:szCs w:val="21"/>
          <w14:textFill>
            <w14:solidFill>
              <w14:schemeClr w14:val="tx1"/>
            </w14:solidFill>
          </w14:textFill>
        </w:rPr>
        <w:t>在光照明亮的条件下目测观察。</w:t>
      </w:r>
      <w:r>
        <w:rPr>
          <w:rFonts w:hint="eastAsia" w:ascii="宋体" w:hAnsi="宋体" w:eastAsia="宋体" w:cs="宋体"/>
          <w:color w:val="000000" w:themeColor="text1"/>
          <w:szCs w:val="21"/>
          <w:lang w:val="en-US" w:eastAsia="zh-CN"/>
          <w14:textFill>
            <w14:solidFill>
              <w14:schemeClr w14:val="tx1"/>
            </w14:solidFill>
          </w14:textFill>
        </w:rPr>
        <w:t>是否有距离要求？</w:t>
      </w:r>
    </w:p>
    <w:bookmarkEnd w:id="19"/>
    <w:p w14:paraId="14C1F52C">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6.2 </w:t>
      </w:r>
      <w:r>
        <w:rPr>
          <w:rFonts w:hint="eastAsia" w:ascii="黑体" w:hAnsi="黑体" w:eastAsia="黑体" w:cs="宋体"/>
          <w:color w:val="000000" w:themeColor="text1"/>
          <w:szCs w:val="21"/>
          <w14:textFill>
            <w14:solidFill>
              <w14:schemeClr w14:val="tx1"/>
            </w14:solidFill>
          </w14:textFill>
        </w:rPr>
        <w:t>尺寸</w:t>
      </w:r>
    </w:p>
    <w:p w14:paraId="6D8FD739">
      <w:pPr>
        <w:spacing w:line="360" w:lineRule="exact"/>
        <w:ind w:firstLine="420" w:firstLineChars="200"/>
        <w:rPr>
          <w:rFonts w:ascii="宋体" w:hAnsi="宋体" w:eastAsia="宋体" w:cs="宋体"/>
          <w:color w:val="000000" w:themeColor="text1"/>
          <w:szCs w:val="21"/>
          <w14:textFill>
            <w14:solidFill>
              <w14:schemeClr w14:val="tx1"/>
            </w14:solidFill>
          </w14:textFill>
        </w:rPr>
      </w:pPr>
      <w:bookmarkStart w:id="20" w:name="_Hlk169537526"/>
      <w:r>
        <w:rPr>
          <w:rFonts w:hint="eastAsia" w:ascii="宋体" w:hAnsi="宋体" w:eastAsia="宋体" w:cs="宋体"/>
          <w:color w:val="000000" w:themeColor="text1"/>
          <w:szCs w:val="21"/>
          <w14:textFill>
            <w14:solidFill>
              <w14:schemeClr w14:val="tx1"/>
            </w14:solidFill>
          </w14:textFill>
        </w:rPr>
        <w:t>按GB/T</w:t>
      </w: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5486的规定进行测试</w:t>
      </w:r>
      <w:bookmarkEnd w:id="20"/>
      <w:r>
        <w:rPr>
          <w:rFonts w:hint="eastAsia" w:ascii="宋体" w:hAnsi="宋体" w:eastAsia="宋体" w:cs="宋体"/>
          <w:color w:val="000000" w:themeColor="text1"/>
          <w:szCs w:val="21"/>
          <w14:textFill>
            <w14:solidFill>
              <w14:schemeClr w14:val="tx1"/>
            </w14:solidFill>
          </w14:textFill>
        </w:rPr>
        <w:t>。</w:t>
      </w:r>
    </w:p>
    <w:p w14:paraId="5E4ABD36">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6.3 </w:t>
      </w:r>
      <w:r>
        <w:rPr>
          <w:rFonts w:hint="eastAsia" w:ascii="黑体" w:hAnsi="黑体" w:eastAsia="黑体" w:cs="宋体"/>
          <w:color w:val="000000" w:themeColor="text1"/>
          <w:szCs w:val="21"/>
          <w14:textFill>
            <w14:solidFill>
              <w14:schemeClr w14:val="tx1"/>
            </w14:solidFill>
          </w14:textFill>
        </w:rPr>
        <w:t>导热系数</w:t>
      </w:r>
    </w:p>
    <w:p w14:paraId="5C149AE5">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按照GB/T</w:t>
      </w:r>
      <w:r>
        <w:rPr>
          <w:rFonts w:ascii="宋体" w:hAnsi="宋体" w:eastAsia="宋体" w:cs="宋体"/>
          <w:color w:val="000000" w:themeColor="text1"/>
          <w:szCs w:val="21"/>
          <w14:textFill>
            <w14:solidFill>
              <w14:schemeClr w14:val="tx1"/>
            </w14:solidFill>
          </w14:textFill>
        </w:rPr>
        <w:t xml:space="preserve"> 10294</w:t>
      </w:r>
      <w:r>
        <w:rPr>
          <w:rFonts w:hint="eastAsia" w:ascii="宋体" w:hAnsi="宋体" w:eastAsia="宋体" w:cs="宋体"/>
          <w:color w:val="000000" w:themeColor="text1"/>
          <w:szCs w:val="21"/>
          <w14:textFill>
            <w14:solidFill>
              <w14:schemeClr w14:val="tx1"/>
            </w14:solidFill>
          </w14:textFill>
        </w:rPr>
        <w:t>或GB/T</w:t>
      </w:r>
      <w:r>
        <w:rPr>
          <w:rFonts w:ascii="宋体" w:hAnsi="宋体" w:eastAsia="宋体" w:cs="宋体"/>
          <w:color w:val="000000" w:themeColor="text1"/>
          <w:szCs w:val="21"/>
          <w14:textFill>
            <w14:solidFill>
              <w14:schemeClr w14:val="tx1"/>
            </w14:solidFill>
          </w14:textFill>
        </w:rPr>
        <w:t xml:space="preserve"> 10295</w:t>
      </w:r>
      <w:r>
        <w:rPr>
          <w:rFonts w:hint="eastAsia" w:ascii="宋体" w:hAnsi="宋体" w:eastAsia="宋体" w:cs="宋体"/>
          <w:color w:val="000000" w:themeColor="text1"/>
          <w:szCs w:val="21"/>
          <w14:textFill>
            <w14:solidFill>
              <w14:schemeClr w14:val="tx1"/>
            </w14:solidFill>
          </w14:textFill>
        </w:rPr>
        <w:t>的规定，按实测厚度进行测试，以GB/T</w:t>
      </w:r>
      <w:r>
        <w:rPr>
          <w:rFonts w:ascii="宋体" w:hAnsi="宋体" w:eastAsia="宋体" w:cs="宋体"/>
          <w:color w:val="000000" w:themeColor="text1"/>
          <w:szCs w:val="21"/>
          <w14:textFill>
            <w14:solidFill>
              <w14:schemeClr w14:val="tx1"/>
            </w14:solidFill>
          </w14:textFill>
        </w:rPr>
        <w:t xml:space="preserve"> 10294</w:t>
      </w:r>
      <w:r>
        <w:rPr>
          <w:rFonts w:hint="eastAsia" w:ascii="宋体" w:hAnsi="宋体" w:eastAsia="宋体" w:cs="宋体"/>
          <w:color w:val="000000" w:themeColor="text1"/>
          <w:szCs w:val="21"/>
          <w14:textFill>
            <w14:solidFill>
              <w14:schemeClr w14:val="tx1"/>
            </w14:solidFill>
          </w14:textFill>
        </w:rPr>
        <w:t>为仲裁方法。测试时冷热板温差不超过3</w:t>
      </w:r>
      <w:r>
        <w:rPr>
          <w:rFonts w:ascii="宋体" w:hAnsi="宋体" w:eastAsia="宋体" w:cs="宋体"/>
          <w:color w:val="000000" w:themeColor="text1"/>
          <w:szCs w:val="21"/>
          <w14:textFill>
            <w14:solidFill>
              <w14:schemeClr w14:val="tx1"/>
            </w14:solidFill>
          </w14:textFill>
        </w:rPr>
        <w:t>0</w:t>
      </w:r>
      <w:r>
        <w:rPr>
          <w:rFonts w:hint="eastAsia" w:ascii="等线" w:hAnsi="等线" w:eastAsia="等线" w:cs="宋体"/>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w:t>
      </w:r>
    </w:p>
    <w:p w14:paraId="6B22A9A5">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6.4 </w:t>
      </w:r>
      <w:r>
        <w:rPr>
          <w:rFonts w:hint="eastAsia" w:ascii="黑体" w:hAnsi="黑体" w:eastAsia="黑体" w:cs="宋体"/>
          <w:color w:val="000000" w:themeColor="text1"/>
          <w:szCs w:val="21"/>
          <w14:textFill>
            <w14:solidFill>
              <w14:schemeClr w14:val="tx1"/>
            </w14:solidFill>
          </w14:textFill>
        </w:rPr>
        <w:t>燃烧性能等级</w:t>
      </w:r>
    </w:p>
    <w:p w14:paraId="3B0E6BCC">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w:t>
      </w:r>
      <w:r>
        <w:rPr>
          <w:rFonts w:ascii="宋体" w:hAnsi="宋体" w:eastAsia="宋体" w:cs="宋体"/>
          <w:color w:val="000000" w:themeColor="text1"/>
          <w:szCs w:val="21"/>
          <w14:textFill>
            <w14:solidFill>
              <w14:schemeClr w14:val="tx1"/>
            </w14:solidFill>
          </w14:textFill>
        </w:rPr>
        <w:t xml:space="preserve"> 8624</w:t>
      </w:r>
      <w:r>
        <w:rPr>
          <w:rFonts w:hint="eastAsia" w:ascii="宋体" w:hAnsi="宋体" w:eastAsia="宋体" w:cs="宋体"/>
          <w:color w:val="000000" w:themeColor="text1"/>
          <w:szCs w:val="21"/>
          <w14:textFill>
            <w14:solidFill>
              <w14:schemeClr w14:val="tx1"/>
            </w14:solidFill>
          </w14:textFill>
        </w:rPr>
        <w:t>的规定进行测试。</w:t>
      </w:r>
    </w:p>
    <w:p w14:paraId="43055836">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6.</w:t>
      </w:r>
      <w:r>
        <w:rPr>
          <w:rFonts w:hint="eastAsia" w:ascii="黑体" w:hAnsi="黑体" w:eastAsia="黑体" w:cs="宋体"/>
          <w:color w:val="000000" w:themeColor="text1"/>
          <w:szCs w:val="21"/>
          <w14:textFill>
            <w14:solidFill>
              <w14:schemeClr w14:val="tx1"/>
            </w14:solidFill>
          </w14:textFill>
        </w:rPr>
        <w:t>5</w:t>
      </w:r>
      <w:r>
        <w:rPr>
          <w:rFonts w:ascii="黑体" w:hAnsi="黑体" w:eastAsia="黑体" w:cs="宋体"/>
          <w:color w:val="000000" w:themeColor="text1"/>
          <w:szCs w:val="21"/>
          <w14:textFill>
            <w14:solidFill>
              <w14:schemeClr w14:val="tx1"/>
            </w14:solidFill>
          </w14:textFill>
        </w:rPr>
        <w:t xml:space="preserve"> </w:t>
      </w:r>
      <w:r>
        <w:rPr>
          <w:rFonts w:hint="eastAsia" w:ascii="黑体" w:hAnsi="黑体" w:eastAsia="黑体" w:cs="宋体"/>
          <w:color w:val="000000" w:themeColor="text1"/>
          <w:szCs w:val="21"/>
          <w14:textFill>
            <w14:solidFill>
              <w14:schemeClr w14:val="tx1"/>
            </w14:solidFill>
          </w14:textFill>
        </w:rPr>
        <w:t>压缩强度</w:t>
      </w:r>
    </w:p>
    <w:p w14:paraId="679816F8">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按照G</w:t>
      </w:r>
      <w:r>
        <w:rPr>
          <w:rFonts w:ascii="宋体" w:hAnsi="宋体" w:eastAsia="宋体" w:cs="宋体"/>
          <w:color w:val="000000" w:themeColor="text1"/>
          <w:szCs w:val="21"/>
          <w14:textFill>
            <w14:solidFill>
              <w14:schemeClr w14:val="tx1"/>
            </w14:solidFill>
          </w14:textFill>
        </w:rPr>
        <w:t>B/T 13480</w:t>
      </w:r>
      <w:r>
        <w:rPr>
          <w:rFonts w:hint="eastAsia" w:ascii="宋体" w:hAnsi="宋体" w:eastAsia="宋体" w:cs="宋体"/>
          <w:color w:val="000000" w:themeColor="text1"/>
          <w:szCs w:val="21"/>
          <w14:textFill>
            <w14:solidFill>
              <w14:schemeClr w14:val="tx1"/>
            </w14:solidFill>
          </w14:textFill>
        </w:rPr>
        <w:t>的规定进行测试，样品尺寸2</w:t>
      </w:r>
      <w:r>
        <w:rPr>
          <w:rFonts w:ascii="宋体" w:hAnsi="宋体" w:eastAsia="宋体" w:cs="宋体"/>
          <w:color w:val="000000" w:themeColor="text1"/>
          <w:szCs w:val="21"/>
          <w14:textFill>
            <w14:solidFill>
              <w14:schemeClr w14:val="tx1"/>
            </w14:solidFill>
          </w14:textFill>
        </w:rPr>
        <w:t>00mm*200mm</w:t>
      </w:r>
      <w:r>
        <w:rPr>
          <w:rFonts w:hint="eastAsia" w:ascii="宋体" w:hAnsi="宋体" w:eastAsia="宋体" w:cs="宋体"/>
          <w:color w:val="000000" w:themeColor="text1"/>
          <w:szCs w:val="21"/>
          <w14:textFill>
            <w14:solidFill>
              <w14:schemeClr w14:val="tx1"/>
            </w14:solidFill>
          </w14:textFill>
        </w:rPr>
        <w:t>，取样时应避开边缘部分。板以1</w:t>
      </w:r>
      <w:r>
        <w:rPr>
          <w:rFonts w:ascii="宋体" w:hAnsi="宋体" w:eastAsia="宋体" w:cs="宋体"/>
          <w:color w:val="000000" w:themeColor="text1"/>
          <w:szCs w:val="21"/>
          <w14:textFill>
            <w14:solidFill>
              <w14:schemeClr w14:val="tx1"/>
            </w14:solidFill>
          </w14:textFill>
        </w:rPr>
        <w:t>0%</w:t>
      </w:r>
      <w:r>
        <w:rPr>
          <w:rFonts w:hint="eastAsia" w:ascii="宋体" w:hAnsi="宋体" w:eastAsia="宋体" w:cs="宋体"/>
          <w:color w:val="000000" w:themeColor="text1"/>
          <w:szCs w:val="21"/>
          <w14:textFill>
            <w14:solidFill>
              <w14:schemeClr w14:val="tx1"/>
            </w14:solidFill>
          </w14:textFill>
        </w:rPr>
        <w:t>变形时的压缩应变力为压缩强度。</w:t>
      </w:r>
    </w:p>
    <w:p w14:paraId="7FE2F99D">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6.6 含水率</w:t>
      </w:r>
    </w:p>
    <w:p w14:paraId="4CD3F78D">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 20313的规定进行测试。</w:t>
      </w:r>
    </w:p>
    <w:p w14:paraId="139AB873">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6.</w:t>
      </w:r>
      <w:r>
        <w:rPr>
          <w:rFonts w:hint="eastAsia" w:ascii="黑体" w:hAnsi="黑体" w:eastAsia="黑体" w:cs="宋体"/>
          <w:color w:val="000000" w:themeColor="text1"/>
          <w:szCs w:val="21"/>
          <w14:textFill>
            <w14:solidFill>
              <w14:schemeClr w14:val="tx1"/>
            </w14:solidFill>
          </w14:textFill>
        </w:rPr>
        <w:t>7 憎水性</w:t>
      </w:r>
    </w:p>
    <w:p w14:paraId="6E8B2992">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w:t>
      </w:r>
      <w:r>
        <w:rPr>
          <w:rFonts w:ascii="宋体" w:hAnsi="宋体" w:eastAsia="宋体" w:cs="宋体"/>
          <w:color w:val="000000" w:themeColor="text1"/>
          <w:szCs w:val="21"/>
          <w14:textFill>
            <w14:solidFill>
              <w14:schemeClr w14:val="tx1"/>
            </w14:solidFill>
          </w14:textFill>
        </w:rPr>
        <w:t xml:space="preserve"> GB/T 10299 </w:t>
      </w:r>
      <w:r>
        <w:rPr>
          <w:rFonts w:hint="eastAsia" w:ascii="宋体" w:hAnsi="宋体" w:eastAsia="宋体" w:cs="宋体"/>
          <w:color w:val="000000" w:themeColor="text1"/>
          <w:szCs w:val="21"/>
          <w14:textFill>
            <w14:solidFill>
              <w14:schemeClr w14:val="tx1"/>
            </w14:solidFill>
          </w14:textFill>
        </w:rPr>
        <w:t>的规定进行测试。</w:t>
      </w:r>
    </w:p>
    <w:p w14:paraId="47AFF02D">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6</w:t>
      </w:r>
      <w:r>
        <w:rPr>
          <w:rFonts w:hint="eastAsia" w:ascii="黑体" w:hAnsi="黑体" w:eastAsia="黑体" w:cs="宋体"/>
          <w:color w:val="000000" w:themeColor="text1"/>
          <w:szCs w:val="21"/>
          <w14:textFill>
            <w14:solidFill>
              <w14:schemeClr w14:val="tx1"/>
            </w14:solidFill>
          </w14:textFill>
        </w:rPr>
        <w:t>.8 体积吸水率</w:t>
      </w:r>
      <w:r>
        <w:rPr>
          <w:rFonts w:ascii="黑体" w:hAnsi="黑体" w:eastAsia="黑体" w:cs="宋体"/>
          <w:color w:val="000000" w:themeColor="text1"/>
          <w:szCs w:val="21"/>
          <w14:textFill>
            <w14:solidFill>
              <w14:schemeClr w14:val="tx1"/>
            </w14:solidFill>
          </w14:textFill>
        </w:rPr>
        <w:t xml:space="preserve"> </w:t>
      </w:r>
    </w:p>
    <w:p w14:paraId="7D432108">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 5486 的规定进行测试。</w:t>
      </w:r>
    </w:p>
    <w:p w14:paraId="7F2EF7E1">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6.9 匀温灼烧性能</w:t>
      </w:r>
    </w:p>
    <w:p w14:paraId="1BB56CF1">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 5486的规定进行线收缩率和质量损失率的测试，测试温度750℃，恒温时间0.5h。</w:t>
      </w:r>
    </w:p>
    <w:p w14:paraId="70BC260A">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6.10 垂直于表面的抗拉强度</w:t>
      </w:r>
    </w:p>
    <w:p w14:paraId="3FC7E3F5">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 29906的规定进行测试。</w:t>
      </w:r>
    </w:p>
    <w:p w14:paraId="683C1B5B">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6.11 尺寸稳定性</w:t>
      </w:r>
    </w:p>
    <w:p w14:paraId="3A4769B2">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按GB/T 8811的规定进行测试。</w:t>
      </w:r>
    </w:p>
    <w:p w14:paraId="14B0BC7E">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6.12 防火门芯燃烧性能</w:t>
      </w:r>
    </w:p>
    <w:p w14:paraId="06C8267C">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按GB 8624的规定进行测试。</w:t>
      </w:r>
    </w:p>
    <w:p w14:paraId="273DB9B9">
      <w:pPr>
        <w:pStyle w:val="13"/>
        <w:numPr>
          <w:ilvl w:val="0"/>
          <w:numId w:val="0"/>
        </w:numPr>
        <w:spacing w:before="312" w:after="312" w:line="360" w:lineRule="exact"/>
        <w:outlineLvl w:val="0"/>
      </w:pPr>
      <w:r>
        <w:t>7</w:t>
      </w:r>
      <w:r>
        <w:rPr>
          <w:rFonts w:hint="eastAsia"/>
        </w:rPr>
        <w:t xml:space="preserve"> 检验规则</w:t>
      </w:r>
    </w:p>
    <w:p w14:paraId="659B3536">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7.1 </w:t>
      </w:r>
      <w:r>
        <w:rPr>
          <w:rFonts w:hint="eastAsia" w:ascii="黑体" w:hAnsi="黑体" w:eastAsia="黑体" w:cs="宋体"/>
          <w:color w:val="000000" w:themeColor="text1"/>
          <w:szCs w:val="21"/>
          <w14:textFill>
            <w14:solidFill>
              <w14:schemeClr w14:val="tx1"/>
            </w14:solidFill>
          </w14:textFill>
        </w:rPr>
        <w:t>出厂检验</w:t>
      </w:r>
    </w:p>
    <w:p w14:paraId="2CB29CC2">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产品出厂时，应按表</w:t>
      </w:r>
      <w:r>
        <w:rPr>
          <w:rFonts w:ascii="宋体" w:hAnsi="宋体" w:eastAsia="宋体" w:cs="宋体"/>
          <w:color w:val="000000" w:themeColor="text1"/>
          <w:szCs w:val="21"/>
          <w14:textFill>
            <w14:solidFill>
              <w14:schemeClr w14:val="tx1"/>
            </w14:solidFill>
          </w14:textFill>
        </w:rPr>
        <w:t>4</w:t>
      </w:r>
      <w:r>
        <w:rPr>
          <w:rFonts w:hint="eastAsia" w:ascii="宋体" w:hAnsi="宋体" w:eastAsia="宋体" w:cs="宋体"/>
          <w:color w:val="000000" w:themeColor="text1"/>
          <w:szCs w:val="21"/>
          <w14:textFill>
            <w14:solidFill>
              <w14:schemeClr w14:val="tx1"/>
            </w14:solidFill>
          </w14:textFill>
        </w:rPr>
        <w:t>进行出厂检验，出厂检验每批次进行一次。</w:t>
      </w:r>
    </w:p>
    <w:p w14:paraId="76CF73C0">
      <w:pPr>
        <w:spacing w:before="156" w:beforeLines="50" w:after="156" w:afterLines="50" w:line="360" w:lineRule="exact"/>
        <w:ind w:firstLine="420" w:firstLineChars="200"/>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表</w:t>
      </w:r>
      <w:r>
        <w:rPr>
          <w:rFonts w:ascii="黑体" w:hAnsi="黑体" w:eastAsia="黑体" w:cs="宋体"/>
          <w:color w:val="000000" w:themeColor="text1"/>
          <w:szCs w:val="21"/>
          <w14:textFill>
            <w14:solidFill>
              <w14:schemeClr w14:val="tx1"/>
            </w14:solidFill>
          </w14:textFill>
        </w:rPr>
        <w:t xml:space="preserve">4 </w:t>
      </w:r>
      <w:r>
        <w:rPr>
          <w:rFonts w:hint="eastAsia" w:ascii="黑体" w:hAnsi="黑体" w:eastAsia="黑体" w:cs="宋体"/>
          <w:color w:val="000000" w:themeColor="text1"/>
          <w:szCs w:val="21"/>
          <w14:textFill>
            <w14:solidFill>
              <w14:schemeClr w14:val="tx1"/>
            </w14:solidFill>
          </w14:textFill>
        </w:rPr>
        <w:t>出厂检验项目</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8"/>
        <w:gridCol w:w="3191"/>
        <w:gridCol w:w="3191"/>
      </w:tblGrid>
      <w:tr w14:paraId="016F6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top w:val="single" w:color="auto" w:sz="12" w:space="0"/>
              <w:left w:val="single" w:color="auto" w:sz="12" w:space="0"/>
              <w:bottom w:val="single" w:color="auto" w:sz="12" w:space="0"/>
            </w:tcBorders>
            <w:vAlign w:val="center"/>
          </w:tcPr>
          <w:p w14:paraId="1555D1C8">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项目</w:t>
            </w:r>
          </w:p>
        </w:tc>
        <w:tc>
          <w:tcPr>
            <w:tcW w:w="1667" w:type="pct"/>
            <w:tcBorders>
              <w:top w:val="single" w:color="auto" w:sz="12" w:space="0"/>
              <w:bottom w:val="single" w:color="auto" w:sz="12" w:space="0"/>
            </w:tcBorders>
            <w:vAlign w:val="center"/>
          </w:tcPr>
          <w:p w14:paraId="7EBAE2FD">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出厂检验</w:t>
            </w:r>
          </w:p>
        </w:tc>
        <w:tc>
          <w:tcPr>
            <w:tcW w:w="1667" w:type="pct"/>
            <w:tcBorders>
              <w:top w:val="single" w:color="auto" w:sz="12" w:space="0"/>
              <w:bottom w:val="single" w:color="auto" w:sz="12" w:space="0"/>
              <w:right w:val="single" w:color="auto" w:sz="12" w:space="0"/>
            </w:tcBorders>
            <w:vAlign w:val="center"/>
          </w:tcPr>
          <w:p w14:paraId="36EAAC4A">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型式检验</w:t>
            </w:r>
          </w:p>
        </w:tc>
      </w:tr>
      <w:tr w14:paraId="46084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top w:val="single" w:color="auto" w:sz="12" w:space="0"/>
              <w:left w:val="single" w:color="auto" w:sz="12" w:space="0"/>
            </w:tcBorders>
            <w:vAlign w:val="center"/>
          </w:tcPr>
          <w:p w14:paraId="69786F39">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外观</w:t>
            </w:r>
          </w:p>
        </w:tc>
        <w:tc>
          <w:tcPr>
            <w:tcW w:w="1667" w:type="pct"/>
            <w:tcBorders>
              <w:top w:val="single" w:color="auto" w:sz="12" w:space="0"/>
            </w:tcBorders>
            <w:vAlign w:val="center"/>
          </w:tcPr>
          <w:p w14:paraId="075C988B">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top w:val="single" w:color="auto" w:sz="12" w:space="0"/>
              <w:right w:val="single" w:color="auto" w:sz="12" w:space="0"/>
            </w:tcBorders>
            <w:vAlign w:val="center"/>
          </w:tcPr>
          <w:p w14:paraId="105461F1">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4E275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44BDB190">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尺寸</w:t>
            </w:r>
            <w:r>
              <w:rPr>
                <w:rFonts w:hint="eastAsia" w:ascii="Times New Roman" w:hAnsi="Times New Roman" w:eastAsia="宋体" w:cs="Times New Roman"/>
                <w:color w:val="000000" w:themeColor="text1"/>
                <w:sz w:val="18"/>
                <w:szCs w:val="18"/>
                <w14:textFill>
                  <w14:solidFill>
                    <w14:schemeClr w14:val="tx1"/>
                  </w14:solidFill>
                </w14:textFill>
              </w:rPr>
              <w:t>允许偏差</w:t>
            </w:r>
          </w:p>
        </w:tc>
        <w:tc>
          <w:tcPr>
            <w:tcW w:w="1667" w:type="pct"/>
            <w:vAlign w:val="center"/>
          </w:tcPr>
          <w:p w14:paraId="31ADF88A">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20995A8C">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76D31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5BB3EF06">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燃烧性能等级</w:t>
            </w:r>
          </w:p>
        </w:tc>
        <w:tc>
          <w:tcPr>
            <w:tcW w:w="1667" w:type="pct"/>
            <w:vAlign w:val="center"/>
          </w:tcPr>
          <w:p w14:paraId="7870B71B">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1C3BD11E">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4C885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4A6ED93C">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压缩强度</w:t>
            </w:r>
          </w:p>
        </w:tc>
        <w:tc>
          <w:tcPr>
            <w:tcW w:w="1667" w:type="pct"/>
            <w:vAlign w:val="center"/>
          </w:tcPr>
          <w:p w14:paraId="56E2DAAA">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7903449E">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674E2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16CACF58">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含水率</w:t>
            </w:r>
          </w:p>
        </w:tc>
        <w:tc>
          <w:tcPr>
            <w:tcW w:w="1667" w:type="pct"/>
            <w:vAlign w:val="center"/>
          </w:tcPr>
          <w:p w14:paraId="2679B2E1">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61D2B54D">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2599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233306BC">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导热系数</w:t>
            </w:r>
          </w:p>
        </w:tc>
        <w:tc>
          <w:tcPr>
            <w:tcW w:w="1667" w:type="pct"/>
            <w:vAlign w:val="center"/>
          </w:tcPr>
          <w:p w14:paraId="51E7C443">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3E79944E">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r>
      <w:tr w14:paraId="1E8B6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56555009">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体积吸水率</w:t>
            </w:r>
          </w:p>
        </w:tc>
        <w:tc>
          <w:tcPr>
            <w:tcW w:w="1667" w:type="pct"/>
            <w:vAlign w:val="center"/>
          </w:tcPr>
          <w:p w14:paraId="6C842B72">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0ACDF33D">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有防水要求时，需检验</w:t>
            </w:r>
          </w:p>
        </w:tc>
      </w:tr>
      <w:tr w14:paraId="3A45D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6B6864D5">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憎水率</w:t>
            </w:r>
          </w:p>
        </w:tc>
        <w:tc>
          <w:tcPr>
            <w:tcW w:w="1667" w:type="pct"/>
            <w:vAlign w:val="center"/>
          </w:tcPr>
          <w:p w14:paraId="4D9E9180">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4AE68918">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有防水要求时，需检验</w:t>
            </w:r>
          </w:p>
        </w:tc>
      </w:tr>
      <w:tr w14:paraId="4C1D4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3E23E84C">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匀温灼烧性能</w:t>
            </w:r>
          </w:p>
        </w:tc>
        <w:tc>
          <w:tcPr>
            <w:tcW w:w="1667" w:type="pct"/>
            <w:vAlign w:val="center"/>
          </w:tcPr>
          <w:p w14:paraId="119FDE7E">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39CC0560">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用于防火隔离带时，需检验</w:t>
            </w:r>
          </w:p>
        </w:tc>
      </w:tr>
      <w:tr w14:paraId="46FAF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344C5055">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垂直于表面的</w:t>
            </w:r>
            <w:r>
              <w:rPr>
                <w:rFonts w:ascii="Times New Roman" w:hAnsi="Times New Roman" w:eastAsia="宋体" w:cs="Times New Roman"/>
                <w:color w:val="000000" w:themeColor="text1"/>
                <w:sz w:val="18"/>
                <w:szCs w:val="18"/>
                <w14:textFill>
                  <w14:solidFill>
                    <w14:schemeClr w14:val="tx1"/>
                  </w14:solidFill>
                </w14:textFill>
              </w:rPr>
              <w:t>抗拉强度</w:t>
            </w:r>
          </w:p>
        </w:tc>
        <w:tc>
          <w:tcPr>
            <w:tcW w:w="1667" w:type="pct"/>
            <w:vAlign w:val="center"/>
          </w:tcPr>
          <w:p w14:paraId="098EBB04">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tcPr>
          <w:p w14:paraId="12C2CBCA">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用于防火隔离带时，需检验</w:t>
            </w:r>
          </w:p>
        </w:tc>
      </w:tr>
      <w:tr w14:paraId="49013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tcBorders>
            <w:vAlign w:val="center"/>
          </w:tcPr>
          <w:p w14:paraId="6451D294">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尺寸稳定性</w:t>
            </w:r>
          </w:p>
        </w:tc>
        <w:tc>
          <w:tcPr>
            <w:tcW w:w="1667" w:type="pct"/>
            <w:vAlign w:val="center"/>
          </w:tcPr>
          <w:p w14:paraId="56C676B4">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tcPr>
          <w:p w14:paraId="2965F586">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用于防火隔离带时，需检验</w:t>
            </w:r>
          </w:p>
        </w:tc>
      </w:tr>
      <w:tr w14:paraId="1E15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tcBorders>
              <w:left w:val="single" w:color="auto" w:sz="12" w:space="0"/>
              <w:bottom w:val="single" w:color="auto" w:sz="12" w:space="0"/>
            </w:tcBorders>
            <w:vAlign w:val="center"/>
          </w:tcPr>
          <w:p w14:paraId="091338FC">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防火门芯燃烧性能</w:t>
            </w:r>
          </w:p>
        </w:tc>
        <w:tc>
          <w:tcPr>
            <w:tcW w:w="1667" w:type="pct"/>
            <w:tcBorders>
              <w:bottom w:val="single" w:color="auto" w:sz="12" w:space="0"/>
            </w:tcBorders>
            <w:vAlign w:val="center"/>
          </w:tcPr>
          <w:p w14:paraId="6B33777E">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w:t>
            </w:r>
          </w:p>
        </w:tc>
        <w:tc>
          <w:tcPr>
            <w:tcW w:w="1667" w:type="pct"/>
            <w:tcBorders>
              <w:right w:val="single" w:color="auto" w:sz="12" w:space="0"/>
            </w:tcBorders>
            <w:vAlign w:val="center"/>
          </w:tcPr>
          <w:p w14:paraId="7143325D">
            <w:pPr>
              <w:spacing w:line="360" w:lineRule="exact"/>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用于防火门芯时，需检验</w:t>
            </w:r>
          </w:p>
        </w:tc>
      </w:tr>
      <w:tr w14:paraId="6314A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12" w:space="0"/>
              <w:left w:val="single" w:color="auto" w:sz="12" w:space="0"/>
              <w:bottom w:val="single" w:color="auto" w:sz="12" w:space="0"/>
              <w:right w:val="single" w:color="auto" w:sz="12" w:space="0"/>
            </w:tcBorders>
            <w:vAlign w:val="center"/>
          </w:tcPr>
          <w:p w14:paraId="47C27902">
            <w:pPr>
              <w:spacing w:line="360" w:lineRule="exact"/>
              <w:ind w:firstLine="360" w:firstLineChars="200"/>
              <w:jc w:val="left"/>
              <w:rPr>
                <w:rFonts w:ascii="Times New Roman" w:hAnsi="Times New Roman" w:eastAsia="宋体" w:cs="Times New Roman"/>
                <w:color w:val="000000" w:themeColor="text1"/>
                <w:sz w:val="18"/>
                <w:szCs w:val="18"/>
                <w14:textFill>
                  <w14:solidFill>
                    <w14:schemeClr w14:val="tx1"/>
                  </w14:solidFill>
                </w14:textFill>
              </w:rPr>
            </w:pPr>
            <w:r>
              <w:rPr>
                <w:rFonts w:ascii="Times New Roman" w:hAnsi="Times New Roman" w:eastAsia="宋体" w:cs="Times New Roman"/>
                <w:color w:val="000000" w:themeColor="text1"/>
                <w:sz w:val="18"/>
                <w:szCs w:val="18"/>
                <w14:textFill>
                  <w14:solidFill>
                    <w14:schemeClr w14:val="tx1"/>
                  </w14:solidFill>
                </w14:textFill>
              </w:rPr>
              <w:t>注：</w:t>
            </w:r>
            <w:r>
              <w:rPr>
                <w:rFonts w:hint="eastAsia" w:ascii="Times New Roman" w:hAnsi="Times New Roman" w:eastAsia="宋体" w:cs="Times New Roman"/>
                <w:color w:val="000000" w:themeColor="text1"/>
                <w:sz w:val="18"/>
                <w:szCs w:val="18"/>
                <w14:textFill>
                  <w14:solidFill>
                    <w14:schemeClr w14:val="tx1"/>
                  </w14:solidFill>
                </w14:textFill>
              </w:rPr>
              <w:t>“</w:t>
            </w:r>
            <w:r>
              <w:rPr>
                <w:rFonts w:ascii="Times New Roman" w:hAnsi="Times New Roman" w:eastAsia="宋体" w:cs="Times New Roman"/>
                <w:color w:val="000000" w:themeColor="text1"/>
                <w:sz w:val="18"/>
                <w:szCs w:val="18"/>
                <w14:textFill>
                  <w14:solidFill>
                    <w14:schemeClr w14:val="tx1"/>
                  </w14:solidFill>
                </w14:textFill>
              </w:rPr>
              <w:t>√</w:t>
            </w:r>
            <w:r>
              <w:rPr>
                <w:rFonts w:hint="eastAsia" w:ascii="Times New Roman" w:hAnsi="Times New Roman" w:eastAsia="宋体" w:cs="Times New Roman"/>
                <w:color w:val="000000" w:themeColor="text1"/>
                <w:sz w:val="18"/>
                <w:szCs w:val="18"/>
                <w14:textFill>
                  <w14:solidFill>
                    <w14:schemeClr w14:val="tx1"/>
                  </w14:solidFill>
                </w14:textFill>
              </w:rPr>
              <w:t>”</w:t>
            </w:r>
            <w:r>
              <w:rPr>
                <w:rFonts w:ascii="Times New Roman" w:hAnsi="Times New Roman" w:eastAsia="宋体" w:cs="Times New Roman"/>
                <w:color w:val="000000" w:themeColor="text1"/>
                <w:sz w:val="18"/>
                <w:szCs w:val="18"/>
                <w14:textFill>
                  <w14:solidFill>
                    <w14:schemeClr w14:val="tx1"/>
                  </w14:solidFill>
                </w14:textFill>
              </w:rPr>
              <w:t>为需检验的项目</w:t>
            </w:r>
            <w:r>
              <w:rPr>
                <w:rFonts w:hint="eastAsia" w:ascii="Times New Roman" w:hAnsi="Times New Roman" w:eastAsia="宋体" w:cs="Times New Roman"/>
                <w:color w:val="000000" w:themeColor="text1"/>
                <w:sz w:val="18"/>
                <w:szCs w:val="18"/>
                <w14:textFill>
                  <w14:solidFill>
                    <w14:schemeClr w14:val="tx1"/>
                  </w14:solidFill>
                </w14:textFill>
              </w:rPr>
              <w:t>，“</w:t>
            </w:r>
            <w:r>
              <w:rPr>
                <w:rFonts w:ascii="Times New Roman" w:hAnsi="Times New Roman" w:eastAsia="宋体" w:cs="Times New Roman"/>
                <w:color w:val="000000" w:themeColor="text1"/>
                <w:sz w:val="18"/>
                <w:szCs w:val="18"/>
                <w14:textFill>
                  <w14:solidFill>
                    <w14:schemeClr w14:val="tx1"/>
                  </w14:solidFill>
                </w14:textFill>
              </w:rPr>
              <w:t>—</w:t>
            </w:r>
            <w:r>
              <w:rPr>
                <w:rFonts w:hint="eastAsia" w:ascii="Times New Roman" w:hAnsi="Times New Roman" w:eastAsia="宋体" w:cs="Times New Roman"/>
                <w:color w:val="000000" w:themeColor="text1"/>
                <w:sz w:val="18"/>
                <w:szCs w:val="18"/>
                <w14:textFill>
                  <w14:solidFill>
                    <w14:schemeClr w14:val="tx1"/>
                  </w14:solidFill>
                </w14:textFill>
              </w:rPr>
              <w:t>”</w:t>
            </w:r>
            <w:r>
              <w:rPr>
                <w:rFonts w:ascii="Times New Roman" w:hAnsi="Times New Roman" w:eastAsia="宋体" w:cs="Times New Roman"/>
                <w:color w:val="000000" w:themeColor="text1"/>
                <w:sz w:val="18"/>
                <w:szCs w:val="18"/>
                <w14:textFill>
                  <w14:solidFill>
                    <w14:schemeClr w14:val="tx1"/>
                  </w14:solidFill>
                </w14:textFill>
              </w:rPr>
              <w:t>为</w:t>
            </w:r>
            <w:r>
              <w:rPr>
                <w:rFonts w:hint="eastAsia" w:ascii="Times New Roman" w:hAnsi="Times New Roman" w:eastAsia="宋体" w:cs="Times New Roman"/>
                <w:color w:val="000000" w:themeColor="text1"/>
                <w:sz w:val="18"/>
                <w:szCs w:val="18"/>
                <w14:textFill>
                  <w14:solidFill>
                    <w14:schemeClr w14:val="tx1"/>
                  </w14:solidFill>
                </w14:textFill>
              </w:rPr>
              <w:t>非</w:t>
            </w:r>
            <w:r>
              <w:rPr>
                <w:rFonts w:ascii="Times New Roman" w:hAnsi="Times New Roman" w:eastAsia="宋体" w:cs="Times New Roman"/>
                <w:color w:val="000000" w:themeColor="text1"/>
                <w:sz w:val="18"/>
                <w:szCs w:val="18"/>
                <w14:textFill>
                  <w14:solidFill>
                    <w14:schemeClr w14:val="tx1"/>
                  </w14:solidFill>
                </w14:textFill>
              </w:rPr>
              <w:t>检验的项目。</w:t>
            </w:r>
          </w:p>
        </w:tc>
      </w:tr>
    </w:tbl>
    <w:p w14:paraId="576253F1">
      <w:pPr>
        <w:spacing w:before="312" w:beforeLines="10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7.2 </w:t>
      </w:r>
      <w:r>
        <w:rPr>
          <w:rFonts w:hint="eastAsia" w:ascii="黑体" w:hAnsi="黑体" w:eastAsia="黑体" w:cs="宋体"/>
          <w:color w:val="000000" w:themeColor="text1"/>
          <w:szCs w:val="21"/>
          <w14:textFill>
            <w14:solidFill>
              <w14:schemeClr w14:val="tx1"/>
            </w14:solidFill>
          </w14:textFill>
        </w:rPr>
        <w:t>型式检验</w:t>
      </w:r>
    </w:p>
    <w:p w14:paraId="4C83BF5C">
      <w:pPr>
        <w:spacing w:line="360" w:lineRule="exact"/>
        <w:ind w:firstLine="420" w:firstLineChars="200"/>
        <w:rPr>
          <w:rFonts w:ascii="宋体" w:hAnsi="宋体" w:eastAsia="宋体" w:cs="宋体"/>
          <w:color w:val="000000" w:themeColor="text1"/>
          <w:szCs w:val="21"/>
          <w14:textFill>
            <w14:solidFill>
              <w14:schemeClr w14:val="tx1"/>
            </w14:solidFill>
          </w14:textFill>
        </w:rPr>
      </w:pPr>
      <w:bookmarkStart w:id="21" w:name="_Hlk144913938"/>
      <w:bookmarkStart w:id="22" w:name="_Hlk144978347"/>
      <w:r>
        <w:rPr>
          <w:rFonts w:hint="eastAsia" w:ascii="宋体" w:hAnsi="宋体" w:eastAsia="宋体" w:cs="宋体"/>
          <w:color w:val="000000" w:themeColor="text1"/>
          <w:szCs w:val="21"/>
          <w14:textFill>
            <w14:solidFill>
              <w14:schemeClr w14:val="tx1"/>
            </w14:solidFill>
          </w14:textFill>
        </w:rPr>
        <w:t>正常生产情况下，型式检验项目为一</w:t>
      </w:r>
      <w:r>
        <w:rPr>
          <w:rFonts w:ascii="宋体" w:hAnsi="宋体" w:eastAsia="宋体" w:cs="宋体"/>
          <w:color w:val="000000" w:themeColor="text1"/>
          <w:szCs w:val="21"/>
          <w14:textFill>
            <w14:solidFill>
              <w14:schemeClr w14:val="tx1"/>
            </w14:solidFill>
          </w14:textFill>
        </w:rPr>
        <w:t>年检测</w:t>
      </w:r>
      <w:r>
        <w:rPr>
          <w:rFonts w:hint="eastAsia" w:ascii="宋体" w:hAnsi="宋体" w:eastAsia="宋体" w:cs="宋体"/>
          <w:color w:val="000000" w:themeColor="text1"/>
          <w:szCs w:val="21"/>
          <w14:textFill>
            <w14:solidFill>
              <w14:schemeClr w14:val="tx1"/>
            </w14:solidFill>
          </w14:textFill>
        </w:rPr>
        <w:t>一</w:t>
      </w:r>
      <w:r>
        <w:rPr>
          <w:rFonts w:ascii="宋体" w:hAnsi="宋体" w:eastAsia="宋体" w:cs="宋体"/>
          <w:color w:val="000000" w:themeColor="text1"/>
          <w:szCs w:val="21"/>
          <w14:textFill>
            <w14:solidFill>
              <w14:schemeClr w14:val="tx1"/>
            </w14:solidFill>
          </w14:textFill>
        </w:rPr>
        <w:t>次，型式检验项目见表4</w:t>
      </w:r>
      <w:r>
        <w:rPr>
          <w:rFonts w:hint="eastAsia" w:ascii="宋体" w:hAnsi="宋体" w:eastAsia="宋体" w:cs="宋体"/>
          <w:color w:val="000000" w:themeColor="text1"/>
          <w:szCs w:val="21"/>
          <w14:textFill>
            <w14:solidFill>
              <w14:schemeClr w14:val="tx1"/>
            </w14:solidFill>
          </w14:textFill>
        </w:rPr>
        <w:t>；凡属下列情况之一者，应进行型式检验</w:t>
      </w:r>
      <w:bookmarkEnd w:id="21"/>
      <w:r>
        <w:rPr>
          <w:rFonts w:ascii="宋体" w:hAnsi="宋体" w:eastAsia="宋体" w:cs="宋体"/>
          <w:color w:val="000000" w:themeColor="text1"/>
          <w:szCs w:val="21"/>
          <w14:textFill>
            <w14:solidFill>
              <w14:schemeClr w14:val="tx1"/>
            </w14:solidFill>
          </w14:textFill>
        </w:rPr>
        <w:t>:</w:t>
      </w:r>
    </w:p>
    <w:bookmarkEnd w:id="22"/>
    <w:p w14:paraId="79578409">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a</w:t>
      </w:r>
      <w:r>
        <w:rPr>
          <w:rFonts w:hint="eastAsia" w:ascii="宋体" w:hAnsi="宋体" w:eastAsia="宋体" w:cs="宋体"/>
          <w:color w:val="000000" w:themeColor="text1"/>
          <w:szCs w:val="21"/>
          <w14:textFill>
            <w14:solidFill>
              <w14:schemeClr w14:val="tx1"/>
            </w14:solidFill>
          </w14:textFill>
        </w:rPr>
        <w:t>） 新产品定型或老产品长期停产一年以上恢复生产时；</w:t>
      </w:r>
    </w:p>
    <w:p w14:paraId="319427E7">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b</w:t>
      </w:r>
      <w:r>
        <w:rPr>
          <w:rFonts w:hint="eastAsia" w:ascii="宋体" w:hAnsi="宋体" w:eastAsia="宋体" w:cs="宋体"/>
          <w:color w:val="000000" w:themeColor="text1"/>
          <w:szCs w:val="21"/>
          <w14:textFill>
            <w14:solidFill>
              <w14:schemeClr w14:val="tx1"/>
            </w14:solidFill>
          </w14:textFill>
        </w:rPr>
        <w:t>）</w:t>
      </w: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正式生产后，如材料、工艺有较大改变，可能影响产品性能时；</w:t>
      </w:r>
    </w:p>
    <w:p w14:paraId="3BCF2E0E">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c</w:t>
      </w:r>
      <w:r>
        <w:rPr>
          <w:rFonts w:hint="eastAsia" w:ascii="宋体" w:hAnsi="宋体" w:eastAsia="宋体" w:cs="宋体"/>
          <w:color w:val="000000" w:themeColor="text1"/>
          <w:szCs w:val="21"/>
          <w14:textFill>
            <w14:solidFill>
              <w14:schemeClr w14:val="tx1"/>
            </w14:solidFill>
          </w14:textFill>
        </w:rPr>
        <w:t>）</w:t>
      </w:r>
      <w:r>
        <w:rPr>
          <w:rFonts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用户对产品性能质量有异议时；</w:t>
      </w:r>
    </w:p>
    <w:p w14:paraId="6D2C7D79">
      <w:pPr>
        <w:spacing w:line="360" w:lineRule="exact"/>
        <w:ind w:firstLine="420" w:firstLineChars="200"/>
        <w:rPr>
          <w:rFonts w:hint="eastAsia" w:ascii="宋体" w:hAnsi="宋体" w:eastAsia="宋体" w:cs="宋体"/>
          <w:color w:val="000000" w:themeColor="text1"/>
          <w:szCs w:val="21"/>
          <w:lang w:eastAsia="zh-CN"/>
          <w14:textFill>
            <w14:solidFill>
              <w14:schemeClr w14:val="tx1"/>
            </w14:solidFill>
          </w14:textFill>
        </w:rPr>
      </w:pPr>
      <w:r>
        <w:rPr>
          <w:rFonts w:ascii="宋体" w:hAnsi="宋体" w:eastAsia="宋体" w:cs="宋体"/>
          <w:color w:val="000000" w:themeColor="text1"/>
          <w:szCs w:val="21"/>
          <w14:textFill>
            <w14:solidFill>
              <w14:schemeClr w14:val="tx1"/>
            </w14:solidFill>
          </w14:textFill>
        </w:rPr>
        <w:t>d</w:t>
      </w:r>
      <w:r>
        <w:rPr>
          <w:rFonts w:hint="eastAsia" w:ascii="宋体" w:hAnsi="宋体" w:eastAsia="宋体" w:cs="宋体"/>
          <w:color w:val="000000" w:themeColor="text1"/>
          <w:szCs w:val="21"/>
          <w14:textFill>
            <w14:solidFill>
              <w14:schemeClr w14:val="tx1"/>
            </w14:solidFill>
          </w14:textFill>
        </w:rPr>
        <w:t>） 出厂检验结果与上次型式检验有较大差异时</w:t>
      </w:r>
      <w:r>
        <w:rPr>
          <w:rFonts w:hint="eastAsia" w:ascii="宋体" w:hAnsi="宋体" w:eastAsia="宋体" w:cs="宋体"/>
          <w:color w:val="000000" w:themeColor="text1"/>
          <w:szCs w:val="21"/>
          <w:lang w:eastAsia="zh-CN"/>
          <w14:textFill>
            <w14:solidFill>
              <w14:schemeClr w14:val="tx1"/>
            </w14:solidFill>
          </w14:textFill>
        </w:rPr>
        <w:t>。</w:t>
      </w:r>
    </w:p>
    <w:p w14:paraId="4AC26ED7">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7.3 组批</w:t>
      </w:r>
    </w:p>
    <w:p w14:paraId="69B3E5D5">
      <w:pPr>
        <w:spacing w:line="240" w:lineRule="auto"/>
        <w:ind w:firstLine="420" w:firstLineChars="0"/>
        <w:rPr>
          <w:rFonts w:ascii="宋体" w:hAnsi="宋体" w:eastAsia="宋体" w:cs="宋体"/>
          <w:color w:val="000000" w:themeColor="text1"/>
          <w:szCs w:val="21"/>
          <w14:textFill>
            <w14:solidFill>
              <w14:schemeClr w14:val="tx1"/>
            </w14:solidFill>
          </w14:textFill>
        </w:rPr>
      </w:pPr>
      <w:bookmarkStart w:id="23" w:name="_Hlk144914442"/>
      <w:r>
        <w:rPr>
          <w:rFonts w:hint="eastAsia" w:ascii="宋体" w:hAnsi="宋体" w:eastAsia="宋体" w:cs="宋体"/>
          <w:color w:val="000000" w:themeColor="text1"/>
          <w:szCs w:val="21"/>
          <w14:textFill>
            <w14:solidFill>
              <w14:schemeClr w14:val="tx1"/>
            </w14:solidFill>
          </w14:textFill>
        </w:rPr>
        <w:t>以同一</w:t>
      </w:r>
      <w:r>
        <w:rPr>
          <w:rFonts w:ascii="宋体" w:hAnsi="宋体" w:eastAsia="宋体" w:cs="宋体"/>
          <w:color w:val="000000" w:themeColor="text1"/>
          <w:szCs w:val="21"/>
          <w14:textFill>
            <w14:solidFill>
              <w14:schemeClr w14:val="tx1"/>
            </w14:solidFill>
          </w14:textFill>
        </w:rPr>
        <w:t>原料，同</w:t>
      </w:r>
      <w:r>
        <w:rPr>
          <w:rFonts w:hint="eastAsia" w:ascii="宋体" w:hAnsi="宋体" w:eastAsia="宋体" w:cs="宋体"/>
          <w:color w:val="000000" w:themeColor="text1"/>
          <w:szCs w:val="21"/>
          <w14:textFill>
            <w14:solidFill>
              <w14:schemeClr w14:val="tx1"/>
            </w14:solidFill>
          </w14:textFill>
        </w:rPr>
        <w:t>一</w:t>
      </w:r>
      <w:r>
        <w:rPr>
          <w:rFonts w:ascii="宋体" w:hAnsi="宋体" w:eastAsia="宋体" w:cs="宋体"/>
          <w:color w:val="000000" w:themeColor="text1"/>
          <w:szCs w:val="21"/>
          <w14:textFill>
            <w14:solidFill>
              <w14:schemeClr w14:val="tx1"/>
            </w14:solidFill>
          </w14:textFill>
        </w:rPr>
        <w:t>生产工艺，同一品种，稳定连续生产的产品为</w:t>
      </w:r>
      <w:r>
        <w:rPr>
          <w:rFonts w:hint="eastAsia" w:ascii="宋体" w:hAnsi="宋体" w:eastAsia="宋体" w:cs="宋体"/>
          <w:color w:val="000000" w:themeColor="text1"/>
          <w:szCs w:val="21"/>
          <w14:textFill>
            <w14:solidFill>
              <w14:schemeClr w14:val="tx1"/>
            </w14:solidFill>
          </w14:textFill>
        </w:rPr>
        <w:t>一</w:t>
      </w:r>
      <w:r>
        <w:rPr>
          <w:rFonts w:ascii="宋体" w:hAnsi="宋体" w:eastAsia="宋体" w:cs="宋体"/>
          <w:color w:val="000000" w:themeColor="text1"/>
          <w:szCs w:val="21"/>
          <w14:textFill>
            <w14:solidFill>
              <w14:schemeClr w14:val="tx1"/>
            </w14:solidFill>
          </w14:textFill>
        </w:rPr>
        <w:t>个检查批。</w:t>
      </w:r>
      <w:r>
        <w:rPr>
          <w:rFonts w:hint="eastAsia" w:ascii="宋体" w:hAnsi="宋体" w:cs="宋体"/>
          <w:szCs w:val="21"/>
          <w:lang w:eastAsia="zh-CN"/>
        </w:rPr>
        <w:t>（</w:t>
      </w:r>
      <w:r>
        <w:rPr>
          <w:rFonts w:hint="eastAsia" w:ascii="宋体" w:hAnsi="宋体" w:cs="宋体"/>
          <w:szCs w:val="21"/>
          <w:lang w:val="en-US" w:eastAsia="zh-CN"/>
        </w:rPr>
        <w:t>是否有数量规定？）</w:t>
      </w:r>
    </w:p>
    <w:bookmarkEnd w:id="23"/>
    <w:p w14:paraId="72BEF2E0">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7.4 抽样</w:t>
      </w:r>
    </w:p>
    <w:p w14:paraId="4DC0EE51">
      <w:pPr>
        <w:spacing w:before="156" w:beforeLines="50" w:after="156" w:afterLines="50" w:line="360" w:lineRule="exact"/>
        <w:ind w:firstLine="420" w:firstLineChars="200"/>
        <w:rPr>
          <w:rFonts w:ascii="宋体" w:hAnsi="宋体" w:eastAsia="宋体" w:cs="宋体"/>
          <w:color w:val="000000" w:themeColor="text1"/>
          <w:szCs w:val="21"/>
          <w14:textFill>
            <w14:solidFill>
              <w14:schemeClr w14:val="tx1"/>
            </w14:solidFill>
          </w14:textFill>
        </w:rPr>
      </w:pPr>
      <w:bookmarkStart w:id="24" w:name="_Hlk144914502"/>
      <w:r>
        <w:rPr>
          <w:rFonts w:hint="eastAsia" w:ascii="宋体" w:hAnsi="宋体" w:eastAsia="宋体" w:cs="宋体"/>
          <w:color w:val="000000" w:themeColor="text1"/>
          <w:szCs w:val="21"/>
          <w14:textFill>
            <w14:solidFill>
              <w14:schemeClr w14:val="tx1"/>
            </w14:solidFill>
          </w14:textFill>
        </w:rPr>
        <w:t>所有的单位产品被认为是质量相同的，</w:t>
      </w:r>
      <w:r>
        <w:rPr>
          <w:rFonts w:ascii="宋体" w:hAnsi="宋体" w:eastAsia="宋体" w:cs="宋体"/>
          <w:color w:val="000000" w:themeColor="text1"/>
          <w:szCs w:val="21"/>
          <w14:textFill>
            <w14:solidFill>
              <w14:schemeClr w14:val="tx1"/>
            </w14:solidFill>
          </w14:textFill>
        </w:rPr>
        <w:t>样本可以由一个或多个单位产品构成，单位产品</w:t>
      </w:r>
      <w:r>
        <w:rPr>
          <w:rFonts w:hint="eastAsia" w:ascii="宋体" w:hAnsi="宋体" w:eastAsia="宋体" w:cs="宋体"/>
          <w:color w:val="000000" w:themeColor="text1"/>
          <w:szCs w:val="21"/>
          <w14:textFill>
            <w14:solidFill>
              <w14:schemeClr w14:val="tx1"/>
            </w14:solidFill>
          </w14:textFill>
        </w:rPr>
        <w:t>应从检查批中随机抽取。</w:t>
      </w:r>
      <w:bookmarkEnd w:id="24"/>
      <w:r>
        <w:rPr>
          <w:rFonts w:hint="eastAsia" w:ascii="宋体" w:hAnsi="宋体" w:eastAsia="宋体" w:cs="宋体"/>
          <w:color w:val="000000" w:themeColor="text1"/>
          <w:szCs w:val="21"/>
          <w14:textFill>
            <w14:solidFill>
              <w14:schemeClr w14:val="tx1"/>
            </w14:solidFill>
          </w14:textFill>
        </w:rPr>
        <w:t>抽样数量不少于三块。</w:t>
      </w:r>
    </w:p>
    <w:p w14:paraId="445DF43C">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7.5 判定</w:t>
      </w:r>
      <w:r>
        <w:rPr>
          <w:rFonts w:hint="eastAsia" w:ascii="黑体" w:hAnsi="黑体" w:eastAsia="黑体" w:cs="宋体"/>
          <w:color w:val="000000" w:themeColor="text1"/>
          <w:szCs w:val="21"/>
          <w14:textFill>
            <w14:solidFill>
              <w14:schemeClr w14:val="tx1"/>
            </w14:solidFill>
          </w14:textFill>
        </w:rPr>
        <w:t>规则</w:t>
      </w:r>
    </w:p>
    <w:p w14:paraId="7329EF91">
      <w:pPr>
        <w:spacing w:before="156" w:beforeLines="50" w:after="156" w:afterLines="50" w:line="360" w:lineRule="exact"/>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7</w:t>
      </w:r>
      <w:r>
        <w:rPr>
          <w:rFonts w:ascii="黑体" w:hAnsi="黑体" w:eastAsia="黑体" w:cs="宋体"/>
          <w:color w:val="000000" w:themeColor="text1"/>
          <w:szCs w:val="21"/>
          <w14:textFill>
            <w14:solidFill>
              <w14:schemeClr w14:val="tx1"/>
            </w14:solidFill>
          </w14:textFill>
        </w:rPr>
        <w:t xml:space="preserve">.5.1 </w:t>
      </w:r>
      <w:r>
        <w:rPr>
          <w:rFonts w:hint="eastAsia" w:ascii="宋体" w:hAnsi="宋体" w:eastAsia="宋体" w:cs="宋体"/>
          <w:color w:val="000000" w:themeColor="text1"/>
          <w:szCs w:val="21"/>
          <w14:textFill>
            <w14:solidFill>
              <w14:schemeClr w14:val="tx1"/>
            </w14:solidFill>
          </w14:textFill>
        </w:rPr>
        <w:t>所有的性能应看作独立的，以测定结果的修约值进行判定。</w:t>
      </w:r>
    </w:p>
    <w:p w14:paraId="3CBEF4C4">
      <w:pPr>
        <w:spacing w:before="156" w:beforeLines="50" w:after="156" w:afterLines="50" w:line="360" w:lineRule="exact"/>
        <w:ind w:left="630" w:hanging="630" w:hangingChars="300"/>
        <w:rPr>
          <w:rFonts w:ascii="宋体" w:hAnsi="宋体" w:eastAsia="宋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7</w:t>
      </w:r>
      <w:r>
        <w:rPr>
          <w:rFonts w:ascii="黑体" w:hAnsi="黑体" w:eastAsia="黑体" w:cs="宋体"/>
          <w:color w:val="000000" w:themeColor="text1"/>
          <w:szCs w:val="21"/>
          <w14:textFill>
            <w14:solidFill>
              <w14:schemeClr w14:val="tx1"/>
            </w14:solidFill>
          </w14:textFill>
        </w:rPr>
        <w:t xml:space="preserve">.5.2 </w:t>
      </w:r>
      <w:r>
        <w:rPr>
          <w:rFonts w:hint="eastAsia" w:ascii="宋体" w:hAnsi="宋体" w:eastAsia="宋体" w:cs="宋体"/>
          <w:color w:val="000000" w:themeColor="text1"/>
          <w:szCs w:val="21"/>
          <w14:textFill>
            <w14:solidFill>
              <w14:schemeClr w14:val="tx1"/>
            </w14:solidFill>
          </w14:textFill>
        </w:rPr>
        <w:t>批质量判定结果：所有指标均符合标准要求判该批产品合格，否则判不合格。</w:t>
      </w:r>
    </w:p>
    <w:p w14:paraId="4702EF80">
      <w:pPr>
        <w:spacing w:before="312" w:beforeLines="100" w:after="312" w:afterLines="100" w:line="360" w:lineRule="exact"/>
        <w:outlineLvl w:val="0"/>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8 标志</w:t>
      </w:r>
    </w:p>
    <w:p w14:paraId="4182F87A">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在标志、标签或使用说明书上应标明：</w:t>
      </w:r>
    </w:p>
    <w:p w14:paraId="319AACE1">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标记，按4</w:t>
      </w:r>
      <w:r>
        <w:rPr>
          <w:rFonts w:ascii="宋体" w:hAnsi="宋体"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的规定；</w:t>
      </w:r>
      <w:r>
        <w:rPr>
          <w:rFonts w:hint="eastAsia" w:ascii="宋体" w:hAnsi="宋体" w:eastAsia="宋体" w:cs="宋体"/>
          <w:color w:val="000000" w:themeColor="text1"/>
          <w:szCs w:val="21"/>
          <w:lang w:eastAsia="zh-CN"/>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本标准正文4.2无标记）</w:t>
      </w:r>
    </w:p>
    <w:p w14:paraId="11D6F5A3">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生产企业名称、详细地址；</w:t>
      </w:r>
    </w:p>
    <w:p w14:paraId="229EF580">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生产日期或批号；</w:t>
      </w:r>
    </w:p>
    <w:p w14:paraId="699428D7">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标志符号按G</w:t>
      </w:r>
      <w:r>
        <w:rPr>
          <w:rFonts w:ascii="宋体" w:hAnsi="宋体" w:eastAsia="宋体" w:cs="宋体"/>
          <w:color w:val="000000" w:themeColor="text1"/>
          <w:szCs w:val="21"/>
          <w14:textFill>
            <w14:solidFill>
              <w14:schemeClr w14:val="tx1"/>
            </w14:solidFill>
          </w14:textFill>
        </w:rPr>
        <w:t>B</w:t>
      </w:r>
      <w:r>
        <w:rPr>
          <w:rFonts w:hint="eastAsia" w:ascii="宋体" w:hAnsi="宋体" w:eastAsia="宋体" w:cs="宋体"/>
          <w:color w:val="000000" w:themeColor="text1"/>
          <w:szCs w:val="21"/>
          <w14:textFill>
            <w14:solidFill>
              <w14:schemeClr w14:val="tx1"/>
            </w14:solidFill>
          </w14:textFill>
        </w:rPr>
        <w:t>/</w:t>
      </w:r>
      <w:r>
        <w:rPr>
          <w:rFonts w:ascii="宋体" w:hAnsi="宋体" w:eastAsia="宋体" w:cs="宋体"/>
          <w:color w:val="000000" w:themeColor="text1"/>
          <w:szCs w:val="21"/>
          <w14:textFill>
            <w14:solidFill>
              <w14:schemeClr w14:val="tx1"/>
            </w14:solidFill>
          </w14:textFill>
        </w:rPr>
        <w:t>T 191</w:t>
      </w:r>
      <w:r>
        <w:rPr>
          <w:rFonts w:hint="eastAsia" w:ascii="宋体" w:hAnsi="宋体" w:eastAsia="宋体" w:cs="宋体"/>
          <w:color w:val="000000" w:themeColor="text1"/>
          <w:szCs w:val="21"/>
          <w14:textFill>
            <w14:solidFill>
              <w14:schemeClr w14:val="tx1"/>
            </w14:solidFill>
          </w14:textFill>
        </w:rPr>
        <w:t>的规定；</w:t>
      </w:r>
    </w:p>
    <w:p w14:paraId="299CCD94">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注明指导安全使用的警示语或图示；</w:t>
      </w:r>
    </w:p>
    <w:p w14:paraId="39A767C3">
      <w:pPr>
        <w:pStyle w:val="32"/>
        <w:numPr>
          <w:ilvl w:val="0"/>
          <w:numId w:val="3"/>
        </w:numPr>
        <w:spacing w:line="360" w:lineRule="exact"/>
        <w:ind w:firstLineChars="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包装单元中产品的数量。</w:t>
      </w:r>
    </w:p>
    <w:p w14:paraId="317510F7">
      <w:pPr>
        <w:spacing w:line="360" w:lineRule="exact"/>
        <w:ind w:left="42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标志文字及图案应醒目清晰，易于识别，具有一定的耐久性。</w:t>
      </w:r>
    </w:p>
    <w:p w14:paraId="01769A75">
      <w:pPr>
        <w:spacing w:before="312" w:beforeLines="100" w:after="312" w:afterLines="100" w:line="360" w:lineRule="exact"/>
        <w:outlineLvl w:val="0"/>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9</w:t>
      </w:r>
      <w:r>
        <w:rPr>
          <w:rFonts w:ascii="黑体" w:hAnsi="黑体" w:eastAsia="黑体" w:cs="宋体"/>
          <w:color w:val="000000" w:themeColor="text1"/>
          <w:szCs w:val="21"/>
          <w14:textFill>
            <w14:solidFill>
              <w14:schemeClr w14:val="tx1"/>
            </w14:solidFill>
          </w14:textFill>
        </w:rPr>
        <w:t xml:space="preserve"> </w:t>
      </w:r>
      <w:r>
        <w:rPr>
          <w:rFonts w:hint="eastAsia" w:ascii="黑体" w:hAnsi="黑体" w:eastAsia="黑体" w:cs="宋体"/>
          <w:color w:val="000000" w:themeColor="text1"/>
          <w:szCs w:val="21"/>
          <w14:textFill>
            <w14:solidFill>
              <w14:schemeClr w14:val="tx1"/>
            </w14:solidFill>
          </w14:textFill>
        </w:rPr>
        <w:t>包装、运输及贮存</w:t>
      </w:r>
    </w:p>
    <w:p w14:paraId="695C599A">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9.1 包装</w:t>
      </w:r>
    </w:p>
    <w:p w14:paraId="31478E62">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产品应使用防潮材料密封包装，</w:t>
      </w:r>
      <w:bookmarkStart w:id="25" w:name="_Hlk144914647"/>
      <w:r>
        <w:rPr>
          <w:rFonts w:hint="eastAsia" w:ascii="宋体" w:hAnsi="宋体" w:eastAsia="宋体" w:cs="宋体"/>
          <w:color w:val="000000" w:themeColor="text1"/>
          <w:szCs w:val="21"/>
          <w14:textFill>
            <w14:solidFill>
              <w14:schemeClr w14:val="tx1"/>
            </w14:solidFill>
          </w14:textFill>
        </w:rPr>
        <w:t>每一包装中应放入同一规格的产品，特殊包装由供需双方商定。</w:t>
      </w:r>
      <w:bookmarkEnd w:id="25"/>
    </w:p>
    <w:p w14:paraId="1E31A34C">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9.2运输</w:t>
      </w:r>
    </w:p>
    <w:p w14:paraId="7D5E76AA">
      <w:pPr>
        <w:spacing w:line="360" w:lineRule="exact"/>
        <w:ind w:firstLine="420" w:firstLineChars="200"/>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应采用干燥防雨的工具运输，避免暴晒、雨淋；运输过程中应避免机械碰撞、挤压；搬运时应轻拿轻放。</w:t>
      </w:r>
    </w:p>
    <w:p w14:paraId="002A807D">
      <w:pPr>
        <w:spacing w:before="156" w:beforeLines="50" w:after="156" w:afterLines="50" w:line="360" w:lineRule="exact"/>
        <w:outlineLvl w:val="1"/>
        <w:rPr>
          <w:rFonts w:ascii="黑体" w:hAnsi="黑体" w:eastAsia="黑体" w:cs="宋体"/>
          <w:color w:val="000000" w:themeColor="text1"/>
          <w:szCs w:val="21"/>
          <w14:textFill>
            <w14:solidFill>
              <w14:schemeClr w14:val="tx1"/>
            </w14:solidFill>
          </w14:textFill>
        </w:rPr>
      </w:pPr>
      <w:r>
        <w:rPr>
          <w:rFonts w:ascii="黑体" w:hAnsi="黑体" w:eastAsia="黑体" w:cs="宋体"/>
          <w:color w:val="000000" w:themeColor="text1"/>
          <w:szCs w:val="21"/>
          <w14:textFill>
            <w14:solidFill>
              <w14:schemeClr w14:val="tx1"/>
            </w14:solidFill>
          </w14:textFill>
        </w:rPr>
        <w:t xml:space="preserve">9.3 </w:t>
      </w:r>
      <w:r>
        <w:rPr>
          <w:rFonts w:hint="eastAsia" w:ascii="黑体" w:hAnsi="黑体" w:eastAsia="黑体" w:cs="宋体"/>
          <w:color w:val="000000" w:themeColor="text1"/>
          <w:szCs w:val="21"/>
          <w14:textFill>
            <w14:solidFill>
              <w14:schemeClr w14:val="tx1"/>
            </w14:solidFill>
          </w14:textFill>
        </w:rPr>
        <w:t>贮存</w:t>
      </w:r>
    </w:p>
    <w:p w14:paraId="407BEB14">
      <w:pPr>
        <w:spacing w:line="360" w:lineRule="exact"/>
        <w:ind w:firstLine="420" w:firstLineChars="200"/>
        <w:rPr>
          <w:rFonts w:ascii="宋体" w:hAnsi="宋体" w:eastAsia="宋体" w:cs="宋体"/>
          <w:color w:val="000000" w:themeColor="text1"/>
          <w:szCs w:val="21"/>
          <w14:textFill>
            <w14:solidFill>
              <w14:schemeClr w14:val="tx1"/>
            </w14:solidFill>
          </w14:textFill>
        </w:rPr>
      </w:pPr>
      <w:bookmarkStart w:id="26" w:name="_Hlk144914724"/>
      <w:r>
        <w:rPr>
          <w:rFonts w:hint="eastAsia" w:ascii="宋体" w:hAnsi="宋体" w:eastAsia="宋体" w:cs="宋体"/>
          <w:color w:val="000000" w:themeColor="text1"/>
          <w:szCs w:val="21"/>
          <w14:textFill>
            <w14:solidFill>
              <w14:schemeClr w14:val="tx1"/>
            </w14:solidFill>
          </w14:textFill>
        </w:rPr>
        <w:t>产品应在干燥、通风、防雨、远离火源、热源和化学溶剂的条件下贮存。应按品种、规格分别堆放，避免重压。</w:t>
      </w:r>
      <w:bookmarkEnd w:id="26"/>
    </w:p>
    <w:p w14:paraId="2489B9F3">
      <w:pPr>
        <w:spacing w:line="360" w:lineRule="exact"/>
        <w:ind w:firstLine="420" w:firstLineChars="200"/>
        <w:rPr>
          <w:rFonts w:ascii="宋体" w:hAnsi="宋体" w:eastAsia="宋体" w:cs="宋体"/>
          <w:color w:val="000000" w:themeColor="text1"/>
          <w:szCs w:val="21"/>
          <w14:textFill>
            <w14:solidFill>
              <w14:schemeClr w14:val="tx1"/>
            </w14:solidFill>
          </w14:textFill>
        </w:rPr>
      </w:pPr>
    </w:p>
    <w:p w14:paraId="10A27AF8">
      <w:pPr>
        <w:spacing w:line="360" w:lineRule="exact"/>
        <w:ind w:firstLine="420" w:firstLineChars="200"/>
        <w:rPr>
          <w:rFonts w:ascii="宋体" w:hAnsi="宋体" w:eastAsia="宋体" w:cs="宋体"/>
          <w:color w:val="000000" w:themeColor="text1"/>
          <w:szCs w:val="21"/>
          <w14:textFill>
            <w14:solidFill>
              <w14:schemeClr w14:val="tx1"/>
            </w14:solidFill>
          </w14:textFill>
        </w:rPr>
      </w:pPr>
    </w:p>
    <w:sectPr>
      <w:footerReference r:id="rId4" w:type="default"/>
      <w:headerReference r:id="rId3" w:type="even"/>
      <w:footerReference r:id="rId5" w:type="even"/>
      <w:pgSz w:w="11906" w:h="16838"/>
      <w:pgMar w:top="1418" w:right="1134" w:bottom="1134" w:left="1418" w:header="141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8000012" w:usb3="00000000" w:csb0="0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5307881"/>
      <w:docPartObj>
        <w:docPartGallery w:val="autotext"/>
      </w:docPartObj>
    </w:sdtPr>
    <w:sdtContent>
      <w:p w14:paraId="4A93D10E">
        <w:pPr>
          <w:pStyle w:val="4"/>
          <w:jc w:val="right"/>
        </w:pPr>
        <w:r>
          <w:fldChar w:fldCharType="begin"/>
        </w:r>
        <w:r>
          <w:instrText xml:space="preserve">PAGE   \* MERGEFORMAT</w:instrText>
        </w:r>
        <w:r>
          <w:fldChar w:fldCharType="separate"/>
        </w:r>
        <w:r>
          <w:rPr>
            <w:lang w:val="zh-CN"/>
          </w:rPr>
          <w:t>2</w:t>
        </w:r>
        <w:r>
          <w:fldChar w:fldCharType="end"/>
        </w:r>
      </w:p>
    </w:sdtContent>
  </w:sdt>
  <w:p w14:paraId="26FD0CE5">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C1072">
    <w:pPr>
      <w:pStyle w:val="39"/>
    </w:pPr>
    <w:r>
      <w:fldChar w:fldCharType="begin"/>
    </w:r>
    <w:r>
      <w:instrText xml:space="preserve"> PAGE  \* MERGEFORMAT </w:instrText>
    </w:r>
    <w:r>
      <w:fldChar w:fldCharType="separate"/>
    </w:r>
    <w:r>
      <w:t>12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5765E">
    <w:pPr>
      <w:pStyle w:val="40"/>
      <w:rPr>
        <w:rFonts w:hAnsi="黑体"/>
      </w:rPr>
    </w:pPr>
    <w:r>
      <w:rPr>
        <w:rFonts w:ascii="Times New Roman"/>
        <w:b/>
      </w:rPr>
      <w:t>T/</w:t>
    </w:r>
    <w:r>
      <w:rPr>
        <w:rFonts w:hint="eastAsia" w:ascii="Times New Roman"/>
        <w:b/>
      </w:rPr>
      <w:t>CECS</w:t>
    </w:r>
    <w:r>
      <w:rPr>
        <w:rFonts w:hAnsi="黑体"/>
        <w:b/>
      </w:rPr>
      <w:t xml:space="preserve"> </w:t>
    </w:r>
    <w:r>
      <w:rPr>
        <w:rFonts w:hAnsi="黑体"/>
      </w:rPr>
      <w:t>X X X—201X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4"/>
      <w:suff w:val="nothing"/>
      <w:lvlText w:val="%1.%2　"/>
      <w:lvlJc w:val="left"/>
      <w:pPr>
        <w:ind w:left="426"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15"/>
      <w:suff w:val="nothing"/>
      <w:lvlText w:val="%1.%2.%3.%4.%5　"/>
      <w:lvlJc w:val="left"/>
      <w:pPr>
        <w:ind w:left="0" w:firstLine="0"/>
      </w:pPr>
      <w:rPr>
        <w:rFonts w:hint="eastAsia" w:ascii="黑体" w:hAnsi="Times New Roman" w:eastAsia="黑体"/>
        <w:b w:val="0"/>
        <w:i w:val="0"/>
        <w:sz w:val="21"/>
      </w:rPr>
    </w:lvl>
    <w:lvl w:ilvl="5" w:tentative="0">
      <w:start w:val="1"/>
      <w:numFmt w:val="decimal"/>
      <w:pStyle w:val="1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C5917C3"/>
    <w:multiLevelType w:val="multilevel"/>
    <w:tmpl w:val="2C5917C3"/>
    <w:lvl w:ilvl="0" w:tentative="0">
      <w:start w:val="1"/>
      <w:numFmt w:val="none"/>
      <w:pStyle w:val="35"/>
      <w:suff w:val="nothing"/>
      <w:lvlText w:val="%1——"/>
      <w:lvlJc w:val="left"/>
      <w:pPr>
        <w:ind w:left="834" w:hanging="408"/>
      </w:pPr>
      <w:rPr>
        <w:rFonts w:hint="eastAsia" w:cs="Times New Roman"/>
      </w:rPr>
    </w:lvl>
    <w:lvl w:ilvl="1" w:tentative="0">
      <w:start w:val="1"/>
      <w:numFmt w:val="bullet"/>
      <w:pStyle w:val="36"/>
      <w:lvlText w:val=""/>
      <w:lvlJc w:val="left"/>
      <w:pPr>
        <w:tabs>
          <w:tab w:val="left" w:pos="761"/>
        </w:tabs>
        <w:ind w:left="1265" w:hanging="413"/>
      </w:pPr>
      <w:rPr>
        <w:rFonts w:hint="default" w:ascii="Symbol" w:hAnsi="Symbol"/>
        <w:color w:val="auto"/>
      </w:rPr>
    </w:lvl>
    <w:lvl w:ilvl="2" w:tentative="0">
      <w:start w:val="1"/>
      <w:numFmt w:val="bullet"/>
      <w:pStyle w:val="37"/>
      <w:lvlText w:val=""/>
      <w:lvlJc w:val="left"/>
      <w:pPr>
        <w:tabs>
          <w:tab w:val="left" w:pos="1679"/>
        </w:tabs>
        <w:ind w:left="1679" w:hanging="414"/>
      </w:pPr>
      <w:rPr>
        <w:rFonts w:hint="default" w:ascii="Symbol" w:hAnsi="Symbol"/>
        <w:color w:val="auto"/>
      </w:rPr>
    </w:lvl>
    <w:lvl w:ilvl="3" w:tentative="0">
      <w:start w:val="1"/>
      <w:numFmt w:val="decimal"/>
      <w:lvlText w:val="%4."/>
      <w:lvlJc w:val="left"/>
      <w:pPr>
        <w:tabs>
          <w:tab w:val="left" w:pos="2072"/>
        </w:tabs>
        <w:ind w:left="1885" w:hanging="528"/>
      </w:pPr>
      <w:rPr>
        <w:rFonts w:hint="eastAsia" w:cs="Times New Roman"/>
      </w:rPr>
    </w:lvl>
    <w:lvl w:ilvl="4" w:tentative="0">
      <w:start w:val="1"/>
      <w:numFmt w:val="lowerLetter"/>
      <w:lvlText w:val="%5)"/>
      <w:lvlJc w:val="left"/>
      <w:pPr>
        <w:tabs>
          <w:tab w:val="left" w:pos="2384"/>
        </w:tabs>
        <w:ind w:left="2197" w:hanging="528"/>
      </w:pPr>
      <w:rPr>
        <w:rFonts w:hint="eastAsia" w:cs="Times New Roman"/>
      </w:rPr>
    </w:lvl>
    <w:lvl w:ilvl="5" w:tentative="0">
      <w:start w:val="1"/>
      <w:numFmt w:val="lowerRoman"/>
      <w:lvlText w:val="%6."/>
      <w:lvlJc w:val="right"/>
      <w:pPr>
        <w:tabs>
          <w:tab w:val="left" w:pos="2696"/>
        </w:tabs>
        <w:ind w:left="2509" w:hanging="528"/>
      </w:pPr>
      <w:rPr>
        <w:rFonts w:hint="eastAsia" w:cs="Times New Roman"/>
      </w:rPr>
    </w:lvl>
    <w:lvl w:ilvl="6" w:tentative="0">
      <w:start w:val="1"/>
      <w:numFmt w:val="decimal"/>
      <w:lvlText w:val="%7."/>
      <w:lvlJc w:val="left"/>
      <w:pPr>
        <w:tabs>
          <w:tab w:val="left" w:pos="3008"/>
        </w:tabs>
        <w:ind w:left="2821" w:hanging="528"/>
      </w:pPr>
      <w:rPr>
        <w:rFonts w:hint="eastAsia" w:cs="Times New Roman"/>
      </w:rPr>
    </w:lvl>
    <w:lvl w:ilvl="7" w:tentative="0">
      <w:start w:val="1"/>
      <w:numFmt w:val="lowerLetter"/>
      <w:lvlText w:val="%8)"/>
      <w:lvlJc w:val="left"/>
      <w:pPr>
        <w:tabs>
          <w:tab w:val="left" w:pos="3320"/>
        </w:tabs>
        <w:ind w:left="3133" w:hanging="528"/>
      </w:pPr>
      <w:rPr>
        <w:rFonts w:hint="eastAsia" w:cs="Times New Roman"/>
      </w:rPr>
    </w:lvl>
    <w:lvl w:ilvl="8" w:tentative="0">
      <w:start w:val="1"/>
      <w:numFmt w:val="lowerRoman"/>
      <w:lvlText w:val="%9."/>
      <w:lvlJc w:val="right"/>
      <w:pPr>
        <w:tabs>
          <w:tab w:val="left" w:pos="3632"/>
        </w:tabs>
        <w:ind w:left="3445" w:hanging="528"/>
      </w:pPr>
      <w:rPr>
        <w:rFonts w:hint="eastAsia" w:cs="Times New Roman"/>
      </w:rPr>
    </w:lvl>
  </w:abstractNum>
  <w:abstractNum w:abstractNumId="2">
    <w:nsid w:val="7EEC000D"/>
    <w:multiLevelType w:val="multilevel"/>
    <w:tmpl w:val="7EEC000D"/>
    <w:lvl w:ilvl="0" w:tentative="0">
      <w:start w:val="1"/>
      <w:numFmt w:val="lowerLetter"/>
      <w:lvlText w:val="%1）"/>
      <w:lvlJc w:val="left"/>
      <w:pPr>
        <w:ind w:left="840" w:hanging="42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kNWJhNDgzNzgxOTdhNjA0ZDljMWMxYmQwMjkyYWEifQ=="/>
  </w:docVars>
  <w:rsids>
    <w:rsidRoot w:val="00D65CCF"/>
    <w:rsid w:val="000209D8"/>
    <w:rsid w:val="00026FDF"/>
    <w:rsid w:val="00027EBE"/>
    <w:rsid w:val="00033165"/>
    <w:rsid w:val="000435CA"/>
    <w:rsid w:val="00076F9E"/>
    <w:rsid w:val="00082154"/>
    <w:rsid w:val="0009581D"/>
    <w:rsid w:val="000A2ACC"/>
    <w:rsid w:val="000B1E96"/>
    <w:rsid w:val="000C3A38"/>
    <w:rsid w:val="000C3BB6"/>
    <w:rsid w:val="000C5A1B"/>
    <w:rsid w:val="000E067A"/>
    <w:rsid w:val="000E2714"/>
    <w:rsid w:val="001023CE"/>
    <w:rsid w:val="00124FF2"/>
    <w:rsid w:val="00134E53"/>
    <w:rsid w:val="00136BB2"/>
    <w:rsid w:val="001376C0"/>
    <w:rsid w:val="001430FB"/>
    <w:rsid w:val="001455AA"/>
    <w:rsid w:val="00146D4C"/>
    <w:rsid w:val="001549E5"/>
    <w:rsid w:val="00180F7E"/>
    <w:rsid w:val="00181851"/>
    <w:rsid w:val="001863A3"/>
    <w:rsid w:val="001A4145"/>
    <w:rsid w:val="001A7BE9"/>
    <w:rsid w:val="001C2CDB"/>
    <w:rsid w:val="00205F4C"/>
    <w:rsid w:val="00207D5B"/>
    <w:rsid w:val="00210FA0"/>
    <w:rsid w:val="00216FBF"/>
    <w:rsid w:val="0023532A"/>
    <w:rsid w:val="00254EFF"/>
    <w:rsid w:val="002616E2"/>
    <w:rsid w:val="00274817"/>
    <w:rsid w:val="00276BDB"/>
    <w:rsid w:val="0028114A"/>
    <w:rsid w:val="002A0710"/>
    <w:rsid w:val="002C7376"/>
    <w:rsid w:val="002D1B0E"/>
    <w:rsid w:val="002D4FB6"/>
    <w:rsid w:val="002E2592"/>
    <w:rsid w:val="003005C8"/>
    <w:rsid w:val="00300D3D"/>
    <w:rsid w:val="003039B7"/>
    <w:rsid w:val="00314FE6"/>
    <w:rsid w:val="0031701E"/>
    <w:rsid w:val="003356E3"/>
    <w:rsid w:val="00341D9D"/>
    <w:rsid w:val="00345C6D"/>
    <w:rsid w:val="00352FE6"/>
    <w:rsid w:val="00353BAF"/>
    <w:rsid w:val="00356056"/>
    <w:rsid w:val="00356FD2"/>
    <w:rsid w:val="003612A0"/>
    <w:rsid w:val="00372D97"/>
    <w:rsid w:val="00376B60"/>
    <w:rsid w:val="00380593"/>
    <w:rsid w:val="0039067E"/>
    <w:rsid w:val="003A34EA"/>
    <w:rsid w:val="003A3B42"/>
    <w:rsid w:val="003D12C7"/>
    <w:rsid w:val="003D2C13"/>
    <w:rsid w:val="003F417C"/>
    <w:rsid w:val="003F5FED"/>
    <w:rsid w:val="00400D1E"/>
    <w:rsid w:val="00401466"/>
    <w:rsid w:val="004032E8"/>
    <w:rsid w:val="004034F0"/>
    <w:rsid w:val="004061A8"/>
    <w:rsid w:val="004116FD"/>
    <w:rsid w:val="004212D2"/>
    <w:rsid w:val="004522DB"/>
    <w:rsid w:val="00465AC8"/>
    <w:rsid w:val="00471018"/>
    <w:rsid w:val="004768D3"/>
    <w:rsid w:val="00490967"/>
    <w:rsid w:val="00493852"/>
    <w:rsid w:val="00494BBB"/>
    <w:rsid w:val="004A078B"/>
    <w:rsid w:val="004A67D5"/>
    <w:rsid w:val="004B508B"/>
    <w:rsid w:val="004E0506"/>
    <w:rsid w:val="004E10DB"/>
    <w:rsid w:val="004E49F7"/>
    <w:rsid w:val="005022F5"/>
    <w:rsid w:val="00512515"/>
    <w:rsid w:val="00525783"/>
    <w:rsid w:val="005372A8"/>
    <w:rsid w:val="0054596C"/>
    <w:rsid w:val="005469E2"/>
    <w:rsid w:val="00555725"/>
    <w:rsid w:val="00575889"/>
    <w:rsid w:val="00582EE2"/>
    <w:rsid w:val="00594FD5"/>
    <w:rsid w:val="005A4BC0"/>
    <w:rsid w:val="005B624A"/>
    <w:rsid w:val="005D0DFD"/>
    <w:rsid w:val="005F435D"/>
    <w:rsid w:val="00601177"/>
    <w:rsid w:val="00624262"/>
    <w:rsid w:val="00625AAA"/>
    <w:rsid w:val="006524C7"/>
    <w:rsid w:val="00653C61"/>
    <w:rsid w:val="00664101"/>
    <w:rsid w:val="006647E1"/>
    <w:rsid w:val="006715DD"/>
    <w:rsid w:val="006A774C"/>
    <w:rsid w:val="006B04C3"/>
    <w:rsid w:val="006B0812"/>
    <w:rsid w:val="006D471E"/>
    <w:rsid w:val="006F41E4"/>
    <w:rsid w:val="006F7E6B"/>
    <w:rsid w:val="00705FA0"/>
    <w:rsid w:val="007138EE"/>
    <w:rsid w:val="0074134E"/>
    <w:rsid w:val="00751547"/>
    <w:rsid w:val="007528F6"/>
    <w:rsid w:val="00766A68"/>
    <w:rsid w:val="00784C34"/>
    <w:rsid w:val="007B0932"/>
    <w:rsid w:val="007D0C40"/>
    <w:rsid w:val="007D3752"/>
    <w:rsid w:val="007F4694"/>
    <w:rsid w:val="007F5AB6"/>
    <w:rsid w:val="00806E63"/>
    <w:rsid w:val="00811814"/>
    <w:rsid w:val="00826E10"/>
    <w:rsid w:val="008352C2"/>
    <w:rsid w:val="00842784"/>
    <w:rsid w:val="008479E3"/>
    <w:rsid w:val="00856D41"/>
    <w:rsid w:val="00862B4B"/>
    <w:rsid w:val="00863E7B"/>
    <w:rsid w:val="008804DA"/>
    <w:rsid w:val="00890C65"/>
    <w:rsid w:val="008B2179"/>
    <w:rsid w:val="008C3913"/>
    <w:rsid w:val="008C3DBB"/>
    <w:rsid w:val="008D4F8B"/>
    <w:rsid w:val="008F1963"/>
    <w:rsid w:val="00902BF6"/>
    <w:rsid w:val="00914308"/>
    <w:rsid w:val="00922F48"/>
    <w:rsid w:val="00941611"/>
    <w:rsid w:val="0095525D"/>
    <w:rsid w:val="00973128"/>
    <w:rsid w:val="00973A90"/>
    <w:rsid w:val="0097514B"/>
    <w:rsid w:val="009860AF"/>
    <w:rsid w:val="009937A6"/>
    <w:rsid w:val="009A1BD0"/>
    <w:rsid w:val="009A1D31"/>
    <w:rsid w:val="009A2469"/>
    <w:rsid w:val="009B45AA"/>
    <w:rsid w:val="009B6FB9"/>
    <w:rsid w:val="009C3503"/>
    <w:rsid w:val="009D6B87"/>
    <w:rsid w:val="009D6E41"/>
    <w:rsid w:val="009E4929"/>
    <w:rsid w:val="00A012BE"/>
    <w:rsid w:val="00A1236A"/>
    <w:rsid w:val="00A504B1"/>
    <w:rsid w:val="00A53FC5"/>
    <w:rsid w:val="00A541C3"/>
    <w:rsid w:val="00A64695"/>
    <w:rsid w:val="00A81144"/>
    <w:rsid w:val="00A96BE3"/>
    <w:rsid w:val="00A97AF3"/>
    <w:rsid w:val="00AA2488"/>
    <w:rsid w:val="00AC1A00"/>
    <w:rsid w:val="00AD3C54"/>
    <w:rsid w:val="00AE6A16"/>
    <w:rsid w:val="00AF5015"/>
    <w:rsid w:val="00B06F99"/>
    <w:rsid w:val="00B15ED6"/>
    <w:rsid w:val="00B17CBB"/>
    <w:rsid w:val="00B26C28"/>
    <w:rsid w:val="00B34FE8"/>
    <w:rsid w:val="00B37E6B"/>
    <w:rsid w:val="00B439B6"/>
    <w:rsid w:val="00B53661"/>
    <w:rsid w:val="00B77911"/>
    <w:rsid w:val="00B8162F"/>
    <w:rsid w:val="00B871E0"/>
    <w:rsid w:val="00BB0E6B"/>
    <w:rsid w:val="00BB3C7C"/>
    <w:rsid w:val="00BB7F50"/>
    <w:rsid w:val="00BC14F5"/>
    <w:rsid w:val="00BC2F57"/>
    <w:rsid w:val="00BC7000"/>
    <w:rsid w:val="00BE051C"/>
    <w:rsid w:val="00BE0714"/>
    <w:rsid w:val="00BE4926"/>
    <w:rsid w:val="00BE52E8"/>
    <w:rsid w:val="00BF035D"/>
    <w:rsid w:val="00BF04C8"/>
    <w:rsid w:val="00C03CA0"/>
    <w:rsid w:val="00C03ECC"/>
    <w:rsid w:val="00C071B6"/>
    <w:rsid w:val="00C23593"/>
    <w:rsid w:val="00C25250"/>
    <w:rsid w:val="00C3285C"/>
    <w:rsid w:val="00C408D2"/>
    <w:rsid w:val="00C44E88"/>
    <w:rsid w:val="00C45714"/>
    <w:rsid w:val="00C465E2"/>
    <w:rsid w:val="00C56D9C"/>
    <w:rsid w:val="00C73C56"/>
    <w:rsid w:val="00C83759"/>
    <w:rsid w:val="00C918BE"/>
    <w:rsid w:val="00CA2195"/>
    <w:rsid w:val="00CB2BEB"/>
    <w:rsid w:val="00CC1FAD"/>
    <w:rsid w:val="00CD1A3E"/>
    <w:rsid w:val="00CD5E79"/>
    <w:rsid w:val="00CE0AF6"/>
    <w:rsid w:val="00CF652D"/>
    <w:rsid w:val="00D04DCF"/>
    <w:rsid w:val="00D174A9"/>
    <w:rsid w:val="00D22DFA"/>
    <w:rsid w:val="00D34235"/>
    <w:rsid w:val="00D40167"/>
    <w:rsid w:val="00D63FC8"/>
    <w:rsid w:val="00D65CCF"/>
    <w:rsid w:val="00D800C5"/>
    <w:rsid w:val="00D90FEC"/>
    <w:rsid w:val="00DE20F0"/>
    <w:rsid w:val="00E16DA8"/>
    <w:rsid w:val="00E173F0"/>
    <w:rsid w:val="00E3217F"/>
    <w:rsid w:val="00E33E5D"/>
    <w:rsid w:val="00E35D13"/>
    <w:rsid w:val="00E46239"/>
    <w:rsid w:val="00E53D2C"/>
    <w:rsid w:val="00E546C1"/>
    <w:rsid w:val="00E56469"/>
    <w:rsid w:val="00E617B0"/>
    <w:rsid w:val="00E62067"/>
    <w:rsid w:val="00E67BC9"/>
    <w:rsid w:val="00EA7823"/>
    <w:rsid w:val="00EC0C64"/>
    <w:rsid w:val="00EF19AF"/>
    <w:rsid w:val="00F04FC4"/>
    <w:rsid w:val="00F15E65"/>
    <w:rsid w:val="00F449E7"/>
    <w:rsid w:val="00F4671A"/>
    <w:rsid w:val="00F66E2B"/>
    <w:rsid w:val="00F77F1B"/>
    <w:rsid w:val="00FA236E"/>
    <w:rsid w:val="00FC081A"/>
    <w:rsid w:val="00FC69E9"/>
    <w:rsid w:val="00FD54D3"/>
    <w:rsid w:val="00FF0C27"/>
    <w:rsid w:val="00FF2A27"/>
    <w:rsid w:val="01DC07BC"/>
    <w:rsid w:val="031A68FD"/>
    <w:rsid w:val="04155920"/>
    <w:rsid w:val="0484109A"/>
    <w:rsid w:val="05A84572"/>
    <w:rsid w:val="05F94DCD"/>
    <w:rsid w:val="07027CB2"/>
    <w:rsid w:val="09E45995"/>
    <w:rsid w:val="0A8B1AC6"/>
    <w:rsid w:val="0AE75B3C"/>
    <w:rsid w:val="0BC1638D"/>
    <w:rsid w:val="0BC65752"/>
    <w:rsid w:val="0C4548C9"/>
    <w:rsid w:val="0C7043B9"/>
    <w:rsid w:val="0EFE5203"/>
    <w:rsid w:val="0F492922"/>
    <w:rsid w:val="100B5E29"/>
    <w:rsid w:val="10FF17E1"/>
    <w:rsid w:val="11683CF4"/>
    <w:rsid w:val="121E62E8"/>
    <w:rsid w:val="151B08BC"/>
    <w:rsid w:val="15802B2E"/>
    <w:rsid w:val="15923843"/>
    <w:rsid w:val="15B91E83"/>
    <w:rsid w:val="17903830"/>
    <w:rsid w:val="18426B85"/>
    <w:rsid w:val="189F1804"/>
    <w:rsid w:val="18ED79BE"/>
    <w:rsid w:val="19AF34C7"/>
    <w:rsid w:val="1AD00105"/>
    <w:rsid w:val="1B5A7DEF"/>
    <w:rsid w:val="1C302C98"/>
    <w:rsid w:val="1EBF675C"/>
    <w:rsid w:val="1F6B41EE"/>
    <w:rsid w:val="21244F9D"/>
    <w:rsid w:val="217E28FF"/>
    <w:rsid w:val="23A243DF"/>
    <w:rsid w:val="23B337F3"/>
    <w:rsid w:val="23B61CF8"/>
    <w:rsid w:val="23E66539"/>
    <w:rsid w:val="241B595C"/>
    <w:rsid w:val="25FB7465"/>
    <w:rsid w:val="26E56F7C"/>
    <w:rsid w:val="276E51C4"/>
    <w:rsid w:val="293E4722"/>
    <w:rsid w:val="2A3A313B"/>
    <w:rsid w:val="2ACE3426"/>
    <w:rsid w:val="2BE05746"/>
    <w:rsid w:val="2C2E15AF"/>
    <w:rsid w:val="2E852E9B"/>
    <w:rsid w:val="2F4E3361"/>
    <w:rsid w:val="2FF01BEA"/>
    <w:rsid w:val="331362FA"/>
    <w:rsid w:val="33604EF3"/>
    <w:rsid w:val="34FB5839"/>
    <w:rsid w:val="35A6206D"/>
    <w:rsid w:val="35D703D8"/>
    <w:rsid w:val="35FC6014"/>
    <w:rsid w:val="3660217B"/>
    <w:rsid w:val="37E868CC"/>
    <w:rsid w:val="39930ABA"/>
    <w:rsid w:val="3B03235A"/>
    <w:rsid w:val="3B310C2C"/>
    <w:rsid w:val="3BC66F24"/>
    <w:rsid w:val="3D1837B0"/>
    <w:rsid w:val="3F95226A"/>
    <w:rsid w:val="3FFA53EF"/>
    <w:rsid w:val="40491ED2"/>
    <w:rsid w:val="40C96B6F"/>
    <w:rsid w:val="41B95CFE"/>
    <w:rsid w:val="43CF6B92"/>
    <w:rsid w:val="44E33C06"/>
    <w:rsid w:val="453018B3"/>
    <w:rsid w:val="462F4F0C"/>
    <w:rsid w:val="469F19EE"/>
    <w:rsid w:val="46C329DE"/>
    <w:rsid w:val="475F1FDB"/>
    <w:rsid w:val="47BC11DC"/>
    <w:rsid w:val="47F646ED"/>
    <w:rsid w:val="48BB1493"/>
    <w:rsid w:val="495847BB"/>
    <w:rsid w:val="498D1081"/>
    <w:rsid w:val="49EA0282"/>
    <w:rsid w:val="49F619EE"/>
    <w:rsid w:val="4A003601"/>
    <w:rsid w:val="4A4D4EA4"/>
    <w:rsid w:val="4FE90FDC"/>
    <w:rsid w:val="50AD5A76"/>
    <w:rsid w:val="5664408D"/>
    <w:rsid w:val="57D305A7"/>
    <w:rsid w:val="58896754"/>
    <w:rsid w:val="58DA3BE0"/>
    <w:rsid w:val="59C36D34"/>
    <w:rsid w:val="5A3617D9"/>
    <w:rsid w:val="5B046CCA"/>
    <w:rsid w:val="5C317F92"/>
    <w:rsid w:val="5D535CE6"/>
    <w:rsid w:val="62823A7E"/>
    <w:rsid w:val="629D0130"/>
    <w:rsid w:val="63F8267F"/>
    <w:rsid w:val="66CD4D5B"/>
    <w:rsid w:val="6BFA214F"/>
    <w:rsid w:val="6C103720"/>
    <w:rsid w:val="6D265FA8"/>
    <w:rsid w:val="6EC627BC"/>
    <w:rsid w:val="6ECF317A"/>
    <w:rsid w:val="6F255735"/>
    <w:rsid w:val="72281098"/>
    <w:rsid w:val="7284502A"/>
    <w:rsid w:val="735C552C"/>
    <w:rsid w:val="73AA3A4F"/>
    <w:rsid w:val="7C4B2553"/>
    <w:rsid w:val="7D622B7D"/>
    <w:rsid w:val="7E771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00FF"/>
      <w:u w:val="single"/>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章标题"/>
    <w:next w:val="1"/>
    <w:qFormat/>
    <w:uiPriority w:val="0"/>
    <w:pPr>
      <w:numPr>
        <w:ilvl w:val="0"/>
        <w:numId w:val="1"/>
      </w:numPr>
      <w:spacing w:beforeLines="100" w:afterLines="100"/>
      <w:ind w:firstLine="200" w:firstLineChars="200"/>
      <w:jc w:val="both"/>
      <w:outlineLvl w:val="1"/>
    </w:pPr>
    <w:rPr>
      <w:rFonts w:ascii="黑体" w:hAnsi="Times New Roman" w:eastAsia="黑体" w:cs="Times New Roman"/>
      <w:sz w:val="21"/>
      <w:lang w:val="en-US" w:eastAsia="zh-CN" w:bidi="ar-SA"/>
    </w:rPr>
  </w:style>
  <w:style w:type="paragraph" w:customStyle="1" w:styleId="14">
    <w:name w:val="一级条标题"/>
    <w:next w:val="1"/>
    <w:qFormat/>
    <w:uiPriority w:val="0"/>
    <w:pPr>
      <w:numPr>
        <w:ilvl w:val="1"/>
        <w:numId w:val="1"/>
      </w:numPr>
      <w:spacing w:beforeLines="50" w:afterLines="50"/>
      <w:ind w:firstLine="200" w:firstLineChars="200"/>
      <w:jc w:val="both"/>
      <w:outlineLvl w:val="2"/>
    </w:pPr>
    <w:rPr>
      <w:rFonts w:ascii="黑体" w:hAnsi="Times New Roman" w:eastAsia="黑体" w:cs="Times New Roman"/>
      <w:sz w:val="21"/>
      <w:szCs w:val="21"/>
      <w:lang w:val="en-US" w:eastAsia="zh-CN" w:bidi="ar-SA"/>
    </w:rPr>
  </w:style>
  <w:style w:type="paragraph" w:customStyle="1" w:styleId="15">
    <w:name w:val="四级条标题"/>
    <w:basedOn w:val="1"/>
    <w:next w:val="1"/>
    <w:qFormat/>
    <w:uiPriority w:val="0"/>
    <w:pPr>
      <w:widowControl/>
      <w:numPr>
        <w:ilvl w:val="4"/>
        <w:numId w:val="1"/>
      </w:numPr>
      <w:spacing w:before="50" w:beforeLines="50" w:after="50" w:afterLines="50"/>
      <w:outlineLvl w:val="5"/>
    </w:pPr>
    <w:rPr>
      <w:rFonts w:ascii="黑体" w:hAnsi="Times New Roman" w:eastAsia="黑体" w:cs="Times New Roman"/>
      <w:kern w:val="0"/>
      <w:szCs w:val="21"/>
    </w:rPr>
  </w:style>
  <w:style w:type="paragraph" w:customStyle="1" w:styleId="16">
    <w:name w:val="五级条标题"/>
    <w:basedOn w:val="15"/>
    <w:next w:val="1"/>
    <w:qFormat/>
    <w:uiPriority w:val="0"/>
    <w:pPr>
      <w:numPr>
        <w:ilvl w:val="5"/>
      </w:numPr>
      <w:outlineLvl w:val="6"/>
    </w:pPr>
  </w:style>
  <w:style w:type="paragraph" w:customStyle="1" w:styleId="17">
    <w:name w:val="其他标准称谓"/>
    <w:next w:val="1"/>
    <w:qFormat/>
    <w:uiPriority w:val="0"/>
    <w:pPr>
      <w:framePr w:hSpace="181" w:vSpace="181" w:wrap="around" w:vAnchor="page" w:hAnchor="page" w:x="1419" w:y="2286" w:anchorLock="1"/>
      <w:spacing w:line="0" w:lineRule="atLeast"/>
      <w:ind w:firstLine="200" w:firstLineChars="200"/>
      <w:jc w:val="distribute"/>
    </w:pPr>
    <w:rPr>
      <w:rFonts w:ascii="黑体" w:hAnsi="宋体" w:eastAsia="黑体" w:cs="Times New Roman"/>
      <w:spacing w:val="-40"/>
      <w:sz w:val="48"/>
      <w:szCs w:val="52"/>
      <w:lang w:val="en-US" w:eastAsia="zh-CN" w:bidi="ar-SA"/>
    </w:rPr>
  </w:style>
  <w:style w:type="paragraph" w:customStyle="1" w:styleId="18">
    <w:name w:val="封面标准号2"/>
    <w:qFormat/>
    <w:uiPriority w:val="0"/>
    <w:pPr>
      <w:framePr w:w="9140" w:h="1242" w:hRule="exact" w:hSpace="284" w:wrap="around" w:vAnchor="page" w:hAnchor="page" w:x="1645" w:y="2910" w:anchorLock="1"/>
      <w:spacing w:before="357" w:line="280" w:lineRule="exact"/>
      <w:ind w:firstLine="200" w:firstLineChars="200"/>
      <w:jc w:val="right"/>
    </w:pPr>
    <w:rPr>
      <w:rFonts w:ascii="黑体" w:hAnsi="Times New Roman" w:eastAsia="黑体" w:cs="Times New Roman"/>
      <w:sz w:val="28"/>
      <w:szCs w:val="28"/>
      <w:lang w:val="en-US" w:eastAsia="zh-CN" w:bidi="ar-SA"/>
    </w:rPr>
  </w:style>
  <w:style w:type="paragraph" w:customStyle="1" w:styleId="19">
    <w:name w:val="封面标准代替信息"/>
    <w:qFormat/>
    <w:uiPriority w:val="0"/>
    <w:pPr>
      <w:framePr w:w="9140" w:h="1242" w:hRule="exact" w:hSpace="284" w:wrap="around" w:vAnchor="page" w:hAnchor="page" w:x="1645" w:y="2910" w:anchorLock="1"/>
      <w:spacing w:before="57" w:line="280" w:lineRule="exact"/>
      <w:ind w:firstLine="200" w:firstLineChars="200"/>
      <w:jc w:val="right"/>
    </w:pPr>
    <w:rPr>
      <w:rFonts w:ascii="宋体" w:hAnsi="Times New Roman" w:eastAsia="宋体" w:cs="Times New Roman"/>
      <w:sz w:val="21"/>
      <w:szCs w:val="21"/>
      <w:lang w:val="en-US" w:eastAsia="zh-CN" w:bidi="ar-SA"/>
    </w:rPr>
  </w:style>
  <w:style w:type="paragraph" w:customStyle="1" w:styleId="20">
    <w:name w:val="封面标准英文名称"/>
    <w:basedOn w:val="21"/>
    <w:qFormat/>
    <w:uiPriority w:val="0"/>
    <w:pPr>
      <w:framePr w:wrap="around"/>
      <w:spacing w:before="370" w:line="400" w:lineRule="exact"/>
    </w:pPr>
    <w:rPr>
      <w:rFonts w:ascii="Times New Roman"/>
      <w:sz w:val="28"/>
      <w:szCs w:val="28"/>
    </w:rPr>
  </w:style>
  <w:style w:type="paragraph" w:customStyle="1" w:styleId="21">
    <w:name w:val="封面标准名称"/>
    <w:qFormat/>
    <w:uiPriority w:val="0"/>
    <w:pPr>
      <w:framePr w:w="9639" w:h="6917" w:hRule="exact" w:wrap="around" w:vAnchor="page" w:hAnchor="page" w:xAlign="center" w:y="6408" w:anchorLock="1"/>
      <w:widowControl w:val="0"/>
      <w:spacing w:line="680" w:lineRule="exact"/>
      <w:ind w:firstLine="200" w:firstLineChars="200"/>
      <w:jc w:val="center"/>
      <w:textAlignment w:val="center"/>
    </w:pPr>
    <w:rPr>
      <w:rFonts w:ascii="黑体" w:hAnsi="Times New Roman" w:eastAsia="黑体" w:cs="Times New Roman"/>
      <w:sz w:val="52"/>
      <w:lang w:val="en-US" w:eastAsia="zh-CN" w:bidi="ar-SA"/>
    </w:rPr>
  </w:style>
  <w:style w:type="paragraph" w:customStyle="1" w:styleId="22">
    <w:name w:val="封面一致性程度标识"/>
    <w:basedOn w:val="20"/>
    <w:qFormat/>
    <w:uiPriority w:val="0"/>
    <w:pPr>
      <w:framePr w:wrap="around"/>
      <w:spacing w:before="440"/>
    </w:pPr>
    <w:rPr>
      <w:rFonts w:ascii="宋体" w:eastAsia="宋体"/>
    </w:rPr>
  </w:style>
  <w:style w:type="paragraph" w:customStyle="1" w:styleId="23">
    <w:name w:val="封面标准文稿类别"/>
    <w:basedOn w:val="22"/>
    <w:qFormat/>
    <w:uiPriority w:val="0"/>
    <w:pPr>
      <w:framePr w:wrap="around"/>
      <w:spacing w:after="160" w:line="240" w:lineRule="auto"/>
    </w:pPr>
    <w:rPr>
      <w:sz w:val="24"/>
    </w:rPr>
  </w:style>
  <w:style w:type="paragraph" w:customStyle="1" w:styleId="24">
    <w:name w:val="封面标准文稿编辑信息"/>
    <w:basedOn w:val="23"/>
    <w:qFormat/>
    <w:uiPriority w:val="0"/>
    <w:pPr>
      <w:framePr w:wrap="around"/>
      <w:spacing w:before="180" w:line="180" w:lineRule="exact"/>
    </w:pPr>
    <w:rPr>
      <w:sz w:val="21"/>
    </w:rPr>
  </w:style>
  <w:style w:type="paragraph" w:customStyle="1" w:styleId="25">
    <w:name w:val="其他发布日期"/>
    <w:basedOn w:val="26"/>
    <w:qFormat/>
    <w:uiPriority w:val="0"/>
    <w:pPr>
      <w:framePr w:wrap="around" w:vAnchor="page" w:hAnchor="text" w:x="1419"/>
    </w:pPr>
  </w:style>
  <w:style w:type="paragraph" w:customStyle="1" w:styleId="26">
    <w:name w:val="发布日期"/>
    <w:qFormat/>
    <w:uiPriority w:val="0"/>
    <w:pPr>
      <w:framePr w:w="3997" w:h="471" w:hRule="exact" w:vSpace="181" w:wrap="around" w:vAnchor="margin" w:hAnchor="page" w:x="7089" w:y="14097" w:anchorLock="1"/>
      <w:ind w:firstLine="200" w:firstLineChars="200"/>
      <w:jc w:val="both"/>
    </w:pPr>
    <w:rPr>
      <w:rFonts w:ascii="Times New Roman" w:hAnsi="Times New Roman" w:eastAsia="黑体" w:cs="Times New Roman"/>
      <w:sz w:val="28"/>
      <w:lang w:val="en-US" w:eastAsia="zh-CN" w:bidi="ar-SA"/>
    </w:rPr>
  </w:style>
  <w:style w:type="paragraph" w:customStyle="1" w:styleId="27">
    <w:name w:val="其他实施日期"/>
    <w:basedOn w:val="28"/>
    <w:qFormat/>
    <w:uiPriority w:val="0"/>
    <w:pPr>
      <w:framePr w:wrap="around"/>
    </w:pPr>
  </w:style>
  <w:style w:type="paragraph" w:customStyle="1" w:styleId="28">
    <w:name w:val="实施日期"/>
    <w:basedOn w:val="26"/>
    <w:qFormat/>
    <w:uiPriority w:val="0"/>
    <w:pPr>
      <w:framePr w:wrap="around" w:vAnchor="page" w:hAnchor="text"/>
      <w:jc w:val="right"/>
    </w:pPr>
  </w:style>
  <w:style w:type="paragraph" w:customStyle="1" w:styleId="29">
    <w:name w:val="其他发布部门"/>
    <w:basedOn w:val="30"/>
    <w:qFormat/>
    <w:uiPriority w:val="0"/>
    <w:pPr>
      <w:framePr w:wrap="around" w:y="15310"/>
      <w:spacing w:line="0" w:lineRule="atLeast"/>
    </w:pPr>
    <w:rPr>
      <w:rFonts w:ascii="黑体" w:eastAsia="黑体"/>
      <w:b w:val="0"/>
    </w:rPr>
  </w:style>
  <w:style w:type="paragraph" w:customStyle="1" w:styleId="30">
    <w:name w:val="发布部门"/>
    <w:next w:val="31"/>
    <w:qFormat/>
    <w:uiPriority w:val="0"/>
    <w:pPr>
      <w:framePr w:w="7938" w:h="1134" w:hRule="exact" w:hSpace="125" w:vSpace="181" w:wrap="around" w:vAnchor="page" w:hAnchor="page" w:x="2150" w:y="14630" w:anchorLock="1"/>
      <w:ind w:firstLine="200" w:firstLineChars="200"/>
      <w:jc w:val="center"/>
    </w:pPr>
    <w:rPr>
      <w:rFonts w:ascii="宋体" w:hAnsi="Times New Roman" w:eastAsia="宋体" w:cs="Times New Roman"/>
      <w:b/>
      <w:spacing w:val="20"/>
      <w:w w:val="135"/>
      <w:sz w:val="28"/>
      <w:lang w:val="en-US" w:eastAsia="zh-CN" w:bidi="ar-SA"/>
    </w:rPr>
  </w:style>
  <w:style w:type="paragraph" w:customStyle="1" w:styleId="31">
    <w:name w:val="段"/>
    <w:link w:val="3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2">
    <w:name w:val="List Paragraph"/>
    <w:basedOn w:val="1"/>
    <w:qFormat/>
    <w:uiPriority w:val="99"/>
    <w:pPr>
      <w:ind w:firstLine="420" w:firstLineChars="200"/>
    </w:p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段 Char"/>
    <w:link w:val="31"/>
    <w:qFormat/>
    <w:locked/>
    <w:uiPriority w:val="0"/>
    <w:rPr>
      <w:rFonts w:ascii="宋体"/>
      <w:sz w:val="21"/>
    </w:rPr>
  </w:style>
  <w:style w:type="paragraph" w:customStyle="1" w:styleId="35">
    <w:name w:val="列项——（一级）"/>
    <w:qFormat/>
    <w:uiPriority w:val="0"/>
    <w:pPr>
      <w:widowControl w:val="0"/>
      <w:numPr>
        <w:ilvl w:val="0"/>
        <w:numId w:val="2"/>
      </w:numPr>
      <w:jc w:val="both"/>
    </w:pPr>
    <w:rPr>
      <w:rFonts w:ascii="宋体" w:hAnsi="Times New Roman" w:eastAsia="宋体" w:cs="Times New Roman"/>
      <w:sz w:val="21"/>
      <w:lang w:val="en-US" w:eastAsia="zh-CN" w:bidi="ar-SA"/>
    </w:rPr>
  </w:style>
  <w:style w:type="paragraph" w:customStyle="1" w:styleId="36">
    <w:name w:val="列项●（二级）"/>
    <w:qFormat/>
    <w:uiPriority w:val="0"/>
    <w:pPr>
      <w:numPr>
        <w:ilvl w:val="1"/>
        <w:numId w:val="2"/>
      </w:numPr>
      <w:tabs>
        <w:tab w:val="left" w:pos="840"/>
      </w:tabs>
      <w:jc w:val="both"/>
    </w:pPr>
    <w:rPr>
      <w:rFonts w:ascii="宋体" w:hAnsi="Times New Roman" w:eastAsia="宋体" w:cs="Times New Roman"/>
      <w:sz w:val="21"/>
      <w:lang w:val="en-US" w:eastAsia="zh-CN" w:bidi="ar-SA"/>
    </w:rPr>
  </w:style>
  <w:style w:type="paragraph" w:customStyle="1" w:styleId="37">
    <w:name w:val="列项◆（三级）"/>
    <w:basedOn w:val="1"/>
    <w:qFormat/>
    <w:uiPriority w:val="0"/>
    <w:pPr>
      <w:numPr>
        <w:ilvl w:val="2"/>
        <w:numId w:val="2"/>
      </w:numPr>
      <w:tabs>
        <w:tab w:val="left" w:pos="1678"/>
        <w:tab w:val="clear" w:pos="1679"/>
      </w:tabs>
      <w:ind w:left="1678"/>
    </w:pPr>
    <w:rPr>
      <w:rFonts w:ascii="宋体" w:hAnsi="Times New Roman" w:eastAsia="宋体" w:cs="Times New Roman"/>
      <w:szCs w:val="21"/>
    </w:rPr>
  </w:style>
  <w:style w:type="paragraph" w:customStyle="1" w:styleId="38">
    <w:name w:val="标准标志"/>
    <w:next w:val="1"/>
    <w:qFormat/>
    <w:uiPriority w:val="0"/>
    <w:pPr>
      <w:framePr w:w="2546" w:h="1389" w:hRule="exact" w:hSpace="181" w:vSpace="181" w:wrap="auto"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3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40">
    <w:name w:val="标准书眉_偶数页"/>
    <w:basedOn w:val="1"/>
    <w:next w:val="1"/>
    <w:qFormat/>
    <w:uiPriority w:val="0"/>
    <w:pPr>
      <w:widowControl/>
      <w:tabs>
        <w:tab w:val="center" w:pos="4154"/>
        <w:tab w:val="right" w:pos="8306"/>
      </w:tabs>
      <w:spacing w:after="220"/>
      <w:jc w:val="left"/>
    </w:pPr>
    <w:rPr>
      <w:rFonts w:ascii="黑体" w:hAnsi="Times New Roman" w:eastAsia="黑体" w:cs="Times New Roman"/>
      <w:kern w:val="0"/>
      <w:szCs w:val="21"/>
    </w:rPr>
  </w:style>
  <w:style w:type="character" w:customStyle="1" w:styleId="41">
    <w:name w:val="发布"/>
    <w:qFormat/>
    <w:uiPriority w:val="0"/>
    <w:rPr>
      <w:rFonts w:ascii="黑体" w:eastAsia="黑体"/>
      <w:spacing w:val="85"/>
      <w:w w:val="100"/>
      <w:position w:val="3"/>
      <w:sz w:val="28"/>
    </w:rPr>
  </w:style>
  <w:style w:type="paragraph" w:customStyle="1" w:styleId="42">
    <w:name w:val="文献分类号"/>
    <w:qFormat/>
    <w:uiPriority w:val="0"/>
    <w:pPr>
      <w:framePr w:hSpace="180" w:vSpace="180" w:wrap="auto" w:vAnchor="margin" w:hAnchor="margin" w:y="1" w:anchorLock="1"/>
      <w:widowControl w:val="0"/>
      <w:textAlignment w:val="center"/>
    </w:pPr>
    <w:rPr>
      <w:rFonts w:ascii="黑体" w:hAnsi="Times New Roman" w:eastAsia="黑体" w:cs="Times New Roman"/>
      <w:sz w:val="21"/>
      <w:szCs w:val="21"/>
      <w:lang w:val="en-US" w:eastAsia="zh-CN" w:bidi="ar-SA"/>
    </w:rPr>
  </w:style>
  <w:style w:type="character" w:customStyle="1" w:styleId="43">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D8C2DF-A100-4497-8A7E-20DBB15E5159}">
  <ds:schemaRefs/>
</ds:datastoreItem>
</file>

<file path=docProps/app.xml><?xml version="1.0" encoding="utf-8"?>
<Properties xmlns="http://schemas.openxmlformats.org/officeDocument/2006/extended-properties" xmlns:vt="http://schemas.openxmlformats.org/officeDocument/2006/docPropsVTypes">
  <Template>Normal</Template>
  <Pages>8</Pages>
  <Words>2465</Words>
  <Characters>2988</Characters>
  <Lines>23</Lines>
  <Paragraphs>6</Paragraphs>
  <TotalTime>0</TotalTime>
  <ScaleCrop>false</ScaleCrop>
  <LinksUpToDate>false</LinksUpToDate>
  <CharactersWithSpaces>3167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2024-07-03T08:54:00Z</dcterms:created>
  <dc:creator>hou</dc:creator>
  <cp:lastModifiedBy>勿忘初心</cp:lastModifiedBy>
  <cp:lastPrinted>2023-09-01T01:02:00Z</cp:lastPrinted>
  <dcterms:modified xsi:type="dcterms:W3CDTF">2024-10-12T08:17:43Z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C55B4C2C33254ADB9D3A9A6E18BD5004</vt:lpwstr>
  </property>
</Properties>
</file>