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hint="eastAsia" w:ascii="Times New Roman" w:hAnsi="Times New Roman" w:eastAsiaTheme="minorEastAsia"/>
          <w:color w:val="auto"/>
          <w:sz w:val="28"/>
          <w:highlight w:val="none"/>
          <w:lang w:eastAsia="zh-CN"/>
        </w:rPr>
      </w:pPr>
      <w:bookmarkStart w:id="0" w:name="OLE_LINK1"/>
      <w:bookmarkStart w:id="1" w:name="_Toc332974258"/>
      <w:bookmarkStart w:id="2" w:name="_Toc337542146"/>
      <w:r>
        <w:rPr>
          <w:rFonts w:ascii="Times New Roman" w:hAnsi="Times New Roman" w:eastAsia="宋体" w:cs="宋体"/>
          <w:color w:val="auto"/>
          <w:sz w:val="36"/>
          <w:highlight w:val="none"/>
        </w:rPr>
        <w:drawing>
          <wp:inline distT="0" distB="0" distL="114300" distR="114300">
            <wp:extent cx="1381125" cy="914400"/>
            <wp:effectExtent l="0" t="0" r="9525" b="0"/>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15"/>
                    <a:stretch>
                      <a:fillRect/>
                    </a:stretch>
                  </pic:blipFill>
                  <pic:spPr>
                    <a:xfrm>
                      <a:off x="0" y="0"/>
                      <a:ext cx="1381125" cy="914400"/>
                    </a:xfrm>
                    <a:prstGeom prst="rect">
                      <a:avLst/>
                    </a:prstGeom>
                    <a:noFill/>
                    <a:ln w="9525">
                      <a:noFill/>
                    </a:ln>
                  </pic:spPr>
                </pic:pic>
              </a:graphicData>
            </a:graphic>
          </wp:inline>
        </w:drawing>
      </w:r>
      <w:r>
        <w:rPr>
          <w:rFonts w:hint="eastAsia" w:ascii="Times New Roman" w:hAnsi="Times New Roman" w:cs="宋体"/>
          <w:b/>
          <w:bCs/>
          <w:color w:val="auto"/>
          <w:kern w:val="0"/>
          <w:sz w:val="36"/>
          <w:highlight w:val="none"/>
        </w:rPr>
        <w:t>　　　　　　　　　　</w:t>
      </w:r>
      <w:r>
        <w:rPr>
          <w:rFonts w:ascii="Times New Roman" w:hAnsi="Times New Roman"/>
          <w:color w:val="auto"/>
          <w:sz w:val="30"/>
          <w:szCs w:val="30"/>
          <w:highlight w:val="none"/>
        </w:rPr>
        <w:t>T/CECS</w:t>
      </w:r>
      <w:r>
        <w:rPr>
          <w:rFonts w:hint="eastAsia" w:ascii="Times New Roman" w:hAnsi="Times New Roman"/>
          <w:color w:val="auto"/>
          <w:sz w:val="30"/>
          <w:szCs w:val="30"/>
          <w:highlight w:val="none"/>
        </w:rPr>
        <w:t xml:space="preserve"> xxx-</w:t>
      </w:r>
      <w:r>
        <w:rPr>
          <w:rFonts w:hint="eastAsia" w:ascii="Times New Roman" w:hAnsi="Times New Roman"/>
          <w:color w:val="auto"/>
          <w:sz w:val="30"/>
          <w:szCs w:val="30"/>
          <w:highlight w:val="none"/>
          <w:lang w:eastAsia="zh-CN"/>
        </w:rPr>
        <w:t>202</w:t>
      </w:r>
      <w:r>
        <w:rPr>
          <w:rFonts w:hint="eastAsia" w:ascii="Times New Roman" w:hAnsi="Times New Roman"/>
          <w:color w:val="auto"/>
          <w:sz w:val="30"/>
          <w:szCs w:val="30"/>
          <w:highlight w:val="none"/>
          <w:lang w:val="en-US" w:eastAsia="zh-CN"/>
        </w:rPr>
        <w:t>X</w:t>
      </w:r>
    </w:p>
    <w:p>
      <w:pPr>
        <w:snapToGrid w:val="0"/>
        <w:spacing w:line="312" w:lineRule="auto"/>
        <w:rPr>
          <w:rFonts w:ascii="Times New Roman" w:hAnsi="Times New Roman"/>
          <w:color w:val="auto"/>
          <w:sz w:val="28"/>
          <w:highlight w:val="none"/>
        </w:rPr>
      </w:pPr>
      <w:r>
        <w:rPr>
          <w:rFonts w:ascii="Times New Roman" w:hAnsi="Times New Roman"/>
          <w:color w:val="auto"/>
          <w:sz w:val="28"/>
          <w:highlight w:val="none"/>
        </w:rPr>
        <w:pict>
          <v:line id="Line 5" o:spid="_x0000_s1026" o:spt="20" style="position:absolute;left:0pt;margin-left:0pt;margin-top:0pt;height:0pt;width:40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">
            <v:path arrowok="t"/>
            <v:fill focussize="0,0"/>
            <v:stroke/>
            <v:imagedata o:title=""/>
            <o:lock v:ext="edit"/>
          </v:line>
        </w:pict>
      </w: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jc w:val="center"/>
        <w:rPr>
          <w:rFonts w:ascii="Times New Roman" w:hAnsi="Times New Roman"/>
          <w:color w:val="auto"/>
          <w:sz w:val="32"/>
          <w:szCs w:val="36"/>
          <w:highlight w:val="none"/>
        </w:rPr>
      </w:pPr>
      <w:r>
        <w:rPr>
          <w:rFonts w:hint="eastAsia" w:ascii="Times New Roman" w:hAnsi="Times New Roman"/>
          <w:color w:val="auto"/>
          <w:sz w:val="32"/>
          <w:szCs w:val="36"/>
          <w:highlight w:val="none"/>
        </w:rPr>
        <w:t>中国工程建设标准化协会标准</w:t>
      </w:r>
    </w:p>
    <w:p>
      <w:pPr>
        <w:snapToGrid w:val="0"/>
        <w:spacing w:line="312" w:lineRule="auto"/>
        <w:jc w:val="center"/>
        <w:rPr>
          <w:rFonts w:ascii="Times New Roman" w:hAnsi="Times New Roman"/>
          <w:color w:val="auto"/>
          <w:sz w:val="48"/>
          <w:szCs w:val="44"/>
          <w:highlight w:val="none"/>
        </w:rPr>
      </w:pPr>
    </w:p>
    <w:p>
      <w:pPr>
        <w:pStyle w:val="32"/>
        <w:widowControl w:val="0"/>
        <w:shd w:val="clear" w:color="auto" w:fill="FFFFFF"/>
        <w:snapToGrid w:val="0"/>
        <w:spacing w:before="0" w:beforeAutospacing="0" w:after="0" w:line="312" w:lineRule="auto"/>
        <w:jc w:val="center"/>
        <w:rPr>
          <w:rFonts w:ascii="Times New Roman" w:hAnsi="Times New Roman" w:eastAsia="黑体"/>
          <w:bCs/>
          <w:color w:val="auto"/>
          <w:sz w:val="48"/>
          <w:szCs w:val="36"/>
          <w:highlight w:val="none"/>
          <w:lang w:val="zh-CN"/>
        </w:rPr>
      </w:pPr>
      <w:r>
        <w:rPr>
          <w:rFonts w:hint="eastAsia" w:ascii="Times New Roman" w:hAnsi="Times New Roman" w:eastAsia="黑体"/>
          <w:bCs/>
          <w:color w:val="auto"/>
          <w:sz w:val="48"/>
          <w:szCs w:val="36"/>
          <w:highlight w:val="none"/>
          <w:lang w:val="zh-CN"/>
        </w:rPr>
        <w:t>水工混凝土掺合料应用技术规程</w:t>
      </w:r>
    </w:p>
    <w:p>
      <w:pPr>
        <w:snapToGrid w:val="0"/>
        <w:spacing w:beforeLines="50" w:line="312" w:lineRule="auto"/>
        <w:ind w:left="0" w:leftChars="0" w:right="111" w:rightChars="53" w:firstLine="0" w:firstLineChars="0"/>
        <w:jc w:val="center"/>
        <w:rPr>
          <w:rFonts w:hint="eastAsia" w:ascii="Times New Roman" w:hAnsi="Times New Roman" w:eastAsia="宋体" w:cs="宋体"/>
          <w:color w:val="auto"/>
          <w:kern w:val="0"/>
          <w:sz w:val="32"/>
          <w:szCs w:val="28"/>
          <w:highlight w:val="none"/>
        </w:rPr>
      </w:pPr>
      <w:r>
        <w:rPr>
          <w:rFonts w:hint="eastAsia" w:ascii="Times New Roman" w:hAnsi="Times New Roman" w:eastAsia="宋体" w:cs="宋体"/>
          <w:color w:val="auto"/>
          <w:kern w:val="0"/>
          <w:sz w:val="32"/>
          <w:szCs w:val="28"/>
          <w:highlight w:val="none"/>
        </w:rPr>
        <w:t>Technical specification for application of hydraulic concrete admixture</w:t>
      </w:r>
    </w:p>
    <w:p>
      <w:pPr>
        <w:snapToGrid w:val="0"/>
        <w:spacing w:line="312" w:lineRule="auto"/>
        <w:jc w:val="center"/>
        <w:rPr>
          <w:rFonts w:ascii="Times New Roman" w:hAnsi="Times New Roman" w:eastAsia="宋体" w:cs="宋体"/>
          <w:color w:val="auto"/>
          <w:kern w:val="0"/>
          <w:sz w:val="32"/>
          <w:szCs w:val="28"/>
          <w:highlight w:val="none"/>
        </w:rPr>
      </w:pPr>
    </w:p>
    <w:p>
      <w:pPr>
        <w:snapToGrid w:val="0"/>
        <w:spacing w:line="312" w:lineRule="auto"/>
        <w:jc w:val="center"/>
        <w:rPr>
          <w:rFonts w:ascii="Times New Roman" w:hAnsi="Times New Roman"/>
          <w:color w:val="auto"/>
          <w:sz w:val="32"/>
          <w:szCs w:val="28"/>
          <w:highlight w:val="none"/>
        </w:rPr>
      </w:pPr>
      <w:r>
        <w:rPr>
          <w:rFonts w:hint="eastAsia" w:ascii="Times New Roman" w:hAnsi="Times New Roman"/>
          <w:color w:val="auto"/>
          <w:sz w:val="32"/>
          <w:szCs w:val="28"/>
          <w:highlight w:val="none"/>
        </w:rPr>
        <w:t>（</w:t>
      </w:r>
      <w:r>
        <w:rPr>
          <w:rFonts w:hint="eastAsia" w:ascii="Times New Roman" w:hAnsi="Times New Roman"/>
          <w:b/>
          <w:color w:val="auto"/>
          <w:sz w:val="32"/>
          <w:szCs w:val="28"/>
          <w:highlight w:val="none"/>
          <w:lang w:val="en-US" w:eastAsia="zh-CN"/>
        </w:rPr>
        <w:t>征求意见稿</w:t>
      </w:r>
      <w:r>
        <w:rPr>
          <w:rFonts w:hint="eastAsia" w:ascii="Times New Roman" w:hAnsi="Times New Roman"/>
          <w:color w:val="auto"/>
          <w:sz w:val="32"/>
          <w:szCs w:val="28"/>
          <w:highlight w:val="none"/>
        </w:rPr>
        <w:t>）</w:t>
      </w: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jc w:val="center"/>
        <w:rPr>
          <w:rFonts w:ascii="Times New Roman" w:hAnsi="Times New Roman"/>
          <w:color w:val="auto"/>
          <w:sz w:val="28"/>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jc w:val="center"/>
        <w:rPr>
          <w:rFonts w:ascii="Times New Roman" w:hAnsi="Times New Roman"/>
          <w:color w:val="auto"/>
          <w:sz w:val="32"/>
          <w:szCs w:val="30"/>
          <w:highlight w:val="none"/>
        </w:rPr>
      </w:pPr>
    </w:p>
    <w:p>
      <w:pPr>
        <w:snapToGrid w:val="0"/>
        <w:spacing w:line="312" w:lineRule="auto"/>
        <w:jc w:val="center"/>
        <w:rPr>
          <w:rFonts w:ascii="Times New Roman" w:hAnsi="Times New Roman" w:eastAsia="仿宋"/>
          <w:b/>
          <w:color w:val="auto"/>
          <w:sz w:val="32"/>
          <w:szCs w:val="30"/>
          <w:highlight w:val="none"/>
        </w:rPr>
      </w:pPr>
      <w:r>
        <w:rPr>
          <w:rFonts w:hint="eastAsia" w:ascii="Times New Roman" w:hAnsi="Times New Roman" w:eastAsia="仿宋"/>
          <w:b/>
          <w:color w:val="auto"/>
          <w:sz w:val="32"/>
          <w:szCs w:val="30"/>
          <w:highlight w:val="none"/>
        </w:rPr>
        <w:t>中国</w:t>
      </w:r>
      <w:r>
        <w:rPr>
          <w:rFonts w:hint="eastAsia" w:ascii="Times New Roman" w:hAnsi="Times New Roman" w:eastAsia="仿宋"/>
          <w:b/>
          <w:color w:val="auto"/>
          <w:sz w:val="32"/>
          <w:szCs w:val="30"/>
          <w:highlight w:val="none"/>
          <w:lang w:val="en-US" w:eastAsia="zh-CN"/>
        </w:rPr>
        <w:t>XX</w:t>
      </w:r>
      <w:r>
        <w:rPr>
          <w:rFonts w:hint="eastAsia" w:ascii="Times New Roman" w:hAnsi="Times New Roman" w:eastAsia="仿宋"/>
          <w:b/>
          <w:color w:val="auto"/>
          <w:sz w:val="32"/>
          <w:szCs w:val="30"/>
          <w:highlight w:val="none"/>
        </w:rPr>
        <w:t>出版社</w:t>
      </w:r>
    </w:p>
    <w:p>
      <w:pPr>
        <w:tabs>
          <w:tab w:val="left" w:pos="3510"/>
        </w:tabs>
        <w:snapToGrid w:val="0"/>
        <w:spacing w:line="312" w:lineRule="auto"/>
        <w:jc w:val="left"/>
        <w:rPr>
          <w:rFonts w:ascii="Times New Roman" w:hAnsi="Times New Roman"/>
          <w:color w:val="auto"/>
          <w:sz w:val="32"/>
          <w:szCs w:val="28"/>
          <w:highlight w:val="none"/>
        </w:rPr>
        <w:sectPr>
          <w:footerReference r:id="rId6" w:type="first"/>
          <w:footerReference r:id="rId4" w:type="default"/>
          <w:headerReference r:id="rId3" w:type="even"/>
          <w:footerReference r:id="rId5" w:type="even"/>
          <w:pgSz w:w="11907" w:h="16840"/>
          <w:pgMar w:top="1440" w:right="1797" w:bottom="1440" w:left="1797" w:header="851" w:footer="992" w:gutter="0"/>
          <w:pgBorders>
            <w:top w:val="none" w:sz="0" w:space="0"/>
            <w:left w:val="none" w:sz="0" w:space="0"/>
            <w:bottom w:val="none" w:sz="0" w:space="0"/>
            <w:right w:val="none" w:sz="0" w:space="0"/>
          </w:pgBorders>
          <w:cols w:space="720" w:num="1"/>
          <w:titlePg/>
          <w:docGrid w:type="lines" w:linePitch="312" w:charSpace="0"/>
        </w:sectPr>
      </w:pPr>
    </w:p>
    <w:p>
      <w:pPr>
        <w:tabs>
          <w:tab w:val="left" w:pos="3510"/>
        </w:tabs>
        <w:snapToGrid w:val="0"/>
        <w:spacing w:line="312" w:lineRule="auto"/>
        <w:jc w:val="left"/>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jc w:val="center"/>
        <w:rPr>
          <w:rFonts w:ascii="Times New Roman" w:hAnsi="Times New Roman" w:eastAsia="黑体"/>
          <w:color w:val="auto"/>
          <w:sz w:val="36"/>
          <w:szCs w:val="36"/>
          <w:highlight w:val="none"/>
        </w:rPr>
      </w:pPr>
      <w:r>
        <w:rPr>
          <w:rFonts w:hint="eastAsia" w:ascii="Times New Roman" w:hAnsi="Times New Roman" w:eastAsia="黑体"/>
          <w:color w:val="auto"/>
          <w:sz w:val="36"/>
          <w:szCs w:val="36"/>
          <w:highlight w:val="none"/>
        </w:rPr>
        <w:t>中国工程建设标准化协会标准</w:t>
      </w:r>
    </w:p>
    <w:p>
      <w:pPr>
        <w:snapToGrid w:val="0"/>
        <w:spacing w:line="312" w:lineRule="auto"/>
        <w:jc w:val="center"/>
        <w:rPr>
          <w:rFonts w:ascii="Times New Roman" w:hAnsi="Times New Roman"/>
          <w:color w:val="auto"/>
          <w:sz w:val="56"/>
          <w:szCs w:val="44"/>
          <w:highlight w:val="none"/>
        </w:rPr>
      </w:pPr>
    </w:p>
    <w:p>
      <w:pPr>
        <w:pStyle w:val="32"/>
        <w:widowControl w:val="0"/>
        <w:shd w:val="clear" w:color="auto" w:fill="FFFFFF"/>
        <w:snapToGrid w:val="0"/>
        <w:spacing w:before="0" w:beforeAutospacing="0" w:after="0" w:line="312" w:lineRule="auto"/>
        <w:jc w:val="center"/>
        <w:rPr>
          <w:rFonts w:ascii="Times New Roman" w:hAnsi="Times New Roman"/>
          <w:b/>
          <w:color w:val="auto"/>
          <w:sz w:val="48"/>
          <w:szCs w:val="36"/>
          <w:highlight w:val="none"/>
          <w:lang w:val="zh-CN"/>
        </w:rPr>
      </w:pPr>
      <w:r>
        <w:rPr>
          <w:rFonts w:hint="eastAsia" w:ascii="Times New Roman" w:hAnsi="Times New Roman"/>
          <w:b/>
          <w:color w:val="auto"/>
          <w:sz w:val="48"/>
          <w:szCs w:val="36"/>
          <w:highlight w:val="none"/>
          <w:lang w:val="zh-CN"/>
        </w:rPr>
        <w:t>水工混凝土掺合料应用技术规程</w:t>
      </w:r>
    </w:p>
    <w:p>
      <w:pPr>
        <w:snapToGrid w:val="0"/>
        <w:spacing w:beforeLines="50" w:line="312" w:lineRule="auto"/>
        <w:ind w:left="0" w:leftChars="0" w:right="111" w:rightChars="53" w:firstLine="0" w:firstLineChars="0"/>
        <w:jc w:val="center"/>
        <w:rPr>
          <w:rFonts w:hint="eastAsia" w:ascii="Times New Roman" w:hAnsi="Times New Roman" w:eastAsia="宋体" w:cs="宋体"/>
          <w:color w:val="auto"/>
          <w:kern w:val="0"/>
          <w:sz w:val="32"/>
          <w:szCs w:val="28"/>
          <w:highlight w:val="none"/>
        </w:rPr>
      </w:pPr>
      <w:r>
        <w:rPr>
          <w:rFonts w:hint="eastAsia" w:ascii="Times New Roman" w:hAnsi="Times New Roman" w:eastAsia="宋体" w:cs="宋体"/>
          <w:color w:val="auto"/>
          <w:kern w:val="0"/>
          <w:sz w:val="32"/>
          <w:szCs w:val="28"/>
          <w:highlight w:val="none"/>
        </w:rPr>
        <w:t>Technical specification for application of hydraulic concrete admixture</w:t>
      </w:r>
    </w:p>
    <w:p>
      <w:pPr>
        <w:snapToGrid w:val="0"/>
        <w:spacing w:line="312" w:lineRule="auto"/>
        <w:jc w:val="center"/>
        <w:rPr>
          <w:rFonts w:ascii="Times New Roman" w:hAnsi="Times New Roman"/>
          <w:color w:val="auto"/>
          <w:sz w:val="28"/>
          <w:highlight w:val="none"/>
        </w:rPr>
      </w:pPr>
    </w:p>
    <w:p>
      <w:pPr>
        <w:snapToGrid w:val="0"/>
        <w:spacing w:line="312" w:lineRule="auto"/>
        <w:jc w:val="center"/>
        <w:rPr>
          <w:rFonts w:hint="eastAsia" w:ascii="Times New Roman" w:hAnsi="Times New Roman" w:eastAsia="宋体"/>
          <w:b/>
          <w:color w:val="auto"/>
          <w:sz w:val="28"/>
          <w:highlight w:val="none"/>
          <w:lang w:eastAsia="zh-CN"/>
        </w:rPr>
      </w:pPr>
      <w:r>
        <w:rPr>
          <w:rFonts w:ascii="Times New Roman" w:hAnsi="Times New Roman"/>
          <w:b/>
          <w:color w:val="auto"/>
          <w:sz w:val="28"/>
          <w:highlight w:val="none"/>
        </w:rPr>
        <w:t xml:space="preserve">T/CECS </w:t>
      </w:r>
      <w:r>
        <w:rPr>
          <w:rFonts w:hint="eastAsia" w:ascii="Times New Roman" w:hAnsi="Times New Roman"/>
          <w:b/>
          <w:color w:val="auto"/>
          <w:sz w:val="28"/>
          <w:highlight w:val="none"/>
        </w:rPr>
        <w:t>xxx</w:t>
      </w:r>
      <w:r>
        <w:rPr>
          <w:rFonts w:hint="eastAsia" w:ascii="Times New Roman" w:hAnsi="Times New Roman" w:eastAsia="宋体"/>
          <w:b/>
          <w:color w:val="auto"/>
          <w:sz w:val="28"/>
          <w:highlight w:val="none"/>
        </w:rPr>
        <w:t>－</w:t>
      </w:r>
      <w:r>
        <w:rPr>
          <w:rFonts w:hint="eastAsia" w:ascii="Times New Roman" w:hAnsi="Times New Roman" w:eastAsia="宋体"/>
          <w:b/>
          <w:color w:val="auto"/>
          <w:sz w:val="28"/>
          <w:highlight w:val="none"/>
          <w:lang w:eastAsia="zh-CN"/>
        </w:rPr>
        <w:t>202X</w:t>
      </w:r>
    </w:p>
    <w:p>
      <w:pPr>
        <w:snapToGrid w:val="0"/>
        <w:spacing w:line="312" w:lineRule="auto"/>
        <w:rPr>
          <w:rFonts w:ascii="Times New Roman" w:hAnsi="Times New Roman"/>
          <w:color w:val="auto"/>
          <w:sz w:val="44"/>
          <w:szCs w:val="32"/>
          <w:highlight w:val="none"/>
        </w:rPr>
      </w:pPr>
    </w:p>
    <w:p>
      <w:pPr>
        <w:snapToGrid w:val="0"/>
        <w:spacing w:line="312" w:lineRule="auto"/>
        <w:rPr>
          <w:rFonts w:ascii="Times New Roman" w:hAnsi="Times New Roman"/>
          <w:color w:val="auto"/>
          <w:sz w:val="36"/>
          <w:szCs w:val="32"/>
          <w:highlight w:val="none"/>
        </w:rPr>
      </w:pPr>
    </w:p>
    <w:p>
      <w:pPr>
        <w:snapToGrid w:val="0"/>
        <w:spacing w:line="312" w:lineRule="auto"/>
        <w:ind w:firstLine="1400" w:firstLineChars="500"/>
        <w:rPr>
          <w:rFonts w:hint="eastAsia" w:ascii="Times New Roman" w:hAnsi="Times New Roman"/>
          <w:color w:val="auto"/>
          <w:sz w:val="28"/>
          <w:szCs w:val="21"/>
          <w:highlight w:val="none"/>
        </w:rPr>
      </w:pPr>
      <w:r>
        <w:rPr>
          <w:rFonts w:hint="eastAsia" w:ascii="Times New Roman" w:hAnsi="Times New Roman"/>
          <w:color w:val="auto"/>
          <w:sz w:val="28"/>
          <w:szCs w:val="28"/>
          <w:highlight w:val="none"/>
        </w:rPr>
        <w:t>主编单位：</w:t>
      </w:r>
      <w:r>
        <w:rPr>
          <w:rFonts w:hint="eastAsia" w:ascii="Times New Roman" w:hAnsi="Times New Roman"/>
          <w:color w:val="auto"/>
          <w:sz w:val="28"/>
          <w:szCs w:val="21"/>
          <w:highlight w:val="none"/>
        </w:rPr>
        <w:t>上海宝钢新型建材科技有限公司</w:t>
      </w:r>
    </w:p>
    <w:p>
      <w:pPr>
        <w:snapToGrid w:val="0"/>
        <w:spacing w:line="312" w:lineRule="auto"/>
        <w:ind w:firstLine="2800" w:firstLineChars="1000"/>
        <w:rPr>
          <w:rFonts w:ascii="Times New Roman" w:hAnsi="Times New Roman"/>
          <w:color w:val="auto"/>
          <w:sz w:val="28"/>
          <w:szCs w:val="28"/>
          <w:highlight w:val="none"/>
        </w:rPr>
      </w:pPr>
      <w:r>
        <w:rPr>
          <w:rFonts w:hint="eastAsia" w:ascii="Times New Roman" w:hAnsi="Times New Roman"/>
          <w:color w:val="auto"/>
          <w:sz w:val="28"/>
          <w:szCs w:val="28"/>
          <w:highlight w:val="none"/>
        </w:rPr>
        <w:t>中国建筑标准设计研究院有限公司</w:t>
      </w:r>
    </w:p>
    <w:p>
      <w:pPr>
        <w:snapToGrid w:val="0"/>
        <w:spacing w:line="312" w:lineRule="auto"/>
        <w:ind w:firstLine="1400" w:firstLineChars="500"/>
        <w:rPr>
          <w:rFonts w:ascii="Times New Roman" w:hAnsi="Times New Roman"/>
          <w:color w:val="auto"/>
          <w:sz w:val="28"/>
          <w:szCs w:val="28"/>
          <w:highlight w:val="none"/>
        </w:rPr>
      </w:pPr>
      <w:r>
        <w:rPr>
          <w:rFonts w:hint="eastAsia" w:ascii="Times New Roman" w:hAnsi="Times New Roman"/>
          <w:color w:val="auto"/>
          <w:sz w:val="28"/>
          <w:szCs w:val="28"/>
          <w:highlight w:val="none"/>
        </w:rPr>
        <w:t>批准单位：中国工程建设标准化协会</w:t>
      </w:r>
    </w:p>
    <w:p>
      <w:pPr>
        <w:snapToGrid w:val="0"/>
        <w:spacing w:line="312" w:lineRule="auto"/>
        <w:ind w:firstLine="1400" w:firstLineChars="500"/>
        <w:rPr>
          <w:rFonts w:ascii="Times New Roman" w:hAnsi="Times New Roman"/>
          <w:color w:val="auto"/>
          <w:sz w:val="28"/>
          <w:szCs w:val="28"/>
          <w:highlight w:val="none"/>
        </w:rPr>
      </w:pPr>
      <w:r>
        <w:rPr>
          <w:rFonts w:hint="eastAsia" w:ascii="Times New Roman" w:hAnsi="Times New Roman"/>
          <w:color w:val="auto"/>
          <w:sz w:val="28"/>
          <w:szCs w:val="28"/>
          <w:highlight w:val="none"/>
        </w:rPr>
        <w:t>施行日期：</w:t>
      </w:r>
      <w:r>
        <w:rPr>
          <w:rFonts w:hint="eastAsia" w:ascii="Times New Roman" w:hAnsi="Times New Roman"/>
          <w:color w:val="auto"/>
          <w:sz w:val="28"/>
          <w:szCs w:val="28"/>
          <w:highlight w:val="none"/>
          <w:lang w:eastAsia="zh-CN"/>
        </w:rPr>
        <w:t>202X</w:t>
      </w:r>
      <w:r>
        <w:rPr>
          <w:rFonts w:hint="eastAsia" w:ascii="Times New Roman" w:hAnsi="Times New Roman"/>
          <w:color w:val="auto"/>
          <w:sz w:val="28"/>
          <w:szCs w:val="28"/>
          <w:highlight w:val="none"/>
        </w:rPr>
        <w:t>年</w:t>
      </w:r>
      <w:r>
        <w:rPr>
          <w:rFonts w:ascii="Times New Roman" w:hAnsi="Times New Roman"/>
          <w:color w:val="auto"/>
          <w:sz w:val="28"/>
          <w:szCs w:val="28"/>
          <w:highlight w:val="none"/>
        </w:rPr>
        <w:t>XX</w:t>
      </w:r>
      <w:r>
        <w:rPr>
          <w:rFonts w:hint="eastAsia" w:ascii="Times New Roman" w:hAnsi="Times New Roman"/>
          <w:color w:val="auto"/>
          <w:sz w:val="28"/>
          <w:szCs w:val="28"/>
          <w:highlight w:val="none"/>
        </w:rPr>
        <w:t>月</w:t>
      </w:r>
      <w:r>
        <w:rPr>
          <w:rFonts w:ascii="Times New Roman" w:hAnsi="Times New Roman"/>
          <w:color w:val="auto"/>
          <w:sz w:val="28"/>
          <w:szCs w:val="28"/>
          <w:highlight w:val="none"/>
        </w:rPr>
        <w:t>XX</w:t>
      </w:r>
      <w:r>
        <w:rPr>
          <w:rFonts w:hint="eastAsia" w:ascii="Times New Roman" w:hAnsi="Times New Roman"/>
          <w:color w:val="auto"/>
          <w:sz w:val="28"/>
          <w:szCs w:val="28"/>
          <w:highlight w:val="none"/>
        </w:rPr>
        <w:t>日</w:t>
      </w: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jc w:val="center"/>
        <w:rPr>
          <w:rFonts w:ascii="Times New Roman" w:hAnsi="Times New Roman"/>
          <w:color w:val="auto"/>
          <w:sz w:val="40"/>
          <w:szCs w:val="30"/>
          <w:highlight w:val="none"/>
        </w:rPr>
      </w:pPr>
    </w:p>
    <w:p>
      <w:pPr>
        <w:snapToGrid w:val="0"/>
        <w:spacing w:line="312" w:lineRule="auto"/>
        <w:jc w:val="center"/>
        <w:rPr>
          <w:rFonts w:ascii="Times New Roman" w:hAnsi="Times New Roman"/>
          <w:color w:val="auto"/>
          <w:sz w:val="40"/>
          <w:szCs w:val="30"/>
          <w:highlight w:val="none"/>
        </w:rPr>
      </w:pPr>
    </w:p>
    <w:p>
      <w:pPr>
        <w:snapToGrid w:val="0"/>
        <w:spacing w:line="312" w:lineRule="auto"/>
        <w:jc w:val="center"/>
        <w:rPr>
          <w:rFonts w:ascii="Times New Roman" w:hAnsi="Times New Roman"/>
          <w:color w:val="auto"/>
          <w:sz w:val="40"/>
          <w:szCs w:val="30"/>
          <w:highlight w:val="none"/>
        </w:rPr>
      </w:pPr>
    </w:p>
    <w:p>
      <w:pPr>
        <w:snapToGrid w:val="0"/>
        <w:spacing w:line="312" w:lineRule="auto"/>
        <w:jc w:val="center"/>
        <w:rPr>
          <w:rFonts w:ascii="Times New Roman" w:hAnsi="Times New Roman"/>
          <w:color w:val="auto"/>
          <w:sz w:val="40"/>
          <w:szCs w:val="30"/>
          <w:highlight w:val="none"/>
        </w:rPr>
      </w:pPr>
    </w:p>
    <w:p>
      <w:pPr>
        <w:snapToGrid w:val="0"/>
        <w:spacing w:line="312" w:lineRule="auto"/>
        <w:jc w:val="center"/>
        <w:rPr>
          <w:rFonts w:ascii="Times New Roman" w:hAnsi="Times New Roman" w:eastAsia="仿宋"/>
          <w:b/>
          <w:color w:val="auto"/>
          <w:sz w:val="32"/>
          <w:szCs w:val="30"/>
          <w:highlight w:val="none"/>
        </w:rPr>
      </w:pPr>
      <w:r>
        <w:rPr>
          <w:rFonts w:hint="eastAsia" w:ascii="Times New Roman" w:hAnsi="Times New Roman" w:eastAsia="仿宋"/>
          <w:b/>
          <w:color w:val="auto"/>
          <w:sz w:val="32"/>
          <w:szCs w:val="30"/>
          <w:highlight w:val="none"/>
        </w:rPr>
        <w:t>中国计划出版社</w:t>
      </w:r>
    </w:p>
    <w:p>
      <w:pPr>
        <w:snapToGrid w:val="0"/>
        <w:spacing w:line="312" w:lineRule="auto"/>
        <w:jc w:val="center"/>
        <w:rPr>
          <w:rFonts w:ascii="Times New Roman" w:hAnsi="Times New Roman" w:eastAsia="黑体"/>
          <w:color w:val="auto"/>
          <w:sz w:val="28"/>
          <w:szCs w:val="28"/>
          <w:highlight w:val="none"/>
        </w:rPr>
      </w:pPr>
      <w:r>
        <w:rPr>
          <w:rFonts w:hint="eastAsia" w:ascii="Times New Roman" w:hAnsi="Times New Roman" w:eastAsia="黑体"/>
          <w:color w:val="auto"/>
          <w:sz w:val="28"/>
          <w:szCs w:val="30"/>
          <w:highlight w:val="none"/>
          <w:lang w:eastAsia="zh-CN"/>
        </w:rPr>
        <w:t>202X</w:t>
      </w:r>
      <w:r>
        <w:rPr>
          <w:rFonts w:hint="eastAsia" w:ascii="Times New Roman" w:hAnsi="Times New Roman" w:eastAsia="黑体"/>
          <w:color w:val="auto"/>
          <w:sz w:val="28"/>
          <w:szCs w:val="28"/>
          <w:highlight w:val="none"/>
        </w:rPr>
        <w:t>年　北　</w:t>
      </w:r>
      <w:r>
        <w:rPr>
          <w:rFonts w:ascii="Times New Roman" w:hAnsi="Times New Roman" w:eastAsia="黑体"/>
          <w:color w:val="auto"/>
          <w:sz w:val="28"/>
          <w:szCs w:val="28"/>
          <w:highlight w:val="none"/>
        </w:rPr>
        <w:t>　</w:t>
      </w:r>
      <w:r>
        <w:rPr>
          <w:rFonts w:hint="eastAsia" w:ascii="Times New Roman" w:hAnsi="Times New Roman" w:eastAsia="黑体"/>
          <w:color w:val="auto"/>
          <w:sz w:val="28"/>
          <w:szCs w:val="28"/>
          <w:highlight w:val="none"/>
        </w:rPr>
        <w:t>京</w:t>
      </w:r>
    </w:p>
    <w:p>
      <w:pPr>
        <w:snapToGrid w:val="0"/>
        <w:spacing w:line="312" w:lineRule="auto"/>
        <w:jc w:val="left"/>
        <w:rPr>
          <w:rFonts w:ascii="Times New Roman" w:hAnsi="Times New Roman" w:eastAsia="黑体"/>
          <w:color w:val="auto"/>
          <w:sz w:val="36"/>
          <w:szCs w:val="28"/>
          <w:highlight w:val="none"/>
        </w:rPr>
        <w:sectPr>
          <w:pgSz w:w="11907" w:h="16840"/>
          <w:pgMar w:top="1440" w:right="1797" w:bottom="1440" w:left="1797" w:header="851" w:footer="992" w:gutter="0"/>
          <w:pgBorders>
            <w:top w:val="none" w:sz="0" w:space="0"/>
            <w:left w:val="none" w:sz="0" w:space="0"/>
            <w:bottom w:val="none" w:sz="0" w:space="0"/>
            <w:right w:val="none" w:sz="0" w:space="0"/>
          </w:pgBorders>
          <w:cols w:space="720" w:num="1"/>
          <w:titlePg/>
          <w:docGrid w:type="lines" w:linePitch="312" w:charSpace="0"/>
        </w:sectPr>
      </w:pPr>
    </w:p>
    <w:p>
      <w:pPr>
        <w:snapToGrid w:val="0"/>
        <w:spacing w:line="312" w:lineRule="auto"/>
        <w:jc w:val="center"/>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前　　言</w:t>
      </w:r>
    </w:p>
    <w:p>
      <w:pPr>
        <w:snapToGrid w:val="0"/>
        <w:spacing w:line="312" w:lineRule="auto"/>
        <w:jc w:val="left"/>
        <w:rPr>
          <w:rFonts w:ascii="Times New Roman" w:hAnsi="Times New Roman"/>
          <w:color w:val="auto"/>
          <w:sz w:val="28"/>
          <w:szCs w:val="28"/>
          <w:highlight w:val="none"/>
        </w:rPr>
      </w:pPr>
    </w:p>
    <w:p>
      <w:pPr>
        <w:keepNext w:val="0"/>
        <w:keepLines w:val="0"/>
        <w:pageBreakBefore w:val="0"/>
        <w:widowControl w:val="0"/>
        <w:kinsoku/>
        <w:wordWrap/>
        <w:overflowPunct/>
        <w:topLinePunct w:val="0"/>
        <w:autoSpaceDE/>
        <w:autoSpaceDN/>
        <w:bidi w:val="0"/>
        <w:adjustRightInd/>
        <w:snapToGrid w:val="0"/>
        <w:spacing w:line="348" w:lineRule="auto"/>
        <w:ind w:firstLine="560" w:firstLineChars="200"/>
        <w:textAlignment w:val="auto"/>
        <w:rPr>
          <w:rFonts w:hint="eastAsia" w:ascii="Times New Roman" w:hAnsi="Times New Roman"/>
          <w:color w:val="auto"/>
          <w:sz w:val="28"/>
          <w:szCs w:val="21"/>
          <w:highlight w:val="none"/>
        </w:rPr>
      </w:pPr>
      <w:r>
        <w:rPr>
          <w:rFonts w:hint="eastAsia" w:ascii="Times New Roman" w:hAnsi="Times New Roman"/>
          <w:color w:val="auto"/>
          <w:sz w:val="28"/>
          <w:szCs w:val="21"/>
          <w:highlight w:val="none"/>
        </w:rPr>
        <w:t>根据中国工程建设标准化协会《关于印发〈20</w:t>
      </w:r>
      <w:r>
        <w:rPr>
          <w:rFonts w:hint="eastAsia" w:ascii="Times New Roman" w:hAnsi="Times New Roman"/>
          <w:color w:val="auto"/>
          <w:sz w:val="28"/>
          <w:szCs w:val="21"/>
          <w:highlight w:val="none"/>
          <w:lang w:val="en-US" w:eastAsia="zh-CN"/>
        </w:rPr>
        <w:t>24</w:t>
      </w:r>
      <w:r>
        <w:rPr>
          <w:rFonts w:hint="eastAsia" w:ascii="Times New Roman" w:hAnsi="Times New Roman"/>
          <w:color w:val="auto"/>
          <w:sz w:val="28"/>
          <w:szCs w:val="21"/>
          <w:highlight w:val="none"/>
        </w:rPr>
        <w:t>年第</w:t>
      </w:r>
      <w:r>
        <w:rPr>
          <w:rFonts w:hint="eastAsia" w:ascii="Times New Roman" w:hAnsi="Times New Roman"/>
          <w:color w:val="auto"/>
          <w:sz w:val="28"/>
          <w:szCs w:val="21"/>
          <w:highlight w:val="none"/>
          <w:lang w:val="en-US" w:eastAsia="zh-CN"/>
        </w:rPr>
        <w:t>一</w:t>
      </w:r>
      <w:r>
        <w:rPr>
          <w:rFonts w:hint="eastAsia" w:ascii="Times New Roman" w:hAnsi="Times New Roman"/>
          <w:color w:val="auto"/>
          <w:sz w:val="28"/>
          <w:szCs w:val="21"/>
          <w:highlight w:val="none"/>
        </w:rPr>
        <w:t>批协会标准制订、修订计划〉的通知》（建标协字〔20</w:t>
      </w:r>
      <w:r>
        <w:rPr>
          <w:rFonts w:hint="eastAsia" w:ascii="Times New Roman" w:hAnsi="Times New Roman"/>
          <w:color w:val="auto"/>
          <w:sz w:val="28"/>
          <w:szCs w:val="21"/>
          <w:highlight w:val="none"/>
          <w:lang w:val="en-US" w:eastAsia="zh-CN"/>
        </w:rPr>
        <w:t>24</w:t>
      </w:r>
      <w:r>
        <w:rPr>
          <w:rFonts w:hint="eastAsia" w:ascii="Times New Roman" w:hAnsi="Times New Roman"/>
          <w:color w:val="auto"/>
          <w:sz w:val="28"/>
          <w:szCs w:val="21"/>
          <w:highlight w:val="none"/>
        </w:rPr>
        <w:t>〕</w:t>
      </w:r>
      <w:r>
        <w:rPr>
          <w:rFonts w:hint="eastAsia" w:ascii="Times New Roman" w:hAnsi="Times New Roman"/>
          <w:color w:val="auto"/>
          <w:sz w:val="28"/>
          <w:szCs w:val="21"/>
          <w:highlight w:val="none"/>
          <w:lang w:val="en-US" w:eastAsia="zh-CN"/>
        </w:rPr>
        <w:t>15</w:t>
      </w:r>
      <w:r>
        <w:rPr>
          <w:rFonts w:hint="eastAsia" w:ascii="Times New Roman" w:hAnsi="Times New Roman"/>
          <w:color w:val="auto"/>
          <w:sz w:val="28"/>
          <w:szCs w:val="21"/>
          <w:highlight w:val="none"/>
        </w:rPr>
        <w:t>号）的要求，规程编制组经过深入调查研究，认真总结实践经验，参考国内外相关先进标准，并在广泛征求意见的基础上，制定本规程。</w:t>
      </w:r>
    </w:p>
    <w:p>
      <w:pPr>
        <w:keepNext w:val="0"/>
        <w:keepLines w:val="0"/>
        <w:pageBreakBefore w:val="0"/>
        <w:widowControl w:val="0"/>
        <w:kinsoku/>
        <w:wordWrap/>
        <w:overflowPunct/>
        <w:topLinePunct w:val="0"/>
        <w:autoSpaceDE/>
        <w:autoSpaceDN/>
        <w:bidi w:val="0"/>
        <w:adjustRightInd/>
        <w:snapToGrid w:val="0"/>
        <w:spacing w:line="348" w:lineRule="auto"/>
        <w:ind w:firstLine="560" w:firstLineChars="200"/>
        <w:textAlignment w:val="auto"/>
        <w:rPr>
          <w:rFonts w:hint="eastAsia" w:ascii="Times New Roman" w:hAnsi="Times New Roman"/>
          <w:color w:val="auto"/>
          <w:sz w:val="28"/>
          <w:szCs w:val="21"/>
          <w:highlight w:val="none"/>
          <w:lang w:val="en-US" w:eastAsia="zh-CN"/>
        </w:rPr>
      </w:pPr>
      <w:r>
        <w:rPr>
          <w:rFonts w:hint="eastAsia" w:ascii="Times New Roman" w:hAnsi="Times New Roman"/>
          <w:color w:val="auto"/>
          <w:sz w:val="28"/>
          <w:szCs w:val="21"/>
          <w:highlight w:val="none"/>
        </w:rPr>
        <w:t>本规程共分</w:t>
      </w:r>
      <w:r>
        <w:rPr>
          <w:rFonts w:hint="eastAsia" w:ascii="Times New Roman" w:hAnsi="Times New Roman"/>
          <w:color w:val="auto"/>
          <w:sz w:val="28"/>
          <w:szCs w:val="21"/>
          <w:highlight w:val="none"/>
          <w:lang w:val="en-US" w:eastAsia="zh-CN"/>
        </w:rPr>
        <w:t>6</w:t>
      </w:r>
      <w:r>
        <w:rPr>
          <w:rFonts w:hint="eastAsia" w:ascii="Times New Roman" w:hAnsi="Times New Roman"/>
          <w:color w:val="auto"/>
          <w:sz w:val="28"/>
          <w:szCs w:val="21"/>
          <w:highlight w:val="none"/>
        </w:rPr>
        <w:t>章，主要内容包括：总则</w:t>
      </w:r>
      <w:r>
        <w:rPr>
          <w:rFonts w:hint="eastAsia" w:ascii="Times New Roman" w:hAnsi="Times New Roman"/>
          <w:color w:val="auto"/>
          <w:sz w:val="28"/>
          <w:szCs w:val="21"/>
          <w:highlight w:val="none"/>
          <w:lang w:eastAsia="zh-CN"/>
        </w:rPr>
        <w:t>，</w:t>
      </w:r>
      <w:r>
        <w:rPr>
          <w:rFonts w:hint="eastAsia" w:ascii="Times New Roman" w:hAnsi="Times New Roman"/>
          <w:color w:val="auto"/>
          <w:sz w:val="28"/>
          <w:szCs w:val="21"/>
          <w:highlight w:val="none"/>
        </w:rPr>
        <w:t>术语</w:t>
      </w:r>
      <w:r>
        <w:rPr>
          <w:rFonts w:hint="eastAsia" w:ascii="Times New Roman" w:hAnsi="Times New Roman"/>
          <w:color w:val="auto"/>
          <w:sz w:val="28"/>
          <w:szCs w:val="21"/>
          <w:highlight w:val="none"/>
          <w:lang w:eastAsia="zh-CN"/>
        </w:rPr>
        <w:t>，</w:t>
      </w:r>
      <w:r>
        <w:rPr>
          <w:rFonts w:hint="eastAsia" w:ascii="Times New Roman" w:hAnsi="Times New Roman"/>
          <w:color w:val="auto"/>
          <w:sz w:val="28"/>
          <w:szCs w:val="21"/>
          <w:highlight w:val="none"/>
          <w:lang w:val="en-US" w:eastAsia="zh-CN"/>
        </w:rPr>
        <w:t>材料及性能，设计，施工，验收。</w:t>
      </w:r>
    </w:p>
    <w:p>
      <w:pPr>
        <w:keepNext w:val="0"/>
        <w:keepLines w:val="0"/>
        <w:pageBreakBefore w:val="0"/>
        <w:widowControl w:val="0"/>
        <w:kinsoku/>
        <w:wordWrap/>
        <w:overflowPunct/>
        <w:topLinePunct w:val="0"/>
        <w:autoSpaceDE/>
        <w:autoSpaceDN/>
        <w:bidi w:val="0"/>
        <w:adjustRightInd/>
        <w:snapToGrid w:val="0"/>
        <w:spacing w:line="348" w:lineRule="auto"/>
        <w:ind w:firstLine="560" w:firstLineChars="200"/>
        <w:textAlignment w:val="auto"/>
        <w:rPr>
          <w:rFonts w:ascii="Times New Roman" w:hAnsi="Times New Roman"/>
          <w:color w:val="auto"/>
          <w:sz w:val="28"/>
          <w:szCs w:val="21"/>
          <w:highlight w:val="none"/>
        </w:rPr>
      </w:pPr>
      <w:r>
        <w:rPr>
          <w:rFonts w:hint="eastAsia" w:ascii="Times New Roman" w:hAnsi="Times New Roman"/>
          <w:color w:val="auto"/>
          <w:sz w:val="28"/>
          <w:szCs w:val="21"/>
          <w:highlight w:val="none"/>
        </w:rPr>
        <w:t>本规程的某些内容可能直接或间接涉及专利，本规程的发布机构不承担识别这些专利的责任。</w:t>
      </w:r>
    </w:p>
    <w:p>
      <w:pPr>
        <w:keepNext w:val="0"/>
        <w:keepLines w:val="0"/>
        <w:pageBreakBefore w:val="0"/>
        <w:widowControl w:val="0"/>
        <w:kinsoku/>
        <w:wordWrap/>
        <w:overflowPunct/>
        <w:topLinePunct w:val="0"/>
        <w:autoSpaceDE/>
        <w:autoSpaceDN/>
        <w:bidi w:val="0"/>
        <w:adjustRightInd/>
        <w:snapToGrid w:val="0"/>
        <w:spacing w:line="348" w:lineRule="auto"/>
        <w:ind w:firstLine="560" w:firstLineChars="200"/>
        <w:textAlignment w:val="auto"/>
        <w:rPr>
          <w:rFonts w:ascii="Times New Roman" w:hAnsi="Times New Roman"/>
          <w:b/>
          <w:color w:val="auto"/>
          <w:sz w:val="28"/>
          <w:szCs w:val="21"/>
          <w:highlight w:val="none"/>
        </w:rPr>
      </w:pPr>
      <w:r>
        <w:rPr>
          <w:rFonts w:hint="eastAsia" w:ascii="Times New Roman" w:hAnsi="Times New Roman"/>
          <w:color w:val="auto"/>
          <w:sz w:val="28"/>
          <w:szCs w:val="21"/>
          <w:highlight w:val="none"/>
        </w:rPr>
        <w:t>本规程由中国工程建设标准化协会建筑与市政工程产品应用分</w:t>
      </w:r>
      <w:r>
        <w:rPr>
          <w:rFonts w:ascii="Times New Roman" w:hAnsi="Times New Roman"/>
          <w:color w:val="auto"/>
          <w:sz w:val="28"/>
          <w:szCs w:val="21"/>
          <w:highlight w:val="none"/>
        </w:rPr>
        <w:t>会</w:t>
      </w:r>
      <w:r>
        <w:rPr>
          <w:rFonts w:hint="eastAsia" w:ascii="Times New Roman" w:hAnsi="Times New Roman"/>
          <w:color w:val="auto"/>
          <w:sz w:val="28"/>
          <w:szCs w:val="21"/>
          <w:highlight w:val="none"/>
        </w:rPr>
        <w:t>归口管理，由中国建筑标准设计研究院有限公司负责具体技术内容的解释。本规程在执行过程中，如有需要修改或补充之处，请将有关资料和建议寄送上海宝钢新型建材科技有限公司（地址：上海市宝山区漠河路301号，邮政编码：201999），以供修订时参考。</w:t>
      </w:r>
    </w:p>
    <w:p>
      <w:pPr>
        <w:keepNext w:val="0"/>
        <w:keepLines w:val="0"/>
        <w:pageBreakBefore w:val="0"/>
        <w:widowControl w:val="0"/>
        <w:kinsoku/>
        <w:wordWrap/>
        <w:overflowPunct/>
        <w:topLinePunct w:val="0"/>
        <w:autoSpaceDE/>
        <w:autoSpaceDN/>
        <w:bidi w:val="0"/>
        <w:adjustRightInd/>
        <w:snapToGrid w:val="0"/>
        <w:spacing w:line="348" w:lineRule="auto"/>
        <w:ind w:firstLine="640" w:firstLineChars="200"/>
        <w:textAlignment w:val="auto"/>
        <w:rPr>
          <w:rFonts w:hint="eastAsia" w:ascii="Times New Roman" w:hAnsi="Times New Roman"/>
          <w:color w:val="000000" w:themeColor="text1"/>
          <w:sz w:val="28"/>
          <w:szCs w:val="21"/>
          <w:highlight w:val="none"/>
        </w:rPr>
      </w:pPr>
      <w:r>
        <w:rPr>
          <w:rFonts w:hint="eastAsia" w:ascii="Times New Roman" w:hAnsi="Times New Roman" w:eastAsia="黑体"/>
          <w:color w:val="000000" w:themeColor="text1"/>
          <w:spacing w:val="20"/>
          <w:sz w:val="28"/>
          <w:szCs w:val="21"/>
          <w:highlight w:val="none"/>
        </w:rPr>
        <w:t>主编单位</w:t>
      </w:r>
      <w:r>
        <w:rPr>
          <w:rFonts w:hint="eastAsia" w:ascii="Times New Roman" w:hAnsi="Times New Roman"/>
          <w:b/>
          <w:color w:val="000000" w:themeColor="text1"/>
          <w:sz w:val="28"/>
          <w:szCs w:val="21"/>
          <w:highlight w:val="none"/>
        </w:rPr>
        <w:t>：</w:t>
      </w:r>
      <w:r>
        <w:rPr>
          <w:rFonts w:hint="eastAsia" w:ascii="Times New Roman" w:hAnsi="Times New Roman"/>
          <w:color w:val="000000" w:themeColor="text1"/>
          <w:sz w:val="28"/>
          <w:szCs w:val="21"/>
          <w:highlight w:val="none"/>
        </w:rPr>
        <w:t>上海宝钢新型建材科技有限公司</w:t>
      </w:r>
    </w:p>
    <w:p>
      <w:pPr>
        <w:keepNext w:val="0"/>
        <w:keepLines w:val="0"/>
        <w:pageBreakBefore w:val="0"/>
        <w:widowControl w:val="0"/>
        <w:kinsoku/>
        <w:wordWrap/>
        <w:overflowPunct/>
        <w:topLinePunct w:val="0"/>
        <w:autoSpaceDE/>
        <w:autoSpaceDN/>
        <w:bidi w:val="0"/>
        <w:adjustRightInd/>
        <w:snapToGrid w:val="0"/>
        <w:spacing w:line="348" w:lineRule="auto"/>
        <w:ind w:firstLine="2240" w:firstLineChars="800"/>
        <w:jc w:val="left"/>
        <w:textAlignment w:val="auto"/>
        <w:rPr>
          <w:rFonts w:ascii="Times New Roman" w:hAnsi="Times New Roman"/>
          <w:color w:val="000000" w:themeColor="text1"/>
          <w:sz w:val="28"/>
          <w:szCs w:val="21"/>
          <w:highlight w:val="none"/>
        </w:rPr>
      </w:pPr>
      <w:r>
        <w:rPr>
          <w:rFonts w:hint="eastAsia" w:ascii="Times New Roman" w:hAnsi="Times New Roman"/>
          <w:color w:val="000000" w:themeColor="text1"/>
          <w:sz w:val="28"/>
          <w:szCs w:val="21"/>
          <w:highlight w:val="none"/>
        </w:rPr>
        <w:t>中国建筑标准设计研究院有限公司</w:t>
      </w:r>
    </w:p>
    <w:p>
      <w:pPr>
        <w:keepNext w:val="0"/>
        <w:keepLines w:val="0"/>
        <w:pageBreakBefore w:val="0"/>
        <w:widowControl w:val="0"/>
        <w:kinsoku/>
        <w:wordWrap/>
        <w:overflowPunct/>
        <w:topLinePunct w:val="0"/>
        <w:autoSpaceDE/>
        <w:autoSpaceDN/>
        <w:bidi w:val="0"/>
        <w:adjustRightInd/>
        <w:snapToGrid w:val="0"/>
        <w:spacing w:line="348" w:lineRule="auto"/>
        <w:ind w:firstLine="640" w:firstLineChars="200"/>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eastAsia="黑体"/>
          <w:color w:val="000000" w:themeColor="text1"/>
          <w:spacing w:val="20"/>
          <w:sz w:val="28"/>
          <w:szCs w:val="21"/>
          <w:highlight w:val="none"/>
          <w:lang w:val="en-US" w:eastAsia="zh-CN"/>
        </w:rPr>
        <w:t>参</w:t>
      </w:r>
      <w:r>
        <w:rPr>
          <w:rFonts w:hint="eastAsia" w:ascii="Times New Roman" w:hAnsi="Times New Roman" w:eastAsia="黑体"/>
          <w:color w:val="000000" w:themeColor="text1"/>
          <w:spacing w:val="20"/>
          <w:sz w:val="28"/>
          <w:szCs w:val="21"/>
          <w:highlight w:val="none"/>
        </w:rPr>
        <w:t>编单位</w:t>
      </w:r>
      <w:r>
        <w:rPr>
          <w:rFonts w:hint="eastAsia" w:ascii="Times New Roman" w:hAnsi="Times New Roman"/>
          <w:b/>
          <w:color w:val="000000" w:themeColor="text1"/>
          <w:sz w:val="28"/>
          <w:szCs w:val="21"/>
          <w:highlight w:val="none"/>
        </w:rPr>
        <w:t>：</w:t>
      </w:r>
      <w:r>
        <w:rPr>
          <w:rFonts w:hint="eastAsia" w:ascii="Times New Roman" w:hAnsi="Times New Roman"/>
          <w:color w:val="000000" w:themeColor="text1"/>
          <w:sz w:val="28"/>
          <w:szCs w:val="21"/>
          <w:highlight w:val="none"/>
          <w:lang w:val="en-US" w:eastAsia="zh-CN"/>
        </w:rPr>
        <w:t>中交上海三航科学研究院有限公司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宝武环科（湛江）资源循环利用有限公司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宝武环科南京资源利用有限公司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宝武环科马鞍山资源利用有限公司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宝武环科武汉金属资源有限责任公司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宝武环科重庆资源循环利用有限公司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 xml:space="preserve">宝武环科鄂州资源有限责任公司   </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广东华欣环保科技有限公司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宝武环科山西资源循环利用有限公司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r>
        <w:rPr>
          <w:rFonts w:hint="eastAsia" w:ascii="Times New Roman" w:hAnsi="Times New Roman"/>
          <w:color w:val="000000" w:themeColor="text1"/>
          <w:sz w:val="28"/>
          <w:szCs w:val="21"/>
          <w:highlight w:val="none"/>
          <w:lang w:val="en-US" w:eastAsia="zh-CN"/>
        </w:rPr>
        <w:t>新疆互力佳源环保科技有限公司</w:t>
      </w:r>
    </w:p>
    <w:p>
      <w:pPr>
        <w:keepNext w:val="0"/>
        <w:keepLines w:val="0"/>
        <w:pageBreakBefore w:val="0"/>
        <w:widowControl w:val="0"/>
        <w:kinsoku/>
        <w:wordWrap/>
        <w:overflowPunct/>
        <w:topLinePunct w:val="0"/>
        <w:autoSpaceDE/>
        <w:autoSpaceDN/>
        <w:bidi w:val="0"/>
        <w:adjustRightInd/>
        <w:snapToGrid w:val="0"/>
        <w:spacing w:line="348" w:lineRule="auto"/>
        <w:ind w:left="0" w:leftChars="0" w:firstLine="2318" w:firstLineChars="828"/>
        <w:textAlignment w:val="auto"/>
        <w:rPr>
          <w:rFonts w:hint="eastAsia" w:ascii="Times New Roman" w:hAnsi="Times New Roman"/>
          <w:color w:val="000000" w:themeColor="text1"/>
          <w:sz w:val="28"/>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48" w:lineRule="auto"/>
        <w:ind w:left="2314" w:leftChars="266" w:hanging="1755" w:hangingChars="627"/>
        <w:jc w:val="left"/>
        <w:textAlignment w:val="auto"/>
        <w:rPr>
          <w:rFonts w:hint="default" w:ascii="Times New Roman" w:hAnsi="Times New Roman" w:eastAsia="黑体"/>
          <w:color w:val="auto"/>
          <w:sz w:val="28"/>
          <w:szCs w:val="21"/>
          <w:highlight w:val="none"/>
          <w:lang w:val="en-US" w:eastAsia="zh-CN"/>
        </w:rPr>
      </w:pPr>
      <w:r>
        <w:rPr>
          <w:rFonts w:hint="eastAsia" w:ascii="Times New Roman" w:hAnsi="Times New Roman" w:eastAsia="黑体"/>
          <w:color w:val="auto"/>
          <w:sz w:val="28"/>
          <w:szCs w:val="21"/>
          <w:highlight w:val="none"/>
        </w:rPr>
        <w:t>主要起草人：</w:t>
      </w:r>
    </w:p>
    <w:p>
      <w:pPr>
        <w:keepNext w:val="0"/>
        <w:keepLines w:val="0"/>
        <w:pageBreakBefore w:val="0"/>
        <w:widowControl w:val="0"/>
        <w:kinsoku/>
        <w:wordWrap/>
        <w:overflowPunct/>
        <w:topLinePunct w:val="0"/>
        <w:autoSpaceDE/>
        <w:autoSpaceDN/>
        <w:bidi w:val="0"/>
        <w:adjustRightInd/>
        <w:snapToGrid w:val="0"/>
        <w:spacing w:line="348" w:lineRule="auto"/>
        <w:ind w:left="2314" w:leftChars="266" w:hanging="1755" w:hangingChars="627"/>
        <w:jc w:val="left"/>
        <w:textAlignment w:val="auto"/>
        <w:rPr>
          <w:rFonts w:hint="default" w:ascii="Times New Roman" w:hAnsi="Times New Roman"/>
          <w:color w:val="auto"/>
          <w:sz w:val="28"/>
          <w:szCs w:val="21"/>
          <w:highlight w:val="none"/>
          <w:lang w:val="en-US" w:eastAsia="zh-CN"/>
        </w:rPr>
      </w:pPr>
      <w:r>
        <w:rPr>
          <w:rFonts w:hint="eastAsia" w:ascii="Times New Roman" w:hAnsi="Times New Roman" w:eastAsia="黑体"/>
          <w:color w:val="auto"/>
          <w:sz w:val="28"/>
          <w:szCs w:val="21"/>
          <w:highlight w:val="none"/>
        </w:rPr>
        <w:t>主要审查人</w:t>
      </w:r>
      <w:r>
        <w:rPr>
          <w:rFonts w:hint="eastAsia" w:ascii="Times New Roman" w:hAnsi="Times New Roman"/>
          <w:b/>
          <w:color w:val="auto"/>
          <w:sz w:val="28"/>
          <w:szCs w:val="21"/>
          <w:highlight w:val="none"/>
        </w:rPr>
        <w:t>：</w:t>
      </w:r>
    </w:p>
    <w:bookmarkEnd w:id="0"/>
    <w:bookmarkEnd w:id="1"/>
    <w:bookmarkEnd w:id="2"/>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p>
      <w:pPr>
        <w:snapToGrid w:val="0"/>
        <w:spacing w:line="312" w:lineRule="auto"/>
        <w:jc w:val="center"/>
        <w:rPr>
          <w:rFonts w:ascii="Times New Roman" w:hAnsi="Times New Roman" w:eastAsia="仿宋" w:cs="Times New Roman"/>
          <w:b/>
          <w:color w:val="auto"/>
          <w:sz w:val="36"/>
          <w:szCs w:val="32"/>
          <w:highlight w:val="none"/>
          <w:lang w:val="zh-CN"/>
        </w:rPr>
      </w:pPr>
      <w:r>
        <w:rPr>
          <w:rFonts w:hint="eastAsia" w:ascii="Times New Roman" w:hAnsi="Times New Roman" w:eastAsia="仿宋" w:cs="Times New Roman"/>
          <w:b/>
          <w:color w:val="auto"/>
          <w:sz w:val="36"/>
          <w:szCs w:val="32"/>
          <w:highlight w:val="none"/>
          <w:lang w:val="zh-CN"/>
        </w:rPr>
        <w:t>目　</w:t>
      </w:r>
      <w:r>
        <w:rPr>
          <w:rFonts w:ascii="Times New Roman" w:hAnsi="Times New Roman" w:eastAsia="仿宋" w:cs="Times New Roman"/>
          <w:b/>
          <w:color w:val="auto"/>
          <w:sz w:val="36"/>
          <w:szCs w:val="32"/>
          <w:highlight w:val="none"/>
          <w:lang w:val="zh-CN"/>
        </w:rPr>
        <w:t>　</w:t>
      </w:r>
      <w:r>
        <w:rPr>
          <w:rFonts w:hint="eastAsia" w:ascii="Times New Roman" w:hAnsi="Times New Roman" w:eastAsia="仿宋" w:cs="Times New Roman"/>
          <w:b/>
          <w:color w:val="auto"/>
          <w:sz w:val="36"/>
          <w:szCs w:val="32"/>
          <w:highlight w:val="none"/>
          <w:lang w:val="zh-CN"/>
        </w:rPr>
        <w:t>次</w:t>
      </w:r>
    </w:p>
    <w:p>
      <w:pPr>
        <w:rPr>
          <w:rFonts w:ascii="Times New Roman" w:hAnsi="Times New Roman"/>
          <w:color w:val="auto"/>
          <w:highlight w:val="none"/>
          <w:lang w:val="zh-CN"/>
        </w:rPr>
      </w:pP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bookmarkStart w:id="3" w:name="_Toc30020247"/>
      <w:bookmarkStart w:id="4" w:name="_Toc29930056"/>
      <w:bookmarkStart w:id="5" w:name="_Toc533422737"/>
      <w:bookmarkStart w:id="6" w:name="_Toc30020852"/>
      <w:bookmarkStart w:id="7" w:name="_Toc533422967"/>
      <w:bookmarkStart w:id="8" w:name="_Toc533422607"/>
      <w:r>
        <w:rPr>
          <w:rFonts w:ascii="Times New Roman" w:hAnsi="Times New Roman" w:cs="Times New Roman"/>
          <w:b w:val="0"/>
          <w:bCs w:val="0"/>
          <w:color w:val="auto"/>
          <w:sz w:val="28"/>
          <w:szCs w:val="28"/>
          <w:highlight w:val="none"/>
          <w:lang w:val="zh-CN"/>
        </w:rPr>
        <w:fldChar w:fldCharType="begin"/>
      </w:r>
      <w:r>
        <w:rPr>
          <w:rFonts w:ascii="Times New Roman" w:hAnsi="Times New Roman" w:cs="Times New Roman"/>
          <w:b w:val="0"/>
          <w:bCs w:val="0"/>
          <w:color w:val="auto"/>
          <w:sz w:val="28"/>
          <w:szCs w:val="28"/>
          <w:highlight w:val="none"/>
          <w:lang w:val="zh-CN"/>
        </w:rPr>
        <w:instrText xml:space="preserve"> TOC \o "1-2" \h \z \u </w:instrText>
      </w:r>
      <w:r>
        <w:rPr>
          <w:rFonts w:ascii="Times New Roman" w:hAnsi="Times New Roman" w:cs="Times New Roman"/>
          <w:b w:val="0"/>
          <w:bCs w:val="0"/>
          <w:color w:val="auto"/>
          <w:sz w:val="28"/>
          <w:szCs w:val="28"/>
          <w:highlight w:val="none"/>
          <w:lang w:val="zh-CN"/>
        </w:rPr>
        <w:fldChar w:fldCharType="separate"/>
      </w:r>
      <w:r>
        <w:rPr>
          <w:rFonts w:ascii="Times New Roman" w:hAnsi="Times New Roman" w:cs="Times New Roman"/>
          <w:b w:val="0"/>
          <w:bCs w:val="0"/>
          <w:color w:val="auto"/>
          <w:sz w:val="28"/>
          <w:szCs w:val="28"/>
          <w:highlight w:val="none"/>
          <w:lang w:val="zh-CN"/>
        </w:rPr>
        <w:fldChar w:fldCharType="begin"/>
      </w:r>
      <w:r>
        <w:rPr>
          <w:rFonts w:ascii="Times New Roman" w:hAnsi="Times New Roman" w:cs="Times New Roman"/>
          <w:b w:val="0"/>
          <w:bCs w:val="0"/>
          <w:color w:val="auto"/>
          <w:sz w:val="28"/>
          <w:szCs w:val="28"/>
          <w:highlight w:val="none"/>
          <w:lang w:val="zh-CN"/>
        </w:rPr>
        <w:instrText xml:space="preserve"> TOC \o "1-2" \h \z \u </w:instrText>
      </w:r>
      <w:r>
        <w:rPr>
          <w:rFonts w:ascii="Times New Roman" w:hAnsi="Times New Roman" w:cs="Times New Roman"/>
          <w:b w:val="0"/>
          <w:bCs w:val="0"/>
          <w:color w:val="auto"/>
          <w:sz w:val="28"/>
          <w:szCs w:val="28"/>
          <w:highlight w:val="none"/>
          <w:lang w:val="zh-CN"/>
        </w:rPr>
        <w:fldChar w:fldCharType="separate"/>
      </w: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"_Toc30020852" </w:instrText>
      </w:r>
      <w:r>
        <w:rPr>
          <w:rFonts w:ascii="Times New Roman" w:hAnsi="Times New Roman"/>
          <w:b w:val="0"/>
          <w:bCs w:val="0"/>
          <w:color w:val="auto"/>
          <w:sz w:val="28"/>
          <w:szCs w:val="28"/>
          <w:highlight w:val="none"/>
        </w:rPr>
        <w:fldChar w:fldCharType="separate"/>
      </w:r>
      <w:r>
        <w:rPr>
          <w:rStyle w:val="25"/>
          <w:rFonts w:ascii="Times New Roman" w:hAnsi="Times New Roman" w:cs="Times New Roman"/>
          <w:b w:val="0"/>
          <w:bCs w:val="0"/>
          <w:color w:val="auto"/>
          <w:sz w:val="28"/>
          <w:szCs w:val="28"/>
          <w:highlight w:val="none"/>
          <w:lang w:val="zh-CN"/>
        </w:rPr>
        <w:t>1　总　　则</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（1）</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"_Toc30020853" </w:instrText>
      </w:r>
      <w:r>
        <w:rPr>
          <w:rFonts w:ascii="Times New Roman" w:hAnsi="Times New Roman"/>
          <w:b w:val="0"/>
          <w:bCs w:val="0"/>
          <w:color w:val="auto"/>
          <w:sz w:val="28"/>
          <w:szCs w:val="28"/>
          <w:highlight w:val="none"/>
        </w:rPr>
        <w:fldChar w:fldCharType="separate"/>
      </w:r>
      <w:r>
        <w:rPr>
          <w:rStyle w:val="25"/>
          <w:rFonts w:ascii="Times New Roman" w:hAnsi="Times New Roman" w:cs="Times New Roman"/>
          <w:b w:val="0"/>
          <w:bCs w:val="0"/>
          <w:color w:val="auto"/>
          <w:sz w:val="28"/>
          <w:szCs w:val="28"/>
          <w:highlight w:val="none"/>
          <w:lang w:val="zh-CN"/>
        </w:rPr>
        <w:t>2　术</w:t>
      </w:r>
      <w:r>
        <w:rPr>
          <w:rStyle w:val="25"/>
          <w:rFonts w:hint="eastAsia" w:ascii="Times New Roman" w:hAnsi="Times New Roman" w:cs="Times New Roman"/>
          <w:b w:val="0"/>
          <w:bCs w:val="0"/>
          <w:color w:val="auto"/>
          <w:sz w:val="28"/>
          <w:szCs w:val="28"/>
          <w:highlight w:val="none"/>
          <w:lang w:val="en-US" w:eastAsia="zh-CN"/>
        </w:rPr>
        <w:t xml:space="preserve">    </w:t>
      </w:r>
      <w:r>
        <w:rPr>
          <w:rStyle w:val="25"/>
          <w:rFonts w:ascii="Times New Roman" w:hAnsi="Times New Roman" w:cs="Times New Roman"/>
          <w:b w:val="0"/>
          <w:bCs w:val="0"/>
          <w:color w:val="auto"/>
          <w:sz w:val="28"/>
          <w:szCs w:val="28"/>
          <w:highlight w:val="none"/>
          <w:lang w:val="zh-CN"/>
        </w:rPr>
        <w:t>语</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"_Toc30020859"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3</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基本规定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4</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"_Toc30020859"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4</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材料及性能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5</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"_Toc30020860"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4</w:t>
      </w:r>
      <w:r>
        <w:rPr>
          <w:rFonts w:ascii="Times New Roman" w:hAnsi="Times New Roman"/>
          <w:b w:val="0"/>
          <w:bCs w:val="0"/>
          <w:color w:val="auto"/>
          <w:sz w:val="28"/>
          <w:szCs w:val="28"/>
          <w:highlight w:val="none"/>
        </w:rPr>
        <w:t>.1　</w:t>
      </w:r>
      <w:r>
        <w:rPr>
          <w:rFonts w:hint="eastAsia" w:ascii="Times New Roman" w:hAnsi="Times New Roman"/>
          <w:b w:val="0"/>
          <w:bCs w:val="0"/>
          <w:color w:val="auto"/>
          <w:sz w:val="28"/>
          <w:szCs w:val="28"/>
          <w:highlight w:val="none"/>
          <w:lang w:val="en-US" w:eastAsia="zh-CN"/>
        </w:rPr>
        <w:t xml:space="preserve">原材料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5</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"_Toc30020860"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4</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2</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水工掺合料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5</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4</w:t>
      </w:r>
      <w:r>
        <w:rPr>
          <w:rFonts w:ascii="Times New Roman" w:hAnsi="Times New Roman" w:eastAsia="宋体" w:cs="Times New Roman"/>
          <w:b w:val="0"/>
          <w:bCs w:val="0"/>
          <w:color w:val="auto"/>
          <w:sz w:val="28"/>
          <w:szCs w:val="28"/>
          <w:highlight w:val="none"/>
        </w:rPr>
        <w:t>.</w:t>
      </w:r>
      <w:r>
        <w:rPr>
          <w:rFonts w:hint="eastAsia" w:ascii="Times New Roman" w:hAnsi="Times New Roman" w:eastAsia="宋体" w:cs="Times New Roman"/>
          <w:b w:val="0"/>
          <w:bCs w:val="0"/>
          <w:color w:val="auto"/>
          <w:sz w:val="28"/>
          <w:szCs w:val="28"/>
          <w:highlight w:val="none"/>
          <w:lang w:val="en-US" w:eastAsia="zh-CN"/>
        </w:rPr>
        <w:t>3</w:t>
      </w:r>
      <w:r>
        <w:rPr>
          <w:rFonts w:ascii="Times New Roman" w:hAnsi="Times New Roman" w:eastAsia="宋体" w:cs="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水工掺合料</w:t>
      </w:r>
      <w:r>
        <w:rPr>
          <w:rFonts w:hint="eastAsia" w:ascii="Times New Roman" w:hAnsi="Times New Roman" w:eastAsia="宋体" w:cs="Times New Roman"/>
          <w:b w:val="0"/>
          <w:bCs w:val="0"/>
          <w:color w:val="auto"/>
          <w:sz w:val="28"/>
          <w:szCs w:val="28"/>
          <w:highlight w:val="none"/>
          <w:lang w:val="en-US" w:eastAsia="zh-CN"/>
        </w:rPr>
        <w:t xml:space="preserve">交货、验收与储存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6</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"_Toc30020859"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5</w:t>
      </w:r>
      <w:r>
        <w:rPr>
          <w:rStyle w:val="25"/>
          <w:rFonts w:ascii="Times New Roman" w:hAnsi="Times New Roman" w:cs="Times New Roman"/>
          <w:b w:val="0"/>
          <w:bCs w:val="0"/>
          <w:color w:val="auto"/>
          <w:sz w:val="28"/>
          <w:szCs w:val="28"/>
          <w:highlight w:val="none"/>
          <w:lang w:val="zh-CN"/>
        </w:rPr>
        <w:t>　</w:t>
      </w:r>
      <w:r>
        <w:rPr>
          <w:rFonts w:hint="eastAsia" w:ascii="Times New Roman" w:hAnsi="Times New Roman"/>
          <w:b w:val="0"/>
          <w:bCs w:val="0"/>
          <w:color w:val="auto"/>
          <w:sz w:val="28"/>
          <w:szCs w:val="28"/>
          <w:highlight w:val="none"/>
          <w:lang w:val="en-US" w:eastAsia="zh-CN"/>
        </w:rPr>
        <w:t>水工掺合料混凝土配合比设计</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8</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"_Toc30020860"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5</w:t>
      </w:r>
      <w:r>
        <w:rPr>
          <w:rFonts w:ascii="Times New Roman" w:hAnsi="Times New Roman"/>
          <w:b w:val="0"/>
          <w:bCs w:val="0"/>
          <w:color w:val="auto"/>
          <w:sz w:val="28"/>
          <w:szCs w:val="28"/>
          <w:highlight w:val="none"/>
        </w:rPr>
        <w:t>.1　</w:t>
      </w:r>
      <w:r>
        <w:rPr>
          <w:rFonts w:hint="eastAsia" w:ascii="Times New Roman" w:hAnsi="Times New Roman"/>
          <w:b w:val="0"/>
          <w:bCs w:val="0"/>
          <w:color w:val="auto"/>
          <w:sz w:val="28"/>
          <w:szCs w:val="28"/>
          <w:highlight w:val="none"/>
          <w:lang w:val="en-US" w:eastAsia="zh-CN"/>
        </w:rPr>
        <w:t xml:space="preserve">原材料要求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8</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5</w:t>
      </w:r>
      <w:r>
        <w:rPr>
          <w:rFonts w:ascii="Times New Roman" w:hAnsi="Times New Roman" w:eastAsia="宋体" w:cs="Times New Roman"/>
          <w:b w:val="0"/>
          <w:bCs w:val="0"/>
          <w:color w:val="auto"/>
          <w:sz w:val="28"/>
          <w:szCs w:val="28"/>
          <w:highlight w:val="none"/>
        </w:rPr>
        <w:t>.2　</w:t>
      </w:r>
      <w:r>
        <w:rPr>
          <w:rFonts w:hint="eastAsia" w:ascii="Times New Roman" w:hAnsi="Times New Roman" w:eastAsia="宋体" w:cs="Times New Roman"/>
          <w:b w:val="0"/>
          <w:bCs w:val="0"/>
          <w:color w:val="auto"/>
          <w:sz w:val="28"/>
          <w:szCs w:val="28"/>
          <w:highlight w:val="none"/>
          <w:lang w:val="en-US" w:eastAsia="zh-CN"/>
        </w:rPr>
        <w:t xml:space="preserve">配合比设计原则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8</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5.3</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配合比设计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9</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5.4</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水工掺合料混凝土性能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10</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"_Toc30020864"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w:t>
      </w:r>
      <w:r>
        <w:rPr>
          <w:rFonts w:ascii="Times New Roman" w:hAnsi="Times New Roman" w:eastAsia="宋体" w:cs="Times New Roman"/>
          <w:b w:val="0"/>
          <w:bCs w:val="0"/>
          <w:color w:val="auto"/>
          <w:sz w:val="28"/>
          <w:szCs w:val="28"/>
          <w:highlight w:val="none"/>
          <w:lang w:val="zh-CN"/>
        </w:rPr>
        <w:t>　</w:t>
      </w:r>
      <w:r>
        <w:rPr>
          <w:rFonts w:hint="eastAsia" w:ascii="Times New Roman" w:hAnsi="Times New Roman" w:eastAsia="宋体" w:cs="Times New Roman"/>
          <w:b w:val="0"/>
          <w:bCs w:val="0"/>
          <w:color w:val="auto"/>
          <w:sz w:val="28"/>
          <w:szCs w:val="28"/>
          <w:highlight w:val="none"/>
          <w:lang w:val="en-US" w:eastAsia="zh-CN"/>
        </w:rPr>
        <w:t xml:space="preserve">水工掺合料混凝土施工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val="en-US" w:eastAsia="zh-CN"/>
        </w:rPr>
        <w:t>（12）</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"_Toc30020860"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6</w:t>
      </w:r>
      <w:r>
        <w:rPr>
          <w:rFonts w:ascii="Times New Roman" w:hAnsi="Times New Roman"/>
          <w:b w:val="0"/>
          <w:bCs w:val="0"/>
          <w:color w:val="auto"/>
          <w:sz w:val="28"/>
          <w:szCs w:val="28"/>
          <w:highlight w:val="none"/>
        </w:rPr>
        <w:t>.1　</w:t>
      </w:r>
      <w:r>
        <w:rPr>
          <w:rFonts w:hint="eastAsia" w:ascii="Times New Roman" w:hAnsi="Times New Roman"/>
          <w:b w:val="0"/>
          <w:bCs w:val="0"/>
          <w:color w:val="auto"/>
          <w:sz w:val="28"/>
          <w:szCs w:val="28"/>
          <w:highlight w:val="none"/>
          <w:lang w:val="en-US" w:eastAsia="zh-CN"/>
        </w:rPr>
        <w:t xml:space="preserve">一般规定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12</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w:t>
      </w:r>
      <w:r>
        <w:rPr>
          <w:rFonts w:ascii="Times New Roman" w:hAnsi="Times New Roman" w:eastAsia="宋体" w:cs="Times New Roman"/>
          <w:b w:val="0"/>
          <w:bCs w:val="0"/>
          <w:color w:val="auto"/>
          <w:sz w:val="28"/>
          <w:szCs w:val="28"/>
          <w:highlight w:val="none"/>
        </w:rPr>
        <w:t>.2　</w:t>
      </w:r>
      <w:r>
        <w:rPr>
          <w:rFonts w:hint="eastAsia" w:ascii="Times New Roman" w:hAnsi="Times New Roman" w:eastAsia="宋体" w:cs="Times New Roman"/>
          <w:b w:val="0"/>
          <w:bCs w:val="0"/>
          <w:color w:val="auto"/>
          <w:sz w:val="28"/>
          <w:szCs w:val="28"/>
          <w:highlight w:val="none"/>
          <w:lang w:val="en-US" w:eastAsia="zh-CN"/>
        </w:rPr>
        <w:t xml:space="preserve">水工掺合料混凝土的拌制与运输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12</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6.3</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水工掺合料混凝土的浇筑与成型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13</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6.4</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水工掺合料混凝土的养护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14</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6.5</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水工混凝土的冬期施工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15</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"_Toc30020870"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7</w:t>
      </w:r>
      <w:r>
        <w:rPr>
          <w:rFonts w:ascii="Times New Roman" w:hAnsi="Times New Roman" w:eastAsia="宋体" w:cs="Times New Roman"/>
          <w:b w:val="0"/>
          <w:bCs w:val="0"/>
          <w:color w:val="auto"/>
          <w:sz w:val="28"/>
          <w:szCs w:val="28"/>
          <w:highlight w:val="none"/>
          <w:lang w:val="zh-CN"/>
        </w:rPr>
        <w:t>　</w:t>
      </w:r>
      <w:r>
        <w:rPr>
          <w:rFonts w:hint="eastAsia" w:ascii="Times New Roman" w:hAnsi="Times New Roman" w:eastAsia="宋体" w:cs="Times New Roman"/>
          <w:b w:val="0"/>
          <w:bCs w:val="0"/>
          <w:color w:val="auto"/>
          <w:sz w:val="28"/>
          <w:szCs w:val="28"/>
          <w:highlight w:val="none"/>
          <w:lang w:val="en-US" w:eastAsia="zh-CN"/>
        </w:rPr>
        <w:t xml:space="preserve">质量检验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val="en-US" w:eastAsia="zh-CN"/>
        </w:rPr>
        <w:t>（16）</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"_Toc30020860"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7</w:t>
      </w:r>
      <w:r>
        <w:rPr>
          <w:rFonts w:ascii="Times New Roman" w:hAnsi="Times New Roman" w:eastAsia="宋体" w:cs="Times New Roman"/>
          <w:b w:val="0"/>
          <w:bCs w:val="0"/>
          <w:color w:val="auto"/>
          <w:sz w:val="28"/>
          <w:szCs w:val="28"/>
          <w:highlight w:val="none"/>
        </w:rPr>
        <w:t>.1　</w:t>
      </w:r>
      <w:r>
        <w:rPr>
          <w:rFonts w:hint="default" w:ascii="Times New Roman" w:hAnsi="Times New Roman" w:eastAsia="宋体" w:cs="Times New Roman"/>
          <w:b w:val="0"/>
          <w:bCs w:val="0"/>
          <w:color w:val="auto"/>
          <w:sz w:val="28"/>
          <w:szCs w:val="28"/>
          <w:highlight w:val="none"/>
          <w:lang w:val="en-US" w:eastAsia="zh-CN"/>
        </w:rPr>
        <w:t>原材料质量检验</w:t>
      </w:r>
      <w:r>
        <w:rPr>
          <w:rFonts w:hint="eastAsia" w:ascii="Times New Roman" w:hAnsi="Times New Roman" w:eastAsia="宋体" w:cs="Times New Roman"/>
          <w:b w:val="0"/>
          <w:bCs w:val="0"/>
          <w:color w:val="auto"/>
          <w:sz w:val="28"/>
          <w:szCs w:val="28"/>
          <w:highlight w:val="none"/>
          <w:lang w:val="en-US" w:eastAsia="zh-CN"/>
        </w:rPr>
        <w:t xml:space="preserve">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16</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7</w:t>
      </w:r>
      <w:r>
        <w:rPr>
          <w:rFonts w:ascii="Times New Roman" w:hAnsi="Times New Roman" w:eastAsia="宋体" w:cs="Times New Roman"/>
          <w:b w:val="0"/>
          <w:bCs w:val="0"/>
          <w:color w:val="auto"/>
          <w:sz w:val="28"/>
          <w:szCs w:val="28"/>
          <w:highlight w:val="none"/>
        </w:rPr>
        <w:t>.2　</w:t>
      </w:r>
      <w:r>
        <w:rPr>
          <w:rFonts w:hint="default" w:ascii="Times New Roman" w:hAnsi="Times New Roman" w:eastAsia="宋体" w:cs="Times New Roman"/>
          <w:b w:val="0"/>
          <w:bCs w:val="0"/>
          <w:color w:val="auto"/>
          <w:sz w:val="28"/>
          <w:szCs w:val="28"/>
          <w:highlight w:val="none"/>
          <w:lang w:val="en-US" w:eastAsia="zh-CN"/>
        </w:rPr>
        <w:t>混凝土拌合物性能检验</w:t>
      </w:r>
      <w:r>
        <w:rPr>
          <w:rFonts w:hint="eastAsia" w:ascii="Times New Roman" w:hAnsi="Times New Roman" w:eastAsia="宋体" w:cs="Times New Roman"/>
          <w:b w:val="0"/>
          <w:bCs w:val="0"/>
          <w:color w:val="auto"/>
          <w:sz w:val="28"/>
          <w:szCs w:val="28"/>
          <w:highlight w:val="none"/>
          <w:lang w:val="en-US" w:eastAsia="zh-CN"/>
        </w:rPr>
        <w:t xml:space="preserve">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16</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7.3</w:t>
      </w:r>
      <w:r>
        <w:rPr>
          <w:rFonts w:ascii="Times New Roman" w:hAnsi="Times New Roman" w:eastAsia="宋体" w:cs="Times New Roman"/>
          <w:b w:val="0"/>
          <w:bCs w:val="0"/>
          <w:color w:val="auto"/>
          <w:sz w:val="28"/>
          <w:szCs w:val="28"/>
          <w:highlight w:val="none"/>
        </w:rPr>
        <w:t>　</w:t>
      </w:r>
      <w:r>
        <w:rPr>
          <w:rFonts w:hint="default" w:ascii="Times New Roman" w:hAnsi="Times New Roman" w:eastAsia="宋体" w:cs="Times New Roman"/>
          <w:b w:val="0"/>
          <w:bCs w:val="0"/>
          <w:color w:val="auto"/>
          <w:sz w:val="28"/>
          <w:szCs w:val="28"/>
          <w:highlight w:val="none"/>
          <w:lang w:val="en-US" w:eastAsia="zh-CN"/>
        </w:rPr>
        <w:t>硬化混凝土性能检验</w:t>
      </w:r>
      <w:r>
        <w:rPr>
          <w:rFonts w:hint="eastAsia" w:ascii="Times New Roman" w:hAnsi="Times New Roman" w:eastAsia="宋体" w:cs="Times New Roman"/>
          <w:b w:val="0"/>
          <w:bCs w:val="0"/>
          <w:color w:val="auto"/>
          <w:sz w:val="28"/>
          <w:szCs w:val="28"/>
          <w:highlight w:val="none"/>
          <w:lang w:val="en-US" w:eastAsia="zh-CN"/>
        </w:rPr>
        <w:t xml:space="preserve">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16</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"_Toc30020870"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 xml:space="preserve">附录A  水工掺合料流动度比检验方法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val="en-US" w:eastAsia="zh-CN"/>
        </w:rPr>
        <w:t>（18）</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"_Toc30020870"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 xml:space="preserve">附录B  水工掺合料活性指数检验方法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val="en-US" w:eastAsia="zh-CN"/>
        </w:rPr>
        <w:t>（20）</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"_Toc30020870"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 xml:space="preserve">附录C  水工掺合料颗粒级配测定方法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val="en-US" w:eastAsia="zh-CN"/>
        </w:rPr>
        <w:t>（22）</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"_Toc30020870"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 xml:space="preserve">附录D  产品合格证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val="en-US" w:eastAsia="zh-CN"/>
        </w:rPr>
        <w:t>（23）</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"_Toc30020875"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eastAsia="zh-CN"/>
        </w:rPr>
        <w:t>用词说明</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24</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"_Toc30020876" </w:instrText>
      </w:r>
      <w:r>
        <w:rPr>
          <w:rFonts w:ascii="Times New Roman" w:hAnsi="Times New Roman"/>
          <w:b w:val="0"/>
          <w:bCs w:val="0"/>
          <w:color w:val="auto"/>
          <w:sz w:val="28"/>
          <w:szCs w:val="28"/>
          <w:highlight w:val="none"/>
        </w:rPr>
        <w:fldChar w:fldCharType="separate"/>
      </w:r>
      <w:r>
        <w:rPr>
          <w:rStyle w:val="25"/>
          <w:rFonts w:ascii="Times New Roman" w:hAnsi="Times New Roman" w:cs="Times New Roman"/>
          <w:b w:val="0"/>
          <w:bCs w:val="0"/>
          <w:color w:val="auto"/>
          <w:sz w:val="28"/>
          <w:szCs w:val="28"/>
          <w:highlight w:val="none"/>
        </w:rPr>
        <w:t>引用标准名录</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25</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"_Toc30020877" </w:instrText>
      </w:r>
      <w:r>
        <w:rPr>
          <w:rFonts w:ascii="Times New Roman" w:hAnsi="Times New Roman"/>
          <w:b w:val="0"/>
          <w:bCs w:val="0"/>
          <w:color w:val="auto"/>
          <w:sz w:val="28"/>
          <w:szCs w:val="28"/>
          <w:highlight w:val="none"/>
        </w:rPr>
        <w:fldChar w:fldCharType="separate"/>
      </w:r>
      <w:r>
        <w:rPr>
          <w:rStyle w:val="25"/>
          <w:rFonts w:ascii="Times New Roman" w:hAnsi="Times New Roman" w:cs="Times New Roman"/>
          <w:b w:val="0"/>
          <w:bCs w:val="0"/>
          <w:color w:val="auto"/>
          <w:sz w:val="28"/>
          <w:szCs w:val="28"/>
          <w:highlight w:val="none"/>
        </w:rPr>
        <w:t>附</w:t>
      </w:r>
      <w:r>
        <w:rPr>
          <w:rStyle w:val="25"/>
          <w:rFonts w:hint="eastAsia" w:ascii="Times New Roman" w:hAnsi="Times New Roman" w:cs="Times New Roman"/>
          <w:b w:val="0"/>
          <w:bCs w:val="0"/>
          <w:color w:val="auto"/>
          <w:sz w:val="28"/>
          <w:szCs w:val="28"/>
          <w:highlight w:val="none"/>
        </w:rPr>
        <w:t>：条</w:t>
      </w:r>
      <w:r>
        <w:rPr>
          <w:rStyle w:val="25"/>
          <w:rFonts w:ascii="Times New Roman" w:hAnsi="Times New Roman" w:cs="Times New Roman"/>
          <w:b w:val="0"/>
          <w:bCs w:val="0"/>
          <w:color w:val="auto"/>
          <w:sz w:val="28"/>
          <w:szCs w:val="28"/>
          <w:highlight w:val="none"/>
        </w:rPr>
        <w:t>文说明</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（2</w:t>
      </w:r>
      <w:r>
        <w:rPr>
          <w:rFonts w:hint="eastAsia" w:ascii="Times New Roman" w:hAnsi="Times New Roman" w:cstheme="minorBidi"/>
          <w:b w:val="0"/>
          <w:bCs w:val="0"/>
          <w:color w:val="auto"/>
          <w:kern w:val="2"/>
          <w:sz w:val="28"/>
          <w:szCs w:val="28"/>
          <w:highlight w:val="none"/>
          <w:lang w:val="en-US" w:eastAsia="zh-CN" w:bidi="ar-SA"/>
        </w:rPr>
        <w:t>7</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keepNext w:val="0"/>
        <w:keepLines w:val="0"/>
        <w:pageBreakBefore w:val="0"/>
        <w:widowControl w:val="0"/>
        <w:kinsoku/>
        <w:wordWrap/>
        <w:overflowPunct/>
        <w:topLinePunct w:val="0"/>
        <w:autoSpaceDE/>
        <w:autoSpaceDN/>
        <w:bidi w:val="0"/>
        <w:adjustRightInd/>
        <w:snapToGrid w:val="0"/>
        <w:spacing w:line="288" w:lineRule="auto"/>
        <w:jc w:val="center"/>
        <w:textAlignment w:val="auto"/>
        <w:rPr>
          <w:rFonts w:hint="eastAsia" w:ascii="Times New Roman" w:hAnsi="Times New Roman" w:eastAsia="仿宋" w:cs="Times New Roman"/>
          <w:b w:val="0"/>
          <w:bCs w:val="0"/>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288" w:lineRule="auto"/>
        <w:jc w:val="center"/>
        <w:textAlignment w:val="auto"/>
        <w:rPr>
          <w:rFonts w:hint="default" w:ascii="Times New Roman" w:hAnsi="Times New Roman" w:eastAsia="仿宋" w:cs="Times New Roman"/>
          <w:b/>
          <w:color w:val="auto"/>
          <w:sz w:val="36"/>
          <w:szCs w:val="32"/>
          <w:highlight w:val="none"/>
          <w:lang w:val="en-US"/>
        </w:rPr>
      </w:pPr>
      <w:r>
        <w:rPr>
          <w:rFonts w:hint="eastAsia" w:ascii="Times New Roman" w:hAnsi="Times New Roman" w:eastAsia="仿宋" w:cs="Times New Roman"/>
          <w:b/>
          <w:color w:val="auto"/>
          <w:sz w:val="36"/>
          <w:szCs w:val="32"/>
          <w:highlight w:val="none"/>
          <w:lang w:val="en-US" w:eastAsia="zh-CN"/>
        </w:rPr>
        <w:t>Contents</w:t>
      </w:r>
    </w:p>
    <w:p>
      <w:pPr>
        <w:keepNext w:val="0"/>
        <w:keepLines w:val="0"/>
        <w:pageBreakBefore w:val="0"/>
        <w:widowControl w:val="0"/>
        <w:kinsoku/>
        <w:wordWrap/>
        <w:overflowPunct/>
        <w:topLinePunct w:val="0"/>
        <w:autoSpaceDE/>
        <w:autoSpaceDN/>
        <w:bidi w:val="0"/>
        <w:adjustRightInd/>
        <w:snapToGrid w:val="0"/>
        <w:spacing w:line="288" w:lineRule="auto"/>
        <w:textAlignment w:val="auto"/>
        <w:rPr>
          <w:rFonts w:ascii="Times New Roman" w:hAnsi="Times New Roman"/>
          <w:b w:val="0"/>
          <w:bCs w:val="0"/>
          <w:color w:val="auto"/>
          <w:sz w:val="28"/>
          <w:szCs w:val="28"/>
          <w:highlight w:val="none"/>
          <w:lang w:val="zh-CN"/>
        </w:rPr>
      </w:pP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r>
        <w:rPr>
          <w:rFonts w:ascii="Times New Roman" w:hAnsi="Times New Roman" w:cs="Times New Roman"/>
          <w:b w:val="0"/>
          <w:bCs w:val="0"/>
          <w:color w:val="auto"/>
          <w:sz w:val="28"/>
          <w:szCs w:val="28"/>
          <w:highlight w:val="none"/>
          <w:lang w:val="zh-CN"/>
        </w:rPr>
        <w:fldChar w:fldCharType="begin"/>
      </w:r>
      <w:r>
        <w:rPr>
          <w:rFonts w:ascii="Times New Roman" w:hAnsi="Times New Roman" w:cs="Times New Roman"/>
          <w:b w:val="0"/>
          <w:bCs w:val="0"/>
          <w:color w:val="auto"/>
          <w:sz w:val="28"/>
          <w:szCs w:val="28"/>
          <w:highlight w:val="none"/>
          <w:lang w:val="zh-CN"/>
        </w:rPr>
        <w:instrText xml:space="preserve"> TOC \o "1-2" \h \z \u </w:instrText>
      </w:r>
      <w:r>
        <w:rPr>
          <w:rFonts w:ascii="Times New Roman" w:hAnsi="Times New Roman" w:cs="Times New Roman"/>
          <w:b w:val="0"/>
          <w:bCs w:val="0"/>
          <w:color w:val="auto"/>
          <w:sz w:val="28"/>
          <w:szCs w:val="28"/>
          <w:highlight w:val="none"/>
          <w:lang w:val="zh-CN"/>
        </w:rPr>
        <w:fldChar w:fldCharType="separate"/>
      </w:r>
      <w:r>
        <w:rPr>
          <w:rFonts w:ascii="Times New Roman" w:hAnsi="Times New Roman" w:cs="Times New Roman"/>
          <w:b w:val="0"/>
          <w:bCs w:val="0"/>
          <w:color w:val="auto"/>
          <w:sz w:val="28"/>
          <w:szCs w:val="28"/>
          <w:highlight w:val="none"/>
          <w:lang w:val="zh-CN"/>
        </w:rPr>
        <w:fldChar w:fldCharType="begin"/>
      </w:r>
      <w:r>
        <w:rPr>
          <w:rFonts w:ascii="Times New Roman" w:hAnsi="Times New Roman" w:cs="Times New Roman"/>
          <w:b w:val="0"/>
          <w:bCs w:val="0"/>
          <w:color w:val="auto"/>
          <w:sz w:val="28"/>
          <w:szCs w:val="28"/>
          <w:highlight w:val="none"/>
          <w:lang w:val="zh-CN"/>
        </w:rPr>
        <w:instrText xml:space="preserve"> TOC \o "1-2" \h \z \u </w:instrText>
      </w:r>
      <w:r>
        <w:rPr>
          <w:rFonts w:ascii="Times New Roman" w:hAnsi="Times New Roman" w:cs="Times New Roman"/>
          <w:b w:val="0"/>
          <w:bCs w:val="0"/>
          <w:color w:val="auto"/>
          <w:sz w:val="28"/>
          <w:szCs w:val="28"/>
          <w:highlight w:val="none"/>
          <w:lang w:val="zh-CN"/>
        </w:rPr>
        <w:fldChar w:fldCharType="separate"/>
      </w: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"_Toc30020852" </w:instrText>
      </w:r>
      <w:r>
        <w:rPr>
          <w:rFonts w:ascii="Times New Roman" w:hAnsi="Times New Roman"/>
          <w:b w:val="0"/>
          <w:bCs w:val="0"/>
          <w:color w:val="auto"/>
          <w:sz w:val="28"/>
          <w:szCs w:val="28"/>
          <w:highlight w:val="none"/>
        </w:rPr>
        <w:fldChar w:fldCharType="separate"/>
      </w:r>
      <w:r>
        <w:rPr>
          <w:rStyle w:val="25"/>
          <w:rFonts w:ascii="Times New Roman" w:hAnsi="Times New Roman" w:cs="Times New Roman"/>
          <w:b w:val="0"/>
          <w:bCs w:val="0"/>
          <w:color w:val="auto"/>
          <w:sz w:val="28"/>
          <w:szCs w:val="28"/>
          <w:highlight w:val="none"/>
          <w:lang w:val="zh-CN"/>
        </w:rPr>
        <w:t>1　</w:t>
      </w:r>
      <w:r>
        <w:rPr>
          <w:rStyle w:val="25"/>
          <w:rFonts w:hint="eastAsia" w:ascii="Times New Roman" w:hAnsi="Times New Roman" w:cs="Times New Roman"/>
          <w:b w:val="0"/>
          <w:bCs w:val="0"/>
          <w:color w:val="auto"/>
          <w:sz w:val="28"/>
          <w:szCs w:val="28"/>
          <w:highlight w:val="none"/>
          <w:lang w:val="en-US" w:eastAsia="zh-CN"/>
        </w:rPr>
        <w:t xml:space="preserve">General provisions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（1）</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"_Toc30020853" </w:instrText>
      </w:r>
      <w:r>
        <w:rPr>
          <w:rFonts w:ascii="Times New Roman" w:hAnsi="Times New Roman"/>
          <w:b w:val="0"/>
          <w:bCs w:val="0"/>
          <w:color w:val="auto"/>
          <w:sz w:val="28"/>
          <w:szCs w:val="28"/>
          <w:highlight w:val="none"/>
        </w:rPr>
        <w:fldChar w:fldCharType="separate"/>
      </w:r>
      <w:r>
        <w:rPr>
          <w:rStyle w:val="25"/>
          <w:rFonts w:ascii="Times New Roman" w:hAnsi="Times New Roman" w:cs="Times New Roman"/>
          <w:b w:val="0"/>
          <w:bCs w:val="0"/>
          <w:color w:val="auto"/>
          <w:sz w:val="28"/>
          <w:szCs w:val="28"/>
          <w:highlight w:val="none"/>
          <w:lang w:val="zh-CN"/>
        </w:rPr>
        <w:t>2　</w:t>
      </w:r>
      <w:r>
        <w:rPr>
          <w:rStyle w:val="25"/>
          <w:rFonts w:hint="eastAsia" w:ascii="Times New Roman" w:hAnsi="Times New Roman" w:cs="Times New Roman"/>
          <w:b w:val="0"/>
          <w:bCs w:val="0"/>
          <w:color w:val="auto"/>
          <w:sz w:val="28"/>
          <w:szCs w:val="28"/>
          <w:highlight w:val="none"/>
          <w:lang w:val="en-US" w:eastAsia="zh-CN"/>
        </w:rPr>
        <w:t xml:space="preserve">Terms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"_Toc30020859"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3</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Basic requirements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3</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"_Toc30020859"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4</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Materials and properties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5</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"_Toc30020860"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4</w:t>
      </w:r>
      <w:r>
        <w:rPr>
          <w:rFonts w:ascii="Times New Roman" w:hAnsi="Times New Roman"/>
          <w:b w:val="0"/>
          <w:bCs w:val="0"/>
          <w:color w:val="auto"/>
          <w:sz w:val="28"/>
          <w:szCs w:val="28"/>
          <w:highlight w:val="none"/>
        </w:rPr>
        <w:t>.1　</w:t>
      </w:r>
      <w:r>
        <w:rPr>
          <w:rFonts w:hint="eastAsia" w:ascii="Times New Roman" w:hAnsi="Times New Roman"/>
          <w:b w:val="0"/>
          <w:bCs w:val="0"/>
          <w:color w:val="auto"/>
          <w:sz w:val="28"/>
          <w:szCs w:val="28"/>
          <w:highlight w:val="none"/>
          <w:lang w:val="en-US" w:eastAsia="zh-CN"/>
        </w:rPr>
        <w:t xml:space="preserve">Raw materials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5</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"_Toc30020861"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4</w:t>
      </w:r>
      <w:r>
        <w:rPr>
          <w:rFonts w:ascii="Times New Roman" w:hAnsi="Times New Roman"/>
          <w:b w:val="0"/>
          <w:bCs w:val="0"/>
          <w:color w:val="auto"/>
          <w:sz w:val="28"/>
          <w:szCs w:val="28"/>
          <w:highlight w:val="none"/>
        </w:rPr>
        <w:t>.2　</w:t>
      </w:r>
      <w:r>
        <w:rPr>
          <w:rFonts w:hint="eastAsia" w:ascii="Times New Roman" w:hAnsi="Times New Roman"/>
          <w:b w:val="0"/>
          <w:bCs w:val="0"/>
          <w:color w:val="auto"/>
          <w:sz w:val="28"/>
          <w:szCs w:val="28"/>
          <w:highlight w:val="none"/>
          <w:lang w:val="en-US" w:eastAsia="zh-CN"/>
        </w:rPr>
        <w:t xml:space="preserve">Hydraulic admixtures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5</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firstLine="280" w:firstLineChars="10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"_Toc30020861"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4</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3</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Delivery, acceptance and storage of hydraulic admixtures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6</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"_Toc30020864"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5</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Hydraulic admixture concrete mix design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8</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"_Toc30020871"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5</w:t>
      </w:r>
      <w:r>
        <w:rPr>
          <w:rFonts w:ascii="Times New Roman" w:hAnsi="Times New Roman"/>
          <w:b w:val="0"/>
          <w:bCs w:val="0"/>
          <w:color w:val="auto"/>
          <w:sz w:val="28"/>
          <w:szCs w:val="28"/>
          <w:highlight w:val="none"/>
        </w:rPr>
        <w:t>.1　</w:t>
      </w:r>
      <w:r>
        <w:rPr>
          <w:rFonts w:hint="eastAsia" w:ascii="Times New Roman" w:hAnsi="Times New Roman"/>
          <w:b w:val="0"/>
          <w:bCs w:val="0"/>
          <w:color w:val="auto"/>
          <w:sz w:val="28"/>
          <w:szCs w:val="28"/>
          <w:highlight w:val="none"/>
          <w:lang w:val="en-US" w:eastAsia="zh-CN"/>
        </w:rPr>
        <w:t xml:space="preserve">Raw material requirements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8</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5</w:t>
      </w:r>
      <w:r>
        <w:rPr>
          <w:rFonts w:ascii="Times New Roman" w:hAnsi="Times New Roman"/>
          <w:b w:val="0"/>
          <w:bCs w:val="0"/>
          <w:color w:val="auto"/>
          <w:sz w:val="28"/>
          <w:szCs w:val="28"/>
          <w:highlight w:val="none"/>
        </w:rPr>
        <w:t>.2　</w:t>
      </w:r>
      <w:r>
        <w:rPr>
          <w:rFonts w:hint="eastAsia" w:ascii="Times New Roman" w:hAnsi="Times New Roman"/>
          <w:b w:val="0"/>
          <w:bCs w:val="0"/>
          <w:color w:val="auto"/>
          <w:sz w:val="28"/>
          <w:szCs w:val="28"/>
          <w:highlight w:val="none"/>
          <w:lang w:val="en-US" w:eastAsia="zh-CN"/>
        </w:rPr>
        <w:t xml:space="preserve">Mix design principles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8</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5</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3</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Mix ratio design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9</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5</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4</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Performance of hydraulic admixture concrete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10</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"_Toc30020870"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6</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Hydraulic admixture concrete construction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（1</w:t>
      </w:r>
      <w:r>
        <w:rPr>
          <w:rFonts w:hint="eastAsia" w:ascii="Times New Roman" w:hAnsi="Times New Roman" w:cstheme="minorBidi"/>
          <w:b w:val="0"/>
          <w:bCs w:val="0"/>
          <w:color w:val="auto"/>
          <w:kern w:val="2"/>
          <w:sz w:val="28"/>
          <w:szCs w:val="28"/>
          <w:highlight w:val="none"/>
          <w:lang w:val="en-US" w:eastAsia="zh-CN" w:bidi="ar-SA"/>
        </w:rPr>
        <w:t>2</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"_Toc30020871"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6</w:t>
      </w:r>
      <w:r>
        <w:rPr>
          <w:rFonts w:ascii="Times New Roman" w:hAnsi="Times New Roman"/>
          <w:b w:val="0"/>
          <w:bCs w:val="0"/>
          <w:color w:val="auto"/>
          <w:sz w:val="28"/>
          <w:szCs w:val="28"/>
          <w:highlight w:val="none"/>
        </w:rPr>
        <w:t>.1　</w:t>
      </w:r>
      <w:r>
        <w:rPr>
          <w:rFonts w:hint="eastAsia" w:ascii="Times New Roman" w:hAnsi="Times New Roman"/>
          <w:b w:val="0"/>
          <w:bCs w:val="0"/>
          <w:color w:val="auto"/>
          <w:sz w:val="28"/>
          <w:szCs w:val="28"/>
          <w:highlight w:val="none"/>
          <w:lang w:val="en-US" w:eastAsia="zh-CN"/>
        </w:rPr>
        <w:t xml:space="preserve">General provisions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12</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6</w:t>
      </w:r>
      <w:r>
        <w:rPr>
          <w:rFonts w:ascii="Times New Roman" w:hAnsi="Times New Roman"/>
          <w:b w:val="0"/>
          <w:bCs w:val="0"/>
          <w:color w:val="auto"/>
          <w:sz w:val="28"/>
          <w:szCs w:val="28"/>
          <w:highlight w:val="none"/>
        </w:rPr>
        <w:t>.2　</w:t>
      </w:r>
      <w:r>
        <w:rPr>
          <w:rFonts w:hint="eastAsia" w:ascii="Times New Roman" w:hAnsi="Times New Roman"/>
          <w:b w:val="0"/>
          <w:bCs w:val="0"/>
          <w:color w:val="auto"/>
          <w:sz w:val="28"/>
          <w:szCs w:val="28"/>
          <w:highlight w:val="none"/>
          <w:lang w:val="en-US" w:eastAsia="zh-CN"/>
        </w:rPr>
        <w:t>Mixing and transportation of hydraulic admixture concrete（12</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6</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3</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Pouring and forming of hydraulic admixture concrete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13</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6</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4</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Curing of hydraulic admixture concrete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14</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6</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5</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Winter construction of hydraulic concrete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15</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"_Toc30020870"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7</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Quality inspection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（1</w:t>
      </w:r>
      <w:r>
        <w:rPr>
          <w:rFonts w:hint="eastAsia" w:ascii="Times New Roman" w:hAnsi="Times New Roman" w:cstheme="minorBidi"/>
          <w:b w:val="0"/>
          <w:bCs w:val="0"/>
          <w:color w:val="auto"/>
          <w:kern w:val="2"/>
          <w:sz w:val="28"/>
          <w:szCs w:val="28"/>
          <w:highlight w:val="none"/>
          <w:lang w:val="en-US" w:eastAsia="zh-CN" w:bidi="ar-SA"/>
        </w:rPr>
        <w:t>1</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"_Toc30020871"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7</w:t>
      </w:r>
      <w:r>
        <w:rPr>
          <w:rFonts w:ascii="Times New Roman" w:hAnsi="Times New Roman"/>
          <w:b w:val="0"/>
          <w:bCs w:val="0"/>
          <w:color w:val="auto"/>
          <w:sz w:val="28"/>
          <w:szCs w:val="28"/>
          <w:highlight w:val="none"/>
        </w:rPr>
        <w:t>.1　</w:t>
      </w:r>
      <w:r>
        <w:rPr>
          <w:rFonts w:hint="eastAsia" w:ascii="Times New Roman" w:hAnsi="Times New Roman"/>
          <w:b w:val="0"/>
          <w:bCs w:val="0"/>
          <w:color w:val="auto"/>
          <w:sz w:val="28"/>
          <w:szCs w:val="28"/>
          <w:highlight w:val="none"/>
          <w:lang w:val="en-US" w:eastAsia="zh-CN"/>
        </w:rPr>
        <w:t xml:space="preserve">Raw material quality inspection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16</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7</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2</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Performance test of concrete mix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16</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"_Toc30020872"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7</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3</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Performance test of hardened concrete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16</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"_Toc30020870"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 xml:space="preserve">Appendix A  Test method for flow ratio of hydraulic admixtures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（1</w:t>
      </w:r>
      <w:r>
        <w:rPr>
          <w:rFonts w:hint="eastAsia" w:ascii="Times New Roman" w:hAnsi="Times New Roman" w:cstheme="minorBidi"/>
          <w:b w:val="0"/>
          <w:bCs w:val="0"/>
          <w:color w:val="auto"/>
          <w:kern w:val="2"/>
          <w:sz w:val="28"/>
          <w:szCs w:val="28"/>
          <w:highlight w:val="none"/>
          <w:lang w:val="en-US" w:eastAsia="zh-CN" w:bidi="ar-SA"/>
        </w:rPr>
        <w:t>8</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"_Toc30020870"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Appendix B  Test method for activity index of hydraulic admixtures (</w:t>
      </w:r>
      <w:r>
        <w:rPr>
          <w:rFonts w:hint="eastAsia" w:ascii="Times New Roman" w:hAnsi="Times New Roman" w:cstheme="minorBidi"/>
          <w:b w:val="0"/>
          <w:bCs w:val="0"/>
          <w:color w:val="auto"/>
          <w:kern w:val="2"/>
          <w:sz w:val="28"/>
          <w:szCs w:val="28"/>
          <w:highlight w:val="none"/>
          <w:lang w:val="en-US" w:eastAsia="zh-CN" w:bidi="ar-SA"/>
        </w:rPr>
        <w:t>20</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Style w:val="25"/>
          <w:rFonts w:hint="eastAsia" w:ascii="Times New Roman" w:hAnsi="Times New Roman"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"_Toc30020870"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Appendix C  Method for determination of particle composition of</w:t>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Style w:val="25"/>
          <w:rFonts w:hint="eastAsia" w:ascii="Times New Roman" w:hAnsi="Times New Roman" w:cs="Times New Roman"/>
          <w:b w:val="0"/>
          <w:bCs w:val="0"/>
          <w:color w:val="auto"/>
          <w:sz w:val="28"/>
          <w:szCs w:val="28"/>
          <w:highlight w:val="none"/>
          <w:lang w:val="en-US" w:eastAsia="zh-CN"/>
        </w:rPr>
        <w:t xml:space="preserve"> hydraulic admixtures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22</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"_Toc30020870"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 xml:space="preserve">Appendix D  Product certificate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23</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"_Toc30020875" </w:instrText>
      </w:r>
      <w:r>
        <w:rPr>
          <w:rFonts w:ascii="Times New Roman" w:hAnsi="Times New Roman"/>
          <w:b w:val="0"/>
          <w:bCs w:val="0"/>
          <w:color w:val="auto"/>
          <w:sz w:val="28"/>
          <w:szCs w:val="28"/>
          <w:highlight w:val="none"/>
        </w:rPr>
        <w:fldChar w:fldCharType="separate"/>
      </w:r>
      <w:r>
        <w:rPr>
          <w:rStyle w:val="25"/>
          <w:rFonts w:ascii="Times New Roman" w:hAnsi="Times New Roman" w:eastAsiaTheme="majorEastAsia"/>
          <w:color w:val="auto"/>
          <w:sz w:val="28"/>
          <w:szCs w:val="28"/>
        </w:rPr>
        <w:t>Explanation of wording</w:t>
      </w:r>
      <w:r>
        <w:rPr>
          <w:rStyle w:val="25"/>
          <w:rFonts w:hint="eastAsia" w:ascii="Times New Roman" w:hAnsi="Times New Roman" w:eastAsiaTheme="majorEastAsia"/>
          <w:color w:val="auto"/>
          <w:sz w:val="28"/>
          <w:szCs w:val="28"/>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24</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"_Toc30020876" </w:instrText>
      </w:r>
      <w:r>
        <w:rPr>
          <w:rFonts w:ascii="Times New Roman" w:hAnsi="Times New Roman"/>
          <w:b w:val="0"/>
          <w:bCs w:val="0"/>
          <w:color w:val="auto"/>
          <w:sz w:val="28"/>
          <w:szCs w:val="28"/>
          <w:highlight w:val="none"/>
        </w:rPr>
        <w:fldChar w:fldCharType="separate"/>
      </w:r>
      <w:r>
        <w:rPr>
          <w:rStyle w:val="25"/>
          <w:rFonts w:ascii="Times New Roman" w:hAnsi="Times New Roman" w:eastAsiaTheme="majorEastAsia"/>
          <w:color w:val="auto"/>
          <w:sz w:val="28"/>
          <w:szCs w:val="28"/>
        </w:rPr>
        <w:t>List of quoted</w:t>
      </w:r>
      <w:r>
        <w:rPr>
          <w:rStyle w:val="25"/>
          <w:rFonts w:hint="eastAsia" w:ascii="Times New Roman" w:hAnsi="Times New Roman" w:eastAsiaTheme="majorEastAsia"/>
          <w:color w:val="auto"/>
          <w:sz w:val="28"/>
          <w:szCs w:val="28"/>
          <w:lang w:val="en-US" w:eastAsia="zh-CN"/>
        </w:rPr>
        <w:t xml:space="preserve"> </w:t>
      </w:r>
      <w:r>
        <w:rPr>
          <w:rStyle w:val="25"/>
          <w:rFonts w:ascii="Times New Roman" w:hAnsi="Times New Roman" w:eastAsiaTheme="majorEastAsia"/>
          <w:color w:val="auto"/>
          <w:sz w:val="28"/>
          <w:szCs w:val="28"/>
        </w:rPr>
        <w:t>standards</w:t>
      </w:r>
      <w:r>
        <w:rPr>
          <w:rStyle w:val="25"/>
          <w:rFonts w:hint="eastAsia" w:ascii="Times New Roman" w:hAnsi="Times New Roman" w:eastAsiaTheme="majorEastAsia"/>
          <w:color w:val="auto"/>
          <w:sz w:val="28"/>
          <w:szCs w:val="28"/>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25</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"_Toc30020877" </w:instrText>
      </w:r>
      <w:r>
        <w:rPr>
          <w:rFonts w:ascii="Times New Roman" w:hAnsi="Times New Roman"/>
          <w:b w:val="0"/>
          <w:bCs w:val="0"/>
          <w:color w:val="auto"/>
          <w:sz w:val="28"/>
          <w:szCs w:val="28"/>
          <w:highlight w:val="none"/>
        </w:rPr>
        <w:fldChar w:fldCharType="separate"/>
      </w:r>
      <w:r>
        <w:rPr>
          <w:rStyle w:val="25"/>
          <w:rFonts w:ascii="Times New Roman" w:hAnsi="Times New Roman" w:eastAsiaTheme="majorEastAsia"/>
          <w:color w:val="auto"/>
          <w:sz w:val="28"/>
          <w:szCs w:val="28"/>
          <w:u w:val="none"/>
        </w:rPr>
        <w:t>Addition：Explanation of provisions</w:t>
      </w:r>
      <w:r>
        <w:rPr>
          <w:rStyle w:val="25"/>
          <w:rFonts w:hint="eastAsia" w:ascii="Times New Roman" w:hAnsi="Times New Roman" w:eastAsiaTheme="majorEastAsia"/>
          <w:color w:val="auto"/>
          <w:sz w:val="28"/>
          <w:szCs w:val="28"/>
          <w:u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27</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jc w:val="center"/>
        <w:textAlignment w:val="auto"/>
        <w:rPr>
          <w:rFonts w:ascii="Times New Roman" w:hAnsi="Times New Roman" w:cs="Times New Roman"/>
          <w:b w:val="0"/>
          <w:bCs w:val="0"/>
          <w:color w:val="auto"/>
          <w:sz w:val="28"/>
          <w:szCs w:val="28"/>
          <w:highlight w:val="none"/>
          <w:lang w:val="zh-CN"/>
        </w:rPr>
        <w:sectPr>
          <w:headerReference r:id="rId7" w:type="default"/>
          <w:footerReference r:id="rId8" w:type="default"/>
          <w:pgSz w:w="11906" w:h="16838"/>
          <w:pgMar w:top="1440" w:right="1274" w:bottom="1276" w:left="1800" w:header="851" w:footer="667"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jc w:val="center"/>
        <w:textAlignment w:val="auto"/>
        <w:rPr>
          <w:rFonts w:hint="eastAsia" w:ascii="Times New Roman" w:hAnsi="Times New Roman" w:eastAsia="宋体" w:cs="Times New Roman"/>
          <w:b/>
          <w:color w:val="auto"/>
          <w:sz w:val="32"/>
          <w:szCs w:val="28"/>
          <w:highlight w:val="none"/>
          <w:lang w:val="zh-CN"/>
        </w:rPr>
      </w:pPr>
      <w:r>
        <w:rPr>
          <w:rFonts w:ascii="Times New Roman" w:hAnsi="Times New Roman" w:cs="Times New Roman"/>
          <w:b w:val="0"/>
          <w:bCs w:val="0"/>
          <w:color w:val="auto"/>
          <w:sz w:val="28"/>
          <w:szCs w:val="28"/>
          <w:highlight w:val="none"/>
          <w:lang w:val="zh-CN"/>
        </w:rPr>
        <w:fldChar w:fldCharType="end"/>
      </w:r>
      <w:r>
        <w:rPr>
          <w:rFonts w:ascii="Times New Roman" w:hAnsi="Times New Roman" w:cs="Times New Roman"/>
          <w:b w:val="0"/>
          <w:bCs w:val="0"/>
          <w:color w:val="auto"/>
          <w:sz w:val="28"/>
          <w:szCs w:val="28"/>
          <w:highlight w:val="none"/>
          <w:lang w:val="zh-CN"/>
        </w:rPr>
        <w:fldChar w:fldCharType="end"/>
      </w:r>
      <w:r>
        <w:rPr>
          <w:rFonts w:ascii="Times New Roman" w:hAnsi="Times New Roman" w:cs="Times New Roman"/>
          <w:b w:val="0"/>
          <w:bCs w:val="0"/>
          <w:color w:val="auto"/>
          <w:sz w:val="28"/>
          <w:szCs w:val="28"/>
          <w:highlight w:val="none"/>
          <w:lang w:val="zh-CN"/>
        </w:rPr>
        <w:fldChar w:fldCharType="end"/>
      </w:r>
      <w:r>
        <w:rPr>
          <w:rFonts w:ascii="Times New Roman" w:hAnsi="Times New Roman" w:cs="Times New Roman"/>
          <w:b w:val="0"/>
          <w:bCs w:val="0"/>
          <w:color w:val="auto"/>
          <w:sz w:val="28"/>
          <w:szCs w:val="28"/>
          <w:highlight w:val="none"/>
          <w:lang w:val="zh-CN"/>
        </w:rPr>
        <w:fldChar w:fldCharType="end"/>
      </w:r>
      <w:r>
        <w:rPr>
          <w:rFonts w:hint="eastAsia" w:ascii="Times New Roman" w:hAnsi="Times New Roman" w:eastAsia="宋体" w:cs="Times New Roman"/>
          <w:b/>
          <w:color w:val="auto"/>
          <w:sz w:val="32"/>
          <w:szCs w:val="28"/>
          <w:highlight w:val="none"/>
          <w:lang w:val="zh-CN"/>
        </w:rPr>
        <w:t>1　总　　则</w:t>
      </w:r>
      <w:bookmarkEnd w:id="3"/>
      <w:bookmarkEnd w:id="4"/>
      <w:bookmarkEnd w:id="5"/>
      <w:bookmarkEnd w:id="6"/>
      <w:bookmarkEnd w:id="7"/>
      <w:bookmarkEnd w:id="8"/>
    </w:p>
    <w:p>
      <w:pPr>
        <w:snapToGrid w:val="0"/>
        <w:spacing w:line="360" w:lineRule="auto"/>
        <w:rPr>
          <w:rFonts w:hint="eastAsia" w:ascii="Times New Roman" w:hAnsi="Times New Roman"/>
          <w:b/>
          <w:color w:val="auto"/>
          <w:sz w:val="28"/>
          <w:highlight w:val="none"/>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000000" w:themeColor="text1"/>
          <w:sz w:val="28"/>
          <w:highlight w:val="none"/>
        </w:rPr>
      </w:pPr>
      <w:r>
        <w:rPr>
          <w:rFonts w:hint="eastAsia" w:ascii="Times New Roman" w:hAnsi="Times New Roman"/>
          <w:b/>
          <w:color w:val="auto"/>
          <w:sz w:val="28"/>
          <w:highlight w:val="none"/>
        </w:rPr>
        <w:t>1.0.1</w:t>
      </w:r>
      <w:r>
        <w:rPr>
          <w:rFonts w:ascii="Times New Roman" w:hAnsi="Times New Roman"/>
          <w:b/>
          <w:color w:val="auto"/>
          <w:sz w:val="28"/>
          <w:highlight w:val="none"/>
        </w:rPr>
        <w:t>　</w:t>
      </w:r>
      <w:r>
        <w:rPr>
          <w:rFonts w:hint="eastAsia" w:ascii="Times New Roman" w:hAnsi="Times New Roman"/>
          <w:b w:val="0"/>
          <w:bCs/>
          <w:color w:val="auto"/>
          <w:sz w:val="28"/>
          <w:highlight w:val="none"/>
          <w:lang w:val="en-US" w:eastAsia="zh-CN"/>
        </w:rPr>
        <w:t>为规范</w:t>
      </w:r>
      <w:r>
        <w:rPr>
          <w:rFonts w:hint="eastAsia" w:ascii="Times New Roman" w:hAnsi="Times New Roman"/>
          <w:b w:val="0"/>
          <w:bCs/>
          <w:color w:val="auto"/>
          <w:sz w:val="28"/>
          <w:highlight w:val="none"/>
          <w:lang w:eastAsia="zh-CN"/>
        </w:rPr>
        <w:t>水工混凝土掺合料</w:t>
      </w:r>
      <w:r>
        <w:rPr>
          <w:rFonts w:hint="eastAsia" w:ascii="Times New Roman" w:hAnsi="Times New Roman"/>
          <w:b w:val="0"/>
          <w:bCs/>
          <w:color w:val="auto"/>
          <w:sz w:val="28"/>
          <w:highlight w:val="none"/>
          <w:lang w:val="en-US" w:eastAsia="zh-CN"/>
        </w:rPr>
        <w:t>在水工混凝土工程中应用，</w:t>
      </w:r>
      <w:r>
        <w:rPr>
          <w:rFonts w:hint="eastAsia" w:ascii="Times New Roman" w:hAnsi="Times New Roman"/>
          <w:color w:val="000000" w:themeColor="text1"/>
          <w:sz w:val="28"/>
          <w:highlight w:val="none"/>
        </w:rPr>
        <w:t>做到</w:t>
      </w:r>
      <w:r>
        <w:rPr>
          <w:rFonts w:hint="eastAsia" w:ascii="Times New Roman" w:hAnsi="Times New Roman"/>
          <w:color w:val="000000" w:themeColor="text1"/>
          <w:sz w:val="28"/>
          <w:highlight w:val="none"/>
          <w:lang w:val="en-US" w:eastAsia="zh-CN"/>
        </w:rPr>
        <w:t>技术先进、</w:t>
      </w:r>
      <w:r>
        <w:rPr>
          <w:rFonts w:hint="eastAsia" w:ascii="Times New Roman" w:hAnsi="Times New Roman"/>
          <w:color w:val="000000" w:themeColor="text1"/>
          <w:sz w:val="28"/>
          <w:highlight w:val="none"/>
        </w:rPr>
        <w:t>安全</w:t>
      </w:r>
      <w:r>
        <w:rPr>
          <w:rFonts w:hint="eastAsia" w:ascii="Times New Roman" w:hAnsi="Times New Roman"/>
          <w:color w:val="000000" w:themeColor="text1"/>
          <w:sz w:val="28"/>
          <w:highlight w:val="none"/>
          <w:lang w:val="en-US" w:eastAsia="zh-CN"/>
        </w:rPr>
        <w:t>适用</w:t>
      </w:r>
      <w:r>
        <w:rPr>
          <w:rFonts w:hint="eastAsia" w:ascii="Times New Roman" w:hAnsi="Times New Roman"/>
          <w:color w:val="000000" w:themeColor="text1"/>
          <w:sz w:val="28"/>
          <w:highlight w:val="none"/>
        </w:rPr>
        <w:t>、经济</w:t>
      </w:r>
      <w:r>
        <w:rPr>
          <w:rFonts w:hint="eastAsia" w:ascii="Times New Roman" w:hAnsi="Times New Roman"/>
          <w:color w:val="000000" w:themeColor="text1"/>
          <w:sz w:val="28"/>
          <w:highlight w:val="none"/>
          <w:lang w:val="en-US" w:eastAsia="zh-CN"/>
        </w:rPr>
        <w:t>合理、资源循环利用和节能</w:t>
      </w:r>
      <w:r>
        <w:rPr>
          <w:rFonts w:hint="eastAsia" w:ascii="Times New Roman" w:hAnsi="Times New Roman"/>
          <w:b w:val="0"/>
          <w:bCs/>
          <w:color w:val="auto"/>
          <w:sz w:val="28"/>
          <w:highlight w:val="none"/>
          <w:lang w:val="en-US" w:eastAsia="zh-CN"/>
        </w:rPr>
        <w:t>环保，确保工程质量，制定本规程</w:t>
      </w:r>
      <w:r>
        <w:rPr>
          <w:rFonts w:hint="eastAsia" w:ascii="Times New Roman" w:hAnsi="Times New Roman"/>
          <w:color w:val="000000" w:themeColor="text1"/>
          <w:sz w:val="28"/>
          <w:highlight w:val="none"/>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color w:val="auto"/>
          <w:sz w:val="28"/>
          <w:highlight w:val="none"/>
        </w:rPr>
        <w:t>1.0.2</w:t>
      </w:r>
      <w:r>
        <w:rPr>
          <w:rFonts w:hint="eastAsia" w:ascii="Times New Roman" w:hAnsi="Times New Roman"/>
          <w:color w:val="auto"/>
          <w:sz w:val="28"/>
          <w:highlight w:val="none"/>
        </w:rPr>
        <w:t>　</w:t>
      </w:r>
      <w:r>
        <w:rPr>
          <w:rFonts w:hint="eastAsia" w:ascii="Times New Roman" w:hAnsi="Times New Roman"/>
          <w:b w:val="0"/>
          <w:bCs/>
          <w:color w:val="auto"/>
          <w:sz w:val="28"/>
          <w:highlight w:val="none"/>
          <w:lang w:val="en-US" w:eastAsia="zh-CN"/>
        </w:rPr>
        <w:t>本规程适用于</w:t>
      </w:r>
      <w:r>
        <w:rPr>
          <w:rFonts w:hint="eastAsia" w:ascii="Times New Roman" w:hAnsi="Times New Roman"/>
          <w:b w:val="0"/>
          <w:bCs/>
          <w:color w:val="auto"/>
          <w:sz w:val="28"/>
          <w:highlight w:val="none"/>
          <w:lang w:eastAsia="zh-CN"/>
        </w:rPr>
        <w:t>水工混凝土掺合</w:t>
      </w:r>
      <w:r>
        <w:rPr>
          <w:rFonts w:hint="eastAsia" w:ascii="Times New Roman" w:hAnsi="Times New Roman"/>
          <w:b w:val="0"/>
          <w:bCs/>
          <w:color w:val="auto"/>
          <w:sz w:val="28"/>
          <w:highlight w:val="none"/>
          <w:lang w:val="en-US" w:eastAsia="zh-CN"/>
        </w:rPr>
        <w:t>料在水工混凝土等工程中的应用。</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ascii="Times New Roman" w:hAnsi="Times New Roman"/>
          <w:b/>
          <w:color w:val="auto"/>
          <w:sz w:val="28"/>
          <w:highlight w:val="none"/>
        </w:rPr>
        <w:t>1.0.3　</w:t>
      </w:r>
      <w:r>
        <w:rPr>
          <w:rFonts w:hint="eastAsia" w:ascii="Times New Roman" w:hAnsi="Times New Roman"/>
          <w:b w:val="0"/>
          <w:bCs/>
          <w:color w:val="auto"/>
          <w:sz w:val="28"/>
          <w:highlight w:val="none"/>
          <w:lang w:eastAsia="zh-CN"/>
        </w:rPr>
        <w:t>水工混凝土掺合料</w:t>
      </w:r>
      <w:r>
        <w:rPr>
          <w:rFonts w:hint="eastAsia" w:ascii="Times New Roman" w:hAnsi="Times New Roman"/>
          <w:b w:val="0"/>
          <w:bCs/>
          <w:color w:val="auto"/>
          <w:sz w:val="28"/>
          <w:highlight w:val="none"/>
          <w:lang w:val="en-US" w:eastAsia="zh-CN"/>
        </w:rPr>
        <w:t>应用除应符合本规程外，尚应符合国家现行有关标准和现行中国工程建设标准化协会标准的有关规定。</w:t>
      </w:r>
    </w:p>
    <w:p>
      <w:pPr>
        <w:pStyle w:val="2"/>
        <w:rPr>
          <w:rFonts w:hint="eastAsia" w:ascii="Times New Roman" w:hAnsi="Times New Roman"/>
          <w:b w:val="0"/>
          <w:bCs/>
          <w:color w:val="auto"/>
          <w:sz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2"/>
        <w:rPr>
          <w:rFonts w:hint="eastAsia"/>
          <w:lang w:val="en-US" w:eastAsia="zh-CN"/>
        </w:rPr>
      </w:pPr>
    </w:p>
    <w:p>
      <w:pPr>
        <w:rPr>
          <w:rFonts w:hint="eastAsia" w:ascii="Times New Roman" w:hAnsi="Times New Roman"/>
          <w:color w:val="auto"/>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2  术    语</w:t>
      </w:r>
    </w:p>
    <w:p>
      <w:pPr>
        <w:rPr>
          <w:rFonts w:hint="default" w:ascii="Times New Roman" w:hAnsi="Times New Roman"/>
          <w:color w:val="auto"/>
          <w:highlight w:val="none"/>
          <w:lang w:val="en-US" w:eastAsia="zh-CN"/>
        </w:rPr>
      </w:pP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2.0.1 </w:t>
      </w:r>
      <w:r>
        <w:rPr>
          <w:rFonts w:hint="eastAsia" w:ascii="Times New Roman" w:hAnsi="Times New Roman"/>
          <w:b w:val="0"/>
          <w:bCs/>
          <w:color w:val="auto"/>
          <w:sz w:val="28"/>
          <w:highlight w:val="none"/>
          <w:lang w:val="en-US" w:eastAsia="zh-CN"/>
        </w:rPr>
        <w:t xml:space="preserve"> 水工混凝土  hydraulic concrete</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经常性或周期性地受水作用的建（构）筑物或建（构）筑物的一部分所用的并能保证建（构）筑物在上述条件下长期正常使用的混凝土。</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2.0.2 </w:t>
      </w:r>
      <w:r>
        <w:rPr>
          <w:rFonts w:hint="eastAsia" w:ascii="Times New Roman" w:hAnsi="Times New Roman"/>
          <w:b w:val="0"/>
          <w:bCs/>
          <w:color w:val="auto"/>
          <w:sz w:val="28"/>
          <w:highlight w:val="none"/>
          <w:lang w:val="en-US" w:eastAsia="zh-CN"/>
        </w:rPr>
        <w:t xml:space="preserve"> 水工混凝土掺合料  hydraulic concrete admixture</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由粉煤灰、磨细矿渣粉与少量矿物激发剂等按一定比例混合搅拌均匀而制成的干粉状料；适用于水工混凝土工程中作掺合料。简称水工掺合料。</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水工掺合料按用途、矿物组成分成两类：海水工程掺合料和淡水工程混掺合料；其中海水工程掺合料按其性能又分为I型海工掺合料和II型海工掺合料。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Cs/>
          <w:sz w:val="28"/>
          <w:lang w:val="en-US" w:eastAsia="zh-CN"/>
        </w:rPr>
      </w:pPr>
      <w:r>
        <w:rPr>
          <w:rFonts w:hint="eastAsia" w:ascii="Times New Roman" w:hAnsi="Times New Roman"/>
          <w:b/>
          <w:bCs w:val="0"/>
          <w:color w:val="auto"/>
          <w:sz w:val="28"/>
          <w:highlight w:val="none"/>
          <w:lang w:val="en-US" w:eastAsia="zh-CN"/>
        </w:rPr>
        <w:t xml:space="preserve">2.0.3 </w:t>
      </w:r>
      <w:r>
        <w:rPr>
          <w:rFonts w:hint="eastAsia" w:ascii="Times New Roman" w:hAnsi="Times New Roman"/>
          <w:b w:val="0"/>
          <w:bCs/>
          <w:color w:val="auto"/>
          <w:sz w:val="28"/>
          <w:highlight w:val="none"/>
          <w:lang w:val="en-US" w:eastAsia="zh-CN"/>
        </w:rPr>
        <w:t xml:space="preserve"> 粒化高炉矿渣粉  granulated blast furnace slag powder</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使用符合现行国家标准《用于水泥中的粒化高炉矿渣》GB/T 203规定的粒化高炉矿渣，可掺加少量石膏，将其干燥、粉磨后达到一定细度的粉体。简称矿渣粉。</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2.0.4 </w:t>
      </w:r>
      <w:r>
        <w:rPr>
          <w:rFonts w:hint="eastAsia" w:ascii="Times New Roman" w:hAnsi="Times New Roman"/>
          <w:b w:val="0"/>
          <w:bCs/>
          <w:color w:val="auto"/>
          <w:sz w:val="28"/>
          <w:highlight w:val="none"/>
          <w:lang w:val="en-US" w:eastAsia="zh-CN"/>
        </w:rPr>
        <w:t xml:space="preserve"> 粉煤灰  fiy ash</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从燃煤电厂煤粉炉烟道气体中收集的粉末。</w:t>
      </w:r>
    </w:p>
    <w:p>
      <w:pPr>
        <w:pStyle w:val="2"/>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2.0.5 </w:t>
      </w:r>
      <w:r>
        <w:rPr>
          <w:rFonts w:hint="eastAsia" w:ascii="Times New Roman" w:hAnsi="Times New Roman"/>
          <w:b w:val="0"/>
          <w:bCs/>
          <w:color w:val="auto"/>
          <w:sz w:val="28"/>
          <w:highlight w:val="none"/>
          <w:lang w:val="en-US" w:eastAsia="zh-CN"/>
        </w:rPr>
        <w:t xml:space="preserve"> 矿物激发剂  mineral activator</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通过激活矿物物质中的无机原子、离子间物理和化学反应，促进水泥基胶凝材料水化反应和提高混凝土强度的结晶化学添加物。</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2.0.6 </w:t>
      </w:r>
      <w:r>
        <w:rPr>
          <w:rFonts w:hint="eastAsia" w:ascii="Times New Roman" w:hAnsi="Times New Roman"/>
          <w:b w:val="0"/>
          <w:bCs/>
          <w:color w:val="auto"/>
          <w:sz w:val="28"/>
          <w:highlight w:val="none"/>
          <w:lang w:val="en-US" w:eastAsia="zh-CN"/>
        </w:rPr>
        <w:t xml:space="preserve"> 水工掺合料混凝土  hydraulic admixture concrete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以水工掺合料为主要掺合料的水工混凝土。</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2.0.7 </w:t>
      </w:r>
      <w:r>
        <w:rPr>
          <w:rFonts w:hint="eastAsia" w:ascii="Times New Roman" w:hAnsi="Times New Roman"/>
          <w:b w:val="0"/>
          <w:bCs/>
          <w:color w:val="auto"/>
          <w:sz w:val="28"/>
          <w:highlight w:val="none"/>
          <w:lang w:val="en-US" w:eastAsia="zh-CN"/>
        </w:rPr>
        <w:t xml:space="preserve"> 流动度比  mobility ratio</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水工掺合料按规定比例等量取代水泥后的受检胶砂流动度与基准水泥胶砂流动度之比，用百分数表示。</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2.0.8 </w:t>
      </w:r>
      <w:r>
        <w:rPr>
          <w:rFonts w:hint="eastAsia" w:ascii="Times New Roman" w:hAnsi="Times New Roman"/>
          <w:b w:val="0"/>
          <w:bCs/>
          <w:color w:val="auto"/>
          <w:sz w:val="28"/>
          <w:highlight w:val="none"/>
          <w:lang w:val="en-US" w:eastAsia="zh-CN"/>
        </w:rPr>
        <w:t xml:space="preserve"> 基准胶砂  standard mortar</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水工掺合料品质试验中，仅用符合符合现行国家标准</w:t>
      </w:r>
      <w:r>
        <w:rPr>
          <w:rFonts w:hint="default" w:ascii="Times New Roman" w:hAnsi="Times New Roman"/>
          <w:b w:val="0"/>
          <w:bCs/>
          <w:color w:val="auto"/>
          <w:sz w:val="28"/>
          <w:highlight w:val="none"/>
          <w:lang w:val="en-US" w:eastAsia="zh-CN"/>
        </w:rPr>
        <w:fldChar w:fldCharType="begin"/>
      </w:r>
      <w:r>
        <w:rPr>
          <w:rFonts w:hint="default" w:ascii="Times New Roman" w:hAnsi="Times New Roman"/>
          <w:b w:val="0"/>
          <w:bCs/>
          <w:color w:val="auto"/>
          <w:sz w:val="28"/>
          <w:highlight w:val="none"/>
          <w:lang w:val="en-US" w:eastAsia="zh-CN"/>
        </w:rPr>
        <w:instrText xml:space="preserve"> HYPERLINK "http://mp.weixin.qq.com/s?src=11&amp;timestamp=1717681527&amp;ver=5306&amp;signature=8M2V1UNBBgUZYRM9usOJaVQ3PwJ1BWyypqY5urN9LX2pVf4orOImxcNrtdDehgRgBKliEl8LizJSAHo4Clfgqtn2K332t1vxnT1siLrBqSLz4PNbm5OBZbKQ2kTyWwfM&amp;new=1" \t "https://www.sogou.com/_blank" </w:instrText>
      </w:r>
      <w:r>
        <w:rPr>
          <w:rFonts w:hint="default" w:ascii="Times New Roman" w:hAnsi="Times New Roman"/>
          <w:b w:val="0"/>
          <w:bCs/>
          <w:color w:val="auto"/>
          <w:sz w:val="28"/>
          <w:highlight w:val="none"/>
          <w:lang w:val="en-US" w:eastAsia="zh-CN"/>
        </w:rPr>
        <w:fldChar w:fldCharType="separate"/>
      </w:r>
      <w:r>
        <w:rPr>
          <w:rFonts w:hint="default" w:ascii="Times New Roman" w:hAnsi="Times New Roman"/>
          <w:b w:val="0"/>
          <w:bCs/>
          <w:color w:val="auto"/>
          <w:sz w:val="28"/>
          <w:highlight w:val="none"/>
          <w:lang w:val="en-US" w:eastAsia="zh-CN"/>
        </w:rPr>
        <w:t>《通用硅酸盐水泥》</w:t>
      </w:r>
      <w:r>
        <w:rPr>
          <w:rFonts w:hint="default"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GB 175规定的强度等级为42.5级的硅酸盐水泥或普通硅酸盐水泥作为胶凝材料配制的作为比对的胶砂。</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2.0.9 </w:t>
      </w:r>
      <w:r>
        <w:rPr>
          <w:rFonts w:hint="eastAsia" w:ascii="Times New Roman" w:hAnsi="Times New Roman"/>
          <w:b w:val="0"/>
          <w:bCs/>
          <w:color w:val="auto"/>
          <w:sz w:val="28"/>
          <w:highlight w:val="none"/>
          <w:lang w:val="en-US" w:eastAsia="zh-CN"/>
        </w:rPr>
        <w:t xml:space="preserve"> 受检胶砂  tested mortar</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水工掺合料品质试验中，以水工掺合料等量替代基准胶砂中水泥用量50%，所配制的检验用胶砂。</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2.0.10 </w:t>
      </w:r>
      <w:r>
        <w:rPr>
          <w:rFonts w:hint="eastAsia" w:ascii="Times New Roman" w:hAnsi="Times New Roman"/>
          <w:b w:val="0"/>
          <w:bCs/>
          <w:color w:val="auto"/>
          <w:sz w:val="28"/>
          <w:highlight w:val="none"/>
          <w:lang w:val="en-US" w:eastAsia="zh-CN"/>
        </w:rPr>
        <w:t xml:space="preserve"> 活性指数  activity index</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水工掺合料按规定比例等量取代水泥后的受检胶砂与基准水泥胶砂在等用水量条件下，标准养护至规定龄期的抗压强度比，用百分数表示。</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2.0.11 </w:t>
      </w:r>
      <w:r>
        <w:rPr>
          <w:rFonts w:hint="eastAsia" w:ascii="Times New Roman" w:hAnsi="Times New Roman"/>
          <w:b w:val="0"/>
          <w:bCs/>
          <w:color w:val="auto"/>
          <w:sz w:val="28"/>
          <w:highlight w:val="none"/>
          <w:lang w:val="en-US" w:eastAsia="zh-CN"/>
        </w:rPr>
        <w:t xml:space="preserve"> 超量系数  excess coefficient</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水工掺合料掺入量与其所取代水泥量的比值，代号K。</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2.0.12  </w:t>
      </w:r>
      <w:r>
        <w:rPr>
          <w:rFonts w:hint="eastAsia" w:ascii="Times New Roman" w:hAnsi="Times New Roman"/>
          <w:b w:val="0"/>
          <w:bCs/>
          <w:color w:val="auto"/>
          <w:sz w:val="28"/>
          <w:highlight w:val="none"/>
          <w:lang w:val="en-US" w:eastAsia="zh-CN"/>
        </w:rPr>
        <w:t>水胶比  water-cementitious material ratio</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混凝土中用水量与胶凝材料的质量比值。</w:t>
      </w:r>
    </w:p>
    <w:p>
      <w:pPr>
        <w:snapToGrid w:val="0"/>
        <w:spacing w:line="360" w:lineRule="auto"/>
        <w:ind w:firstLine="560" w:firstLineChars="200"/>
        <w:rPr>
          <w:rFonts w:hint="eastAsia" w:ascii="Times New Roman" w:hAnsi="Times New Roman"/>
          <w:b w:val="0"/>
          <w:bCs/>
          <w:color w:val="auto"/>
          <w:sz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2"/>
        <w:rPr>
          <w:rFonts w:hint="eastAsia"/>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3  基本规定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3.0.1 </w:t>
      </w:r>
      <w:r>
        <w:rPr>
          <w:rFonts w:hint="eastAsia" w:ascii="Times New Roman" w:hAnsi="Times New Roman"/>
          <w:b w:val="0"/>
          <w:bCs/>
          <w:color w:val="auto"/>
          <w:sz w:val="28"/>
          <w:highlight w:val="none"/>
          <w:lang w:val="en-US" w:eastAsia="zh-CN"/>
        </w:rPr>
        <w:t xml:space="preserve"> 海水工程预应力混凝土宜选用I型海工掺合料；选用II型海工掺合料时应经试验论证。</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3.0.2</w:t>
      </w:r>
      <w:r>
        <w:rPr>
          <w:rFonts w:hint="eastAsia" w:ascii="Times New Roman" w:hAnsi="Times New Roman"/>
          <w:b w:val="0"/>
          <w:bCs/>
          <w:color w:val="auto"/>
          <w:sz w:val="28"/>
          <w:highlight w:val="none"/>
          <w:lang w:val="en-US" w:eastAsia="zh-CN"/>
        </w:rPr>
        <w:t xml:space="preserve">  水工混凝土宜采用硅酸盐水泥或普通硅酸盐水泥配制；采用其他品种的硅酸盐水泥时，应根据水泥中混合材料的品种和掺量，并通过试验确定水工掺合料的合理掺量。</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3.0.3</w:t>
      </w:r>
      <w:r>
        <w:rPr>
          <w:rFonts w:hint="eastAsia" w:ascii="Times New Roman" w:hAnsi="Times New Roman"/>
          <w:b w:val="0"/>
          <w:bCs/>
          <w:color w:val="auto"/>
          <w:sz w:val="28"/>
          <w:highlight w:val="none"/>
          <w:lang w:val="en-US" w:eastAsia="zh-CN"/>
        </w:rPr>
        <w:t xml:space="preserve">  水工掺合料与其他掺合料同时掺用时，其合理掺量应通过试验确定。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3.0.4  </w:t>
      </w:r>
      <w:r>
        <w:rPr>
          <w:rFonts w:hint="eastAsia" w:ascii="Times New Roman" w:hAnsi="Times New Roman"/>
          <w:b w:val="0"/>
          <w:bCs/>
          <w:color w:val="auto"/>
          <w:sz w:val="28"/>
          <w:highlight w:val="none"/>
          <w:lang w:val="en-US" w:eastAsia="zh-CN"/>
        </w:rPr>
        <w:t>水工掺合料可与各类外加剂同时使用时，水工掺合料与外加剂的适应性应通过试验确定。</w:t>
      </w: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default"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4  材料及性能</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4.1  原材料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bookmarkStart w:id="9" w:name="_Toc118804610"/>
      <w:bookmarkEnd w:id="9"/>
      <w:r>
        <w:rPr>
          <w:rFonts w:hint="eastAsia" w:ascii="Times New Roman" w:hAnsi="Times New Roman"/>
          <w:b/>
          <w:bCs w:val="0"/>
          <w:color w:val="auto"/>
          <w:sz w:val="28"/>
          <w:highlight w:val="none"/>
          <w:lang w:val="en-US" w:eastAsia="zh-CN"/>
        </w:rPr>
        <w:t>4.1.1</w:t>
      </w:r>
      <w:r>
        <w:rPr>
          <w:rFonts w:hint="eastAsia" w:ascii="Times New Roman" w:hAnsi="Times New Roman"/>
          <w:b w:val="0"/>
          <w:bCs/>
          <w:color w:val="auto"/>
          <w:sz w:val="28"/>
          <w:highlight w:val="none"/>
          <w:lang w:val="en-US" w:eastAsia="zh-CN"/>
        </w:rPr>
        <w:t xml:space="preserve">  矿渣粉应选用S95及S95以上级别，其性能应符合现行国家标准《用于水泥、砂浆和混凝土中的粒化高炉矿渣粉》GB/T 18046的规定。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4.1.2</w:t>
      </w:r>
      <w:r>
        <w:rPr>
          <w:rFonts w:hint="eastAsia" w:ascii="Times New Roman" w:hAnsi="Times New Roman"/>
          <w:b w:val="0"/>
          <w:bCs/>
          <w:color w:val="auto"/>
          <w:sz w:val="28"/>
          <w:highlight w:val="none"/>
          <w:lang w:val="en-US" w:eastAsia="zh-CN"/>
        </w:rPr>
        <w:t xml:space="preserve">  粉煤灰应选用II级及II级以上等级，其性能应符合现行国家标准《用于水泥和混凝土中的粉煤灰》GB/T 1596的规定。</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4.2  水工掺合料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4.2.1</w:t>
      </w:r>
      <w:r>
        <w:rPr>
          <w:rFonts w:hint="eastAsia" w:ascii="Times New Roman" w:hAnsi="Times New Roman"/>
          <w:b w:val="0"/>
          <w:bCs/>
          <w:color w:val="auto"/>
          <w:sz w:val="28"/>
          <w:highlight w:val="none"/>
          <w:lang w:val="en-US" w:eastAsia="zh-CN"/>
        </w:rPr>
        <w:t xml:space="preserve">  水工掺合料的性能应符合表4.2.1的规定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表4.2.1  水工掺合料技术要求</w:t>
      </w:r>
    </w:p>
    <w:tbl>
      <w:tblPr>
        <w:tblStyle w:val="19"/>
        <w:tblW w:w="80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1053"/>
        <w:gridCol w:w="1070"/>
        <w:gridCol w:w="1070"/>
        <w:gridCol w:w="1070"/>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项目</w:t>
            </w:r>
          </w:p>
        </w:tc>
        <w:tc>
          <w:tcPr>
            <w:tcW w:w="3210"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lang w:val="en-US" w:eastAsia="zh-CN"/>
              </w:rPr>
              <w:t>性能</w:t>
            </w:r>
            <w:r>
              <w:rPr>
                <w:rFonts w:hint="eastAsia" w:ascii="Times New Roman" w:hAnsi="Times New Roman"/>
                <w:sz w:val="21"/>
                <w:szCs w:val="21"/>
              </w:rPr>
              <w:t>指标</w:t>
            </w:r>
          </w:p>
        </w:tc>
        <w:tc>
          <w:tcPr>
            <w:tcW w:w="301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eastAsia="zh-CN"/>
              </w:rPr>
            </w:pPr>
          </w:p>
        </w:tc>
        <w:tc>
          <w:tcPr>
            <w:tcW w:w="2140"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sz w:val="21"/>
                <w:szCs w:val="21"/>
                <w:lang w:eastAsia="zh-CN"/>
              </w:rPr>
            </w:pPr>
            <w:r>
              <w:rPr>
                <w:rFonts w:hint="eastAsia" w:ascii="Times New Roman" w:hAnsi="Times New Roman"/>
                <w:sz w:val="21"/>
                <w:szCs w:val="21"/>
                <w:lang w:eastAsia="zh-CN"/>
              </w:rPr>
              <w:t>海水工程掺合料</w:t>
            </w:r>
          </w:p>
        </w:tc>
        <w:tc>
          <w:tcPr>
            <w:tcW w:w="107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淡水工程掺合料</w:t>
            </w:r>
          </w:p>
        </w:tc>
        <w:tc>
          <w:tcPr>
            <w:tcW w:w="301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Ⅰ型</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Ⅱ型</w:t>
            </w:r>
          </w:p>
        </w:tc>
        <w:tc>
          <w:tcPr>
            <w:tcW w:w="107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c>
          <w:tcPr>
            <w:tcW w:w="301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密度（g/cm</w:t>
            </w:r>
            <w:r>
              <w:rPr>
                <w:rFonts w:hint="eastAsia" w:ascii="Times New Roman" w:hAnsi="Times New Roman"/>
                <w:sz w:val="21"/>
                <w:szCs w:val="21"/>
                <w:vertAlign w:val="superscript"/>
              </w:rPr>
              <w:t>3</w:t>
            </w:r>
            <w:r>
              <w:rPr>
                <w:rFonts w:hint="eastAsia" w:ascii="Times New Roman" w:hAnsi="Times New Roman"/>
                <w:sz w:val="21"/>
                <w:szCs w:val="21"/>
              </w:rPr>
              <w:t>）</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≥2.5</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≥2.6</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≥2.6</w:t>
            </w:r>
          </w:p>
        </w:tc>
        <w:tc>
          <w:tcPr>
            <w:tcW w:w="301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lang w:val="en-US" w:eastAsia="zh-CN"/>
              </w:rPr>
              <w:t>现行国家标准</w:t>
            </w:r>
            <w:r>
              <w:rPr>
                <w:rFonts w:hint="eastAsia" w:ascii="Times New Roman" w:hAnsi="Times New Roman"/>
              </w:rPr>
              <w:t>《水泥密度测定方法》GB/T</w:t>
            </w:r>
            <w:r>
              <w:rPr>
                <w:rFonts w:hint="eastAsia" w:ascii="Times New Roman" w:hAnsi="Times New Roman"/>
                <w:lang w:val="en-US" w:eastAsia="zh-CN"/>
              </w:rPr>
              <w:t xml:space="preserve"> </w:t>
            </w:r>
            <w:r>
              <w:rPr>
                <w:rFonts w:hint="eastAsia" w:ascii="Times New Roman" w:hAnsi="Times New Roman"/>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比表面积（m</w:t>
            </w:r>
            <w:r>
              <w:rPr>
                <w:rFonts w:hint="eastAsia" w:ascii="Times New Roman" w:hAnsi="Times New Roman"/>
                <w:sz w:val="21"/>
                <w:szCs w:val="21"/>
                <w:vertAlign w:val="superscript"/>
              </w:rPr>
              <w:t>2</w:t>
            </w:r>
            <w:r>
              <w:rPr>
                <w:rFonts w:hint="eastAsia" w:ascii="Times New Roman" w:hAnsi="Times New Roman"/>
                <w:sz w:val="21"/>
                <w:szCs w:val="21"/>
              </w:rPr>
              <w:t>/kg）</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≥600</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≥450</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≥400</w:t>
            </w:r>
          </w:p>
        </w:tc>
        <w:tc>
          <w:tcPr>
            <w:tcW w:w="301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lang w:val="en-US" w:eastAsia="zh-CN"/>
              </w:rPr>
              <w:t>现行国家标准</w:t>
            </w:r>
            <w:r>
              <w:rPr>
                <w:rFonts w:hint="eastAsia" w:ascii="Times New Roman" w:hAnsi="Times New Roman"/>
              </w:rPr>
              <w:t>《水泥比表面积测定方法（勃氏法）》GB/T</w:t>
            </w:r>
            <w:r>
              <w:rPr>
                <w:rFonts w:hint="eastAsia" w:ascii="Times New Roman" w:hAnsi="Times New Roman"/>
                <w:lang w:val="en-US" w:eastAsia="zh-CN"/>
              </w:rPr>
              <w:t xml:space="preserve"> </w:t>
            </w:r>
            <w:r>
              <w:rPr>
                <w:rFonts w:hint="eastAsia" w:ascii="Times New Roman" w:hAnsi="Times New Roman"/>
              </w:rPr>
              <w:t>8074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氯离子（%）</w:t>
            </w:r>
          </w:p>
        </w:tc>
        <w:tc>
          <w:tcPr>
            <w:tcW w:w="3210"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≤0.02</w:t>
            </w:r>
          </w:p>
        </w:tc>
        <w:tc>
          <w:tcPr>
            <w:tcW w:w="301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lang w:val="en-US" w:eastAsia="zh-CN"/>
              </w:rPr>
              <w:t>现行行业标准</w:t>
            </w:r>
            <w:r>
              <w:rPr>
                <w:rFonts w:hint="eastAsia" w:ascii="Times New Roman" w:hAnsi="Times New Roman"/>
              </w:rPr>
              <w:t>《水泥原材料中氯离子的测定方法》JC/T</w:t>
            </w:r>
            <w:r>
              <w:rPr>
                <w:rFonts w:hint="eastAsia" w:ascii="Times New Roman" w:hAnsi="Times New Roman"/>
                <w:lang w:val="en-US" w:eastAsia="zh-CN"/>
              </w:rPr>
              <w:t xml:space="preserve"> </w:t>
            </w:r>
            <w:r>
              <w:rPr>
                <w:rFonts w:hint="eastAsia" w:ascii="Times New Roman" w:hAnsi="Times New Roman"/>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含水率（%）</w:t>
            </w:r>
          </w:p>
        </w:tc>
        <w:tc>
          <w:tcPr>
            <w:tcW w:w="3210"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≤1.0</w:t>
            </w:r>
          </w:p>
        </w:tc>
        <w:tc>
          <w:tcPr>
            <w:tcW w:w="301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lang w:val="en-US" w:eastAsia="zh-CN"/>
              </w:rPr>
              <w:t>现行国家标准</w:t>
            </w:r>
            <w:r>
              <w:rPr>
                <w:rFonts w:hint="eastAsia" w:ascii="Times New Roman" w:hAnsi="Times New Roman"/>
              </w:rPr>
              <w:t>《水泥化学分析方法》GB/T</w:t>
            </w:r>
            <w:r>
              <w:rPr>
                <w:rFonts w:hint="eastAsia" w:ascii="Times New Roman" w:hAnsi="Times New Roman"/>
                <w:lang w:val="en-US" w:eastAsia="zh-CN"/>
              </w:rPr>
              <w:t xml:space="preserve"> </w:t>
            </w:r>
            <w:r>
              <w:rPr>
                <w:rFonts w:hint="eastAsia" w:ascii="Times New Roman" w:hAnsi="Times New Roman"/>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三氧化硫（%）</w:t>
            </w:r>
          </w:p>
        </w:tc>
        <w:tc>
          <w:tcPr>
            <w:tcW w:w="3210"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≤4.0</w:t>
            </w:r>
          </w:p>
        </w:tc>
        <w:tc>
          <w:tcPr>
            <w:tcW w:w="301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烧失量（%）</w:t>
            </w:r>
          </w:p>
        </w:tc>
        <w:tc>
          <w:tcPr>
            <w:tcW w:w="2140"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≤2.0</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≤3.0</w:t>
            </w:r>
          </w:p>
        </w:tc>
        <w:tc>
          <w:tcPr>
            <w:tcW w:w="301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流动度比（%）</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≥100</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≥105</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≥100</w:t>
            </w:r>
          </w:p>
        </w:tc>
        <w:tc>
          <w:tcPr>
            <w:tcW w:w="301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lang w:val="en-US" w:eastAsia="zh-CN"/>
              </w:rPr>
              <w:t>本规程</w:t>
            </w:r>
            <w:r>
              <w:rPr>
                <w:rFonts w:hint="eastAsia" w:ascii="Times New Roman" w:hAnsi="Times New Roman"/>
              </w:rPr>
              <w:t>附录A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2"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活性指数</w:t>
            </w:r>
          </w:p>
        </w:tc>
        <w:tc>
          <w:tcPr>
            <w:tcW w:w="1053"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1d（%）</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≥40</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≥35</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sz w:val="21"/>
                <w:szCs w:val="21"/>
                <w:lang w:eastAsia="zh-CN"/>
              </w:rPr>
            </w:pPr>
            <w:r>
              <w:rPr>
                <w:rFonts w:hint="eastAsia" w:ascii="Times New Roman" w:hAnsi="Times New Roman"/>
                <w:sz w:val="21"/>
                <w:szCs w:val="21"/>
                <w:lang w:eastAsia="zh-CN"/>
              </w:rPr>
              <w:t>—</w:t>
            </w:r>
          </w:p>
        </w:tc>
        <w:tc>
          <w:tcPr>
            <w:tcW w:w="301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sz w:val="21"/>
                <w:szCs w:val="21"/>
                <w:lang w:eastAsia="zh-CN"/>
              </w:rPr>
            </w:pPr>
            <w:r>
              <w:rPr>
                <w:rFonts w:hint="eastAsia" w:ascii="Times New Roman" w:hAnsi="Times New Roman"/>
                <w:lang w:val="en-US" w:eastAsia="zh-CN"/>
              </w:rPr>
              <w:t>本规程</w:t>
            </w:r>
            <w:r>
              <w:rPr>
                <w:rFonts w:hint="eastAsia" w:ascii="Times New Roman" w:hAnsi="Times New Roman"/>
              </w:rPr>
              <w:t>附录</w:t>
            </w:r>
            <w:r>
              <w:rPr>
                <w:rFonts w:hint="eastAsia" w:ascii="Times New Roman" w:hAnsi="Times New Roman"/>
                <w:lang w:val="en-US" w:eastAsia="zh-CN"/>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2"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c>
          <w:tcPr>
            <w:tcW w:w="1053"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3d（%）</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lang w:eastAsia="zh-CN"/>
              </w:rPr>
              <w:t>—</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lang w:eastAsia="zh-CN"/>
              </w:rPr>
              <w:t>—</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≥45</w:t>
            </w:r>
          </w:p>
        </w:tc>
        <w:tc>
          <w:tcPr>
            <w:tcW w:w="301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2"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c>
          <w:tcPr>
            <w:tcW w:w="1053"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7d（%）</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≥80</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≥75</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w:t>
            </w:r>
          </w:p>
        </w:tc>
        <w:tc>
          <w:tcPr>
            <w:tcW w:w="301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2"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c>
          <w:tcPr>
            <w:tcW w:w="1053"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28d（%）</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≥105</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≥95</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≥95</w:t>
            </w:r>
          </w:p>
        </w:tc>
        <w:tc>
          <w:tcPr>
            <w:tcW w:w="301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≤6μm颗粒含量</w:t>
            </w:r>
            <w:r>
              <w:rPr>
                <w:rFonts w:hint="eastAsia" w:ascii="Times New Roman" w:hAnsi="Times New Roman"/>
                <w:sz w:val="21"/>
                <w:szCs w:val="21"/>
              </w:rPr>
              <w:t>（%）</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lang w:eastAsia="zh-CN"/>
              </w:rPr>
              <w:t>—</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lang w:eastAsia="zh-CN"/>
              </w:rPr>
              <w:t>—</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sz w:val="21"/>
                <w:szCs w:val="21"/>
              </w:rPr>
              <w:t>≥</w:t>
            </w:r>
            <w:r>
              <w:rPr>
                <w:rFonts w:hint="eastAsia" w:ascii="Times New Roman" w:hAnsi="Times New Roman"/>
                <w:sz w:val="21"/>
                <w:szCs w:val="21"/>
                <w:lang w:val="en-US" w:eastAsia="zh-CN"/>
              </w:rPr>
              <w:t>2</w:t>
            </w:r>
            <w:r>
              <w:rPr>
                <w:rFonts w:hint="eastAsia" w:ascii="Times New Roman" w:hAnsi="Times New Roman"/>
                <w:sz w:val="21"/>
                <w:szCs w:val="21"/>
              </w:rPr>
              <w:t>5</w:t>
            </w:r>
          </w:p>
        </w:tc>
        <w:tc>
          <w:tcPr>
            <w:tcW w:w="301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rPr>
            </w:pPr>
            <w:r>
              <w:rPr>
                <w:rFonts w:hint="eastAsia" w:ascii="Times New Roman" w:hAnsi="Times New Roman"/>
                <w:lang w:val="en-US" w:eastAsia="zh-CN"/>
              </w:rPr>
              <w:t>本规程</w:t>
            </w:r>
            <w:r>
              <w:rPr>
                <w:rFonts w:hint="eastAsia" w:ascii="Times New Roman" w:hAnsi="Times New Roman"/>
              </w:rPr>
              <w:t>附录</w:t>
            </w:r>
            <w:r>
              <w:rPr>
                <w:rFonts w:hint="eastAsia" w:ascii="Times New Roman" w:hAnsi="Times New Roman"/>
                <w:lang w:val="en-US" w:eastAsia="zh-CN"/>
              </w:rPr>
              <w:t>C</w:t>
            </w:r>
          </w:p>
        </w:tc>
      </w:tr>
    </w:tbl>
    <w:p>
      <w:pPr>
        <w:keepNext w:val="0"/>
        <w:keepLines w:val="0"/>
        <w:pageBreakBefore w:val="0"/>
        <w:widowControl w:val="0"/>
        <w:kinsoku/>
        <w:wordWrap/>
        <w:overflowPunct/>
        <w:topLinePunct w:val="0"/>
        <w:autoSpaceDE/>
        <w:autoSpaceDN/>
        <w:bidi w:val="0"/>
        <w:adjustRightInd/>
        <w:snapToGrid w:val="0"/>
        <w:jc w:val="left"/>
        <w:textAlignment w:val="auto"/>
        <w:rPr>
          <w:rFonts w:ascii="Times New Roman" w:hAnsi="Times New Roman" w:eastAsia="黑体"/>
          <w:b/>
          <w:sz w:val="10"/>
          <w:szCs w:val="10"/>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b/>
          <w:bCs w:val="0"/>
          <w:color w:val="auto"/>
          <w:sz w:val="10"/>
          <w:szCs w:val="10"/>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i w:val="0"/>
          <w:iCs w:val="0"/>
          <w:color w:val="auto"/>
          <w:sz w:val="28"/>
          <w:highlight w:val="none"/>
          <w:lang w:val="en-US" w:eastAsia="zh-CN"/>
        </w:rPr>
      </w:pPr>
      <w:r>
        <w:rPr>
          <w:rFonts w:hint="eastAsia" w:ascii="Times New Roman" w:hAnsi="Times New Roman"/>
          <w:b/>
          <w:bCs w:val="0"/>
          <w:color w:val="auto"/>
          <w:sz w:val="28"/>
          <w:highlight w:val="none"/>
          <w:lang w:val="en-US" w:eastAsia="zh-CN"/>
        </w:rPr>
        <w:t>4.2.2</w:t>
      </w:r>
      <w:r>
        <w:rPr>
          <w:rFonts w:hint="eastAsia" w:ascii="Times New Roman" w:hAnsi="Times New Roman"/>
          <w:b w:val="0"/>
          <w:bCs/>
          <w:color w:val="auto"/>
          <w:sz w:val="28"/>
          <w:highlight w:val="none"/>
          <w:lang w:val="en-US" w:eastAsia="zh-CN"/>
        </w:rPr>
        <w:t xml:space="preserve">  水工掺合料</w:t>
      </w:r>
      <w:r>
        <w:rPr>
          <w:rFonts w:hint="eastAsia" w:ascii="Times New Roman" w:hAnsi="Times New Roman"/>
          <w:b w:val="0"/>
          <w:bCs/>
          <w:i w:val="0"/>
          <w:iCs w:val="0"/>
          <w:color w:val="auto"/>
          <w:sz w:val="28"/>
          <w:highlight w:val="none"/>
          <w:lang w:val="en-US" w:eastAsia="zh-CN"/>
        </w:rPr>
        <w:t xml:space="preserve">的放射性核素限量应符合现行国家标准《建筑材料放射性核素限量》GB 6566的规定。 </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4.3  水工掺合料交货、验收与储存</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4.3.1</w:t>
      </w:r>
      <w:r>
        <w:rPr>
          <w:rFonts w:hint="eastAsia" w:ascii="Times New Roman" w:hAnsi="Times New Roman"/>
          <w:b w:val="0"/>
          <w:bCs/>
          <w:color w:val="auto"/>
          <w:sz w:val="28"/>
          <w:highlight w:val="none"/>
          <w:lang w:val="en-US" w:eastAsia="zh-CN"/>
        </w:rPr>
        <w:t xml:space="preserve">  水工掺合料出厂前按同规格进行编号和取样，每一编号为一个取样单位。水工掺合料出厂编号以600t为一编号；当连续3d产量不足600t时，以3d产量为一编号。</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4.3.2</w:t>
      </w:r>
      <w:r>
        <w:rPr>
          <w:rFonts w:hint="eastAsia" w:ascii="Times New Roman" w:hAnsi="Times New Roman"/>
          <w:b w:val="0"/>
          <w:bCs/>
          <w:color w:val="auto"/>
          <w:sz w:val="28"/>
          <w:highlight w:val="none"/>
          <w:lang w:val="en-US" w:eastAsia="zh-CN"/>
        </w:rPr>
        <w:t xml:space="preserve">  水工掺合料生产单位应按批向应用单位提供产品合格证，产品合格证样式参照附录D。水工掺合料散装卡片或袋装标志应包括下述内容：</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1  产品名称、种类和型号；</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2  生产单位名称与地址；</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3  生产日期；</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4  收发货地点；</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5  运输、贮存标记。</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4.3.3</w:t>
      </w:r>
      <w:r>
        <w:rPr>
          <w:rFonts w:hint="eastAsia" w:ascii="Times New Roman" w:hAnsi="Times New Roman"/>
          <w:b w:val="0"/>
          <w:bCs/>
          <w:color w:val="auto"/>
          <w:sz w:val="28"/>
          <w:highlight w:val="none"/>
          <w:lang w:val="en-US" w:eastAsia="zh-CN"/>
        </w:rPr>
        <w:t xml:space="preserve">  对于同一编号的水工掺合料，用户应复验活性指数和流动度比二项指标。若其中任何一项不符合要求，则应由有资质的第三方检验机构进行全性能检验。检验合格后，方可使用。</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4.3.4</w:t>
      </w:r>
      <w:r>
        <w:rPr>
          <w:rFonts w:hint="eastAsia" w:ascii="Times New Roman" w:hAnsi="Times New Roman"/>
          <w:b w:val="0"/>
          <w:bCs/>
          <w:color w:val="auto"/>
          <w:sz w:val="28"/>
          <w:highlight w:val="none"/>
          <w:lang w:val="en-US" w:eastAsia="zh-CN"/>
        </w:rPr>
        <w:t xml:space="preserve">  水工掺合料交货时的质量验收可抽取实物试样以其检验结果为依据，也可以生产单位同编号水工掺合料的检验报告为依据。采取何种方法验收由买卖双方商定，并在合同或协议中注明。当无书面合同或协议，或未在合同、协议中注明验收方法的，卖方应在发货票上注明“以本单位同编号水工掺合料的检验报告为验收依据”字样。以抽取实物试样的检验结果为验收依据时，买卖双方应在发货前或交货地共同取样和签封。</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4.3.5</w:t>
      </w:r>
      <w:r>
        <w:rPr>
          <w:rFonts w:hint="eastAsia" w:ascii="Times New Roman" w:hAnsi="Times New Roman"/>
          <w:b w:val="0"/>
          <w:bCs/>
          <w:color w:val="auto"/>
          <w:sz w:val="28"/>
          <w:highlight w:val="none"/>
          <w:lang w:val="en-US" w:eastAsia="zh-CN"/>
        </w:rPr>
        <w:t xml:space="preserve">  水工掺合料取样方法应按现行国家标准《水泥取样方法》GB12573进行，取样应有代表性，可连续取样，也可在10个以上不同部位取等量样品，每份不少于1.0kg。总量不少于10kg。试样应混合均匀，按四分法缩取出比试验需要量约大一倍的试样，缩分为二等份。一份由卖方保存40d，一份由买方按本规程规定的项目和方法进行检验。在40d以内，买方检验认为产品质量不符合本规程要求、而卖方又有异议时，则双方应将卖方保存的试样送省级或省级以上国家认可的建材产品质量监督检验机构进行仲裁检验。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4.3.6</w:t>
      </w:r>
      <w:r>
        <w:rPr>
          <w:rFonts w:hint="eastAsia" w:ascii="Times New Roman" w:hAnsi="Times New Roman"/>
          <w:b w:val="0"/>
          <w:bCs/>
          <w:color w:val="auto"/>
          <w:sz w:val="28"/>
          <w:highlight w:val="none"/>
          <w:lang w:val="en-US" w:eastAsia="zh-CN"/>
        </w:rPr>
        <w:t xml:space="preserve">  水工掺合料在运输和贮存时不得受潮和混入杂物。储存期超过三个月应重新检验活性指数和流动度比二项指标。</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2"/>
        <w:rPr>
          <w:rFonts w:hint="eastAsia" w:ascii="Times New Roman" w:hAnsi="Times New Roman"/>
          <w:b w:val="0"/>
          <w:bCs/>
          <w:color w:val="auto"/>
          <w:sz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default"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5  水工掺合料混凝土配合比设计</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5.1  原材料要求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5.1.1</w:t>
      </w:r>
      <w:r>
        <w:rPr>
          <w:rFonts w:hint="eastAsia" w:ascii="Times New Roman" w:hAnsi="Times New Roman"/>
          <w:b w:val="0"/>
          <w:bCs/>
          <w:color w:val="auto"/>
          <w:sz w:val="28"/>
          <w:highlight w:val="none"/>
          <w:lang w:val="en-US" w:eastAsia="zh-CN"/>
        </w:rPr>
        <w:t xml:space="preserve">  水泥应选用42.5或42.5以上强度等级的硅酸盐水泥或普通硅酸盐水泥，其性能应符合现行国家标准《通用硅酸盐水泥》GB 175的规定。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5.1.2</w:t>
      </w:r>
      <w:r>
        <w:rPr>
          <w:rFonts w:hint="eastAsia" w:ascii="Times New Roman" w:hAnsi="Times New Roman"/>
          <w:b w:val="0"/>
          <w:bCs/>
          <w:color w:val="auto"/>
          <w:sz w:val="28"/>
          <w:highlight w:val="none"/>
          <w:lang w:val="en-US" w:eastAsia="zh-CN"/>
        </w:rPr>
        <w:t xml:space="preserve">  水工掺合料的性能指标应符合本规程表4.2.1的规定。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5.1.3</w:t>
      </w:r>
      <w:r>
        <w:rPr>
          <w:rFonts w:hint="eastAsia" w:ascii="Times New Roman" w:hAnsi="Times New Roman"/>
          <w:b w:val="0"/>
          <w:bCs/>
          <w:color w:val="auto"/>
          <w:sz w:val="28"/>
          <w:highlight w:val="none"/>
          <w:lang w:val="en-US" w:eastAsia="zh-CN"/>
        </w:rPr>
        <w:t xml:space="preserve">  砂应选用符合现行国家标准《建筑用砂》GB/T 14684规定的中砂，细度模数宜为2.3~2.6，砂的含泥量不应大于1.5%。</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5.1.4  </w:t>
      </w:r>
      <w:r>
        <w:rPr>
          <w:rFonts w:hint="eastAsia" w:ascii="Times New Roman" w:hAnsi="Times New Roman"/>
          <w:b w:val="0"/>
          <w:bCs/>
          <w:color w:val="auto"/>
          <w:sz w:val="28"/>
          <w:highlight w:val="none"/>
          <w:lang w:val="en-US" w:eastAsia="zh-CN"/>
        </w:rPr>
        <w:t>碎石应符合现行国家标准《建筑用卵石、碎石》GB/T 14685的规定，岩石抗压强度应大于混凝土设计强度的1.5倍，碎石压碎指标值小于6%，针片状含量小于5%，含泥量不应大于1%。</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5.1.5 </w:t>
      </w:r>
      <w:r>
        <w:rPr>
          <w:rFonts w:hint="eastAsia" w:ascii="Times New Roman" w:hAnsi="Times New Roman"/>
          <w:b w:val="0"/>
          <w:bCs/>
          <w:color w:val="auto"/>
          <w:sz w:val="28"/>
          <w:highlight w:val="none"/>
          <w:lang w:val="en-US" w:eastAsia="zh-CN"/>
        </w:rPr>
        <w:t xml:space="preserve"> 混凝土外加剂应符合现行国家标准《混凝土外加剂》GB 8076和《混凝土外加剂应用技术规范》GB 50119的有关规定。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5.1.6</w:t>
      </w:r>
      <w:r>
        <w:rPr>
          <w:rFonts w:hint="eastAsia" w:ascii="Times New Roman" w:hAnsi="Times New Roman"/>
          <w:b w:val="0"/>
          <w:bCs/>
          <w:color w:val="auto"/>
          <w:sz w:val="28"/>
          <w:highlight w:val="none"/>
          <w:lang w:val="en-US" w:eastAsia="zh-CN"/>
        </w:rPr>
        <w:t xml:space="preserve">  拌合用水应符合现行行业标准</w:t>
      </w:r>
      <w:r>
        <w:rPr>
          <w:rFonts w:hint="eastAsia" w:ascii="Times New Roman" w:hAnsi="Times New Roman"/>
          <w:bCs/>
          <w:sz w:val="28"/>
        </w:rPr>
        <w:t>《水运工程混凝土施工规范》</w:t>
      </w:r>
      <w:r>
        <w:rPr>
          <w:rFonts w:ascii="Times New Roman" w:hAnsi="Times New Roman"/>
          <w:bCs/>
          <w:sz w:val="28"/>
        </w:rPr>
        <w:t>JTS</w:t>
      </w:r>
      <w:r>
        <w:rPr>
          <w:rFonts w:hint="eastAsia" w:ascii="Times New Roman" w:hAnsi="Times New Roman"/>
          <w:bCs/>
          <w:sz w:val="28"/>
          <w:lang w:val="en-US" w:eastAsia="zh-CN"/>
        </w:rPr>
        <w:t xml:space="preserve"> </w:t>
      </w:r>
      <w:r>
        <w:rPr>
          <w:rFonts w:ascii="Times New Roman" w:hAnsi="Times New Roman"/>
          <w:bCs/>
          <w:sz w:val="28"/>
        </w:rPr>
        <w:t>202</w:t>
      </w:r>
      <w:r>
        <w:rPr>
          <w:rFonts w:hint="eastAsia" w:ascii="Times New Roman" w:hAnsi="Times New Roman"/>
          <w:b w:val="0"/>
          <w:bCs/>
          <w:color w:val="auto"/>
          <w:sz w:val="28"/>
          <w:highlight w:val="none"/>
          <w:lang w:val="en-US" w:eastAsia="zh-CN"/>
        </w:rPr>
        <w:t>的规定。</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5.2  配合比设计原则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bookmarkStart w:id="10" w:name="_Toc285009447"/>
      <w:r>
        <w:rPr>
          <w:rFonts w:hint="eastAsia" w:ascii="Times New Roman" w:hAnsi="Times New Roman"/>
          <w:b/>
          <w:bCs w:val="0"/>
          <w:color w:val="auto"/>
          <w:sz w:val="28"/>
          <w:highlight w:val="none"/>
          <w:lang w:val="en-US" w:eastAsia="zh-CN"/>
        </w:rPr>
        <w:t>5.2.1</w:t>
      </w:r>
      <w:r>
        <w:rPr>
          <w:rFonts w:hint="eastAsia" w:ascii="Times New Roman" w:hAnsi="Times New Roman"/>
          <w:b w:val="0"/>
          <w:bCs/>
          <w:color w:val="auto"/>
          <w:sz w:val="28"/>
          <w:highlight w:val="none"/>
          <w:lang w:val="en-US" w:eastAsia="zh-CN"/>
        </w:rPr>
        <w:t xml:space="preserve">  水工掺合料混凝土配合比设计应符合现行国家标准《混凝土结构设计规范》GB 50010的规定。配合比应根据混凝土建（构）筑物结构设计强度、耐久性、施工工艺和环境温度等条件进行试配，在确保其施工要求和结构混凝土设计强度的基础上，针对结构所在外部水工环境的各种因素作用，提高混凝土的耐久性能，使结构的耐久性符合设计使用年限的要求。经确认合格后方可投入应用。</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5.2.2  </w:t>
      </w:r>
      <w:r>
        <w:rPr>
          <w:rFonts w:hint="eastAsia" w:ascii="Times New Roman" w:hAnsi="Times New Roman"/>
          <w:b w:val="0"/>
          <w:bCs/>
          <w:color w:val="auto"/>
          <w:sz w:val="28"/>
          <w:highlight w:val="none"/>
          <w:lang w:val="en-US" w:eastAsia="zh-CN"/>
        </w:rPr>
        <w:t>水工掺合料混凝土中，胶凝材料用量不宜大于500kg/m³。</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5.2.3</w:t>
      </w:r>
      <w:r>
        <w:rPr>
          <w:rFonts w:hint="eastAsia" w:ascii="Times New Roman" w:hAnsi="Times New Roman"/>
          <w:b w:val="0"/>
          <w:bCs/>
          <w:color w:val="auto"/>
          <w:sz w:val="28"/>
          <w:highlight w:val="none"/>
          <w:lang w:val="en-US" w:eastAsia="zh-CN"/>
        </w:rPr>
        <w:t xml:space="preserve">  水工掺合料混凝土中的超量系数K应通过试验确定，其适宜范围在1.00~1.15。</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5.2.4 </w:t>
      </w:r>
      <w:r>
        <w:rPr>
          <w:rFonts w:hint="eastAsia" w:ascii="Times New Roman" w:hAnsi="Times New Roman"/>
          <w:b w:val="0"/>
          <w:bCs/>
          <w:color w:val="auto"/>
          <w:sz w:val="28"/>
          <w:highlight w:val="none"/>
          <w:lang w:val="en-US" w:eastAsia="zh-CN"/>
        </w:rPr>
        <w:t xml:space="preserve"> 水工掺合料混凝土的水胶比宜控制在0.24~0.38范围内。</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5.2.5 </w:t>
      </w:r>
      <w:r>
        <w:rPr>
          <w:rFonts w:hint="eastAsia" w:ascii="Times New Roman" w:hAnsi="Times New Roman"/>
          <w:b w:val="0"/>
          <w:bCs/>
          <w:color w:val="auto"/>
          <w:sz w:val="28"/>
          <w:highlight w:val="none"/>
          <w:lang w:val="en-US" w:eastAsia="zh-CN"/>
        </w:rPr>
        <w:t xml:space="preserve"> 掺合料的总用量不宜超过胶凝材料总量的70%。</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5.2.6</w:t>
      </w:r>
      <w:r>
        <w:rPr>
          <w:rFonts w:hint="eastAsia" w:ascii="Times New Roman" w:hAnsi="Times New Roman"/>
          <w:b w:val="0"/>
          <w:bCs/>
          <w:color w:val="auto"/>
          <w:sz w:val="28"/>
          <w:highlight w:val="none"/>
          <w:lang w:val="en-US" w:eastAsia="zh-CN"/>
        </w:rPr>
        <w:t xml:space="preserve">  水工掺合料混凝土的配合比设计可按体积法或重量法计算。</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b w:val="0"/>
          <w:bCs/>
          <w:color w:val="auto"/>
          <w:sz w:val="28"/>
          <w:highlight w:val="none"/>
          <w:lang w:val="en-US" w:eastAsia="zh-CN"/>
        </w:rPr>
        <w:t xml:space="preserve"> </w:t>
      </w:r>
      <w:r>
        <w:rPr>
          <w:rFonts w:hint="eastAsia" w:ascii="Times New Roman" w:hAnsi="Times New Roman" w:eastAsia="黑体" w:cs="Times New Roman"/>
          <w:b/>
          <w:bCs w:val="0"/>
          <w:iCs/>
          <w:color w:val="auto"/>
          <w:kern w:val="0"/>
          <w:sz w:val="28"/>
          <w:szCs w:val="28"/>
          <w:highlight w:val="none"/>
          <w:lang w:val="en-US" w:eastAsia="zh-CN"/>
        </w:rPr>
        <w:t>5.3  配合比设计</w:t>
      </w:r>
    </w:p>
    <w:bookmarkEnd w:id="10"/>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5.3.1</w:t>
      </w:r>
      <w:r>
        <w:rPr>
          <w:rFonts w:hint="eastAsia" w:ascii="Times New Roman" w:hAnsi="Times New Roman"/>
          <w:b w:val="0"/>
          <w:bCs/>
          <w:color w:val="auto"/>
          <w:sz w:val="28"/>
          <w:highlight w:val="none"/>
          <w:lang w:val="en-US" w:eastAsia="zh-CN"/>
        </w:rPr>
        <w:t xml:space="preserve">  水工掺合料混凝土的设计强度等级、强度保证率等指标应与基准混凝土相同，其取值应符合现行国家标准《混凝土结构工程施工及验收规范》GB 50204和现行行业标准《普通混凝土配合比设计规程》JGJ/T 55的有关规定。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5.3.2</w:t>
      </w:r>
      <w:r>
        <w:rPr>
          <w:rFonts w:hint="eastAsia" w:ascii="Times New Roman" w:hAnsi="Times New Roman"/>
          <w:b w:val="0"/>
          <w:bCs/>
          <w:color w:val="auto"/>
          <w:sz w:val="28"/>
          <w:highlight w:val="none"/>
          <w:lang w:val="en-US" w:eastAsia="zh-CN"/>
        </w:rPr>
        <w:t xml:space="preserve">  水工掺合料掺量应按式（5.3.2）计算：</w:t>
      </w:r>
    </w:p>
    <w:p>
      <w:pPr>
        <w:keepNext w:val="0"/>
        <w:keepLines w:val="0"/>
        <w:pageBreakBefore w:val="0"/>
        <w:widowControl w:val="0"/>
        <w:kinsoku/>
        <w:wordWrap/>
        <w:overflowPunct/>
        <w:topLinePunct w:val="0"/>
        <w:autoSpaceDE/>
        <w:autoSpaceDN/>
        <w:bidi w:val="0"/>
        <w:adjustRightInd/>
        <w:snapToGrid w:val="0"/>
        <w:spacing w:line="360" w:lineRule="auto"/>
        <w:ind w:firstLine="2240" w:firstLineChars="800"/>
        <w:jc w:val="both"/>
        <w:textAlignment w:val="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position w:val="-24"/>
          <w:sz w:val="28"/>
          <w:szCs w:val="28"/>
          <w:highlight w:val="none"/>
          <w:lang w:val="en-US" w:eastAsia="zh-CN"/>
        </w:rPr>
        <w:object>
          <v:shape id="_x0000_i1025" o:spt="75" type="#_x0000_t75" style="height:31pt;width:96pt;" o:ole="t" filled="f" o:preferrelative="t" stroked="f" coordsize="21600,21600">
            <v:path/>
            <v:fill on="f" focussize="0,0"/>
            <v:stroke on="f"/>
            <v:imagedata r:id="rId17" o:title=""/>
            <o:lock v:ext="edit" aspectratio="t"/>
            <w10:wrap type="none"/>
            <w10:anchorlock/>
          </v:shape>
          <o:OLEObject Type="Embed" ProgID="Equation.3" ShapeID="_x0000_i1025" DrawAspect="Content" ObjectID="_1468075725" r:id="rId16">
            <o:LockedField>false</o:LockedField>
          </o:OLEObject>
        </w:object>
      </w:r>
      <w:r>
        <w:rPr>
          <w:rFonts w:hint="eastAsia" w:ascii="Times New Roman" w:hAnsi="Times New Roman"/>
          <w:b w:val="0"/>
          <w:bCs/>
          <w:color w:val="auto"/>
          <w:sz w:val="28"/>
          <w:szCs w:val="28"/>
          <w:highlight w:val="none"/>
          <w:lang w:val="en-US" w:eastAsia="zh-CN"/>
        </w:rPr>
        <w:t xml:space="preserve">                       </w:t>
      </w:r>
      <w:r>
        <w:rPr>
          <w:rFonts w:hint="eastAsia" w:ascii="Times New Roman" w:hAnsi="Times New Roman"/>
          <w:b w:val="0"/>
          <w:bCs/>
          <w:color w:val="auto"/>
          <w:sz w:val="28"/>
          <w:highlight w:val="none"/>
          <w:lang w:val="en-US" w:eastAsia="zh-CN"/>
        </w:rPr>
        <w:t>（5.3.2）</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其中：</w:t>
      </w:r>
      <w:r>
        <w:rPr>
          <w:rFonts w:hint="eastAsia" w:ascii="Times New Roman" w:hAnsi="Times New Roman"/>
          <w:b w:val="0"/>
          <w:bCs/>
          <w:i/>
          <w:iCs/>
          <w:color w:val="auto"/>
          <w:sz w:val="28"/>
          <w:highlight w:val="none"/>
          <w:lang w:val="en-US" w:eastAsia="zh-CN"/>
        </w:rPr>
        <w:t>b</w:t>
      </w:r>
      <w:r>
        <w:rPr>
          <w:rFonts w:hint="eastAsia" w:ascii="Times New Roman" w:hAnsi="Times New Roman"/>
          <w:b w:val="0"/>
          <w:bCs/>
          <w:color w:val="auto"/>
          <w:sz w:val="28"/>
          <w:highlight w:val="none"/>
          <w:lang w:val="en-US" w:eastAsia="zh-CN"/>
        </w:rPr>
        <w:t>——水工掺合料在混凝土中的掺量（%）</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w:t>
      </w:r>
      <w:r>
        <w:rPr>
          <w:rFonts w:hint="eastAsia" w:ascii="Times New Roman" w:hAnsi="Times New Roman"/>
          <w:b w:val="0"/>
          <w:bCs/>
          <w:i/>
          <w:iCs/>
          <w:color w:val="auto"/>
          <w:sz w:val="28"/>
          <w:highlight w:val="none"/>
          <w:lang w:val="en-US" w:eastAsia="zh-CN"/>
        </w:rPr>
        <w:t>B</w:t>
      </w:r>
      <w:r>
        <w:rPr>
          <w:rFonts w:hint="eastAsia" w:ascii="Times New Roman" w:hAnsi="Times New Roman"/>
          <w:b w:val="0"/>
          <w:bCs/>
          <w:color w:val="auto"/>
          <w:sz w:val="28"/>
          <w:highlight w:val="none"/>
          <w:lang w:val="en-US" w:eastAsia="zh-CN"/>
        </w:rPr>
        <w:t>——水工掺合料在混凝土中的用量（kg/m³）</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w:t>
      </w:r>
      <w:r>
        <w:rPr>
          <w:rFonts w:hint="eastAsia" w:ascii="Times New Roman" w:hAnsi="Times New Roman"/>
          <w:b w:val="0"/>
          <w:bCs/>
          <w:i/>
          <w:iCs/>
          <w:color w:val="auto"/>
          <w:sz w:val="28"/>
          <w:highlight w:val="none"/>
          <w:lang w:val="en-US" w:eastAsia="zh-CN"/>
        </w:rPr>
        <w:t>C</w:t>
      </w:r>
      <w:r>
        <w:rPr>
          <w:rFonts w:hint="eastAsia" w:ascii="Times New Roman" w:hAnsi="Times New Roman"/>
          <w:b w:val="0"/>
          <w:bCs/>
          <w:color w:val="auto"/>
          <w:sz w:val="28"/>
          <w:highlight w:val="none"/>
          <w:lang w:val="en-US" w:eastAsia="zh-CN"/>
        </w:rPr>
        <w:t>——水泥在水工掺合料混凝土中的用量（kg/m³）</w:t>
      </w:r>
    </w:p>
    <w:p>
      <w:pPr>
        <w:keepNext w:val="0"/>
        <w:keepLines w:val="0"/>
        <w:pageBreakBefore w:val="0"/>
        <w:widowControl w:val="0"/>
        <w:kinsoku/>
        <w:wordWrap/>
        <w:overflowPunct/>
        <w:topLinePunct w:val="0"/>
        <w:autoSpaceDE/>
        <w:autoSpaceDN/>
        <w:bidi w:val="0"/>
        <w:adjustRightInd/>
        <w:snapToGrid w:val="0"/>
        <w:spacing w:line="360" w:lineRule="auto"/>
        <w:ind w:firstLine="840" w:firstLineChars="3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i/>
          <w:iCs/>
          <w:color w:val="auto"/>
          <w:sz w:val="28"/>
          <w:highlight w:val="none"/>
          <w:lang w:val="en-US" w:eastAsia="zh-CN"/>
        </w:rPr>
        <w:t>D</w:t>
      </w:r>
      <w:r>
        <w:rPr>
          <w:rFonts w:hint="eastAsia" w:ascii="Times New Roman" w:hAnsi="Times New Roman"/>
          <w:b w:val="0"/>
          <w:bCs/>
          <w:color w:val="auto"/>
          <w:sz w:val="28"/>
          <w:highlight w:val="none"/>
          <w:lang w:val="en-US" w:eastAsia="zh-CN"/>
        </w:rPr>
        <w:t>——其他掺合料在水工掺合料混凝土中的用量（kg/m³）</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5.3.3</w:t>
      </w:r>
      <w:r>
        <w:rPr>
          <w:rFonts w:hint="eastAsia" w:ascii="Times New Roman" w:hAnsi="Times New Roman"/>
          <w:b w:val="0"/>
          <w:bCs/>
          <w:color w:val="auto"/>
          <w:sz w:val="28"/>
          <w:highlight w:val="none"/>
          <w:lang w:val="en-US" w:eastAsia="zh-CN"/>
        </w:rPr>
        <w:t xml:space="preserve">  水工掺合料混凝土配合比设计应按体积法计算、重量法计量。水工掺合料在混凝土中的掺加方法宜采用部分取代水泥法。</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5.3.4</w:t>
      </w:r>
      <w:r>
        <w:rPr>
          <w:rFonts w:hint="eastAsia" w:ascii="Times New Roman" w:hAnsi="Times New Roman"/>
          <w:b w:val="0"/>
          <w:bCs/>
          <w:color w:val="auto"/>
          <w:sz w:val="28"/>
          <w:highlight w:val="none"/>
          <w:lang w:val="en-US" w:eastAsia="zh-CN"/>
        </w:rPr>
        <w:t xml:space="preserve">  水工掺合料部分取代水泥，其超量系数K通过试验确定。超量系数K的取值由混凝土强度的富裕值、混凝土浇筑体积和水工掺合料的品质等确定。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5.3.5</w:t>
      </w:r>
      <w:r>
        <w:rPr>
          <w:rFonts w:hint="eastAsia" w:ascii="Times New Roman" w:hAnsi="Times New Roman"/>
          <w:b w:val="0"/>
          <w:bCs/>
          <w:color w:val="auto"/>
          <w:sz w:val="28"/>
          <w:highlight w:val="none"/>
          <w:lang w:val="en-US" w:eastAsia="zh-CN"/>
        </w:rPr>
        <w:t xml:space="preserve">  根据工程所处的环境条件、结构特点，混凝土中水工掺合料占胶凝材料总量的最大百分率宜符合表5.3.5的规定。 </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表5.3.5  水工掺合料的最大掺量（%）</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935"/>
        <w:gridCol w:w="1073"/>
        <w:gridCol w:w="1853"/>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27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混凝土类型</w:t>
            </w:r>
          </w:p>
        </w:tc>
        <w:tc>
          <w:tcPr>
            <w:tcW w:w="193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US" w:eastAsia="zh-CN"/>
              </w:rPr>
            </w:pPr>
            <w:r>
              <w:rPr>
                <w:rFonts w:hint="eastAsia" w:ascii="Times New Roman" w:hAnsi="Times New Roman"/>
                <w:sz w:val="21"/>
                <w:szCs w:val="21"/>
                <w:lang w:val="en-US" w:eastAsia="zh-CN"/>
              </w:rPr>
              <w:t>水工掺合料</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品种</w:t>
            </w:r>
          </w:p>
        </w:tc>
        <w:tc>
          <w:tcPr>
            <w:tcW w:w="107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水胶比</w:t>
            </w:r>
          </w:p>
        </w:tc>
        <w:tc>
          <w:tcPr>
            <w:tcW w:w="3706"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最大掺量（</w:t>
            </w:r>
            <w:r>
              <w:rPr>
                <w:rFonts w:hint="eastAsia" w:ascii="Times New Roman" w:hAnsi="Times New Roman"/>
                <w:sz w:val="21"/>
                <w:szCs w:val="21"/>
                <w:lang w:val="en-US" w:eastAsia="zh-CN"/>
              </w:rPr>
              <w:t>%</w:t>
            </w:r>
            <w:r>
              <w:rPr>
                <w:rFonts w:hint="eastAsia" w:ascii="Times New Roman" w:hAnsi="Times New Roman"/>
                <w:sz w:val="21"/>
                <w:szCs w:val="21"/>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93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073"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硅酸盐水泥</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普通硅酸盐水泥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预应力钢筋混凝土</w:t>
            </w:r>
          </w:p>
        </w:tc>
        <w:tc>
          <w:tcPr>
            <w:tcW w:w="193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eastAsia="zh-CN"/>
              </w:rPr>
              <w:t>海水工程掺合料</w:t>
            </w:r>
          </w:p>
        </w:tc>
        <w:tc>
          <w:tcPr>
            <w:tcW w:w="107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≤0.40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Theme="minorEastAsia" w:cstheme="minorBidi"/>
                <w:kern w:val="2"/>
                <w:sz w:val="21"/>
                <w:szCs w:val="21"/>
                <w:lang w:val="en-US" w:eastAsia="zh-CN" w:bidi="ar-SA"/>
              </w:rPr>
            </w:pPr>
            <w:r>
              <w:rPr>
                <w:rFonts w:hint="eastAsia" w:ascii="Times New Roman" w:hAnsi="Times New Roman" w:cstheme="minorBidi"/>
                <w:kern w:val="2"/>
                <w:sz w:val="21"/>
                <w:szCs w:val="21"/>
                <w:lang w:val="en-US" w:eastAsia="zh-CN" w:bidi="ar-SA"/>
              </w:rPr>
              <w:t>35</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Theme="minorEastAsia" w:cstheme="minorBidi"/>
                <w:kern w:val="2"/>
                <w:sz w:val="21"/>
                <w:szCs w:val="21"/>
                <w:lang w:val="en-US" w:eastAsia="zh-CN" w:bidi="ar-SA"/>
              </w:rPr>
            </w:pPr>
            <w:r>
              <w:rPr>
                <w:rFonts w:hint="eastAsia" w:ascii="Times New Roman" w:hAnsi="Times New Roman" w:cstheme="minorBidi"/>
                <w:kern w:val="2"/>
                <w:sz w:val="21"/>
                <w:szCs w:val="21"/>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93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07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＞0.40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30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93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rPr>
              <w:t>淡水工程掺合料</w:t>
            </w:r>
          </w:p>
        </w:tc>
        <w:tc>
          <w:tcPr>
            <w:tcW w:w="107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≤0.40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Theme="minorEastAsia" w:cstheme="minorBidi"/>
                <w:kern w:val="2"/>
                <w:sz w:val="21"/>
                <w:szCs w:val="21"/>
                <w:lang w:val="en-US" w:eastAsia="zh-CN" w:bidi="ar-SA"/>
              </w:rPr>
            </w:pPr>
            <w:r>
              <w:rPr>
                <w:rFonts w:hint="eastAsia" w:ascii="Times New Roman" w:hAnsi="Times New Roman"/>
                <w:sz w:val="21"/>
                <w:szCs w:val="21"/>
                <w:lang w:val="en-US" w:eastAsia="zh-CN"/>
              </w:rPr>
              <w:t>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kern w:val="2"/>
                <w:sz w:val="21"/>
                <w:szCs w:val="21"/>
                <w:lang w:val="en-GB" w:eastAsia="zh-CN" w:bidi="ar-SA"/>
              </w:rPr>
            </w:pPr>
            <w:r>
              <w:rPr>
                <w:rFonts w:hint="eastAsia" w:ascii="Times New Roman" w:hAnsi="Times New Roman"/>
                <w:sz w:val="21"/>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93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07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＞0.40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kern w:val="2"/>
                <w:sz w:val="21"/>
                <w:szCs w:val="21"/>
                <w:lang w:val="en-GB" w:eastAsia="zh-CN" w:bidi="ar-SA"/>
              </w:rPr>
            </w:pPr>
            <w:r>
              <w:rPr>
                <w:rFonts w:hint="eastAsia" w:ascii="Times New Roman" w:hAnsi="Times New Roman"/>
                <w:sz w:val="21"/>
                <w:szCs w:val="21"/>
                <w:lang w:val="en-US" w:eastAsia="zh-CN"/>
              </w:rPr>
              <w:t>35</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Theme="minorEastAsia" w:cstheme="minorBidi"/>
                <w:kern w:val="2"/>
                <w:sz w:val="21"/>
                <w:szCs w:val="21"/>
                <w:lang w:val="en-US" w:eastAsia="zh-CN" w:bidi="ar-SA"/>
              </w:rPr>
            </w:pPr>
            <w:r>
              <w:rPr>
                <w:rFonts w:hint="eastAsia" w:ascii="Times New Roman" w:hAnsi="Times New Roman"/>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7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钢筋混凝土</w:t>
            </w:r>
          </w:p>
        </w:tc>
        <w:tc>
          <w:tcPr>
            <w:tcW w:w="193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eastAsia="zh-CN"/>
              </w:rPr>
              <w:t>海水工程掺合料</w:t>
            </w:r>
          </w:p>
        </w:tc>
        <w:tc>
          <w:tcPr>
            <w:tcW w:w="107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≤0.40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US" w:eastAsia="zh-CN"/>
              </w:rPr>
              <w:t>45</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7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93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07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＞0.40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7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93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rPr>
              <w:t>淡水工程掺合料</w:t>
            </w:r>
          </w:p>
        </w:tc>
        <w:tc>
          <w:tcPr>
            <w:tcW w:w="107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kern w:val="2"/>
                <w:sz w:val="21"/>
                <w:szCs w:val="21"/>
                <w:lang w:val="en-GB" w:eastAsia="zh-CN" w:bidi="ar-SA"/>
              </w:rPr>
            </w:pPr>
            <w:r>
              <w:rPr>
                <w:rFonts w:hint="eastAsia" w:ascii="Times New Roman" w:hAnsi="Times New Roman"/>
                <w:sz w:val="21"/>
                <w:szCs w:val="21"/>
                <w:lang w:val="en-GB" w:eastAsia="zh-CN"/>
              </w:rPr>
              <w:t>≤0.40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50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7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93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p>
        </w:tc>
        <w:tc>
          <w:tcPr>
            <w:tcW w:w="107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kern w:val="2"/>
                <w:sz w:val="21"/>
                <w:szCs w:val="21"/>
                <w:lang w:val="en-GB" w:eastAsia="zh-CN" w:bidi="ar-SA"/>
              </w:rPr>
            </w:pPr>
            <w:r>
              <w:rPr>
                <w:rFonts w:hint="eastAsia" w:ascii="Times New Roman" w:hAnsi="Times New Roman"/>
                <w:sz w:val="21"/>
                <w:szCs w:val="21"/>
                <w:lang w:val="en-GB" w:eastAsia="zh-CN"/>
              </w:rPr>
              <w:t>＞0.40</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Theme="minorEastAsia" w:cstheme="minorBidi"/>
                <w:kern w:val="2"/>
                <w:sz w:val="21"/>
                <w:szCs w:val="21"/>
                <w:lang w:val="en-US" w:eastAsia="zh-CN" w:bidi="ar-SA"/>
              </w:rPr>
            </w:pPr>
            <w:r>
              <w:rPr>
                <w:rFonts w:hint="eastAsia" w:ascii="Times New Roman" w:hAnsi="Times New Roman"/>
                <w:sz w:val="21"/>
                <w:szCs w:val="21"/>
                <w:lang w:val="en-US" w:eastAsia="zh-CN"/>
              </w:rPr>
              <w:t>45</w:t>
            </w:r>
          </w:p>
        </w:tc>
        <w:tc>
          <w:tcPr>
            <w:tcW w:w="185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Theme="minorEastAsia" w:cstheme="minorBidi"/>
                <w:kern w:val="2"/>
                <w:sz w:val="21"/>
                <w:szCs w:val="21"/>
                <w:lang w:val="en-US" w:eastAsia="zh-CN" w:bidi="ar-SA"/>
              </w:rPr>
            </w:pPr>
            <w:r>
              <w:rPr>
                <w:rFonts w:hint="eastAsia" w:ascii="Times New Roman" w:hAnsi="Times New Roman"/>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素混凝土</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lang w:eastAsia="zh-CN"/>
              </w:rPr>
            </w:pPr>
            <w:r>
              <w:rPr>
                <w:rFonts w:hint="eastAsia"/>
                <w:lang w:eastAsia="zh-CN"/>
              </w:rPr>
              <w:t>海水工程掺合料</w:t>
            </w:r>
          </w:p>
          <w:p>
            <w:pPr>
              <w:pStyle w:val="2"/>
              <w:ind w:left="0" w:leftChars="0" w:firstLine="0" w:firstLineChars="0"/>
              <w:jc w:val="center"/>
              <w:rPr>
                <w:rFonts w:hint="eastAsia"/>
                <w:lang w:val="en-GB" w:eastAsia="zh-CN"/>
              </w:rPr>
            </w:pPr>
            <w:r>
              <w:rPr>
                <w:rFonts w:hint="eastAsia" w:ascii="Times New Roman" w:hAnsi="Times New Roman"/>
                <w:sz w:val="21"/>
                <w:szCs w:val="21"/>
              </w:rPr>
              <w:t>淡水工程掺合料</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GB" w:eastAsia="zh-CN"/>
              </w:rPr>
              <w:t>—</w:t>
            </w:r>
          </w:p>
        </w:tc>
        <w:tc>
          <w:tcPr>
            <w:tcW w:w="18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sz w:val="21"/>
                <w:szCs w:val="21"/>
                <w:lang w:val="en-US" w:eastAsia="zh-CN"/>
              </w:rPr>
            </w:pPr>
            <w:r>
              <w:rPr>
                <w:rFonts w:hint="eastAsia" w:ascii="Times New Roman" w:hAnsi="Times New Roman"/>
                <w:sz w:val="21"/>
                <w:szCs w:val="21"/>
                <w:lang w:val="en-US" w:eastAsia="zh-CN"/>
              </w:rPr>
              <w:t>70</w:t>
            </w:r>
          </w:p>
        </w:tc>
        <w:tc>
          <w:tcPr>
            <w:tcW w:w="18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21"/>
                <w:szCs w:val="21"/>
                <w:lang w:val="en-GB" w:eastAsia="zh-CN"/>
              </w:rPr>
            </w:pPr>
            <w:r>
              <w:rPr>
                <w:rFonts w:hint="eastAsia" w:ascii="Times New Roman" w:hAnsi="Times New Roman"/>
                <w:sz w:val="21"/>
                <w:szCs w:val="21"/>
                <w:lang w:val="en-US" w:eastAsia="zh-CN"/>
              </w:rPr>
              <w:t>6</w:t>
            </w:r>
            <w:r>
              <w:rPr>
                <w:rFonts w:hint="eastAsia" w:ascii="Times New Roman" w:hAnsi="Times New Roman"/>
                <w:sz w:val="21"/>
                <w:szCs w:val="21"/>
                <w:lang w:val="en-GB" w:eastAsia="zh-CN"/>
              </w:rPr>
              <w:t>5</w:t>
            </w:r>
          </w:p>
        </w:tc>
      </w:tr>
    </w:tbl>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sz w:val="10"/>
          <w:szCs w:val="10"/>
          <w:lang w:val="en-US" w:eastAsia="zh-CN"/>
        </w:rPr>
      </w:pP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5.4  水工掺合料混凝土性能</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5.4.1</w:t>
      </w:r>
      <w:r>
        <w:rPr>
          <w:rFonts w:hint="eastAsia" w:ascii="Times New Roman" w:hAnsi="Times New Roman"/>
          <w:b w:val="0"/>
          <w:bCs/>
          <w:color w:val="auto"/>
          <w:sz w:val="28"/>
          <w:highlight w:val="none"/>
          <w:lang w:val="en-US" w:eastAsia="zh-CN"/>
        </w:rPr>
        <w:t xml:space="preserve">  掺加水工掺合料的混凝土拌合物的坍落度和扩展度允许偏差应符合表5.4.1的规定。 掺加水工掺合料的混凝土拌合物性能试验方法应符合现行国家标准《普通混凝土拌合物性能试验方法标准》GB /T 50080的规定。 </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表5.4.1  水工掺合料混凝土拌合物坍落度和扩展度的允许偏差</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6"/>
        <w:gridCol w:w="3016"/>
        <w:gridCol w:w="3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86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项目</w:t>
            </w:r>
          </w:p>
        </w:tc>
        <w:tc>
          <w:tcPr>
            <w:tcW w:w="301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设计值（mm）</w:t>
            </w:r>
          </w:p>
        </w:tc>
        <w:tc>
          <w:tcPr>
            <w:tcW w:w="301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866" w:type="dxa"/>
            <w:vMerge w:val="restart"/>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坍落度</w:t>
            </w:r>
          </w:p>
        </w:tc>
        <w:tc>
          <w:tcPr>
            <w:tcW w:w="301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≤90</w:t>
            </w:r>
          </w:p>
        </w:tc>
        <w:tc>
          <w:tcPr>
            <w:tcW w:w="301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866" w:type="dxa"/>
            <w:vMerge w:val="continue"/>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p>
        </w:tc>
        <w:tc>
          <w:tcPr>
            <w:tcW w:w="301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≥100</w:t>
            </w:r>
          </w:p>
        </w:tc>
        <w:tc>
          <w:tcPr>
            <w:tcW w:w="301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86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扩展度</w:t>
            </w:r>
          </w:p>
        </w:tc>
        <w:tc>
          <w:tcPr>
            <w:tcW w:w="301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≥350</w:t>
            </w:r>
          </w:p>
        </w:tc>
        <w:tc>
          <w:tcPr>
            <w:tcW w:w="3016" w:type="dxa"/>
            <w:vAlign w:val="center"/>
          </w:tcPr>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±20</w:t>
            </w: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b/>
          <w:bCs w:val="0"/>
          <w:color w:val="auto"/>
          <w:sz w:val="10"/>
          <w:szCs w:val="10"/>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5.4.2</w:t>
      </w:r>
      <w:r>
        <w:rPr>
          <w:rFonts w:hint="eastAsia" w:ascii="Times New Roman" w:hAnsi="Times New Roman"/>
          <w:b w:val="0"/>
          <w:bCs/>
          <w:color w:val="auto"/>
          <w:sz w:val="28"/>
          <w:highlight w:val="none"/>
          <w:lang w:val="en-US" w:eastAsia="zh-CN"/>
        </w:rPr>
        <w:t xml:space="preserve">  掺加水工掺合料的泵送混凝土的拌合物坍落度不宜大于200mm ，坍落度经时损失不宜大于30mm/h，并应满足施工要求。配制自密实混凝土时，扩展度不宜小于600mm，并应满足施工要求。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5.4.3</w:t>
      </w:r>
      <w:r>
        <w:rPr>
          <w:rFonts w:hint="eastAsia" w:ascii="Times New Roman" w:hAnsi="Times New Roman"/>
          <w:b w:val="0"/>
          <w:bCs/>
          <w:color w:val="auto"/>
          <w:sz w:val="28"/>
          <w:highlight w:val="none"/>
          <w:lang w:val="en-US" w:eastAsia="zh-CN"/>
        </w:rPr>
        <w:t xml:space="preserve">  拌合物凝结时间应满足施工要求。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5.4.4</w:t>
      </w:r>
      <w:r>
        <w:rPr>
          <w:rFonts w:hint="eastAsia" w:ascii="Times New Roman" w:hAnsi="Times New Roman"/>
          <w:b w:val="0"/>
          <w:bCs/>
          <w:color w:val="auto"/>
          <w:sz w:val="28"/>
          <w:highlight w:val="none"/>
          <w:lang w:val="en-US" w:eastAsia="zh-CN"/>
        </w:rPr>
        <w:t xml:space="preserve">  当有抗冻要求时，掺加水工掺合料的混凝土宜掺用引气剂，且含气量实测值不宜大于7%。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5.4.5</w:t>
      </w:r>
      <w:r>
        <w:rPr>
          <w:rFonts w:hint="eastAsia" w:ascii="Times New Roman" w:hAnsi="Times New Roman"/>
          <w:b w:val="0"/>
          <w:bCs/>
          <w:color w:val="auto"/>
          <w:sz w:val="28"/>
          <w:highlight w:val="none"/>
          <w:lang w:val="en-US" w:eastAsia="zh-CN"/>
        </w:rPr>
        <w:t xml:space="preserve">  掺加水工掺合料的混凝土拌合物中，水溶性氯离子最大含量应符 合表5.4.5的规定。 </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表5.4.5  水工掺合料混凝土拌合物中水溶性氯离子最大含量</w:t>
      </w:r>
    </w:p>
    <w:tbl>
      <w:tblPr>
        <w:tblStyle w:val="20"/>
        <w:tblW w:w="8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0"/>
        <w:gridCol w:w="1886"/>
        <w:gridCol w:w="1886"/>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0"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环境条件</w:t>
            </w:r>
          </w:p>
        </w:tc>
        <w:tc>
          <w:tcPr>
            <w:tcW w:w="5658"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水溶性氯离子最大含量</w:t>
            </w:r>
          </w:p>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lang w:val="en-US" w:eastAsia="zh-CN"/>
              </w:rPr>
              <w:t>(占水泥用量的质量百分比，%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0"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p>
        </w:tc>
        <w:tc>
          <w:tcPr>
            <w:tcW w:w="188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钢筋混凝土</w:t>
            </w:r>
          </w:p>
        </w:tc>
        <w:tc>
          <w:tcPr>
            <w:tcW w:w="188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预应力混凝土</w:t>
            </w:r>
          </w:p>
        </w:tc>
        <w:tc>
          <w:tcPr>
            <w:tcW w:w="188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素混凝土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230"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lang w:val="en-US" w:eastAsia="zh-CN"/>
              </w:rPr>
              <w:t>干燥环境不含氯离子的环境</w:t>
            </w:r>
          </w:p>
        </w:tc>
        <w:tc>
          <w:tcPr>
            <w:tcW w:w="188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0.2</w:t>
            </w:r>
          </w:p>
        </w:tc>
        <w:tc>
          <w:tcPr>
            <w:tcW w:w="1886"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0.06</w:t>
            </w:r>
          </w:p>
        </w:tc>
        <w:tc>
          <w:tcPr>
            <w:tcW w:w="1886"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230"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干燥环境含有氯离子的环境</w:t>
            </w:r>
          </w:p>
        </w:tc>
        <w:tc>
          <w:tcPr>
            <w:tcW w:w="188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0.1</w:t>
            </w:r>
          </w:p>
        </w:tc>
        <w:tc>
          <w:tcPr>
            <w:tcW w:w="188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p>
        </w:tc>
        <w:tc>
          <w:tcPr>
            <w:tcW w:w="188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230"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lang w:val="en-US" w:eastAsia="zh-CN"/>
              </w:rPr>
              <w:t>潮湿但不含氯离子的环境</w:t>
            </w:r>
          </w:p>
        </w:tc>
        <w:tc>
          <w:tcPr>
            <w:tcW w:w="188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0.1</w:t>
            </w:r>
          </w:p>
        </w:tc>
        <w:tc>
          <w:tcPr>
            <w:tcW w:w="188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p>
        </w:tc>
        <w:tc>
          <w:tcPr>
            <w:tcW w:w="188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230"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lang w:val="en-US" w:eastAsia="zh-CN"/>
              </w:rPr>
              <w:t>潮湿且含有氯离子的环境</w:t>
            </w:r>
          </w:p>
        </w:tc>
        <w:tc>
          <w:tcPr>
            <w:tcW w:w="188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b w:val="0"/>
                <w:bCs/>
                <w:color w:val="auto"/>
                <w:sz w:val="24"/>
                <w:szCs w:val="24"/>
                <w:highlight w:val="none"/>
                <w:vertAlign w:val="baseline"/>
                <w:lang w:val="en-US" w:eastAsia="zh-CN"/>
              </w:rPr>
            </w:pPr>
            <w:r>
              <w:rPr>
                <w:rFonts w:hint="eastAsia" w:ascii="Times New Roman" w:hAnsi="Times New Roman"/>
                <w:b w:val="0"/>
                <w:bCs/>
                <w:color w:val="auto"/>
                <w:sz w:val="24"/>
                <w:szCs w:val="24"/>
                <w:highlight w:val="none"/>
                <w:vertAlign w:val="baseline"/>
                <w:lang w:val="en-US" w:eastAsia="zh-CN"/>
              </w:rPr>
              <w:t>0.06</w:t>
            </w:r>
          </w:p>
        </w:tc>
        <w:tc>
          <w:tcPr>
            <w:tcW w:w="188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p>
        </w:tc>
        <w:tc>
          <w:tcPr>
            <w:tcW w:w="188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b/>
          <w:bCs w:val="0"/>
          <w:color w:val="auto"/>
          <w:sz w:val="10"/>
          <w:szCs w:val="10"/>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5.4.6</w:t>
      </w:r>
      <w:r>
        <w:rPr>
          <w:rFonts w:hint="eastAsia" w:ascii="Times New Roman" w:hAnsi="Times New Roman"/>
          <w:b w:val="0"/>
          <w:bCs/>
          <w:color w:val="auto"/>
          <w:sz w:val="28"/>
          <w:highlight w:val="none"/>
          <w:lang w:val="en-US" w:eastAsia="zh-CN"/>
        </w:rPr>
        <w:t xml:space="preserve">  掺加水工掺合料的混凝土强度等级应满足设计要求。混凝土力学性能试验方法应符合现行国家标准《普通混凝土力学性能试验方法标准》GB/T 50081的规定。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5.4.7</w:t>
      </w:r>
      <w:r>
        <w:rPr>
          <w:rFonts w:hint="eastAsia" w:ascii="Times New Roman" w:hAnsi="Times New Roman"/>
          <w:b w:val="0"/>
          <w:bCs/>
          <w:color w:val="auto"/>
          <w:sz w:val="28"/>
          <w:highlight w:val="none"/>
          <w:lang w:val="en-US" w:eastAsia="zh-CN"/>
        </w:rPr>
        <w:t xml:space="preserve">  掺加水工掺合料的混凝土的抗氯离子渗透、抗硫酸盐侵蚀、抗冻、碳化深度的等级划分，应符合现行行业标准《混凝土耐久性检验评定标准》JGJ/T 193的规定；水工掺合料混凝土抗氯离子渗透性能的电通量不应大于1000C。</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5.4.8</w:t>
      </w:r>
      <w:r>
        <w:rPr>
          <w:rFonts w:hint="eastAsia" w:ascii="Times New Roman" w:hAnsi="Times New Roman"/>
          <w:b w:val="0"/>
          <w:bCs/>
          <w:color w:val="auto"/>
          <w:sz w:val="28"/>
          <w:highlight w:val="none"/>
          <w:lang w:val="en-US" w:eastAsia="zh-CN"/>
        </w:rPr>
        <w:t xml:space="preserve">  掺加水工掺合料的混凝土当有预防碱骨料反应要求时，应符合现行国家标准《预防混凝土碱骨料反应技术规范》GB/T 50733的规定。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5.4.9</w:t>
      </w:r>
      <w:r>
        <w:rPr>
          <w:rFonts w:hint="eastAsia" w:ascii="Times New Roman" w:hAnsi="Times New Roman"/>
          <w:b w:val="0"/>
          <w:bCs/>
          <w:color w:val="auto"/>
          <w:sz w:val="28"/>
          <w:highlight w:val="none"/>
          <w:lang w:val="en-US" w:eastAsia="zh-CN"/>
        </w:rPr>
        <w:t xml:space="preserve">  掺加水工掺合料的混凝土长期性能与耐久性能的试验方法，应符合现行国家标准《普通混凝土长期性能和耐久性能试验方法标准》GB/T 50082的规定。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val="0"/>
        <w:spacing w:before="0" w:after="0" w:line="360" w:lineRule="auto"/>
        <w:jc w:val="center"/>
        <w:textAlignment w:val="auto"/>
        <w:rPr>
          <w:rFonts w:hint="default" w:ascii="Times New Roman" w:hAnsi="Times New Roman" w:eastAsia="宋体" w:cs="Times New Roman"/>
          <w:b/>
          <w:color w:val="auto"/>
          <w:sz w:val="32"/>
          <w:szCs w:val="28"/>
          <w:highlight w:val="none"/>
          <w:lang w:val="en-US" w:eastAsia="zh-CN"/>
        </w:rPr>
      </w:pPr>
    </w:p>
    <w:p>
      <w:pPr>
        <w:rPr>
          <w:rFonts w:hint="default" w:ascii="Times New Roman" w:hAnsi="Times New Roman" w:eastAsia="宋体" w:cs="Times New Roman"/>
          <w:b/>
          <w:color w:val="auto"/>
          <w:sz w:val="32"/>
          <w:szCs w:val="28"/>
          <w:highlight w:val="none"/>
          <w:lang w:val="en-US" w:eastAsia="zh-CN"/>
        </w:rPr>
      </w:pPr>
    </w:p>
    <w:p>
      <w:pPr>
        <w:pStyle w:val="2"/>
        <w:rPr>
          <w:rFonts w:hint="default" w:ascii="Times New Roman" w:hAnsi="Times New Roman" w:eastAsia="宋体" w:cs="Times New Roman"/>
          <w:b/>
          <w:color w:val="auto"/>
          <w:sz w:val="32"/>
          <w:szCs w:val="28"/>
          <w:highlight w:val="none"/>
          <w:lang w:val="en-US" w:eastAsia="zh-CN"/>
        </w:rPr>
      </w:pPr>
    </w:p>
    <w:p>
      <w:pPr>
        <w:pStyle w:val="2"/>
        <w:rPr>
          <w:rFonts w:hint="default" w:ascii="Times New Roman" w:hAnsi="Times New Roman" w:eastAsia="宋体" w:cs="Times New Roman"/>
          <w:b/>
          <w:color w:val="auto"/>
          <w:sz w:val="32"/>
          <w:szCs w:val="28"/>
          <w:highlight w:val="none"/>
          <w:lang w:val="en-US" w:eastAsia="zh-CN"/>
        </w:rPr>
      </w:pPr>
    </w:p>
    <w:p>
      <w:pPr>
        <w:pStyle w:val="2"/>
        <w:rPr>
          <w:rFonts w:hint="default" w:ascii="Times New Roman" w:hAnsi="Times New Roman" w:eastAsia="宋体" w:cs="Times New Roman"/>
          <w:b/>
          <w:color w:val="auto"/>
          <w:sz w:val="32"/>
          <w:szCs w:val="28"/>
          <w:highlight w:val="none"/>
          <w:lang w:val="en-US" w:eastAsia="zh-CN"/>
        </w:rPr>
      </w:pPr>
    </w:p>
    <w:p>
      <w:pPr>
        <w:pStyle w:val="2"/>
        <w:rPr>
          <w:rFonts w:hint="default" w:ascii="Times New Roman" w:hAnsi="Times New Roman" w:eastAsia="宋体" w:cs="Times New Roman"/>
          <w:b/>
          <w:color w:val="auto"/>
          <w:sz w:val="32"/>
          <w:szCs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b w:val="0"/>
          <w:bCs/>
          <w:color w:val="auto"/>
          <w:sz w:val="24"/>
          <w:szCs w:val="24"/>
          <w:highlight w:val="none"/>
          <w:lang w:val="en-US" w:eastAsia="zh-CN"/>
        </w:rPr>
      </w:pPr>
    </w:p>
    <w:p>
      <w:pPr>
        <w:pStyle w:val="2"/>
        <w:rPr>
          <w:rFonts w:hint="eastAsia"/>
          <w:lang w:val="en-US" w:eastAsia="zh-CN"/>
        </w:rPr>
      </w:pPr>
    </w:p>
    <w:p>
      <w:pPr>
        <w:pStyle w:val="3"/>
        <w:keepNext w:val="0"/>
        <w:keepLines w:val="0"/>
        <w:snapToGrid w:val="0"/>
        <w:spacing w:before="0" w:after="0" w:line="312" w:lineRule="auto"/>
        <w:jc w:val="center"/>
        <w:rPr>
          <w:rFonts w:hint="default"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6  水工掺合料混凝土施工</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 xml:space="preserve">6.1  一般规定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6.1.1  </w:t>
      </w:r>
      <w:r>
        <w:rPr>
          <w:rFonts w:hint="eastAsia" w:ascii="Times New Roman" w:hAnsi="Times New Roman"/>
          <w:b w:val="0"/>
          <w:bCs/>
          <w:color w:val="auto"/>
          <w:sz w:val="28"/>
          <w:highlight w:val="none"/>
          <w:lang w:val="en-US" w:eastAsia="zh-CN"/>
        </w:rPr>
        <w:t>水工掺合料混凝土的施工应符合现行国家标准《混凝土结构工程施工规范》GB 50666、《混凝土质量控制标准》GB 50164和现行行业标准《水运工程混凝土施工规范》JTS 202、《水运工程混凝土质量控制标准》JTS 202-2、《水工混凝土施工规范》SL 677</w:t>
      </w:r>
      <w:r>
        <w:rPr>
          <w:rFonts w:hint="default" w:ascii="Times New Roman" w:hAnsi="Times New Roman"/>
          <w:b w:val="0"/>
          <w:bCs/>
          <w:color w:val="auto"/>
          <w:sz w:val="28"/>
          <w:highlight w:val="none"/>
          <w:lang w:val="en-US" w:eastAsia="zh-CN"/>
        </w:rPr>
        <w:t>的有关规定</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6.1.2  </w:t>
      </w:r>
      <w:r>
        <w:rPr>
          <w:rFonts w:hint="eastAsia" w:ascii="Times New Roman" w:hAnsi="Times New Roman"/>
          <w:b w:val="0"/>
          <w:bCs/>
          <w:color w:val="auto"/>
          <w:sz w:val="28"/>
          <w:highlight w:val="none"/>
          <w:lang w:val="en-US" w:eastAsia="zh-CN"/>
        </w:rPr>
        <w:t>采用预拌方式生产的水工掺合料混凝土应符合现行国家标准《预拌混凝土》GB/T 14902的规定。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6.1.3  </w:t>
      </w:r>
      <w:r>
        <w:rPr>
          <w:rFonts w:hint="eastAsia" w:ascii="Times New Roman" w:hAnsi="Times New Roman"/>
          <w:b w:val="0"/>
          <w:bCs/>
          <w:color w:val="auto"/>
          <w:sz w:val="28"/>
          <w:highlight w:val="none"/>
          <w:lang w:val="en-US" w:eastAsia="zh-CN"/>
        </w:rPr>
        <w:t>水工</w:t>
      </w:r>
      <w:r>
        <w:rPr>
          <w:rFonts w:hint="default" w:ascii="Times New Roman" w:hAnsi="Times New Roman"/>
          <w:b w:val="0"/>
          <w:bCs/>
          <w:color w:val="auto"/>
          <w:sz w:val="28"/>
          <w:highlight w:val="none"/>
          <w:lang w:val="en-US" w:eastAsia="zh-CN"/>
        </w:rPr>
        <w:t xml:space="preserve">混凝土的施工缝不宜设在浪溅区、水位变动区以及混凝土发生较大拉应力的部位。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6.1.4  </w:t>
      </w:r>
      <w:r>
        <w:rPr>
          <w:rFonts w:hint="eastAsia" w:ascii="Times New Roman" w:hAnsi="Times New Roman"/>
          <w:b w:val="0"/>
          <w:bCs/>
          <w:color w:val="auto"/>
          <w:sz w:val="28"/>
          <w:highlight w:val="none"/>
          <w:lang w:val="en-US" w:eastAsia="zh-CN"/>
        </w:rPr>
        <w:t>水工</w:t>
      </w:r>
      <w:r>
        <w:rPr>
          <w:rFonts w:hint="default" w:ascii="Times New Roman" w:hAnsi="Times New Roman"/>
          <w:b w:val="0"/>
          <w:bCs/>
          <w:color w:val="auto"/>
          <w:sz w:val="28"/>
          <w:highlight w:val="none"/>
          <w:lang w:val="en-US" w:eastAsia="zh-CN"/>
        </w:rPr>
        <w:t xml:space="preserve">混凝土拌和物运送到浇筑地点时，应不离析、不分层，并应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default" w:ascii="Times New Roman" w:hAnsi="Times New Roman"/>
          <w:b w:val="0"/>
          <w:bCs/>
          <w:color w:val="auto"/>
          <w:sz w:val="28"/>
          <w:highlight w:val="none"/>
          <w:lang w:val="en-US" w:eastAsia="zh-CN"/>
        </w:rPr>
        <w:t>保证施工要求的稠度</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6.1.5  </w:t>
      </w:r>
      <w:r>
        <w:rPr>
          <w:rFonts w:hint="default" w:ascii="Times New Roman" w:hAnsi="Times New Roman"/>
          <w:b w:val="0"/>
          <w:bCs/>
          <w:color w:val="auto"/>
          <w:sz w:val="28"/>
          <w:highlight w:val="none"/>
          <w:lang w:val="en-US" w:eastAsia="zh-CN"/>
        </w:rPr>
        <w:t>浇筑</w:t>
      </w:r>
      <w:r>
        <w:rPr>
          <w:rFonts w:hint="eastAsia" w:ascii="Times New Roman" w:hAnsi="Times New Roman"/>
          <w:b w:val="0"/>
          <w:bCs/>
          <w:color w:val="auto"/>
          <w:sz w:val="28"/>
          <w:highlight w:val="none"/>
          <w:lang w:val="en-US" w:eastAsia="zh-CN"/>
        </w:rPr>
        <w:t>水工</w:t>
      </w:r>
      <w:r>
        <w:rPr>
          <w:rFonts w:hint="default" w:ascii="Times New Roman" w:hAnsi="Times New Roman"/>
          <w:b w:val="0"/>
          <w:bCs/>
          <w:color w:val="auto"/>
          <w:sz w:val="28"/>
          <w:highlight w:val="none"/>
          <w:lang w:val="en-US" w:eastAsia="zh-CN"/>
        </w:rPr>
        <w:t>混凝土前</w:t>
      </w:r>
      <w:r>
        <w:rPr>
          <w:rFonts w:hint="eastAsia" w:ascii="Times New Roman" w:hAnsi="Times New Roman"/>
          <w:b w:val="0"/>
          <w:bCs/>
          <w:color w:val="auto"/>
          <w:sz w:val="28"/>
          <w:highlight w:val="none"/>
          <w:lang w:val="en-US" w:eastAsia="zh-CN"/>
        </w:rPr>
        <w:t>应</w:t>
      </w:r>
      <w:r>
        <w:rPr>
          <w:rFonts w:hint="default" w:ascii="Times New Roman" w:hAnsi="Times New Roman"/>
          <w:b w:val="0"/>
          <w:bCs/>
          <w:color w:val="auto"/>
          <w:sz w:val="28"/>
          <w:highlight w:val="none"/>
          <w:lang w:val="en-US" w:eastAsia="zh-CN"/>
        </w:rPr>
        <w:t>检查下列内容</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1  </w:t>
      </w:r>
      <w:r>
        <w:rPr>
          <w:rFonts w:hint="default" w:ascii="Times New Roman" w:hAnsi="Times New Roman"/>
          <w:b w:val="0"/>
          <w:bCs/>
          <w:color w:val="auto"/>
          <w:sz w:val="28"/>
          <w:highlight w:val="none"/>
          <w:lang w:val="en-US" w:eastAsia="zh-CN"/>
        </w:rPr>
        <w:t>检查模板、钢筋、预埋件和预留孔的尺寸、规格、数量和位置，其偏差应符合</w:t>
      </w:r>
      <w:r>
        <w:rPr>
          <w:rFonts w:hint="eastAsia" w:ascii="Times New Roman" w:hAnsi="Times New Roman"/>
          <w:b w:val="0"/>
          <w:bCs/>
          <w:color w:val="auto"/>
          <w:sz w:val="28"/>
          <w:highlight w:val="none"/>
          <w:lang w:val="en-US" w:eastAsia="zh-CN"/>
        </w:rPr>
        <w:t>《混凝土结构工程施工及验收规范》GB 50204和</w:t>
      </w:r>
      <w:r>
        <w:rPr>
          <w:rFonts w:hint="default" w:ascii="Times New Roman" w:hAnsi="Times New Roman"/>
          <w:b w:val="0"/>
          <w:bCs/>
          <w:color w:val="auto"/>
          <w:sz w:val="28"/>
          <w:highlight w:val="none"/>
          <w:lang w:val="en-US" w:eastAsia="zh-CN"/>
        </w:rPr>
        <w:t>现行行业标准</w:t>
      </w:r>
      <w:r>
        <w:rPr>
          <w:rFonts w:hint="eastAsia" w:ascii="Times New Roman" w:hAnsi="Times New Roman"/>
          <w:b w:val="0"/>
          <w:bCs/>
          <w:color w:val="auto"/>
          <w:sz w:val="28"/>
          <w:highlight w:val="none"/>
          <w:lang w:val="en-US" w:eastAsia="zh-CN"/>
        </w:rPr>
        <w:t>《水运工程混凝土施工规范》JTS 202、《水工混凝土施工规范》SL 677</w:t>
      </w:r>
      <w:r>
        <w:rPr>
          <w:rFonts w:hint="default" w:ascii="Times New Roman" w:hAnsi="Times New Roman"/>
          <w:b w:val="0"/>
          <w:bCs/>
          <w:color w:val="auto"/>
          <w:sz w:val="28"/>
          <w:highlight w:val="none"/>
          <w:lang w:val="en-US" w:eastAsia="zh-CN"/>
        </w:rPr>
        <w:t>的有关规定，并应检查模板支撑的稳定性和接缝的密合情况等</w:t>
      </w:r>
      <w:r>
        <w:rPr>
          <w:rFonts w:hint="eastAsia" w:ascii="Times New Roman" w:hAnsi="Times New Roman"/>
          <w:b w:val="0"/>
          <w:bCs/>
          <w:color w:val="auto"/>
          <w:sz w:val="28"/>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2  </w:t>
      </w:r>
      <w:r>
        <w:rPr>
          <w:rFonts w:hint="default" w:ascii="Times New Roman" w:hAnsi="Times New Roman"/>
          <w:b w:val="0"/>
          <w:bCs/>
          <w:color w:val="auto"/>
          <w:sz w:val="28"/>
          <w:highlight w:val="none"/>
          <w:lang w:val="en-US" w:eastAsia="zh-CN"/>
        </w:rPr>
        <w:t>检查混凝土保护层垫块的位置和数量，构件侧面或底面的垫块</w:t>
      </w:r>
      <w:r>
        <w:rPr>
          <w:rFonts w:hint="eastAsia" w:ascii="Times New Roman" w:hAnsi="Times New Roman"/>
          <w:b w:val="0"/>
          <w:bCs/>
          <w:color w:val="auto"/>
          <w:sz w:val="28"/>
          <w:highlight w:val="none"/>
          <w:lang w:val="en-US" w:eastAsia="zh-CN"/>
        </w:rPr>
        <w:t>不</w:t>
      </w:r>
      <w:r>
        <w:rPr>
          <w:rFonts w:hint="default" w:ascii="Times New Roman" w:hAnsi="Times New Roman"/>
          <w:b w:val="0"/>
          <w:bCs/>
          <w:color w:val="auto"/>
          <w:sz w:val="28"/>
          <w:highlight w:val="none"/>
          <w:lang w:val="en-US" w:eastAsia="zh-CN"/>
        </w:rPr>
        <w:t>应</w:t>
      </w:r>
      <w:r>
        <w:rPr>
          <w:rFonts w:hint="eastAsia" w:ascii="Times New Roman" w:hAnsi="Times New Roman"/>
          <w:b w:val="0"/>
          <w:bCs/>
          <w:color w:val="auto"/>
          <w:sz w:val="28"/>
          <w:highlight w:val="none"/>
          <w:lang w:val="en-US" w:eastAsia="zh-CN"/>
        </w:rPr>
        <w:t>少于4个/㎡，</w:t>
      </w:r>
      <w:r>
        <w:rPr>
          <w:rFonts w:hint="default" w:ascii="Times New Roman" w:hAnsi="Times New Roman"/>
          <w:b w:val="0"/>
          <w:bCs/>
          <w:color w:val="auto"/>
          <w:sz w:val="28"/>
          <w:highlight w:val="none"/>
          <w:lang w:val="en-US" w:eastAsia="zh-CN"/>
        </w:rPr>
        <w:t>绑扎垫块和钢筋的铁丝头不得伸入保护层内</w:t>
      </w:r>
      <w:r>
        <w:rPr>
          <w:rFonts w:hint="eastAsia" w:ascii="Times New Roman" w:hAnsi="Times New Roman"/>
          <w:b w:val="0"/>
          <w:bCs/>
          <w:color w:val="auto"/>
          <w:sz w:val="28"/>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3  检查混凝土保护层厚度尺寸允许偏差，浪溅区应为</w:t>
      </w:r>
      <m:oMath>
        <m:sPre>
          <m:sPrePr>
            <m:ctrlPr>
              <w:rPr>
                <w:rFonts w:ascii="Cambria Math" w:hAnsi="Cambria Math"/>
                <w:bCs/>
                <w:i/>
                <w:color w:val="auto"/>
                <w:sz w:val="28"/>
                <w:highlight w:val="none"/>
                <w:lang w:val="en-US"/>
              </w:rPr>
            </m:ctrlPr>
          </m:sPrePr>
          <m:sub>
            <m:r>
              <m:rPr/>
              <w:rPr>
                <w:rFonts w:hint="default" w:ascii="Cambria Math" w:hAnsi="Cambria Math"/>
                <w:color w:val="auto"/>
                <w:sz w:val="28"/>
                <w:highlight w:val="none"/>
                <w:lang w:val="en-US" w:eastAsia="zh-CN"/>
              </w:rPr>
              <m:t>0</m:t>
            </m:r>
            <m:ctrlPr>
              <w:rPr>
                <w:rFonts w:ascii="Cambria Math" w:hAnsi="Cambria Math"/>
                <w:bCs/>
                <w:i/>
                <w:color w:val="auto"/>
                <w:sz w:val="28"/>
                <w:highlight w:val="none"/>
                <w:lang w:val="en-US"/>
              </w:rPr>
            </m:ctrlPr>
          </m:sub>
          <m:sup>
            <m:r>
              <m:rPr/>
              <w:rPr>
                <w:rFonts w:hint="default" w:ascii="Cambria Math" w:hAnsi="Cambria Math"/>
                <w:color w:val="auto"/>
                <w:sz w:val="28"/>
                <w:highlight w:val="none"/>
                <w:lang w:val="en-US" w:eastAsia="zh-CN"/>
              </w:rPr>
              <m:t>+10</m:t>
            </m:r>
            <m:ctrlPr>
              <w:rPr>
                <w:rFonts w:ascii="Cambria Math" w:hAnsi="Cambria Math"/>
                <w:bCs/>
                <w:i/>
                <w:color w:val="auto"/>
                <w:sz w:val="28"/>
                <w:highlight w:val="none"/>
                <w:lang w:val="en-US"/>
              </w:rPr>
            </m:ctrlPr>
          </m:sup>
          <m:e>
            <m:r>
              <m:rPr/>
              <w:rPr>
                <w:rFonts w:hint="default" w:ascii="Cambria Math" w:hAnsi="Cambria Math"/>
                <w:color w:val="auto"/>
                <w:sz w:val="28"/>
                <w:highlight w:val="none"/>
                <w:lang w:val="en-US" w:eastAsia="zh-CN"/>
              </w:rPr>
              <m:t>mm</m:t>
            </m:r>
            <m:ctrlPr>
              <w:rPr>
                <w:rFonts w:ascii="Cambria Math" w:hAnsi="Cambria Math"/>
                <w:bCs/>
                <w:i/>
                <w:color w:val="auto"/>
                <w:sz w:val="28"/>
                <w:highlight w:val="none"/>
                <w:lang w:val="en-US"/>
              </w:rPr>
            </m:ctrlPr>
          </m:e>
        </m:sPre>
      </m:oMath>
      <w:r>
        <w:rPr>
          <w:rFonts w:hint="default" w:ascii="Times New Roman" w:hAnsi="Times New Roman"/>
          <w:b w:val="0"/>
          <w:bCs/>
          <w:color w:val="auto"/>
          <w:sz w:val="28"/>
          <w:highlight w:val="none"/>
          <w:lang w:val="en-US" w:eastAsia="zh-CN"/>
        </w:rPr>
        <w:t>，其它部位应为</w:t>
      </w:r>
      <m:oMath>
        <m:sPre>
          <m:sPrePr>
            <m:ctrlPr>
              <w:rPr>
                <w:rFonts w:ascii="Cambria Math" w:hAnsi="Cambria Math"/>
                <w:bCs/>
                <w:i/>
                <w:color w:val="auto"/>
                <w:sz w:val="28"/>
                <w:highlight w:val="none"/>
                <w:lang w:val="en-US"/>
              </w:rPr>
            </m:ctrlPr>
          </m:sPrePr>
          <m:sub>
            <m:r>
              <m:rPr/>
              <w:rPr>
                <w:rFonts w:hint="default" w:ascii="Cambria Math" w:hAnsi="Cambria Math"/>
                <w:color w:val="auto"/>
                <w:sz w:val="28"/>
                <w:highlight w:val="none"/>
                <w:lang w:val="en-US" w:eastAsia="zh-CN"/>
              </w:rPr>
              <m:t>−5</m:t>
            </m:r>
            <m:ctrlPr>
              <w:rPr>
                <w:rFonts w:ascii="Cambria Math" w:hAnsi="Cambria Math"/>
                <w:bCs/>
                <w:i/>
                <w:color w:val="auto"/>
                <w:sz w:val="28"/>
                <w:highlight w:val="none"/>
                <w:lang w:val="en-US"/>
              </w:rPr>
            </m:ctrlPr>
          </m:sub>
          <m:sup>
            <m:r>
              <m:rPr/>
              <w:rPr>
                <w:rFonts w:hint="default" w:ascii="Cambria Math" w:hAnsi="Cambria Math"/>
                <w:color w:val="auto"/>
                <w:sz w:val="28"/>
                <w:highlight w:val="none"/>
                <w:lang w:val="en-US" w:eastAsia="zh-CN"/>
              </w:rPr>
              <m:t>+10</m:t>
            </m:r>
            <m:ctrlPr>
              <w:rPr>
                <w:rFonts w:ascii="Cambria Math" w:hAnsi="Cambria Math"/>
                <w:bCs/>
                <w:i/>
                <w:color w:val="auto"/>
                <w:sz w:val="28"/>
                <w:highlight w:val="none"/>
                <w:lang w:val="en-US"/>
              </w:rPr>
            </m:ctrlPr>
          </m:sup>
          <m:e>
            <m:r>
              <m:rPr/>
              <w:rPr>
                <w:rFonts w:hint="default" w:ascii="Cambria Math" w:hAnsi="Cambria Math"/>
                <w:color w:val="auto"/>
                <w:sz w:val="28"/>
                <w:highlight w:val="none"/>
                <w:lang w:val="en-US" w:eastAsia="zh-CN"/>
              </w:rPr>
              <m:t>mm</m:t>
            </m:r>
            <m:ctrlPr>
              <w:rPr>
                <w:rFonts w:ascii="Cambria Math" w:hAnsi="Cambria Math"/>
                <w:bCs/>
                <w:i/>
                <w:color w:val="auto"/>
                <w:sz w:val="28"/>
                <w:highlight w:val="none"/>
                <w:lang w:val="en-US"/>
              </w:rPr>
            </m:ctrlPr>
          </m:e>
        </m:sPre>
      </m:oMath>
      <w:r>
        <w:rPr>
          <w:rFonts w:hint="eastAsia" w:ascii="Times New Roman" w:hAnsi="Times New Roman"/>
          <w:b w:val="0"/>
          <w:bCs/>
          <w:color w:val="auto"/>
          <w:sz w:val="28"/>
          <w:highlight w:val="none"/>
          <w:lang w:val="en-US" w:eastAsia="zh-CN"/>
        </w:rPr>
        <w:t>。</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 xml:space="preserve">6.2  水工掺合料混凝土的拌制与运输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6.2.1 </w:t>
      </w:r>
      <w:r>
        <w:rPr>
          <w:rFonts w:hint="eastAsia" w:ascii="Times New Roman" w:hAnsi="Times New Roman"/>
          <w:b w:val="0"/>
          <w:bCs/>
          <w:color w:val="auto"/>
          <w:sz w:val="28"/>
          <w:highlight w:val="none"/>
          <w:lang w:val="en-US" w:eastAsia="zh-CN"/>
        </w:rPr>
        <w:t xml:space="preserve"> 制备水工掺合料混凝土时，宜采用强制式搅拌机；搅拌时间应比普通混凝土延长10s~30s。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6.2.2 </w:t>
      </w:r>
      <w:r>
        <w:rPr>
          <w:rFonts w:hint="eastAsia" w:ascii="Times New Roman" w:hAnsi="Times New Roman"/>
          <w:b w:val="0"/>
          <w:bCs/>
          <w:color w:val="auto"/>
          <w:sz w:val="28"/>
          <w:highlight w:val="none"/>
          <w:lang w:val="en-US" w:eastAsia="zh-CN"/>
        </w:rPr>
        <w:t xml:space="preserve"> 水工掺合料混凝土的搅拌顺序与普通混凝土相同，水工掺合料应与水泥同时加入；水工掺合料的计量应按质量计，每盘计量允许偏差应为±2 %，累计计量胶凝材料总称量误差不得超过±1%。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6.2.3 </w:t>
      </w:r>
      <w:r>
        <w:rPr>
          <w:rFonts w:hint="eastAsia" w:ascii="Times New Roman" w:hAnsi="Times New Roman"/>
          <w:b w:val="0"/>
          <w:bCs/>
          <w:color w:val="auto"/>
          <w:sz w:val="28"/>
          <w:highlight w:val="none"/>
          <w:lang w:val="en-US" w:eastAsia="zh-CN"/>
        </w:rPr>
        <w:t xml:space="preserve"> 水工掺合料混凝土运送到浇筑点时，应不分层、不离析，并应保证施工要求的工作性和均匀性。 </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 xml:space="preserve">6.3  水工掺合料混凝土的浇筑与成型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6.3.1  </w:t>
      </w:r>
      <w:r>
        <w:rPr>
          <w:rFonts w:hint="eastAsia" w:ascii="Times New Roman" w:hAnsi="Times New Roman"/>
          <w:b w:val="0"/>
          <w:bCs/>
          <w:color w:val="auto"/>
          <w:sz w:val="28"/>
          <w:highlight w:val="none"/>
          <w:lang w:val="en-US" w:eastAsia="zh-CN"/>
        </w:rPr>
        <w:t>水工掺合料混凝土运送到现场时，实测坍落度与要求坍落度之间的</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允许偏差应符合表5.4.1的规定。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6.3.2</w:t>
      </w:r>
      <w:r>
        <w:rPr>
          <w:rFonts w:hint="eastAsia" w:ascii="Times New Roman" w:hAnsi="Times New Roman"/>
          <w:b w:val="0"/>
          <w:bCs/>
          <w:color w:val="auto"/>
          <w:sz w:val="28"/>
          <w:highlight w:val="none"/>
          <w:lang w:val="en-US" w:eastAsia="zh-CN"/>
        </w:rPr>
        <w:t xml:space="preserve">  水工掺合料混凝土浇筑应分层连续进行，其运输、浇筑及间歇的全</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部时间不应超过水工掺合料混凝土的初凝时间。</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6.3.3</w:t>
      </w:r>
      <w:r>
        <w:rPr>
          <w:rFonts w:hint="eastAsia" w:ascii="Times New Roman" w:hAnsi="Times New Roman"/>
          <w:b w:val="0"/>
          <w:bCs/>
          <w:color w:val="auto"/>
          <w:sz w:val="28"/>
          <w:highlight w:val="none"/>
          <w:lang w:val="en-US" w:eastAsia="zh-CN"/>
        </w:rPr>
        <w:t xml:space="preserve">  当水工掺合料混凝土自由倾落的高度大于3.0m时，宜采用串筒、溜槽或振动溜槽等辅助设备。</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6.3.4  </w:t>
      </w:r>
      <w:r>
        <w:rPr>
          <w:rFonts w:hint="eastAsia" w:ascii="Times New Roman" w:hAnsi="Times New Roman"/>
          <w:b w:val="0"/>
          <w:bCs/>
          <w:color w:val="auto"/>
          <w:sz w:val="28"/>
          <w:highlight w:val="none"/>
          <w:lang w:val="en-US" w:eastAsia="zh-CN"/>
        </w:rPr>
        <w:t>水工掺合料混凝土浇筑后应立即进行振捣，并应避免漏振或过振；振捣后混凝土表面不应出现明显的浮浆层。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6.3.5  </w:t>
      </w:r>
      <w:r>
        <w:rPr>
          <w:rFonts w:hint="eastAsia" w:ascii="Times New Roman" w:hAnsi="Times New Roman"/>
          <w:b w:val="0"/>
          <w:bCs/>
          <w:color w:val="auto"/>
          <w:sz w:val="28"/>
          <w:highlight w:val="none"/>
          <w:lang w:val="en-US" w:eastAsia="zh-CN"/>
        </w:rPr>
        <w:t>水工掺合料混凝土振捣应选用每分钟频率不少于4500脉冲的高频振捣器振捣；振捣时间宜按拌合物稠度和振捣部位等不同情况，控制在10s〜30s内，当混凝土拌合物表面出现泛浆、基本无气泡逸出，可视为已捣实；水工掺合料混凝土初凝后，不应受到二次振动。</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6.3.6  </w:t>
      </w:r>
      <w:r>
        <w:rPr>
          <w:rFonts w:hint="eastAsia" w:ascii="Times New Roman" w:hAnsi="Times New Roman"/>
          <w:b w:val="0"/>
          <w:bCs/>
          <w:color w:val="auto"/>
          <w:sz w:val="28"/>
          <w:highlight w:val="none"/>
          <w:lang w:val="en-US" w:eastAsia="zh-CN"/>
        </w:rPr>
        <w:t>分层烧筑的水工掺合料混凝土应采用插入式振捣器分层振捣，进行后一层混凝土振捣时，振捣器必须插入前一层混凝土约50mm深度中；插入式振捣器应采用快插慢拔法，移动间距不得超过有效振动半径的1.0倍。</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6.3.7  </w:t>
      </w:r>
      <w:r>
        <w:rPr>
          <w:rFonts w:hint="eastAsia" w:ascii="Times New Roman" w:hAnsi="Times New Roman"/>
          <w:b w:val="0"/>
          <w:bCs/>
          <w:color w:val="auto"/>
          <w:sz w:val="28"/>
          <w:highlight w:val="none"/>
          <w:lang w:val="en-US" w:eastAsia="zh-CN"/>
        </w:rPr>
        <w:t>当浇筑厚度不大于200mm且表面积较大的平面结构或构件时，宜采用平板振动器振动成型，平板振动器移动间距应覆盖已振实部分混凝土边缘。</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6.3.8</w:t>
      </w:r>
      <w:r>
        <w:rPr>
          <w:rFonts w:hint="eastAsia" w:ascii="Times New Roman" w:hAnsi="Times New Roman"/>
          <w:b w:val="0"/>
          <w:bCs/>
          <w:color w:val="auto"/>
          <w:sz w:val="28"/>
          <w:highlight w:val="none"/>
          <w:lang w:val="en-US" w:eastAsia="zh-CN"/>
        </w:rPr>
        <w:t xml:space="preserve">  对板类构件，应至少对水工掺合料混凝土进行两次搓压，必要时还</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可增加搓压次数；最后一次搓压应在泌浆结束、初凝前完成。</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6.3.9  </w:t>
      </w:r>
      <w:r>
        <w:rPr>
          <w:rFonts w:hint="default" w:ascii="Times New Roman" w:hAnsi="Times New Roman"/>
          <w:b w:val="0"/>
          <w:bCs/>
          <w:color w:val="auto"/>
          <w:sz w:val="28"/>
          <w:highlight w:val="none"/>
          <w:lang w:val="en-US" w:eastAsia="zh-CN"/>
        </w:rPr>
        <w:t>混凝土的浇筑应连续进行，在浇筑及静置过程中，应采取措施防止产生裂缝</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对混凝土的沉降及塑性干缩产生的表面裂缝，应及时予以处理</w:t>
      </w:r>
      <w:r>
        <w:rPr>
          <w:rFonts w:hint="eastAsia" w:ascii="Times New Roman" w:hAnsi="Times New Roman"/>
          <w:b w:val="0"/>
          <w:bCs/>
          <w:color w:val="auto"/>
          <w:sz w:val="28"/>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6.3.10  </w:t>
      </w:r>
      <w:r>
        <w:rPr>
          <w:rFonts w:hint="eastAsia" w:ascii="Times New Roman" w:hAnsi="Times New Roman"/>
          <w:b w:val="0"/>
          <w:bCs/>
          <w:color w:val="auto"/>
          <w:sz w:val="28"/>
          <w:highlight w:val="none"/>
          <w:lang w:val="en-US" w:eastAsia="zh-CN"/>
        </w:rPr>
        <w:t>水工混凝土</w:t>
      </w:r>
      <w:r>
        <w:rPr>
          <w:rFonts w:hint="default" w:ascii="Times New Roman" w:hAnsi="Times New Roman"/>
          <w:b w:val="0"/>
          <w:bCs/>
          <w:color w:val="auto"/>
          <w:sz w:val="28"/>
          <w:highlight w:val="none"/>
          <w:lang w:val="en-US" w:eastAsia="zh-CN"/>
        </w:rPr>
        <w:t>在浇筑过程中，应控制</w:t>
      </w:r>
      <w:r>
        <w:rPr>
          <w:rFonts w:hint="eastAsia" w:ascii="Times New Roman" w:hAnsi="Times New Roman"/>
          <w:b w:val="0"/>
          <w:bCs/>
          <w:color w:val="auto"/>
          <w:sz w:val="28"/>
          <w:highlight w:val="none"/>
          <w:lang w:val="en-US" w:eastAsia="zh-CN"/>
        </w:rPr>
        <w:t>其</w:t>
      </w:r>
      <w:r>
        <w:rPr>
          <w:rFonts w:hint="default" w:ascii="Times New Roman" w:hAnsi="Times New Roman"/>
          <w:b w:val="0"/>
          <w:bCs/>
          <w:color w:val="auto"/>
          <w:sz w:val="28"/>
          <w:highlight w:val="none"/>
          <w:lang w:val="en-US" w:eastAsia="zh-CN"/>
        </w:rPr>
        <w:t xml:space="preserve">均匀性和密实性，不应出现露筋、空洞、冷缝、夹渣、松顶等现象，特别对构件棱角处，应采取有效措施，使接缝严密，防止在混凝土振捣过程中出现漏浆。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6.3.11  </w:t>
      </w:r>
      <w:r>
        <w:rPr>
          <w:rFonts w:hint="eastAsia" w:ascii="Times New Roman" w:hAnsi="Times New Roman"/>
          <w:b w:val="0"/>
          <w:bCs/>
          <w:color w:val="auto"/>
          <w:sz w:val="28"/>
          <w:highlight w:val="none"/>
          <w:lang w:val="en-US" w:eastAsia="zh-CN"/>
        </w:rPr>
        <w:t>水工掺合料混凝土在高温或多风环境中浇筑时，应减少暴露的工作面，浇筑完成后应立即覆盖。</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6.4  水工掺合料混凝土的养护</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6.4.1  </w:t>
      </w:r>
      <w:r>
        <w:rPr>
          <w:rFonts w:hint="eastAsia" w:ascii="Times New Roman" w:hAnsi="Times New Roman"/>
          <w:b w:val="0"/>
          <w:bCs/>
          <w:color w:val="auto"/>
          <w:sz w:val="28"/>
          <w:highlight w:val="none"/>
          <w:lang w:val="en-US" w:eastAsia="zh-CN"/>
        </w:rPr>
        <w:t>水工掺合料混凝土浇筑后，应及时覆盖混凝土表面；在高温季节、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大风、日照较强等环境中以及采用水胶比小于0.40的混凝土施工时，浇筑后应立即覆盖混凝土表面，并进行保湿养护；初凝后，应对混凝土表面进行持续的加湿、保湿和保温养护。</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6.4.2  </w:t>
      </w:r>
      <w:r>
        <w:rPr>
          <w:rFonts w:hint="eastAsia" w:ascii="Times New Roman" w:hAnsi="Times New Roman"/>
          <w:b w:val="0"/>
          <w:bCs/>
          <w:color w:val="auto"/>
          <w:sz w:val="28"/>
          <w:highlight w:val="none"/>
          <w:lang w:val="en-US" w:eastAsia="zh-CN"/>
        </w:rPr>
        <w:t>对已浇筑成型的水工掺合料混凝土，可单独或组合使用下列养护方法：</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1  延长拆模时间；</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2  在水工掺合料混凝土表面覆盖防水分蒸发薄膜；</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3  使用湿麻袋或吸水性毛毡等保水、保温覆盖物，持续保湿、保温；</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4  在水工掺合料混凝土表面喷雾、喷水或蓄水；</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5  大体积水工掺合料混凝土采用蓄水养护时，蓄水厚度不宜小于150mm；</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6  经使用验证的其他养护方法。</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6.4.3  </w:t>
      </w:r>
      <w:r>
        <w:rPr>
          <w:rFonts w:hint="eastAsia" w:ascii="Times New Roman" w:hAnsi="Times New Roman"/>
          <w:b w:val="0"/>
          <w:bCs/>
          <w:color w:val="auto"/>
          <w:sz w:val="28"/>
          <w:highlight w:val="none"/>
          <w:lang w:val="en-US" w:eastAsia="zh-CN"/>
        </w:rPr>
        <w:t>水工掺合料混凝土湿养护时间不宜少于7d；当有补偿收缩、抗渗或缓凝要求的水工掺合料混凝土保湿养护时间不宜少于14d；当气温较低或在干燥环境下应适当延长养护时间；大体积水工掺合料混凝土浇筑表面应采取保温保湿措施，养护期间混凝土内外温差应小于25℃。</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6.4.4</w:t>
      </w:r>
      <w:r>
        <w:rPr>
          <w:rFonts w:hint="eastAsia" w:ascii="Times New Roman" w:hAnsi="Times New Roman"/>
          <w:b w:val="0"/>
          <w:bCs/>
          <w:color w:val="auto"/>
          <w:sz w:val="28"/>
          <w:highlight w:val="none"/>
          <w:lang w:val="en-US" w:eastAsia="zh-CN"/>
        </w:rPr>
        <w:t xml:space="preserve">  水工掺合料混凝土蒸养时的养护要求应根据构件型式、环境条件等确定，热预养温度不宜高于45℃；静停预养时间不应少于1h；常温预养时，其预养时间应适当延长；蒸养时的升温速度宜为 15℃/h~20℃/h；恒温温度宜为50℃~90℃；降温速度宜为15℃/h~30℃/h。</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6.5  水工混凝土的冬期施工</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6.5.1  </w:t>
      </w:r>
      <w:r>
        <w:rPr>
          <w:rFonts w:hint="eastAsia" w:ascii="Times New Roman" w:hAnsi="Times New Roman"/>
          <w:b w:val="0"/>
          <w:bCs/>
          <w:color w:val="auto"/>
          <w:sz w:val="28"/>
          <w:highlight w:val="none"/>
          <w:lang w:val="en-US" w:eastAsia="zh-CN"/>
        </w:rPr>
        <w:t>当室外日平均气温连续5d低于5℃时，应采取冬期施工措施；当室外日平均气温连续5d高于5℃时，可以解除冬期施工措施。</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6.5.2 </w:t>
      </w:r>
      <w:r>
        <w:rPr>
          <w:rFonts w:hint="eastAsia" w:ascii="Times New Roman" w:hAnsi="Times New Roman"/>
          <w:b w:val="0"/>
          <w:bCs/>
          <w:color w:val="auto"/>
          <w:sz w:val="28"/>
          <w:highlight w:val="none"/>
          <w:lang w:val="en-US" w:eastAsia="zh-CN"/>
        </w:rPr>
        <w:t xml:space="preserve"> 冬期施工水工混凝土的出机温度不宜低于10℃，入模温度不应低于5℃。混凝土在运输与浇筑过程中应采取保温措施。</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6.5.3  </w:t>
      </w:r>
      <w:r>
        <w:rPr>
          <w:rFonts w:hint="eastAsia" w:ascii="Times New Roman" w:hAnsi="Times New Roman"/>
          <w:b w:val="0"/>
          <w:bCs/>
          <w:color w:val="auto"/>
          <w:sz w:val="28"/>
          <w:highlight w:val="none"/>
          <w:lang w:val="en-US" w:eastAsia="zh-CN"/>
        </w:rPr>
        <w:t>其他有关规定应符合现行行业标准《建筑工程冬期施工规程》JGJ/T 104的有关规定。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bCs w:val="0"/>
          <w:color w:val="auto"/>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7  质量检验</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default" w:ascii="Times New Roman" w:hAnsi="Times New Roman" w:eastAsia="黑体" w:cs="Times New Roman"/>
          <w:b/>
          <w:bCs w:val="0"/>
          <w:iCs/>
          <w:color w:val="auto"/>
          <w:kern w:val="0"/>
          <w:sz w:val="28"/>
          <w:szCs w:val="28"/>
          <w:highlight w:val="none"/>
          <w:lang w:val="en-US" w:eastAsia="zh-CN"/>
        </w:rPr>
        <w:t>7.1</w:t>
      </w:r>
      <w:r>
        <w:rPr>
          <w:rFonts w:hint="eastAsia" w:ascii="Times New Roman" w:hAnsi="Times New Roman" w:eastAsia="黑体" w:cs="Times New Roman"/>
          <w:b/>
          <w:bCs w:val="0"/>
          <w:iCs/>
          <w:color w:val="auto"/>
          <w:kern w:val="0"/>
          <w:sz w:val="28"/>
          <w:szCs w:val="28"/>
          <w:highlight w:val="none"/>
          <w:lang w:val="en-US" w:eastAsia="zh-CN"/>
        </w:rPr>
        <w:t xml:space="preserve">  </w:t>
      </w:r>
      <w:r>
        <w:rPr>
          <w:rFonts w:hint="default" w:ascii="Times New Roman" w:hAnsi="Times New Roman" w:eastAsia="黑体" w:cs="Times New Roman"/>
          <w:b/>
          <w:bCs w:val="0"/>
          <w:iCs/>
          <w:color w:val="auto"/>
          <w:kern w:val="0"/>
          <w:sz w:val="28"/>
          <w:szCs w:val="28"/>
          <w:highlight w:val="none"/>
          <w:lang w:val="en-US" w:eastAsia="zh-CN"/>
        </w:rPr>
        <w:t>原材料质量检验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7.1.1</w:t>
      </w:r>
      <w:r>
        <w:rPr>
          <w:rFonts w:hint="eastAsia" w:ascii="Times New Roman" w:hAnsi="Times New Roman"/>
          <w:b w:val="0"/>
          <w:bCs/>
          <w:color w:val="auto"/>
          <w:sz w:val="28"/>
          <w:highlight w:val="none"/>
          <w:lang w:val="en-US" w:eastAsia="zh-CN"/>
        </w:rPr>
        <w:t xml:space="preserve">  水工掺合料</w:t>
      </w:r>
      <w:r>
        <w:rPr>
          <w:rFonts w:hint="default" w:ascii="Times New Roman" w:hAnsi="Times New Roman"/>
          <w:b w:val="0"/>
          <w:bCs/>
          <w:color w:val="auto"/>
          <w:sz w:val="28"/>
          <w:highlight w:val="none"/>
          <w:lang w:val="en-US" w:eastAsia="zh-CN"/>
        </w:rPr>
        <w:t>混凝土原材料进场时，应按规定划分的检验批验收型式</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检验报告、出厂检验报告或合格证等质量证明文件，外加剂产品尚应具有使用说明书。</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7.1.2  </w:t>
      </w:r>
      <w:r>
        <w:rPr>
          <w:rFonts w:hint="eastAsia" w:ascii="Times New Roman" w:hAnsi="Times New Roman"/>
          <w:b w:val="0"/>
          <w:bCs/>
          <w:color w:val="auto"/>
          <w:sz w:val="28"/>
          <w:highlight w:val="none"/>
          <w:lang w:val="en-US" w:eastAsia="zh-CN"/>
        </w:rPr>
        <w:t>水工掺合料混凝土原材料进场时应对材料的外观、规格、等级、生</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产日期等进行检查，并按检验批随机抽取样品进行检验；原材料检验应符合现行国家标准《混凝土质量控制标准》GB 50164的规定。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7.1.3  </w:t>
      </w:r>
      <w:r>
        <w:rPr>
          <w:rFonts w:hint="eastAsia" w:ascii="Times New Roman" w:hAnsi="Times New Roman"/>
          <w:b w:val="0"/>
          <w:bCs/>
          <w:color w:val="auto"/>
          <w:sz w:val="28"/>
          <w:highlight w:val="none"/>
          <w:lang w:val="en-US" w:eastAsia="zh-CN"/>
        </w:rPr>
        <w:t>水工掺合料进场检验应符合本规程4.3.3的规定。</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 xml:space="preserve">7.2  </w:t>
      </w:r>
      <w:r>
        <w:rPr>
          <w:rFonts w:hint="default" w:ascii="Times New Roman" w:hAnsi="Times New Roman" w:eastAsia="黑体" w:cs="Times New Roman"/>
          <w:b/>
          <w:bCs w:val="0"/>
          <w:iCs/>
          <w:color w:val="auto"/>
          <w:kern w:val="0"/>
          <w:sz w:val="28"/>
          <w:szCs w:val="28"/>
          <w:highlight w:val="none"/>
          <w:lang w:val="en-US" w:eastAsia="zh-CN"/>
        </w:rPr>
        <w:t>混凝土拌合物性能检验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7.2.1</w:t>
      </w:r>
      <w:r>
        <w:rPr>
          <w:rFonts w:hint="eastAsia" w:ascii="Times New Roman" w:hAnsi="Times New Roman"/>
          <w:b w:val="0"/>
          <w:bCs/>
          <w:color w:val="auto"/>
          <w:sz w:val="28"/>
          <w:highlight w:val="none"/>
          <w:lang w:val="en-US" w:eastAsia="zh-CN"/>
        </w:rPr>
        <w:t xml:space="preserve">  在生产和施工过程中，应在搅拌地点和浇筑地点分别对水工掺合料混凝土拌合物进行抽样检验。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7.2.2</w:t>
      </w:r>
      <w:r>
        <w:rPr>
          <w:rFonts w:hint="eastAsia" w:ascii="Times New Roman" w:hAnsi="Times New Roman"/>
          <w:b w:val="0"/>
          <w:bCs/>
          <w:color w:val="auto"/>
          <w:sz w:val="28"/>
          <w:highlight w:val="none"/>
          <w:lang w:val="en-US" w:eastAsia="zh-CN"/>
        </w:rPr>
        <w:t xml:space="preserve">  水工掺合料混凝土拌合物的检验频率应符合下列规定：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1  混凝土坍落度检验取样频率应按现行国家标准《混凝土强度检验评定标准》GB/T 50107中规定的强度检验频率执行；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2  同一工程、同一配合比的水工掺合料混凝土的凝结时间检验不应少于1次；</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3  同一工程、同一配合比的水工掺合料混凝土的氯离子含量检验不应少于1次。</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7.2.3</w:t>
      </w:r>
      <w:r>
        <w:rPr>
          <w:rFonts w:hint="eastAsia" w:ascii="Times New Roman" w:hAnsi="Times New Roman"/>
          <w:b w:val="0"/>
          <w:bCs/>
          <w:color w:val="auto"/>
          <w:sz w:val="28"/>
          <w:highlight w:val="none"/>
          <w:lang w:val="en-US" w:eastAsia="zh-CN"/>
        </w:rPr>
        <w:t xml:space="preserve">  掺引气型外加剂的水工掺合料混凝土，每4h应至少测定1次含气量，其测定值允许偏差宜为±1.0%。</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 xml:space="preserve">7.3  </w:t>
      </w:r>
      <w:r>
        <w:rPr>
          <w:rFonts w:hint="default" w:ascii="Times New Roman" w:hAnsi="Times New Roman" w:eastAsia="黑体" w:cs="Times New Roman"/>
          <w:b/>
          <w:bCs w:val="0"/>
          <w:iCs/>
          <w:color w:val="auto"/>
          <w:kern w:val="0"/>
          <w:sz w:val="28"/>
          <w:szCs w:val="28"/>
          <w:highlight w:val="none"/>
          <w:lang w:val="en-US" w:eastAsia="zh-CN"/>
        </w:rPr>
        <w:t>硬化混凝土性能检验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7.3.1  </w:t>
      </w:r>
      <w:r>
        <w:rPr>
          <w:rFonts w:hint="eastAsia" w:ascii="Times New Roman" w:hAnsi="Times New Roman"/>
          <w:b w:val="0"/>
          <w:bCs/>
          <w:color w:val="auto"/>
          <w:sz w:val="28"/>
          <w:highlight w:val="none"/>
          <w:lang w:val="en-US" w:eastAsia="zh-CN"/>
        </w:rPr>
        <w:t>水工掺合料混凝土强度检验评定应符合现行国家标准《混凝土强度检验评定标准》GB/T 50107和现行行业标准《水运工程混凝土质量控制标准》JTS 202-2的有关规定，其他力学性能检验应符合设计要求和国家现行有关标准的规定。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7.3.2  </w:t>
      </w:r>
      <w:r>
        <w:rPr>
          <w:rFonts w:hint="eastAsia" w:ascii="Times New Roman" w:hAnsi="Times New Roman"/>
          <w:b w:val="0"/>
          <w:bCs/>
          <w:color w:val="auto"/>
          <w:sz w:val="28"/>
          <w:highlight w:val="none"/>
          <w:lang w:val="en-US" w:eastAsia="zh-CN"/>
        </w:rPr>
        <w:t>水工掺合料混凝土耐久性能检验评定，应符合现行行业标准《混凝土耐久性检验评定标准》JGJ/T 193、《水运工程混凝土质量控制标准》JTS 202-2的有关规定。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7.3.3</w:t>
      </w:r>
      <w:r>
        <w:rPr>
          <w:rFonts w:hint="eastAsia" w:ascii="Times New Roman" w:hAnsi="Times New Roman"/>
          <w:b w:val="0"/>
          <w:bCs/>
          <w:color w:val="auto"/>
          <w:sz w:val="28"/>
          <w:highlight w:val="none"/>
          <w:lang w:val="en-US" w:eastAsia="zh-CN"/>
        </w:rPr>
        <w:t xml:space="preserve">  水工掺合料混凝土长期性能检验规则，应符合现行行业标准《混凝土耐久性检验评定标准》JGJ/T 193的有关规定。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bookmarkStart w:id="11" w:name="_Toc285009452"/>
      <w:r>
        <w:rPr>
          <w:rFonts w:hint="eastAsia" w:ascii="Times New Roman" w:hAnsi="Times New Roman"/>
          <w:b/>
          <w:bCs w:val="0"/>
          <w:color w:val="auto"/>
          <w:sz w:val="28"/>
          <w:highlight w:val="none"/>
          <w:lang w:val="en-US" w:eastAsia="zh-CN"/>
        </w:rPr>
        <w:t>7.3.4</w:t>
      </w:r>
      <w:r>
        <w:rPr>
          <w:rFonts w:hint="eastAsia" w:ascii="Times New Roman" w:hAnsi="Times New Roman"/>
          <w:b w:val="0"/>
          <w:bCs/>
          <w:color w:val="auto"/>
          <w:sz w:val="28"/>
          <w:highlight w:val="none"/>
          <w:lang w:val="en-US" w:eastAsia="zh-CN"/>
        </w:rPr>
        <w:t xml:space="preserve">  水工掺合料混凝土工程施工验收应符合现行国家标准《混凝土结构工程施工质量验收规范》GB 50204的有关规定。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pStyle w:val="2"/>
        <w:rPr>
          <w:rFonts w:hint="eastAsia" w:ascii="Times New Roman" w:hAnsi="Times New Roman" w:eastAsia="宋体" w:cs="Times New Roman"/>
          <w:b/>
          <w:color w:val="auto"/>
          <w:sz w:val="32"/>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附录A  水工掺合料流动度比检验方法</w:t>
      </w:r>
      <w:bookmarkEnd w:id="11"/>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A.1  范围</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本附录规定了水工掺合料流动度比的检验方法。</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A.2  方法原理</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A.2.1 分别测定受检胶砂和基准胶砂的流动度，两者之比评价水工掺合料的流动度比。</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A.3  样品</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A.3.1  对比水泥</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符合现行国家标准《通用硅酸盐水泥》GB175规定的强度等级为42.5的硅酸盐水泥或普通硅酸盐水泥，且7天抗压强度为35MPa~45MPa，28天抗压强度为50MPa~60MPa，比表面积300㎡/kg～400㎡/kg，SO</w:t>
      </w:r>
      <w:r>
        <w:rPr>
          <w:rFonts w:hint="eastAsia" w:ascii="Times New Roman" w:hAnsi="Times New Roman"/>
          <w:b w:val="0"/>
          <w:bCs/>
          <w:color w:val="auto"/>
          <w:sz w:val="28"/>
          <w:highlight w:val="none"/>
          <w:vertAlign w:val="subscript"/>
          <w:lang w:val="en-US" w:eastAsia="zh-CN"/>
        </w:rPr>
        <w:t>3</w:t>
      </w:r>
      <w:r>
        <w:rPr>
          <w:rFonts w:hint="eastAsia" w:ascii="Times New Roman" w:hAnsi="Times New Roman"/>
          <w:b w:val="0"/>
          <w:bCs/>
          <w:color w:val="auto"/>
          <w:sz w:val="28"/>
          <w:highlight w:val="none"/>
          <w:lang w:val="en-US" w:eastAsia="zh-CN"/>
        </w:rPr>
        <w:t>含量2.3%~2.8%，碱含量（Na</w:t>
      </w:r>
      <w:r>
        <w:rPr>
          <w:rFonts w:hint="eastAsia" w:ascii="Times New Roman" w:hAnsi="Times New Roman"/>
          <w:b w:val="0"/>
          <w:bCs/>
          <w:color w:val="auto"/>
          <w:sz w:val="28"/>
          <w:highlight w:val="none"/>
          <w:vertAlign w:val="subscript"/>
          <w:lang w:val="en-US" w:eastAsia="zh-CN"/>
        </w:rPr>
        <w:t>2</w:t>
      </w:r>
      <w:r>
        <w:rPr>
          <w:rFonts w:hint="eastAsia" w:ascii="Times New Roman" w:hAnsi="Times New Roman"/>
          <w:b w:val="0"/>
          <w:bCs/>
          <w:color w:val="auto"/>
          <w:sz w:val="28"/>
          <w:highlight w:val="none"/>
          <w:lang w:val="en-US" w:eastAsia="zh-CN"/>
        </w:rPr>
        <w:t>O+0.658K</w:t>
      </w:r>
      <w:r>
        <w:rPr>
          <w:rFonts w:hint="eastAsia" w:ascii="Times New Roman" w:hAnsi="Times New Roman"/>
          <w:b w:val="0"/>
          <w:bCs/>
          <w:color w:val="auto"/>
          <w:sz w:val="28"/>
          <w:highlight w:val="none"/>
          <w:vertAlign w:val="subscript"/>
          <w:lang w:val="en-US" w:eastAsia="zh-CN"/>
        </w:rPr>
        <w:t>2</w:t>
      </w:r>
      <w:r>
        <w:rPr>
          <w:rFonts w:hint="eastAsia" w:ascii="Times New Roman" w:hAnsi="Times New Roman"/>
          <w:b w:val="0"/>
          <w:bCs/>
          <w:color w:val="auto"/>
          <w:sz w:val="28"/>
          <w:highlight w:val="none"/>
          <w:lang w:val="en-US" w:eastAsia="zh-CN"/>
        </w:rPr>
        <w:t>O）0.5%~0.9%。</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A.3.2  砂</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标准砂应符合现行国家标准《水泥强度试验用标准砂》GB 178的规定。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A.3.3  水工掺合料</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水工掺合料取样应符合现行国家标准《水泥取样方法》GB 12573的规定。</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A.4 试验方法及计算</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A.4.1  胶砂配比</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基准胶砂和受检胶砂配比应符合表A.1的规定。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表A.1  胶砂配比（g）</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1635"/>
        <w:gridCol w:w="1575"/>
        <w:gridCol w:w="2310"/>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9" w:type="dxa"/>
            <w:noWrap w:val="0"/>
            <w:vAlign w:val="top"/>
          </w:tcPr>
          <w:p>
            <w:pPr>
              <w:spacing w:line="360" w:lineRule="auto"/>
              <w:jc w:val="center"/>
              <w:rPr>
                <w:rFonts w:ascii="Times New Roman" w:hAnsi="Times New Roman"/>
                <w:szCs w:val="21"/>
              </w:rPr>
            </w:pPr>
            <w:r>
              <w:rPr>
                <w:rFonts w:ascii="Times New Roman" w:hAnsi="Times New Roman"/>
                <w:szCs w:val="21"/>
              </w:rPr>
              <w:t>胶砂种类</w:t>
            </w:r>
          </w:p>
        </w:tc>
        <w:tc>
          <w:tcPr>
            <w:tcW w:w="1635" w:type="dxa"/>
            <w:noWrap w:val="0"/>
            <w:vAlign w:val="top"/>
          </w:tcPr>
          <w:p>
            <w:pPr>
              <w:spacing w:line="360" w:lineRule="auto"/>
              <w:jc w:val="center"/>
              <w:rPr>
                <w:rFonts w:ascii="Times New Roman" w:hAnsi="Times New Roman"/>
                <w:szCs w:val="21"/>
              </w:rPr>
            </w:pPr>
            <w:r>
              <w:rPr>
                <w:rFonts w:ascii="Times New Roman" w:hAnsi="Times New Roman"/>
                <w:szCs w:val="21"/>
              </w:rPr>
              <w:t>对比水泥</w:t>
            </w:r>
          </w:p>
        </w:tc>
        <w:tc>
          <w:tcPr>
            <w:tcW w:w="1575" w:type="dxa"/>
            <w:noWrap w:val="0"/>
            <w:vAlign w:val="top"/>
          </w:tcPr>
          <w:p>
            <w:pPr>
              <w:spacing w:line="360" w:lineRule="auto"/>
              <w:jc w:val="center"/>
              <w:rPr>
                <w:rFonts w:hint="eastAsia" w:ascii="Times New Roman" w:hAnsi="Times New Roman"/>
                <w:szCs w:val="21"/>
              </w:rPr>
            </w:pPr>
            <w:r>
              <w:rPr>
                <w:rFonts w:hint="eastAsia" w:ascii="Times New Roman" w:hAnsi="Times New Roman"/>
                <w:szCs w:val="21"/>
              </w:rPr>
              <w:t>水工掺合料</w:t>
            </w:r>
          </w:p>
        </w:tc>
        <w:tc>
          <w:tcPr>
            <w:tcW w:w="2310" w:type="dxa"/>
            <w:noWrap w:val="0"/>
            <w:vAlign w:val="top"/>
          </w:tcPr>
          <w:p>
            <w:pPr>
              <w:spacing w:line="360" w:lineRule="auto"/>
              <w:jc w:val="center"/>
              <w:rPr>
                <w:rFonts w:ascii="Times New Roman" w:hAnsi="Times New Roman"/>
                <w:szCs w:val="21"/>
              </w:rPr>
            </w:pPr>
            <w:r>
              <w:rPr>
                <w:rFonts w:ascii="Times New Roman" w:hAnsi="Times New Roman"/>
                <w:szCs w:val="21"/>
              </w:rPr>
              <w:t>中国ISO标准砂</w:t>
            </w:r>
          </w:p>
        </w:tc>
        <w:tc>
          <w:tcPr>
            <w:tcW w:w="1232" w:type="dxa"/>
            <w:noWrap w:val="0"/>
            <w:vAlign w:val="top"/>
          </w:tcPr>
          <w:p>
            <w:pPr>
              <w:spacing w:line="360" w:lineRule="auto"/>
              <w:jc w:val="center"/>
              <w:rPr>
                <w:rFonts w:ascii="Times New Roman" w:hAnsi="Times New Roman"/>
                <w:szCs w:val="21"/>
              </w:rPr>
            </w:pPr>
            <w:r>
              <w:rPr>
                <w:rFonts w:ascii="Times New Roman" w:hAnsi="Times New Roman"/>
                <w:szCs w:val="21"/>
              </w:rPr>
              <w:t>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9" w:type="dxa"/>
            <w:noWrap w:val="0"/>
            <w:vAlign w:val="top"/>
          </w:tcPr>
          <w:p>
            <w:pPr>
              <w:spacing w:line="360" w:lineRule="auto"/>
              <w:jc w:val="center"/>
              <w:rPr>
                <w:rFonts w:ascii="Times New Roman" w:hAnsi="Times New Roman"/>
                <w:szCs w:val="21"/>
              </w:rPr>
            </w:pPr>
            <w:r>
              <w:rPr>
                <w:rFonts w:hint="eastAsia" w:ascii="Times New Roman" w:hAnsi="Times New Roman"/>
                <w:szCs w:val="21"/>
              </w:rPr>
              <w:t>基准</w:t>
            </w:r>
            <w:r>
              <w:rPr>
                <w:rFonts w:ascii="Times New Roman" w:hAnsi="Times New Roman"/>
                <w:szCs w:val="21"/>
              </w:rPr>
              <w:t>胶砂</w:t>
            </w:r>
          </w:p>
        </w:tc>
        <w:tc>
          <w:tcPr>
            <w:tcW w:w="1635" w:type="dxa"/>
            <w:noWrap w:val="0"/>
            <w:vAlign w:val="top"/>
          </w:tcPr>
          <w:p>
            <w:pPr>
              <w:spacing w:line="360" w:lineRule="auto"/>
              <w:jc w:val="center"/>
              <w:rPr>
                <w:rFonts w:ascii="Times New Roman" w:hAnsi="Times New Roman"/>
                <w:szCs w:val="21"/>
              </w:rPr>
            </w:pPr>
            <w:r>
              <w:rPr>
                <w:rFonts w:ascii="Times New Roman" w:hAnsi="Times New Roman"/>
                <w:szCs w:val="21"/>
              </w:rPr>
              <w:t>450</w:t>
            </w:r>
          </w:p>
        </w:tc>
        <w:tc>
          <w:tcPr>
            <w:tcW w:w="1575" w:type="dxa"/>
            <w:noWrap w:val="0"/>
            <w:vAlign w:val="top"/>
          </w:tcPr>
          <w:p>
            <w:pPr>
              <w:spacing w:line="360" w:lineRule="auto"/>
              <w:jc w:val="center"/>
              <w:rPr>
                <w:rFonts w:ascii="Times New Roman" w:hAnsi="Times New Roman"/>
                <w:szCs w:val="21"/>
              </w:rPr>
            </w:pPr>
            <w:r>
              <w:rPr>
                <w:rFonts w:ascii="Times New Roman" w:hAnsi="Times New Roman"/>
                <w:szCs w:val="21"/>
              </w:rPr>
              <w:t>---</w:t>
            </w:r>
          </w:p>
        </w:tc>
        <w:tc>
          <w:tcPr>
            <w:tcW w:w="2310" w:type="dxa"/>
            <w:noWrap w:val="0"/>
            <w:vAlign w:val="top"/>
          </w:tcPr>
          <w:p>
            <w:pPr>
              <w:spacing w:line="360" w:lineRule="auto"/>
              <w:jc w:val="center"/>
              <w:rPr>
                <w:rFonts w:ascii="Times New Roman" w:hAnsi="Times New Roman"/>
                <w:szCs w:val="21"/>
              </w:rPr>
            </w:pPr>
            <w:r>
              <w:rPr>
                <w:rFonts w:ascii="Times New Roman" w:hAnsi="Times New Roman"/>
                <w:szCs w:val="21"/>
              </w:rPr>
              <w:t>1350</w:t>
            </w:r>
          </w:p>
        </w:tc>
        <w:tc>
          <w:tcPr>
            <w:tcW w:w="1232" w:type="dxa"/>
            <w:noWrap w:val="0"/>
            <w:vAlign w:val="top"/>
          </w:tcPr>
          <w:p>
            <w:pPr>
              <w:spacing w:line="360" w:lineRule="auto"/>
              <w:jc w:val="center"/>
              <w:rPr>
                <w:rFonts w:ascii="Times New Roman" w:hAnsi="Times New Roman"/>
                <w:szCs w:val="21"/>
              </w:rPr>
            </w:pPr>
            <w:r>
              <w:rPr>
                <w:rFonts w:ascii="Times New Roman" w:hAnsi="Times New Roman"/>
                <w:szCs w:val="21"/>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9" w:type="dxa"/>
            <w:noWrap w:val="0"/>
            <w:vAlign w:val="top"/>
          </w:tcPr>
          <w:p>
            <w:pPr>
              <w:spacing w:line="360" w:lineRule="auto"/>
              <w:jc w:val="center"/>
              <w:rPr>
                <w:rFonts w:ascii="Times New Roman" w:hAnsi="Times New Roman"/>
                <w:szCs w:val="21"/>
              </w:rPr>
            </w:pPr>
            <w:r>
              <w:rPr>
                <w:rFonts w:hint="eastAsia" w:ascii="Times New Roman" w:hAnsi="Times New Roman"/>
                <w:szCs w:val="21"/>
              </w:rPr>
              <w:t>受检</w:t>
            </w:r>
            <w:r>
              <w:rPr>
                <w:rFonts w:ascii="Times New Roman" w:hAnsi="Times New Roman"/>
                <w:szCs w:val="21"/>
              </w:rPr>
              <w:t>胶砂</w:t>
            </w:r>
          </w:p>
        </w:tc>
        <w:tc>
          <w:tcPr>
            <w:tcW w:w="1635" w:type="dxa"/>
            <w:noWrap w:val="0"/>
            <w:vAlign w:val="top"/>
          </w:tcPr>
          <w:p>
            <w:pPr>
              <w:spacing w:line="360" w:lineRule="auto"/>
              <w:jc w:val="center"/>
              <w:rPr>
                <w:rFonts w:ascii="Times New Roman" w:hAnsi="Times New Roman"/>
                <w:szCs w:val="21"/>
              </w:rPr>
            </w:pPr>
            <w:r>
              <w:rPr>
                <w:rFonts w:ascii="Times New Roman" w:hAnsi="Times New Roman"/>
                <w:szCs w:val="21"/>
              </w:rPr>
              <w:t>225</w:t>
            </w:r>
          </w:p>
        </w:tc>
        <w:tc>
          <w:tcPr>
            <w:tcW w:w="1575" w:type="dxa"/>
            <w:noWrap w:val="0"/>
            <w:vAlign w:val="top"/>
          </w:tcPr>
          <w:p>
            <w:pPr>
              <w:spacing w:line="360" w:lineRule="auto"/>
              <w:jc w:val="center"/>
              <w:rPr>
                <w:rFonts w:ascii="Times New Roman" w:hAnsi="Times New Roman"/>
                <w:szCs w:val="21"/>
              </w:rPr>
            </w:pPr>
            <w:r>
              <w:rPr>
                <w:rFonts w:ascii="Times New Roman" w:hAnsi="Times New Roman"/>
                <w:szCs w:val="21"/>
              </w:rPr>
              <w:t>225</w:t>
            </w:r>
          </w:p>
        </w:tc>
        <w:tc>
          <w:tcPr>
            <w:tcW w:w="2310" w:type="dxa"/>
            <w:noWrap w:val="0"/>
            <w:vAlign w:val="top"/>
          </w:tcPr>
          <w:p>
            <w:pPr>
              <w:spacing w:line="360" w:lineRule="auto"/>
              <w:jc w:val="center"/>
              <w:rPr>
                <w:rFonts w:ascii="Times New Roman" w:hAnsi="Times New Roman"/>
                <w:szCs w:val="21"/>
              </w:rPr>
            </w:pPr>
            <w:r>
              <w:rPr>
                <w:rFonts w:ascii="Times New Roman" w:hAnsi="Times New Roman"/>
                <w:szCs w:val="21"/>
              </w:rPr>
              <w:t>1350</w:t>
            </w:r>
          </w:p>
        </w:tc>
        <w:tc>
          <w:tcPr>
            <w:tcW w:w="1232" w:type="dxa"/>
            <w:noWrap w:val="0"/>
            <w:vAlign w:val="top"/>
          </w:tcPr>
          <w:p>
            <w:pPr>
              <w:spacing w:line="360" w:lineRule="auto"/>
              <w:jc w:val="center"/>
              <w:rPr>
                <w:rFonts w:ascii="Times New Roman" w:hAnsi="Times New Roman"/>
                <w:szCs w:val="21"/>
              </w:rPr>
            </w:pPr>
            <w:r>
              <w:rPr>
                <w:rFonts w:ascii="Times New Roman" w:hAnsi="Times New Roman"/>
                <w:szCs w:val="21"/>
              </w:rPr>
              <w:t>225</w:t>
            </w:r>
          </w:p>
        </w:tc>
      </w:tr>
    </w:tbl>
    <w:p>
      <w:pPr>
        <w:keepNext w:val="0"/>
        <w:keepLines w:val="0"/>
        <w:pageBreakBefore w:val="0"/>
        <w:widowControl w:val="0"/>
        <w:kinsoku/>
        <w:wordWrap/>
        <w:overflowPunct/>
        <w:topLinePunct w:val="0"/>
        <w:autoSpaceDE/>
        <w:autoSpaceDN/>
        <w:bidi w:val="0"/>
        <w:adjustRightInd/>
        <w:snapToGrid w:val="0"/>
        <w:jc w:val="left"/>
        <w:textAlignment w:val="auto"/>
        <w:rPr>
          <w:rFonts w:ascii="Times New Roman" w:hAnsi="Times New Roman" w:eastAsia="黑体"/>
          <w:b/>
          <w:sz w:val="10"/>
          <w:szCs w:val="10"/>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A.4.2  胶砂搅拌程序</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胶砂拌制应符合现行国家标准</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"https://www.sogou.com/link?url=hedJjaC291Pl05MTlF1Zk2XH0kc1pIdiO-c0LGj57-CmdNtuziKAA7OrruKGOK_XdnfNbSxgwSshOp6L0Z9Bwk_UY8fYT2KOZ6pHzQTGCRo." \t "https://www.sogou.com/_blank"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《水泥胶砂强度检验方法（ISO法）</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》GB/T 17671的规定。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A.4.3  胶砂流动度比试验及计算</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应按表A.1胶砂配比和现行国家标准《</w:t>
      </w:r>
      <w:r>
        <w:rPr>
          <w:rFonts w:hint="default" w:ascii="Times New Roman" w:hAnsi="Times New Roman"/>
          <w:b w:val="0"/>
          <w:bCs/>
          <w:color w:val="auto"/>
          <w:sz w:val="28"/>
          <w:highlight w:val="none"/>
          <w:lang w:val="en-US" w:eastAsia="zh-CN"/>
        </w:rPr>
        <w:fldChar w:fldCharType="begin"/>
      </w:r>
      <w:r>
        <w:rPr>
          <w:rFonts w:hint="default" w:ascii="Times New Roman" w:hAnsi="Times New Roman"/>
          <w:b w:val="0"/>
          <w:bCs/>
          <w:color w:val="auto"/>
          <w:sz w:val="28"/>
          <w:highlight w:val="none"/>
          <w:lang w:val="en-US" w:eastAsia="zh-CN"/>
        </w:rPr>
        <w:instrText xml:space="preserve"> HYPERLINK "https://www.sogou.com/link?url=hedJjaC291N-O9fwjGdB_oLPu8jOQFpBiFFZY90A94WMRqM-flokQIu_AjUQjM1H" \t "https://www.sogou.com/_blank" </w:instrText>
      </w:r>
      <w:r>
        <w:rPr>
          <w:rFonts w:hint="default" w:ascii="Times New Roman" w:hAnsi="Times New Roman"/>
          <w:b w:val="0"/>
          <w:bCs/>
          <w:color w:val="auto"/>
          <w:sz w:val="28"/>
          <w:highlight w:val="none"/>
          <w:lang w:val="en-US" w:eastAsia="zh-CN"/>
        </w:rPr>
        <w:fldChar w:fldCharType="separate"/>
      </w:r>
      <w:r>
        <w:rPr>
          <w:rFonts w:hint="default" w:ascii="Times New Roman" w:hAnsi="Times New Roman"/>
          <w:b w:val="0"/>
          <w:bCs/>
          <w:color w:val="auto"/>
          <w:sz w:val="28"/>
          <w:highlight w:val="none"/>
          <w:lang w:val="en-US" w:eastAsia="zh-CN"/>
        </w:rPr>
        <w:t>水泥</w:t>
      </w:r>
      <w:r>
        <w:rPr>
          <w:rFonts w:hint="eastAsia" w:ascii="Times New Roman" w:hAnsi="Times New Roman"/>
          <w:b w:val="0"/>
          <w:bCs/>
          <w:color w:val="auto"/>
          <w:sz w:val="28"/>
          <w:highlight w:val="none"/>
          <w:lang w:val="en-US" w:eastAsia="zh-CN"/>
        </w:rPr>
        <w:t>胶砂流动</w:t>
      </w:r>
      <w:r>
        <w:rPr>
          <w:rFonts w:hint="default" w:ascii="Times New Roman" w:hAnsi="Times New Roman"/>
          <w:b w:val="0"/>
          <w:bCs/>
          <w:color w:val="auto"/>
          <w:sz w:val="28"/>
          <w:highlight w:val="none"/>
          <w:lang w:val="en-US" w:eastAsia="zh-CN"/>
        </w:rPr>
        <w:t>度</w:t>
      </w:r>
      <w:r>
        <w:rPr>
          <w:rFonts w:hint="eastAsia" w:ascii="Times New Roman" w:hAnsi="Times New Roman"/>
          <w:b w:val="0"/>
          <w:bCs/>
          <w:color w:val="auto"/>
          <w:sz w:val="28"/>
          <w:highlight w:val="none"/>
          <w:lang w:val="en-US" w:eastAsia="zh-CN"/>
        </w:rPr>
        <w:t>测</w:t>
      </w:r>
      <w:r>
        <w:rPr>
          <w:rFonts w:hint="default" w:ascii="Times New Roman" w:hAnsi="Times New Roman"/>
          <w:b w:val="0"/>
          <w:bCs/>
          <w:color w:val="auto"/>
          <w:sz w:val="28"/>
          <w:highlight w:val="none"/>
          <w:lang w:val="en-US" w:eastAsia="zh-CN"/>
        </w:rPr>
        <w:t>定方法</w:t>
      </w:r>
      <w:r>
        <w:rPr>
          <w:rFonts w:hint="default"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》GB/T 2419进行，分别测定基准胶砂和受检胶砂的流动度，流动度比按式（A.4.3）计算，计算结果保留至整数。</w:t>
      </w:r>
    </w:p>
    <w:p>
      <w:pPr>
        <w:keepNext w:val="0"/>
        <w:keepLines w:val="0"/>
        <w:pageBreakBefore w:val="0"/>
        <w:widowControl w:val="0"/>
        <w:kinsoku/>
        <w:wordWrap/>
        <w:overflowPunct/>
        <w:topLinePunct w:val="0"/>
        <w:autoSpaceDE/>
        <w:autoSpaceDN/>
        <w:bidi w:val="0"/>
        <w:adjustRightInd/>
        <w:snapToGrid w:val="0"/>
        <w:spacing w:line="360" w:lineRule="auto"/>
        <w:ind w:firstLine="2240" w:firstLineChars="8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object>
          <v:shape id="_x0000_i1026" o:spt="75" type="#_x0000_t75" style="height:34pt;width:69pt;" o:ole="t" filled="f" stroked="f" coordsize="21600,21600">
            <v:path/>
            <v:fill on="f" alignshape="1" focussize="0,0"/>
            <v:stroke on="f"/>
            <v:imagedata r:id="rId19" o:title=""/>
            <o:lock v:ext="edit" aspectratio="t"/>
            <w10:wrap type="none"/>
            <w10:anchorlock/>
          </v:shape>
          <o:OLEObject Type="Embed" ProgID="Equation.3" ShapeID="_x0000_i1026" DrawAspect="Content" ObjectID="_1468075726" r:id="rId18">
            <o:LockedField>false</o:LockedField>
          </o:OLEObject>
        </w:object>
      </w:r>
      <w:r>
        <w:rPr>
          <w:rFonts w:hint="eastAsia" w:ascii="Times New Roman" w:hAnsi="Times New Roman"/>
          <w:b w:val="0"/>
          <w:bCs/>
          <w:color w:val="auto"/>
          <w:sz w:val="28"/>
          <w:highlight w:val="none"/>
          <w:lang w:val="en-US" w:eastAsia="zh-CN"/>
        </w:rPr>
        <w:t xml:space="preserve">                        （A.4.3）</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式中：</w:t>
      </w:r>
      <w:r>
        <w:rPr>
          <w:rFonts w:hint="eastAsia" w:ascii="Times New Roman" w:hAnsi="Times New Roman"/>
          <w:b w:val="0"/>
          <w:bCs/>
          <w:i/>
          <w:iCs/>
          <w:color w:val="auto"/>
          <w:sz w:val="28"/>
          <w:highlight w:val="none"/>
          <w:lang w:val="en-US" w:eastAsia="zh-CN"/>
        </w:rPr>
        <w:t>F</w:t>
      </w:r>
      <w:r>
        <w:rPr>
          <w:rFonts w:hint="eastAsia" w:ascii="Times New Roman" w:hAnsi="Times New Roman"/>
          <w:b w:val="0"/>
          <w:bCs/>
          <w:color w:val="auto"/>
          <w:sz w:val="28"/>
          <w:highlight w:val="none"/>
          <w:lang w:val="en-US" w:eastAsia="zh-CN"/>
        </w:rPr>
        <w:t>——胶砂流动度比，单位为百分比（%）；</w:t>
      </w:r>
    </w:p>
    <w:p>
      <w:pPr>
        <w:keepNext w:val="0"/>
        <w:keepLines w:val="0"/>
        <w:pageBreakBefore w:val="0"/>
        <w:widowControl w:val="0"/>
        <w:kinsoku/>
        <w:wordWrap/>
        <w:overflowPunct/>
        <w:topLinePunct w:val="0"/>
        <w:autoSpaceDE/>
        <w:autoSpaceDN/>
        <w:bidi w:val="0"/>
        <w:adjustRightInd/>
        <w:snapToGrid w:val="0"/>
        <w:spacing w:line="360" w:lineRule="auto"/>
        <w:ind w:firstLine="840" w:firstLineChars="3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i/>
          <w:iCs/>
          <w:color w:val="auto"/>
          <w:sz w:val="28"/>
          <w:highlight w:val="none"/>
          <w:lang w:val="en-US" w:eastAsia="zh-CN"/>
        </w:rPr>
        <w:t>L</w:t>
      </w:r>
      <w:r>
        <w:rPr>
          <w:rFonts w:hint="eastAsia" w:ascii="Times New Roman" w:hAnsi="Times New Roman"/>
          <w:b w:val="0"/>
          <w:bCs/>
          <w:color w:val="auto"/>
          <w:sz w:val="28"/>
          <w:highlight w:val="none"/>
          <w:vertAlign w:val="subscript"/>
          <w:lang w:val="en-US" w:eastAsia="zh-CN"/>
        </w:rPr>
        <w:t>m</w:t>
      </w:r>
      <w:r>
        <w:rPr>
          <w:rFonts w:hint="eastAsia" w:ascii="Times New Roman" w:hAnsi="Times New Roman"/>
          <w:b w:val="0"/>
          <w:bCs/>
          <w:color w:val="auto"/>
          <w:sz w:val="28"/>
          <w:highlight w:val="none"/>
          <w:lang w:val="en-US" w:eastAsia="zh-CN"/>
        </w:rPr>
        <w:t>——为基准胶砂流动度，单位为毫米（mm）；</w:t>
      </w:r>
    </w:p>
    <w:p>
      <w:pPr>
        <w:keepNext w:val="0"/>
        <w:keepLines w:val="0"/>
        <w:pageBreakBefore w:val="0"/>
        <w:widowControl w:val="0"/>
        <w:kinsoku/>
        <w:wordWrap/>
        <w:overflowPunct/>
        <w:topLinePunct w:val="0"/>
        <w:autoSpaceDE/>
        <w:autoSpaceDN/>
        <w:bidi w:val="0"/>
        <w:adjustRightInd/>
        <w:snapToGrid w:val="0"/>
        <w:spacing w:line="360" w:lineRule="auto"/>
        <w:ind w:firstLine="840" w:firstLineChars="3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i/>
          <w:iCs/>
          <w:color w:val="auto"/>
          <w:sz w:val="28"/>
          <w:highlight w:val="none"/>
          <w:lang w:val="en-US" w:eastAsia="zh-CN"/>
        </w:rPr>
        <w:t>L</w:t>
      </w:r>
      <w:r>
        <w:rPr>
          <w:rFonts w:hint="eastAsia" w:ascii="Times New Roman" w:hAnsi="Times New Roman"/>
          <w:b w:val="0"/>
          <w:bCs/>
          <w:color w:val="auto"/>
          <w:sz w:val="28"/>
          <w:highlight w:val="none"/>
          <w:lang w:val="en-US" w:eastAsia="zh-CN"/>
        </w:rPr>
        <w:t>——为受检胶砂流动度，单位为毫米（mm）。</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p>
    <w:p>
      <w:pPr>
        <w:rPr>
          <w:rFonts w:hint="eastAsia" w:ascii="Times New Roman" w:hAnsi="Times New Roman"/>
        </w:rPr>
      </w:pPr>
    </w:p>
    <w:p>
      <w:pPr>
        <w:pStyle w:val="56"/>
        <w:numPr>
          <w:ilvl w:val="0"/>
          <w:numId w:val="1"/>
        </w:numPr>
        <w:spacing w:before="0" w:after="0"/>
        <w:rPr>
          <w:rFonts w:hint="eastAsia" w:ascii="Times New Roman" w:hAnsi="Times New Roman" w:eastAsia="宋体" w:cs="Times New Roman"/>
          <w:b/>
          <w:color w:val="auto"/>
          <w:kern w:val="2"/>
          <w:sz w:val="32"/>
          <w:szCs w:val="28"/>
          <w:highlight w:val="none"/>
          <w:lang w:val="en-US" w:eastAsia="zh-CN" w:bidi="ar-SA"/>
        </w:rPr>
      </w:pPr>
      <w:r>
        <w:rPr>
          <w:rFonts w:ascii="Times New Roman" w:hAnsi="Times New Roman"/>
        </w:rPr>
        <w:br w:type="page"/>
      </w:r>
      <w:bookmarkStart w:id="12" w:name="_Toc285009453"/>
      <w:r>
        <w:rPr>
          <w:rFonts w:hint="eastAsia" w:ascii="Times New Roman" w:hAnsi="Times New Roman" w:eastAsia="宋体" w:cs="Times New Roman"/>
          <w:b/>
          <w:color w:val="auto"/>
          <w:kern w:val="2"/>
          <w:sz w:val="32"/>
          <w:szCs w:val="28"/>
          <w:highlight w:val="none"/>
          <w:lang w:val="en-US" w:eastAsia="zh-CN" w:bidi="ar-SA"/>
        </w:rPr>
        <w:t>附录B  水工掺合料活性指数检验方法</w:t>
      </w:r>
      <w:bookmarkEnd w:id="12"/>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B.1  范围</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本附录规定了水工掺合料活性指数的检验方法。</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B.2  方法原理</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B.2.1  分别测定受检胶砂和基准胶砂的抗压强度，两者同龄期抗压强度之比即为活性指数。</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B.3  样品</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B.3.1  对比水泥</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符合现行国家标准《通用硅酸盐水泥》GB175规定的强度等级为42.5的硅酸盐水泥或普通硅酸盐水泥，且7天抗压强度为35MPa~45MPa，28天抗压强度为50MPa~60MPa，比表面积300㎡/kg～400㎡/kg，SO</w:t>
      </w:r>
      <w:r>
        <w:rPr>
          <w:rFonts w:hint="eastAsia" w:ascii="Times New Roman" w:hAnsi="Times New Roman"/>
          <w:b w:val="0"/>
          <w:bCs/>
          <w:color w:val="auto"/>
          <w:sz w:val="28"/>
          <w:highlight w:val="none"/>
          <w:vertAlign w:val="subscript"/>
          <w:lang w:val="en-US" w:eastAsia="zh-CN"/>
        </w:rPr>
        <w:t>3</w:t>
      </w:r>
      <w:r>
        <w:rPr>
          <w:rFonts w:hint="eastAsia" w:ascii="Times New Roman" w:hAnsi="Times New Roman"/>
          <w:b w:val="0"/>
          <w:bCs/>
          <w:color w:val="auto"/>
          <w:sz w:val="28"/>
          <w:highlight w:val="none"/>
          <w:lang w:val="en-US" w:eastAsia="zh-CN"/>
        </w:rPr>
        <w:t>含量2.3%~2.8%，碱含量（Na</w:t>
      </w:r>
      <w:r>
        <w:rPr>
          <w:rFonts w:hint="eastAsia" w:ascii="Times New Roman" w:hAnsi="Times New Roman"/>
          <w:b w:val="0"/>
          <w:bCs/>
          <w:color w:val="auto"/>
          <w:sz w:val="28"/>
          <w:highlight w:val="none"/>
          <w:vertAlign w:val="subscript"/>
          <w:lang w:val="en-US" w:eastAsia="zh-CN"/>
        </w:rPr>
        <w:t>2</w:t>
      </w:r>
      <w:r>
        <w:rPr>
          <w:rFonts w:hint="eastAsia" w:ascii="Times New Roman" w:hAnsi="Times New Roman"/>
          <w:b w:val="0"/>
          <w:bCs/>
          <w:color w:val="auto"/>
          <w:sz w:val="28"/>
          <w:highlight w:val="none"/>
          <w:lang w:val="en-US" w:eastAsia="zh-CN"/>
        </w:rPr>
        <w:t>O+0.658K</w:t>
      </w:r>
      <w:r>
        <w:rPr>
          <w:rFonts w:hint="eastAsia" w:ascii="Times New Roman" w:hAnsi="Times New Roman"/>
          <w:b w:val="0"/>
          <w:bCs/>
          <w:color w:val="auto"/>
          <w:sz w:val="28"/>
          <w:highlight w:val="none"/>
          <w:vertAlign w:val="subscript"/>
          <w:lang w:val="en-US" w:eastAsia="zh-CN"/>
        </w:rPr>
        <w:t>2</w:t>
      </w:r>
      <w:r>
        <w:rPr>
          <w:rFonts w:hint="eastAsia" w:ascii="Times New Roman" w:hAnsi="Times New Roman"/>
          <w:b w:val="0"/>
          <w:bCs/>
          <w:color w:val="auto"/>
          <w:sz w:val="28"/>
          <w:highlight w:val="none"/>
          <w:lang w:val="en-US" w:eastAsia="zh-CN"/>
        </w:rPr>
        <w:t>O）0.5%~0.9%。</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B.3.2  砂</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标准砂应符合现行国家标准《水泥强度试验用标准砂》GB 178的规定。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B.3.3  水工掺合料</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水工掺合料取样应符合现行国家标准《水泥取样方法》GB 12573的规定。</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B.4 试验方法及计算</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B.4.1  胶砂配比</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基准胶砂和受检胶砂配比应符合表B.1的规定。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表B.1  胶砂配比（g）</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1635"/>
        <w:gridCol w:w="1575"/>
        <w:gridCol w:w="2310"/>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9" w:type="dxa"/>
            <w:noWrap w:val="0"/>
            <w:vAlign w:val="top"/>
          </w:tcPr>
          <w:p>
            <w:pPr>
              <w:spacing w:line="360" w:lineRule="auto"/>
              <w:jc w:val="center"/>
              <w:rPr>
                <w:rFonts w:ascii="Times New Roman" w:hAnsi="Times New Roman"/>
                <w:szCs w:val="21"/>
              </w:rPr>
            </w:pPr>
            <w:r>
              <w:rPr>
                <w:rFonts w:ascii="Times New Roman" w:hAnsi="Times New Roman"/>
                <w:szCs w:val="21"/>
              </w:rPr>
              <w:t>胶砂种类</w:t>
            </w:r>
          </w:p>
        </w:tc>
        <w:tc>
          <w:tcPr>
            <w:tcW w:w="1635" w:type="dxa"/>
            <w:noWrap w:val="0"/>
            <w:vAlign w:val="top"/>
          </w:tcPr>
          <w:p>
            <w:pPr>
              <w:spacing w:line="360" w:lineRule="auto"/>
              <w:jc w:val="center"/>
              <w:rPr>
                <w:rFonts w:ascii="Times New Roman" w:hAnsi="Times New Roman"/>
                <w:szCs w:val="21"/>
              </w:rPr>
            </w:pPr>
            <w:r>
              <w:rPr>
                <w:rFonts w:ascii="Times New Roman" w:hAnsi="Times New Roman"/>
                <w:szCs w:val="21"/>
              </w:rPr>
              <w:t>对比水泥</w:t>
            </w:r>
          </w:p>
        </w:tc>
        <w:tc>
          <w:tcPr>
            <w:tcW w:w="1575" w:type="dxa"/>
            <w:noWrap w:val="0"/>
            <w:vAlign w:val="top"/>
          </w:tcPr>
          <w:p>
            <w:pPr>
              <w:spacing w:line="360" w:lineRule="auto"/>
              <w:jc w:val="center"/>
              <w:rPr>
                <w:rFonts w:hint="eastAsia" w:ascii="Times New Roman" w:hAnsi="Times New Roman"/>
                <w:szCs w:val="21"/>
              </w:rPr>
            </w:pPr>
            <w:r>
              <w:rPr>
                <w:rFonts w:hint="eastAsia" w:ascii="Times New Roman" w:hAnsi="Times New Roman"/>
                <w:szCs w:val="21"/>
              </w:rPr>
              <w:t>水工掺合料</w:t>
            </w:r>
          </w:p>
        </w:tc>
        <w:tc>
          <w:tcPr>
            <w:tcW w:w="2310" w:type="dxa"/>
            <w:noWrap w:val="0"/>
            <w:vAlign w:val="top"/>
          </w:tcPr>
          <w:p>
            <w:pPr>
              <w:spacing w:line="360" w:lineRule="auto"/>
              <w:jc w:val="center"/>
              <w:rPr>
                <w:rFonts w:ascii="Times New Roman" w:hAnsi="Times New Roman"/>
                <w:szCs w:val="21"/>
              </w:rPr>
            </w:pPr>
            <w:r>
              <w:rPr>
                <w:rFonts w:ascii="Times New Roman" w:hAnsi="Times New Roman"/>
                <w:szCs w:val="21"/>
              </w:rPr>
              <w:t>中国ISO标准砂</w:t>
            </w:r>
          </w:p>
        </w:tc>
        <w:tc>
          <w:tcPr>
            <w:tcW w:w="1232" w:type="dxa"/>
            <w:noWrap w:val="0"/>
            <w:vAlign w:val="top"/>
          </w:tcPr>
          <w:p>
            <w:pPr>
              <w:spacing w:line="360" w:lineRule="auto"/>
              <w:jc w:val="center"/>
              <w:rPr>
                <w:rFonts w:ascii="Times New Roman" w:hAnsi="Times New Roman"/>
                <w:szCs w:val="21"/>
              </w:rPr>
            </w:pPr>
            <w:r>
              <w:rPr>
                <w:rFonts w:ascii="Times New Roman" w:hAnsi="Times New Roman"/>
                <w:szCs w:val="21"/>
              </w:rPr>
              <w:t>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9" w:type="dxa"/>
            <w:noWrap w:val="0"/>
            <w:vAlign w:val="top"/>
          </w:tcPr>
          <w:p>
            <w:pPr>
              <w:spacing w:line="360" w:lineRule="auto"/>
              <w:jc w:val="center"/>
              <w:rPr>
                <w:rFonts w:ascii="Times New Roman" w:hAnsi="Times New Roman"/>
                <w:szCs w:val="21"/>
              </w:rPr>
            </w:pPr>
            <w:r>
              <w:rPr>
                <w:rFonts w:hint="eastAsia" w:ascii="Times New Roman" w:hAnsi="Times New Roman"/>
                <w:szCs w:val="21"/>
              </w:rPr>
              <w:t>基准</w:t>
            </w:r>
            <w:r>
              <w:rPr>
                <w:rFonts w:ascii="Times New Roman" w:hAnsi="Times New Roman"/>
                <w:szCs w:val="21"/>
              </w:rPr>
              <w:t>胶砂</w:t>
            </w:r>
          </w:p>
        </w:tc>
        <w:tc>
          <w:tcPr>
            <w:tcW w:w="1635" w:type="dxa"/>
            <w:noWrap w:val="0"/>
            <w:vAlign w:val="top"/>
          </w:tcPr>
          <w:p>
            <w:pPr>
              <w:spacing w:line="360" w:lineRule="auto"/>
              <w:jc w:val="center"/>
              <w:rPr>
                <w:rFonts w:ascii="Times New Roman" w:hAnsi="Times New Roman"/>
                <w:szCs w:val="21"/>
              </w:rPr>
            </w:pPr>
            <w:r>
              <w:rPr>
                <w:rFonts w:ascii="Times New Roman" w:hAnsi="Times New Roman"/>
                <w:szCs w:val="21"/>
              </w:rPr>
              <w:t>450</w:t>
            </w:r>
          </w:p>
        </w:tc>
        <w:tc>
          <w:tcPr>
            <w:tcW w:w="1575" w:type="dxa"/>
            <w:noWrap w:val="0"/>
            <w:vAlign w:val="top"/>
          </w:tcPr>
          <w:p>
            <w:pPr>
              <w:spacing w:line="360" w:lineRule="auto"/>
              <w:jc w:val="center"/>
              <w:rPr>
                <w:rFonts w:ascii="Times New Roman" w:hAnsi="Times New Roman"/>
                <w:szCs w:val="21"/>
              </w:rPr>
            </w:pPr>
            <w:r>
              <w:rPr>
                <w:rFonts w:ascii="Times New Roman" w:hAnsi="Times New Roman"/>
                <w:szCs w:val="21"/>
              </w:rPr>
              <w:t>---</w:t>
            </w:r>
          </w:p>
        </w:tc>
        <w:tc>
          <w:tcPr>
            <w:tcW w:w="2310" w:type="dxa"/>
            <w:noWrap w:val="0"/>
            <w:vAlign w:val="top"/>
          </w:tcPr>
          <w:p>
            <w:pPr>
              <w:spacing w:line="360" w:lineRule="auto"/>
              <w:jc w:val="center"/>
              <w:rPr>
                <w:rFonts w:ascii="Times New Roman" w:hAnsi="Times New Roman"/>
                <w:szCs w:val="21"/>
              </w:rPr>
            </w:pPr>
            <w:r>
              <w:rPr>
                <w:rFonts w:ascii="Times New Roman" w:hAnsi="Times New Roman"/>
                <w:szCs w:val="21"/>
              </w:rPr>
              <w:t>1350</w:t>
            </w:r>
          </w:p>
        </w:tc>
        <w:tc>
          <w:tcPr>
            <w:tcW w:w="1232" w:type="dxa"/>
            <w:noWrap w:val="0"/>
            <w:vAlign w:val="top"/>
          </w:tcPr>
          <w:p>
            <w:pPr>
              <w:spacing w:line="360" w:lineRule="auto"/>
              <w:jc w:val="center"/>
              <w:rPr>
                <w:rFonts w:ascii="Times New Roman" w:hAnsi="Times New Roman"/>
                <w:szCs w:val="21"/>
              </w:rPr>
            </w:pPr>
            <w:r>
              <w:rPr>
                <w:rFonts w:ascii="Times New Roman" w:hAnsi="Times New Roman"/>
                <w:szCs w:val="21"/>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9" w:type="dxa"/>
            <w:noWrap w:val="0"/>
            <w:vAlign w:val="top"/>
          </w:tcPr>
          <w:p>
            <w:pPr>
              <w:spacing w:line="360" w:lineRule="auto"/>
              <w:jc w:val="center"/>
              <w:rPr>
                <w:rFonts w:ascii="Times New Roman" w:hAnsi="Times New Roman"/>
                <w:szCs w:val="21"/>
              </w:rPr>
            </w:pPr>
            <w:r>
              <w:rPr>
                <w:rFonts w:hint="eastAsia" w:ascii="Times New Roman" w:hAnsi="Times New Roman"/>
                <w:szCs w:val="21"/>
              </w:rPr>
              <w:t>受检</w:t>
            </w:r>
            <w:r>
              <w:rPr>
                <w:rFonts w:ascii="Times New Roman" w:hAnsi="Times New Roman"/>
                <w:szCs w:val="21"/>
              </w:rPr>
              <w:t>胶砂</w:t>
            </w:r>
          </w:p>
        </w:tc>
        <w:tc>
          <w:tcPr>
            <w:tcW w:w="1635" w:type="dxa"/>
            <w:noWrap w:val="0"/>
            <w:vAlign w:val="top"/>
          </w:tcPr>
          <w:p>
            <w:pPr>
              <w:spacing w:line="360" w:lineRule="auto"/>
              <w:jc w:val="center"/>
              <w:rPr>
                <w:rFonts w:ascii="Times New Roman" w:hAnsi="Times New Roman"/>
                <w:szCs w:val="21"/>
              </w:rPr>
            </w:pPr>
            <w:r>
              <w:rPr>
                <w:rFonts w:ascii="Times New Roman" w:hAnsi="Times New Roman"/>
                <w:szCs w:val="21"/>
              </w:rPr>
              <w:t>225</w:t>
            </w:r>
          </w:p>
        </w:tc>
        <w:tc>
          <w:tcPr>
            <w:tcW w:w="1575" w:type="dxa"/>
            <w:noWrap w:val="0"/>
            <w:vAlign w:val="top"/>
          </w:tcPr>
          <w:p>
            <w:pPr>
              <w:spacing w:line="360" w:lineRule="auto"/>
              <w:jc w:val="center"/>
              <w:rPr>
                <w:rFonts w:ascii="Times New Roman" w:hAnsi="Times New Roman"/>
                <w:szCs w:val="21"/>
              </w:rPr>
            </w:pPr>
            <w:r>
              <w:rPr>
                <w:rFonts w:ascii="Times New Roman" w:hAnsi="Times New Roman"/>
                <w:szCs w:val="21"/>
              </w:rPr>
              <w:t>225</w:t>
            </w:r>
          </w:p>
        </w:tc>
        <w:tc>
          <w:tcPr>
            <w:tcW w:w="2310" w:type="dxa"/>
            <w:noWrap w:val="0"/>
            <w:vAlign w:val="top"/>
          </w:tcPr>
          <w:p>
            <w:pPr>
              <w:spacing w:line="360" w:lineRule="auto"/>
              <w:jc w:val="center"/>
              <w:rPr>
                <w:rFonts w:ascii="Times New Roman" w:hAnsi="Times New Roman"/>
                <w:szCs w:val="21"/>
              </w:rPr>
            </w:pPr>
            <w:r>
              <w:rPr>
                <w:rFonts w:ascii="Times New Roman" w:hAnsi="Times New Roman"/>
                <w:szCs w:val="21"/>
              </w:rPr>
              <w:t>1350</w:t>
            </w:r>
          </w:p>
        </w:tc>
        <w:tc>
          <w:tcPr>
            <w:tcW w:w="1232" w:type="dxa"/>
            <w:noWrap w:val="0"/>
            <w:vAlign w:val="top"/>
          </w:tcPr>
          <w:p>
            <w:pPr>
              <w:spacing w:line="360" w:lineRule="auto"/>
              <w:jc w:val="center"/>
              <w:rPr>
                <w:rFonts w:ascii="Times New Roman" w:hAnsi="Times New Roman"/>
                <w:szCs w:val="21"/>
              </w:rPr>
            </w:pPr>
            <w:r>
              <w:rPr>
                <w:rFonts w:ascii="Times New Roman" w:hAnsi="Times New Roman"/>
                <w:szCs w:val="21"/>
              </w:rPr>
              <w:t>225</w:t>
            </w:r>
          </w:p>
        </w:tc>
      </w:tr>
    </w:tbl>
    <w:p>
      <w:pPr>
        <w:keepNext w:val="0"/>
        <w:keepLines w:val="0"/>
        <w:pageBreakBefore w:val="0"/>
        <w:widowControl w:val="0"/>
        <w:kinsoku/>
        <w:wordWrap/>
        <w:overflowPunct/>
        <w:topLinePunct w:val="0"/>
        <w:autoSpaceDE/>
        <w:autoSpaceDN/>
        <w:bidi w:val="0"/>
        <w:adjustRightInd/>
        <w:snapToGrid w:val="0"/>
        <w:jc w:val="left"/>
        <w:textAlignment w:val="auto"/>
        <w:rPr>
          <w:rFonts w:ascii="Times New Roman" w:hAnsi="Times New Roman" w:eastAsia="黑体"/>
          <w:b/>
          <w:sz w:val="10"/>
          <w:szCs w:val="10"/>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B.4.2  胶砂拌制、成型、养护及强度测试应符合现行国家标准</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"https://www.sogou.com/link?url=hedJjaC291Pl05MTlF1Zk2XH0kc1pIdiO-c0LGj57-CmdNtuziKAA7OrruKGOK_XdnfNbSxgwSshOp6L0Z9Bwk_UY8fYT2KOZ6pHzQTGCRo." \t "https://www.sogou.com/_blank"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《水泥胶砂强度检验方法（ISO法）</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》GB/T 17671的规定。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B.4.3  胶砂活性指数试验及计算</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应按表B.1胶砂配比，分别测定基准胶砂和受检胶砂的抗压强度，各龄期活性指数按式（B.4.3）计算，计算结果保留至整数。</w:t>
      </w:r>
    </w:p>
    <w:p>
      <w:pPr>
        <w:keepNext w:val="0"/>
        <w:keepLines w:val="0"/>
        <w:pageBreakBefore w:val="0"/>
        <w:widowControl w:val="0"/>
        <w:kinsoku/>
        <w:wordWrap/>
        <w:overflowPunct/>
        <w:topLinePunct w:val="0"/>
        <w:autoSpaceDE/>
        <w:autoSpaceDN/>
        <w:bidi w:val="0"/>
        <w:adjustRightInd/>
        <w:snapToGrid w:val="0"/>
        <w:spacing w:line="360" w:lineRule="auto"/>
        <w:ind w:firstLine="2240" w:firstLineChars="8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position w:val="-30"/>
          <w:sz w:val="28"/>
          <w:highlight w:val="none"/>
          <w:lang w:val="en-US" w:eastAsia="zh-CN"/>
        </w:rPr>
        <w:object>
          <v:shape id="_x0000_i1027" o:spt="75" type="#_x0000_t75" style="height:34pt;width:70.05pt;" o:ole="t" filled="f" o:preferrelative="t" stroked="f" coordsize="21600,21600">
            <v:path/>
            <v:fill on="f" focussize="0,0"/>
            <v:stroke on="f"/>
            <v:imagedata r:id="rId21" o:title=""/>
            <o:lock v:ext="edit" aspectratio="t"/>
            <w10:wrap type="none"/>
            <w10:anchorlock/>
          </v:shape>
          <o:OLEObject Type="Embed" ProgID="Equation.3" ShapeID="_x0000_i1027" DrawAspect="Content" ObjectID="_1468075727" r:id="rId20">
            <o:LockedField>false</o:LockedField>
          </o:OLEObject>
        </w:object>
      </w:r>
      <w:r>
        <w:rPr>
          <w:rFonts w:hint="eastAsia" w:ascii="Times New Roman" w:hAnsi="Times New Roman"/>
          <w:b w:val="0"/>
          <w:bCs/>
          <w:color w:val="auto"/>
          <w:sz w:val="28"/>
          <w:highlight w:val="none"/>
          <w:lang w:val="en-US" w:eastAsia="zh-CN"/>
        </w:rPr>
        <w:t xml:space="preserve">                          （B.4.3）</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式中：</w:t>
      </w:r>
      <w:r>
        <w:rPr>
          <w:rFonts w:hint="eastAsia" w:ascii="Times New Roman" w:hAnsi="Times New Roman"/>
          <w:b w:val="0"/>
          <w:bCs/>
          <w:i/>
          <w:iCs/>
          <w:color w:val="auto"/>
          <w:sz w:val="28"/>
          <w:highlight w:val="none"/>
          <w:lang w:val="en-US" w:eastAsia="zh-CN"/>
        </w:rPr>
        <w:t>B</w:t>
      </w:r>
      <w:r>
        <w:rPr>
          <w:rFonts w:hint="eastAsia" w:ascii="Times New Roman" w:hAnsi="Times New Roman"/>
          <w:b w:val="0"/>
          <w:bCs/>
          <w:color w:val="auto"/>
          <w:sz w:val="28"/>
          <w:highlight w:val="none"/>
          <w:vertAlign w:val="subscript"/>
          <w:lang w:val="en-US" w:eastAsia="zh-CN"/>
        </w:rPr>
        <w:t>t</w:t>
      </w:r>
      <w:r>
        <w:rPr>
          <w:rFonts w:hint="eastAsia" w:ascii="Times New Roman" w:hAnsi="Times New Roman"/>
          <w:b w:val="0"/>
          <w:bCs/>
          <w:color w:val="auto"/>
          <w:sz w:val="28"/>
          <w:highlight w:val="none"/>
          <w:lang w:val="en-US" w:eastAsia="zh-CN"/>
        </w:rPr>
        <w:t>——活性指数，单位为百分比（%）；</w:t>
      </w:r>
    </w:p>
    <w:p>
      <w:pPr>
        <w:keepNext w:val="0"/>
        <w:keepLines w:val="0"/>
        <w:pageBreakBefore w:val="0"/>
        <w:widowControl w:val="0"/>
        <w:kinsoku/>
        <w:wordWrap/>
        <w:overflowPunct/>
        <w:topLinePunct w:val="0"/>
        <w:autoSpaceDE/>
        <w:autoSpaceDN/>
        <w:bidi w:val="0"/>
        <w:adjustRightInd/>
        <w:snapToGrid w:val="0"/>
        <w:spacing w:line="360" w:lineRule="auto"/>
        <w:ind w:firstLine="840" w:firstLineChars="3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i/>
          <w:iCs/>
          <w:color w:val="auto"/>
          <w:sz w:val="28"/>
          <w:highlight w:val="none"/>
          <w:lang w:val="en-US" w:eastAsia="zh-CN"/>
        </w:rPr>
        <w:t>R</w:t>
      </w:r>
      <w:r>
        <w:rPr>
          <w:rFonts w:hint="eastAsia" w:ascii="Times New Roman" w:hAnsi="Times New Roman"/>
          <w:b w:val="0"/>
          <w:bCs/>
          <w:color w:val="auto"/>
          <w:sz w:val="28"/>
          <w:highlight w:val="none"/>
          <w:vertAlign w:val="subscript"/>
          <w:lang w:val="en-US" w:eastAsia="zh-CN"/>
        </w:rPr>
        <w:t>m</w:t>
      </w:r>
      <w:r>
        <w:rPr>
          <w:rFonts w:hint="eastAsia" w:ascii="Times New Roman" w:hAnsi="Times New Roman"/>
          <w:b w:val="0"/>
          <w:bCs/>
          <w:color w:val="auto"/>
          <w:sz w:val="28"/>
          <w:highlight w:val="none"/>
          <w:lang w:val="en-US" w:eastAsia="zh-CN"/>
        </w:rPr>
        <w:t>——为各龄期基准胶砂的抗压强度（MPa）；</w:t>
      </w:r>
    </w:p>
    <w:p>
      <w:pPr>
        <w:keepNext w:val="0"/>
        <w:keepLines w:val="0"/>
        <w:pageBreakBefore w:val="0"/>
        <w:widowControl w:val="0"/>
        <w:kinsoku/>
        <w:wordWrap/>
        <w:overflowPunct/>
        <w:topLinePunct w:val="0"/>
        <w:autoSpaceDE/>
        <w:autoSpaceDN/>
        <w:bidi w:val="0"/>
        <w:adjustRightInd/>
        <w:snapToGrid w:val="0"/>
        <w:spacing w:line="360" w:lineRule="auto"/>
        <w:ind w:firstLine="840" w:firstLineChars="3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i/>
          <w:iCs/>
          <w:color w:val="auto"/>
          <w:sz w:val="28"/>
          <w:highlight w:val="none"/>
          <w:lang w:val="en-US" w:eastAsia="zh-CN"/>
        </w:rPr>
        <w:t>R</w:t>
      </w:r>
      <w:r>
        <w:rPr>
          <w:rFonts w:hint="eastAsia" w:ascii="Times New Roman" w:hAnsi="Times New Roman"/>
          <w:b w:val="0"/>
          <w:bCs/>
          <w:color w:val="auto"/>
          <w:sz w:val="28"/>
          <w:highlight w:val="none"/>
          <w:lang w:val="en-US" w:eastAsia="zh-CN"/>
        </w:rPr>
        <w:t>——为各龄期受检胶砂的抗压强度（MPa）。</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b w:val="0"/>
          <w:bCs/>
          <w:color w:val="auto"/>
          <w:sz w:val="28"/>
          <w:highlight w:val="none"/>
          <w:lang w:val="en-US" w:eastAsia="zh-CN"/>
        </w:rPr>
        <w:br w:type="page"/>
      </w:r>
      <w:bookmarkStart w:id="13" w:name="_Toc285009454"/>
      <w:r>
        <w:rPr>
          <w:rFonts w:hint="eastAsia" w:ascii="Times New Roman" w:hAnsi="Times New Roman" w:eastAsia="宋体" w:cs="Times New Roman"/>
          <w:b/>
          <w:color w:val="auto"/>
          <w:sz w:val="32"/>
          <w:szCs w:val="28"/>
          <w:highlight w:val="none"/>
          <w:lang w:val="en-US" w:eastAsia="zh-CN"/>
        </w:rPr>
        <w:t>附录C  水工掺合料颗粒级配测定方法</w:t>
      </w:r>
      <w:bookmarkEnd w:id="13"/>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C.1  范围</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本附录规定了水工掺合料粉体颗粒级配测定方法。</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C.2  方法原理</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当一束平行激光与颗粒接触时，会产生衍射现象，衍射光线的角度和强弱随试样颗粒大小而不同，故可以不同的衍射光圈代表一定大小的颗粒。激光粒度分析仪利用检测器来收集信息，计算出颗粒群的粒度分布情况。</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C.3  制样</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b/>
      </w:r>
      <w:r>
        <w:rPr>
          <w:rFonts w:hint="eastAsia" w:ascii="Times New Roman" w:hAnsi="Times New Roman"/>
          <w:b w:val="0"/>
          <w:bCs/>
          <w:color w:val="auto"/>
          <w:sz w:val="28"/>
          <w:highlight w:val="none"/>
          <w:lang w:val="en-US" w:eastAsia="zh-CN"/>
        </w:rPr>
        <w:t xml:space="preserve"> 称取水工掺合料样品约0.5g，加入无水乙醇35ml左右，搅拌后放入超声波清洗槽中进行分散。</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C.4  粒度测定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b/>
      </w:r>
      <w:r>
        <w:rPr>
          <w:rFonts w:hint="eastAsia" w:ascii="Times New Roman" w:hAnsi="Times New Roman"/>
          <w:b w:val="0"/>
          <w:bCs/>
          <w:color w:val="auto"/>
          <w:sz w:val="28"/>
          <w:highlight w:val="none"/>
          <w:lang w:val="en-US" w:eastAsia="zh-CN"/>
        </w:rPr>
        <w:t xml:space="preserve"> 利用LS230激光粒度分析仪进行试验样品粒度分布的测定。</w:t>
      </w:r>
    </w:p>
    <w:p>
      <w:pPr>
        <w:snapToGrid w:val="0"/>
        <w:spacing w:before="312" w:beforeLines="100" w:after="156" w:afterLines="50" w:line="360" w:lineRule="auto"/>
        <w:jc w:val="center"/>
        <w:outlineLvl w:val="1"/>
        <w:rPr>
          <w:rFonts w:hint="eastAsia"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C.5  粒径的计算</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ab/>
      </w:r>
      <w:r>
        <w:rPr>
          <w:rFonts w:hint="eastAsia" w:ascii="Times New Roman" w:hAnsi="Times New Roman"/>
          <w:b w:val="0"/>
          <w:bCs/>
          <w:color w:val="auto"/>
          <w:sz w:val="28"/>
          <w:highlight w:val="none"/>
          <w:lang w:val="en-US" w:eastAsia="zh-CN"/>
        </w:rPr>
        <w:t xml:space="preserve"> LS230激光粒度分析仪按反对数计算各颗粒粒径，并以正态曲线表示不同粒径颗粒的分布及累计情况。粒径按式（C.5）计算，结果取三位小数。</w:t>
      </w:r>
    </w:p>
    <w:p>
      <w:pPr>
        <w:keepNext w:val="0"/>
        <w:keepLines w:val="0"/>
        <w:pageBreakBefore w:val="0"/>
        <w:widowControl w:val="0"/>
        <w:kinsoku/>
        <w:wordWrap/>
        <w:overflowPunct/>
        <w:topLinePunct w:val="0"/>
        <w:autoSpaceDE/>
        <w:autoSpaceDN/>
        <w:bidi w:val="0"/>
        <w:adjustRightInd/>
        <w:snapToGrid w:val="0"/>
        <w:spacing w:line="360" w:lineRule="auto"/>
        <w:ind w:firstLine="2240" w:firstLineChars="8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position w:val="-24"/>
          <w:sz w:val="28"/>
          <w:highlight w:val="none"/>
          <w:lang w:val="en-US" w:eastAsia="zh-CN"/>
        </w:rPr>
        <w:object>
          <v:shape id="_x0000_i1028" o:spt="75" type="#_x0000_t75" style="height:34pt;width:161.1pt;" o:ole="t" filled="f" o:preferrelative="t" stroked="f" coordsize="21600,21600">
            <v:path/>
            <v:fill on="f" focussize="0,0"/>
            <v:stroke on="f"/>
            <v:imagedata r:id="rId23" o:title=""/>
            <o:lock v:ext="edit" aspectratio="t"/>
            <w10:wrap type="none"/>
            <w10:anchorlock/>
          </v:shape>
          <o:OLEObject Type="Embed" ProgID="Equation.3" ShapeID="_x0000_i1028" DrawAspect="Content" ObjectID="_1468075728" r:id="rId22">
            <o:LockedField>false</o:LockedField>
          </o:OLEObject>
        </w:object>
      </w:r>
      <w:r>
        <w:rPr>
          <w:rFonts w:hint="eastAsia" w:ascii="Times New Roman" w:hAnsi="Times New Roman"/>
          <w:b w:val="0"/>
          <w:bCs/>
          <w:color w:val="auto"/>
          <w:sz w:val="28"/>
          <w:highlight w:val="none"/>
          <w:lang w:val="en-US" w:eastAsia="zh-CN"/>
        </w:rPr>
        <w:t xml:space="preserve">               （C.5）</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式中：</w:t>
      </w:r>
      <w:r>
        <w:rPr>
          <w:rFonts w:hint="eastAsia" w:ascii="Times New Roman" w:hAnsi="Times New Roman"/>
          <w:b w:val="0"/>
          <w:bCs/>
          <w:i/>
          <w:iCs/>
          <w:color w:val="auto"/>
          <w:sz w:val="28"/>
          <w:highlight w:val="none"/>
          <w:lang w:val="en-US" w:eastAsia="zh-CN"/>
        </w:rPr>
        <w:t>d</w:t>
      </w:r>
      <w:r>
        <w:rPr>
          <w:rFonts w:hint="eastAsia" w:ascii="Times New Roman" w:hAnsi="Times New Roman"/>
          <w:b w:val="0"/>
          <w:bCs/>
          <w:color w:val="auto"/>
          <w:sz w:val="28"/>
          <w:highlight w:val="none"/>
          <w:vertAlign w:val="subscript"/>
          <w:lang w:val="en-US" w:eastAsia="zh-CN"/>
        </w:rPr>
        <w:t>lc</w:t>
      </w:r>
      <w:r>
        <w:rPr>
          <w:rFonts w:hint="eastAsia" w:ascii="Times New Roman" w:hAnsi="Times New Roman"/>
          <w:b w:val="0"/>
          <w:bCs/>
          <w:color w:val="auto"/>
          <w:sz w:val="28"/>
          <w:highlight w:val="none"/>
          <w:lang w:val="en-US" w:eastAsia="zh-CN"/>
        </w:rPr>
        <w:t>——为颗粒粒径（μm）；</w:t>
      </w:r>
    </w:p>
    <w:p>
      <w:pPr>
        <w:keepNext w:val="0"/>
        <w:keepLines w:val="0"/>
        <w:pageBreakBefore w:val="0"/>
        <w:widowControl w:val="0"/>
        <w:kinsoku/>
        <w:wordWrap/>
        <w:overflowPunct/>
        <w:topLinePunct w:val="0"/>
        <w:autoSpaceDE/>
        <w:autoSpaceDN/>
        <w:bidi w:val="0"/>
        <w:adjustRightInd/>
        <w:snapToGrid w:val="0"/>
        <w:spacing w:line="360" w:lineRule="auto"/>
        <w:ind w:firstLine="840" w:firstLineChars="3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log</w:t>
      </w:r>
      <w:r>
        <w:rPr>
          <w:rFonts w:hint="eastAsia" w:ascii="Times New Roman" w:hAnsi="Times New Roman"/>
          <w:b w:val="0"/>
          <w:bCs/>
          <w:color w:val="auto"/>
          <w:sz w:val="28"/>
          <w:highlight w:val="none"/>
          <w:vertAlign w:val="subscript"/>
          <w:lang w:val="en-US" w:eastAsia="zh-CN"/>
        </w:rPr>
        <w:t>lower edge</w:t>
      </w:r>
      <w:r>
        <w:rPr>
          <w:rFonts w:hint="eastAsia" w:ascii="Times New Roman" w:hAnsi="Times New Roman"/>
          <w:b w:val="0"/>
          <w:bCs/>
          <w:color w:val="auto"/>
          <w:sz w:val="28"/>
          <w:highlight w:val="none"/>
          <w:lang w:val="en-US" w:eastAsia="zh-CN"/>
        </w:rPr>
        <w:t>——为颗粒粒径最小值；</w:t>
      </w:r>
    </w:p>
    <w:p>
      <w:pPr>
        <w:keepNext w:val="0"/>
        <w:keepLines w:val="0"/>
        <w:pageBreakBefore w:val="0"/>
        <w:widowControl w:val="0"/>
        <w:kinsoku/>
        <w:wordWrap/>
        <w:overflowPunct/>
        <w:topLinePunct w:val="0"/>
        <w:autoSpaceDE/>
        <w:autoSpaceDN/>
        <w:bidi w:val="0"/>
        <w:adjustRightInd/>
        <w:snapToGrid w:val="0"/>
        <w:spacing w:line="360" w:lineRule="auto"/>
        <w:ind w:firstLine="840" w:firstLineChars="3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log</w:t>
      </w:r>
      <w:r>
        <w:rPr>
          <w:rFonts w:hint="eastAsia" w:ascii="Times New Roman" w:hAnsi="Times New Roman"/>
          <w:b w:val="0"/>
          <w:bCs/>
          <w:color w:val="auto"/>
          <w:sz w:val="28"/>
          <w:highlight w:val="none"/>
          <w:vertAlign w:val="subscript"/>
          <w:lang w:val="en-US" w:eastAsia="zh-CN"/>
        </w:rPr>
        <w:t>upper edge</w:t>
      </w:r>
      <w:r>
        <w:rPr>
          <w:rFonts w:hint="eastAsia" w:ascii="Times New Roman" w:hAnsi="Times New Roman"/>
          <w:b w:val="0"/>
          <w:bCs/>
          <w:color w:val="auto"/>
          <w:sz w:val="28"/>
          <w:highlight w:val="none"/>
          <w:lang w:val="en-US" w:eastAsia="zh-CN"/>
        </w:rPr>
        <w:t>——为颗粒粒径最大值。</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sectPr>
          <w:footerReference r:id="rId9" w:type="default"/>
          <w:pgSz w:w="11906" w:h="16838"/>
          <w:pgMar w:top="1440" w:right="1274" w:bottom="1276" w:left="1800" w:header="851" w:footer="667" w:gutter="0"/>
          <w:pgBorders>
            <w:top w:val="none" w:sz="0" w:space="0"/>
            <w:left w:val="none" w:sz="0" w:space="0"/>
            <w:bottom w:val="none" w:sz="0" w:space="0"/>
            <w:right w:val="none" w:sz="0" w:space="0"/>
          </w:pgBorders>
          <w:pgNumType w:fmt="decimal" w:start="1"/>
          <w:cols w:space="425" w:num="1"/>
          <w:docGrid w:type="lines" w:linePitch="312" w:charSpace="0"/>
        </w:sectPr>
      </w:pPr>
      <w:bookmarkStart w:id="14" w:name="_Toc285009455"/>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附录D  产品合格证</w:t>
      </w:r>
    </w:p>
    <w:p>
      <w:pPr>
        <w:rPr>
          <w:rFonts w:hint="eastAsia" w:ascii="Times New Roman" w:hAnsi="Times New Roman"/>
          <w:u w:val="single"/>
        </w:rPr>
      </w:pPr>
    </w:p>
    <w:p>
      <w:pPr>
        <w:rPr>
          <w:rFonts w:hint="eastAsia" w:ascii="Times New Roman" w:hAnsi="Times New Roman"/>
          <w:b/>
          <w:sz w:val="24"/>
        </w:rPr>
      </w:pPr>
      <w:r>
        <w:rPr>
          <w:rFonts w:hint="eastAsia" w:ascii="Times New Roman" w:hAnsi="Times New Roman"/>
          <w:b/>
          <w:sz w:val="24"/>
          <w:u w:val="single"/>
        </w:rPr>
        <w:t xml:space="preserve">                   </w:t>
      </w:r>
      <w:r>
        <w:rPr>
          <w:rFonts w:hint="eastAsia" w:ascii="Times New Roman" w:hAnsi="Times New Roman"/>
          <w:b/>
          <w:sz w:val="24"/>
          <w:lang w:val="en-US" w:eastAsia="zh-CN"/>
        </w:rPr>
        <w:t>水工</w:t>
      </w:r>
      <w:r>
        <w:rPr>
          <w:rFonts w:hint="eastAsia" w:ascii="Times New Roman" w:hAnsi="Times New Roman"/>
          <w:b/>
          <w:sz w:val="24"/>
        </w:rPr>
        <w:t xml:space="preserve">掺合料                         </w:t>
      </w:r>
      <w:r>
        <w:rPr>
          <w:rFonts w:hint="eastAsia" w:ascii="Times New Roman" w:hAnsi="Times New Roman"/>
          <w:b/>
          <w:sz w:val="24"/>
          <w:u w:val="single"/>
        </w:rPr>
        <w:t xml:space="preserve">                       </w:t>
      </w:r>
      <w:r>
        <w:rPr>
          <w:rFonts w:hint="eastAsia" w:ascii="Times New Roman" w:hAnsi="Times New Roman"/>
          <w:b/>
          <w:sz w:val="24"/>
          <w:lang w:val="en-US" w:eastAsia="zh-CN"/>
        </w:rPr>
        <w:t>水工</w:t>
      </w:r>
      <w:r>
        <w:rPr>
          <w:rFonts w:hint="eastAsia" w:ascii="Times New Roman" w:hAnsi="Times New Roman"/>
          <w:b/>
          <w:sz w:val="24"/>
        </w:rPr>
        <w:t>掺合料出厂试验报告</w:t>
      </w:r>
    </w:p>
    <w:p>
      <w:pPr>
        <w:ind w:firstLine="723" w:firstLineChars="300"/>
        <w:rPr>
          <w:rFonts w:hint="eastAsia" w:ascii="Times New Roman" w:hAnsi="Times New Roman"/>
          <w:b/>
        </w:rPr>
      </w:pPr>
      <w:r>
        <w:rPr>
          <w:rFonts w:hint="eastAsia" w:ascii="Times New Roman" w:hAnsi="Times New Roman"/>
          <w:b/>
          <w:sz w:val="24"/>
        </w:rPr>
        <w:t xml:space="preserve">28天活性指数补报单 </w:t>
      </w:r>
      <w:r>
        <w:rPr>
          <w:rFonts w:hint="eastAsia" w:ascii="Times New Roman" w:hAnsi="Times New Roman"/>
          <w:sz w:val="24"/>
        </w:rPr>
        <w:t xml:space="preserve"> </w:t>
      </w:r>
      <w:r>
        <w:rPr>
          <w:rFonts w:hint="eastAsia" w:ascii="Times New Roman" w:hAnsi="Times New Roman"/>
        </w:rPr>
        <w:t xml:space="preserve">                                                                                       </w:t>
      </w:r>
      <w:r>
        <w:rPr>
          <w:rFonts w:hint="eastAsia" w:ascii="Times New Roman" w:hAnsi="Times New Roman"/>
          <w:b/>
        </w:rPr>
        <w:t xml:space="preserve"> NO.</w:t>
      </w:r>
    </w:p>
    <w:p>
      <w:pPr>
        <w:ind w:firstLine="632" w:firstLineChars="300"/>
        <w:rPr>
          <w:rFonts w:hint="eastAsia" w:ascii="Times New Roman" w:hAnsi="Times New Roman"/>
          <w:b/>
        </w:rPr>
      </w:pPr>
      <w:r>
        <w:rPr>
          <w:rFonts w:hint="eastAsia" w:ascii="Times New Roman" w:hAnsi="Times New Roman"/>
          <w:b/>
        </w:rPr>
        <w:t xml:space="preserve">            NO.                       用户单位：                                                      填报日期：</w:t>
      </w:r>
    </w:p>
    <w:tbl>
      <w:tblPr>
        <w:tblStyle w:val="20"/>
        <w:tblW w:w="14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890"/>
        <w:gridCol w:w="1228"/>
        <w:gridCol w:w="981"/>
        <w:gridCol w:w="1900"/>
        <w:gridCol w:w="1294"/>
        <w:gridCol w:w="647"/>
        <w:gridCol w:w="647"/>
        <w:gridCol w:w="1294"/>
        <w:gridCol w:w="1294"/>
        <w:gridCol w:w="1294"/>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vMerge w:val="restart"/>
            <w:noWrap w:val="0"/>
            <w:vAlign w:val="center"/>
          </w:tcPr>
          <w:p>
            <w:pPr>
              <w:jc w:val="center"/>
              <w:rPr>
                <w:rFonts w:hint="eastAsia" w:ascii="Times New Roman" w:hAnsi="Times New Roman"/>
                <w:b w:val="0"/>
                <w:bCs/>
              </w:rPr>
            </w:pPr>
            <w:r>
              <w:rPr>
                <w:rFonts w:hint="eastAsia" w:ascii="Times New Roman" w:hAnsi="Times New Roman"/>
                <w:b w:val="0"/>
                <w:bCs/>
              </w:rPr>
              <w:t>用户单位</w:t>
            </w:r>
          </w:p>
        </w:tc>
        <w:tc>
          <w:tcPr>
            <w:tcW w:w="2118" w:type="dxa"/>
            <w:gridSpan w:val="2"/>
            <w:vMerge w:val="restart"/>
            <w:noWrap w:val="0"/>
            <w:vAlign w:val="center"/>
          </w:tcPr>
          <w:p>
            <w:pPr>
              <w:jc w:val="center"/>
              <w:rPr>
                <w:rFonts w:hint="eastAsia" w:ascii="Times New Roman" w:hAnsi="Times New Roman"/>
                <w:b w:val="0"/>
                <w:bCs/>
              </w:rPr>
            </w:pPr>
          </w:p>
        </w:tc>
        <w:tc>
          <w:tcPr>
            <w:tcW w:w="981" w:type="dxa"/>
            <w:tcBorders>
              <w:top w:val="nil"/>
              <w:bottom w:val="nil"/>
            </w:tcBorders>
            <w:noWrap w:val="0"/>
            <w:vAlign w:val="center"/>
          </w:tcPr>
          <w:p>
            <w:pPr>
              <w:jc w:val="center"/>
              <w:rPr>
                <w:rFonts w:hint="eastAsia" w:ascii="Times New Roman" w:hAnsi="Times New Roman"/>
                <w:b/>
              </w:rPr>
            </w:pPr>
          </w:p>
        </w:tc>
        <w:tc>
          <w:tcPr>
            <w:tcW w:w="1900" w:type="dxa"/>
            <w:noWrap w:val="0"/>
            <w:vAlign w:val="center"/>
          </w:tcPr>
          <w:p>
            <w:pPr>
              <w:jc w:val="center"/>
              <w:rPr>
                <w:rFonts w:hint="eastAsia" w:ascii="Times New Roman" w:hAnsi="Times New Roman"/>
                <w:b w:val="0"/>
                <w:bCs/>
              </w:rPr>
            </w:pPr>
            <w:r>
              <w:rPr>
                <w:rFonts w:hint="eastAsia" w:ascii="Times New Roman" w:hAnsi="Times New Roman"/>
                <w:b w:val="0"/>
                <w:bCs/>
              </w:rPr>
              <w:t>试验编号</w:t>
            </w:r>
          </w:p>
        </w:tc>
        <w:tc>
          <w:tcPr>
            <w:tcW w:w="1941" w:type="dxa"/>
            <w:gridSpan w:val="2"/>
            <w:noWrap w:val="0"/>
            <w:vAlign w:val="center"/>
          </w:tcPr>
          <w:p>
            <w:pPr>
              <w:jc w:val="center"/>
              <w:rPr>
                <w:rFonts w:hint="eastAsia" w:ascii="Times New Roman" w:hAnsi="Times New Roman"/>
                <w:b w:val="0"/>
                <w:bCs/>
              </w:rPr>
            </w:pPr>
            <w:r>
              <w:rPr>
                <w:rFonts w:hint="eastAsia" w:ascii="Times New Roman" w:hAnsi="Times New Roman"/>
                <w:b w:val="0"/>
                <w:bCs/>
                <w:lang w:val="en-US" w:eastAsia="zh-CN"/>
              </w:rPr>
              <w:t>水工</w:t>
            </w:r>
            <w:r>
              <w:rPr>
                <w:rFonts w:hint="eastAsia" w:ascii="Times New Roman" w:hAnsi="Times New Roman"/>
                <w:b w:val="0"/>
                <w:bCs/>
              </w:rPr>
              <w:t>掺合料型号</w:t>
            </w:r>
          </w:p>
        </w:tc>
        <w:tc>
          <w:tcPr>
            <w:tcW w:w="1941" w:type="dxa"/>
            <w:gridSpan w:val="2"/>
            <w:noWrap w:val="0"/>
            <w:vAlign w:val="center"/>
          </w:tcPr>
          <w:p>
            <w:pPr>
              <w:jc w:val="center"/>
              <w:rPr>
                <w:rFonts w:hint="eastAsia" w:ascii="Times New Roman" w:hAnsi="Times New Roman"/>
                <w:b w:val="0"/>
                <w:bCs/>
              </w:rPr>
            </w:pPr>
            <w:r>
              <w:rPr>
                <w:rFonts w:hint="eastAsia" w:ascii="Times New Roman" w:hAnsi="Times New Roman"/>
                <w:b w:val="0"/>
                <w:bCs/>
                <w:lang w:val="en-US" w:eastAsia="zh-CN"/>
              </w:rPr>
              <w:t>水工</w:t>
            </w:r>
            <w:r>
              <w:rPr>
                <w:rFonts w:hint="eastAsia" w:ascii="Times New Roman" w:hAnsi="Times New Roman"/>
                <w:b w:val="0"/>
                <w:bCs/>
              </w:rPr>
              <w:t>掺合料数量</w:t>
            </w:r>
          </w:p>
        </w:tc>
        <w:tc>
          <w:tcPr>
            <w:tcW w:w="3884" w:type="dxa"/>
            <w:gridSpan w:val="3"/>
            <w:noWrap w:val="0"/>
            <w:vAlign w:val="center"/>
          </w:tcPr>
          <w:p>
            <w:pPr>
              <w:jc w:val="center"/>
              <w:rPr>
                <w:rFonts w:hint="eastAsia" w:ascii="Times New Roman" w:hAnsi="Times New Roman"/>
                <w:b w:val="0"/>
                <w:bCs/>
              </w:rPr>
            </w:pPr>
            <w:r>
              <w:rPr>
                <w:rFonts w:hint="eastAsia" w:ascii="Times New Roman" w:hAnsi="Times New Roman"/>
                <w:b w:val="0"/>
                <w:bCs/>
                <w:lang w:val="en-US" w:eastAsia="zh-CN"/>
              </w:rPr>
              <w:t>水工</w:t>
            </w:r>
            <w:r>
              <w:rPr>
                <w:rFonts w:hint="eastAsia" w:ascii="Times New Roman" w:hAnsi="Times New Roman"/>
                <w:b w:val="0"/>
                <w:bCs/>
              </w:rPr>
              <w:t>掺合料发货日期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vMerge w:val="continue"/>
            <w:noWrap w:val="0"/>
            <w:vAlign w:val="center"/>
          </w:tcPr>
          <w:p>
            <w:pPr>
              <w:jc w:val="center"/>
              <w:rPr>
                <w:rFonts w:hint="eastAsia" w:ascii="Times New Roman" w:hAnsi="Times New Roman"/>
                <w:b w:val="0"/>
                <w:bCs/>
              </w:rPr>
            </w:pPr>
          </w:p>
        </w:tc>
        <w:tc>
          <w:tcPr>
            <w:tcW w:w="2118" w:type="dxa"/>
            <w:gridSpan w:val="2"/>
            <w:vMerge w:val="continue"/>
            <w:noWrap w:val="0"/>
            <w:vAlign w:val="center"/>
          </w:tcPr>
          <w:p>
            <w:pPr>
              <w:jc w:val="center"/>
              <w:rPr>
                <w:rFonts w:hint="eastAsia" w:ascii="Times New Roman" w:hAnsi="Times New Roman"/>
                <w:b w:val="0"/>
                <w:bCs/>
              </w:rPr>
            </w:pPr>
          </w:p>
        </w:tc>
        <w:tc>
          <w:tcPr>
            <w:tcW w:w="981" w:type="dxa"/>
            <w:tcBorders>
              <w:top w:val="nil"/>
              <w:bottom w:val="nil"/>
            </w:tcBorders>
            <w:noWrap w:val="0"/>
            <w:vAlign w:val="center"/>
          </w:tcPr>
          <w:p>
            <w:pPr>
              <w:jc w:val="center"/>
              <w:rPr>
                <w:rFonts w:hint="eastAsia" w:ascii="Times New Roman" w:hAnsi="Times New Roman"/>
                <w:b/>
              </w:rPr>
            </w:pPr>
          </w:p>
        </w:tc>
        <w:tc>
          <w:tcPr>
            <w:tcW w:w="1900" w:type="dxa"/>
            <w:noWrap w:val="0"/>
            <w:vAlign w:val="center"/>
          </w:tcPr>
          <w:p>
            <w:pPr>
              <w:jc w:val="center"/>
              <w:rPr>
                <w:rFonts w:hint="eastAsia" w:ascii="Times New Roman" w:hAnsi="Times New Roman"/>
                <w:b w:val="0"/>
                <w:bCs/>
              </w:rPr>
            </w:pPr>
          </w:p>
        </w:tc>
        <w:tc>
          <w:tcPr>
            <w:tcW w:w="1941" w:type="dxa"/>
            <w:gridSpan w:val="2"/>
            <w:noWrap w:val="0"/>
            <w:vAlign w:val="center"/>
          </w:tcPr>
          <w:p>
            <w:pPr>
              <w:jc w:val="center"/>
              <w:rPr>
                <w:rFonts w:hint="eastAsia" w:ascii="Times New Roman" w:hAnsi="Times New Roman"/>
                <w:b w:val="0"/>
                <w:bCs/>
              </w:rPr>
            </w:pPr>
          </w:p>
        </w:tc>
        <w:tc>
          <w:tcPr>
            <w:tcW w:w="1941" w:type="dxa"/>
            <w:gridSpan w:val="2"/>
            <w:noWrap w:val="0"/>
            <w:vAlign w:val="center"/>
          </w:tcPr>
          <w:p>
            <w:pPr>
              <w:jc w:val="center"/>
              <w:rPr>
                <w:rFonts w:hint="eastAsia" w:ascii="Times New Roman" w:hAnsi="Times New Roman"/>
                <w:b w:val="0"/>
                <w:bCs/>
              </w:rPr>
            </w:pPr>
          </w:p>
        </w:tc>
        <w:tc>
          <w:tcPr>
            <w:tcW w:w="3884" w:type="dxa"/>
            <w:gridSpan w:val="3"/>
            <w:noWrap w:val="0"/>
            <w:vAlign w:val="center"/>
          </w:tcPr>
          <w:p>
            <w:pPr>
              <w:jc w:val="center"/>
              <w:rPr>
                <w:rFonts w:hint="eastAsia" w:ascii="Times New Roman" w:hAnsi="Times New Roman"/>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rPr>
              <w:t>填报日期</w:t>
            </w:r>
          </w:p>
        </w:tc>
        <w:tc>
          <w:tcPr>
            <w:tcW w:w="2118" w:type="dxa"/>
            <w:gridSpan w:val="2"/>
            <w:noWrap w:val="0"/>
            <w:vAlign w:val="center"/>
          </w:tcPr>
          <w:p>
            <w:pPr>
              <w:jc w:val="center"/>
              <w:rPr>
                <w:rFonts w:hint="eastAsia" w:ascii="Times New Roman" w:hAnsi="Times New Roman"/>
                <w:b w:val="0"/>
                <w:bCs/>
              </w:rPr>
            </w:pPr>
          </w:p>
        </w:tc>
        <w:tc>
          <w:tcPr>
            <w:tcW w:w="981" w:type="dxa"/>
            <w:tcBorders>
              <w:top w:val="nil"/>
              <w:bottom w:val="nil"/>
            </w:tcBorders>
            <w:noWrap w:val="0"/>
            <w:vAlign w:val="center"/>
          </w:tcPr>
          <w:p>
            <w:pPr>
              <w:jc w:val="center"/>
              <w:rPr>
                <w:rFonts w:hint="eastAsia" w:ascii="Times New Roman" w:hAnsi="Times New Roman"/>
                <w:b/>
              </w:rPr>
            </w:pPr>
          </w:p>
        </w:tc>
        <w:tc>
          <w:tcPr>
            <w:tcW w:w="5782" w:type="dxa"/>
            <w:gridSpan w:val="5"/>
            <w:noWrap w:val="0"/>
            <w:vAlign w:val="center"/>
          </w:tcPr>
          <w:p>
            <w:pPr>
              <w:jc w:val="center"/>
              <w:rPr>
                <w:rFonts w:hint="eastAsia" w:ascii="Times New Roman" w:hAnsi="Times New Roman"/>
                <w:b w:val="0"/>
                <w:bCs/>
              </w:rPr>
            </w:pPr>
            <w:r>
              <w:rPr>
                <w:rFonts w:hint="eastAsia" w:ascii="Times New Roman" w:hAnsi="Times New Roman"/>
                <w:b w:val="0"/>
                <w:bCs/>
              </w:rPr>
              <w:t>物理指标</w:t>
            </w:r>
          </w:p>
        </w:tc>
        <w:tc>
          <w:tcPr>
            <w:tcW w:w="3884" w:type="dxa"/>
            <w:gridSpan w:val="3"/>
            <w:noWrap w:val="0"/>
            <w:vAlign w:val="center"/>
          </w:tcPr>
          <w:p>
            <w:pPr>
              <w:jc w:val="center"/>
              <w:rPr>
                <w:rFonts w:hint="eastAsia" w:ascii="Times New Roman" w:hAnsi="Times New Roman"/>
                <w:b w:val="0"/>
                <w:bCs/>
              </w:rPr>
            </w:pPr>
            <w:r>
              <w:rPr>
                <w:rFonts w:hint="eastAsia" w:ascii="Times New Roman" w:hAnsi="Times New Roman"/>
                <w:b w:val="0"/>
                <w:bCs/>
              </w:rPr>
              <w:t>化学指标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rPr>
              <w:t>试验编号</w:t>
            </w:r>
          </w:p>
        </w:tc>
        <w:tc>
          <w:tcPr>
            <w:tcW w:w="2118" w:type="dxa"/>
            <w:gridSpan w:val="2"/>
            <w:noWrap w:val="0"/>
            <w:vAlign w:val="center"/>
          </w:tcPr>
          <w:p>
            <w:pPr>
              <w:jc w:val="center"/>
              <w:rPr>
                <w:rFonts w:hint="eastAsia" w:ascii="Times New Roman" w:hAnsi="Times New Roman"/>
                <w:b w:val="0"/>
                <w:bCs/>
              </w:rPr>
            </w:pPr>
          </w:p>
        </w:tc>
        <w:tc>
          <w:tcPr>
            <w:tcW w:w="981" w:type="dxa"/>
            <w:tcBorders>
              <w:top w:val="nil"/>
              <w:bottom w:val="nil"/>
            </w:tcBorders>
            <w:noWrap w:val="0"/>
            <w:vAlign w:val="center"/>
          </w:tcPr>
          <w:p>
            <w:pPr>
              <w:jc w:val="center"/>
              <w:rPr>
                <w:rFonts w:hint="eastAsia" w:ascii="Times New Roman" w:hAnsi="Times New Roman"/>
                <w:b/>
              </w:rPr>
            </w:pPr>
          </w:p>
        </w:tc>
        <w:tc>
          <w:tcPr>
            <w:tcW w:w="1900" w:type="dxa"/>
            <w:noWrap w:val="0"/>
            <w:vAlign w:val="center"/>
          </w:tcPr>
          <w:p>
            <w:pPr>
              <w:jc w:val="center"/>
              <w:rPr>
                <w:rFonts w:hint="eastAsia" w:ascii="Times New Roman" w:hAnsi="Times New Roman"/>
                <w:b w:val="0"/>
                <w:bCs/>
              </w:rPr>
            </w:pPr>
            <w:r>
              <w:rPr>
                <w:rFonts w:hint="eastAsia" w:ascii="Times New Roman" w:hAnsi="Times New Roman"/>
                <w:b w:val="0"/>
                <w:bCs/>
              </w:rPr>
              <w:t>项目</w:t>
            </w:r>
          </w:p>
        </w:tc>
        <w:tc>
          <w:tcPr>
            <w:tcW w:w="1941" w:type="dxa"/>
            <w:gridSpan w:val="2"/>
            <w:noWrap w:val="0"/>
            <w:vAlign w:val="center"/>
          </w:tcPr>
          <w:p>
            <w:pPr>
              <w:jc w:val="center"/>
              <w:rPr>
                <w:rFonts w:hint="eastAsia" w:ascii="Times New Roman" w:hAnsi="Times New Roman"/>
                <w:b w:val="0"/>
                <w:bCs/>
              </w:rPr>
            </w:pPr>
            <w:r>
              <w:rPr>
                <w:rFonts w:hint="eastAsia" w:ascii="Times New Roman" w:hAnsi="Times New Roman"/>
                <w:b w:val="0"/>
                <w:bCs/>
              </w:rPr>
              <w:t>指标</w:t>
            </w:r>
          </w:p>
        </w:tc>
        <w:tc>
          <w:tcPr>
            <w:tcW w:w="1941" w:type="dxa"/>
            <w:gridSpan w:val="2"/>
            <w:noWrap w:val="0"/>
            <w:vAlign w:val="center"/>
          </w:tcPr>
          <w:p>
            <w:pPr>
              <w:jc w:val="center"/>
              <w:rPr>
                <w:rFonts w:hint="eastAsia" w:ascii="Times New Roman" w:hAnsi="Times New Roman"/>
                <w:b w:val="0"/>
                <w:bCs/>
              </w:rPr>
            </w:pPr>
            <w:r>
              <w:rPr>
                <w:rFonts w:hint="eastAsia" w:ascii="Times New Roman" w:hAnsi="Times New Roman"/>
                <w:b w:val="0"/>
                <w:bCs/>
              </w:rPr>
              <w:t>实测</w:t>
            </w:r>
          </w:p>
        </w:tc>
        <w:tc>
          <w:tcPr>
            <w:tcW w:w="1294" w:type="dxa"/>
            <w:noWrap w:val="0"/>
            <w:vAlign w:val="center"/>
          </w:tcPr>
          <w:p>
            <w:pPr>
              <w:jc w:val="center"/>
              <w:rPr>
                <w:rFonts w:hint="eastAsia" w:ascii="Times New Roman" w:hAnsi="Times New Roman"/>
                <w:b w:val="0"/>
                <w:bCs/>
              </w:rPr>
            </w:pPr>
            <w:r>
              <w:rPr>
                <w:rFonts w:hint="eastAsia" w:ascii="Times New Roman" w:hAnsi="Times New Roman"/>
                <w:b w:val="0"/>
                <w:bCs/>
              </w:rPr>
              <w:t>项目</w:t>
            </w:r>
          </w:p>
        </w:tc>
        <w:tc>
          <w:tcPr>
            <w:tcW w:w="1294" w:type="dxa"/>
            <w:noWrap w:val="0"/>
            <w:vAlign w:val="center"/>
          </w:tcPr>
          <w:p>
            <w:pPr>
              <w:jc w:val="center"/>
              <w:rPr>
                <w:rFonts w:hint="eastAsia" w:ascii="Times New Roman" w:hAnsi="Times New Roman"/>
                <w:b w:val="0"/>
                <w:bCs/>
              </w:rPr>
            </w:pPr>
            <w:r>
              <w:rPr>
                <w:rFonts w:hint="eastAsia" w:ascii="Times New Roman" w:hAnsi="Times New Roman"/>
                <w:b w:val="0"/>
                <w:bCs/>
              </w:rPr>
              <w:t>指标</w:t>
            </w:r>
          </w:p>
        </w:tc>
        <w:tc>
          <w:tcPr>
            <w:tcW w:w="1296" w:type="dxa"/>
            <w:noWrap w:val="0"/>
            <w:vAlign w:val="center"/>
          </w:tcPr>
          <w:p>
            <w:pPr>
              <w:jc w:val="center"/>
              <w:rPr>
                <w:rFonts w:hint="eastAsia" w:ascii="Times New Roman" w:hAnsi="Times New Roman"/>
                <w:b w:val="0"/>
                <w:bCs/>
              </w:rPr>
            </w:pPr>
            <w:r>
              <w:rPr>
                <w:rFonts w:hint="eastAsia" w:ascii="Times New Roman" w:hAnsi="Times New Roman"/>
                <w:b w:val="0"/>
                <w:bCs/>
              </w:rPr>
              <w:t>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rPr>
              <w:t>掺合料数量</w:t>
            </w:r>
          </w:p>
        </w:tc>
        <w:tc>
          <w:tcPr>
            <w:tcW w:w="2118" w:type="dxa"/>
            <w:gridSpan w:val="2"/>
            <w:noWrap w:val="0"/>
            <w:vAlign w:val="center"/>
          </w:tcPr>
          <w:p>
            <w:pPr>
              <w:jc w:val="center"/>
              <w:rPr>
                <w:rFonts w:hint="eastAsia" w:ascii="Times New Roman" w:hAnsi="Times New Roman"/>
                <w:b w:val="0"/>
                <w:bCs/>
              </w:rPr>
            </w:pPr>
          </w:p>
        </w:tc>
        <w:tc>
          <w:tcPr>
            <w:tcW w:w="981" w:type="dxa"/>
            <w:tcBorders>
              <w:top w:val="nil"/>
              <w:bottom w:val="nil"/>
            </w:tcBorders>
            <w:noWrap w:val="0"/>
            <w:vAlign w:val="center"/>
          </w:tcPr>
          <w:p>
            <w:pPr>
              <w:jc w:val="center"/>
              <w:rPr>
                <w:rFonts w:hint="eastAsia" w:ascii="Times New Roman" w:hAnsi="Times New Roman"/>
                <w:b/>
              </w:rPr>
            </w:pPr>
          </w:p>
        </w:tc>
        <w:tc>
          <w:tcPr>
            <w:tcW w:w="1900" w:type="dxa"/>
            <w:noWrap w:val="0"/>
            <w:vAlign w:val="center"/>
          </w:tcPr>
          <w:p>
            <w:pPr>
              <w:jc w:val="center"/>
              <w:rPr>
                <w:rFonts w:hint="eastAsia" w:ascii="Times New Roman" w:hAnsi="Times New Roman"/>
                <w:b w:val="0"/>
                <w:bCs/>
              </w:rPr>
            </w:pPr>
            <w:r>
              <w:rPr>
                <w:rFonts w:hint="eastAsia" w:ascii="Times New Roman" w:hAnsi="Times New Roman"/>
                <w:b w:val="0"/>
                <w:bCs/>
              </w:rPr>
              <w:t>比表面积</w:t>
            </w:r>
            <w:r>
              <w:rPr>
                <w:rFonts w:hint="eastAsia" w:ascii="Times New Roman" w:hAnsi="Times New Roman"/>
                <w:b w:val="0"/>
                <w:bCs/>
                <w:lang w:eastAsia="zh-CN"/>
              </w:rPr>
              <w:t>（</w:t>
            </w:r>
            <w:r>
              <w:rPr>
                <w:rFonts w:hint="eastAsia" w:ascii="Times New Roman" w:hAnsi="Times New Roman"/>
                <w:b w:val="0"/>
                <w:bCs/>
              </w:rPr>
              <w:t>m</w:t>
            </w:r>
            <w:r>
              <w:rPr>
                <w:rFonts w:hint="eastAsia" w:ascii="Times New Roman" w:hAnsi="Times New Roman"/>
                <w:b w:val="0"/>
                <w:bCs/>
                <w:vertAlign w:val="superscript"/>
              </w:rPr>
              <w:t>2</w:t>
            </w:r>
            <w:r>
              <w:rPr>
                <w:rFonts w:hint="eastAsia" w:ascii="Times New Roman" w:hAnsi="Times New Roman"/>
                <w:b w:val="0"/>
                <w:bCs/>
              </w:rPr>
              <w:t>/kg</w:t>
            </w:r>
            <w:r>
              <w:rPr>
                <w:rFonts w:hint="eastAsia" w:ascii="Times New Roman" w:hAnsi="Times New Roman"/>
                <w:b w:val="0"/>
                <w:bCs/>
                <w:lang w:eastAsia="zh-CN"/>
              </w:rPr>
              <w:t>）</w:t>
            </w:r>
          </w:p>
        </w:tc>
        <w:tc>
          <w:tcPr>
            <w:tcW w:w="1941" w:type="dxa"/>
            <w:gridSpan w:val="2"/>
            <w:noWrap w:val="0"/>
            <w:vAlign w:val="center"/>
          </w:tcPr>
          <w:p>
            <w:pPr>
              <w:jc w:val="center"/>
              <w:rPr>
                <w:rFonts w:hint="eastAsia" w:ascii="Times New Roman" w:hAnsi="Times New Roman"/>
                <w:b w:val="0"/>
                <w:bCs/>
              </w:rPr>
            </w:pPr>
          </w:p>
        </w:tc>
        <w:tc>
          <w:tcPr>
            <w:tcW w:w="1941" w:type="dxa"/>
            <w:gridSpan w:val="2"/>
            <w:noWrap w:val="0"/>
            <w:vAlign w:val="center"/>
          </w:tcPr>
          <w:p>
            <w:pPr>
              <w:jc w:val="center"/>
              <w:rPr>
                <w:rFonts w:hint="eastAsia" w:ascii="Times New Roman" w:hAnsi="Times New Roman"/>
                <w:b w:val="0"/>
                <w:bCs/>
              </w:rPr>
            </w:pPr>
          </w:p>
        </w:tc>
        <w:tc>
          <w:tcPr>
            <w:tcW w:w="1294" w:type="dxa"/>
            <w:noWrap w:val="0"/>
            <w:vAlign w:val="center"/>
          </w:tcPr>
          <w:p>
            <w:pPr>
              <w:jc w:val="center"/>
              <w:rPr>
                <w:rFonts w:hint="eastAsia" w:ascii="Times New Roman" w:hAnsi="Times New Roman"/>
                <w:b w:val="0"/>
                <w:bCs/>
              </w:rPr>
            </w:pPr>
            <w:r>
              <w:rPr>
                <w:rFonts w:hint="eastAsia" w:ascii="Times New Roman" w:hAnsi="Times New Roman"/>
                <w:b w:val="0"/>
                <w:bCs/>
              </w:rPr>
              <w:t>含水率</w:t>
            </w:r>
            <w:r>
              <w:rPr>
                <w:rFonts w:hint="eastAsia" w:ascii="Times New Roman" w:hAnsi="Times New Roman"/>
                <w:b w:val="0"/>
                <w:bCs/>
                <w:lang w:eastAsia="zh-CN"/>
              </w:rPr>
              <w:t>（</w:t>
            </w:r>
            <w:r>
              <w:rPr>
                <w:rFonts w:hint="eastAsia" w:ascii="Times New Roman" w:hAnsi="Times New Roman"/>
                <w:b w:val="0"/>
                <w:bCs/>
                <w:lang w:val="en-US" w:eastAsia="zh-CN"/>
              </w:rPr>
              <w:t>%</w:t>
            </w:r>
            <w:r>
              <w:rPr>
                <w:rFonts w:hint="eastAsia" w:ascii="Times New Roman" w:hAnsi="Times New Roman"/>
                <w:b w:val="0"/>
                <w:bCs/>
                <w:lang w:eastAsia="zh-CN"/>
              </w:rPr>
              <w:t>）</w:t>
            </w:r>
          </w:p>
        </w:tc>
        <w:tc>
          <w:tcPr>
            <w:tcW w:w="1294" w:type="dxa"/>
            <w:noWrap w:val="0"/>
            <w:vAlign w:val="center"/>
          </w:tcPr>
          <w:p>
            <w:pPr>
              <w:jc w:val="center"/>
              <w:rPr>
                <w:rFonts w:hint="eastAsia" w:ascii="Times New Roman" w:hAnsi="Times New Roman"/>
                <w:b w:val="0"/>
                <w:bCs/>
              </w:rPr>
            </w:pPr>
          </w:p>
        </w:tc>
        <w:tc>
          <w:tcPr>
            <w:tcW w:w="1296" w:type="dxa"/>
            <w:noWrap w:val="0"/>
            <w:vAlign w:val="center"/>
          </w:tcPr>
          <w:p>
            <w:pPr>
              <w:jc w:val="center"/>
              <w:rPr>
                <w:rFonts w:hint="eastAsia" w:ascii="Times New Roman" w:hAnsi="Times New Roman"/>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rPr>
              <w:t>掺合料型号</w:t>
            </w:r>
          </w:p>
        </w:tc>
        <w:tc>
          <w:tcPr>
            <w:tcW w:w="2118" w:type="dxa"/>
            <w:gridSpan w:val="2"/>
            <w:noWrap w:val="0"/>
            <w:vAlign w:val="center"/>
          </w:tcPr>
          <w:p>
            <w:pPr>
              <w:jc w:val="center"/>
              <w:rPr>
                <w:rFonts w:hint="eastAsia" w:ascii="Times New Roman" w:hAnsi="Times New Roman"/>
                <w:b w:val="0"/>
                <w:bCs/>
              </w:rPr>
            </w:pPr>
          </w:p>
        </w:tc>
        <w:tc>
          <w:tcPr>
            <w:tcW w:w="981" w:type="dxa"/>
            <w:tcBorders>
              <w:top w:val="nil"/>
              <w:bottom w:val="nil"/>
            </w:tcBorders>
            <w:noWrap w:val="0"/>
            <w:vAlign w:val="center"/>
          </w:tcPr>
          <w:p>
            <w:pPr>
              <w:jc w:val="center"/>
              <w:rPr>
                <w:rFonts w:hint="eastAsia" w:ascii="Times New Roman" w:hAnsi="Times New Roman"/>
                <w:b/>
              </w:rPr>
            </w:pPr>
          </w:p>
        </w:tc>
        <w:tc>
          <w:tcPr>
            <w:tcW w:w="1900" w:type="dxa"/>
            <w:noWrap w:val="0"/>
            <w:vAlign w:val="center"/>
          </w:tcPr>
          <w:p>
            <w:pPr>
              <w:jc w:val="center"/>
              <w:rPr>
                <w:rFonts w:hint="eastAsia" w:ascii="Times New Roman" w:hAnsi="Times New Roman"/>
                <w:b w:val="0"/>
                <w:bCs/>
              </w:rPr>
            </w:pPr>
            <w:r>
              <w:rPr>
                <w:rFonts w:hint="eastAsia" w:ascii="Times New Roman" w:hAnsi="Times New Roman"/>
                <w:b w:val="0"/>
                <w:bCs/>
              </w:rPr>
              <w:t>流动度比%</w:t>
            </w:r>
          </w:p>
        </w:tc>
        <w:tc>
          <w:tcPr>
            <w:tcW w:w="1941" w:type="dxa"/>
            <w:gridSpan w:val="2"/>
            <w:noWrap w:val="0"/>
            <w:vAlign w:val="center"/>
          </w:tcPr>
          <w:p>
            <w:pPr>
              <w:jc w:val="center"/>
              <w:rPr>
                <w:rFonts w:hint="eastAsia" w:ascii="Times New Roman" w:hAnsi="Times New Roman"/>
                <w:b w:val="0"/>
                <w:bCs/>
              </w:rPr>
            </w:pPr>
          </w:p>
        </w:tc>
        <w:tc>
          <w:tcPr>
            <w:tcW w:w="1941" w:type="dxa"/>
            <w:gridSpan w:val="2"/>
            <w:noWrap w:val="0"/>
            <w:vAlign w:val="center"/>
          </w:tcPr>
          <w:p>
            <w:pPr>
              <w:jc w:val="center"/>
              <w:rPr>
                <w:rFonts w:hint="eastAsia" w:ascii="Times New Roman" w:hAnsi="Times New Roman"/>
                <w:b w:val="0"/>
                <w:bCs/>
              </w:rPr>
            </w:pPr>
          </w:p>
        </w:tc>
        <w:tc>
          <w:tcPr>
            <w:tcW w:w="1294" w:type="dxa"/>
            <w:noWrap w:val="0"/>
            <w:vAlign w:val="center"/>
          </w:tcPr>
          <w:p>
            <w:pPr>
              <w:jc w:val="center"/>
              <w:rPr>
                <w:rFonts w:hint="eastAsia" w:ascii="Times New Roman" w:hAnsi="Times New Roman"/>
                <w:b w:val="0"/>
                <w:bCs/>
              </w:rPr>
            </w:pPr>
            <w:r>
              <w:rPr>
                <w:rFonts w:hint="eastAsia" w:ascii="Times New Roman" w:hAnsi="Times New Roman"/>
                <w:b w:val="0"/>
                <w:bCs/>
              </w:rPr>
              <w:t>烧失量</w:t>
            </w:r>
            <w:r>
              <w:rPr>
                <w:rFonts w:hint="eastAsia" w:ascii="Times New Roman" w:hAnsi="Times New Roman"/>
                <w:b w:val="0"/>
                <w:bCs/>
                <w:lang w:eastAsia="zh-CN"/>
              </w:rPr>
              <w:t>（</w:t>
            </w:r>
            <w:r>
              <w:rPr>
                <w:rFonts w:hint="eastAsia" w:ascii="Times New Roman" w:hAnsi="Times New Roman"/>
                <w:b w:val="0"/>
                <w:bCs/>
                <w:lang w:val="en-US" w:eastAsia="zh-CN"/>
              </w:rPr>
              <w:t>%</w:t>
            </w:r>
            <w:r>
              <w:rPr>
                <w:rFonts w:hint="eastAsia" w:ascii="Times New Roman" w:hAnsi="Times New Roman"/>
                <w:b w:val="0"/>
                <w:bCs/>
                <w:lang w:eastAsia="zh-CN"/>
              </w:rPr>
              <w:t>）</w:t>
            </w:r>
          </w:p>
        </w:tc>
        <w:tc>
          <w:tcPr>
            <w:tcW w:w="1294" w:type="dxa"/>
            <w:noWrap w:val="0"/>
            <w:vAlign w:val="center"/>
          </w:tcPr>
          <w:p>
            <w:pPr>
              <w:jc w:val="center"/>
              <w:rPr>
                <w:rFonts w:hint="eastAsia" w:ascii="Times New Roman" w:hAnsi="Times New Roman"/>
                <w:b w:val="0"/>
                <w:bCs/>
              </w:rPr>
            </w:pPr>
          </w:p>
        </w:tc>
        <w:tc>
          <w:tcPr>
            <w:tcW w:w="1296" w:type="dxa"/>
            <w:noWrap w:val="0"/>
            <w:vAlign w:val="center"/>
          </w:tcPr>
          <w:p>
            <w:pPr>
              <w:jc w:val="center"/>
              <w:rPr>
                <w:rFonts w:hint="eastAsia" w:ascii="Times New Roman" w:hAnsi="Times New Roman"/>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rPr>
              <w:t>发货日期</w:t>
            </w:r>
          </w:p>
        </w:tc>
        <w:tc>
          <w:tcPr>
            <w:tcW w:w="2118" w:type="dxa"/>
            <w:gridSpan w:val="2"/>
            <w:noWrap w:val="0"/>
            <w:vAlign w:val="center"/>
          </w:tcPr>
          <w:p>
            <w:pPr>
              <w:jc w:val="center"/>
              <w:rPr>
                <w:rFonts w:hint="eastAsia" w:ascii="Times New Roman" w:hAnsi="Times New Roman"/>
                <w:b w:val="0"/>
                <w:bCs/>
              </w:rPr>
            </w:pPr>
          </w:p>
        </w:tc>
        <w:tc>
          <w:tcPr>
            <w:tcW w:w="981" w:type="dxa"/>
            <w:tcBorders>
              <w:top w:val="nil"/>
              <w:bottom w:val="nil"/>
            </w:tcBorders>
            <w:noWrap w:val="0"/>
            <w:vAlign w:val="center"/>
          </w:tcPr>
          <w:p>
            <w:pPr>
              <w:jc w:val="center"/>
              <w:rPr>
                <w:rFonts w:hint="eastAsia" w:ascii="Times New Roman" w:hAnsi="Times New Roman"/>
                <w:b/>
              </w:rPr>
            </w:pPr>
          </w:p>
        </w:tc>
        <w:tc>
          <w:tcPr>
            <w:tcW w:w="1900" w:type="dxa"/>
            <w:noWrap w:val="0"/>
            <w:vAlign w:val="center"/>
          </w:tcPr>
          <w:p>
            <w:pPr>
              <w:jc w:val="center"/>
              <w:rPr>
                <w:rFonts w:hint="eastAsia" w:ascii="Times New Roman" w:hAnsi="Times New Roman"/>
                <w:b w:val="0"/>
                <w:bCs/>
              </w:rPr>
            </w:pPr>
            <w:r>
              <w:rPr>
                <w:rFonts w:hint="eastAsia" w:ascii="Times New Roman" w:hAnsi="Times New Roman"/>
                <w:b w:val="0"/>
                <w:bCs/>
              </w:rPr>
              <w:t>密度</w:t>
            </w:r>
            <w:r>
              <w:rPr>
                <w:rFonts w:hint="eastAsia" w:ascii="Times New Roman" w:hAnsi="Times New Roman"/>
                <w:b w:val="0"/>
                <w:bCs/>
                <w:lang w:eastAsia="zh-CN"/>
              </w:rPr>
              <w:t>（</w:t>
            </w:r>
            <w:r>
              <w:rPr>
                <w:rFonts w:hint="eastAsia" w:ascii="Times New Roman" w:hAnsi="Times New Roman"/>
                <w:b w:val="0"/>
                <w:bCs/>
                <w:lang w:val="en-US" w:eastAsia="zh-CN"/>
              </w:rPr>
              <w:t>k</w:t>
            </w:r>
            <w:r>
              <w:rPr>
                <w:rFonts w:hint="eastAsia" w:ascii="Times New Roman" w:hAnsi="Times New Roman"/>
                <w:b w:val="0"/>
                <w:bCs/>
              </w:rPr>
              <w:t>g/</w:t>
            </w:r>
            <w:r>
              <w:rPr>
                <w:rFonts w:hint="eastAsia" w:ascii="Times New Roman" w:hAnsi="Times New Roman"/>
                <w:b w:val="0"/>
                <w:bCs/>
                <w:lang w:val="en-US" w:eastAsia="zh-CN"/>
              </w:rPr>
              <w:t>m³</w:t>
            </w:r>
            <w:r>
              <w:rPr>
                <w:rFonts w:hint="eastAsia" w:ascii="Times New Roman" w:hAnsi="Times New Roman"/>
                <w:b w:val="0"/>
                <w:bCs/>
                <w:lang w:eastAsia="zh-CN"/>
              </w:rPr>
              <w:t>）</w:t>
            </w:r>
          </w:p>
        </w:tc>
        <w:tc>
          <w:tcPr>
            <w:tcW w:w="1941" w:type="dxa"/>
            <w:gridSpan w:val="2"/>
            <w:noWrap w:val="0"/>
            <w:vAlign w:val="center"/>
          </w:tcPr>
          <w:p>
            <w:pPr>
              <w:jc w:val="center"/>
              <w:rPr>
                <w:rFonts w:hint="eastAsia" w:ascii="Times New Roman" w:hAnsi="Times New Roman"/>
                <w:b w:val="0"/>
                <w:bCs/>
              </w:rPr>
            </w:pPr>
          </w:p>
        </w:tc>
        <w:tc>
          <w:tcPr>
            <w:tcW w:w="1941" w:type="dxa"/>
            <w:gridSpan w:val="2"/>
            <w:noWrap w:val="0"/>
            <w:vAlign w:val="center"/>
          </w:tcPr>
          <w:p>
            <w:pPr>
              <w:jc w:val="center"/>
              <w:rPr>
                <w:rFonts w:hint="eastAsia" w:ascii="Times New Roman" w:hAnsi="Times New Roman"/>
                <w:b w:val="0"/>
                <w:bCs/>
              </w:rPr>
            </w:pPr>
          </w:p>
        </w:tc>
        <w:tc>
          <w:tcPr>
            <w:tcW w:w="1294" w:type="dxa"/>
            <w:noWrap w:val="0"/>
            <w:vAlign w:val="center"/>
          </w:tcPr>
          <w:p>
            <w:pPr>
              <w:jc w:val="center"/>
              <w:rPr>
                <w:rFonts w:hint="eastAsia" w:ascii="Times New Roman" w:hAnsi="Times New Roman"/>
                <w:b w:val="0"/>
                <w:bCs/>
              </w:rPr>
            </w:pPr>
            <w:r>
              <w:rPr>
                <w:rFonts w:hint="eastAsia" w:ascii="Times New Roman" w:hAnsi="Times New Roman"/>
                <w:b w:val="0"/>
                <w:bCs/>
              </w:rPr>
              <w:t>SO</w:t>
            </w:r>
            <w:r>
              <w:rPr>
                <w:rFonts w:hint="eastAsia" w:ascii="Times New Roman" w:hAnsi="Times New Roman"/>
                <w:b w:val="0"/>
                <w:bCs/>
                <w:vertAlign w:val="subscript"/>
              </w:rPr>
              <w:t>3</w:t>
            </w:r>
            <w:r>
              <w:rPr>
                <w:rFonts w:hint="eastAsia" w:ascii="Times New Roman" w:hAnsi="Times New Roman"/>
                <w:b w:val="0"/>
                <w:bCs/>
                <w:lang w:eastAsia="zh-CN"/>
              </w:rPr>
              <w:t>（</w:t>
            </w:r>
            <w:r>
              <w:rPr>
                <w:rFonts w:hint="eastAsia" w:ascii="Times New Roman" w:hAnsi="Times New Roman"/>
                <w:b w:val="0"/>
                <w:bCs/>
                <w:lang w:val="en-US" w:eastAsia="zh-CN"/>
              </w:rPr>
              <w:t>%</w:t>
            </w:r>
            <w:r>
              <w:rPr>
                <w:rFonts w:hint="eastAsia" w:ascii="Times New Roman" w:hAnsi="Times New Roman"/>
                <w:b w:val="0"/>
                <w:bCs/>
                <w:lang w:eastAsia="zh-CN"/>
              </w:rPr>
              <w:t>）</w:t>
            </w:r>
          </w:p>
        </w:tc>
        <w:tc>
          <w:tcPr>
            <w:tcW w:w="1294" w:type="dxa"/>
            <w:noWrap w:val="0"/>
            <w:vAlign w:val="center"/>
          </w:tcPr>
          <w:p>
            <w:pPr>
              <w:jc w:val="center"/>
              <w:rPr>
                <w:rFonts w:hint="eastAsia" w:ascii="Times New Roman" w:hAnsi="Times New Roman"/>
                <w:b w:val="0"/>
                <w:bCs/>
              </w:rPr>
            </w:pPr>
          </w:p>
        </w:tc>
        <w:tc>
          <w:tcPr>
            <w:tcW w:w="1296" w:type="dxa"/>
            <w:noWrap w:val="0"/>
            <w:vAlign w:val="center"/>
          </w:tcPr>
          <w:p>
            <w:pPr>
              <w:jc w:val="center"/>
              <w:rPr>
                <w:rFonts w:hint="eastAsia" w:ascii="Times New Roman" w:hAnsi="Times New Roman"/>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vMerge w:val="restart"/>
            <w:noWrap w:val="0"/>
            <w:vAlign w:val="center"/>
          </w:tcPr>
          <w:p>
            <w:pPr>
              <w:jc w:val="center"/>
              <w:rPr>
                <w:rFonts w:hint="eastAsia" w:ascii="Times New Roman" w:hAnsi="Times New Roman"/>
                <w:b w:val="0"/>
                <w:bCs/>
              </w:rPr>
            </w:pPr>
            <w:r>
              <w:rPr>
                <w:rFonts w:hint="eastAsia" w:ascii="Times New Roman" w:hAnsi="Times New Roman"/>
                <w:b w:val="0"/>
                <w:bCs/>
              </w:rPr>
              <w:t>28</w:t>
            </w:r>
            <w:r>
              <w:rPr>
                <w:rFonts w:hint="eastAsia" w:ascii="Times New Roman" w:hAnsi="Times New Roman"/>
                <w:b w:val="0"/>
                <w:bCs/>
                <w:lang w:val="en-US" w:eastAsia="zh-CN"/>
              </w:rPr>
              <w:t>d</w:t>
            </w:r>
            <w:r>
              <w:rPr>
                <w:rFonts w:hint="eastAsia" w:ascii="Times New Roman" w:hAnsi="Times New Roman"/>
                <w:b w:val="0"/>
                <w:bCs/>
              </w:rPr>
              <w:t>活性</w:t>
            </w:r>
          </w:p>
          <w:p>
            <w:pPr>
              <w:jc w:val="center"/>
              <w:rPr>
                <w:rFonts w:hint="eastAsia" w:ascii="Times New Roman" w:hAnsi="Times New Roman"/>
                <w:b w:val="0"/>
                <w:bCs/>
              </w:rPr>
            </w:pPr>
            <w:r>
              <w:rPr>
                <w:rFonts w:hint="eastAsia" w:ascii="Times New Roman" w:hAnsi="Times New Roman"/>
                <w:b w:val="0"/>
                <w:bCs/>
              </w:rPr>
              <w:t>指数</w:t>
            </w:r>
            <w:r>
              <w:rPr>
                <w:rFonts w:hint="eastAsia" w:ascii="Times New Roman" w:hAnsi="Times New Roman"/>
                <w:b w:val="0"/>
                <w:bCs/>
                <w:lang w:eastAsia="zh-CN"/>
              </w:rPr>
              <w:t>（</w:t>
            </w:r>
            <w:r>
              <w:rPr>
                <w:rFonts w:hint="eastAsia" w:ascii="Times New Roman" w:hAnsi="Times New Roman"/>
                <w:b w:val="0"/>
                <w:bCs/>
                <w:lang w:val="en-US" w:eastAsia="zh-CN"/>
              </w:rPr>
              <w:t>%</w:t>
            </w:r>
            <w:r>
              <w:rPr>
                <w:rFonts w:hint="eastAsia" w:ascii="Times New Roman" w:hAnsi="Times New Roman"/>
                <w:b w:val="0"/>
                <w:bCs/>
                <w:lang w:eastAsia="zh-CN"/>
              </w:rPr>
              <w:t>）</w:t>
            </w:r>
          </w:p>
        </w:tc>
        <w:tc>
          <w:tcPr>
            <w:tcW w:w="890" w:type="dxa"/>
            <w:noWrap w:val="0"/>
            <w:vAlign w:val="center"/>
          </w:tcPr>
          <w:p>
            <w:pPr>
              <w:jc w:val="center"/>
              <w:rPr>
                <w:rFonts w:hint="eastAsia" w:ascii="Times New Roman" w:hAnsi="Times New Roman"/>
                <w:b w:val="0"/>
                <w:bCs/>
              </w:rPr>
            </w:pPr>
            <w:r>
              <w:rPr>
                <w:rFonts w:hint="eastAsia" w:ascii="Times New Roman" w:hAnsi="Times New Roman"/>
                <w:b w:val="0"/>
                <w:bCs/>
              </w:rPr>
              <w:t>指标</w:t>
            </w:r>
          </w:p>
        </w:tc>
        <w:tc>
          <w:tcPr>
            <w:tcW w:w="1228" w:type="dxa"/>
            <w:noWrap w:val="0"/>
            <w:vAlign w:val="center"/>
          </w:tcPr>
          <w:p>
            <w:pPr>
              <w:jc w:val="center"/>
              <w:rPr>
                <w:rFonts w:hint="eastAsia" w:ascii="Times New Roman" w:hAnsi="Times New Roman"/>
                <w:b w:val="0"/>
                <w:bCs/>
              </w:rPr>
            </w:pPr>
            <w:r>
              <w:rPr>
                <w:rFonts w:hint="eastAsia" w:ascii="Times New Roman" w:hAnsi="Times New Roman"/>
                <w:b w:val="0"/>
                <w:bCs/>
              </w:rPr>
              <w:t>实测</w:t>
            </w:r>
          </w:p>
        </w:tc>
        <w:tc>
          <w:tcPr>
            <w:tcW w:w="981" w:type="dxa"/>
            <w:vMerge w:val="restart"/>
            <w:tcBorders>
              <w:top w:val="nil"/>
            </w:tcBorders>
            <w:noWrap w:val="0"/>
            <w:vAlign w:val="center"/>
          </w:tcPr>
          <w:p>
            <w:pPr>
              <w:jc w:val="center"/>
              <w:rPr>
                <w:rFonts w:hint="eastAsia" w:ascii="Times New Roman" w:hAnsi="Times New Roman"/>
                <w:b/>
              </w:rPr>
            </w:pPr>
          </w:p>
        </w:tc>
        <w:tc>
          <w:tcPr>
            <w:tcW w:w="1900" w:type="dxa"/>
            <w:vMerge w:val="restart"/>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rPr>
              <w:t>活性指数</w:t>
            </w:r>
            <w:r>
              <w:rPr>
                <w:rFonts w:hint="eastAsia" w:ascii="Times New Roman" w:hAnsi="Times New Roman"/>
                <w:b w:val="0"/>
                <w:bCs/>
                <w:lang w:eastAsia="zh-CN"/>
              </w:rPr>
              <w:t>（</w:t>
            </w:r>
            <w:r>
              <w:rPr>
                <w:rFonts w:hint="eastAsia" w:ascii="Times New Roman" w:hAnsi="Times New Roman"/>
                <w:b w:val="0"/>
                <w:bCs/>
                <w:lang w:val="en-US" w:eastAsia="zh-CN"/>
              </w:rPr>
              <w:t>%</w:t>
            </w:r>
            <w:r>
              <w:rPr>
                <w:rFonts w:hint="eastAsia" w:ascii="Times New Roman" w:hAnsi="Times New Roman"/>
                <w:b w:val="0"/>
                <w:bCs/>
                <w:lang w:eastAsia="zh-CN"/>
              </w:rPr>
              <w:t>）</w:t>
            </w:r>
          </w:p>
        </w:tc>
        <w:tc>
          <w:tcPr>
            <w:tcW w:w="1294"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rPr>
              <w:t>1</w:t>
            </w:r>
            <w:r>
              <w:rPr>
                <w:rFonts w:hint="eastAsia" w:ascii="Times New Roman" w:hAnsi="Times New Roman"/>
                <w:b w:val="0"/>
                <w:bCs/>
                <w:lang w:val="en-US" w:eastAsia="zh-CN"/>
              </w:rPr>
              <w:t>d指标</w:t>
            </w:r>
          </w:p>
        </w:tc>
        <w:tc>
          <w:tcPr>
            <w:tcW w:w="1294" w:type="dxa"/>
            <w:gridSpan w:val="2"/>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rPr>
              <w:t>1</w:t>
            </w:r>
            <w:r>
              <w:rPr>
                <w:rFonts w:hint="eastAsia" w:ascii="Times New Roman" w:hAnsi="Times New Roman"/>
                <w:b w:val="0"/>
                <w:bCs/>
                <w:lang w:val="en-US" w:eastAsia="zh-CN"/>
              </w:rPr>
              <w:t>d实测</w:t>
            </w:r>
          </w:p>
        </w:tc>
        <w:tc>
          <w:tcPr>
            <w:tcW w:w="1294"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lang w:val="en-US" w:eastAsia="zh-CN"/>
              </w:rPr>
              <w:t>3d指标</w:t>
            </w:r>
          </w:p>
        </w:tc>
        <w:tc>
          <w:tcPr>
            <w:tcW w:w="1294"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lang w:val="en-US" w:eastAsia="zh-CN"/>
              </w:rPr>
              <w:t>3d实测</w:t>
            </w:r>
          </w:p>
        </w:tc>
        <w:tc>
          <w:tcPr>
            <w:tcW w:w="1294"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lang w:val="en-US" w:eastAsia="zh-CN"/>
              </w:rPr>
              <w:t>7d指标</w:t>
            </w:r>
          </w:p>
        </w:tc>
        <w:tc>
          <w:tcPr>
            <w:tcW w:w="1296" w:type="dxa"/>
            <w:noWrap w:val="0"/>
            <w:vAlign w:val="center"/>
          </w:tcPr>
          <w:p>
            <w:pPr>
              <w:jc w:val="center"/>
              <w:rPr>
                <w:rFonts w:hint="eastAsia" w:ascii="Times New Roman" w:hAnsi="Times New Roman" w:eastAsiaTheme="minorEastAsia" w:cstheme="minorBidi"/>
                <w:b w:val="0"/>
                <w:bCs/>
                <w:kern w:val="2"/>
                <w:sz w:val="21"/>
                <w:szCs w:val="24"/>
                <w:lang w:val="en-US" w:eastAsia="zh-CN" w:bidi="ar-SA"/>
              </w:rPr>
            </w:pPr>
            <w:r>
              <w:rPr>
                <w:rFonts w:hint="eastAsia" w:ascii="Times New Roman" w:hAnsi="Times New Roman"/>
                <w:b w:val="0"/>
                <w:bCs/>
                <w:lang w:val="en-US" w:eastAsia="zh-CN"/>
              </w:rPr>
              <w:t>7d实测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vMerge w:val="continue"/>
            <w:noWrap w:val="0"/>
            <w:vAlign w:val="center"/>
          </w:tcPr>
          <w:p>
            <w:pPr>
              <w:jc w:val="center"/>
              <w:rPr>
                <w:rFonts w:hint="eastAsia" w:ascii="Times New Roman" w:hAnsi="Times New Roman"/>
                <w:b w:val="0"/>
                <w:bCs/>
              </w:rPr>
            </w:pPr>
          </w:p>
        </w:tc>
        <w:tc>
          <w:tcPr>
            <w:tcW w:w="890" w:type="dxa"/>
            <w:noWrap w:val="0"/>
            <w:vAlign w:val="center"/>
          </w:tcPr>
          <w:p>
            <w:pPr>
              <w:jc w:val="center"/>
              <w:rPr>
                <w:rFonts w:hint="eastAsia" w:ascii="Times New Roman" w:hAnsi="Times New Roman"/>
                <w:b w:val="0"/>
                <w:bCs/>
              </w:rPr>
            </w:pPr>
          </w:p>
        </w:tc>
        <w:tc>
          <w:tcPr>
            <w:tcW w:w="1228" w:type="dxa"/>
            <w:noWrap w:val="0"/>
            <w:vAlign w:val="center"/>
          </w:tcPr>
          <w:p>
            <w:pPr>
              <w:jc w:val="center"/>
              <w:rPr>
                <w:rFonts w:hint="eastAsia" w:ascii="Times New Roman" w:hAnsi="Times New Roman"/>
                <w:b w:val="0"/>
                <w:bCs/>
              </w:rPr>
            </w:pPr>
          </w:p>
        </w:tc>
        <w:tc>
          <w:tcPr>
            <w:tcW w:w="981" w:type="dxa"/>
            <w:vMerge w:val="continue"/>
            <w:tcBorders>
              <w:bottom w:val="nil"/>
            </w:tcBorders>
            <w:noWrap w:val="0"/>
            <w:vAlign w:val="center"/>
          </w:tcPr>
          <w:p>
            <w:pPr>
              <w:jc w:val="center"/>
              <w:rPr>
                <w:rFonts w:hint="eastAsia" w:ascii="Times New Roman" w:hAnsi="Times New Roman"/>
                <w:b/>
              </w:rPr>
            </w:pPr>
          </w:p>
        </w:tc>
        <w:tc>
          <w:tcPr>
            <w:tcW w:w="1900" w:type="dxa"/>
            <w:vMerge w:val="continue"/>
            <w:noWrap w:val="0"/>
            <w:vAlign w:val="center"/>
          </w:tcPr>
          <w:p>
            <w:pPr>
              <w:jc w:val="center"/>
              <w:rPr>
                <w:rFonts w:hint="eastAsia" w:ascii="Times New Roman" w:hAnsi="Times New Roman"/>
                <w:b w:val="0"/>
                <w:bCs/>
              </w:rPr>
            </w:pPr>
          </w:p>
        </w:tc>
        <w:tc>
          <w:tcPr>
            <w:tcW w:w="1294" w:type="dxa"/>
            <w:noWrap w:val="0"/>
            <w:vAlign w:val="center"/>
          </w:tcPr>
          <w:p>
            <w:pPr>
              <w:jc w:val="center"/>
              <w:rPr>
                <w:rFonts w:hint="eastAsia" w:ascii="Times New Roman" w:hAnsi="Times New Roman"/>
                <w:b w:val="0"/>
                <w:bCs/>
              </w:rPr>
            </w:pPr>
          </w:p>
        </w:tc>
        <w:tc>
          <w:tcPr>
            <w:tcW w:w="1294" w:type="dxa"/>
            <w:gridSpan w:val="2"/>
            <w:noWrap w:val="0"/>
            <w:vAlign w:val="center"/>
          </w:tcPr>
          <w:p>
            <w:pPr>
              <w:jc w:val="center"/>
              <w:rPr>
                <w:rFonts w:hint="eastAsia" w:ascii="Times New Roman" w:hAnsi="Times New Roman"/>
                <w:b w:val="0"/>
                <w:bCs/>
              </w:rPr>
            </w:pPr>
          </w:p>
        </w:tc>
        <w:tc>
          <w:tcPr>
            <w:tcW w:w="1294" w:type="dxa"/>
            <w:noWrap w:val="0"/>
            <w:vAlign w:val="center"/>
          </w:tcPr>
          <w:p>
            <w:pPr>
              <w:jc w:val="center"/>
              <w:rPr>
                <w:rFonts w:hint="eastAsia" w:ascii="Times New Roman" w:hAnsi="Times New Roman"/>
                <w:b w:val="0"/>
                <w:bCs/>
              </w:rPr>
            </w:pPr>
          </w:p>
        </w:tc>
        <w:tc>
          <w:tcPr>
            <w:tcW w:w="1294" w:type="dxa"/>
            <w:noWrap w:val="0"/>
            <w:vAlign w:val="center"/>
          </w:tcPr>
          <w:p>
            <w:pPr>
              <w:jc w:val="center"/>
              <w:rPr>
                <w:rFonts w:hint="eastAsia" w:ascii="Times New Roman" w:hAnsi="Times New Roman"/>
                <w:b w:val="0"/>
                <w:bCs/>
              </w:rPr>
            </w:pPr>
          </w:p>
        </w:tc>
        <w:tc>
          <w:tcPr>
            <w:tcW w:w="1294" w:type="dxa"/>
            <w:noWrap w:val="0"/>
            <w:vAlign w:val="center"/>
          </w:tcPr>
          <w:p>
            <w:pPr>
              <w:jc w:val="center"/>
              <w:rPr>
                <w:rFonts w:hint="eastAsia" w:ascii="Times New Roman" w:hAnsi="Times New Roman"/>
                <w:b w:val="0"/>
                <w:bCs/>
              </w:rPr>
            </w:pPr>
          </w:p>
        </w:tc>
        <w:tc>
          <w:tcPr>
            <w:tcW w:w="1296" w:type="dxa"/>
            <w:noWrap w:val="0"/>
            <w:vAlign w:val="center"/>
          </w:tcPr>
          <w:p>
            <w:pPr>
              <w:jc w:val="center"/>
              <w:rPr>
                <w:rFonts w:hint="eastAsia" w:ascii="Times New Roman" w:hAnsi="Times New Roman"/>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8" w:type="dxa"/>
            <w:noWrap w:val="0"/>
            <w:vAlign w:val="center"/>
          </w:tcPr>
          <w:p>
            <w:pPr>
              <w:jc w:val="center"/>
              <w:rPr>
                <w:rFonts w:hint="eastAsia" w:ascii="Times New Roman" w:hAnsi="Times New Roman"/>
                <w:b w:val="0"/>
                <w:bCs/>
              </w:rPr>
            </w:pPr>
            <w:r>
              <w:rPr>
                <w:rFonts w:hint="eastAsia" w:ascii="Times New Roman" w:hAnsi="Times New Roman"/>
                <w:b w:val="0"/>
                <w:bCs/>
              </w:rPr>
              <w:t>备注</w:t>
            </w:r>
          </w:p>
        </w:tc>
        <w:tc>
          <w:tcPr>
            <w:tcW w:w="2118" w:type="dxa"/>
            <w:gridSpan w:val="2"/>
            <w:noWrap w:val="0"/>
            <w:vAlign w:val="center"/>
          </w:tcPr>
          <w:p>
            <w:pPr>
              <w:jc w:val="center"/>
              <w:rPr>
                <w:rFonts w:hint="eastAsia" w:ascii="Times New Roman" w:hAnsi="Times New Roman"/>
                <w:b w:val="0"/>
                <w:bCs/>
              </w:rPr>
            </w:pPr>
          </w:p>
        </w:tc>
        <w:tc>
          <w:tcPr>
            <w:tcW w:w="981" w:type="dxa"/>
            <w:tcBorders>
              <w:top w:val="nil"/>
              <w:bottom w:val="nil"/>
            </w:tcBorders>
            <w:noWrap w:val="0"/>
            <w:vAlign w:val="center"/>
          </w:tcPr>
          <w:p>
            <w:pPr>
              <w:jc w:val="center"/>
              <w:rPr>
                <w:rFonts w:hint="eastAsia" w:ascii="Times New Roman" w:hAnsi="Times New Roman"/>
                <w:b/>
              </w:rPr>
            </w:pPr>
          </w:p>
        </w:tc>
        <w:tc>
          <w:tcPr>
            <w:tcW w:w="1900" w:type="dxa"/>
            <w:noWrap w:val="0"/>
            <w:vAlign w:val="center"/>
          </w:tcPr>
          <w:p>
            <w:pPr>
              <w:jc w:val="center"/>
              <w:rPr>
                <w:rFonts w:hint="eastAsia" w:ascii="Times New Roman" w:hAnsi="Times New Roman"/>
                <w:b w:val="0"/>
                <w:bCs/>
              </w:rPr>
            </w:pPr>
            <w:r>
              <w:rPr>
                <w:rFonts w:hint="eastAsia" w:ascii="Times New Roman" w:hAnsi="Times New Roman"/>
                <w:b w:val="0"/>
                <w:bCs/>
              </w:rPr>
              <w:t>备注</w:t>
            </w:r>
          </w:p>
        </w:tc>
        <w:tc>
          <w:tcPr>
            <w:tcW w:w="7766" w:type="dxa"/>
            <w:gridSpan w:val="7"/>
            <w:noWrap w:val="0"/>
            <w:vAlign w:val="center"/>
          </w:tcPr>
          <w:p>
            <w:pPr>
              <w:jc w:val="center"/>
              <w:rPr>
                <w:rFonts w:hint="eastAsia" w:ascii="Times New Roman" w:hAnsi="Times New Roman"/>
                <w:b w:val="0"/>
                <w:bCs/>
              </w:rPr>
            </w:pPr>
          </w:p>
        </w:tc>
      </w:tr>
    </w:tbl>
    <w:p>
      <w:pPr>
        <w:ind w:firstLine="210" w:firstLineChars="100"/>
        <w:rPr>
          <w:rFonts w:hint="eastAsia" w:ascii="Times New Roman" w:hAnsi="Times New Roman"/>
          <w:sz w:val="24"/>
          <w:szCs w:val="24"/>
        </w:rPr>
      </w:pPr>
      <w:r>
        <w:rPr>
          <w:rFonts w:hint="eastAsia" w:ascii="Times New Roman" w:hAnsi="Times New Roman"/>
        </w:rPr>
        <w:t>签发人：     化验室主任：               签发人：                                          化验室主任：</w:t>
      </w:r>
      <w:bookmarkEnd w:id="14"/>
      <w:r>
        <w:rPr>
          <w:rFonts w:hint="eastAsia" w:ascii="Times New Roman" w:hAnsi="Times New Roman"/>
          <w:sz w:val="24"/>
          <w:szCs w:val="24"/>
        </w:rPr>
        <w:t xml:space="preserve">                      </w:t>
      </w:r>
    </w:p>
    <w:p>
      <w:pPr>
        <w:rPr>
          <w:rFonts w:hint="eastAsia" w:ascii="Times New Roman" w:hAnsi="Times New Roman" w:eastAsia="宋体" w:cs="Times New Roman"/>
          <w:b/>
          <w:color w:val="auto"/>
          <w:sz w:val="32"/>
          <w:szCs w:val="28"/>
          <w:highlight w:val="none"/>
          <w:lang w:val="en-US" w:eastAsia="zh-CN"/>
        </w:rPr>
        <w:sectPr>
          <w:footerReference r:id="rId10" w:type="default"/>
          <w:pgSz w:w="16838" w:h="11906" w:orient="landscape"/>
          <w:pgMar w:top="1803" w:right="1440" w:bottom="1276" w:left="1276" w:header="851" w:footer="669" w:gutter="0"/>
          <w:pgBorders>
            <w:top w:val="none" w:sz="0" w:space="0"/>
            <w:left w:val="none" w:sz="0" w:space="0"/>
            <w:bottom w:val="none" w:sz="0" w:space="0"/>
            <w:right w:val="none" w:sz="0" w:space="0"/>
          </w:pgBorders>
          <w:pgNumType w:fmt="decimal"/>
          <w:cols w:space="0" w:num="1"/>
          <w:rtlGutter w:val="0"/>
          <w:docGrid w:type="lines" w:linePitch="315" w:charSpace="0"/>
        </w:sectPr>
      </w:pPr>
    </w:p>
    <w:p>
      <w:pPr>
        <w:pStyle w:val="2"/>
        <w:rPr>
          <w:rFonts w:hint="eastAsia"/>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bookmarkStart w:id="15" w:name="_Toc100095515"/>
      <w:bookmarkStart w:id="16" w:name="_Toc18713"/>
      <w:bookmarkStart w:id="17" w:name="_Toc10909"/>
      <w:bookmarkStart w:id="18" w:name="_Toc97127829"/>
      <w:bookmarkStart w:id="19" w:name="_Toc5109"/>
      <w:bookmarkStart w:id="20" w:name="_Toc19449"/>
      <w:bookmarkStart w:id="21" w:name="_Toc20009"/>
      <w:bookmarkStart w:id="22" w:name="_Toc11873"/>
      <w:bookmarkStart w:id="23" w:name="_Toc3156"/>
      <w:bookmarkStart w:id="24" w:name="_Toc2189"/>
      <w:bookmarkStart w:id="25" w:name="_Toc18088"/>
      <w:bookmarkStart w:id="26" w:name="_Toc14448"/>
      <w:bookmarkStart w:id="27" w:name="_Toc31744"/>
      <w:bookmarkStart w:id="28" w:name="_Toc4156"/>
      <w:bookmarkStart w:id="29" w:name="_Toc12412"/>
      <w:bookmarkStart w:id="30" w:name="_Toc533422756"/>
      <w:bookmarkStart w:id="31" w:name="_Toc29930079"/>
      <w:bookmarkStart w:id="32" w:name="_Toc30020270"/>
      <w:bookmarkStart w:id="33" w:name="_Toc30020875"/>
      <w:bookmarkStart w:id="34" w:name="_Toc533422626"/>
      <w:bookmarkStart w:id="35" w:name="_Toc533422986"/>
      <w:r>
        <w:rPr>
          <w:rFonts w:hint="eastAsia" w:ascii="Times New Roman" w:hAnsi="Times New Roman" w:eastAsia="宋体" w:cs="Times New Roman"/>
          <w:b/>
          <w:color w:val="auto"/>
          <w:sz w:val="32"/>
          <w:szCs w:val="28"/>
          <w:highlight w:val="none"/>
          <w:lang w:val="en-US" w:eastAsia="zh-CN"/>
        </w:rPr>
        <w:t>用词说明</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pPr>
        <w:ind w:firstLine="480"/>
        <w:rPr>
          <w:rFonts w:ascii="Times New Roman" w:hAnsi="Times New Roman" w:cs="Times New Roman"/>
          <w:szCs w:val="28"/>
        </w:rPr>
      </w:pPr>
    </w:p>
    <w:p>
      <w:pPr>
        <w:keepNext w:val="0"/>
        <w:keepLines w:val="0"/>
        <w:pageBreakBefore w:val="0"/>
        <w:widowControl w:val="0"/>
        <w:kinsoku/>
        <w:wordWrap/>
        <w:overflowPunct/>
        <w:topLinePunct w:val="0"/>
        <w:autoSpaceDE/>
        <w:autoSpaceDN/>
        <w:bidi w:val="0"/>
        <w:adjustRightInd/>
        <w:snapToGrid w:val="0"/>
        <w:spacing w:line="360" w:lineRule="auto"/>
        <w:ind w:firstLine="565" w:firstLineChars="202"/>
        <w:textAlignment w:val="auto"/>
        <w:rPr>
          <w:rFonts w:hint="eastAsia" w:ascii="Times New Roman" w:hAnsi="Times New Roman"/>
          <w:b w:val="0"/>
          <w:bCs/>
          <w:color w:val="auto"/>
          <w:sz w:val="28"/>
          <w:highlight w:val="none"/>
        </w:rPr>
      </w:pPr>
      <w:r>
        <w:rPr>
          <w:rFonts w:hint="eastAsia" w:ascii="Times New Roman" w:hAnsi="Times New Roman"/>
          <w:b w:val="0"/>
          <w:bCs/>
          <w:color w:val="auto"/>
          <w:sz w:val="28"/>
          <w:highlight w:val="none"/>
        </w:rPr>
        <w:t>为便于在执行本规程条</w:t>
      </w:r>
      <w:r>
        <w:rPr>
          <w:rFonts w:hint="eastAsia" w:ascii="Times New Roman" w:hAnsi="Times New Roman"/>
          <w:b w:val="0"/>
          <w:bCs/>
          <w:color w:val="auto"/>
          <w:sz w:val="28"/>
          <w:highlight w:val="none"/>
          <w:lang w:val="en-US" w:eastAsia="zh-CN"/>
        </w:rPr>
        <w:t>文</w:t>
      </w:r>
      <w:r>
        <w:rPr>
          <w:rFonts w:hint="eastAsia" w:ascii="Times New Roman" w:hAnsi="Times New Roman"/>
          <w:b w:val="0"/>
          <w:bCs/>
          <w:color w:val="auto"/>
          <w:sz w:val="28"/>
          <w:highlight w:val="none"/>
        </w:rPr>
        <w:t>时区别对待，对要求严格程度不同的用词说明如下：</w:t>
      </w:r>
    </w:p>
    <w:p>
      <w:pPr>
        <w:keepNext w:val="0"/>
        <w:keepLines w:val="0"/>
        <w:pageBreakBefore w:val="0"/>
        <w:widowControl w:val="0"/>
        <w:kinsoku/>
        <w:wordWrap/>
        <w:overflowPunct/>
        <w:topLinePunct w:val="0"/>
        <w:autoSpaceDE/>
        <w:autoSpaceDN/>
        <w:bidi w:val="0"/>
        <w:adjustRightInd/>
        <w:snapToGrid w:val="0"/>
        <w:spacing w:line="360" w:lineRule="auto"/>
        <w:ind w:firstLine="565" w:firstLineChars="202"/>
        <w:textAlignment w:val="auto"/>
        <w:rPr>
          <w:rFonts w:hint="eastAsia" w:ascii="Times New Roman" w:hAnsi="Times New Roman"/>
          <w:b w:val="0"/>
          <w:bCs/>
          <w:color w:val="auto"/>
          <w:sz w:val="28"/>
          <w:highlight w:val="none"/>
        </w:rPr>
      </w:pPr>
      <w:r>
        <w:rPr>
          <w:rFonts w:hint="eastAsia" w:ascii="Times New Roman" w:hAnsi="Times New Roman"/>
          <w:b w:val="0"/>
          <w:bCs/>
          <w:color w:val="auto"/>
          <w:sz w:val="28"/>
          <w:highlight w:val="none"/>
        </w:rPr>
        <w:t>1　表示很严格，非这样做不可的：</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1058" w:firstLineChars="378"/>
        <w:textAlignment w:val="auto"/>
        <w:rPr>
          <w:rFonts w:hint="eastAsia" w:ascii="Times New Roman" w:hAnsi="Times New Roman"/>
          <w:b w:val="0"/>
          <w:bCs/>
          <w:color w:val="auto"/>
          <w:sz w:val="28"/>
          <w:highlight w:val="none"/>
        </w:rPr>
      </w:pPr>
      <w:r>
        <w:rPr>
          <w:rFonts w:hint="eastAsia" w:ascii="Times New Roman" w:hAnsi="Times New Roman"/>
          <w:b w:val="0"/>
          <w:bCs/>
          <w:color w:val="auto"/>
          <w:sz w:val="28"/>
          <w:highlight w:val="none"/>
        </w:rPr>
        <w:t>正面词采用“必须”，反面词采用“严禁”；</w:t>
      </w:r>
    </w:p>
    <w:p>
      <w:pPr>
        <w:keepNext w:val="0"/>
        <w:keepLines w:val="0"/>
        <w:pageBreakBefore w:val="0"/>
        <w:widowControl w:val="0"/>
        <w:kinsoku/>
        <w:wordWrap/>
        <w:overflowPunct/>
        <w:topLinePunct w:val="0"/>
        <w:autoSpaceDE/>
        <w:autoSpaceDN/>
        <w:bidi w:val="0"/>
        <w:adjustRightInd/>
        <w:snapToGrid w:val="0"/>
        <w:spacing w:line="360" w:lineRule="auto"/>
        <w:ind w:firstLine="565" w:firstLineChars="202"/>
        <w:textAlignment w:val="auto"/>
        <w:rPr>
          <w:rFonts w:hint="eastAsia" w:ascii="Times New Roman" w:hAnsi="Times New Roman"/>
          <w:b w:val="0"/>
          <w:bCs/>
          <w:color w:val="auto"/>
          <w:sz w:val="28"/>
          <w:highlight w:val="none"/>
        </w:rPr>
      </w:pPr>
      <w:r>
        <w:rPr>
          <w:rFonts w:hint="eastAsia" w:ascii="Times New Roman" w:hAnsi="Times New Roman"/>
          <w:b w:val="0"/>
          <w:bCs/>
          <w:color w:val="auto"/>
          <w:sz w:val="28"/>
          <w:highlight w:val="none"/>
        </w:rPr>
        <w:t>2　表示严格，在正常情况下均应这样做的：</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1058" w:firstLineChars="378"/>
        <w:textAlignment w:val="auto"/>
        <w:rPr>
          <w:rFonts w:hint="eastAsia" w:ascii="Times New Roman" w:hAnsi="Times New Roman"/>
          <w:b w:val="0"/>
          <w:bCs/>
          <w:color w:val="auto"/>
          <w:sz w:val="28"/>
          <w:highlight w:val="none"/>
        </w:rPr>
      </w:pPr>
      <w:r>
        <w:rPr>
          <w:rFonts w:hint="eastAsia" w:ascii="Times New Roman" w:hAnsi="Times New Roman"/>
          <w:b w:val="0"/>
          <w:bCs/>
          <w:color w:val="auto"/>
          <w:sz w:val="28"/>
          <w:highlight w:val="none"/>
        </w:rPr>
        <w:t>正面词采用“应”，反面词采用“不应”或“不得”；</w:t>
      </w:r>
    </w:p>
    <w:p>
      <w:pPr>
        <w:keepNext w:val="0"/>
        <w:keepLines w:val="0"/>
        <w:pageBreakBefore w:val="0"/>
        <w:widowControl w:val="0"/>
        <w:kinsoku/>
        <w:wordWrap/>
        <w:overflowPunct/>
        <w:topLinePunct w:val="0"/>
        <w:autoSpaceDE/>
        <w:autoSpaceDN/>
        <w:bidi w:val="0"/>
        <w:adjustRightInd/>
        <w:snapToGrid w:val="0"/>
        <w:spacing w:line="360" w:lineRule="auto"/>
        <w:ind w:firstLine="565" w:firstLineChars="202"/>
        <w:textAlignment w:val="auto"/>
        <w:rPr>
          <w:rFonts w:hint="eastAsia" w:ascii="Times New Roman" w:hAnsi="Times New Roman"/>
          <w:b w:val="0"/>
          <w:bCs/>
          <w:color w:val="auto"/>
          <w:sz w:val="28"/>
          <w:highlight w:val="none"/>
        </w:rPr>
      </w:pPr>
      <w:r>
        <w:rPr>
          <w:rFonts w:hint="eastAsia" w:ascii="Times New Roman" w:hAnsi="Times New Roman"/>
          <w:b w:val="0"/>
          <w:bCs/>
          <w:color w:val="auto"/>
          <w:sz w:val="28"/>
          <w:highlight w:val="none"/>
        </w:rPr>
        <w:t>3　表示允许稍有选择，在条件许可时首先应这样做的：</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1058" w:firstLineChars="378"/>
        <w:textAlignment w:val="auto"/>
        <w:rPr>
          <w:rFonts w:hint="eastAsia" w:ascii="Times New Roman" w:hAnsi="Times New Roman"/>
          <w:b w:val="0"/>
          <w:bCs/>
          <w:color w:val="auto"/>
          <w:sz w:val="28"/>
          <w:highlight w:val="none"/>
        </w:rPr>
      </w:pPr>
      <w:r>
        <w:rPr>
          <w:rFonts w:hint="eastAsia" w:ascii="Times New Roman" w:hAnsi="Times New Roman"/>
          <w:b w:val="0"/>
          <w:bCs/>
          <w:color w:val="auto"/>
          <w:sz w:val="28"/>
          <w:highlight w:val="none"/>
        </w:rPr>
        <w:t>正面词采用“宜”，反面词采用“不宜”；</w:t>
      </w:r>
    </w:p>
    <w:p>
      <w:pPr>
        <w:keepNext w:val="0"/>
        <w:keepLines w:val="0"/>
        <w:pageBreakBefore w:val="0"/>
        <w:widowControl w:val="0"/>
        <w:kinsoku/>
        <w:wordWrap/>
        <w:overflowPunct/>
        <w:topLinePunct w:val="0"/>
        <w:autoSpaceDE/>
        <w:autoSpaceDN/>
        <w:bidi w:val="0"/>
        <w:adjustRightInd/>
        <w:snapToGrid w:val="0"/>
        <w:spacing w:line="360" w:lineRule="auto"/>
        <w:ind w:firstLine="565" w:firstLineChars="202"/>
        <w:textAlignment w:val="auto"/>
        <w:rPr>
          <w:rFonts w:hint="eastAsia" w:ascii="Times New Roman" w:hAnsi="Times New Roman"/>
          <w:b w:val="0"/>
          <w:bCs/>
          <w:color w:val="auto"/>
          <w:sz w:val="28"/>
          <w:highlight w:val="none"/>
        </w:rPr>
      </w:pPr>
      <w:r>
        <w:rPr>
          <w:rFonts w:hint="eastAsia" w:ascii="Times New Roman" w:hAnsi="Times New Roman"/>
          <w:b w:val="0"/>
          <w:bCs/>
          <w:color w:val="auto"/>
          <w:sz w:val="28"/>
          <w:highlight w:val="none"/>
        </w:rPr>
        <w:t>4　表示有选择，在一定条件下可以这样做的，采用“可”。</w:t>
      </w:r>
    </w:p>
    <w:bookmarkEnd w:id="30"/>
    <w:bookmarkEnd w:id="31"/>
    <w:bookmarkEnd w:id="32"/>
    <w:bookmarkEnd w:id="33"/>
    <w:bookmarkEnd w:id="34"/>
    <w:bookmarkEnd w:id="35"/>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bookmarkStart w:id="36" w:name="_Toc29930080"/>
      <w:bookmarkStart w:id="37" w:name="_Toc533422757"/>
      <w:bookmarkStart w:id="38" w:name="_Toc30020876"/>
      <w:bookmarkStart w:id="39" w:name="_Toc30020271"/>
      <w:bookmarkStart w:id="40" w:name="_Toc533422627"/>
      <w:bookmarkStart w:id="41" w:name="_Toc533422987"/>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r>
        <w:rPr>
          <w:rFonts w:hint="eastAsia" w:ascii="Times New Roman" w:hAnsi="Times New Roman" w:eastAsia="宋体" w:cs="Times New Roman"/>
          <w:b/>
          <w:color w:val="auto"/>
          <w:sz w:val="32"/>
          <w:szCs w:val="28"/>
          <w:highlight w:val="none"/>
          <w:lang w:val="zh-CN"/>
        </w:rPr>
        <w:t>引用标准名录</w:t>
      </w:r>
      <w:bookmarkEnd w:id="36"/>
      <w:bookmarkEnd w:id="37"/>
      <w:bookmarkEnd w:id="38"/>
      <w:bookmarkEnd w:id="39"/>
      <w:bookmarkEnd w:id="40"/>
      <w:bookmarkEnd w:id="41"/>
    </w:p>
    <w:p>
      <w:pPr>
        <w:rPr>
          <w:rFonts w:hint="eastAsia" w:ascii="Times New Roman" w:hAnsi="Times New Roman"/>
          <w:color w:val="auto"/>
          <w:highlight w:val="none"/>
          <w:lang w:val="zh-CN"/>
        </w:rPr>
      </w:pPr>
    </w:p>
    <w:p>
      <w:pPr>
        <w:rPr>
          <w:rFonts w:hint="eastAsia" w:ascii="Times New Roman" w:hAnsi="Times New Roman"/>
          <w:color w:val="auto"/>
          <w:highlight w:val="none"/>
          <w:lang w:val="zh-CN"/>
        </w:rPr>
      </w:pPr>
    </w:p>
    <w:p>
      <w:pPr>
        <w:snapToGrid w:val="0"/>
        <w:spacing w:line="360" w:lineRule="auto"/>
        <w:ind w:firstLine="560" w:firstLineChars="200"/>
        <w:rPr>
          <w:rFonts w:hint="eastAsia" w:ascii="Times New Roman" w:hAnsi="Times New Roman" w:eastAsia="宋体" w:cs="Times New Roman"/>
          <w:b w:val="0"/>
          <w:bCs/>
          <w:color w:val="auto"/>
          <w:sz w:val="28"/>
          <w:highlight w:val="none"/>
          <w:lang w:val="zh-CN" w:eastAsia="zh-CN"/>
        </w:rPr>
      </w:pPr>
      <w:r>
        <w:rPr>
          <w:rFonts w:hint="eastAsia" w:ascii="Times New Roman" w:hAnsi="Times New Roman" w:eastAsia="宋体" w:cs="Times New Roman"/>
          <w:b w:val="0"/>
          <w:bCs/>
          <w:color w:val="auto"/>
          <w:sz w:val="28"/>
          <w:highlight w:val="none"/>
          <w:lang w:val="en-US" w:eastAsia="zh-CN"/>
        </w:rPr>
        <w:t>本规程引用下列标准。其中，注日期的，仅对该日期对应的版本适用本规程；不注日期的，其最新版适用于本规程。</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《混凝土结构设计规范》GB 50010</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《混凝土强度检验评定标准》GB/T 50107</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《混凝土外加剂应用技术规范》GB 50119</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《混凝土质量控制标准》GB 50164</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《混凝土结构工程施工及验收规范》GB 50204</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《普通混凝土拌合物性能试验方法标准》GB /T 50080</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《普通混凝土力学性能试验方法标准》GB/T 50081</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《普通混凝土长期性能和耐久性能试验方法标准》GB/T 50082</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《混凝土质量控制标准》GB 50164</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《混凝土结构工程施工规范》GB 50666</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《预防混凝土碱骨料反应技术规范》GB/T 50733</w:t>
      </w:r>
    </w:p>
    <w:p>
      <w:pPr>
        <w:pStyle w:val="2"/>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《通用硅酸盐水泥》GB 175</w:t>
      </w:r>
    </w:p>
    <w:p>
      <w:pPr>
        <w:pStyle w:val="2"/>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《水泥化学分析方法》GB/T 176</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《水泥强度试验用标准砂》GB 178</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《用于水泥中的粒化高炉矿渣》GB/T 203</w:t>
      </w:r>
    </w:p>
    <w:p>
      <w:pPr>
        <w:pStyle w:val="2"/>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《水泥密度测定方法》GB/T 208</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《用于水泥和混凝土中的粉煤灰》GB/T 1596</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fldChar w:fldCharType="begin"/>
      </w:r>
      <w:r>
        <w:rPr>
          <w:rFonts w:hint="default" w:ascii="Times New Roman" w:hAnsi="Times New Roman"/>
          <w:b w:val="0"/>
          <w:bCs/>
          <w:color w:val="auto"/>
          <w:sz w:val="28"/>
          <w:highlight w:val="none"/>
          <w:lang w:val="en-US" w:eastAsia="zh-CN"/>
        </w:rPr>
        <w:instrText xml:space="preserve"> HYPERLINK "https://www.sogou.com/link?url=hedJjaC291N-O9fwjGdB_oLPu8jOQFpBiFFZY90A94WMRqM-flokQIu_AjUQjM1H" \t "https://www.sogou.com/_blank" </w:instrText>
      </w:r>
      <w:r>
        <w:rPr>
          <w:rFonts w:hint="default" w:ascii="Times New Roman" w:hAnsi="Times New Roman"/>
          <w:b w:val="0"/>
          <w:bCs/>
          <w:color w:val="auto"/>
          <w:sz w:val="28"/>
          <w:highlight w:val="none"/>
          <w:lang w:val="en-US" w:eastAsia="zh-CN"/>
        </w:rPr>
        <w:fldChar w:fldCharType="separate"/>
      </w:r>
      <w:r>
        <w:rPr>
          <w:rFonts w:hint="default" w:ascii="Times New Roman" w:hAnsi="Times New Roman"/>
          <w:b w:val="0"/>
          <w:bCs/>
          <w:color w:val="auto"/>
          <w:sz w:val="28"/>
          <w:highlight w:val="none"/>
          <w:lang w:val="en-US" w:eastAsia="zh-CN"/>
        </w:rPr>
        <w:t>水泥</w:t>
      </w:r>
      <w:r>
        <w:rPr>
          <w:rFonts w:hint="eastAsia" w:ascii="Times New Roman" w:hAnsi="Times New Roman"/>
          <w:b w:val="0"/>
          <w:bCs/>
          <w:color w:val="auto"/>
          <w:sz w:val="28"/>
          <w:highlight w:val="none"/>
          <w:lang w:val="en-US" w:eastAsia="zh-CN"/>
        </w:rPr>
        <w:t>胶砂流动</w:t>
      </w:r>
      <w:r>
        <w:rPr>
          <w:rFonts w:hint="default" w:ascii="Times New Roman" w:hAnsi="Times New Roman"/>
          <w:b w:val="0"/>
          <w:bCs/>
          <w:color w:val="auto"/>
          <w:sz w:val="28"/>
          <w:highlight w:val="none"/>
          <w:lang w:val="en-US" w:eastAsia="zh-CN"/>
        </w:rPr>
        <w:t>度</w:t>
      </w:r>
      <w:r>
        <w:rPr>
          <w:rFonts w:hint="eastAsia" w:ascii="Times New Roman" w:hAnsi="Times New Roman"/>
          <w:b w:val="0"/>
          <w:bCs/>
          <w:color w:val="auto"/>
          <w:sz w:val="28"/>
          <w:highlight w:val="none"/>
          <w:lang w:val="en-US" w:eastAsia="zh-CN"/>
        </w:rPr>
        <w:t>测</w:t>
      </w:r>
      <w:r>
        <w:rPr>
          <w:rFonts w:hint="default" w:ascii="Times New Roman" w:hAnsi="Times New Roman"/>
          <w:b w:val="0"/>
          <w:bCs/>
          <w:color w:val="auto"/>
          <w:sz w:val="28"/>
          <w:highlight w:val="none"/>
          <w:lang w:val="en-US" w:eastAsia="zh-CN"/>
        </w:rPr>
        <w:t>定方法</w:t>
      </w:r>
      <w:r>
        <w:rPr>
          <w:rFonts w:hint="default"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》GB/T 2419</w:t>
      </w:r>
    </w:p>
    <w:p>
      <w:pPr>
        <w:pStyle w:val="2"/>
        <w:rPr>
          <w:rFonts w:hint="eastAsia" w:ascii="Times New Roman" w:hAnsi="Times New Roman"/>
          <w:b w:val="0"/>
          <w:bCs/>
          <w:i w:val="0"/>
          <w:iCs w:val="0"/>
          <w:color w:val="auto"/>
          <w:sz w:val="28"/>
          <w:highlight w:val="none"/>
          <w:lang w:val="en-US" w:eastAsia="zh-CN"/>
        </w:rPr>
      </w:pPr>
      <w:r>
        <w:rPr>
          <w:rFonts w:hint="eastAsia" w:ascii="Times New Roman" w:hAnsi="Times New Roman"/>
          <w:b w:val="0"/>
          <w:bCs/>
          <w:i w:val="0"/>
          <w:iCs w:val="0"/>
          <w:color w:val="auto"/>
          <w:sz w:val="28"/>
          <w:highlight w:val="none"/>
          <w:lang w:val="en-US" w:eastAsia="zh-CN"/>
        </w:rPr>
        <w:t>《建筑材料放射性核素限量》GB 6566</w:t>
      </w:r>
    </w:p>
    <w:p>
      <w:pPr>
        <w:pStyle w:val="2"/>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《水泥比表面积测定方法（勃氏法）》GB/T 8074</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《混凝土外加剂》GB 8076</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《水泥取样方法》GB 12573</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《建设用砂》GB/T 14684</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《建设用卵石、碎石》GB/T 14685</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《预拌混凝土》GB/T 14902</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"https://www.sogou.com/link?url=hedJjaC291Pl05MTlF1Zk2XH0kc1pIdiO-c0LGj57-CmdNtuziKAA7OrruKGOK_XdnfNbSxgwSshOp6L0Z9Bwk_UY8fYT2KOZ6pHzQTGCRo." \t "https://www.sogou.com/_blank"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《水泥胶砂强度检验方法（ISO法）</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》GB/T 17671</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《用于水泥、砂浆和混凝土中的粒化高炉矿渣粉》GB/T 18046</w:t>
      </w:r>
    </w:p>
    <w:p>
      <w:pPr>
        <w:pStyle w:val="2"/>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《水泥原材料中氯离子的测定方法》JC/T 420</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《普通混凝土配合比设计规程》JGJ/T 55</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《混凝土耐久性检验评定标准》JGJ/T 193</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《建筑工程冬期施工规程》JGJ/T 104</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《水运工程混凝土施工规范》JTS 202</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《水运工程混凝土质量控制标准》JTS 202-2</w:t>
      </w:r>
    </w:p>
    <w:p>
      <w:pPr>
        <w:pStyle w:val="2"/>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《水工混凝土施工规范》SL 677</w:t>
      </w: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pStyle w:val="2"/>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jc w:val="center"/>
        <w:rPr>
          <w:rFonts w:ascii="Times New Roman" w:hAnsi="Times New Roman"/>
          <w:b/>
          <w:color w:val="auto"/>
          <w:sz w:val="32"/>
          <w:szCs w:val="30"/>
          <w:highlight w:val="none"/>
        </w:rPr>
      </w:pPr>
      <w:r>
        <w:rPr>
          <w:rFonts w:hint="eastAsia" w:ascii="Times New Roman" w:hAnsi="Times New Roman"/>
          <w:b/>
          <w:color w:val="auto"/>
          <w:sz w:val="32"/>
          <w:szCs w:val="30"/>
          <w:highlight w:val="none"/>
        </w:rPr>
        <w:t>中国工程建设标准化协会标准</w:t>
      </w:r>
    </w:p>
    <w:p>
      <w:pPr>
        <w:snapToGrid w:val="0"/>
        <w:spacing w:line="312" w:lineRule="auto"/>
        <w:jc w:val="center"/>
        <w:rPr>
          <w:rFonts w:ascii="Times New Roman" w:hAnsi="Times New Roman"/>
          <w:color w:val="auto"/>
          <w:sz w:val="28"/>
          <w:highlight w:val="none"/>
        </w:rPr>
      </w:pPr>
    </w:p>
    <w:p>
      <w:pPr>
        <w:snapToGrid w:val="0"/>
        <w:spacing w:line="312" w:lineRule="auto"/>
        <w:jc w:val="center"/>
        <w:rPr>
          <w:rFonts w:hint="eastAsia" w:ascii="Times New Roman" w:hAnsi="Times New Roman" w:eastAsiaTheme="minorEastAsia"/>
          <w:b/>
          <w:color w:val="auto"/>
          <w:sz w:val="44"/>
          <w:szCs w:val="36"/>
          <w:highlight w:val="none"/>
          <w:lang w:eastAsia="zh-CN"/>
        </w:rPr>
      </w:pPr>
      <w:r>
        <w:rPr>
          <w:rFonts w:hint="eastAsia" w:ascii="Times New Roman" w:hAnsi="Times New Roman"/>
          <w:b/>
          <w:color w:val="auto"/>
          <w:sz w:val="44"/>
          <w:szCs w:val="36"/>
          <w:highlight w:val="none"/>
          <w:lang w:eastAsia="zh-CN"/>
        </w:rPr>
        <w:t>水工混凝土掺合料应用技术规程</w:t>
      </w:r>
    </w:p>
    <w:p>
      <w:pPr>
        <w:snapToGrid w:val="0"/>
        <w:spacing w:line="312" w:lineRule="auto"/>
        <w:jc w:val="center"/>
        <w:rPr>
          <w:rFonts w:ascii="Times New Roman" w:hAnsi="Times New Roman"/>
          <w:color w:val="auto"/>
          <w:sz w:val="28"/>
          <w:highlight w:val="none"/>
        </w:rPr>
      </w:pPr>
    </w:p>
    <w:p>
      <w:pPr>
        <w:snapToGrid w:val="0"/>
        <w:spacing w:line="312" w:lineRule="auto"/>
        <w:jc w:val="center"/>
        <w:rPr>
          <w:rFonts w:hint="eastAsia" w:ascii="Times New Roman" w:hAnsi="Times New Roman" w:eastAsia="宋体"/>
          <w:color w:val="auto"/>
          <w:sz w:val="28"/>
          <w:highlight w:val="none"/>
          <w:lang w:eastAsia="zh-CN"/>
        </w:rPr>
      </w:pPr>
      <w:r>
        <w:rPr>
          <w:rFonts w:ascii="Times New Roman" w:hAnsi="Times New Roman"/>
          <w:color w:val="auto"/>
          <w:sz w:val="28"/>
          <w:highlight w:val="none"/>
        </w:rPr>
        <w:t>T/CECS　</w:t>
      </w:r>
      <w:r>
        <w:rPr>
          <w:rFonts w:hint="eastAsia" w:ascii="Times New Roman" w:hAnsi="Times New Roman"/>
          <w:color w:val="auto"/>
          <w:sz w:val="28"/>
          <w:highlight w:val="none"/>
        </w:rPr>
        <w:t>xxx</w:t>
      </w:r>
      <w:r>
        <w:rPr>
          <w:rFonts w:hint="eastAsia" w:ascii="Times New Roman" w:hAnsi="Times New Roman" w:eastAsia="宋体"/>
          <w:color w:val="auto"/>
          <w:sz w:val="28"/>
          <w:highlight w:val="none"/>
        </w:rPr>
        <w:t>－</w:t>
      </w:r>
      <w:r>
        <w:rPr>
          <w:rFonts w:hint="eastAsia" w:ascii="Times New Roman" w:hAnsi="Times New Roman" w:eastAsia="宋体"/>
          <w:color w:val="auto"/>
          <w:sz w:val="28"/>
          <w:highlight w:val="none"/>
          <w:lang w:eastAsia="zh-CN"/>
        </w:rPr>
        <w:t>202X</w:t>
      </w:r>
    </w:p>
    <w:p>
      <w:pPr>
        <w:snapToGrid w:val="0"/>
        <w:spacing w:line="312" w:lineRule="auto"/>
        <w:ind w:firstLine="4760" w:firstLineChars="1700"/>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pStyle w:val="3"/>
        <w:keepNext w:val="0"/>
        <w:keepLines w:val="0"/>
        <w:snapToGrid w:val="0"/>
        <w:spacing w:before="0" w:after="0" w:line="312" w:lineRule="auto"/>
        <w:jc w:val="center"/>
        <w:rPr>
          <w:rFonts w:ascii="Times New Roman" w:hAnsi="Times New Roman"/>
          <w:b/>
          <w:color w:val="auto"/>
          <w:sz w:val="32"/>
          <w:highlight w:val="none"/>
        </w:rPr>
      </w:pPr>
      <w:bookmarkStart w:id="42" w:name="_Toc29930081"/>
      <w:bookmarkStart w:id="43" w:name="_Toc30020272"/>
      <w:bookmarkStart w:id="44" w:name="_Toc30020877"/>
      <w:r>
        <w:rPr>
          <w:rFonts w:hint="eastAsia" w:ascii="Times New Roman" w:hAnsi="Times New Roman"/>
          <w:b/>
          <w:color w:val="auto"/>
          <w:sz w:val="32"/>
          <w:highlight w:val="none"/>
        </w:rPr>
        <w:t>条文说明</w:t>
      </w:r>
      <w:bookmarkEnd w:id="42"/>
      <w:bookmarkEnd w:id="43"/>
      <w:bookmarkEnd w:id="44"/>
    </w:p>
    <w:p>
      <w:pPr>
        <w:pStyle w:val="3"/>
        <w:keepNext w:val="0"/>
        <w:keepLines w:val="0"/>
        <w:snapToGrid w:val="0"/>
        <w:spacing w:before="0" w:after="0" w:line="312" w:lineRule="auto"/>
        <w:jc w:val="center"/>
        <w:rPr>
          <w:rFonts w:ascii="Times New Roman" w:hAnsi="Times New Roman"/>
          <w:b/>
          <w:color w:val="auto"/>
          <w:sz w:val="32"/>
          <w:highlight w:val="none"/>
        </w:rPr>
        <w:sectPr>
          <w:footerReference r:id="rId11" w:type="default"/>
          <w:pgSz w:w="11906" w:h="16838"/>
          <w:pgMar w:top="1440" w:right="1274" w:bottom="1276" w:left="1800" w:header="851" w:footer="667"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bookmarkStart w:id="45" w:name="_Toc533422758"/>
      <w:bookmarkStart w:id="46" w:name="_Toc533422988"/>
      <w:bookmarkStart w:id="47" w:name="_Toc3054837"/>
      <w:bookmarkStart w:id="48" w:name="_Toc30020273"/>
      <w:bookmarkStart w:id="49" w:name="_Toc30020878"/>
      <w:bookmarkStart w:id="50" w:name="_Toc29930082"/>
      <w:r>
        <w:rPr>
          <w:rFonts w:hint="eastAsia" w:ascii="Times New Roman" w:hAnsi="Times New Roman" w:eastAsia="宋体" w:cs="Times New Roman"/>
          <w:b/>
          <w:color w:val="auto"/>
          <w:sz w:val="32"/>
          <w:szCs w:val="28"/>
          <w:highlight w:val="none"/>
          <w:lang w:val="zh-CN"/>
        </w:rPr>
        <w:t>制定说明</w:t>
      </w: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本规程制定过程中，编制组进行了深入的调查研究，总结了我国水工掺合料在水工混凝土工程中应用的实践经验，同时参考了国外先进技术法规、技术标准，通过对水工掺合料混凝土</w:t>
      </w:r>
      <w:r>
        <w:rPr>
          <w:rFonts w:hint="eastAsia" w:ascii="Times New Roman" w:hAnsi="Times New Roman"/>
          <w:b w:val="0"/>
          <w:bCs/>
          <w:color w:val="auto"/>
          <w:sz w:val="28"/>
          <w:highlight w:val="none"/>
          <w:lang w:val="en-US" w:eastAsia="zh-CN"/>
        </w:rPr>
        <w:t>拌合物性能、力学性能和耐久性能</w:t>
      </w:r>
      <w:r>
        <w:rPr>
          <w:rFonts w:hint="eastAsia" w:ascii="Times New Roman" w:hAnsi="Times New Roman" w:eastAsia="宋体" w:cs="Times New Roman"/>
          <w:b w:val="0"/>
          <w:bCs/>
          <w:color w:val="auto"/>
          <w:sz w:val="28"/>
          <w:highlight w:val="none"/>
          <w:lang w:val="en-US" w:eastAsia="zh-CN"/>
        </w:rPr>
        <w:t>的试验研究，取得了水工混凝土工程用水工掺合料的重要技术参数。</w:t>
      </w: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水工掺合料针对粉煤灰、矿渣微粉等掺合料的性能特点，采用复配、激发等技术手段，通过工业固废之间宏观空隙的物理填充、粉料胶结和微观孔隙的水化产物致密，以获得良好的工作性能、力学性能和耐久性能。水工掺合料可替代水泥，已在国内的水工混凝土工程中较为广泛应用，取得良好效果。由于水工掺合料能改善新拌混凝土的流动性和硬化混凝土的耐久性，同时再生利用工业固废，对提高水工混凝土性能、低碳减排具有重要意义。</w:t>
      </w: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为便于广大技术和管理人员在使用本规程时能正确理解和执行条款规定，《</w:t>
      </w:r>
      <w:r>
        <w:rPr>
          <w:rFonts w:hint="eastAsia" w:ascii="Times New Roman" w:hAnsi="Times New Roman" w:eastAsia="宋体" w:cs="Times New Roman"/>
          <w:b w:val="0"/>
          <w:bCs/>
          <w:color w:val="auto"/>
          <w:sz w:val="28"/>
          <w:highlight w:val="none"/>
          <w:lang w:val="zh-CN" w:eastAsia="zh-CN"/>
        </w:rPr>
        <w:t>水工掺合料应用技术规程</w:t>
      </w:r>
      <w:r>
        <w:rPr>
          <w:rFonts w:hint="eastAsia" w:ascii="Times New Roman" w:hAnsi="Times New Roman" w:eastAsia="宋体" w:cs="Times New Roman"/>
          <w:b w:val="0"/>
          <w:bCs/>
          <w:color w:val="auto"/>
          <w:sz w:val="28"/>
          <w:highlight w:val="none"/>
          <w:lang w:val="en-US" w:eastAsia="zh-CN"/>
        </w:rPr>
        <w:t>》编制组按章、节、条顺序编制了本规程的条文说明，对条款规定的目的、依据以及执行中需注意的有关事项进行了说明。本条文说明不具备与标准正文及附录同等的法律效力，仅供使用者作为理解和把握标准规定的参考。</w:t>
      </w: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p>
    <w:p>
      <w:pPr>
        <w:snapToGrid w:val="0"/>
        <w:spacing w:line="360" w:lineRule="auto"/>
        <w:ind w:firstLine="560" w:firstLineChars="200"/>
        <w:rPr>
          <w:rFonts w:hint="eastAsia" w:ascii="Times New Roman" w:hAnsi="Times New Roman" w:eastAsia="宋体" w:cs="Times New Roman"/>
          <w:b w:val="0"/>
          <w:bCs/>
          <w:color w:val="auto"/>
          <w:sz w:val="28"/>
          <w:highlight w:val="none"/>
          <w:lang w:val="en-US" w:eastAsia="zh-CN"/>
        </w:rPr>
      </w:pPr>
    </w:p>
    <w:p>
      <w:pPr>
        <w:snapToGrid w:val="0"/>
        <w:spacing w:line="312" w:lineRule="auto"/>
        <w:jc w:val="center"/>
        <w:rPr>
          <w:rFonts w:hint="eastAsia" w:ascii="Times New Roman" w:hAnsi="Times New Roman" w:eastAsia="仿宋" w:cs="Times New Roman"/>
          <w:b/>
          <w:color w:val="auto"/>
          <w:sz w:val="36"/>
          <w:szCs w:val="32"/>
          <w:highlight w:val="none"/>
          <w:lang w:val="zh-CN"/>
        </w:rPr>
      </w:pPr>
    </w:p>
    <w:bookmarkEnd w:id="45"/>
    <w:bookmarkEnd w:id="46"/>
    <w:bookmarkEnd w:id="47"/>
    <w:bookmarkEnd w:id="48"/>
    <w:bookmarkEnd w:id="49"/>
    <w:bookmarkEnd w:id="50"/>
    <w:p>
      <w:pPr>
        <w:snapToGrid w:val="0"/>
        <w:spacing w:line="312" w:lineRule="auto"/>
        <w:jc w:val="center"/>
        <w:rPr>
          <w:rFonts w:ascii="Times New Roman" w:hAnsi="Times New Roman" w:eastAsia="仿宋" w:cs="Times New Roman"/>
          <w:b/>
          <w:color w:val="auto"/>
          <w:sz w:val="36"/>
          <w:szCs w:val="32"/>
          <w:highlight w:val="none"/>
          <w:lang w:val="zh-CN"/>
        </w:rPr>
      </w:pPr>
      <w:r>
        <w:rPr>
          <w:rFonts w:hint="eastAsia" w:ascii="Times New Roman" w:hAnsi="Times New Roman" w:eastAsia="仿宋" w:cs="Times New Roman"/>
          <w:b/>
          <w:color w:val="auto"/>
          <w:sz w:val="36"/>
          <w:szCs w:val="32"/>
          <w:highlight w:val="none"/>
          <w:lang w:val="zh-CN"/>
        </w:rPr>
        <w:t>目　</w:t>
      </w:r>
      <w:r>
        <w:rPr>
          <w:rFonts w:ascii="Times New Roman" w:hAnsi="Times New Roman" w:eastAsia="仿宋" w:cs="Times New Roman"/>
          <w:b/>
          <w:color w:val="auto"/>
          <w:sz w:val="36"/>
          <w:szCs w:val="32"/>
          <w:highlight w:val="none"/>
          <w:lang w:val="zh-CN"/>
        </w:rPr>
        <w:t>　</w:t>
      </w:r>
      <w:r>
        <w:rPr>
          <w:rFonts w:hint="eastAsia" w:ascii="Times New Roman" w:hAnsi="Times New Roman" w:eastAsia="仿宋" w:cs="Times New Roman"/>
          <w:b/>
          <w:color w:val="auto"/>
          <w:sz w:val="36"/>
          <w:szCs w:val="32"/>
          <w:highlight w:val="none"/>
          <w:lang w:val="zh-CN"/>
        </w:rPr>
        <w:t>次</w:t>
      </w:r>
    </w:p>
    <w:p>
      <w:pPr>
        <w:rPr>
          <w:rFonts w:ascii="Times New Roman" w:hAnsi="Times New Roman"/>
          <w:color w:val="auto"/>
          <w:highlight w:val="none"/>
          <w:lang w:val="zh-CN"/>
        </w:rPr>
      </w:pP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textAlignment w:val="auto"/>
        <w:rPr>
          <w:rFonts w:ascii="Times New Roman" w:hAnsi="Times New Roman" w:cs="Times New Roman"/>
          <w:b w:val="0"/>
          <w:bCs w:val="0"/>
          <w:color w:val="auto"/>
          <w:sz w:val="28"/>
          <w:szCs w:val="28"/>
          <w:highlight w:val="none"/>
        </w:rPr>
      </w:pPr>
      <w:r>
        <w:rPr>
          <w:rFonts w:ascii="Times New Roman" w:hAnsi="Times New Roman" w:cs="Times New Roman"/>
          <w:b w:val="0"/>
          <w:bCs w:val="0"/>
          <w:color w:val="auto"/>
          <w:sz w:val="28"/>
          <w:szCs w:val="28"/>
          <w:highlight w:val="none"/>
          <w:lang w:val="zh-CN"/>
        </w:rPr>
        <w:fldChar w:fldCharType="begin"/>
      </w:r>
      <w:r>
        <w:rPr>
          <w:rFonts w:ascii="Times New Roman" w:hAnsi="Times New Roman" w:cs="Times New Roman"/>
          <w:b w:val="0"/>
          <w:bCs w:val="0"/>
          <w:color w:val="auto"/>
          <w:sz w:val="28"/>
          <w:szCs w:val="28"/>
          <w:highlight w:val="none"/>
          <w:lang w:val="zh-CN"/>
        </w:rPr>
        <w:instrText xml:space="preserve"> TOC \o "1-2" \h \z \u </w:instrText>
      </w:r>
      <w:r>
        <w:rPr>
          <w:rFonts w:ascii="Times New Roman" w:hAnsi="Times New Roman" w:cs="Times New Roman"/>
          <w:b w:val="0"/>
          <w:bCs w:val="0"/>
          <w:color w:val="auto"/>
          <w:sz w:val="28"/>
          <w:szCs w:val="28"/>
          <w:highlight w:val="none"/>
          <w:lang w:val="zh-CN"/>
        </w:rPr>
        <w:fldChar w:fldCharType="separate"/>
      </w:r>
      <w:r>
        <w:rPr>
          <w:rFonts w:ascii="Times New Roman" w:hAnsi="Times New Roman" w:cs="Times New Roman"/>
          <w:b w:val="0"/>
          <w:bCs w:val="0"/>
          <w:color w:val="auto"/>
          <w:sz w:val="28"/>
          <w:szCs w:val="28"/>
          <w:highlight w:val="none"/>
          <w:lang w:val="zh-CN"/>
        </w:rPr>
        <w:fldChar w:fldCharType="begin"/>
      </w:r>
      <w:r>
        <w:rPr>
          <w:rFonts w:ascii="Times New Roman" w:hAnsi="Times New Roman" w:cs="Times New Roman"/>
          <w:b w:val="0"/>
          <w:bCs w:val="0"/>
          <w:color w:val="auto"/>
          <w:sz w:val="28"/>
          <w:szCs w:val="28"/>
          <w:highlight w:val="none"/>
          <w:lang w:val="zh-CN"/>
        </w:rPr>
        <w:instrText xml:space="preserve"> TOC \o "1-2" \h \z \u </w:instrText>
      </w:r>
      <w:r>
        <w:rPr>
          <w:rFonts w:ascii="Times New Roman" w:hAnsi="Times New Roman" w:cs="Times New Roman"/>
          <w:b w:val="0"/>
          <w:bCs w:val="0"/>
          <w:color w:val="auto"/>
          <w:sz w:val="28"/>
          <w:szCs w:val="28"/>
          <w:highlight w:val="none"/>
          <w:lang w:val="zh-CN"/>
        </w:rPr>
        <w:fldChar w:fldCharType="separate"/>
      </w: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"_Toc30020852" </w:instrText>
      </w:r>
      <w:r>
        <w:rPr>
          <w:rFonts w:ascii="Times New Roman" w:hAnsi="Times New Roman"/>
          <w:b w:val="0"/>
          <w:bCs w:val="0"/>
          <w:color w:val="auto"/>
          <w:sz w:val="28"/>
          <w:szCs w:val="28"/>
          <w:highlight w:val="none"/>
        </w:rPr>
        <w:fldChar w:fldCharType="separate"/>
      </w:r>
      <w:r>
        <w:rPr>
          <w:rStyle w:val="25"/>
          <w:rFonts w:ascii="Times New Roman" w:hAnsi="Times New Roman" w:cs="Times New Roman"/>
          <w:b w:val="0"/>
          <w:bCs w:val="0"/>
          <w:color w:val="auto"/>
          <w:sz w:val="28"/>
          <w:szCs w:val="28"/>
          <w:highlight w:val="none"/>
          <w:lang w:val="zh-CN"/>
        </w:rPr>
        <w:t>1　总　　则</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30</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"_Toc30020853" </w:instrText>
      </w:r>
      <w:r>
        <w:rPr>
          <w:rFonts w:ascii="Times New Roman" w:hAnsi="Times New Roman"/>
          <w:b w:val="0"/>
          <w:bCs w:val="0"/>
          <w:color w:val="auto"/>
          <w:sz w:val="28"/>
          <w:szCs w:val="28"/>
          <w:highlight w:val="none"/>
        </w:rPr>
        <w:fldChar w:fldCharType="separate"/>
      </w:r>
      <w:r>
        <w:rPr>
          <w:rStyle w:val="25"/>
          <w:rFonts w:ascii="Times New Roman" w:hAnsi="Times New Roman" w:cs="Times New Roman"/>
          <w:b w:val="0"/>
          <w:bCs w:val="0"/>
          <w:color w:val="auto"/>
          <w:sz w:val="28"/>
          <w:szCs w:val="28"/>
          <w:highlight w:val="none"/>
          <w:lang w:val="zh-CN"/>
        </w:rPr>
        <w:t>2　术</w:t>
      </w:r>
      <w:r>
        <w:rPr>
          <w:rStyle w:val="25"/>
          <w:rFonts w:hint="eastAsia" w:ascii="Times New Roman" w:hAnsi="Times New Roman" w:cs="Times New Roman"/>
          <w:b w:val="0"/>
          <w:bCs w:val="0"/>
          <w:color w:val="auto"/>
          <w:sz w:val="28"/>
          <w:szCs w:val="28"/>
          <w:highlight w:val="none"/>
          <w:lang w:val="en-US" w:eastAsia="zh-CN"/>
        </w:rPr>
        <w:t xml:space="preserve">    </w:t>
      </w:r>
      <w:r>
        <w:rPr>
          <w:rStyle w:val="25"/>
          <w:rFonts w:ascii="Times New Roman" w:hAnsi="Times New Roman" w:cs="Times New Roman"/>
          <w:b w:val="0"/>
          <w:bCs w:val="0"/>
          <w:color w:val="auto"/>
          <w:sz w:val="28"/>
          <w:szCs w:val="28"/>
          <w:highlight w:val="none"/>
          <w:lang w:val="zh-CN"/>
        </w:rPr>
        <w:t>语</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31</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"_Toc30020859"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3</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基本规定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32</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"_Toc30020859"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4</w:t>
      </w:r>
      <w:r>
        <w:rPr>
          <w:rStyle w:val="25"/>
          <w:rFonts w:ascii="Times New Roman" w:hAnsi="Times New Roman" w:cs="Times New Roman"/>
          <w:b w:val="0"/>
          <w:bCs w:val="0"/>
          <w:color w:val="auto"/>
          <w:sz w:val="28"/>
          <w:szCs w:val="28"/>
          <w:highlight w:val="none"/>
          <w:lang w:val="zh-CN"/>
        </w:rPr>
        <w:t>　</w:t>
      </w:r>
      <w:r>
        <w:rPr>
          <w:rStyle w:val="25"/>
          <w:rFonts w:hint="eastAsia" w:ascii="Times New Roman" w:hAnsi="Times New Roman" w:cs="Times New Roman"/>
          <w:b w:val="0"/>
          <w:bCs w:val="0"/>
          <w:color w:val="auto"/>
          <w:sz w:val="28"/>
          <w:szCs w:val="28"/>
          <w:highlight w:val="none"/>
          <w:lang w:val="en-US" w:eastAsia="zh-CN"/>
        </w:rPr>
        <w:t xml:space="preserve">材料及性能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33</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"_Toc30020860"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4</w:t>
      </w:r>
      <w:r>
        <w:rPr>
          <w:rFonts w:ascii="Times New Roman" w:hAnsi="Times New Roman"/>
          <w:b w:val="0"/>
          <w:bCs w:val="0"/>
          <w:color w:val="auto"/>
          <w:sz w:val="28"/>
          <w:szCs w:val="28"/>
          <w:highlight w:val="none"/>
        </w:rPr>
        <w:t>.</w:t>
      </w:r>
      <w:r>
        <w:rPr>
          <w:rFonts w:hint="eastAsia" w:ascii="Times New Roman" w:hAnsi="Times New Roman"/>
          <w:b w:val="0"/>
          <w:bCs w:val="0"/>
          <w:color w:val="auto"/>
          <w:sz w:val="28"/>
          <w:szCs w:val="28"/>
          <w:highlight w:val="none"/>
          <w:lang w:val="en-US" w:eastAsia="zh-CN"/>
        </w:rPr>
        <w:t>2</w:t>
      </w:r>
      <w:r>
        <w:rPr>
          <w:rFonts w:ascii="Times New Roman" w:hAnsi="Times New Roman"/>
          <w:b w:val="0"/>
          <w:bCs w:val="0"/>
          <w:color w:val="auto"/>
          <w:sz w:val="28"/>
          <w:szCs w:val="28"/>
          <w:highlight w:val="none"/>
        </w:rPr>
        <w:t>　</w:t>
      </w:r>
      <w:r>
        <w:rPr>
          <w:rFonts w:hint="eastAsia" w:ascii="Times New Roman" w:hAnsi="Times New Roman"/>
          <w:b w:val="0"/>
          <w:bCs w:val="0"/>
          <w:color w:val="auto"/>
          <w:sz w:val="28"/>
          <w:szCs w:val="28"/>
          <w:highlight w:val="none"/>
          <w:lang w:val="en-US" w:eastAsia="zh-CN"/>
        </w:rPr>
        <w:t xml:space="preserve">水工掺合料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33</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4</w:t>
      </w:r>
      <w:r>
        <w:rPr>
          <w:rFonts w:ascii="Times New Roman" w:hAnsi="Times New Roman" w:eastAsia="宋体" w:cs="Times New Roman"/>
          <w:b w:val="0"/>
          <w:bCs w:val="0"/>
          <w:color w:val="auto"/>
          <w:sz w:val="28"/>
          <w:szCs w:val="28"/>
          <w:highlight w:val="none"/>
        </w:rPr>
        <w:t>.</w:t>
      </w:r>
      <w:r>
        <w:rPr>
          <w:rFonts w:hint="eastAsia" w:ascii="Times New Roman" w:hAnsi="Times New Roman" w:eastAsia="宋体" w:cs="Times New Roman"/>
          <w:b w:val="0"/>
          <w:bCs w:val="0"/>
          <w:color w:val="auto"/>
          <w:sz w:val="28"/>
          <w:szCs w:val="28"/>
          <w:highlight w:val="none"/>
          <w:lang w:val="en-US" w:eastAsia="zh-CN"/>
        </w:rPr>
        <w:t>3</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水工掺合料交货、验收与储存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34</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textAlignment w:val="auto"/>
        <w:rPr>
          <w:rFonts w:ascii="Times New Roman" w:hAnsi="Times New Roman" w:cs="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"_Toc30020859" </w:instrText>
      </w:r>
      <w:r>
        <w:rPr>
          <w:rFonts w:ascii="Times New Roman" w:hAnsi="Times New Roman"/>
          <w:b w:val="0"/>
          <w:bCs w:val="0"/>
          <w:color w:val="auto"/>
          <w:sz w:val="28"/>
          <w:szCs w:val="28"/>
          <w:highlight w:val="none"/>
        </w:rPr>
        <w:fldChar w:fldCharType="separate"/>
      </w:r>
      <w:r>
        <w:rPr>
          <w:rStyle w:val="25"/>
          <w:rFonts w:hint="eastAsia" w:ascii="Times New Roman" w:hAnsi="Times New Roman" w:cs="Times New Roman"/>
          <w:b w:val="0"/>
          <w:bCs w:val="0"/>
          <w:color w:val="auto"/>
          <w:sz w:val="28"/>
          <w:szCs w:val="28"/>
          <w:highlight w:val="none"/>
          <w:lang w:val="en-US" w:eastAsia="zh-CN"/>
        </w:rPr>
        <w:t>5</w:t>
      </w:r>
      <w:r>
        <w:rPr>
          <w:rStyle w:val="25"/>
          <w:rFonts w:ascii="Times New Roman" w:hAnsi="Times New Roman" w:cs="Times New Roman"/>
          <w:b w:val="0"/>
          <w:bCs w:val="0"/>
          <w:color w:val="auto"/>
          <w:sz w:val="28"/>
          <w:szCs w:val="28"/>
          <w:highlight w:val="none"/>
          <w:lang w:val="zh-CN"/>
        </w:rPr>
        <w:t>　</w:t>
      </w:r>
      <w:r>
        <w:rPr>
          <w:rFonts w:hint="eastAsia" w:ascii="Times New Roman" w:hAnsi="Times New Roman"/>
          <w:b w:val="0"/>
          <w:bCs w:val="0"/>
          <w:color w:val="auto"/>
          <w:sz w:val="28"/>
          <w:szCs w:val="28"/>
          <w:highlight w:val="none"/>
          <w:lang w:val="en-US" w:eastAsia="zh-CN"/>
        </w:rPr>
        <w:t>水工掺合料混凝土配合比设计</w:t>
      </w:r>
      <w:r>
        <w:rPr>
          <w:rStyle w:val="25"/>
          <w:rFonts w:hint="eastAsia" w:ascii="Times New Roman" w:hAnsi="Times New Roman" w:cs="Times New Roman"/>
          <w:b w:val="0"/>
          <w:bCs w:val="0"/>
          <w:color w:val="auto"/>
          <w:sz w:val="28"/>
          <w:szCs w:val="28"/>
          <w:highlight w:val="none"/>
          <w:lang w:val="en-US" w:eastAsia="zh-CN"/>
        </w:rPr>
        <w:t xml:space="preserve"> </w:t>
      </w:r>
      <w:r>
        <w:rPr>
          <w:rFonts w:ascii="Times New Roman" w:hAnsi="Times New Roman" w:cs="Times New Roman"/>
          <w:b w:val="0"/>
          <w:bCs w:val="0"/>
          <w:color w:val="auto"/>
          <w:sz w:val="28"/>
          <w:szCs w:val="28"/>
          <w:highlight w:val="none"/>
        </w:rPr>
        <w:tab/>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hint="eastAsia" w:ascii="Times New Roman" w:hAnsi="Times New Roman" w:cstheme="minorBidi"/>
          <w:b w:val="0"/>
          <w:bCs w:val="0"/>
          <w:color w:val="auto"/>
          <w:kern w:val="2"/>
          <w:sz w:val="28"/>
          <w:szCs w:val="28"/>
          <w:highlight w:val="none"/>
          <w:lang w:val="en-US" w:eastAsia="zh-CN" w:bidi="ar-SA"/>
        </w:rPr>
        <w:t>35</w:t>
      </w:r>
      <w:r>
        <w:rPr>
          <w:rFonts w:hint="eastAsia" w:ascii="Times New Roman" w:hAnsi="Times New Roman" w:eastAsiaTheme="minorEastAsia" w:cstheme="minorBidi"/>
          <w:b w:val="0"/>
          <w:bCs w:val="0"/>
          <w:color w:val="auto"/>
          <w:kern w:val="2"/>
          <w:sz w:val="28"/>
          <w:szCs w:val="28"/>
          <w:highlight w:val="none"/>
          <w:lang w:val="en-US" w:eastAsia="zh-CN" w:bidi="ar-SA"/>
        </w:rPr>
        <w:t>）</w:t>
      </w:r>
      <w:r>
        <w:rPr>
          <w:rFonts w:ascii="Times New Roman" w:hAnsi="Times New Roman"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ind w:left="315" w:leftChars="150"/>
        <w:textAlignment w:val="auto"/>
        <w:rPr>
          <w:rFonts w:ascii="Times New Roman" w:hAnsi="Times New Roman"/>
          <w:b w:val="0"/>
          <w:bCs w:val="0"/>
          <w:color w:val="auto"/>
          <w:sz w:val="28"/>
          <w:szCs w:val="28"/>
          <w:highlight w:val="none"/>
        </w:rPr>
      </w:pPr>
      <w:r>
        <w:rPr>
          <w:rFonts w:ascii="Times New Roman" w:hAnsi="Times New Roman"/>
          <w:b w:val="0"/>
          <w:bCs w:val="0"/>
          <w:color w:val="auto"/>
          <w:sz w:val="28"/>
          <w:szCs w:val="28"/>
          <w:highlight w:val="none"/>
        </w:rPr>
        <w:fldChar w:fldCharType="begin"/>
      </w:r>
      <w:r>
        <w:rPr>
          <w:rFonts w:ascii="Times New Roman" w:hAnsi="Times New Roman"/>
          <w:b w:val="0"/>
          <w:bCs w:val="0"/>
          <w:color w:val="auto"/>
          <w:sz w:val="28"/>
          <w:szCs w:val="28"/>
          <w:highlight w:val="none"/>
        </w:rPr>
        <w:instrText xml:space="preserve"> HYPERLINK \l "_Toc30020860" </w:instrText>
      </w:r>
      <w:r>
        <w:rPr>
          <w:rFonts w:ascii="Times New Roman" w:hAnsi="Times New Roman"/>
          <w:b w:val="0"/>
          <w:bCs w:val="0"/>
          <w:color w:val="auto"/>
          <w:sz w:val="28"/>
          <w:szCs w:val="28"/>
          <w:highlight w:val="none"/>
        </w:rPr>
        <w:fldChar w:fldCharType="separate"/>
      </w:r>
      <w:r>
        <w:rPr>
          <w:rFonts w:hint="eastAsia" w:ascii="Times New Roman" w:hAnsi="Times New Roman"/>
          <w:b w:val="0"/>
          <w:bCs w:val="0"/>
          <w:color w:val="auto"/>
          <w:sz w:val="28"/>
          <w:szCs w:val="28"/>
          <w:highlight w:val="none"/>
          <w:lang w:val="en-US" w:eastAsia="zh-CN"/>
        </w:rPr>
        <w:t>5</w:t>
      </w:r>
      <w:r>
        <w:rPr>
          <w:rFonts w:ascii="Times New Roman" w:hAnsi="Times New Roman"/>
          <w:b w:val="0"/>
          <w:bCs w:val="0"/>
          <w:color w:val="auto"/>
          <w:sz w:val="28"/>
          <w:szCs w:val="28"/>
          <w:highlight w:val="none"/>
        </w:rPr>
        <w:t>.1　</w:t>
      </w:r>
      <w:r>
        <w:rPr>
          <w:rFonts w:hint="eastAsia" w:ascii="Times New Roman" w:hAnsi="Times New Roman"/>
          <w:b w:val="0"/>
          <w:bCs w:val="0"/>
          <w:color w:val="auto"/>
          <w:sz w:val="28"/>
          <w:szCs w:val="28"/>
          <w:highlight w:val="none"/>
          <w:lang w:val="en-US" w:eastAsia="zh-CN"/>
        </w:rPr>
        <w:t xml:space="preserve">原材料要求 </w:t>
      </w:r>
      <w:r>
        <w:rPr>
          <w:rFonts w:ascii="Times New Roman" w:hAnsi="Times New Roman"/>
          <w:b w:val="0"/>
          <w:bCs w:val="0"/>
          <w:color w:val="auto"/>
          <w:sz w:val="28"/>
          <w:szCs w:val="28"/>
          <w:highlight w:val="none"/>
        </w:rPr>
        <w:tab/>
      </w:r>
      <w:r>
        <w:rPr>
          <w:rFonts w:hint="eastAsia" w:ascii="Times New Roman" w:hAnsi="Times New Roman"/>
          <w:b w:val="0"/>
          <w:bCs w:val="0"/>
          <w:color w:val="auto"/>
          <w:sz w:val="28"/>
          <w:szCs w:val="28"/>
          <w:highlight w:val="none"/>
          <w:lang w:eastAsia="zh-CN"/>
        </w:rPr>
        <w:t>（</w:t>
      </w:r>
      <w:r>
        <w:rPr>
          <w:rFonts w:hint="eastAsia" w:ascii="Times New Roman" w:hAnsi="Times New Roman"/>
          <w:b w:val="0"/>
          <w:bCs w:val="0"/>
          <w:color w:val="auto"/>
          <w:sz w:val="28"/>
          <w:szCs w:val="28"/>
          <w:highlight w:val="none"/>
          <w:lang w:val="en-US" w:eastAsia="zh-CN"/>
        </w:rPr>
        <w:t>35</w:t>
      </w:r>
      <w:r>
        <w:rPr>
          <w:rFonts w:hint="eastAsia" w:ascii="Times New Roman" w:hAnsi="Times New Roman"/>
          <w:b w:val="0"/>
          <w:bCs w:val="0"/>
          <w:color w:val="auto"/>
          <w:sz w:val="28"/>
          <w:szCs w:val="28"/>
          <w:highlight w:val="none"/>
          <w:lang w:eastAsia="zh-CN"/>
        </w:rPr>
        <w:t>）</w:t>
      </w:r>
      <w:r>
        <w:rPr>
          <w:rFonts w:ascii="Times New Roman" w:hAnsi="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5</w:t>
      </w:r>
      <w:r>
        <w:rPr>
          <w:rFonts w:ascii="Times New Roman" w:hAnsi="Times New Roman" w:eastAsia="宋体" w:cs="Times New Roman"/>
          <w:b w:val="0"/>
          <w:bCs w:val="0"/>
          <w:color w:val="auto"/>
          <w:sz w:val="28"/>
          <w:szCs w:val="28"/>
          <w:highlight w:val="none"/>
        </w:rPr>
        <w:t>.2　</w:t>
      </w:r>
      <w:r>
        <w:rPr>
          <w:rFonts w:hint="eastAsia" w:ascii="Times New Roman" w:hAnsi="Times New Roman" w:eastAsia="宋体" w:cs="Times New Roman"/>
          <w:b w:val="0"/>
          <w:bCs w:val="0"/>
          <w:color w:val="auto"/>
          <w:sz w:val="28"/>
          <w:szCs w:val="28"/>
          <w:highlight w:val="none"/>
          <w:lang w:val="en-US" w:eastAsia="zh-CN"/>
        </w:rPr>
        <w:t xml:space="preserve">配合比设计原则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36</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5.4</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水工掺合料混凝土性能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37</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"_Toc30020864"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w:t>
      </w:r>
      <w:r>
        <w:rPr>
          <w:rFonts w:ascii="Times New Roman" w:hAnsi="Times New Roman" w:eastAsia="宋体" w:cs="Times New Roman"/>
          <w:b w:val="0"/>
          <w:bCs w:val="0"/>
          <w:color w:val="auto"/>
          <w:sz w:val="28"/>
          <w:szCs w:val="28"/>
          <w:highlight w:val="none"/>
          <w:lang w:val="zh-CN"/>
        </w:rPr>
        <w:t>　</w:t>
      </w:r>
      <w:r>
        <w:rPr>
          <w:rFonts w:hint="eastAsia" w:ascii="Times New Roman" w:hAnsi="Times New Roman" w:eastAsia="宋体" w:cs="Times New Roman"/>
          <w:b w:val="0"/>
          <w:bCs w:val="0"/>
          <w:color w:val="auto"/>
          <w:sz w:val="28"/>
          <w:szCs w:val="28"/>
          <w:highlight w:val="none"/>
          <w:lang w:val="en-US" w:eastAsia="zh-CN"/>
        </w:rPr>
        <w:t xml:space="preserve">水工掺合料混凝土施工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val="en-US" w:eastAsia="zh-CN"/>
        </w:rPr>
        <w:t>（40）</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w:t>
      </w:r>
      <w:r>
        <w:rPr>
          <w:rFonts w:ascii="Times New Roman" w:hAnsi="Times New Roman" w:eastAsia="宋体" w:cs="Times New Roman"/>
          <w:b w:val="0"/>
          <w:bCs w:val="0"/>
          <w:color w:val="auto"/>
          <w:sz w:val="28"/>
          <w:szCs w:val="28"/>
          <w:highlight w:val="none"/>
        </w:rPr>
        <w:t>.2　</w:t>
      </w:r>
      <w:r>
        <w:rPr>
          <w:rFonts w:hint="eastAsia" w:ascii="Times New Roman" w:hAnsi="Times New Roman" w:eastAsia="宋体" w:cs="Times New Roman"/>
          <w:b w:val="0"/>
          <w:bCs w:val="0"/>
          <w:color w:val="auto"/>
          <w:sz w:val="28"/>
          <w:szCs w:val="28"/>
          <w:highlight w:val="none"/>
          <w:lang w:val="en-US" w:eastAsia="zh-CN"/>
        </w:rPr>
        <w:t xml:space="preserve">水工掺合料混凝土的拌制与运输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40</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6.3</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水工掺合料混凝土的浇筑与成型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40</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6.4</w:t>
      </w:r>
      <w:r>
        <w:rPr>
          <w:rFonts w:ascii="Times New Roman" w:hAnsi="Times New Roman" w:eastAsia="宋体" w:cs="Times New Roman"/>
          <w:b w:val="0"/>
          <w:bCs w:val="0"/>
          <w:color w:val="auto"/>
          <w:sz w:val="28"/>
          <w:szCs w:val="28"/>
          <w:highlight w:val="none"/>
        </w:rPr>
        <w:t>　</w:t>
      </w:r>
      <w:r>
        <w:rPr>
          <w:rFonts w:hint="eastAsia" w:ascii="Times New Roman" w:hAnsi="Times New Roman" w:eastAsia="宋体" w:cs="Times New Roman"/>
          <w:b w:val="0"/>
          <w:bCs w:val="0"/>
          <w:color w:val="auto"/>
          <w:sz w:val="28"/>
          <w:szCs w:val="28"/>
          <w:highlight w:val="none"/>
          <w:lang w:val="en-US" w:eastAsia="zh-CN"/>
        </w:rPr>
        <w:t xml:space="preserve">水工掺合料混凝土的养护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40</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val="0"/>
          <w:color w:val="auto"/>
          <w:sz w:val="28"/>
          <w:szCs w:val="28"/>
          <w:highlight w:val="none"/>
          <w:lang w:val="en-US" w:eastAsia="zh-CN"/>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"_Toc30020870"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7</w:t>
      </w:r>
      <w:r>
        <w:rPr>
          <w:rFonts w:ascii="Times New Roman" w:hAnsi="Times New Roman" w:eastAsia="宋体" w:cs="Times New Roman"/>
          <w:b w:val="0"/>
          <w:bCs w:val="0"/>
          <w:color w:val="auto"/>
          <w:sz w:val="28"/>
          <w:szCs w:val="28"/>
          <w:highlight w:val="none"/>
          <w:lang w:val="zh-CN"/>
        </w:rPr>
        <w:t>　</w:t>
      </w:r>
      <w:r>
        <w:rPr>
          <w:rFonts w:hint="eastAsia" w:ascii="Times New Roman" w:hAnsi="Times New Roman" w:eastAsia="宋体" w:cs="Times New Roman"/>
          <w:b w:val="0"/>
          <w:bCs w:val="0"/>
          <w:color w:val="auto"/>
          <w:sz w:val="28"/>
          <w:szCs w:val="28"/>
          <w:highlight w:val="none"/>
          <w:lang w:val="en-US" w:eastAsia="zh-CN"/>
        </w:rPr>
        <w:t xml:space="preserve">质量检验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val="en-US" w:eastAsia="zh-CN"/>
        </w:rPr>
        <w:t>（42）</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7</w:t>
      </w:r>
      <w:r>
        <w:rPr>
          <w:rFonts w:ascii="Times New Roman" w:hAnsi="Times New Roman" w:eastAsia="宋体" w:cs="Times New Roman"/>
          <w:b w:val="0"/>
          <w:bCs w:val="0"/>
          <w:color w:val="auto"/>
          <w:sz w:val="28"/>
          <w:szCs w:val="28"/>
          <w:highlight w:val="none"/>
        </w:rPr>
        <w:t>.2　</w:t>
      </w:r>
      <w:r>
        <w:rPr>
          <w:rFonts w:hint="default" w:ascii="Times New Roman" w:hAnsi="Times New Roman" w:eastAsia="宋体" w:cs="Times New Roman"/>
          <w:b w:val="0"/>
          <w:bCs w:val="0"/>
          <w:color w:val="auto"/>
          <w:sz w:val="28"/>
          <w:szCs w:val="28"/>
          <w:highlight w:val="none"/>
          <w:lang w:val="en-US" w:eastAsia="zh-CN"/>
        </w:rPr>
        <w:t>混凝土拌合物性能检验</w:t>
      </w:r>
      <w:r>
        <w:rPr>
          <w:rFonts w:hint="eastAsia" w:ascii="Times New Roman" w:hAnsi="Times New Roman" w:eastAsia="宋体" w:cs="Times New Roman"/>
          <w:b w:val="0"/>
          <w:bCs w:val="0"/>
          <w:color w:val="auto"/>
          <w:sz w:val="28"/>
          <w:szCs w:val="28"/>
          <w:highlight w:val="none"/>
          <w:lang w:val="en-US" w:eastAsia="zh-CN"/>
        </w:rPr>
        <w:t xml:space="preserve">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42</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pStyle w:val="15"/>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ind w:left="315" w:leftChars="150"/>
        <w:textAlignment w:val="auto"/>
        <w:rPr>
          <w:rFonts w:ascii="Times New Roman" w:hAnsi="Times New Roman" w:eastAsia="宋体" w:cs="Times New Roman"/>
          <w:b w:val="0"/>
          <w:bCs w:val="0"/>
          <w:color w:val="auto"/>
          <w:sz w:val="28"/>
          <w:szCs w:val="28"/>
          <w:highlight w:val="none"/>
        </w:rPr>
      </w:pPr>
      <w:r>
        <w:rPr>
          <w:rFonts w:ascii="Times New Roman" w:hAnsi="Times New Roman" w:eastAsia="宋体" w:cs="Times New Roman"/>
          <w:b w:val="0"/>
          <w:bCs w:val="0"/>
          <w:color w:val="auto"/>
          <w:sz w:val="28"/>
          <w:szCs w:val="28"/>
          <w:highlight w:val="none"/>
        </w:rPr>
        <w:fldChar w:fldCharType="begin"/>
      </w:r>
      <w:r>
        <w:rPr>
          <w:rFonts w:ascii="Times New Roman" w:hAnsi="Times New Roman" w:eastAsia="宋体" w:cs="Times New Roman"/>
          <w:b w:val="0"/>
          <w:bCs w:val="0"/>
          <w:color w:val="auto"/>
          <w:sz w:val="28"/>
          <w:szCs w:val="28"/>
          <w:highlight w:val="none"/>
        </w:rPr>
        <w:instrText xml:space="preserve"> HYPERLINK \l "_Toc30020861" </w:instrText>
      </w:r>
      <w:r>
        <w:rPr>
          <w:rFonts w:ascii="Times New Roman" w:hAnsi="Times New Roman" w:eastAsia="宋体" w:cs="Times New Roman"/>
          <w:b w:val="0"/>
          <w:bCs w:val="0"/>
          <w:color w:val="auto"/>
          <w:sz w:val="28"/>
          <w:szCs w:val="28"/>
          <w:highlight w:val="none"/>
        </w:rPr>
        <w:fldChar w:fldCharType="separate"/>
      </w:r>
      <w:r>
        <w:rPr>
          <w:rFonts w:hint="eastAsia" w:ascii="Times New Roman" w:hAnsi="Times New Roman" w:eastAsia="宋体" w:cs="Times New Roman"/>
          <w:b w:val="0"/>
          <w:bCs w:val="0"/>
          <w:color w:val="auto"/>
          <w:sz w:val="28"/>
          <w:szCs w:val="28"/>
          <w:highlight w:val="none"/>
          <w:lang w:val="en-US" w:eastAsia="zh-CN"/>
        </w:rPr>
        <w:t>7.3</w:t>
      </w:r>
      <w:r>
        <w:rPr>
          <w:rFonts w:ascii="Times New Roman" w:hAnsi="Times New Roman" w:eastAsia="宋体" w:cs="Times New Roman"/>
          <w:b w:val="0"/>
          <w:bCs w:val="0"/>
          <w:color w:val="auto"/>
          <w:sz w:val="28"/>
          <w:szCs w:val="28"/>
          <w:highlight w:val="none"/>
        </w:rPr>
        <w:t>　</w:t>
      </w:r>
      <w:r>
        <w:rPr>
          <w:rFonts w:hint="default" w:ascii="Times New Roman" w:hAnsi="Times New Roman" w:eastAsia="宋体" w:cs="Times New Roman"/>
          <w:b w:val="0"/>
          <w:bCs w:val="0"/>
          <w:color w:val="auto"/>
          <w:sz w:val="28"/>
          <w:szCs w:val="28"/>
          <w:highlight w:val="none"/>
          <w:lang w:val="en-US" w:eastAsia="zh-CN"/>
        </w:rPr>
        <w:t>硬化混凝土性能检验</w:t>
      </w:r>
      <w:r>
        <w:rPr>
          <w:rFonts w:hint="eastAsia" w:ascii="Times New Roman" w:hAnsi="Times New Roman" w:eastAsia="宋体" w:cs="Times New Roman"/>
          <w:b w:val="0"/>
          <w:bCs w:val="0"/>
          <w:color w:val="auto"/>
          <w:sz w:val="28"/>
          <w:szCs w:val="28"/>
          <w:highlight w:val="none"/>
          <w:lang w:val="en-US" w:eastAsia="zh-CN"/>
        </w:rPr>
        <w:t xml:space="preserve"> </w:t>
      </w:r>
      <w:r>
        <w:rPr>
          <w:rFonts w:ascii="Times New Roman" w:hAnsi="Times New Roman" w:eastAsia="宋体" w:cs="Times New Roman"/>
          <w:b w:val="0"/>
          <w:bCs w:val="0"/>
          <w:color w:val="auto"/>
          <w:sz w:val="28"/>
          <w:szCs w:val="28"/>
          <w:highlight w:val="none"/>
        </w:rPr>
        <w:tab/>
      </w:r>
      <w:r>
        <w:rPr>
          <w:rFonts w:hint="eastAsia" w:ascii="Times New Roman" w:hAnsi="Times New Roman" w:eastAsia="宋体" w:cs="Times New Roman"/>
          <w:b w:val="0"/>
          <w:bCs w:val="0"/>
          <w:color w:val="auto"/>
          <w:sz w:val="28"/>
          <w:szCs w:val="28"/>
          <w:highlight w:val="none"/>
          <w:lang w:eastAsia="zh-CN"/>
        </w:rPr>
        <w:t>（</w:t>
      </w:r>
      <w:r>
        <w:rPr>
          <w:rFonts w:hint="eastAsia" w:ascii="Times New Roman" w:hAnsi="Times New Roman" w:eastAsia="宋体" w:cs="Times New Roman"/>
          <w:b w:val="0"/>
          <w:bCs w:val="0"/>
          <w:color w:val="auto"/>
          <w:sz w:val="28"/>
          <w:szCs w:val="28"/>
          <w:highlight w:val="none"/>
          <w:lang w:val="en-US" w:eastAsia="zh-CN"/>
        </w:rPr>
        <w:t>42</w:t>
      </w:r>
      <w:r>
        <w:rPr>
          <w:rFonts w:hint="eastAsia" w:ascii="Times New Roman" w:hAnsi="Times New Roman" w:eastAsia="宋体" w:cs="Times New Roman"/>
          <w:b w:val="0"/>
          <w:bCs w:val="0"/>
          <w:color w:val="auto"/>
          <w:sz w:val="28"/>
          <w:szCs w:val="28"/>
          <w:highlight w:val="none"/>
          <w:lang w:eastAsia="zh-CN"/>
        </w:rPr>
        <w:t>）</w:t>
      </w:r>
      <w:r>
        <w:rPr>
          <w:rFonts w:ascii="Times New Roman" w:hAnsi="Times New Roman" w:eastAsia="宋体" w:cs="Times New Roman"/>
          <w:b w:val="0"/>
          <w:bCs w:val="0"/>
          <w:color w:val="auto"/>
          <w:sz w:val="28"/>
          <w:szCs w:val="28"/>
          <w:highlight w:val="none"/>
        </w:rPr>
        <w:fldChar w:fldCharType="end"/>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仿宋" w:cs="Times New Roman"/>
          <w:b w:val="0"/>
          <w:bCs w:val="0"/>
          <w:color w:val="auto"/>
          <w:sz w:val="28"/>
          <w:szCs w:val="28"/>
          <w:highlight w:val="none"/>
          <w:lang w:val="en-US" w:eastAsia="zh-CN"/>
        </w:rPr>
      </w:pPr>
    </w:p>
    <w:p>
      <w:pPr>
        <w:pStyle w:val="2"/>
        <w:rPr>
          <w:rFonts w:hint="eastAsia" w:ascii="Times New Roman" w:hAnsi="Times New Roman" w:eastAsia="仿宋" w:cs="Times New Roman"/>
          <w:b w:val="0"/>
          <w:bCs w:val="0"/>
          <w:color w:val="auto"/>
          <w:sz w:val="28"/>
          <w:szCs w:val="28"/>
          <w:highlight w:val="none"/>
          <w:lang w:val="en-US" w:eastAsia="zh-CN"/>
        </w:rPr>
      </w:pPr>
    </w:p>
    <w:p>
      <w:pPr>
        <w:pStyle w:val="2"/>
        <w:rPr>
          <w:rFonts w:hint="eastAsia" w:ascii="Times New Roman" w:hAnsi="Times New Roman" w:eastAsia="仿宋" w:cs="Times New Roman"/>
          <w:b w:val="0"/>
          <w:bCs w:val="0"/>
          <w:color w:val="auto"/>
          <w:sz w:val="28"/>
          <w:szCs w:val="28"/>
          <w:highlight w:val="none"/>
          <w:lang w:val="en-US" w:eastAsia="zh-CN"/>
        </w:rPr>
      </w:pPr>
    </w:p>
    <w:p>
      <w:pPr>
        <w:pStyle w:val="2"/>
        <w:rPr>
          <w:rFonts w:hint="eastAsia" w:ascii="Times New Roman" w:hAnsi="Times New Roman" w:eastAsia="仿宋" w:cs="Times New Roman"/>
          <w:b w:val="0"/>
          <w:bCs w:val="0"/>
          <w:color w:val="auto"/>
          <w:sz w:val="28"/>
          <w:szCs w:val="28"/>
          <w:highlight w:val="none"/>
          <w:lang w:val="en-US" w:eastAsia="zh-CN"/>
        </w:rPr>
      </w:pPr>
    </w:p>
    <w:p>
      <w:pPr>
        <w:pStyle w:val="2"/>
        <w:rPr>
          <w:rFonts w:hint="eastAsia" w:ascii="Times New Roman" w:hAnsi="Times New Roman" w:eastAsia="仿宋" w:cs="Times New Roman"/>
          <w:b w:val="0"/>
          <w:bCs w:val="0"/>
          <w:color w:val="auto"/>
          <w:sz w:val="28"/>
          <w:szCs w:val="28"/>
          <w:highlight w:val="none"/>
          <w:lang w:val="en-US" w:eastAsia="zh-CN"/>
        </w:rPr>
      </w:pPr>
    </w:p>
    <w:p>
      <w:pPr>
        <w:pStyle w:val="2"/>
        <w:rPr>
          <w:rFonts w:hint="eastAsia" w:ascii="Times New Roman" w:hAnsi="Times New Roman" w:eastAsia="仿宋" w:cs="Times New Roman"/>
          <w:b w:val="0"/>
          <w:bCs w:val="0"/>
          <w:color w:val="auto"/>
          <w:sz w:val="28"/>
          <w:szCs w:val="28"/>
          <w:highlight w:val="none"/>
          <w:lang w:val="en-US" w:eastAsia="zh-CN"/>
        </w:rPr>
      </w:pPr>
    </w:p>
    <w:p>
      <w:pPr>
        <w:pStyle w:val="2"/>
        <w:rPr>
          <w:rFonts w:hint="eastAsia" w:ascii="Times New Roman" w:hAnsi="Times New Roman" w:eastAsia="仿宋" w:cs="Times New Roman"/>
          <w:b w:val="0"/>
          <w:bCs w:val="0"/>
          <w:color w:val="auto"/>
          <w:sz w:val="28"/>
          <w:szCs w:val="28"/>
          <w:highlight w:val="none"/>
          <w:lang w:val="en-US" w:eastAsia="zh-CN"/>
        </w:rPr>
      </w:pPr>
    </w:p>
    <w:p>
      <w:pPr>
        <w:pStyle w:val="14"/>
        <w:keepNext w:val="0"/>
        <w:keepLines w:val="0"/>
        <w:pageBreakBefore w:val="0"/>
        <w:widowControl w:val="0"/>
        <w:tabs>
          <w:tab w:val="right" w:leader="dot" w:pos="8296"/>
        </w:tabs>
        <w:kinsoku/>
        <w:wordWrap/>
        <w:overflowPunct/>
        <w:topLinePunct w:val="0"/>
        <w:autoSpaceDE/>
        <w:autoSpaceDN/>
        <w:bidi w:val="0"/>
        <w:adjustRightInd/>
        <w:snapToGrid w:val="0"/>
        <w:spacing w:line="288" w:lineRule="auto"/>
        <w:jc w:val="center"/>
        <w:textAlignment w:val="auto"/>
        <w:rPr>
          <w:rFonts w:hint="eastAsia" w:ascii="Times New Roman" w:hAnsi="Times New Roman" w:eastAsia="宋体" w:cs="Times New Roman"/>
          <w:b/>
          <w:color w:val="auto"/>
          <w:sz w:val="32"/>
          <w:szCs w:val="28"/>
          <w:highlight w:val="none"/>
          <w:lang w:val="zh-CN"/>
        </w:rPr>
      </w:pPr>
      <w:r>
        <w:rPr>
          <w:rFonts w:ascii="Times New Roman" w:hAnsi="Times New Roman" w:cs="Times New Roman"/>
          <w:b w:val="0"/>
          <w:bCs w:val="0"/>
          <w:color w:val="auto"/>
          <w:sz w:val="28"/>
          <w:szCs w:val="28"/>
          <w:highlight w:val="none"/>
          <w:lang w:val="zh-CN"/>
        </w:rPr>
        <w:fldChar w:fldCharType="end"/>
      </w:r>
      <w:r>
        <w:rPr>
          <w:rFonts w:ascii="Times New Roman" w:hAnsi="Times New Roman" w:cs="Times New Roman"/>
          <w:b w:val="0"/>
          <w:bCs w:val="0"/>
          <w:color w:val="auto"/>
          <w:sz w:val="28"/>
          <w:szCs w:val="28"/>
          <w:highlight w:val="none"/>
          <w:lang w:val="zh-CN"/>
        </w:rPr>
        <w:fldChar w:fldCharType="end"/>
      </w:r>
      <w:r>
        <w:rPr>
          <w:rFonts w:hint="eastAsia" w:ascii="Times New Roman" w:hAnsi="Times New Roman" w:eastAsia="宋体" w:cs="Times New Roman"/>
          <w:b/>
          <w:color w:val="auto"/>
          <w:sz w:val="32"/>
          <w:szCs w:val="28"/>
          <w:highlight w:val="none"/>
          <w:lang w:val="zh-CN"/>
        </w:rPr>
        <w:t>1　总　　则</w:t>
      </w:r>
    </w:p>
    <w:p>
      <w:pPr>
        <w:snapToGrid w:val="0"/>
        <w:spacing w:line="360" w:lineRule="auto"/>
        <w:rPr>
          <w:rFonts w:hint="eastAsia" w:ascii="Times New Roman" w:hAnsi="Times New Roman"/>
          <w:b/>
          <w:color w:val="auto"/>
          <w:sz w:val="28"/>
          <w:highlight w:val="none"/>
        </w:rPr>
      </w:pP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bCs w:val="0"/>
          <w:color w:val="auto"/>
          <w:sz w:val="28"/>
          <w:highlight w:val="none"/>
          <w:lang w:val="en-US" w:eastAsia="zh-CN"/>
        </w:rPr>
        <w:t>1.0.1</w:t>
      </w:r>
      <w:r>
        <w:rPr>
          <w:rFonts w:hint="eastAsia" w:ascii="Times New Roman" w:hAnsi="Times New Roman" w:eastAsia="宋体" w:cs="Times New Roman"/>
          <w:b w:val="0"/>
          <w:bCs/>
          <w:color w:val="auto"/>
          <w:sz w:val="28"/>
          <w:highlight w:val="none"/>
          <w:lang w:val="en-US" w:eastAsia="zh-CN"/>
        </w:rPr>
        <w:t xml:space="preserve">  编制本规程的目的在于规范水工掺合料在水工混凝土工程中的应用技术，引导其技术发展，达到改善水工混凝土的性能、提高水工混凝土工程质量、延长水工混凝土建（构）筑物结构的使用寿命，并有利于工程建设的可持续发展。目前，上海等诸多地区采用粉煤灰、粒化高炉矿渣粉等复合应用已很普遍，为了科学、合理地在水工混凝土中应用水工掺合料，参照国家现行有关标准，并进行大量的调研、验证试验以及水工混凝土工程应用实践，制定的本规程。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bCs w:val="0"/>
          <w:color w:val="auto"/>
          <w:sz w:val="28"/>
          <w:highlight w:val="none"/>
          <w:lang w:val="en-US" w:eastAsia="zh-CN"/>
        </w:rPr>
        <w:t>1.0.2</w:t>
      </w:r>
      <w:r>
        <w:rPr>
          <w:rFonts w:hint="eastAsia" w:ascii="Times New Roman" w:hAnsi="Times New Roman" w:eastAsia="宋体" w:cs="Times New Roman"/>
          <w:b w:val="0"/>
          <w:bCs/>
          <w:color w:val="auto"/>
          <w:sz w:val="28"/>
          <w:highlight w:val="none"/>
          <w:lang w:val="en-US" w:eastAsia="zh-CN"/>
        </w:rPr>
        <w:t xml:space="preserve">  水工掺合料适宜于配制高性能的水工混凝土；水工掺合料也可用于一般建设工程的钢筋混凝土、预应力钢筋混凝土和素混凝上。故本规程适用于水工混凝土、普通混凝土及其制品。</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bCs w:val="0"/>
          <w:color w:val="auto"/>
          <w:sz w:val="28"/>
          <w:highlight w:val="none"/>
          <w:lang w:val="en-US" w:eastAsia="zh-CN"/>
        </w:rPr>
        <w:t>1.0.3</w:t>
      </w:r>
      <w:r>
        <w:rPr>
          <w:rFonts w:hint="eastAsia" w:ascii="Times New Roman" w:hAnsi="Times New Roman" w:eastAsia="宋体" w:cs="Times New Roman"/>
          <w:b w:val="0"/>
          <w:bCs/>
          <w:color w:val="auto"/>
          <w:sz w:val="28"/>
          <w:highlight w:val="none"/>
          <w:lang w:val="en-US" w:eastAsia="zh-CN"/>
        </w:rPr>
        <w:t xml:space="preserve">  本规程仅对掺用水工混凝土掺合料的水工混凝土的生产和应用技术条件作出规定，对本规程未涉及的技术内容，均按照有关国家现行标准执行。</w:t>
      </w:r>
    </w:p>
    <w:p>
      <w:pPr>
        <w:pStyle w:val="2"/>
        <w:rPr>
          <w:rFonts w:hint="eastAsia" w:ascii="Times New Roman" w:hAnsi="Times New Roman" w:eastAsia="宋体" w:cs="Times New Roman"/>
          <w:b w:val="0"/>
          <w:bCs/>
          <w:color w:val="auto"/>
          <w:sz w:val="28"/>
          <w:highlight w:val="none"/>
          <w:lang w:val="en-US" w:eastAsia="zh-CN"/>
        </w:rPr>
      </w:pPr>
    </w:p>
    <w:p>
      <w:pPr>
        <w:pStyle w:val="2"/>
        <w:rPr>
          <w:rFonts w:hint="eastAsia" w:ascii="Times New Roman" w:hAnsi="Times New Roman" w:eastAsia="宋体" w:cs="Times New Roman"/>
          <w:b w:val="0"/>
          <w:bCs/>
          <w:color w:val="auto"/>
          <w:sz w:val="28"/>
          <w:highlight w:val="none"/>
          <w:lang w:val="en-US" w:eastAsia="zh-CN"/>
        </w:rPr>
      </w:pPr>
    </w:p>
    <w:p>
      <w:pPr>
        <w:pStyle w:val="2"/>
        <w:rPr>
          <w:rFonts w:hint="eastAsia" w:ascii="Times New Roman" w:hAnsi="Times New Roman" w:eastAsia="宋体" w:cs="Times New Roman"/>
          <w:b w:val="0"/>
          <w:bCs/>
          <w:color w:val="auto"/>
          <w:sz w:val="28"/>
          <w:highlight w:val="none"/>
          <w:lang w:val="en-US" w:eastAsia="zh-CN"/>
        </w:rPr>
      </w:pPr>
    </w:p>
    <w:p>
      <w:pPr>
        <w:pStyle w:val="2"/>
        <w:rPr>
          <w:rFonts w:hint="eastAsia" w:ascii="Times New Roman" w:hAnsi="Times New Roman" w:eastAsia="宋体" w:cs="Times New Roman"/>
          <w:b w:val="0"/>
          <w:bCs/>
          <w:color w:val="auto"/>
          <w:sz w:val="28"/>
          <w:highlight w:val="none"/>
          <w:lang w:val="en-US" w:eastAsia="zh-CN"/>
        </w:rPr>
      </w:pPr>
    </w:p>
    <w:p>
      <w:pPr>
        <w:pStyle w:val="2"/>
        <w:rPr>
          <w:rFonts w:hint="eastAsia" w:ascii="Times New Roman" w:hAnsi="Times New Roman" w:eastAsia="宋体" w:cs="Times New Roman"/>
          <w:b w:val="0"/>
          <w:bCs/>
          <w:color w:val="auto"/>
          <w:sz w:val="28"/>
          <w:highlight w:val="none"/>
          <w:lang w:val="en-US" w:eastAsia="zh-CN"/>
        </w:rPr>
      </w:pPr>
    </w:p>
    <w:p>
      <w:pPr>
        <w:pStyle w:val="2"/>
        <w:rPr>
          <w:rFonts w:hint="eastAsia" w:ascii="Times New Roman" w:hAnsi="Times New Roman" w:eastAsia="宋体" w:cs="Times New Roman"/>
          <w:b w:val="0"/>
          <w:bCs/>
          <w:color w:val="auto"/>
          <w:sz w:val="28"/>
          <w:highlight w:val="none"/>
          <w:lang w:val="en-US" w:eastAsia="zh-CN"/>
        </w:rPr>
      </w:pPr>
    </w:p>
    <w:p>
      <w:pPr>
        <w:pStyle w:val="2"/>
        <w:rPr>
          <w:rFonts w:hint="eastAsia" w:ascii="Times New Roman" w:hAnsi="Times New Roman" w:eastAsia="宋体" w:cs="Times New Roman"/>
          <w:b w:val="0"/>
          <w:bCs/>
          <w:color w:val="auto"/>
          <w:sz w:val="28"/>
          <w:highlight w:val="none"/>
          <w:lang w:val="en-US" w:eastAsia="zh-CN"/>
        </w:rPr>
      </w:pPr>
    </w:p>
    <w:p>
      <w:pPr>
        <w:pStyle w:val="2"/>
        <w:rPr>
          <w:rFonts w:hint="eastAsia" w:ascii="Times New Roman" w:hAnsi="Times New Roman" w:eastAsia="宋体" w:cs="Times New Roman"/>
          <w:b w:val="0"/>
          <w:bCs/>
          <w:color w:val="auto"/>
          <w:sz w:val="28"/>
          <w:highlight w:val="none"/>
          <w:lang w:val="en-US" w:eastAsia="zh-CN"/>
        </w:rPr>
      </w:pPr>
    </w:p>
    <w:p>
      <w:pPr>
        <w:pStyle w:val="2"/>
        <w:rPr>
          <w:rFonts w:hint="eastAsia" w:ascii="Times New Roman" w:hAnsi="Times New Roman" w:eastAsia="宋体" w:cs="Times New Roman"/>
          <w:b w:val="0"/>
          <w:bCs/>
          <w:color w:val="auto"/>
          <w:sz w:val="28"/>
          <w:highlight w:val="none"/>
          <w:lang w:val="en-US" w:eastAsia="zh-CN"/>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zh-CN" w:eastAsia="zh-CN" w:bidi="ar-SA"/>
        </w:rPr>
      </w:pPr>
      <w:r>
        <w:rPr>
          <w:rFonts w:hint="eastAsia" w:ascii="Times New Roman" w:hAnsi="Times New Roman" w:eastAsia="宋体" w:cs="Times New Roman"/>
          <w:b/>
          <w:color w:val="auto"/>
          <w:kern w:val="2"/>
          <w:sz w:val="32"/>
          <w:szCs w:val="28"/>
          <w:highlight w:val="none"/>
          <w:lang w:val="en-US" w:eastAsia="zh-CN" w:bidi="ar-SA"/>
        </w:rPr>
        <w:t xml:space="preserve">2  </w:t>
      </w:r>
      <w:r>
        <w:rPr>
          <w:rFonts w:hint="eastAsia" w:ascii="Times New Roman" w:hAnsi="Times New Roman" w:eastAsia="宋体" w:cs="Times New Roman"/>
          <w:b/>
          <w:color w:val="auto"/>
          <w:kern w:val="2"/>
          <w:sz w:val="32"/>
          <w:szCs w:val="28"/>
          <w:highlight w:val="none"/>
          <w:lang w:val="zh-CN" w:eastAsia="zh-CN" w:bidi="ar-SA"/>
        </w:rPr>
        <w:t>术</w:t>
      </w:r>
      <w:r>
        <w:rPr>
          <w:rFonts w:hint="eastAsia" w:ascii="Times New Roman" w:hAnsi="Times New Roman" w:eastAsia="宋体" w:cs="Times New Roman"/>
          <w:b/>
          <w:color w:val="auto"/>
          <w:kern w:val="2"/>
          <w:sz w:val="32"/>
          <w:szCs w:val="28"/>
          <w:highlight w:val="none"/>
          <w:lang w:val="en-US" w:eastAsia="zh-CN" w:bidi="ar-SA"/>
        </w:rPr>
        <w:t xml:space="preserve">    </w:t>
      </w:r>
      <w:r>
        <w:rPr>
          <w:rFonts w:hint="eastAsia" w:ascii="Times New Roman" w:hAnsi="Times New Roman" w:eastAsia="宋体" w:cs="Times New Roman"/>
          <w:b/>
          <w:color w:val="auto"/>
          <w:kern w:val="2"/>
          <w:sz w:val="32"/>
          <w:szCs w:val="28"/>
          <w:highlight w:val="none"/>
          <w:lang w:val="zh-CN" w:eastAsia="zh-CN" w:bidi="ar-SA"/>
        </w:rPr>
        <w:t>语</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2.0.1 </w:t>
      </w:r>
      <w:r>
        <w:rPr>
          <w:rFonts w:hint="eastAsia" w:ascii="Times New Roman" w:hAnsi="Times New Roman"/>
          <w:b w:val="0"/>
          <w:bCs/>
          <w:color w:val="auto"/>
          <w:sz w:val="28"/>
          <w:highlight w:val="none"/>
          <w:lang w:val="en-US" w:eastAsia="zh-CN"/>
        </w:rPr>
        <w:t xml:space="preserve"> 本规程的术语除“水工混凝土”、“水工混凝土掺合料”、“水工掺合料混凝土”为行业通用术语外，其余均参照我国现行的标准而制定。</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用于水运、水电、水利等工程的水工混凝土，其密度约为2400kg/m³。</w:t>
      </w:r>
    </w:p>
    <w:p>
      <w:pPr>
        <w:snapToGrid w:val="0"/>
        <w:spacing w:line="360" w:lineRule="auto"/>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t>3</w:t>
      </w:r>
      <w:r>
        <w:rPr>
          <w:rFonts w:hint="eastAsia" w:ascii="Times New Roman" w:hAnsi="Times New Roman" w:eastAsia="宋体" w:cs="Times New Roman"/>
          <w:b/>
          <w:color w:val="auto"/>
          <w:kern w:val="2"/>
          <w:sz w:val="32"/>
          <w:szCs w:val="28"/>
          <w:highlight w:val="none"/>
          <w:lang w:val="zh-CN" w:eastAsia="zh-CN" w:bidi="ar-SA"/>
        </w:rPr>
        <w:t>　</w:t>
      </w:r>
      <w:r>
        <w:rPr>
          <w:rFonts w:hint="eastAsia" w:ascii="Times New Roman" w:hAnsi="Times New Roman" w:eastAsia="宋体" w:cs="Times New Roman"/>
          <w:b/>
          <w:color w:val="auto"/>
          <w:kern w:val="2"/>
          <w:sz w:val="32"/>
          <w:szCs w:val="28"/>
          <w:highlight w:val="none"/>
          <w:lang w:val="en-US" w:eastAsia="zh-CN" w:bidi="ar-SA"/>
        </w:rPr>
        <w:t>基本规定</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3.0.1 </w:t>
      </w:r>
      <w:r>
        <w:rPr>
          <w:rFonts w:hint="eastAsia" w:ascii="Times New Roman" w:hAnsi="Times New Roman"/>
          <w:b w:val="0"/>
          <w:bCs/>
          <w:color w:val="auto"/>
          <w:sz w:val="28"/>
          <w:highlight w:val="none"/>
          <w:lang w:val="en-US" w:eastAsia="zh-CN"/>
        </w:rPr>
        <w:t xml:space="preserve"> 根据淡水、海洋咸水以及江海结合部的水文性质的不同及相应的用途不同，将水工掺合料分成海水工程用和淡水工程用水工掺合料两大类。同时根据混凝土所处海洋环境的不同、对混凝土耐久性要求的不同，又将海水工程用水工掺合料分为I型和Ⅱ型两种。</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    </w:t>
      </w:r>
      <w:r>
        <w:rPr>
          <w:rFonts w:hint="eastAsia" w:ascii="Times New Roman" w:hAnsi="Times New Roman"/>
          <w:b w:val="0"/>
          <w:bCs/>
          <w:color w:val="auto"/>
          <w:sz w:val="28"/>
          <w:highlight w:val="none"/>
          <w:lang w:val="en-US" w:eastAsia="zh-CN"/>
        </w:rPr>
        <w:t>海洋环境是最为恶劣的腐蚀环境之一，而钢筋腐蚀是影响混凝土耐久性的根本原因。基于各种矿物掺合料的交互叠加效应，通过各种矿物掺合料的合理匹配，以特殊工艺形成的海水工程用混凝土掺合料可以提高混凝土材料的致密度，形成低渗透、高密实、低缺陷的混凝土结构，从根本上改善混凝土建（构）筑物在海洋环境中的防腐能力，以满足工程结构混凝土长期使用寿命的设计要求。I型海工掺合料适用于预应力混凝土、C60至C80强度等级海水环境用混凝土配制，Ⅱ型海工掺合料适用于C60以下等级海水环境用混凝土配制。</w:t>
      </w:r>
    </w:p>
    <w:p>
      <w:pPr>
        <w:snapToGrid w:val="0"/>
        <w:spacing w:line="360" w:lineRule="auto"/>
        <w:rPr>
          <w:rFonts w:hint="eastAsia" w:ascii="Times New Roman" w:hAnsi="Times New Roman"/>
          <w:b/>
          <w:color w:val="auto"/>
          <w:sz w:val="28"/>
          <w:highlight w:val="none"/>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"_Toc30020859"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4</w:t>
      </w:r>
      <w:r>
        <w:rPr>
          <w:rFonts w:hint="eastAsia" w:ascii="Times New Roman" w:hAnsi="Times New Roman" w:eastAsia="宋体" w:cs="Times New Roman"/>
          <w:b/>
          <w:color w:val="auto"/>
          <w:kern w:val="2"/>
          <w:sz w:val="32"/>
          <w:szCs w:val="28"/>
          <w:highlight w:val="none"/>
          <w:lang w:val="zh-CN" w:eastAsia="zh-CN" w:bidi="ar-SA"/>
        </w:rPr>
        <w:t>　</w:t>
      </w:r>
      <w:r>
        <w:rPr>
          <w:rFonts w:hint="eastAsia" w:ascii="Times New Roman" w:hAnsi="Times New Roman" w:eastAsia="宋体" w:cs="Times New Roman"/>
          <w:b/>
          <w:color w:val="auto"/>
          <w:kern w:val="2"/>
          <w:sz w:val="32"/>
          <w:szCs w:val="28"/>
          <w:highlight w:val="none"/>
          <w:lang w:val="en-US" w:eastAsia="zh-CN" w:bidi="ar-SA"/>
        </w:rPr>
        <w:t>材料及性能</w:t>
      </w:r>
      <w:r>
        <w:rPr>
          <w:rFonts w:hint="eastAsia" w:ascii="Times New Roman" w:hAnsi="Times New Roman" w:eastAsia="宋体" w:cs="Times New Roman"/>
          <w:b/>
          <w:color w:val="auto"/>
          <w:kern w:val="2"/>
          <w:sz w:val="32"/>
          <w:szCs w:val="28"/>
          <w:highlight w:val="none"/>
          <w:lang w:val="en-US" w:eastAsia="zh-CN" w:bidi="ar-SA"/>
        </w:rPr>
        <w:fldChar w:fldCharType="end"/>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"_Toc30020860"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4.2　水工掺合料</w:t>
      </w:r>
      <w:r>
        <w:rPr>
          <w:rFonts w:hint="eastAsia" w:ascii="Times New Roman" w:hAnsi="Times New Roman" w:eastAsia="宋体" w:cs="Times New Roman"/>
          <w:b/>
          <w:color w:val="auto"/>
          <w:kern w:val="2"/>
          <w:sz w:val="32"/>
          <w:szCs w:val="28"/>
          <w:highlight w:val="none"/>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4.2.1</w:t>
      </w:r>
      <w:r>
        <w:rPr>
          <w:rFonts w:hint="eastAsia" w:ascii="Times New Roman" w:hAnsi="Times New Roman"/>
          <w:b w:val="0"/>
          <w:bCs/>
          <w:color w:val="auto"/>
          <w:sz w:val="28"/>
          <w:highlight w:val="none"/>
          <w:lang w:val="en-US" w:eastAsia="zh-CN"/>
        </w:rPr>
        <w:t xml:space="preserve">  </w:t>
      </w:r>
      <w:r>
        <w:rPr>
          <w:rFonts w:hint="default" w:ascii="Times New Roman" w:hAnsi="Times New Roman"/>
          <w:b w:val="0"/>
          <w:bCs/>
          <w:color w:val="auto"/>
          <w:sz w:val="28"/>
          <w:highlight w:val="none"/>
          <w:lang w:val="en-US" w:eastAsia="zh-CN"/>
        </w:rPr>
        <w:t>水工掺合料的活性在物理意义上</w:t>
      </w:r>
      <w:r>
        <w:rPr>
          <w:rFonts w:hint="eastAsia" w:ascii="Times New Roman" w:hAnsi="Times New Roman"/>
          <w:b w:val="0"/>
          <w:bCs/>
          <w:color w:val="auto"/>
          <w:sz w:val="28"/>
          <w:highlight w:val="none"/>
          <w:lang w:val="en-US" w:eastAsia="zh-CN"/>
        </w:rPr>
        <w:t>讲</w:t>
      </w:r>
      <w:r>
        <w:rPr>
          <w:rFonts w:hint="default" w:ascii="Times New Roman" w:hAnsi="Times New Roman"/>
          <w:b w:val="0"/>
          <w:bCs/>
          <w:color w:val="auto"/>
          <w:sz w:val="28"/>
          <w:highlight w:val="none"/>
          <w:lang w:val="en-US" w:eastAsia="zh-CN"/>
        </w:rPr>
        <w:t>主要</w:t>
      </w:r>
      <w:r>
        <w:rPr>
          <w:rFonts w:hint="eastAsia" w:ascii="Times New Roman" w:hAnsi="Times New Roman"/>
          <w:b w:val="0"/>
          <w:bCs/>
          <w:color w:val="auto"/>
          <w:sz w:val="28"/>
          <w:highlight w:val="none"/>
          <w:lang w:val="en-US" w:eastAsia="zh-CN"/>
        </w:rPr>
        <w:t>是</w:t>
      </w:r>
      <w:r>
        <w:rPr>
          <w:rFonts w:hint="default" w:ascii="Times New Roman" w:hAnsi="Times New Roman"/>
          <w:b w:val="0"/>
          <w:bCs/>
          <w:color w:val="auto"/>
          <w:sz w:val="28"/>
          <w:highlight w:val="none"/>
          <w:lang w:val="en-US" w:eastAsia="zh-CN"/>
        </w:rPr>
        <w:t>由</w:t>
      </w:r>
      <w:r>
        <w:rPr>
          <w:rFonts w:hint="eastAsia" w:ascii="Times New Roman" w:hAnsi="Times New Roman"/>
          <w:b w:val="0"/>
          <w:bCs/>
          <w:color w:val="auto"/>
          <w:sz w:val="28"/>
          <w:highlight w:val="none"/>
          <w:lang w:val="en-US" w:eastAsia="zh-CN"/>
        </w:rPr>
        <w:t>其</w:t>
      </w:r>
      <w:r>
        <w:rPr>
          <w:rFonts w:hint="default" w:ascii="Times New Roman" w:hAnsi="Times New Roman"/>
          <w:b w:val="0"/>
          <w:bCs/>
          <w:color w:val="auto"/>
          <w:sz w:val="28"/>
          <w:highlight w:val="none"/>
          <w:lang w:val="en-US" w:eastAsia="zh-CN"/>
        </w:rPr>
        <w:t>比表面积决定</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比表面积也是不同规格水工掺合料的主要生产控制指标</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本规程根据水工掺合料的分类和实际生产应用情况</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规定了三种不同分类和规格的水工掺合料的比表面积控制范围。</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b w:val="0"/>
          <w:bCs/>
          <w:color w:val="auto"/>
          <w:sz w:val="28"/>
          <w:highlight w:val="none"/>
          <w:lang w:val="en-US" w:eastAsia="zh-CN"/>
        </w:rPr>
      </w:pPr>
      <w:r>
        <w:rPr>
          <w:rFonts w:hint="default" w:ascii="Times New Roman" w:hAnsi="Times New Roman"/>
          <w:b w:val="0"/>
          <w:bCs/>
          <w:color w:val="auto"/>
          <w:sz w:val="28"/>
          <w:highlight w:val="none"/>
          <w:lang w:val="en-US" w:eastAsia="zh-CN"/>
        </w:rPr>
        <w:t>活性指数和流动度比是水工掺合料重要的品质指标。活性指数反映了水工掺合料对硬化混凝土力学性能的影响</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流动度比则反映了水工掺合料对新拌混凝土和易性和工作性的影响。表</w:t>
      </w:r>
      <w:r>
        <w:rPr>
          <w:rFonts w:hint="eastAsia" w:ascii="Times New Roman" w:hAnsi="Times New Roman"/>
          <w:b w:val="0"/>
          <w:bCs/>
          <w:color w:val="auto"/>
          <w:sz w:val="28"/>
          <w:highlight w:val="none"/>
          <w:lang w:val="en-US" w:eastAsia="zh-CN"/>
        </w:rPr>
        <w:t>1为I型</w:t>
      </w:r>
      <w:r>
        <w:rPr>
          <w:rFonts w:hint="default" w:ascii="Times New Roman" w:hAnsi="Times New Roman"/>
          <w:b w:val="0"/>
          <w:bCs/>
          <w:color w:val="auto"/>
          <w:sz w:val="28"/>
          <w:highlight w:val="none"/>
          <w:lang w:val="en-US" w:eastAsia="zh-CN"/>
        </w:rPr>
        <w:t>、Ⅱ型海工掺合料</w:t>
      </w:r>
      <w:r>
        <w:rPr>
          <w:rFonts w:hint="eastAsia" w:ascii="Times New Roman" w:hAnsi="Times New Roman"/>
          <w:b w:val="0"/>
          <w:bCs/>
          <w:color w:val="auto"/>
          <w:sz w:val="28"/>
          <w:highlight w:val="none"/>
          <w:lang w:val="en-US" w:eastAsia="zh-CN"/>
        </w:rPr>
        <w:t>的</w:t>
      </w:r>
      <w:r>
        <w:rPr>
          <w:rFonts w:hint="default" w:ascii="Times New Roman" w:hAnsi="Times New Roman"/>
          <w:b w:val="0"/>
          <w:bCs/>
          <w:color w:val="auto"/>
          <w:sz w:val="28"/>
          <w:highlight w:val="none"/>
          <w:lang w:val="en-US" w:eastAsia="zh-CN"/>
        </w:rPr>
        <w:t>活性指数测定结果</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表1  </w:t>
      </w:r>
      <w:r>
        <w:rPr>
          <w:rFonts w:hint="default" w:ascii="Times New Roman" w:hAnsi="Times New Roman"/>
          <w:b w:val="0"/>
          <w:bCs/>
          <w:color w:val="auto"/>
          <w:sz w:val="28"/>
          <w:highlight w:val="none"/>
          <w:lang w:val="en-US" w:eastAsia="zh-CN"/>
        </w:rPr>
        <w:t>海工掺合料</w:t>
      </w:r>
      <w:r>
        <w:rPr>
          <w:rFonts w:hint="eastAsia" w:ascii="Times New Roman" w:hAnsi="Times New Roman"/>
          <w:b w:val="0"/>
          <w:bCs/>
          <w:color w:val="auto"/>
          <w:sz w:val="28"/>
          <w:highlight w:val="none"/>
          <w:lang w:val="en-US" w:eastAsia="zh-CN"/>
        </w:rPr>
        <w:t>的</w:t>
      </w:r>
      <w:r>
        <w:rPr>
          <w:rFonts w:hint="default" w:ascii="Times New Roman" w:hAnsi="Times New Roman"/>
          <w:b w:val="0"/>
          <w:bCs/>
          <w:color w:val="auto"/>
          <w:sz w:val="28"/>
          <w:highlight w:val="none"/>
          <w:lang w:val="en-US" w:eastAsia="zh-CN"/>
        </w:rPr>
        <w:t>活性指数</w:t>
      </w:r>
    </w:p>
    <w:tbl>
      <w:tblPr>
        <w:tblStyle w:val="20"/>
        <w:tblW w:w="8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881"/>
        <w:gridCol w:w="881"/>
        <w:gridCol w:w="881"/>
        <w:gridCol w:w="881"/>
        <w:gridCol w:w="2"/>
        <w:gridCol w:w="879"/>
        <w:gridCol w:w="881"/>
        <w:gridCol w:w="881"/>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74"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掺合料</w:t>
            </w:r>
          </w:p>
        </w:tc>
        <w:tc>
          <w:tcPr>
            <w:tcW w:w="3526" w:type="dxa"/>
            <w:gridSpan w:val="5"/>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抗</w:t>
            </w:r>
            <w:r>
              <w:rPr>
                <w:rFonts w:hint="eastAsia" w:ascii="Times New Roman" w:hAnsi="Times New Roman"/>
                <w:sz w:val="21"/>
                <w:szCs w:val="21"/>
                <w:vertAlign w:val="baseline"/>
                <w:lang w:val="en-US" w:eastAsia="zh-CN"/>
              </w:rPr>
              <w:t>压强度（MPa）</w:t>
            </w:r>
          </w:p>
        </w:tc>
        <w:tc>
          <w:tcPr>
            <w:tcW w:w="3526" w:type="dxa"/>
            <w:gridSpan w:val="4"/>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活性指数（%）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74"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sz w:val="21"/>
                <w:szCs w:val="21"/>
                <w:vertAlign w:val="baseline"/>
                <w:lang w:val="en-US" w:eastAsia="zh-CN"/>
              </w:rPr>
            </w:pP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1d</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3d</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7d</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28d</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1d</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3d</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7d</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28d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基准水泥</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11.3</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24.1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34.6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49.5</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I型-1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17.8</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32.5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58.1</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94</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I型-2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18.2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32.4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57.5</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94</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I型-3</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4.9</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17.8</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32.1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55.8</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43</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93</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I型-4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18.5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32.5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58.5</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77</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94</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I型-5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17.9</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32.2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57.3</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93</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I型-6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18.2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32.4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57.9</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94</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标准偏差</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S</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0.110</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0.280</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0.164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0.943</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1.095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1.329</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0.516</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基准水泥</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24.3</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35.1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48.0</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II型-1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4.8</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28.5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53.9</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82</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II型-2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4.7</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28.5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52.4</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81</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II型-3</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4.7</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17.0</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27.6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52.4</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70</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79</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II型-4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4.8</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28.5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53.6</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81</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II型-5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27.3</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51.9</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40</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78</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II型-6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4.7</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17.2</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27.5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52.3</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71</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78</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74"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标准偏差</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S</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0.075</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0.176</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0.574</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0.802</w:t>
            </w:r>
          </w:p>
        </w:tc>
        <w:tc>
          <w:tcPr>
            <w:tcW w:w="88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0.753</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0.753</w:t>
            </w:r>
          </w:p>
        </w:tc>
        <w:tc>
          <w:tcPr>
            <w:tcW w:w="88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1.722</w:t>
            </w:r>
          </w:p>
        </w:tc>
        <w:tc>
          <w:tcPr>
            <w:tcW w:w="88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1.722</w:t>
            </w:r>
          </w:p>
        </w:tc>
      </w:tr>
    </w:tbl>
    <w:p>
      <w:pPr>
        <w:pStyle w:val="2"/>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default" w:ascii="Times New Roman" w:hAnsi="Times New Roman" w:eastAsiaTheme="minorEastAsia"/>
          <w:sz w:val="10"/>
          <w:szCs w:val="10"/>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b w:val="0"/>
          <w:bCs/>
          <w:color w:val="auto"/>
          <w:sz w:val="28"/>
          <w:szCs w:val="24"/>
          <w:highlight w:val="none"/>
          <w:lang w:val="en-US" w:eastAsia="zh-CN"/>
        </w:rPr>
      </w:pPr>
      <w:r>
        <w:rPr>
          <w:rFonts w:hint="default" w:ascii="Times New Roman" w:hAnsi="Times New Roman"/>
          <w:b w:val="0"/>
          <w:bCs/>
          <w:color w:val="auto"/>
          <w:sz w:val="28"/>
          <w:szCs w:val="24"/>
          <w:highlight w:val="none"/>
          <w:lang w:val="en-US" w:eastAsia="zh-CN"/>
        </w:rPr>
        <w:t>从表</w:t>
      </w:r>
      <w:r>
        <w:rPr>
          <w:rFonts w:hint="eastAsia" w:ascii="Times New Roman" w:hAnsi="Times New Roman"/>
          <w:b w:val="0"/>
          <w:bCs/>
          <w:color w:val="auto"/>
          <w:sz w:val="28"/>
          <w:szCs w:val="24"/>
          <w:highlight w:val="none"/>
          <w:lang w:val="en-US" w:eastAsia="zh-CN"/>
        </w:rPr>
        <w:t>1</w:t>
      </w:r>
      <w:r>
        <w:rPr>
          <w:rFonts w:hint="default" w:ascii="Times New Roman" w:hAnsi="Times New Roman"/>
          <w:b w:val="0"/>
          <w:bCs/>
          <w:color w:val="auto"/>
          <w:sz w:val="28"/>
          <w:szCs w:val="24"/>
          <w:highlight w:val="none"/>
          <w:lang w:val="en-US" w:eastAsia="zh-CN"/>
        </w:rPr>
        <w:t>可</w:t>
      </w:r>
      <w:r>
        <w:rPr>
          <w:rFonts w:hint="eastAsia" w:ascii="Times New Roman" w:hAnsi="Times New Roman"/>
          <w:b w:val="0"/>
          <w:bCs/>
          <w:color w:val="auto"/>
          <w:sz w:val="28"/>
          <w:szCs w:val="24"/>
          <w:highlight w:val="none"/>
          <w:lang w:val="en-US" w:eastAsia="zh-CN"/>
        </w:rPr>
        <w:t>知，</w:t>
      </w:r>
      <w:r>
        <w:rPr>
          <w:rFonts w:hint="default" w:ascii="Times New Roman" w:hAnsi="Times New Roman"/>
          <w:b w:val="0"/>
          <w:bCs/>
          <w:color w:val="auto"/>
          <w:sz w:val="28"/>
          <w:szCs w:val="24"/>
          <w:highlight w:val="none"/>
          <w:lang w:val="en-US" w:eastAsia="zh-CN"/>
        </w:rPr>
        <w:t>I、Ⅱ型</w:t>
      </w:r>
      <w:r>
        <w:rPr>
          <w:rFonts w:hint="eastAsia" w:ascii="Times New Roman" w:hAnsi="Times New Roman"/>
          <w:b w:val="0"/>
          <w:bCs/>
          <w:color w:val="auto"/>
          <w:sz w:val="28"/>
          <w:szCs w:val="24"/>
          <w:highlight w:val="none"/>
          <w:lang w:val="en-US" w:eastAsia="zh-CN"/>
        </w:rPr>
        <w:t>海工</w:t>
      </w:r>
      <w:r>
        <w:rPr>
          <w:rFonts w:hint="default" w:ascii="Times New Roman" w:hAnsi="Times New Roman"/>
          <w:b w:val="0"/>
          <w:bCs/>
          <w:color w:val="auto"/>
          <w:sz w:val="28"/>
          <w:szCs w:val="24"/>
          <w:highlight w:val="none"/>
          <w:lang w:val="en-US" w:eastAsia="zh-CN"/>
        </w:rPr>
        <w:t>掺合料各龄期活性指数波动范围较小</w:t>
      </w:r>
      <w:r>
        <w:rPr>
          <w:rFonts w:hint="eastAsia" w:ascii="Times New Roman" w:hAnsi="Times New Roman"/>
          <w:b w:val="0"/>
          <w:bCs/>
          <w:color w:val="auto"/>
          <w:sz w:val="28"/>
          <w:szCs w:val="24"/>
          <w:highlight w:val="none"/>
          <w:lang w:val="en-US" w:eastAsia="zh-CN"/>
        </w:rPr>
        <w:t>，</w:t>
      </w:r>
      <w:r>
        <w:rPr>
          <w:rFonts w:hint="default" w:ascii="Times New Roman" w:hAnsi="Times New Roman"/>
          <w:b w:val="0"/>
          <w:bCs/>
          <w:color w:val="auto"/>
          <w:sz w:val="28"/>
          <w:szCs w:val="24"/>
          <w:highlight w:val="none"/>
          <w:lang w:val="en-US" w:eastAsia="zh-CN"/>
        </w:rPr>
        <w:t>其标准偏差均在允许范围内。</w:t>
      </w:r>
    </w:p>
    <w:p>
      <w:pPr>
        <w:snapToGrid w:val="0"/>
        <w:spacing w:line="360" w:lineRule="auto"/>
        <w:ind w:firstLine="560" w:firstLineChars="200"/>
        <w:rPr>
          <w:rFonts w:hint="eastAsia" w:ascii="Times New Roman" w:hAnsi="Times New Roman"/>
          <w:b/>
          <w:color w:val="auto"/>
          <w:sz w:val="28"/>
          <w:highlight w:val="none"/>
        </w:rPr>
      </w:pPr>
      <w:r>
        <w:rPr>
          <w:rFonts w:hint="default" w:ascii="Times New Roman" w:hAnsi="Times New Roman"/>
          <w:b w:val="0"/>
          <w:bCs/>
          <w:color w:val="auto"/>
          <w:sz w:val="28"/>
          <w:szCs w:val="24"/>
          <w:highlight w:val="none"/>
          <w:lang w:val="en-US" w:eastAsia="zh-CN"/>
        </w:rPr>
        <w:t>氯离子过高会导致混凝土中钢筋锈蚀</w:t>
      </w:r>
      <w:r>
        <w:rPr>
          <w:rFonts w:hint="eastAsia" w:ascii="Times New Roman" w:hAnsi="Times New Roman"/>
          <w:b w:val="0"/>
          <w:bCs/>
          <w:color w:val="auto"/>
          <w:sz w:val="28"/>
          <w:szCs w:val="24"/>
          <w:highlight w:val="none"/>
          <w:lang w:val="en-US" w:eastAsia="zh-CN"/>
        </w:rPr>
        <w:t>，</w:t>
      </w:r>
      <w:r>
        <w:rPr>
          <w:rFonts w:hint="default" w:ascii="Times New Roman" w:hAnsi="Times New Roman"/>
          <w:b w:val="0"/>
          <w:bCs/>
          <w:color w:val="auto"/>
          <w:sz w:val="28"/>
          <w:szCs w:val="24"/>
          <w:highlight w:val="none"/>
          <w:lang w:val="en-US" w:eastAsia="zh-CN"/>
        </w:rPr>
        <w:t>特别是水工混凝土所处的淡水或海洋环境本身对钢筋就有锈蚀作用</w:t>
      </w:r>
      <w:r>
        <w:rPr>
          <w:rFonts w:hint="eastAsia" w:ascii="Times New Roman" w:hAnsi="Times New Roman"/>
          <w:b w:val="0"/>
          <w:bCs/>
          <w:color w:val="auto"/>
          <w:sz w:val="28"/>
          <w:szCs w:val="24"/>
          <w:highlight w:val="none"/>
          <w:lang w:val="en-US" w:eastAsia="zh-CN"/>
        </w:rPr>
        <w:t>，</w:t>
      </w:r>
      <w:r>
        <w:rPr>
          <w:rFonts w:hint="default" w:ascii="Times New Roman" w:hAnsi="Times New Roman"/>
          <w:b w:val="0"/>
          <w:bCs/>
          <w:color w:val="auto"/>
          <w:sz w:val="28"/>
          <w:szCs w:val="24"/>
          <w:highlight w:val="none"/>
          <w:lang w:val="en-US" w:eastAsia="zh-CN"/>
        </w:rPr>
        <w:t>所以在本规程中严格控制水工掺合料中氯离子的含量。</w:t>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"_Toc30020861"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4.3　水工掺合料交货、验收与储存</w:t>
      </w:r>
      <w:r>
        <w:rPr>
          <w:rFonts w:hint="eastAsia" w:ascii="Times New Roman" w:hAnsi="Times New Roman" w:eastAsia="宋体" w:cs="Times New Roman"/>
          <w:b/>
          <w:color w:val="auto"/>
          <w:kern w:val="2"/>
          <w:sz w:val="32"/>
          <w:szCs w:val="28"/>
          <w:highlight w:val="none"/>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4.3.1</w:t>
      </w:r>
      <w:r>
        <w:rPr>
          <w:rFonts w:hint="eastAsia" w:ascii="Times New Roman" w:hAnsi="Times New Roman"/>
          <w:b w:val="0"/>
          <w:bCs/>
          <w:color w:val="auto"/>
          <w:sz w:val="28"/>
          <w:highlight w:val="none"/>
          <w:lang w:val="en-US" w:eastAsia="zh-CN"/>
        </w:rPr>
        <w:t xml:space="preserve">  </w:t>
      </w:r>
      <w:r>
        <w:rPr>
          <w:rFonts w:hint="default" w:ascii="Times New Roman" w:hAnsi="Times New Roman"/>
          <w:b w:val="0"/>
          <w:bCs/>
          <w:color w:val="auto"/>
          <w:sz w:val="28"/>
          <w:highlight w:val="none"/>
          <w:lang w:val="en-US" w:eastAsia="zh-CN"/>
        </w:rPr>
        <w:t>水工掺合料的</w:t>
      </w:r>
      <w:r>
        <w:rPr>
          <w:rFonts w:hint="eastAsia" w:ascii="Times New Roman" w:hAnsi="Times New Roman"/>
          <w:b w:val="0"/>
          <w:bCs/>
          <w:color w:val="auto"/>
          <w:sz w:val="28"/>
          <w:highlight w:val="none"/>
          <w:lang w:val="en-US" w:eastAsia="zh-CN"/>
        </w:rPr>
        <w:t>编</w:t>
      </w:r>
      <w:r>
        <w:rPr>
          <w:rFonts w:hint="default" w:ascii="Times New Roman" w:hAnsi="Times New Roman"/>
          <w:b w:val="0"/>
          <w:bCs/>
          <w:color w:val="auto"/>
          <w:sz w:val="28"/>
          <w:highlight w:val="none"/>
          <w:lang w:val="en-US" w:eastAsia="zh-CN"/>
        </w:rPr>
        <w:t>号是根据水工掺合料的实际生产情况</w:t>
      </w:r>
      <w:r>
        <w:rPr>
          <w:rFonts w:hint="eastAsia" w:ascii="Times New Roman" w:hAnsi="Times New Roman"/>
          <w:b w:val="0"/>
          <w:bCs/>
          <w:color w:val="auto"/>
          <w:sz w:val="28"/>
          <w:highlight w:val="none"/>
          <w:lang w:val="en-US" w:eastAsia="zh-CN"/>
        </w:rPr>
        <w:t>并</w:t>
      </w:r>
      <w:r>
        <w:rPr>
          <w:rFonts w:hint="default" w:ascii="Times New Roman" w:hAnsi="Times New Roman"/>
          <w:b w:val="0"/>
          <w:bCs/>
          <w:color w:val="auto"/>
          <w:sz w:val="28"/>
          <w:highlight w:val="none"/>
          <w:lang w:val="en-US" w:eastAsia="zh-CN"/>
        </w:rPr>
        <w:t>参</w:t>
      </w:r>
      <w:r>
        <w:rPr>
          <w:rFonts w:hint="eastAsia" w:ascii="Times New Roman" w:hAnsi="Times New Roman"/>
          <w:b w:val="0"/>
          <w:bCs/>
          <w:color w:val="auto"/>
          <w:sz w:val="28"/>
          <w:highlight w:val="none"/>
          <w:lang w:val="en-US" w:eastAsia="zh-CN"/>
        </w:rPr>
        <w:t>考</w:t>
      </w:r>
      <w:r>
        <w:rPr>
          <w:rFonts w:hint="default" w:ascii="Times New Roman" w:hAnsi="Times New Roman"/>
          <w:b w:val="0"/>
          <w:bCs/>
          <w:color w:val="auto"/>
          <w:sz w:val="28"/>
          <w:highlight w:val="none"/>
          <w:lang w:val="en-US" w:eastAsia="zh-CN"/>
        </w:rPr>
        <w:t>我国水泥标准而</w:t>
      </w:r>
      <w:r>
        <w:rPr>
          <w:rFonts w:hint="eastAsia" w:ascii="Times New Roman" w:hAnsi="Times New Roman"/>
          <w:b w:val="0"/>
          <w:bCs/>
          <w:color w:val="auto"/>
          <w:sz w:val="28"/>
          <w:highlight w:val="none"/>
          <w:lang w:val="en-US" w:eastAsia="zh-CN"/>
        </w:rPr>
        <w:t>制</w:t>
      </w:r>
      <w:r>
        <w:rPr>
          <w:rFonts w:hint="default" w:ascii="Times New Roman" w:hAnsi="Times New Roman"/>
          <w:b w:val="0"/>
          <w:bCs/>
          <w:color w:val="auto"/>
          <w:sz w:val="28"/>
          <w:highlight w:val="none"/>
          <w:lang w:val="en-US" w:eastAsia="zh-CN"/>
        </w:rPr>
        <w:t>定的。</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4.3.2</w:t>
      </w:r>
      <w:r>
        <w:rPr>
          <w:rFonts w:hint="eastAsia" w:ascii="Times New Roman" w:hAnsi="Times New Roman"/>
          <w:b w:val="0"/>
          <w:bCs/>
          <w:color w:val="auto"/>
          <w:sz w:val="28"/>
          <w:highlight w:val="none"/>
          <w:lang w:val="en-US" w:eastAsia="zh-CN"/>
        </w:rPr>
        <w:t xml:space="preserve">  </w:t>
      </w:r>
      <w:r>
        <w:rPr>
          <w:rFonts w:hint="default" w:ascii="Times New Roman" w:hAnsi="Times New Roman"/>
          <w:b w:val="0"/>
          <w:bCs/>
          <w:color w:val="auto"/>
          <w:sz w:val="28"/>
          <w:highlight w:val="none"/>
          <w:lang w:val="en-US" w:eastAsia="zh-CN"/>
        </w:rPr>
        <w:t>水工掺合料的</w:t>
      </w:r>
      <w:r>
        <w:rPr>
          <w:rFonts w:hint="eastAsia" w:ascii="Times New Roman" w:hAnsi="Times New Roman"/>
          <w:b w:val="0"/>
          <w:bCs/>
          <w:color w:val="auto"/>
          <w:sz w:val="28"/>
          <w:highlight w:val="none"/>
          <w:lang w:val="en-US" w:eastAsia="zh-CN"/>
        </w:rPr>
        <w:t>产品</w:t>
      </w:r>
      <w:r>
        <w:rPr>
          <w:rFonts w:hint="default" w:ascii="Times New Roman" w:hAnsi="Times New Roman"/>
          <w:b w:val="0"/>
          <w:bCs/>
          <w:color w:val="auto"/>
          <w:sz w:val="28"/>
          <w:highlight w:val="none"/>
          <w:lang w:val="en-US" w:eastAsia="zh-CN"/>
        </w:rPr>
        <w:t>合格证是根据</w:t>
      </w:r>
      <w:r>
        <w:rPr>
          <w:rFonts w:hint="eastAsia" w:ascii="Times New Roman" w:hAnsi="Times New Roman"/>
          <w:b w:val="0"/>
          <w:bCs/>
          <w:color w:val="auto"/>
          <w:sz w:val="28"/>
          <w:highlight w:val="none"/>
          <w:lang w:val="en-US" w:eastAsia="zh-CN"/>
        </w:rPr>
        <w:t>生产</w:t>
      </w:r>
      <w:r>
        <w:rPr>
          <w:rFonts w:hint="default" w:ascii="Times New Roman" w:hAnsi="Times New Roman"/>
          <w:b w:val="0"/>
          <w:bCs/>
          <w:color w:val="auto"/>
          <w:sz w:val="28"/>
          <w:highlight w:val="none"/>
          <w:lang w:val="en-US" w:eastAsia="zh-CN"/>
        </w:rPr>
        <w:t>企业的实际生产情况制定的。</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4.3.3</w:t>
      </w:r>
      <w:r>
        <w:rPr>
          <w:rFonts w:hint="eastAsia" w:ascii="Times New Roman" w:hAnsi="Times New Roman"/>
          <w:b w:val="0"/>
          <w:bCs/>
          <w:color w:val="auto"/>
          <w:sz w:val="28"/>
          <w:highlight w:val="none"/>
          <w:lang w:val="en-US" w:eastAsia="zh-CN"/>
        </w:rPr>
        <w:t xml:space="preserve">  </w:t>
      </w:r>
      <w:r>
        <w:rPr>
          <w:rFonts w:hint="default" w:ascii="Times New Roman" w:hAnsi="Times New Roman"/>
          <w:b w:val="0"/>
          <w:bCs/>
          <w:color w:val="auto"/>
          <w:sz w:val="28"/>
          <w:highlight w:val="none"/>
          <w:lang w:val="en-US" w:eastAsia="zh-CN"/>
        </w:rPr>
        <w:t>活性指数和流动度比是表明水工掺合料对混凝土性能影响度的重要指标。故本规程规定用户应复验这二项指标。若其中任何一项不符合要求</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则由有资质的第三方检验机构进行全性能检验。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4.3.6  </w:t>
      </w:r>
      <w:r>
        <w:rPr>
          <w:rFonts w:hint="default" w:ascii="Times New Roman" w:hAnsi="Times New Roman"/>
          <w:b w:val="0"/>
          <w:bCs/>
          <w:color w:val="auto"/>
          <w:sz w:val="28"/>
          <w:highlight w:val="none"/>
          <w:lang w:val="en-US" w:eastAsia="zh-CN"/>
        </w:rPr>
        <w:t>试验表明</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水工掺合料的活性指数随储存时间推移而降低</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本规程规定存储期超过三个月应重新检验活性指数和动度比两项指标。</w:t>
      </w:r>
    </w:p>
    <w:p>
      <w:pPr>
        <w:snapToGrid w:val="0"/>
        <w:spacing w:line="360" w:lineRule="auto"/>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"_Toc30020859"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5</w:t>
      </w:r>
      <w:r>
        <w:rPr>
          <w:rFonts w:hint="eastAsia" w:ascii="Times New Roman" w:hAnsi="Times New Roman" w:eastAsia="宋体" w:cs="Times New Roman"/>
          <w:b/>
          <w:color w:val="auto"/>
          <w:kern w:val="2"/>
          <w:sz w:val="32"/>
          <w:szCs w:val="28"/>
          <w:highlight w:val="none"/>
          <w:lang w:val="zh-CN" w:eastAsia="zh-CN" w:bidi="ar-SA"/>
        </w:rPr>
        <w:t>　</w:t>
      </w:r>
      <w:r>
        <w:rPr>
          <w:rFonts w:hint="eastAsia" w:ascii="Times New Roman" w:hAnsi="Times New Roman" w:eastAsia="宋体" w:cs="Times New Roman"/>
          <w:b/>
          <w:color w:val="auto"/>
          <w:kern w:val="2"/>
          <w:sz w:val="32"/>
          <w:szCs w:val="28"/>
          <w:highlight w:val="none"/>
          <w:lang w:val="en-US" w:eastAsia="zh-CN" w:bidi="ar-SA"/>
        </w:rPr>
        <w:t>水工掺合料混凝土配合比设计</w:t>
      </w:r>
      <w:r>
        <w:rPr>
          <w:rFonts w:hint="eastAsia" w:ascii="Times New Roman" w:hAnsi="Times New Roman" w:eastAsia="宋体" w:cs="Times New Roman"/>
          <w:b/>
          <w:color w:val="auto"/>
          <w:kern w:val="2"/>
          <w:sz w:val="32"/>
          <w:szCs w:val="28"/>
          <w:highlight w:val="none"/>
          <w:lang w:val="en-US" w:eastAsia="zh-CN" w:bidi="ar-SA"/>
        </w:rPr>
        <w:fldChar w:fldCharType="end"/>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"_Toc30020860"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5.1　原材料要求</w:t>
      </w:r>
      <w:r>
        <w:rPr>
          <w:rFonts w:hint="eastAsia" w:ascii="Times New Roman" w:hAnsi="Times New Roman" w:eastAsia="宋体" w:cs="Times New Roman"/>
          <w:b/>
          <w:color w:val="auto"/>
          <w:kern w:val="2"/>
          <w:sz w:val="32"/>
          <w:szCs w:val="28"/>
          <w:highlight w:val="none"/>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5.1.1</w:t>
      </w:r>
      <w:r>
        <w:rPr>
          <w:rFonts w:hint="eastAsia" w:ascii="Times New Roman" w:hAnsi="Times New Roman"/>
          <w:b w:val="0"/>
          <w:bCs/>
          <w:color w:val="auto"/>
          <w:sz w:val="28"/>
          <w:highlight w:val="none"/>
          <w:lang w:val="en-US" w:eastAsia="zh-CN"/>
        </w:rPr>
        <w:t xml:space="preserve">  水工掺合料的活性发挥依赖于水泥水化后提供的碱性环境，因此本规程规定水泥应选用42.5或42.5以上强度等级的硅酸盐水泥或普通硅酸盐水泥，其水泥中的混合材掺量较低。</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5.1.3 </w:t>
      </w:r>
      <w:r>
        <w:rPr>
          <w:rFonts w:hint="eastAsia" w:ascii="Times New Roman" w:hAnsi="Times New Roman"/>
          <w:b w:val="0"/>
          <w:bCs/>
          <w:color w:val="auto"/>
          <w:sz w:val="28"/>
          <w:highlight w:val="none"/>
          <w:lang w:val="en-US" w:eastAsia="zh-CN"/>
        </w:rPr>
        <w:t xml:space="preserve"> 细骨料是混凝土的重要组成部分，细骨料的各项指标会影响其与水工掺合料的结合以及水工混凝土拌合物的流动性、硬化混凝土的力学性能和耐久性能。细骨料中含有云母、轻物质、有机物等颗粒，使混凝土的需水量增加，混凝土的流动性降低；可溶性硫酸盐、硫化物、离子、盐类会对混凝土本体造成破坏，硫酸盐遇水结晶膨胀，硫化物在有水和氧气的情况下氧化为硫酸盐，氯离子会加速钢筋腐蚀。具有碱活性的骨料颗粒可能会导致混凝土发生碱骨料反应，会使混凝土本体结构造成破环，严重影响混凝土的服役寿命及结构安全。</w:t>
      </w:r>
    </w:p>
    <w:p>
      <w:pPr>
        <w:pStyle w:val="2"/>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5.1.4 </w:t>
      </w:r>
      <w:r>
        <w:rPr>
          <w:rFonts w:hint="eastAsia" w:ascii="Times New Roman" w:hAnsi="Times New Roman"/>
          <w:b w:val="0"/>
          <w:bCs/>
          <w:color w:val="auto"/>
          <w:sz w:val="28"/>
          <w:highlight w:val="none"/>
          <w:lang w:val="en-US" w:eastAsia="zh-CN"/>
        </w:rPr>
        <w:t xml:space="preserve"> 粗骨料在混凝土中占据的体积最大，在混凝土中基本不发生变化，最大程度上保证了混凝土的体积稳定性。混凝土的流动度是靠颗粒从小到大逐级推动的，所以骨料应该是有不同粒径的颗粒组成，小颗粒的骨料填充了大颗粒骨料之间的空隙，使骨料之间的孔隙率减少，增加了混凝土的体积稳定性。粗骨料在生产过程中，碎石破碎产生的石粉或母岩央层中含有的泥土等细颗粒可使混凝土制备中需水量增加，这些细颗粒含量过高会导致混凝土变粘稠，工作性降低，针状、片状等不规则颗粒吸附减水剂的能力较大，可能对混凝土的工作性能影响较大。氯离子会加速钢筋腐蚀，粗骨料中氯离子超标并不常见，但应注意富含盐类矿物的地区生产的粗骨料；硫酸盐在混凝土中有可能造成结晶膨胀破坏，也可能生成大量的钙钒石而膨胀导致混凝土结构破坏。具有碱活性的骨料颗粒可能会导致混凝土发生碱骨料反应，会使混凝土本体结构造成破环，严重影响混凝土的服役寿命及结构安全。</w:t>
      </w:r>
    </w:p>
    <w:p>
      <w:pPr>
        <w:pStyle w:val="2"/>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5.1.5</w:t>
      </w:r>
      <w:r>
        <w:rPr>
          <w:rFonts w:hint="eastAsia" w:ascii="Times New Roman" w:hAnsi="Times New Roman"/>
          <w:b w:val="0"/>
          <w:bCs/>
          <w:color w:val="auto"/>
          <w:sz w:val="28"/>
          <w:highlight w:val="none"/>
          <w:lang w:val="en-US" w:eastAsia="zh-CN"/>
        </w:rPr>
        <w:t xml:space="preserve">  混凝土外加剂已成为高流动性、高体积稳定性、高耐久性混凝土配置中不可缺少的重要组分。外加剂是在搅拌混凝土过程中掺入，能改善混凝土的化学性能流动性，可以减少水的用量，提高混凝土的强度、耐久性等。</w:t>
      </w:r>
    </w:p>
    <w:p>
      <w:pPr>
        <w:pStyle w:val="2"/>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5.1.6</w:t>
      </w:r>
      <w:r>
        <w:rPr>
          <w:rFonts w:hint="eastAsia" w:ascii="Times New Roman" w:hAnsi="Times New Roman"/>
          <w:b w:val="0"/>
          <w:bCs/>
          <w:color w:val="auto"/>
          <w:sz w:val="28"/>
          <w:highlight w:val="none"/>
          <w:lang w:val="en-US" w:eastAsia="zh-CN"/>
        </w:rPr>
        <w:t xml:space="preserve">  水工掺合料混凝土拌和用水不得影响水泥正常凝结、硬化以及促使钢筋锈蚀，并应符合表2的规定。</w:t>
      </w:r>
    </w:p>
    <w:p>
      <w:pPr>
        <w:pStyle w:val="2"/>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表2  拌和用水质量指标</w:t>
      </w:r>
    </w:p>
    <w:tbl>
      <w:tblPr>
        <w:tblStyle w:val="20"/>
        <w:tblW w:w="7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3"/>
        <w:gridCol w:w="307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933"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left="12" w:leftChars="0" w:right="-97" w:rightChars="-46" w:hanging="12" w:hangingChars="6"/>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项目</w:t>
            </w:r>
          </w:p>
        </w:tc>
        <w:tc>
          <w:tcPr>
            <w:tcW w:w="3070"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钢筋混凝土、预应力</w:t>
            </w:r>
            <w:r>
              <w:rPr>
                <w:rFonts w:hint="eastAsia" w:ascii="Times New Roman" w:hAnsi="Times New Roman" w:eastAsiaTheme="minorEastAsia"/>
                <w:sz w:val="21"/>
                <w:szCs w:val="21"/>
                <w:vertAlign w:val="baseline"/>
                <w:lang w:val="en-US" w:eastAsia="zh-CN"/>
              </w:rPr>
              <w:t>混凝土</w:t>
            </w:r>
          </w:p>
        </w:tc>
        <w:tc>
          <w:tcPr>
            <w:tcW w:w="1605"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素混凝土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93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12" w:leftChars="0" w:right="-122" w:rightChars="-58" w:hanging="12" w:hangingChars="6"/>
              <w:jc w:val="center"/>
              <w:textAlignment w:val="auto"/>
              <w:rPr>
                <w:rFonts w:hint="eastAsia" w:ascii="Times New Roman" w:hAnsi="Times New Roman" w:eastAsiaTheme="minorEastAsia"/>
                <w:sz w:val="21"/>
                <w:szCs w:val="21"/>
                <w:vertAlign w:val="baseline"/>
                <w:lang w:val="en-US" w:eastAsia="zh-CN"/>
              </w:rPr>
            </w:pPr>
          </w:p>
        </w:tc>
        <w:tc>
          <w:tcPr>
            <w:tcW w:w="3070"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sz w:val="21"/>
                <w:szCs w:val="21"/>
                <w:vertAlign w:val="baseline"/>
                <w:lang w:val="en-US" w:eastAsia="zh-CN"/>
              </w:rPr>
            </w:pPr>
          </w:p>
        </w:tc>
        <w:tc>
          <w:tcPr>
            <w:tcW w:w="1605"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933" w:type="dxa"/>
            <w:vAlign w:val="center"/>
          </w:tcPr>
          <w:p>
            <w:pPr>
              <w:pStyle w:val="2"/>
              <w:keepNext w:val="0"/>
              <w:keepLines w:val="0"/>
              <w:pageBreakBefore w:val="0"/>
              <w:widowControl w:val="0"/>
              <w:kinsoku/>
              <w:wordWrap/>
              <w:overflowPunct/>
              <w:topLinePunct w:val="0"/>
              <w:autoSpaceDE/>
              <w:autoSpaceDN/>
              <w:bidi w:val="0"/>
              <w:adjustRightInd/>
              <w:snapToGrid w:val="0"/>
              <w:ind w:left="12" w:leftChars="0" w:right="-122" w:rightChars="-58" w:hanging="12" w:hangingChars="6"/>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pH值</w:t>
            </w:r>
          </w:p>
        </w:tc>
        <w:tc>
          <w:tcPr>
            <w:tcW w:w="307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＞5.0</w:t>
            </w:r>
          </w:p>
        </w:tc>
        <w:tc>
          <w:tcPr>
            <w:tcW w:w="16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933" w:type="dxa"/>
            <w:vAlign w:val="center"/>
          </w:tcPr>
          <w:p>
            <w:pPr>
              <w:pStyle w:val="2"/>
              <w:keepNext w:val="0"/>
              <w:keepLines w:val="0"/>
              <w:pageBreakBefore w:val="0"/>
              <w:widowControl w:val="0"/>
              <w:kinsoku/>
              <w:wordWrap/>
              <w:overflowPunct/>
              <w:topLinePunct w:val="0"/>
              <w:autoSpaceDE/>
              <w:autoSpaceDN/>
              <w:bidi w:val="0"/>
              <w:adjustRightInd/>
              <w:snapToGrid w:val="0"/>
              <w:ind w:left="12" w:leftChars="0" w:right="-122" w:rightChars="-58" w:hanging="12" w:hangingChars="6"/>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不溶物（m/L）</w:t>
            </w:r>
          </w:p>
        </w:tc>
        <w:tc>
          <w:tcPr>
            <w:tcW w:w="307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＜2000</w:t>
            </w:r>
          </w:p>
        </w:tc>
        <w:tc>
          <w:tcPr>
            <w:tcW w:w="16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933" w:type="dxa"/>
            <w:vAlign w:val="center"/>
          </w:tcPr>
          <w:p>
            <w:pPr>
              <w:pStyle w:val="2"/>
              <w:keepNext w:val="0"/>
              <w:keepLines w:val="0"/>
              <w:pageBreakBefore w:val="0"/>
              <w:widowControl w:val="0"/>
              <w:kinsoku/>
              <w:wordWrap/>
              <w:overflowPunct/>
              <w:topLinePunct w:val="0"/>
              <w:autoSpaceDE/>
              <w:autoSpaceDN/>
              <w:bidi w:val="0"/>
              <w:adjustRightInd/>
              <w:snapToGrid w:val="0"/>
              <w:ind w:left="12" w:leftChars="0" w:right="-122" w:rightChars="-58" w:hanging="12" w:hangingChars="6"/>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可溶物（mg/L）</w:t>
            </w:r>
          </w:p>
        </w:tc>
        <w:tc>
          <w:tcPr>
            <w:tcW w:w="307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＜2000</w:t>
            </w:r>
          </w:p>
        </w:tc>
        <w:tc>
          <w:tcPr>
            <w:tcW w:w="16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933" w:type="dxa"/>
            <w:vAlign w:val="center"/>
          </w:tcPr>
          <w:p>
            <w:pPr>
              <w:pStyle w:val="2"/>
              <w:keepNext w:val="0"/>
              <w:keepLines w:val="0"/>
              <w:pageBreakBefore w:val="0"/>
              <w:widowControl w:val="0"/>
              <w:kinsoku/>
              <w:wordWrap/>
              <w:overflowPunct/>
              <w:topLinePunct w:val="0"/>
              <w:autoSpaceDE/>
              <w:autoSpaceDN/>
              <w:bidi w:val="0"/>
              <w:adjustRightInd/>
              <w:snapToGrid w:val="0"/>
              <w:ind w:left="12" w:leftChars="0" w:right="-122" w:rightChars="-58" w:hanging="12" w:hangingChars="6"/>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氯化物（以Cl</w:t>
            </w:r>
            <w:r>
              <w:rPr>
                <w:rFonts w:hint="eastAsia" w:ascii="Times New Roman" w:hAnsi="Times New Roman"/>
                <w:sz w:val="21"/>
                <w:szCs w:val="21"/>
                <w:vertAlign w:val="superscript"/>
                <w:lang w:val="en-US" w:eastAsia="zh-CN"/>
              </w:rPr>
              <w:t xml:space="preserve">- </w:t>
            </w:r>
            <w:r>
              <w:rPr>
                <w:rFonts w:hint="eastAsia" w:ascii="Times New Roman" w:hAnsi="Times New Roman"/>
                <w:sz w:val="21"/>
                <w:szCs w:val="21"/>
                <w:vertAlign w:val="baseline"/>
                <w:lang w:val="en-US" w:eastAsia="zh-CN"/>
              </w:rPr>
              <w:t>计，mg/L）</w:t>
            </w:r>
          </w:p>
        </w:tc>
        <w:tc>
          <w:tcPr>
            <w:tcW w:w="307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＜200</w:t>
            </w:r>
          </w:p>
        </w:tc>
        <w:tc>
          <w:tcPr>
            <w:tcW w:w="16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933" w:type="dxa"/>
            <w:vAlign w:val="center"/>
          </w:tcPr>
          <w:p>
            <w:pPr>
              <w:pStyle w:val="2"/>
              <w:keepNext w:val="0"/>
              <w:keepLines w:val="0"/>
              <w:pageBreakBefore w:val="0"/>
              <w:widowControl w:val="0"/>
              <w:kinsoku/>
              <w:wordWrap/>
              <w:overflowPunct/>
              <w:topLinePunct w:val="0"/>
              <w:autoSpaceDE/>
              <w:autoSpaceDN/>
              <w:bidi w:val="0"/>
              <w:adjustRightInd/>
              <w:snapToGrid w:val="0"/>
              <w:ind w:left="12" w:leftChars="0" w:right="-122" w:rightChars="-58" w:hanging="12" w:hangingChars="6"/>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硫酸盐（以SO</w:t>
            </w:r>
            <w:r>
              <w:rPr>
                <w:rFonts w:hint="eastAsia" w:ascii="Times New Roman" w:hAnsi="Times New Roman"/>
                <w:sz w:val="21"/>
                <w:szCs w:val="21"/>
                <w:vertAlign w:val="subscript"/>
                <w:lang w:val="en-US" w:eastAsia="zh-CN"/>
              </w:rPr>
              <w:t>4</w:t>
            </w:r>
            <w:r>
              <w:rPr>
                <w:rFonts w:hint="eastAsia" w:ascii="Times New Roman" w:hAnsi="Times New Roman"/>
                <w:sz w:val="21"/>
                <w:szCs w:val="21"/>
                <w:vertAlign w:val="superscript"/>
                <w:lang w:val="en-US" w:eastAsia="zh-CN"/>
              </w:rPr>
              <w:t xml:space="preserve">2- </w:t>
            </w:r>
            <w:r>
              <w:rPr>
                <w:rFonts w:hint="eastAsia" w:ascii="Times New Roman" w:hAnsi="Times New Roman"/>
                <w:sz w:val="21"/>
                <w:szCs w:val="21"/>
                <w:vertAlign w:val="baseline"/>
                <w:lang w:val="en-US" w:eastAsia="zh-CN"/>
              </w:rPr>
              <w:t>计，mg/L）</w:t>
            </w:r>
          </w:p>
        </w:tc>
        <w:tc>
          <w:tcPr>
            <w:tcW w:w="307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＜600</w:t>
            </w:r>
          </w:p>
        </w:tc>
        <w:tc>
          <w:tcPr>
            <w:tcW w:w="16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＜2200</w:t>
            </w:r>
          </w:p>
        </w:tc>
      </w:tr>
    </w:tbl>
    <w:p>
      <w:pPr>
        <w:snapToGrid w:val="0"/>
        <w:spacing w:line="360" w:lineRule="auto"/>
        <w:rPr>
          <w:rFonts w:hint="eastAsia" w:ascii="Times New Roman" w:hAnsi="Times New Roman"/>
          <w:b/>
          <w:color w:val="auto"/>
          <w:sz w:val="28"/>
          <w:highlight w:val="none"/>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"_Toc30020861"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5.2　配合比设计原则</w:t>
      </w:r>
      <w:r>
        <w:rPr>
          <w:rFonts w:hint="eastAsia" w:ascii="Times New Roman" w:hAnsi="Times New Roman" w:eastAsia="宋体" w:cs="Times New Roman"/>
          <w:b/>
          <w:color w:val="auto"/>
          <w:kern w:val="2"/>
          <w:sz w:val="32"/>
          <w:szCs w:val="28"/>
          <w:highlight w:val="none"/>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5.2.1</w:t>
      </w:r>
      <w:r>
        <w:rPr>
          <w:rFonts w:hint="eastAsia" w:ascii="Times New Roman" w:hAnsi="Times New Roman"/>
          <w:b w:val="0"/>
          <w:bCs/>
          <w:color w:val="auto"/>
          <w:sz w:val="28"/>
          <w:highlight w:val="none"/>
          <w:lang w:val="en-US" w:eastAsia="zh-CN"/>
        </w:rPr>
        <w:t xml:space="preserve">  水工掺合料混凝土的配合比设计受原材料的影响较大，目前尚无成熟的统一计算方法。所以水工掺合料混凝土的配合比主要根据设计要求、施工工艺和环境温度条件等，通过试配确定。在确保其施工要求和结构混凝土设计强度的基础上，针对结构所在外部环境中各种因素作用，提高混凝土的耐久性能，使结构在耐久性和耐腐蚀性方面符合设计使用要求年限。经确认合格后才能投人生产应用。</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5.2.2</w:t>
      </w:r>
      <w:r>
        <w:rPr>
          <w:rFonts w:hint="eastAsia" w:ascii="Times New Roman" w:hAnsi="Times New Roman"/>
          <w:b w:val="0"/>
          <w:bCs/>
          <w:color w:val="auto"/>
          <w:sz w:val="28"/>
          <w:highlight w:val="none"/>
          <w:lang w:val="en-US" w:eastAsia="zh-CN"/>
        </w:rPr>
        <w:t xml:space="preserve">  在一定范围内，混凝土强度与胶凝材料用量呈正相关，但是胶凝材料用量过高将会导致收缩过大，耐久性劣化等问题。因此水工混凝土中，胶凝材料用量应小于500kg/m³。</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5.2.3 </w:t>
      </w:r>
      <w:r>
        <w:rPr>
          <w:rFonts w:hint="eastAsia" w:ascii="Times New Roman" w:hAnsi="Times New Roman"/>
          <w:b w:val="0"/>
          <w:bCs/>
          <w:color w:val="auto"/>
          <w:sz w:val="28"/>
          <w:highlight w:val="none"/>
          <w:lang w:val="en-US" w:eastAsia="zh-CN"/>
        </w:rPr>
        <w:t xml:space="preserve"> 水工掺合料的超量系数K是表征其替代水泥能力的参数，由于水工掺合料与不同种类、强度等级的水泥配合时，其超量系数有一定的差异，因此用户有条件时，应尽量通过试验来确定水工掺合料的超量系数 K。</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5.2.4  </w:t>
      </w:r>
      <w:r>
        <w:rPr>
          <w:rFonts w:hint="eastAsia" w:ascii="Times New Roman" w:hAnsi="Times New Roman"/>
          <w:b w:val="0"/>
          <w:bCs/>
          <w:color w:val="auto"/>
          <w:sz w:val="28"/>
          <w:highlight w:val="none"/>
          <w:lang w:val="en-US" w:eastAsia="zh-CN"/>
        </w:rPr>
        <w:t>水胶比是指混凝土拌合物中用水量与胶凝材料总量的质量比，是混凝土达到设计强度的关键参数，将水工混凝土的水胶比控制在 0.24~0.38范围内，并保持一定的流动度，就要求外加剂达到相应的减水率。水工掺合料中的胶凝材料主要为水泥和粉煤灰、磨细矿渣粉、助磨剂、矿物激发剂等矿物掺合料。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5.2.5</w:t>
      </w:r>
      <w:r>
        <w:rPr>
          <w:rFonts w:hint="eastAsia" w:ascii="Times New Roman" w:hAnsi="Times New Roman"/>
          <w:b w:val="0"/>
          <w:bCs/>
          <w:color w:val="auto"/>
          <w:sz w:val="28"/>
          <w:highlight w:val="none"/>
          <w:lang w:val="en-US" w:eastAsia="zh-CN"/>
        </w:rPr>
        <w:t xml:space="preserve">  水工混凝土是一种致密程度较高的混凝土材料，因而配制时需保证一定量的活性矿物掺合料的用量。但是掺合料掺量过高时，易引起早期强度过低、自收缩增大、开裂概率增大等副作用，因而也应控制最大掺量。普通硅酸盐水泥中已掺人一定量的混合材，因此掺合料的总掺量应适当降低，应当控制在胶凝材料总量的70%以下。</w:t>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"_Toc30020861"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5.4　水工掺合料混凝土性能</w:t>
      </w:r>
      <w:r>
        <w:rPr>
          <w:rFonts w:hint="eastAsia" w:ascii="Times New Roman" w:hAnsi="Times New Roman" w:eastAsia="宋体" w:cs="Times New Roman"/>
          <w:b/>
          <w:color w:val="auto"/>
          <w:kern w:val="2"/>
          <w:sz w:val="32"/>
          <w:szCs w:val="28"/>
          <w:highlight w:val="none"/>
          <w:lang w:val="en-US" w:eastAsia="zh-CN" w:bidi="ar-SA"/>
        </w:rPr>
        <w:fldChar w:fldCharType="end"/>
      </w:r>
    </w:p>
    <w:p>
      <w:pPr>
        <w:snapToGrid w:val="0"/>
        <w:spacing w:line="360" w:lineRule="auto"/>
        <w:rPr>
          <w:rFonts w:hint="eastAsia"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 xml:space="preserve">5.4.1~5.4.7 </w:t>
      </w:r>
      <w:r>
        <w:rPr>
          <w:rFonts w:hint="eastAsia" w:ascii="Times New Roman" w:hAnsi="Times New Roman"/>
          <w:b w:val="0"/>
          <w:bCs/>
          <w:color w:val="auto"/>
          <w:sz w:val="30"/>
          <w:szCs w:val="30"/>
          <w:highlight w:val="none"/>
          <w:lang w:val="en-US" w:eastAsia="zh-CN"/>
        </w:rPr>
        <w:t xml:space="preserve"> 新拌水工混凝土的流动度随时间、温度的变化而变化，而且不同外加剂、水泥的影响规律也有所差异。因此，应控制混凝土的出机口温度及运输、浇筑过程中的温度回升。混凝土允许浇筑温度应符合设计规定，混凝土浇筑温度不宜大于28℃。当环境温度较高或搅拌至浇筑的间隔时间较长时，应试验测定混凝土的坍落度经时损失，指定相应的工艺措施和技术措施。</w:t>
      </w:r>
    </w:p>
    <w:p>
      <w:pPr>
        <w:pStyle w:val="2"/>
        <w:keepNext w:val="0"/>
        <w:keepLines w:val="0"/>
        <w:pageBreakBefore w:val="0"/>
        <w:widowControl w:val="0"/>
        <w:kinsoku/>
        <w:wordWrap/>
        <w:overflowPunct/>
        <w:topLinePunct w:val="0"/>
        <w:autoSpaceDE/>
        <w:autoSpaceDN/>
        <w:bidi w:val="0"/>
        <w:adjustRightInd/>
        <w:snapToGrid w:val="0"/>
        <w:spacing w:line="360" w:lineRule="auto"/>
        <w:ind w:left="0" w:leftChars="0" w:firstLine="560" w:firstLineChars="200"/>
        <w:jc w:val="both"/>
        <w:textAlignment w:val="auto"/>
        <w:rPr>
          <w:rFonts w:hint="eastAsia" w:ascii="Times New Roman" w:hAnsi="Times New Roman" w:eastAsiaTheme="minorEastAsia"/>
          <w:lang w:val="en-US" w:eastAsia="zh-CN"/>
        </w:rPr>
      </w:pPr>
      <w:r>
        <w:rPr>
          <w:rFonts w:hint="eastAsia" w:ascii="Times New Roman" w:hAnsi="Times New Roman"/>
          <w:b w:val="0"/>
          <w:bCs/>
          <w:color w:val="auto"/>
          <w:sz w:val="28"/>
          <w:highlight w:val="none"/>
          <w:lang w:val="en-US" w:eastAsia="zh-CN"/>
        </w:rPr>
        <w:t>海工掺合料混凝土的常用配合比及性能见表3、表4和表5。</w:t>
      </w:r>
    </w:p>
    <w:p>
      <w:pPr>
        <w:pStyle w:val="2"/>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Times New Roman" w:hAnsi="Times New Roman" w:eastAsiaTheme="minorEastAsia" w:cstheme="minorBidi"/>
          <w:b w:val="0"/>
          <w:bCs/>
          <w:color w:val="auto"/>
          <w:kern w:val="2"/>
          <w:sz w:val="28"/>
          <w:szCs w:val="22"/>
          <w:highlight w:val="none"/>
          <w:lang w:val="en-US" w:eastAsia="zh-CN" w:bidi="ar-SA"/>
        </w:rPr>
      </w:pPr>
      <w:r>
        <w:rPr>
          <w:rFonts w:hint="eastAsia" w:ascii="Times New Roman" w:hAnsi="Times New Roman" w:eastAsiaTheme="minorEastAsia" w:cstheme="minorBidi"/>
          <w:b w:val="0"/>
          <w:bCs/>
          <w:color w:val="auto"/>
          <w:kern w:val="2"/>
          <w:sz w:val="28"/>
          <w:szCs w:val="22"/>
          <w:highlight w:val="none"/>
          <w:lang w:val="en-US" w:eastAsia="zh-CN" w:bidi="ar-SA"/>
        </w:rPr>
        <w:t>表</w:t>
      </w:r>
      <w:r>
        <w:rPr>
          <w:rFonts w:hint="eastAsia" w:ascii="Times New Roman" w:hAnsi="Times New Roman" w:cstheme="minorBidi"/>
          <w:b w:val="0"/>
          <w:bCs/>
          <w:color w:val="auto"/>
          <w:kern w:val="2"/>
          <w:sz w:val="28"/>
          <w:szCs w:val="22"/>
          <w:highlight w:val="none"/>
          <w:lang w:val="en-US" w:eastAsia="zh-CN" w:bidi="ar-SA"/>
        </w:rPr>
        <w:t>3</w:t>
      </w:r>
      <w:r>
        <w:rPr>
          <w:rFonts w:hint="eastAsia" w:ascii="Times New Roman" w:hAnsi="Times New Roman" w:eastAsiaTheme="minorEastAsia" w:cstheme="minorBidi"/>
          <w:b w:val="0"/>
          <w:bCs/>
          <w:color w:val="auto"/>
          <w:kern w:val="2"/>
          <w:sz w:val="28"/>
          <w:szCs w:val="22"/>
          <w:highlight w:val="none"/>
          <w:lang w:val="en-US" w:eastAsia="zh-CN" w:bidi="ar-SA"/>
        </w:rPr>
        <w:t xml:space="preserve">  海工掺合料混凝土（C45）配合比</w:t>
      </w:r>
    </w:p>
    <w:tbl>
      <w:tblPr>
        <w:tblStyle w:val="20"/>
        <w:tblW w:w="7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6"/>
        <w:gridCol w:w="952"/>
        <w:gridCol w:w="1009"/>
        <w:gridCol w:w="1021"/>
        <w:gridCol w:w="1021"/>
        <w:gridCol w:w="951"/>
        <w:gridCol w:w="953"/>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6"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掺合料</w:t>
            </w:r>
          </w:p>
        </w:tc>
        <w:tc>
          <w:tcPr>
            <w:tcW w:w="952"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混凝土</w:t>
            </w:r>
          </w:p>
        </w:tc>
        <w:tc>
          <w:tcPr>
            <w:tcW w:w="5915" w:type="dxa"/>
            <w:gridSpan w:val="6"/>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每m³混凝土材料用量（kg/m³）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sz w:val="21"/>
                <w:szCs w:val="21"/>
                <w:vertAlign w:val="baseline"/>
                <w:lang w:val="en-US" w:eastAsia="zh-CN"/>
              </w:rPr>
            </w:pPr>
          </w:p>
        </w:tc>
        <w:tc>
          <w:tcPr>
            <w:tcW w:w="952"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sz w:val="21"/>
                <w:szCs w:val="21"/>
                <w:vertAlign w:val="baseline"/>
                <w:lang w:val="en-US" w:eastAsia="zh-CN"/>
              </w:rPr>
            </w:pPr>
          </w:p>
        </w:tc>
        <w:tc>
          <w:tcPr>
            <w:tcW w:w="1009"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水</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水泥</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掺合料</w:t>
            </w:r>
          </w:p>
        </w:tc>
        <w:tc>
          <w:tcPr>
            <w:tcW w:w="95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砂</w:t>
            </w:r>
          </w:p>
        </w:tc>
        <w:tc>
          <w:tcPr>
            <w:tcW w:w="95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石</w:t>
            </w:r>
          </w:p>
        </w:tc>
        <w:tc>
          <w:tcPr>
            <w:tcW w:w="96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外加剂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I型海工</w:t>
            </w:r>
          </w:p>
        </w:tc>
        <w:tc>
          <w:tcPr>
            <w:tcW w:w="95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预制</w:t>
            </w:r>
          </w:p>
        </w:tc>
        <w:tc>
          <w:tcPr>
            <w:tcW w:w="1009"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140（0.30）</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188（40%）</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282（60%）</w:t>
            </w:r>
          </w:p>
        </w:tc>
        <w:tc>
          <w:tcPr>
            <w:tcW w:w="95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659</w:t>
            </w:r>
          </w:p>
        </w:tc>
        <w:tc>
          <w:tcPr>
            <w:tcW w:w="95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1121</w:t>
            </w:r>
          </w:p>
        </w:tc>
        <w:tc>
          <w:tcPr>
            <w:tcW w:w="96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1.0%胶凝材料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II型海工</w:t>
            </w:r>
          </w:p>
        </w:tc>
        <w:tc>
          <w:tcPr>
            <w:tcW w:w="95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预制</w:t>
            </w:r>
          </w:p>
        </w:tc>
        <w:tc>
          <w:tcPr>
            <w:tcW w:w="1009"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135（0.29）</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188（40%）</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282（60%）</w:t>
            </w:r>
          </w:p>
        </w:tc>
        <w:tc>
          <w:tcPr>
            <w:tcW w:w="95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663</w:t>
            </w:r>
          </w:p>
        </w:tc>
        <w:tc>
          <w:tcPr>
            <w:tcW w:w="95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1129</w:t>
            </w:r>
          </w:p>
        </w:tc>
        <w:tc>
          <w:tcPr>
            <w:tcW w:w="96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1.0%胶凝材料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I型海工</w:t>
            </w:r>
          </w:p>
        </w:tc>
        <w:tc>
          <w:tcPr>
            <w:tcW w:w="95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现浇</w:t>
            </w:r>
          </w:p>
        </w:tc>
        <w:tc>
          <w:tcPr>
            <w:tcW w:w="1009"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150（0.32）</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188（40%）</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282（60%）</w:t>
            </w:r>
          </w:p>
        </w:tc>
        <w:tc>
          <w:tcPr>
            <w:tcW w:w="95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659</w:t>
            </w:r>
          </w:p>
        </w:tc>
        <w:tc>
          <w:tcPr>
            <w:tcW w:w="95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1121</w:t>
            </w:r>
          </w:p>
        </w:tc>
        <w:tc>
          <w:tcPr>
            <w:tcW w:w="96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1.0%胶凝材料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II型海工</w:t>
            </w:r>
          </w:p>
        </w:tc>
        <w:tc>
          <w:tcPr>
            <w:tcW w:w="95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现浇</w:t>
            </w:r>
          </w:p>
        </w:tc>
        <w:tc>
          <w:tcPr>
            <w:tcW w:w="1009"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146（0.31）</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188（40%）</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282（60%）</w:t>
            </w:r>
          </w:p>
        </w:tc>
        <w:tc>
          <w:tcPr>
            <w:tcW w:w="95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660</w:t>
            </w:r>
          </w:p>
        </w:tc>
        <w:tc>
          <w:tcPr>
            <w:tcW w:w="95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1124</w:t>
            </w:r>
          </w:p>
        </w:tc>
        <w:tc>
          <w:tcPr>
            <w:tcW w:w="96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1.0%胶凝材料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II级</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粉煤灰</w:t>
            </w:r>
          </w:p>
        </w:tc>
        <w:tc>
          <w:tcPr>
            <w:tcW w:w="95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C45</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普通</w:t>
            </w:r>
          </w:p>
        </w:tc>
        <w:tc>
          <w:tcPr>
            <w:tcW w:w="1009"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170</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410</w:t>
            </w:r>
          </w:p>
        </w:tc>
        <w:tc>
          <w:tcPr>
            <w:tcW w:w="102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60</w:t>
            </w:r>
          </w:p>
        </w:tc>
        <w:tc>
          <w:tcPr>
            <w:tcW w:w="95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669</w:t>
            </w:r>
          </w:p>
        </w:tc>
        <w:tc>
          <w:tcPr>
            <w:tcW w:w="95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1091</w:t>
            </w:r>
          </w:p>
        </w:tc>
        <w:tc>
          <w:tcPr>
            <w:tcW w:w="96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1.0%胶凝材料</w:t>
            </w:r>
          </w:p>
        </w:tc>
      </w:tr>
    </w:tbl>
    <w:p>
      <w:pPr>
        <w:pStyle w:val="2"/>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default" w:ascii="Times New Roman" w:hAnsi="Times New Roman" w:eastAsiaTheme="minorEastAsia"/>
          <w:sz w:val="10"/>
          <w:szCs w:val="10"/>
          <w:lang w:val="en-US" w:eastAsia="zh-CN"/>
        </w:rPr>
      </w:pPr>
    </w:p>
    <w:p>
      <w:pPr>
        <w:pStyle w:val="2"/>
        <w:ind w:left="0" w:leftChars="0" w:firstLine="0" w:firstLineChars="0"/>
        <w:jc w:val="center"/>
        <w:rPr>
          <w:rFonts w:hint="eastAsia" w:ascii="Times New Roman" w:hAnsi="Times New Roman" w:eastAsiaTheme="minorEastAsia"/>
          <w:lang w:val="en-US" w:eastAsia="zh-CN"/>
        </w:rPr>
      </w:pPr>
      <w:r>
        <w:rPr>
          <w:rFonts w:hint="eastAsia" w:ascii="Times New Roman" w:hAnsi="Times New Roman" w:eastAsiaTheme="minorEastAsia" w:cstheme="minorBidi"/>
          <w:b w:val="0"/>
          <w:bCs/>
          <w:color w:val="auto"/>
          <w:kern w:val="2"/>
          <w:sz w:val="28"/>
          <w:szCs w:val="22"/>
          <w:highlight w:val="none"/>
          <w:lang w:val="en-US" w:eastAsia="zh-CN" w:bidi="ar-SA"/>
        </w:rPr>
        <w:t>表</w:t>
      </w:r>
      <w:r>
        <w:rPr>
          <w:rFonts w:hint="eastAsia" w:ascii="Times New Roman" w:hAnsi="Times New Roman" w:cstheme="minorBidi"/>
          <w:b w:val="0"/>
          <w:bCs/>
          <w:color w:val="auto"/>
          <w:kern w:val="2"/>
          <w:sz w:val="28"/>
          <w:szCs w:val="22"/>
          <w:highlight w:val="none"/>
          <w:lang w:val="en-US" w:eastAsia="zh-CN" w:bidi="ar-SA"/>
        </w:rPr>
        <w:t>4</w:t>
      </w:r>
      <w:r>
        <w:rPr>
          <w:rFonts w:hint="eastAsia" w:ascii="Times New Roman" w:hAnsi="Times New Roman" w:eastAsiaTheme="minorEastAsia" w:cstheme="minorBidi"/>
          <w:b w:val="0"/>
          <w:bCs/>
          <w:color w:val="auto"/>
          <w:kern w:val="2"/>
          <w:sz w:val="28"/>
          <w:szCs w:val="22"/>
          <w:highlight w:val="none"/>
          <w:lang w:val="en-US" w:eastAsia="zh-CN" w:bidi="ar-SA"/>
        </w:rPr>
        <w:t xml:space="preserve">  海工掺合料混凝土（C45）性能测试数据</w:t>
      </w:r>
    </w:p>
    <w:tbl>
      <w:tblPr>
        <w:tblStyle w:val="20"/>
        <w:tblW w:w="7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005"/>
        <w:gridCol w:w="1091"/>
        <w:gridCol w:w="1005"/>
        <w:gridCol w:w="1006"/>
        <w:gridCol w:w="1590"/>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107"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掺合料</w:t>
            </w:r>
          </w:p>
        </w:tc>
        <w:tc>
          <w:tcPr>
            <w:tcW w:w="1005"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混凝土</w:t>
            </w:r>
          </w:p>
        </w:tc>
        <w:tc>
          <w:tcPr>
            <w:tcW w:w="1091"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坍落度（mm）</w:t>
            </w:r>
          </w:p>
        </w:tc>
        <w:tc>
          <w:tcPr>
            <w:tcW w:w="2011"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抗压强度（MPa）</w:t>
            </w:r>
          </w:p>
        </w:tc>
        <w:tc>
          <w:tcPr>
            <w:tcW w:w="2776"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抗氯离子渗透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7"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sz w:val="21"/>
                <w:szCs w:val="21"/>
                <w:vertAlign w:val="baseline"/>
                <w:lang w:val="en-US" w:eastAsia="zh-CN"/>
              </w:rPr>
            </w:pPr>
          </w:p>
        </w:tc>
        <w:tc>
          <w:tcPr>
            <w:tcW w:w="1005"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sz w:val="21"/>
                <w:szCs w:val="21"/>
                <w:vertAlign w:val="baseline"/>
                <w:lang w:val="en-US" w:eastAsia="zh-CN"/>
              </w:rPr>
            </w:pPr>
          </w:p>
        </w:tc>
        <w:tc>
          <w:tcPr>
            <w:tcW w:w="1091"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7d</w:t>
            </w:r>
          </w:p>
        </w:tc>
        <w:tc>
          <w:tcPr>
            <w:tcW w:w="10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28d</w:t>
            </w:r>
          </w:p>
        </w:tc>
        <w:tc>
          <w:tcPr>
            <w:tcW w:w="159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NEL法</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（×10</w:t>
            </w:r>
            <w:r>
              <w:rPr>
                <w:rFonts w:hint="eastAsia" w:ascii="Times New Roman" w:hAnsi="Times New Roman" w:eastAsiaTheme="minorEastAsia"/>
                <w:sz w:val="21"/>
                <w:szCs w:val="21"/>
                <w:vertAlign w:val="superscript"/>
                <w:lang w:val="en-US" w:eastAsia="zh-CN"/>
              </w:rPr>
              <w:t>-12</w:t>
            </w:r>
            <w:r>
              <w:rPr>
                <w:rFonts w:hint="eastAsia" w:ascii="Times New Roman" w:hAnsi="Times New Roman" w:eastAsiaTheme="minorEastAsia"/>
                <w:sz w:val="21"/>
                <w:szCs w:val="21"/>
                <w:vertAlign w:val="baseline"/>
                <w:lang w:val="en-US" w:eastAsia="zh-CN"/>
              </w:rPr>
              <w:t>㎡/s）</w:t>
            </w:r>
          </w:p>
        </w:tc>
        <w:tc>
          <w:tcPr>
            <w:tcW w:w="118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电量法（C）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I型</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海工</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预制</w:t>
            </w:r>
          </w:p>
        </w:tc>
        <w:tc>
          <w:tcPr>
            <w:tcW w:w="109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70</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39.1</w:t>
            </w:r>
          </w:p>
        </w:tc>
        <w:tc>
          <w:tcPr>
            <w:tcW w:w="10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58.9</w:t>
            </w:r>
          </w:p>
        </w:tc>
        <w:tc>
          <w:tcPr>
            <w:tcW w:w="159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1.0</w:t>
            </w:r>
          </w:p>
        </w:tc>
        <w:tc>
          <w:tcPr>
            <w:tcW w:w="118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II型</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海工</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预制</w:t>
            </w:r>
          </w:p>
        </w:tc>
        <w:tc>
          <w:tcPr>
            <w:tcW w:w="109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80</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33.3</w:t>
            </w:r>
          </w:p>
        </w:tc>
        <w:tc>
          <w:tcPr>
            <w:tcW w:w="10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54.6</w:t>
            </w:r>
          </w:p>
        </w:tc>
        <w:tc>
          <w:tcPr>
            <w:tcW w:w="159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1.3</w:t>
            </w:r>
          </w:p>
        </w:tc>
        <w:tc>
          <w:tcPr>
            <w:tcW w:w="118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I型</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海工</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现浇</w:t>
            </w:r>
          </w:p>
        </w:tc>
        <w:tc>
          <w:tcPr>
            <w:tcW w:w="109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150</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33.5</w:t>
            </w:r>
          </w:p>
        </w:tc>
        <w:tc>
          <w:tcPr>
            <w:tcW w:w="10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57.9</w:t>
            </w:r>
          </w:p>
        </w:tc>
        <w:tc>
          <w:tcPr>
            <w:tcW w:w="159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1.2</w:t>
            </w:r>
          </w:p>
        </w:tc>
        <w:tc>
          <w:tcPr>
            <w:tcW w:w="118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II型</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eastAsiaTheme="minorEastAsia"/>
                <w:sz w:val="21"/>
                <w:szCs w:val="21"/>
                <w:vertAlign w:val="baseline"/>
                <w:lang w:val="en-US" w:eastAsia="zh-CN"/>
              </w:rPr>
              <w:t>海工</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现浇</w:t>
            </w:r>
          </w:p>
        </w:tc>
        <w:tc>
          <w:tcPr>
            <w:tcW w:w="109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160</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31.0</w:t>
            </w:r>
          </w:p>
        </w:tc>
        <w:tc>
          <w:tcPr>
            <w:tcW w:w="10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55.7</w:t>
            </w:r>
          </w:p>
        </w:tc>
        <w:tc>
          <w:tcPr>
            <w:tcW w:w="159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1.5</w:t>
            </w:r>
          </w:p>
        </w:tc>
        <w:tc>
          <w:tcPr>
            <w:tcW w:w="118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0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粉煤灰</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普通</w:t>
            </w:r>
          </w:p>
        </w:tc>
        <w:tc>
          <w:tcPr>
            <w:tcW w:w="1091"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160</w:t>
            </w:r>
          </w:p>
        </w:tc>
        <w:tc>
          <w:tcPr>
            <w:tcW w:w="1005"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33.9</w:t>
            </w:r>
          </w:p>
        </w:tc>
        <w:tc>
          <w:tcPr>
            <w:tcW w:w="100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56.4</w:t>
            </w:r>
          </w:p>
        </w:tc>
        <w:tc>
          <w:tcPr>
            <w:tcW w:w="159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5.2</w:t>
            </w:r>
          </w:p>
        </w:tc>
        <w:tc>
          <w:tcPr>
            <w:tcW w:w="118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1650</w:t>
            </w:r>
          </w:p>
        </w:tc>
      </w:tr>
    </w:tbl>
    <w:p>
      <w:pPr>
        <w:pStyle w:val="2"/>
        <w:ind w:left="0" w:leftChars="0" w:firstLine="0" w:firstLineChars="0"/>
        <w:jc w:val="center"/>
        <w:rPr>
          <w:rFonts w:hint="default" w:ascii="Times New Roman" w:hAnsi="Times New Roman" w:eastAsiaTheme="minorEastAsia"/>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Theme="minorEastAsia"/>
          <w:b w:val="0"/>
          <w:bCs/>
          <w:color w:val="auto"/>
          <w:sz w:val="28"/>
          <w:highlight w:val="none"/>
          <w:lang w:val="en-US" w:eastAsia="zh-CN"/>
        </w:rPr>
      </w:pPr>
      <w:r>
        <w:rPr>
          <w:rFonts w:hint="eastAsia" w:ascii="Times New Roman" w:hAnsi="Times New Roman" w:eastAsiaTheme="minorEastAsia"/>
          <w:b w:val="0"/>
          <w:bCs/>
          <w:color w:val="auto"/>
          <w:sz w:val="28"/>
          <w:highlight w:val="none"/>
          <w:lang w:val="en-US" w:eastAsia="zh-CN"/>
        </w:rPr>
        <w:t>从表</w:t>
      </w:r>
      <w:r>
        <w:rPr>
          <w:rFonts w:hint="eastAsia" w:ascii="Times New Roman" w:hAnsi="Times New Roman"/>
          <w:b w:val="0"/>
          <w:bCs/>
          <w:color w:val="auto"/>
          <w:sz w:val="28"/>
          <w:highlight w:val="none"/>
          <w:lang w:val="en-US" w:eastAsia="zh-CN"/>
        </w:rPr>
        <w:t>3</w:t>
      </w:r>
      <w:r>
        <w:rPr>
          <w:rFonts w:hint="eastAsia" w:ascii="Times New Roman" w:hAnsi="Times New Roman" w:eastAsiaTheme="minorEastAsia"/>
          <w:b w:val="0"/>
          <w:bCs/>
          <w:color w:val="auto"/>
          <w:sz w:val="28"/>
          <w:highlight w:val="none"/>
          <w:lang w:val="en-US" w:eastAsia="zh-CN"/>
        </w:rPr>
        <w:t>和表</w:t>
      </w:r>
      <w:r>
        <w:rPr>
          <w:rFonts w:hint="eastAsia" w:ascii="Times New Roman" w:hAnsi="Times New Roman"/>
          <w:b w:val="0"/>
          <w:bCs/>
          <w:color w:val="auto"/>
          <w:sz w:val="28"/>
          <w:highlight w:val="none"/>
          <w:lang w:val="en-US" w:eastAsia="zh-CN"/>
        </w:rPr>
        <w:t>4的数据可得</w:t>
      </w:r>
      <w:r>
        <w:rPr>
          <w:rFonts w:hint="eastAsia" w:ascii="Times New Roman" w:hAnsi="Times New Roman" w:eastAsiaTheme="minorEastAsia"/>
          <w:b w:val="0"/>
          <w:bCs/>
          <w:color w:val="auto"/>
          <w:sz w:val="28"/>
          <w:highlight w:val="none"/>
          <w:lang w:val="en-US" w:eastAsia="zh-CN"/>
        </w:rPr>
        <w:t>出掺用海工掺合料的混凝土</w:t>
      </w:r>
      <w:r>
        <w:rPr>
          <w:rFonts w:hint="eastAsia" w:ascii="Times New Roman" w:hAnsi="Times New Roman"/>
          <w:b w:val="0"/>
          <w:bCs/>
          <w:color w:val="auto"/>
          <w:sz w:val="28"/>
          <w:highlight w:val="none"/>
          <w:lang w:val="en-US" w:eastAsia="zh-CN"/>
        </w:rPr>
        <w:t>的</w:t>
      </w:r>
      <w:r>
        <w:rPr>
          <w:rFonts w:hint="eastAsia" w:ascii="Times New Roman" w:hAnsi="Times New Roman" w:eastAsiaTheme="minorEastAsia"/>
          <w:b w:val="0"/>
          <w:bCs/>
          <w:color w:val="auto"/>
          <w:sz w:val="28"/>
          <w:highlight w:val="none"/>
          <w:lang w:val="en-US" w:eastAsia="zh-CN"/>
        </w:rPr>
        <w:t>抗氯离子渗透</w:t>
      </w:r>
      <w:r>
        <w:rPr>
          <w:rFonts w:hint="eastAsia" w:ascii="Times New Roman" w:hAnsi="Times New Roman"/>
          <w:b w:val="0"/>
          <w:bCs/>
          <w:color w:val="auto"/>
          <w:sz w:val="28"/>
          <w:highlight w:val="none"/>
          <w:lang w:val="en-US" w:eastAsia="zh-CN"/>
        </w:rPr>
        <w:t>性能</w:t>
      </w:r>
      <w:r>
        <w:rPr>
          <w:rFonts w:hint="eastAsia" w:ascii="Times New Roman" w:hAnsi="Times New Roman" w:eastAsiaTheme="minorEastAsia"/>
          <w:b w:val="0"/>
          <w:bCs/>
          <w:color w:val="auto"/>
          <w:sz w:val="28"/>
          <w:highlight w:val="none"/>
          <w:lang w:val="en-US" w:eastAsia="zh-CN"/>
        </w:rPr>
        <w:t>优于普通混凝土</w:t>
      </w:r>
      <w:r>
        <w:rPr>
          <w:rFonts w:hint="eastAsia" w:ascii="Times New Roman" w:hAnsi="Times New Roman"/>
          <w:b w:val="0"/>
          <w:bCs/>
          <w:color w:val="auto"/>
          <w:sz w:val="28"/>
          <w:highlight w:val="none"/>
          <w:lang w:val="en-US" w:eastAsia="zh-CN"/>
        </w:rPr>
        <w:t>，</w:t>
      </w:r>
      <w:r>
        <w:rPr>
          <w:rFonts w:hint="eastAsia" w:ascii="Times New Roman" w:hAnsi="Times New Roman" w:eastAsiaTheme="minorEastAsia"/>
          <w:b w:val="0"/>
          <w:bCs/>
          <w:color w:val="auto"/>
          <w:sz w:val="28"/>
          <w:highlight w:val="none"/>
          <w:lang w:val="en-US" w:eastAsia="zh-CN"/>
        </w:rPr>
        <w:t>在海洋环境中可满足要求。</w:t>
      </w:r>
    </w:p>
    <w:p>
      <w:pPr>
        <w:pStyle w:val="2"/>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lang w:val="en-US" w:eastAsia="zh-CN"/>
        </w:rPr>
      </w:pPr>
      <w:r>
        <w:rPr>
          <w:rFonts w:hint="eastAsia" w:ascii="Times New Roman" w:hAnsi="Times New Roman" w:eastAsiaTheme="minorEastAsia" w:cstheme="minorBidi"/>
          <w:b w:val="0"/>
          <w:bCs/>
          <w:color w:val="auto"/>
          <w:kern w:val="2"/>
          <w:sz w:val="28"/>
          <w:szCs w:val="22"/>
          <w:highlight w:val="none"/>
          <w:lang w:val="en-US" w:eastAsia="zh-CN" w:bidi="ar-SA"/>
        </w:rPr>
        <w:t>表</w:t>
      </w:r>
      <w:r>
        <w:rPr>
          <w:rFonts w:hint="eastAsia" w:ascii="Times New Roman" w:hAnsi="Times New Roman" w:cstheme="minorBidi"/>
          <w:b w:val="0"/>
          <w:bCs/>
          <w:color w:val="auto"/>
          <w:kern w:val="2"/>
          <w:sz w:val="28"/>
          <w:szCs w:val="22"/>
          <w:highlight w:val="none"/>
          <w:lang w:val="en-US" w:eastAsia="zh-CN" w:bidi="ar-SA"/>
        </w:rPr>
        <w:t>5</w:t>
      </w:r>
      <w:r>
        <w:rPr>
          <w:rFonts w:hint="eastAsia" w:ascii="Times New Roman" w:hAnsi="Times New Roman" w:eastAsiaTheme="minorEastAsia" w:cstheme="minorBidi"/>
          <w:b w:val="0"/>
          <w:bCs/>
          <w:color w:val="auto"/>
          <w:kern w:val="2"/>
          <w:sz w:val="28"/>
          <w:szCs w:val="22"/>
          <w:highlight w:val="none"/>
          <w:lang w:val="en-US" w:eastAsia="zh-CN" w:bidi="ar-SA"/>
        </w:rPr>
        <w:t xml:space="preserve">  </w:t>
      </w:r>
      <w:r>
        <w:rPr>
          <w:rFonts w:hint="eastAsia" w:ascii="Times New Roman" w:hAnsi="Times New Roman" w:cstheme="minorBidi"/>
          <w:b w:val="0"/>
          <w:bCs/>
          <w:color w:val="auto"/>
          <w:kern w:val="2"/>
          <w:sz w:val="28"/>
          <w:szCs w:val="22"/>
          <w:highlight w:val="none"/>
          <w:lang w:val="en-US" w:eastAsia="zh-CN" w:bidi="ar-SA"/>
        </w:rPr>
        <w:t>淡水工程</w:t>
      </w:r>
      <w:r>
        <w:rPr>
          <w:rFonts w:hint="eastAsia" w:ascii="Times New Roman" w:hAnsi="Times New Roman" w:eastAsiaTheme="minorEastAsia" w:cstheme="minorBidi"/>
          <w:b w:val="0"/>
          <w:bCs/>
          <w:color w:val="auto"/>
          <w:kern w:val="2"/>
          <w:sz w:val="28"/>
          <w:szCs w:val="22"/>
          <w:highlight w:val="none"/>
          <w:lang w:val="en-US" w:eastAsia="zh-CN" w:bidi="ar-SA"/>
        </w:rPr>
        <w:t>掺合料混凝土</w:t>
      </w:r>
      <w:r>
        <w:rPr>
          <w:rFonts w:hint="eastAsia" w:ascii="Times New Roman" w:hAnsi="Times New Roman" w:cstheme="minorBidi"/>
          <w:b w:val="0"/>
          <w:bCs/>
          <w:color w:val="auto"/>
          <w:kern w:val="2"/>
          <w:sz w:val="28"/>
          <w:szCs w:val="22"/>
          <w:highlight w:val="none"/>
          <w:lang w:val="en-US" w:eastAsia="zh-CN" w:bidi="ar-SA"/>
        </w:rPr>
        <w:t>耐久</w:t>
      </w:r>
      <w:r>
        <w:rPr>
          <w:rFonts w:hint="eastAsia" w:ascii="Times New Roman" w:hAnsi="Times New Roman" w:eastAsiaTheme="minorEastAsia" w:cstheme="minorBidi"/>
          <w:b w:val="0"/>
          <w:bCs/>
          <w:color w:val="auto"/>
          <w:kern w:val="2"/>
          <w:sz w:val="28"/>
          <w:szCs w:val="22"/>
          <w:highlight w:val="none"/>
          <w:lang w:val="en-US" w:eastAsia="zh-CN" w:bidi="ar-SA"/>
        </w:rPr>
        <w:t>性能测试数据</w:t>
      </w:r>
    </w:p>
    <w:tbl>
      <w:tblPr>
        <w:tblStyle w:val="20"/>
        <w:tblW w:w="8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926"/>
        <w:gridCol w:w="14"/>
        <w:gridCol w:w="940"/>
        <w:gridCol w:w="1047"/>
        <w:gridCol w:w="992"/>
        <w:gridCol w:w="1173"/>
        <w:gridCol w:w="1173"/>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44" w:hRule="atLeast"/>
          <w:jc w:val="center"/>
        </w:trPr>
        <w:tc>
          <w:tcPr>
            <w:tcW w:w="847"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掺合料</w:t>
            </w:r>
          </w:p>
        </w:tc>
        <w:tc>
          <w:tcPr>
            <w:tcW w:w="1880" w:type="dxa"/>
            <w:gridSpan w:val="3"/>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抗</w:t>
            </w:r>
            <w:r>
              <w:rPr>
                <w:rFonts w:hint="eastAsia" w:ascii="Times New Roman" w:hAnsi="Times New Roman"/>
                <w:sz w:val="21"/>
                <w:szCs w:val="21"/>
                <w:vertAlign w:val="baseline"/>
                <w:lang w:val="en-US" w:eastAsia="zh-CN"/>
              </w:rPr>
              <w:t>渗性能</w:t>
            </w:r>
          </w:p>
        </w:tc>
        <w:tc>
          <w:tcPr>
            <w:tcW w:w="2039"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eastAsiaTheme="minorEastAsia"/>
                <w:sz w:val="21"/>
                <w:szCs w:val="21"/>
                <w:vertAlign w:val="baseline"/>
                <w:lang w:val="en-US" w:eastAsia="zh-CN"/>
              </w:rPr>
              <w:t>抗氯离子渗透</w:t>
            </w:r>
          </w:p>
        </w:tc>
        <w:tc>
          <w:tcPr>
            <w:tcW w:w="1173"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抗蚀系数</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（硫酸盐）</w:t>
            </w:r>
          </w:p>
        </w:tc>
        <w:tc>
          <w:tcPr>
            <w:tcW w:w="1173"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膨胀率</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（碱骨料）</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w:t>
            </w:r>
          </w:p>
        </w:tc>
        <w:tc>
          <w:tcPr>
            <w:tcW w:w="1173"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Cl</w:t>
            </w:r>
            <w:r>
              <w:rPr>
                <w:rFonts w:hint="eastAsia" w:ascii="Times New Roman" w:hAnsi="Times New Roman"/>
                <w:sz w:val="21"/>
                <w:szCs w:val="21"/>
                <w:vertAlign w:val="superscript"/>
                <w:lang w:val="en-US" w:eastAsia="zh-CN"/>
              </w:rPr>
              <w:t>-</w:t>
            </w:r>
            <w:r>
              <w:rPr>
                <w:rFonts w:hint="eastAsia" w:ascii="Times New Roman" w:hAnsi="Times New Roman"/>
                <w:sz w:val="21"/>
                <w:szCs w:val="21"/>
                <w:vertAlign w:val="baseline"/>
                <w:lang w:val="en-US" w:eastAsia="zh-CN"/>
              </w:rPr>
              <w:t>渗透系数</w:t>
            </w:r>
            <w:r>
              <w:rPr>
                <w:rFonts w:hint="eastAsia" w:ascii="Times New Roman" w:hAnsi="Times New Roman" w:eastAsiaTheme="minorEastAsia"/>
                <w:sz w:val="21"/>
                <w:szCs w:val="21"/>
                <w:vertAlign w:val="baseline"/>
                <w:lang w:val="en-US" w:eastAsia="zh-CN"/>
              </w:rPr>
              <w:t>（×10</w:t>
            </w:r>
            <w:r>
              <w:rPr>
                <w:rFonts w:hint="eastAsia" w:ascii="Times New Roman" w:hAnsi="Times New Roman" w:eastAsiaTheme="minorEastAsia"/>
                <w:sz w:val="21"/>
                <w:szCs w:val="21"/>
                <w:vertAlign w:val="superscript"/>
                <w:lang w:val="en-US" w:eastAsia="zh-CN"/>
              </w:rPr>
              <w:t>-12</w:t>
            </w:r>
            <w:r>
              <w:rPr>
                <w:rFonts w:hint="eastAsia" w:ascii="Times New Roman" w:hAnsi="Times New Roman" w:eastAsiaTheme="minorEastAsia"/>
                <w:sz w:val="21"/>
                <w:szCs w:val="21"/>
                <w:vertAlign w:val="baseline"/>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544" w:hRule="atLeast"/>
          <w:jc w:val="center"/>
        </w:trPr>
        <w:tc>
          <w:tcPr>
            <w:tcW w:w="847"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sz w:val="21"/>
                <w:szCs w:val="21"/>
                <w:vertAlign w:val="baseline"/>
                <w:lang w:val="en-US" w:eastAsia="zh-CN"/>
              </w:rPr>
            </w:pPr>
          </w:p>
        </w:tc>
        <w:tc>
          <w:tcPr>
            <w:tcW w:w="940"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18"/>
                <w:szCs w:val="18"/>
                <w:vertAlign w:val="baseline"/>
                <w:lang w:val="en-US" w:eastAsia="zh-CN"/>
              </w:rPr>
            </w:pPr>
            <w:r>
              <w:rPr>
                <w:rFonts w:hint="eastAsia" w:ascii="Times New Roman" w:hAnsi="Times New Roman"/>
                <w:sz w:val="18"/>
                <w:szCs w:val="18"/>
                <w:vertAlign w:val="baseline"/>
                <w:lang w:val="en-US" w:eastAsia="zh-CN"/>
              </w:rPr>
              <w:t>渗透压力</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18"/>
                <w:szCs w:val="18"/>
                <w:vertAlign w:val="baseline"/>
                <w:lang w:val="en-US" w:eastAsia="zh-CN"/>
              </w:rPr>
            </w:pPr>
            <w:r>
              <w:rPr>
                <w:rFonts w:hint="eastAsia" w:ascii="Times New Roman" w:hAnsi="Times New Roman"/>
                <w:sz w:val="18"/>
                <w:szCs w:val="18"/>
                <w:vertAlign w:val="baseline"/>
                <w:lang w:val="en-US" w:eastAsia="zh-CN"/>
              </w:rPr>
              <w:t>（MPa）</w:t>
            </w:r>
          </w:p>
        </w:tc>
        <w:tc>
          <w:tcPr>
            <w:tcW w:w="94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18"/>
                <w:szCs w:val="18"/>
                <w:vertAlign w:val="baseline"/>
                <w:lang w:val="en-US" w:eastAsia="zh-CN"/>
              </w:rPr>
            </w:pPr>
            <w:r>
              <w:rPr>
                <w:rFonts w:hint="eastAsia" w:ascii="Times New Roman" w:hAnsi="Times New Roman"/>
                <w:sz w:val="18"/>
                <w:szCs w:val="18"/>
                <w:vertAlign w:val="baseline"/>
                <w:lang w:val="en-US" w:eastAsia="zh-CN"/>
              </w:rPr>
              <w:t>渗水高度</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18"/>
                <w:szCs w:val="18"/>
                <w:vertAlign w:val="baseline"/>
                <w:lang w:val="en-US" w:eastAsia="zh-CN"/>
              </w:rPr>
            </w:pPr>
            <w:r>
              <w:rPr>
                <w:rFonts w:hint="eastAsia" w:ascii="Times New Roman" w:hAnsi="Times New Roman"/>
                <w:sz w:val="18"/>
                <w:szCs w:val="18"/>
                <w:vertAlign w:val="baseline"/>
                <w:lang w:val="en-US" w:eastAsia="zh-CN"/>
              </w:rPr>
              <w:t>（mm）</w:t>
            </w:r>
          </w:p>
        </w:tc>
        <w:tc>
          <w:tcPr>
            <w:tcW w:w="104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18"/>
                <w:szCs w:val="18"/>
                <w:vertAlign w:val="baseline"/>
                <w:lang w:val="en-US" w:eastAsia="zh-CN"/>
              </w:rPr>
            </w:pPr>
            <w:r>
              <w:rPr>
                <w:rFonts w:hint="eastAsia" w:ascii="Times New Roman" w:hAnsi="Times New Roman"/>
                <w:sz w:val="18"/>
                <w:szCs w:val="18"/>
                <w:vertAlign w:val="baseline"/>
                <w:lang w:val="en-US" w:eastAsia="zh-CN"/>
              </w:rPr>
              <w:t>裂纹出现时间</w:t>
            </w:r>
          </w:p>
        </w:tc>
        <w:tc>
          <w:tcPr>
            <w:tcW w:w="99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18"/>
                <w:szCs w:val="18"/>
                <w:vertAlign w:val="baseline"/>
                <w:lang w:val="en-US" w:eastAsia="zh-CN"/>
              </w:rPr>
            </w:pPr>
            <w:r>
              <w:rPr>
                <w:rFonts w:hint="eastAsia" w:ascii="Times New Roman" w:hAnsi="Times New Roman"/>
                <w:sz w:val="18"/>
                <w:szCs w:val="18"/>
                <w:vertAlign w:val="baseline"/>
                <w:lang w:val="en-US" w:eastAsia="zh-CN"/>
              </w:rPr>
              <w:t>当量长度</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sz w:val="18"/>
                <w:szCs w:val="18"/>
                <w:vertAlign w:val="baseline"/>
                <w:lang w:val="en-US" w:eastAsia="zh-CN"/>
              </w:rPr>
            </w:pPr>
            <w:r>
              <w:rPr>
                <w:rFonts w:hint="eastAsia" w:ascii="Times New Roman" w:hAnsi="Times New Roman"/>
                <w:sz w:val="18"/>
                <w:szCs w:val="18"/>
                <w:vertAlign w:val="baseline"/>
                <w:lang w:val="en-US" w:eastAsia="zh-CN"/>
              </w:rPr>
              <w:t>（mm）</w:t>
            </w: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default" w:ascii="Times New Roman" w:hAnsi="Times New Roman" w:eastAsiaTheme="minorEastAsia" w:cstheme="minorBidi"/>
                <w:kern w:val="2"/>
                <w:sz w:val="21"/>
                <w:szCs w:val="21"/>
                <w:vertAlign w:val="baseline"/>
                <w:lang w:val="en-US" w:eastAsia="zh-CN" w:bidi="ar-SA"/>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cstheme="minorBidi"/>
                <w:kern w:val="2"/>
                <w:sz w:val="21"/>
                <w:szCs w:val="21"/>
                <w:vertAlign w:val="baseline"/>
                <w:lang w:val="en-US" w:eastAsia="zh-CN" w:bidi="ar-SA"/>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ind w:left="34" w:leftChars="-95" w:right="-122" w:rightChars="-58" w:hanging="233" w:hangingChars="111"/>
              <w:jc w:val="center"/>
              <w:textAlignment w:val="auto"/>
              <w:rPr>
                <w:rFonts w:hint="eastAsia" w:ascii="Times New Roman" w:hAnsi="Times New Roman" w:eastAsiaTheme="minorEastAsia" w:cstheme="minorBidi"/>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544" w:hRule="atLeast"/>
          <w:jc w:val="center"/>
        </w:trPr>
        <w:tc>
          <w:tcPr>
            <w:tcW w:w="84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普通</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混凝土</w:t>
            </w:r>
          </w:p>
        </w:tc>
        <w:tc>
          <w:tcPr>
            <w:tcW w:w="940"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3.0</w:t>
            </w:r>
          </w:p>
        </w:tc>
        <w:tc>
          <w:tcPr>
            <w:tcW w:w="940"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22.0</w:t>
            </w:r>
          </w:p>
        </w:tc>
        <w:tc>
          <w:tcPr>
            <w:tcW w:w="104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3h20min</w:t>
            </w:r>
          </w:p>
        </w:tc>
        <w:tc>
          <w:tcPr>
            <w:tcW w:w="99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224.6</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eastAsiaTheme="minorEastAsia"/>
                <w:sz w:val="21"/>
                <w:szCs w:val="21"/>
                <w:vertAlign w:val="baseline"/>
                <w:lang w:val="en-US" w:eastAsia="zh-CN"/>
              </w:rPr>
            </w:pPr>
            <w:r>
              <w:rPr>
                <w:rFonts w:hint="eastAsia" w:ascii="Times New Roman" w:hAnsi="Times New Roman" w:cstheme="minorBidi"/>
                <w:kern w:val="2"/>
                <w:sz w:val="21"/>
                <w:szCs w:val="21"/>
                <w:vertAlign w:val="baseline"/>
                <w:lang w:val="en-US" w:eastAsia="zh-CN" w:bidi="ar-SA"/>
              </w:rPr>
              <w:t>0.76</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0.17</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4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Times New Roman" w:hAnsi="Times New Roman"/>
                <w:sz w:val="21"/>
                <w:szCs w:val="21"/>
                <w:vertAlign w:val="baseline"/>
                <w:lang w:val="en-US" w:eastAsia="zh-CN"/>
              </w:rPr>
            </w:pPr>
            <w:r>
              <w:rPr>
                <w:rFonts w:hint="eastAsia" w:ascii="Times New Roman" w:hAnsi="Times New Roman"/>
                <w:sz w:val="21"/>
                <w:szCs w:val="21"/>
                <w:vertAlign w:val="baseline"/>
                <w:lang w:val="en-US" w:eastAsia="zh-CN"/>
              </w:rPr>
              <w:t>矿渣粉</w:t>
            </w:r>
          </w:p>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混凝土</w:t>
            </w:r>
          </w:p>
        </w:tc>
        <w:tc>
          <w:tcPr>
            <w:tcW w:w="92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3.0</w:t>
            </w:r>
          </w:p>
        </w:tc>
        <w:tc>
          <w:tcPr>
            <w:tcW w:w="954"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8.5</w:t>
            </w:r>
          </w:p>
        </w:tc>
        <w:tc>
          <w:tcPr>
            <w:tcW w:w="104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4h11min</w:t>
            </w:r>
          </w:p>
        </w:tc>
        <w:tc>
          <w:tcPr>
            <w:tcW w:w="99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175.0</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cstheme="minorBidi"/>
                <w:kern w:val="2"/>
                <w:sz w:val="21"/>
                <w:szCs w:val="21"/>
                <w:vertAlign w:val="baseline"/>
                <w:lang w:val="en-US" w:eastAsia="zh-CN" w:bidi="ar-SA"/>
              </w:rPr>
              <w:t>1.23</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cstheme="minorBidi"/>
                <w:kern w:val="2"/>
                <w:sz w:val="21"/>
                <w:szCs w:val="21"/>
                <w:vertAlign w:val="baseline"/>
                <w:lang w:val="en-US" w:eastAsia="zh-CN" w:bidi="ar-SA"/>
              </w:rPr>
              <w:t>0.06</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cstheme="minorBidi"/>
                <w:kern w:val="2"/>
                <w:sz w:val="21"/>
                <w:szCs w:val="21"/>
                <w:vertAlign w:val="baseline"/>
                <w:lang w:val="en-US" w:eastAsia="zh-CN" w:bidi="ar-SA"/>
              </w:rPr>
              <w:t>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4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sz w:val="21"/>
                <w:szCs w:val="21"/>
                <w:vertAlign w:val="baseline"/>
                <w:lang w:val="en-US" w:eastAsia="zh-CN"/>
              </w:rPr>
              <w:t>淡水工程掺合料混凝土</w:t>
            </w:r>
          </w:p>
        </w:tc>
        <w:tc>
          <w:tcPr>
            <w:tcW w:w="926"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3.0</w:t>
            </w:r>
          </w:p>
        </w:tc>
        <w:tc>
          <w:tcPr>
            <w:tcW w:w="954" w:type="dxa"/>
            <w:gridSpan w:val="2"/>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6.3</w:t>
            </w:r>
          </w:p>
        </w:tc>
        <w:tc>
          <w:tcPr>
            <w:tcW w:w="1047"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4h55min</w:t>
            </w:r>
          </w:p>
        </w:tc>
        <w:tc>
          <w:tcPr>
            <w:tcW w:w="992"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sz w:val="21"/>
                <w:szCs w:val="21"/>
                <w:vertAlign w:val="baseline"/>
                <w:lang w:val="en-US" w:eastAsia="zh-CN"/>
              </w:rPr>
            </w:pPr>
            <w:r>
              <w:rPr>
                <w:rFonts w:hint="eastAsia" w:ascii="Times New Roman" w:hAnsi="Times New Roman"/>
                <w:sz w:val="21"/>
                <w:szCs w:val="21"/>
                <w:vertAlign w:val="baseline"/>
                <w:lang w:val="en-US" w:eastAsia="zh-CN"/>
              </w:rPr>
              <w:t>154.4</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cstheme="minorBidi"/>
                <w:kern w:val="2"/>
                <w:sz w:val="21"/>
                <w:szCs w:val="21"/>
                <w:vertAlign w:val="baseline"/>
                <w:lang w:val="en-US" w:eastAsia="zh-CN" w:bidi="ar-SA"/>
              </w:rPr>
              <w:t>1.34</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cstheme="minorBidi"/>
                <w:kern w:val="2"/>
                <w:sz w:val="21"/>
                <w:szCs w:val="21"/>
                <w:vertAlign w:val="baseline"/>
                <w:lang w:val="en-US" w:eastAsia="zh-CN" w:bidi="ar-SA"/>
              </w:rPr>
              <w:t>0.02</w:t>
            </w:r>
          </w:p>
        </w:tc>
        <w:tc>
          <w:tcPr>
            <w:tcW w:w="1173" w:type="dxa"/>
            <w:vAlign w:val="center"/>
          </w:tcPr>
          <w:p>
            <w:pPr>
              <w:pStyle w:val="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ascii="Times New Roman" w:hAnsi="Times New Roman" w:cstheme="minorBidi"/>
                <w:kern w:val="2"/>
                <w:sz w:val="21"/>
                <w:szCs w:val="21"/>
                <w:vertAlign w:val="baseline"/>
                <w:lang w:val="en-US" w:eastAsia="zh-CN" w:bidi="ar-SA"/>
              </w:rPr>
              <w:t>1.22</w:t>
            </w:r>
          </w:p>
        </w:tc>
      </w:tr>
    </w:tbl>
    <w:p>
      <w:pPr>
        <w:pStyle w:val="2"/>
        <w:keepNext w:val="0"/>
        <w:keepLines w:val="0"/>
        <w:pageBreakBefore w:val="0"/>
        <w:widowControl w:val="0"/>
        <w:kinsoku/>
        <w:wordWrap/>
        <w:overflowPunct/>
        <w:topLinePunct w:val="0"/>
        <w:autoSpaceDE/>
        <w:autoSpaceDN/>
        <w:bidi w:val="0"/>
        <w:adjustRightInd/>
        <w:snapToGrid w:val="0"/>
        <w:ind w:left="0" w:leftChars="0" w:firstLine="0" w:firstLineChars="0"/>
        <w:jc w:val="center"/>
        <w:textAlignment w:val="auto"/>
        <w:rPr>
          <w:rFonts w:hint="default" w:ascii="Times New Roman" w:hAnsi="Times New Roman" w:eastAsiaTheme="minorEastAsia"/>
          <w:sz w:val="10"/>
          <w:szCs w:val="10"/>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掺</w:t>
      </w:r>
      <w:r>
        <w:rPr>
          <w:rFonts w:hint="eastAsia" w:ascii="Times New Roman" w:hAnsi="Times New Roman" w:eastAsiaTheme="minorEastAsia"/>
          <w:b w:val="0"/>
          <w:bCs/>
          <w:color w:val="auto"/>
          <w:sz w:val="28"/>
          <w:highlight w:val="none"/>
          <w:lang w:val="en-US" w:eastAsia="zh-CN"/>
        </w:rPr>
        <w:t>用淡水工程掺合料</w:t>
      </w:r>
      <w:r>
        <w:rPr>
          <w:rFonts w:hint="eastAsia" w:ascii="Times New Roman" w:hAnsi="Times New Roman"/>
          <w:b w:val="0"/>
          <w:bCs/>
          <w:color w:val="auto"/>
          <w:sz w:val="28"/>
          <w:highlight w:val="none"/>
          <w:lang w:val="en-US" w:eastAsia="zh-CN"/>
        </w:rPr>
        <w:t>的</w:t>
      </w:r>
      <w:r>
        <w:rPr>
          <w:rFonts w:hint="eastAsia" w:ascii="Times New Roman" w:hAnsi="Times New Roman" w:eastAsiaTheme="minorEastAsia"/>
          <w:b w:val="0"/>
          <w:bCs/>
          <w:color w:val="auto"/>
          <w:sz w:val="28"/>
          <w:highlight w:val="none"/>
          <w:lang w:val="en-US" w:eastAsia="zh-CN"/>
        </w:rPr>
        <w:t>混凝土配制高性能混凝土，主要用于江、河、湖等</w:t>
      </w:r>
      <w:r>
        <w:rPr>
          <w:rFonts w:hint="eastAsia" w:ascii="Times New Roman" w:hAnsi="Times New Roman"/>
          <w:b w:val="0"/>
          <w:bCs/>
          <w:color w:val="auto"/>
          <w:sz w:val="28"/>
          <w:highlight w:val="none"/>
          <w:lang w:val="en-US" w:eastAsia="zh-CN"/>
        </w:rPr>
        <w:t>淡水</w:t>
      </w:r>
      <w:r>
        <w:rPr>
          <w:rFonts w:hint="eastAsia" w:ascii="Times New Roman" w:hAnsi="Times New Roman" w:eastAsiaTheme="minorEastAsia"/>
          <w:b w:val="0"/>
          <w:bCs/>
          <w:color w:val="auto"/>
          <w:sz w:val="28"/>
          <w:highlight w:val="none"/>
          <w:lang w:val="en-US" w:eastAsia="zh-CN"/>
        </w:rPr>
        <w:t>工程的混凝土</w:t>
      </w:r>
      <w:r>
        <w:rPr>
          <w:rFonts w:hint="eastAsia" w:ascii="Times New Roman" w:hAnsi="Times New Roman"/>
          <w:b w:val="0"/>
          <w:bCs/>
          <w:color w:val="auto"/>
          <w:sz w:val="28"/>
          <w:highlight w:val="none"/>
          <w:lang w:val="en-US" w:eastAsia="zh-CN"/>
        </w:rPr>
        <w:t>建（构）筑物</w:t>
      </w:r>
      <w:r>
        <w:rPr>
          <w:rFonts w:hint="eastAsia" w:ascii="Times New Roman" w:hAnsi="Times New Roman" w:eastAsiaTheme="minorEastAsia"/>
          <w:b w:val="0"/>
          <w:bCs/>
          <w:color w:val="auto"/>
          <w:sz w:val="28"/>
          <w:highlight w:val="none"/>
          <w:lang w:val="en-US" w:eastAsia="zh-CN"/>
        </w:rPr>
        <w:t>。</w:t>
      </w:r>
      <w:r>
        <w:rPr>
          <w:rFonts w:hint="eastAsia" w:ascii="Times New Roman" w:hAnsi="Times New Roman"/>
          <w:b w:val="0"/>
          <w:bCs/>
          <w:color w:val="auto"/>
          <w:sz w:val="28"/>
          <w:highlight w:val="none"/>
          <w:lang w:val="en-US" w:eastAsia="zh-CN"/>
        </w:rPr>
        <w:t>由表5的数据可知，混凝土中掺加</w:t>
      </w:r>
      <w:r>
        <w:rPr>
          <w:rFonts w:hint="eastAsia" w:ascii="Times New Roman" w:hAnsi="Times New Roman" w:eastAsiaTheme="minorEastAsia"/>
          <w:b w:val="0"/>
          <w:bCs/>
          <w:color w:val="auto"/>
          <w:sz w:val="28"/>
          <w:highlight w:val="none"/>
          <w:lang w:val="en-US" w:eastAsia="zh-CN"/>
        </w:rPr>
        <w:t>淡水工程混凝土掺合料</w:t>
      </w:r>
      <w:r>
        <w:rPr>
          <w:rFonts w:hint="eastAsia" w:ascii="Times New Roman" w:hAnsi="Times New Roman"/>
          <w:b w:val="0"/>
          <w:bCs/>
          <w:color w:val="auto"/>
          <w:sz w:val="28"/>
          <w:highlight w:val="none"/>
          <w:lang w:val="en-US" w:eastAsia="zh-CN"/>
        </w:rPr>
        <w:t>，</w:t>
      </w:r>
      <w:bookmarkStart w:id="51" w:name="_GoBack"/>
      <w:r>
        <w:rPr>
          <w:rFonts w:hint="eastAsia" w:ascii="Times New Roman" w:hAnsi="Times New Roman"/>
          <w:b w:val="0"/>
          <w:bCs/>
          <w:color w:val="auto"/>
          <w:sz w:val="28"/>
          <w:highlight w:val="none"/>
          <w:lang w:val="en-US" w:eastAsia="zh-CN"/>
        </w:rPr>
        <w:t>可改善</w:t>
      </w:r>
      <w:r>
        <w:rPr>
          <w:rFonts w:hint="eastAsia" w:ascii="Times New Roman" w:hAnsi="Times New Roman" w:eastAsiaTheme="minorEastAsia"/>
          <w:b w:val="0"/>
          <w:bCs/>
          <w:color w:val="auto"/>
          <w:sz w:val="28"/>
          <w:highlight w:val="none"/>
          <w:lang w:val="en-US" w:eastAsia="zh-CN"/>
        </w:rPr>
        <w:t>混凝土拌合物的和易性和保水性</w:t>
      </w:r>
      <w:r>
        <w:rPr>
          <w:rFonts w:hint="eastAsia" w:ascii="Times New Roman" w:hAnsi="Times New Roman"/>
          <w:b w:val="0"/>
          <w:bCs/>
          <w:color w:val="auto"/>
          <w:sz w:val="28"/>
          <w:highlight w:val="none"/>
          <w:lang w:val="en-US" w:eastAsia="zh-CN"/>
        </w:rPr>
        <w:t>，</w:t>
      </w:r>
      <w:r>
        <w:rPr>
          <w:rFonts w:hint="eastAsia" w:ascii="Times New Roman" w:hAnsi="Times New Roman" w:eastAsiaTheme="minorEastAsia"/>
          <w:b w:val="0"/>
          <w:bCs/>
          <w:color w:val="auto"/>
          <w:sz w:val="28"/>
          <w:highlight w:val="none"/>
          <w:lang w:val="en-US" w:eastAsia="zh-CN"/>
        </w:rPr>
        <w:t>混凝土的可泵性得到改善</w:t>
      </w:r>
      <w:r>
        <w:rPr>
          <w:rFonts w:hint="eastAsia" w:ascii="Times New Roman" w:hAnsi="Times New Roman"/>
          <w:b w:val="0"/>
          <w:bCs/>
          <w:color w:val="auto"/>
          <w:sz w:val="28"/>
          <w:highlight w:val="none"/>
          <w:lang w:val="en-US" w:eastAsia="zh-CN"/>
        </w:rPr>
        <w:t>，</w:t>
      </w:r>
      <w:r>
        <w:rPr>
          <w:rFonts w:hint="eastAsia" w:ascii="Times New Roman" w:hAnsi="Times New Roman" w:eastAsiaTheme="minorEastAsia"/>
          <w:b w:val="0"/>
          <w:bCs/>
          <w:color w:val="auto"/>
          <w:sz w:val="28"/>
          <w:highlight w:val="none"/>
          <w:lang w:val="en-US" w:eastAsia="zh-CN"/>
        </w:rPr>
        <w:t>利于现场施工</w:t>
      </w:r>
      <w:r>
        <w:rPr>
          <w:rFonts w:hint="eastAsia" w:ascii="Times New Roman" w:hAnsi="Times New Roman"/>
          <w:b w:val="0"/>
          <w:bCs/>
          <w:color w:val="auto"/>
          <w:sz w:val="28"/>
          <w:highlight w:val="none"/>
          <w:lang w:val="en-US" w:eastAsia="zh-CN"/>
        </w:rPr>
        <w:t>；</w:t>
      </w:r>
      <w:r>
        <w:rPr>
          <w:rFonts w:hint="eastAsia" w:ascii="Times New Roman" w:hAnsi="Times New Roman" w:eastAsiaTheme="minorEastAsia"/>
          <w:b w:val="0"/>
          <w:bCs/>
          <w:color w:val="auto"/>
          <w:sz w:val="28"/>
          <w:highlight w:val="none"/>
          <w:lang w:val="en-US" w:eastAsia="zh-CN"/>
        </w:rPr>
        <w:t>同时</w:t>
      </w:r>
      <w:r>
        <w:rPr>
          <w:rFonts w:hint="eastAsia" w:ascii="Times New Roman" w:hAnsi="Times New Roman"/>
          <w:b w:val="0"/>
          <w:bCs/>
          <w:color w:val="auto"/>
          <w:sz w:val="28"/>
          <w:highlight w:val="none"/>
          <w:lang w:val="en-US" w:eastAsia="zh-CN"/>
        </w:rPr>
        <w:t>可</w:t>
      </w:r>
      <w:r>
        <w:rPr>
          <w:rFonts w:hint="eastAsia" w:ascii="Times New Roman" w:hAnsi="Times New Roman" w:eastAsiaTheme="minorEastAsia"/>
          <w:b w:val="0"/>
          <w:bCs/>
          <w:color w:val="auto"/>
          <w:sz w:val="28"/>
          <w:highlight w:val="none"/>
          <w:lang w:val="en-US" w:eastAsia="zh-CN"/>
        </w:rPr>
        <w:t>降低混凝土配制过程中的用水量，形成低渗透、高密实、低缺陷的混凝土结构</w:t>
      </w:r>
      <w:r>
        <w:rPr>
          <w:rFonts w:hint="eastAsia" w:ascii="Times New Roman" w:hAnsi="Times New Roman"/>
          <w:b w:val="0"/>
          <w:bCs/>
          <w:color w:val="auto"/>
          <w:sz w:val="28"/>
          <w:highlight w:val="none"/>
          <w:lang w:val="en-US" w:eastAsia="zh-CN"/>
        </w:rPr>
        <w:t>，</w:t>
      </w:r>
      <w:r>
        <w:rPr>
          <w:rFonts w:hint="eastAsia" w:ascii="Times New Roman" w:hAnsi="Times New Roman" w:eastAsiaTheme="minorEastAsia"/>
          <w:b w:val="0"/>
          <w:bCs/>
          <w:color w:val="auto"/>
          <w:sz w:val="28"/>
          <w:highlight w:val="none"/>
          <w:lang w:val="en-US" w:eastAsia="zh-CN"/>
        </w:rPr>
        <w:t>从根本上提高</w:t>
      </w:r>
      <w:r>
        <w:rPr>
          <w:rFonts w:hint="eastAsia" w:ascii="Times New Roman" w:hAnsi="Times New Roman"/>
          <w:b w:val="0"/>
          <w:bCs/>
          <w:color w:val="auto"/>
          <w:sz w:val="28"/>
          <w:highlight w:val="none"/>
          <w:lang w:val="en-US" w:eastAsia="zh-CN"/>
        </w:rPr>
        <w:t>混凝土</w:t>
      </w:r>
      <w:r>
        <w:rPr>
          <w:rFonts w:hint="eastAsia" w:ascii="Times New Roman" w:hAnsi="Times New Roman" w:eastAsiaTheme="minorEastAsia"/>
          <w:b w:val="0"/>
          <w:bCs/>
          <w:color w:val="auto"/>
          <w:sz w:val="28"/>
          <w:highlight w:val="none"/>
          <w:lang w:val="en-US" w:eastAsia="zh-CN"/>
        </w:rPr>
        <w:t>抗冲刷性能、抗裂性能和耐久性能</w:t>
      </w:r>
      <w:r>
        <w:rPr>
          <w:rFonts w:hint="eastAsia" w:ascii="Times New Roman" w:hAnsi="Times New Roman"/>
          <w:b w:val="0"/>
          <w:bCs/>
          <w:color w:val="auto"/>
          <w:sz w:val="28"/>
          <w:highlight w:val="none"/>
          <w:lang w:val="en-US" w:eastAsia="zh-CN"/>
        </w:rPr>
        <w:t>。</w:t>
      </w:r>
    </w:p>
    <w:bookmarkEnd w:id="51"/>
    <w:p>
      <w:pPr>
        <w:pStyle w:val="2"/>
        <w:rPr>
          <w:rFonts w:hint="eastAsia"/>
          <w:lang w:val="en-US" w:eastAsia="zh-CN"/>
        </w:rPr>
      </w:pPr>
    </w:p>
    <w:p>
      <w:pPr>
        <w:pStyle w:val="2"/>
        <w:rPr>
          <w:rFonts w:hint="eastAsia"/>
          <w:lang w:val="en-US" w:eastAsia="zh-CN"/>
        </w:rPr>
      </w:pPr>
    </w:p>
    <w:p>
      <w:pPr>
        <w:snapToGrid w:val="0"/>
        <w:spacing w:line="360" w:lineRule="auto"/>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pStyle w:val="2"/>
        <w:rPr>
          <w:rFonts w:hint="eastAsia" w:ascii="Times New Roman" w:hAnsi="Times New Roman"/>
          <w:b/>
          <w:color w:val="auto"/>
          <w:sz w:val="28"/>
          <w:highlight w:val="none"/>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"_Toc30020864"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6</w:t>
      </w:r>
      <w:r>
        <w:rPr>
          <w:rFonts w:hint="eastAsia" w:ascii="Times New Roman" w:hAnsi="Times New Roman" w:eastAsia="宋体" w:cs="Times New Roman"/>
          <w:b/>
          <w:color w:val="auto"/>
          <w:kern w:val="2"/>
          <w:sz w:val="32"/>
          <w:szCs w:val="28"/>
          <w:highlight w:val="none"/>
          <w:lang w:val="zh-CN" w:eastAsia="zh-CN" w:bidi="ar-SA"/>
        </w:rPr>
        <w:t>　</w:t>
      </w:r>
      <w:r>
        <w:rPr>
          <w:rFonts w:hint="eastAsia" w:ascii="Times New Roman" w:hAnsi="Times New Roman" w:eastAsia="宋体" w:cs="Times New Roman"/>
          <w:b/>
          <w:color w:val="auto"/>
          <w:kern w:val="2"/>
          <w:sz w:val="32"/>
          <w:szCs w:val="28"/>
          <w:highlight w:val="none"/>
          <w:lang w:val="en-US" w:eastAsia="zh-CN" w:bidi="ar-SA"/>
        </w:rPr>
        <w:t>水工掺合料混凝土施工</w:t>
      </w:r>
      <w:r>
        <w:rPr>
          <w:rFonts w:hint="eastAsia" w:ascii="Times New Roman" w:hAnsi="Times New Roman" w:eastAsia="宋体" w:cs="Times New Roman"/>
          <w:b/>
          <w:color w:val="auto"/>
          <w:kern w:val="2"/>
          <w:sz w:val="32"/>
          <w:szCs w:val="28"/>
          <w:highlight w:val="none"/>
          <w:lang w:val="en-US" w:eastAsia="zh-CN" w:bidi="ar-SA"/>
        </w:rPr>
        <w:fldChar w:fldCharType="end"/>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"_Toc30020860"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6.2　水工掺合料混凝土的拌制与运输</w:t>
      </w:r>
      <w:r>
        <w:rPr>
          <w:rFonts w:hint="eastAsia" w:ascii="Times New Roman" w:hAnsi="Times New Roman" w:eastAsia="宋体" w:cs="Times New Roman"/>
          <w:b/>
          <w:color w:val="auto"/>
          <w:kern w:val="2"/>
          <w:sz w:val="32"/>
          <w:szCs w:val="28"/>
          <w:highlight w:val="none"/>
          <w:lang w:val="en-US" w:eastAsia="zh-CN" w:bidi="ar-SA"/>
        </w:rPr>
        <w:fldChar w:fldCharType="end"/>
      </w:r>
    </w:p>
    <w:p>
      <w:pPr>
        <w:snapToGrid w:val="0"/>
        <w:spacing w:line="360" w:lineRule="auto"/>
        <w:rPr>
          <w:rFonts w:hint="eastAsia"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6.2.1</w:t>
      </w:r>
      <w:r>
        <w:rPr>
          <w:rFonts w:hint="eastAsia" w:ascii="Times New Roman" w:hAnsi="Times New Roman"/>
          <w:b w:val="0"/>
          <w:bCs/>
          <w:color w:val="auto"/>
          <w:sz w:val="30"/>
          <w:szCs w:val="30"/>
          <w:highlight w:val="none"/>
          <w:lang w:val="en-US" w:eastAsia="zh-CN"/>
        </w:rPr>
        <w:t xml:space="preserve">  水工混凝土的搅拌顺序与普通混凝土相同，并无特殊要求。但为了确保搅拌均匀，应适当延长10s~30s搅拌时间。</w:t>
      </w:r>
    </w:p>
    <w:p>
      <w:pPr>
        <w:snapToGrid w:val="0"/>
        <w:spacing w:line="360" w:lineRule="auto"/>
        <w:rPr>
          <w:rFonts w:hint="eastAsia"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6.2.2</w:t>
      </w:r>
      <w:r>
        <w:rPr>
          <w:rFonts w:hint="eastAsia" w:ascii="Times New Roman" w:hAnsi="Times New Roman"/>
          <w:b w:val="0"/>
          <w:bCs/>
          <w:color w:val="auto"/>
          <w:sz w:val="30"/>
          <w:szCs w:val="30"/>
          <w:highlight w:val="none"/>
          <w:lang w:val="en-US" w:eastAsia="zh-CN"/>
        </w:rPr>
        <w:t xml:space="preserve">  水工掺合料混凝土的计量同普通混凝土一样，要求采用重量法，累计计量胶凝材料总称量误差不得超过士1%，以保证混凝土配合比的精度。</w:t>
      </w:r>
    </w:p>
    <w:p>
      <w:pPr>
        <w:snapToGrid w:val="0"/>
        <w:spacing w:line="360" w:lineRule="auto"/>
        <w:rPr>
          <w:rFonts w:hint="default"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6.2.3</w:t>
      </w:r>
      <w:r>
        <w:rPr>
          <w:rFonts w:hint="eastAsia" w:ascii="Times New Roman" w:hAnsi="Times New Roman"/>
          <w:b w:val="0"/>
          <w:bCs/>
          <w:color w:val="auto"/>
          <w:sz w:val="30"/>
          <w:szCs w:val="30"/>
          <w:highlight w:val="none"/>
          <w:lang w:val="en-US" w:eastAsia="zh-CN"/>
        </w:rPr>
        <w:t xml:space="preserve">  使用混凝土搅拌运输车，在运输过程中搅拌筒保持低速搅拌，防止混凝土出现分层、离析或早凝的现象，保证到工地卸料时混凝土拌合物均匀。</w:t>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"_Toc30020861"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6.3　水工掺合料混凝土的浇筑与成型</w:t>
      </w:r>
      <w:r>
        <w:rPr>
          <w:rFonts w:hint="eastAsia" w:ascii="Times New Roman" w:hAnsi="Times New Roman" w:eastAsia="宋体" w:cs="Times New Roman"/>
          <w:b/>
          <w:color w:val="auto"/>
          <w:kern w:val="2"/>
          <w:sz w:val="32"/>
          <w:szCs w:val="28"/>
          <w:highlight w:val="none"/>
          <w:lang w:val="en-US" w:eastAsia="zh-CN" w:bidi="ar-SA"/>
        </w:rPr>
        <w:fldChar w:fldCharType="end"/>
      </w:r>
    </w:p>
    <w:p>
      <w:pPr>
        <w:snapToGrid w:val="0"/>
        <w:spacing w:line="360" w:lineRule="auto"/>
        <w:rPr>
          <w:rFonts w:hint="eastAsia"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6.3.4</w:t>
      </w:r>
      <w:r>
        <w:rPr>
          <w:rFonts w:hint="eastAsia" w:ascii="Times New Roman" w:hAnsi="Times New Roman"/>
          <w:b w:val="0"/>
          <w:bCs/>
          <w:color w:val="auto"/>
          <w:sz w:val="30"/>
          <w:szCs w:val="30"/>
          <w:highlight w:val="none"/>
          <w:lang w:val="en-US" w:eastAsia="zh-CN"/>
        </w:rPr>
        <w:t xml:space="preserve">  新拌水工掺合料混凝土的屈服应力较小，容易振捣。施工中应避免过振或漏振，也要避免过振导致分层。由于水工掺合料有一定的缓凝作用，混凝土终饰抹面作业要把握恰当的时机。</w:t>
      </w:r>
    </w:p>
    <w:p>
      <w:pPr>
        <w:snapToGrid w:val="0"/>
        <w:spacing w:line="360" w:lineRule="auto"/>
        <w:rPr>
          <w:rFonts w:hint="default"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 xml:space="preserve">6.3.11 </w:t>
      </w:r>
      <w:r>
        <w:rPr>
          <w:rFonts w:hint="eastAsia" w:ascii="Times New Roman" w:hAnsi="Times New Roman"/>
          <w:b w:val="0"/>
          <w:bCs/>
          <w:color w:val="auto"/>
          <w:sz w:val="30"/>
          <w:szCs w:val="30"/>
          <w:highlight w:val="none"/>
          <w:lang w:val="en-US" w:eastAsia="zh-CN"/>
        </w:rPr>
        <w:t xml:space="preserve"> 炎热季节生产混凝土时，温度过高，会加快水分蒸发，造成混凝土工作性能不良，增加混凝土凝结硬化的速率，缩短凝结时间，加大坍落度经时损失，还容易引起混凝土开裂等不良状况。</w:t>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"_Toc30020861"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6.4　水工掺合料混凝土的养护</w:t>
      </w:r>
      <w:r>
        <w:rPr>
          <w:rFonts w:hint="eastAsia" w:ascii="Times New Roman" w:hAnsi="Times New Roman" w:eastAsia="宋体" w:cs="Times New Roman"/>
          <w:b/>
          <w:color w:val="auto"/>
          <w:kern w:val="2"/>
          <w:sz w:val="32"/>
          <w:szCs w:val="28"/>
          <w:highlight w:val="none"/>
          <w:lang w:val="en-US" w:eastAsia="zh-CN" w:bidi="ar-SA"/>
        </w:rPr>
        <w:fldChar w:fldCharType="end"/>
      </w:r>
    </w:p>
    <w:p>
      <w:pPr>
        <w:snapToGrid w:val="0"/>
        <w:spacing w:line="360" w:lineRule="auto"/>
        <w:rPr>
          <w:rFonts w:hint="eastAsia"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6.4.2、6.4.3</w:t>
      </w:r>
      <w:r>
        <w:rPr>
          <w:rFonts w:hint="eastAsia" w:ascii="Times New Roman" w:hAnsi="Times New Roman"/>
          <w:b w:val="0"/>
          <w:bCs/>
          <w:color w:val="auto"/>
          <w:sz w:val="30"/>
          <w:szCs w:val="30"/>
          <w:highlight w:val="none"/>
          <w:lang w:val="en-US" w:eastAsia="zh-CN"/>
        </w:rPr>
        <w:t xml:space="preserve">  养护是水工混凝土强度发展的必要条件，必须予以足够的重视。一般情况养护期不少于7d，低温施工时，养护期不宜少于21d。大体积水工混凝土施工时应加强混凝土表面保温保湿措施，控制混凝土内外温差，避免温差裂缝。低温施工时，由于水工混凝土早期强度相对较低，而后期强度增长较大，在低温条件下更为敏感，故建议加强早期强度监测。</w:t>
      </w:r>
    </w:p>
    <w:p>
      <w:pPr>
        <w:snapToGrid w:val="0"/>
        <w:spacing w:line="360" w:lineRule="auto"/>
        <w:rPr>
          <w:rFonts w:hint="eastAsia" w:ascii="Times New Roman" w:hAnsi="Times New Roman" w:eastAsiaTheme="minorEastAsia"/>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 xml:space="preserve">6.4.4 </w:t>
      </w:r>
      <w:r>
        <w:rPr>
          <w:rFonts w:hint="eastAsia" w:ascii="Times New Roman" w:hAnsi="Times New Roman"/>
          <w:b w:val="0"/>
          <w:bCs/>
          <w:color w:val="auto"/>
          <w:sz w:val="30"/>
          <w:szCs w:val="30"/>
          <w:highlight w:val="none"/>
          <w:lang w:val="en-US" w:eastAsia="zh-CN"/>
        </w:rPr>
        <w:t xml:space="preserve"> 由工程经验，宜根据构件要求和环境条件选择养护制度，低温蒸养有利于混凝土长期性能的发展，因此在满足构件</w:t>
      </w:r>
      <w:r>
        <w:rPr>
          <w:rFonts w:hint="eastAsia" w:ascii="Times New Roman" w:hAnsi="Times New Roman" w:eastAsiaTheme="minorEastAsia"/>
          <w:b w:val="0"/>
          <w:bCs/>
          <w:color w:val="auto"/>
          <w:sz w:val="30"/>
          <w:szCs w:val="30"/>
          <w:highlight w:val="none"/>
          <w:lang w:val="en-US" w:eastAsia="zh-CN"/>
        </w:rPr>
        <w:t>性能要求的基础上蒸养恒温温度不宜过高。为防止降温过快导致的温度裂缝</w:t>
      </w:r>
      <w:r>
        <w:rPr>
          <w:rFonts w:hint="eastAsia" w:ascii="Times New Roman" w:hAnsi="Times New Roman"/>
          <w:b w:val="0"/>
          <w:bCs/>
          <w:color w:val="auto"/>
          <w:sz w:val="30"/>
          <w:szCs w:val="30"/>
          <w:highlight w:val="none"/>
          <w:lang w:val="en-US" w:eastAsia="zh-CN"/>
        </w:rPr>
        <w:t>，</w:t>
      </w:r>
      <w:r>
        <w:rPr>
          <w:rFonts w:hint="eastAsia" w:ascii="Times New Roman" w:hAnsi="Times New Roman" w:eastAsiaTheme="minorEastAsia"/>
          <w:b w:val="0"/>
          <w:bCs/>
          <w:color w:val="auto"/>
          <w:sz w:val="30"/>
          <w:szCs w:val="30"/>
          <w:highlight w:val="none"/>
          <w:lang w:val="en-US" w:eastAsia="zh-CN"/>
        </w:rPr>
        <w:t>一般应在合理范围内尽量减少降温温度。</w:t>
      </w:r>
    </w:p>
    <w:p>
      <w:pPr>
        <w:snapToGrid w:val="0"/>
        <w:spacing w:line="360" w:lineRule="auto"/>
        <w:rPr>
          <w:rFonts w:hint="eastAsia" w:ascii="Times New Roman" w:hAnsi="Times New Roman"/>
          <w:b/>
          <w:color w:val="auto"/>
          <w:sz w:val="28"/>
          <w:highlight w:val="none"/>
        </w:rPr>
      </w:pPr>
    </w:p>
    <w:p>
      <w:pPr>
        <w:pStyle w:val="2"/>
        <w:rPr>
          <w:rFonts w:hint="eastAsi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"_Toc30020870"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7</w:t>
      </w:r>
      <w:r>
        <w:rPr>
          <w:rFonts w:hint="eastAsia" w:ascii="Times New Roman" w:hAnsi="Times New Roman" w:eastAsia="宋体" w:cs="Times New Roman"/>
          <w:b/>
          <w:color w:val="auto"/>
          <w:kern w:val="2"/>
          <w:sz w:val="32"/>
          <w:szCs w:val="28"/>
          <w:highlight w:val="none"/>
          <w:lang w:val="zh-CN" w:eastAsia="zh-CN" w:bidi="ar-SA"/>
        </w:rPr>
        <w:t>　</w:t>
      </w:r>
      <w:r>
        <w:rPr>
          <w:rFonts w:hint="eastAsia" w:ascii="Times New Roman" w:hAnsi="Times New Roman" w:eastAsia="宋体" w:cs="Times New Roman"/>
          <w:b/>
          <w:color w:val="auto"/>
          <w:kern w:val="2"/>
          <w:sz w:val="32"/>
          <w:szCs w:val="28"/>
          <w:highlight w:val="none"/>
          <w:lang w:val="en-US" w:eastAsia="zh-CN" w:bidi="ar-SA"/>
        </w:rPr>
        <w:t>质量检验</w:t>
      </w:r>
      <w:r>
        <w:rPr>
          <w:rFonts w:hint="eastAsia" w:ascii="Times New Roman" w:hAnsi="Times New Roman" w:eastAsia="宋体" w:cs="Times New Roman"/>
          <w:b/>
          <w:color w:val="auto"/>
          <w:kern w:val="2"/>
          <w:sz w:val="32"/>
          <w:szCs w:val="28"/>
          <w:highlight w:val="none"/>
          <w:lang w:val="en-US" w:eastAsia="zh-CN" w:bidi="ar-SA"/>
        </w:rPr>
        <w:fldChar w:fldCharType="end"/>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"_Toc30020861"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7.2　</w:t>
      </w:r>
      <w:r>
        <w:rPr>
          <w:rFonts w:hint="default" w:ascii="Times New Roman" w:hAnsi="Times New Roman" w:eastAsia="宋体" w:cs="Times New Roman"/>
          <w:b/>
          <w:color w:val="auto"/>
          <w:kern w:val="2"/>
          <w:sz w:val="32"/>
          <w:szCs w:val="28"/>
          <w:highlight w:val="none"/>
          <w:lang w:val="en-US" w:eastAsia="zh-CN" w:bidi="ar-SA"/>
        </w:rPr>
        <w:t>混凝土拌合物性能检验</w:t>
      </w:r>
      <w:r>
        <w:rPr>
          <w:rFonts w:hint="eastAsia" w:ascii="Times New Roman" w:hAnsi="Times New Roman" w:eastAsia="宋体" w:cs="Times New Roman"/>
          <w:b/>
          <w:color w:val="auto"/>
          <w:kern w:val="2"/>
          <w:sz w:val="32"/>
          <w:szCs w:val="28"/>
          <w:highlight w:val="none"/>
          <w:lang w:val="en-US" w:eastAsia="zh-CN" w:bidi="ar-SA"/>
        </w:rPr>
        <w:fldChar w:fldCharType="end"/>
      </w:r>
    </w:p>
    <w:p>
      <w:pPr>
        <w:snapToGrid w:val="0"/>
        <w:spacing w:line="360" w:lineRule="auto"/>
        <w:rPr>
          <w:rFonts w:hint="eastAsia"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 xml:space="preserve">7.2.1  </w:t>
      </w:r>
      <w:r>
        <w:rPr>
          <w:rFonts w:hint="eastAsia" w:ascii="Times New Roman" w:hAnsi="Times New Roman"/>
          <w:b w:val="0"/>
          <w:bCs/>
          <w:color w:val="auto"/>
          <w:sz w:val="30"/>
          <w:szCs w:val="30"/>
          <w:highlight w:val="none"/>
          <w:lang w:val="en-US" w:eastAsia="zh-CN"/>
        </w:rPr>
        <w:t>抽样检验水工掺合料混凝土的坍落度与和易性，检查项目及频率应符合《混凝土质量控制标准》GB 50164的规定。</w:t>
      </w:r>
    </w:p>
    <w:p>
      <w:pPr>
        <w:snapToGrid w:val="0"/>
        <w:spacing w:line="360" w:lineRule="auto"/>
        <w:rPr>
          <w:rFonts w:hint="default" w:ascii="Times New Roman" w:hAnsi="Times New Roman"/>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 xml:space="preserve">7.2.2  </w:t>
      </w:r>
      <w:r>
        <w:rPr>
          <w:rFonts w:hint="eastAsia" w:ascii="Times New Roman" w:hAnsi="Times New Roman"/>
          <w:b w:val="0"/>
          <w:bCs/>
          <w:color w:val="auto"/>
          <w:sz w:val="30"/>
          <w:szCs w:val="30"/>
          <w:highlight w:val="none"/>
          <w:lang w:val="en-US" w:eastAsia="zh-CN"/>
        </w:rPr>
        <w:t>水工掺合料与外加剂的相容性是影响混凝土凝结时间的主要因素之一，同一工程、不同批次、不同配比的水工掺合料及外加剂会使混凝土的凝结时间发生变化，影响混凝土的工作性、强度和耐久性。</w:t>
      </w:r>
    </w:p>
    <w:p>
      <w:pPr>
        <w:numPr>
          <w:ilvl w:val="0"/>
          <w:numId w:val="0"/>
        </w:numPr>
        <w:snapToGrid w:val="0"/>
        <w:spacing w:line="360" w:lineRule="auto"/>
        <w:jc w:val="center"/>
        <w:rPr>
          <w:rFonts w:hint="eastAsia" w:ascii="Times New Roman" w:hAnsi="Times New Roman" w:eastAsia="宋体" w:cs="Times New Roman"/>
          <w:b/>
          <w:color w:val="auto"/>
          <w:kern w:val="2"/>
          <w:sz w:val="32"/>
          <w:szCs w:val="28"/>
          <w:highlight w:val="none"/>
          <w:lang w:val="en-US" w:eastAsia="zh-CN" w:bidi="ar-SA"/>
        </w:rPr>
      </w:pPr>
      <w:r>
        <w:rPr>
          <w:rFonts w:hint="eastAsia" w:ascii="Times New Roman" w:hAnsi="Times New Roman" w:eastAsia="宋体" w:cs="Times New Roman"/>
          <w:b/>
          <w:color w:val="auto"/>
          <w:kern w:val="2"/>
          <w:sz w:val="32"/>
          <w:szCs w:val="28"/>
          <w:highlight w:val="none"/>
          <w:lang w:val="en-US" w:eastAsia="zh-CN" w:bidi="ar-SA"/>
        </w:rPr>
        <w:fldChar w:fldCharType="begin"/>
      </w:r>
      <w:r>
        <w:rPr>
          <w:rFonts w:hint="eastAsia" w:ascii="Times New Roman" w:hAnsi="Times New Roman" w:eastAsia="宋体" w:cs="Times New Roman"/>
          <w:b/>
          <w:color w:val="auto"/>
          <w:kern w:val="2"/>
          <w:sz w:val="32"/>
          <w:szCs w:val="28"/>
          <w:highlight w:val="none"/>
          <w:lang w:val="en-US" w:eastAsia="zh-CN" w:bidi="ar-SA"/>
        </w:rPr>
        <w:instrText xml:space="preserve"> HYPERLINK \l "_Toc30020861" </w:instrText>
      </w:r>
      <w:r>
        <w:rPr>
          <w:rFonts w:hint="eastAsia" w:ascii="Times New Roman" w:hAnsi="Times New Roman" w:eastAsia="宋体" w:cs="Times New Roman"/>
          <w:b/>
          <w:color w:val="auto"/>
          <w:kern w:val="2"/>
          <w:sz w:val="32"/>
          <w:szCs w:val="28"/>
          <w:highlight w:val="none"/>
          <w:lang w:val="en-US" w:eastAsia="zh-CN" w:bidi="ar-SA"/>
        </w:rPr>
        <w:fldChar w:fldCharType="separate"/>
      </w:r>
      <w:r>
        <w:rPr>
          <w:rFonts w:hint="eastAsia" w:ascii="Times New Roman" w:hAnsi="Times New Roman" w:eastAsia="宋体" w:cs="Times New Roman"/>
          <w:b/>
          <w:color w:val="auto"/>
          <w:kern w:val="2"/>
          <w:sz w:val="32"/>
          <w:szCs w:val="28"/>
          <w:highlight w:val="none"/>
          <w:lang w:val="en-US" w:eastAsia="zh-CN" w:bidi="ar-SA"/>
        </w:rPr>
        <w:t>7.3　</w:t>
      </w:r>
      <w:r>
        <w:rPr>
          <w:rFonts w:hint="default" w:ascii="Times New Roman" w:hAnsi="Times New Roman" w:eastAsia="宋体" w:cs="Times New Roman"/>
          <w:b/>
          <w:color w:val="auto"/>
          <w:kern w:val="2"/>
          <w:sz w:val="32"/>
          <w:szCs w:val="28"/>
          <w:highlight w:val="none"/>
          <w:lang w:val="en-US" w:eastAsia="zh-CN" w:bidi="ar-SA"/>
        </w:rPr>
        <w:t>硬化混凝土性能检验</w:t>
      </w:r>
      <w:r>
        <w:rPr>
          <w:rFonts w:hint="eastAsia" w:ascii="Times New Roman" w:hAnsi="Times New Roman" w:eastAsia="宋体" w:cs="Times New Roman"/>
          <w:b/>
          <w:color w:val="auto"/>
          <w:kern w:val="2"/>
          <w:sz w:val="32"/>
          <w:szCs w:val="28"/>
          <w:highlight w:val="none"/>
          <w:lang w:val="en-US" w:eastAsia="zh-CN" w:bidi="ar-SA"/>
        </w:rPr>
        <w:fldChar w:fldCharType="end"/>
      </w:r>
    </w:p>
    <w:p>
      <w:pPr>
        <w:snapToGrid w:val="0"/>
        <w:spacing w:line="360" w:lineRule="auto"/>
        <w:rPr>
          <w:rFonts w:hint="eastAsia" w:ascii="Times New Roman" w:hAnsi="Times New Roman" w:eastAsiaTheme="minorEastAsia"/>
          <w:b w:val="0"/>
          <w:bCs/>
          <w:color w:val="auto"/>
          <w:sz w:val="30"/>
          <w:szCs w:val="30"/>
          <w:highlight w:val="none"/>
          <w:lang w:val="en-US" w:eastAsia="zh-CN"/>
        </w:rPr>
      </w:pPr>
      <w:r>
        <w:rPr>
          <w:rFonts w:hint="eastAsia" w:ascii="Times New Roman" w:hAnsi="Times New Roman"/>
          <w:b/>
          <w:bCs w:val="0"/>
          <w:color w:val="auto"/>
          <w:sz w:val="30"/>
          <w:szCs w:val="30"/>
          <w:highlight w:val="none"/>
          <w:lang w:val="en-US" w:eastAsia="zh-CN"/>
        </w:rPr>
        <w:t>7.3.1~7.3.4</w:t>
      </w:r>
      <w:r>
        <w:rPr>
          <w:rFonts w:hint="eastAsia" w:ascii="Times New Roman" w:hAnsi="Times New Roman"/>
          <w:b w:val="0"/>
          <w:bCs/>
          <w:color w:val="auto"/>
          <w:sz w:val="30"/>
          <w:szCs w:val="30"/>
          <w:highlight w:val="none"/>
          <w:lang w:val="en-US" w:eastAsia="zh-CN"/>
        </w:rPr>
        <w:t xml:space="preserve">  </w:t>
      </w:r>
      <w:r>
        <w:rPr>
          <w:rFonts w:hint="eastAsia" w:ascii="Times New Roman" w:hAnsi="Times New Roman" w:eastAsiaTheme="minorEastAsia"/>
          <w:b w:val="0"/>
          <w:bCs/>
          <w:color w:val="auto"/>
          <w:sz w:val="30"/>
          <w:szCs w:val="30"/>
          <w:highlight w:val="none"/>
          <w:lang w:val="en-US" w:eastAsia="zh-CN"/>
        </w:rPr>
        <w:t>水工混凝土的强度检验、质量、施工及验收评定方法与普通混凝土一致</w:t>
      </w:r>
      <w:r>
        <w:rPr>
          <w:rFonts w:hint="eastAsia" w:ascii="Times New Roman" w:hAnsi="Times New Roman"/>
          <w:b w:val="0"/>
          <w:bCs/>
          <w:color w:val="auto"/>
          <w:sz w:val="30"/>
          <w:szCs w:val="30"/>
          <w:highlight w:val="none"/>
          <w:lang w:val="en-US" w:eastAsia="zh-CN"/>
        </w:rPr>
        <w:t>，</w:t>
      </w:r>
      <w:r>
        <w:rPr>
          <w:rFonts w:hint="eastAsia" w:ascii="Times New Roman" w:hAnsi="Times New Roman" w:eastAsiaTheme="minorEastAsia"/>
          <w:b w:val="0"/>
          <w:bCs/>
          <w:color w:val="auto"/>
          <w:sz w:val="30"/>
          <w:szCs w:val="30"/>
          <w:highlight w:val="none"/>
          <w:lang w:val="en-US" w:eastAsia="zh-CN"/>
        </w:rPr>
        <w:t>按</w:t>
      </w:r>
      <w:r>
        <w:rPr>
          <w:rFonts w:hint="eastAsia" w:ascii="Times New Roman" w:hAnsi="Times New Roman"/>
          <w:b w:val="0"/>
          <w:bCs/>
          <w:color w:val="auto"/>
          <w:sz w:val="30"/>
          <w:szCs w:val="30"/>
          <w:highlight w:val="none"/>
          <w:lang w:val="en-US" w:eastAsia="zh-CN"/>
        </w:rPr>
        <w:t>国家</w:t>
      </w:r>
      <w:r>
        <w:rPr>
          <w:rFonts w:hint="eastAsia" w:ascii="Times New Roman" w:hAnsi="Times New Roman" w:eastAsiaTheme="minorEastAsia"/>
          <w:b w:val="0"/>
          <w:bCs/>
          <w:color w:val="auto"/>
          <w:sz w:val="30"/>
          <w:szCs w:val="30"/>
          <w:highlight w:val="none"/>
          <w:lang w:val="en-US" w:eastAsia="zh-CN"/>
        </w:rPr>
        <w:t>现行</w:t>
      </w:r>
      <w:r>
        <w:rPr>
          <w:rFonts w:hint="eastAsia" w:ascii="Times New Roman" w:hAnsi="Times New Roman"/>
          <w:b w:val="0"/>
          <w:bCs/>
          <w:color w:val="auto"/>
          <w:sz w:val="30"/>
          <w:szCs w:val="30"/>
          <w:highlight w:val="none"/>
          <w:lang w:val="en-US" w:eastAsia="zh-CN"/>
        </w:rPr>
        <w:t>有关</w:t>
      </w:r>
      <w:r>
        <w:rPr>
          <w:rFonts w:hint="eastAsia" w:ascii="Times New Roman" w:hAnsi="Times New Roman" w:eastAsiaTheme="minorEastAsia"/>
          <w:b w:val="0"/>
          <w:bCs/>
          <w:color w:val="auto"/>
          <w:sz w:val="30"/>
          <w:szCs w:val="30"/>
          <w:highlight w:val="none"/>
          <w:lang w:val="en-US" w:eastAsia="zh-CN"/>
        </w:rPr>
        <w:t>标准执行。</w:t>
      </w:r>
    </w:p>
    <w:p>
      <w:pPr>
        <w:pStyle w:val="2"/>
        <w:rPr>
          <w:rFonts w:hint="eastAsia"/>
          <w:lang w:val="en-US" w:eastAsia="zh-CN"/>
        </w:rPr>
      </w:pPr>
    </w:p>
    <w:sectPr>
      <w:headerReference r:id="rId12" w:type="default"/>
      <w:footerReference r:id="rId13" w:type="default"/>
      <w:pgSz w:w="11906" w:h="16838"/>
      <w:pgMar w:top="1440" w:right="1416" w:bottom="1440" w:left="156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2049" o:spid="_x0000_s2049" o:spt="202" type="#_x0000_t202" style="position:absolute;left:0pt;margin-top:0pt;height:144pt;width:144pt;mso-position-horizontal:outside;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v:path/>
          <v:fill on="f" focussize="0,0"/>
          <v:stroke on="f" weight="0.5pt" joinstyle="miter"/>
          <v:imagedata o:title=""/>
          <o:lock v:ext="edit"/>
          <v:textbox inset="0mm,0mm,0mm,0mm" style="mso-fit-shape-to-text:t;">
            <w:txbxContent>
              <w:p>
                <w:pPr>
                  <w:pStyle w:val="12"/>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w:pict>
        <v:shape id="_x0000_s2079" o:spid="_x0000_s2079"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w:r>
    <w:r>
      <w:rPr>
        <w:sz w:val="18"/>
      </w:rPr>
      <w:pict>
        <v:shape id="_x0000_s2071" o:spid="_x0000_s2071"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txbxContent>
          </v:textbox>
        </v:shape>
      </w:pict>
    </w:r>
    <w:r>
      <w:rPr>
        <w:sz w:val="18"/>
      </w:rPr>
      <w:pict>
        <v:shape id="_x0000_s2057" o:spid="_x0000_s2057"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12"/>
                      <w:jc w:val="center"/>
                    </w:pPr>
                    <w:r>
                      <w:rPr>
                        <w:rFonts w:hint="eastAsia"/>
                        <w:lang w:val="en-US" w:eastAsia="zh-CN"/>
                      </w:rPr>
                      <w:t>.</w:t>
                    </w:r>
                  </w:p>
                </w:sdtContent>
              </w:sdt>
              <w:p/>
            </w:txbxContent>
          </v:textbox>
        </v:shape>
      </w:pict>
    </w:r>
  </w:p>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w:pict>
        <v:shape id="_x0000_s2102" o:spid="_x0000_s2102" o:spt="202" type="#_x0000_t202" style="position:absolute;left:0pt;margin-top:0pt;height:144pt;width:144pt;mso-position-horizontal:outside;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w:r>
    <w:r>
      <w:rPr>
        <w:sz w:val="18"/>
      </w:rPr>
      <w:pict>
        <v:shape id="_x0000_s2103" o:spid="_x0000_s2103" o:spt="202" type="#_x0000_t202" style="position:absolute;left:0pt;margin-top:0pt;height:144pt;width:144pt;mso-position-horizontal:outside;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txbxContent>
          </v:textbox>
        </v:shape>
      </w:pict>
    </w:r>
    <w:r>
      <w:rPr>
        <w:sz w:val="18"/>
      </w:rPr>
      <w:pict>
        <v:shape id="_x0000_s2104" o:spid="_x0000_s2104"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12"/>
                      <w:jc w:val="center"/>
                    </w:pPr>
                    <w:r>
                      <w:rPr>
                        <w:rFonts w:hint="eastAsia"/>
                        <w:lang w:val="en-US" w:eastAsia="zh-CN"/>
                      </w:rPr>
                      <w:t>.</w:t>
                    </w:r>
                  </w:p>
                </w:sdtContent>
              </w:sdt>
              <w:p/>
            </w:txbxContent>
          </v:textbox>
        </v:shape>
      </w:pict>
    </w:r>
  </w:p>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w:pict>
        <v:shape id="_x0000_s2086" o:spid="_x0000_s2086" o:spt="202" type="#_x0000_t202" style="position:absolute;left:0pt;margin-top:0pt;height:144pt;width:144pt;mso-position-horizontal:outside;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23</w:t>
                </w:r>
                <w:r>
                  <w:fldChar w:fldCharType="end"/>
                </w:r>
              </w:p>
            </w:txbxContent>
          </v:textbox>
        </v:shape>
      </w:pict>
    </w:r>
    <w:r>
      <w:rPr>
        <w:sz w:val="18"/>
      </w:rPr>
      <w:pict>
        <v:shape id="_x0000_s2087" o:spid="_x0000_s2087"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txbxContent>
          </v:textbox>
        </v:shape>
      </w:pict>
    </w:r>
    <w:r>
      <w:rPr>
        <w:sz w:val="18"/>
      </w:rPr>
      <w:pict>
        <v:shape id="_x0000_s2088" o:spid="_x0000_s2088"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12"/>
                      <w:jc w:val="center"/>
                    </w:pPr>
                    <w:r>
                      <w:rPr>
                        <w:rFonts w:hint="eastAsia"/>
                        <w:lang w:val="en-US" w:eastAsia="zh-CN"/>
                      </w:rPr>
                      <w:t>.</w:t>
                    </w:r>
                  </w:p>
                </w:sdtContent>
              </w:sdt>
              <w:p/>
            </w:txbxContent>
          </v:textbox>
        </v:shape>
      </w:pict>
    </w:r>
  </w:p>
  <w:p>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w:pict>
        <v:shape id="_x0000_s2083" o:spid="_x0000_s2083" o:spt="202" type="#_x0000_t202" style="position:absolute;left:0pt;margin-top:0pt;height:144pt;width:144pt;mso-position-horizontal:outside;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24</w:t>
                </w:r>
                <w:r>
                  <w:fldChar w:fldCharType="end"/>
                </w:r>
              </w:p>
            </w:txbxContent>
          </v:textbox>
        </v:shape>
      </w:pict>
    </w:r>
    <w:r>
      <w:rPr>
        <w:sz w:val="18"/>
      </w:rPr>
      <w:pict>
        <v:shape id="_x0000_s2084" o:spid="_x0000_s2084"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txbxContent>
          </v:textbox>
        </v:shape>
      </w:pict>
    </w:r>
    <w:r>
      <w:rPr>
        <w:sz w:val="18"/>
      </w:rPr>
      <w:pict>
        <v:shape id="_x0000_s2085" o:spid="_x0000_s2085"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12"/>
                      <w:jc w:val="center"/>
                    </w:pPr>
                    <w:r>
                      <w:rPr>
                        <w:rFonts w:hint="eastAsia"/>
                        <w:lang w:val="en-US" w:eastAsia="zh-CN"/>
                      </w:rPr>
                      <w:t>.</w:t>
                    </w:r>
                  </w:p>
                </w:sdtContent>
              </w:sdt>
              <w:p/>
            </w:txbxContent>
          </v:textbox>
        </v:shape>
      </w:pict>
    </w:r>
  </w:p>
  <w:p>
    <w:pPr>
      <w:pStyle w:val="1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w:pict>
        <v:shape id="_x0000_s2080" o:spid="_x0000_s2080" o:spt="202" type="#_x0000_t202" style="position:absolute;left:0pt;margin-top:0pt;height:144pt;width:144pt;mso-position-horizontal:outside;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28</w:t>
                </w:r>
                <w:r>
                  <w:fldChar w:fldCharType="end"/>
                </w:r>
              </w:p>
            </w:txbxContent>
          </v:textbox>
        </v:shape>
      </w:pict>
    </w:r>
    <w:r>
      <w:rPr>
        <w:sz w:val="18"/>
      </w:rPr>
      <w:pict>
        <v:shape id="_x0000_s2072" o:spid="_x0000_s2072"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12"/>
                </w:pPr>
              </w:p>
            </w:txbxContent>
          </v:textbox>
        </v:shape>
      </w:pict>
    </w:r>
    <w:r>
      <w:rPr>
        <w:sz w:val="18"/>
      </w:rPr>
      <w:pict>
        <v:shape id="_x0000_s2073" o:spid="_x0000_s2073"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12"/>
                      <w:jc w:val="center"/>
                    </w:pPr>
                  </w:p>
                </w:sdtContent>
              </w:sdt>
              <w:p/>
            </w:txbxContent>
          </v:textbox>
        </v:shape>
      </w:pict>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B53B7C"/>
    <w:multiLevelType w:val="multilevel"/>
    <w:tmpl w:val="1EB53B7C"/>
    <w:lvl w:ilvl="0" w:tentative="0">
      <w:start w:val="1"/>
      <w:numFmt w:val="decimal"/>
      <w:lvlText w:val="%1"/>
      <w:lvlJc w:val="left"/>
      <w:pPr>
        <w:tabs>
          <w:tab w:val="left" w:pos="3261"/>
        </w:tabs>
        <w:ind w:left="3261" w:hanging="425"/>
      </w:pPr>
      <w:rPr>
        <w:rFonts w:hint="eastAsia" w:ascii="Times New Roman" w:hAnsi="Times New Roman" w:cs="Times New Roman"/>
        <w:b/>
        <w:bCs w:val="0"/>
        <w:i w:val="0"/>
        <w:iCs w:val="0"/>
        <w:caps w:val="0"/>
        <w:smallCaps w:val="0"/>
        <w:strike w:val="0"/>
        <w:dstrike w:val="0"/>
        <w:snapToGrid w:val="0"/>
        <w:vanish w:val="0"/>
        <w:color w:val="000000"/>
        <w:spacing w:val="0"/>
        <w:w w:val="0"/>
        <w:kern w:val="0"/>
        <w:position w:val="0"/>
        <w:sz w:val="24"/>
        <w:szCs w:val="20"/>
        <w:u w:val="none"/>
        <w:vertAlign w:val="baseline"/>
      </w:rPr>
    </w:lvl>
    <w:lvl w:ilvl="1" w:tentative="0">
      <w:start w:val="0"/>
      <w:numFmt w:val="decimal"/>
      <w:lvlText w:val="%1.%2"/>
      <w:lvlJc w:val="left"/>
      <w:pPr>
        <w:tabs>
          <w:tab w:val="left" w:pos="3828"/>
        </w:tabs>
        <w:ind w:left="3828" w:hanging="567"/>
      </w:pPr>
      <w:rPr>
        <w:rFonts w:hint="default" w:ascii="Times New Roman" w:hAnsi="Times New Roman" w:cs="Times New Roman"/>
        <w:b/>
        <w:bCs w:val="0"/>
        <w:i w:val="0"/>
        <w:iCs w:val="0"/>
        <w:caps w:val="0"/>
        <w:smallCaps w:val="0"/>
        <w:strike w:val="0"/>
        <w:dstrike w:val="0"/>
        <w:vanish w:val="0"/>
        <w:color w:val="000000"/>
        <w:spacing w:val="0"/>
        <w:kern w:val="0"/>
        <w:position w:val="0"/>
        <w:sz w:val="24"/>
        <w:szCs w:val="24"/>
        <w:u w:val="none"/>
        <w:vertAlign w:val="baseline"/>
      </w:rPr>
    </w:lvl>
    <w:lvl w:ilvl="2" w:tentative="0">
      <w:start w:val="1"/>
      <w:numFmt w:val="decimal"/>
      <w:pStyle w:val="46"/>
      <w:lvlText w:val="%1.%2.%3"/>
      <w:lvlJc w:val="left"/>
      <w:pPr>
        <w:tabs>
          <w:tab w:val="left" w:pos="709"/>
        </w:tabs>
        <w:ind w:left="142"/>
      </w:pPr>
      <w:rPr>
        <w:rFonts w:hint="default" w:ascii="Times New Roman" w:hAnsi="Times New Roman" w:cs="Times New Roman"/>
        <w:b/>
        <w:i w:val="0"/>
        <w:color w:val="auto"/>
        <w:sz w:val="24"/>
        <w:szCs w:val="24"/>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pStyle w:val="45"/>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4"/>
      <w:suff w:val="nothing"/>
      <w:lvlText w:val="%1.%2.%3　"/>
      <w:lvlJc w:val="left"/>
      <w:pPr>
        <w:ind w:left="1701"/>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34E3172A"/>
    <w:multiLevelType w:val="multilevel"/>
    <w:tmpl w:val="34E3172A"/>
    <w:lvl w:ilvl="0" w:tentative="0">
      <w:start w:val="5"/>
      <w:numFmt w:val="decimal"/>
      <w:lvlText w:val="%1"/>
      <w:lvlJc w:val="left"/>
      <w:pPr>
        <w:tabs>
          <w:tab w:val="left" w:pos="540"/>
        </w:tabs>
        <w:ind w:left="540" w:hanging="540"/>
      </w:pPr>
      <w:rPr>
        <w:rFonts w:hint="eastAsia"/>
      </w:rPr>
    </w:lvl>
    <w:lvl w:ilvl="1" w:tentative="0">
      <w:start w:val="2"/>
      <w:numFmt w:val="decimal"/>
      <w:lvlText w:val="%1.%2"/>
      <w:lvlJc w:val="left"/>
      <w:pPr>
        <w:tabs>
          <w:tab w:val="left" w:pos="540"/>
        </w:tabs>
        <w:ind w:left="540" w:hanging="540"/>
      </w:pPr>
      <w:rPr>
        <w:rFonts w:hint="eastAsia"/>
      </w:rPr>
    </w:lvl>
    <w:lvl w:ilvl="2" w:tentative="0">
      <w:start w:val="1"/>
      <w:numFmt w:val="decimal"/>
      <w:pStyle w:val="47"/>
      <w:lvlText w:val="%1.%2.%3"/>
      <w:lvlJc w:val="left"/>
      <w:pPr>
        <w:tabs>
          <w:tab w:val="left" w:pos="720"/>
        </w:tabs>
        <w:ind w:left="720" w:hanging="720"/>
      </w:pPr>
      <w:rPr>
        <w:rFonts w:hint="eastAsia"/>
      </w:rPr>
    </w:lvl>
    <w:lvl w:ilvl="3" w:tentative="0">
      <w:start w:val="1"/>
      <w:numFmt w:val="decimal"/>
      <w:lvlText w:val="%1.%2.%3.%4"/>
      <w:lvlJc w:val="left"/>
      <w:pPr>
        <w:tabs>
          <w:tab w:val="left" w:pos="720"/>
        </w:tabs>
        <w:ind w:left="720" w:hanging="72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080"/>
        </w:tabs>
        <w:ind w:left="1080" w:hanging="108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3">
    <w:nsid w:val="3D2B5C04"/>
    <w:multiLevelType w:val="multilevel"/>
    <w:tmpl w:val="3D2B5C04"/>
    <w:lvl w:ilvl="0" w:tentative="0">
      <w:start w:val="1"/>
      <w:numFmt w:val="none"/>
      <w:suff w:val="space"/>
      <w:lvlText w:val=""/>
      <w:lvlJc w:val="left"/>
      <w:pPr>
        <w:ind w:left="0" w:firstLine="0"/>
      </w:pPr>
      <w:rPr>
        <w:rFonts w:hint="eastAsia"/>
      </w:rPr>
    </w:lvl>
    <w:lvl w:ilvl="1" w:tentative="0">
      <w:start w:val="1"/>
      <w:numFmt w:val="none"/>
      <w:suff w:val="space"/>
      <w:lvlText w:val=""/>
      <w:lvlJc w:val="left"/>
      <w:pPr>
        <w:ind w:left="0" w:firstLine="0"/>
      </w:pPr>
      <w:rPr>
        <w:rFonts w:hint="eastAsia"/>
      </w:rPr>
    </w:lvl>
    <w:lvl w:ilvl="2" w:tentative="0">
      <w:start w:val="1"/>
      <w:numFmt w:val="decimal"/>
      <w:suff w:val="space"/>
      <w:lvlText w:val="%1%3"/>
      <w:lvlJc w:val="left"/>
      <w:pPr>
        <w:ind w:left="0" w:firstLine="0"/>
      </w:pPr>
      <w:rPr>
        <w:rFonts w:hint="eastAsia" w:ascii="黑体" w:eastAsia="黑体"/>
        <w:b/>
        <w:i w:val="0"/>
        <w:sz w:val="28"/>
        <w:szCs w:val="28"/>
      </w:rPr>
    </w:lvl>
    <w:lvl w:ilvl="3" w:tentative="0">
      <w:start w:val="1"/>
      <w:numFmt w:val="decimal"/>
      <w:pStyle w:val="6"/>
      <w:suff w:val="space"/>
      <w:lvlText w:val="%3.%4"/>
      <w:lvlJc w:val="left"/>
      <w:pPr>
        <w:ind w:left="1470" w:firstLine="0"/>
      </w:pPr>
      <w:rPr>
        <w:rFonts w:hint="eastAsia" w:ascii="黑体" w:hAnsi="Arial" w:eastAsia="黑体"/>
        <w:b/>
        <w:i w:val="0"/>
        <w:sz w:val="21"/>
        <w:szCs w:val="21"/>
      </w:rPr>
    </w:lvl>
    <w:lvl w:ilvl="4" w:tentative="0">
      <w:start w:val="1"/>
      <w:numFmt w:val="decimal"/>
      <w:pStyle w:val="7"/>
      <w:suff w:val="space"/>
      <w:lvlText w:val="%3.%4.%5"/>
      <w:lvlJc w:val="left"/>
      <w:pPr>
        <w:ind w:left="466" w:firstLine="0"/>
      </w:pPr>
      <w:rPr>
        <w:rFonts w:hint="eastAsia" w:ascii="黑体" w:hAnsi="Arial" w:eastAsia="黑体"/>
        <w:b/>
        <w:i w:val="0"/>
        <w:sz w:val="21"/>
        <w:szCs w:val="21"/>
      </w:rPr>
    </w:lvl>
    <w:lvl w:ilvl="5" w:tentative="0">
      <w:start w:val="1"/>
      <w:numFmt w:val="decimal"/>
      <w:suff w:val="space"/>
      <w:lvlText w:val="%3.%4.%5.%6"/>
      <w:lvlJc w:val="left"/>
      <w:pPr>
        <w:ind w:left="510" w:hanging="226"/>
      </w:pPr>
      <w:rPr>
        <w:rFonts w:hint="eastAsia"/>
      </w:rPr>
    </w:lvl>
    <w:lvl w:ilvl="6" w:tentative="0">
      <w:start w:val="1"/>
      <w:numFmt w:val="decimal"/>
      <w:suff w:val="space"/>
      <w:lvlText w:val="%3.%4.%5.%6.%7"/>
      <w:lvlJc w:val="left"/>
      <w:pPr>
        <w:ind w:left="0" w:firstLine="284"/>
      </w:pPr>
      <w:rPr>
        <w:rFonts w:hint="eastAsia"/>
      </w:rPr>
    </w:lvl>
    <w:lvl w:ilvl="7" w:tentative="0">
      <w:start w:val="1"/>
      <w:numFmt w:val="decimal"/>
      <w:suff w:val="space"/>
      <w:lvlText w:val="%8%1"/>
      <w:lvlJc w:val="left"/>
      <w:pPr>
        <w:ind w:left="0" w:firstLine="0"/>
      </w:pPr>
      <w:rPr>
        <w:rFonts w:hint="default" w:ascii="Arial" w:hAnsi="Arial" w:eastAsia="宋体"/>
        <w:b w:val="0"/>
        <w:i w:val="0"/>
        <w:sz w:val="21"/>
        <w:szCs w:val="21"/>
      </w:rPr>
    </w:lvl>
    <w:lvl w:ilvl="8" w:tentative="0">
      <w:start w:val="1"/>
      <w:numFmt w:val="decimal"/>
      <w:suff w:val="space"/>
      <w:lvlText w:val="%9%1)"/>
      <w:lvlJc w:val="left"/>
      <w:pPr>
        <w:ind w:left="660" w:firstLine="0"/>
      </w:pPr>
      <w:rPr>
        <w:rFonts w:hint="eastAsia"/>
      </w:rPr>
    </w:lvl>
  </w:abstractNum>
  <w:abstractNum w:abstractNumId="4">
    <w:nsid w:val="657D3FBC"/>
    <w:multiLevelType w:val="multilevel"/>
    <w:tmpl w:val="657D3FBC"/>
    <w:lvl w:ilvl="0" w:tentative="0">
      <w:start w:val="1"/>
      <w:numFmt w:val="upperLetter"/>
      <w:pStyle w:val="56"/>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g4ZDMxZGIzZmZiZjFmZTRmN2QyZjYwNDdlZDc5NGEifQ=="/>
  </w:docVars>
  <w:rsids>
    <w:rsidRoot w:val="00172A27"/>
    <w:rsid w:val="000011E8"/>
    <w:rsid w:val="00001BA6"/>
    <w:rsid w:val="00002AA6"/>
    <w:rsid w:val="00003026"/>
    <w:rsid w:val="000030F8"/>
    <w:rsid w:val="00003D69"/>
    <w:rsid w:val="00007293"/>
    <w:rsid w:val="000175D2"/>
    <w:rsid w:val="00017FE8"/>
    <w:rsid w:val="00022807"/>
    <w:rsid w:val="00024724"/>
    <w:rsid w:val="00025126"/>
    <w:rsid w:val="00026FDA"/>
    <w:rsid w:val="000277D9"/>
    <w:rsid w:val="00027ACB"/>
    <w:rsid w:val="00030931"/>
    <w:rsid w:val="0003129D"/>
    <w:rsid w:val="000315ED"/>
    <w:rsid w:val="000352DA"/>
    <w:rsid w:val="000353A2"/>
    <w:rsid w:val="00035EA7"/>
    <w:rsid w:val="00035FE5"/>
    <w:rsid w:val="000361A2"/>
    <w:rsid w:val="0003627C"/>
    <w:rsid w:val="00037911"/>
    <w:rsid w:val="000402C9"/>
    <w:rsid w:val="00044005"/>
    <w:rsid w:val="0004431A"/>
    <w:rsid w:val="00044DEF"/>
    <w:rsid w:val="00046481"/>
    <w:rsid w:val="00047CF7"/>
    <w:rsid w:val="0005232B"/>
    <w:rsid w:val="0005412B"/>
    <w:rsid w:val="00055474"/>
    <w:rsid w:val="00056491"/>
    <w:rsid w:val="0006156B"/>
    <w:rsid w:val="000648F5"/>
    <w:rsid w:val="00065F7F"/>
    <w:rsid w:val="000704B5"/>
    <w:rsid w:val="0007132B"/>
    <w:rsid w:val="00071B64"/>
    <w:rsid w:val="00076260"/>
    <w:rsid w:val="000837B6"/>
    <w:rsid w:val="000862DC"/>
    <w:rsid w:val="00086BE5"/>
    <w:rsid w:val="000903C4"/>
    <w:rsid w:val="00091410"/>
    <w:rsid w:val="00091925"/>
    <w:rsid w:val="000935D9"/>
    <w:rsid w:val="000937B9"/>
    <w:rsid w:val="0009496B"/>
    <w:rsid w:val="00097104"/>
    <w:rsid w:val="00097174"/>
    <w:rsid w:val="00097E10"/>
    <w:rsid w:val="000A0742"/>
    <w:rsid w:val="000A1465"/>
    <w:rsid w:val="000A2AE5"/>
    <w:rsid w:val="000A2B3C"/>
    <w:rsid w:val="000A5C0F"/>
    <w:rsid w:val="000A692A"/>
    <w:rsid w:val="000A7186"/>
    <w:rsid w:val="000A7DAC"/>
    <w:rsid w:val="000B3855"/>
    <w:rsid w:val="000B41C0"/>
    <w:rsid w:val="000B5055"/>
    <w:rsid w:val="000B69D1"/>
    <w:rsid w:val="000B69DA"/>
    <w:rsid w:val="000B7936"/>
    <w:rsid w:val="000B7B80"/>
    <w:rsid w:val="000C4AD3"/>
    <w:rsid w:val="000C62CC"/>
    <w:rsid w:val="000C73A9"/>
    <w:rsid w:val="000C7CB4"/>
    <w:rsid w:val="000D0BA5"/>
    <w:rsid w:val="000D1827"/>
    <w:rsid w:val="000D18D3"/>
    <w:rsid w:val="000D1A30"/>
    <w:rsid w:val="000D1DA2"/>
    <w:rsid w:val="000D1E09"/>
    <w:rsid w:val="000D3141"/>
    <w:rsid w:val="000D53D7"/>
    <w:rsid w:val="000D604C"/>
    <w:rsid w:val="000D7800"/>
    <w:rsid w:val="000D792F"/>
    <w:rsid w:val="000D7F0C"/>
    <w:rsid w:val="000E1206"/>
    <w:rsid w:val="000E13A9"/>
    <w:rsid w:val="000E176C"/>
    <w:rsid w:val="000E45E7"/>
    <w:rsid w:val="000E5858"/>
    <w:rsid w:val="000E5A32"/>
    <w:rsid w:val="000E64C2"/>
    <w:rsid w:val="000E73B8"/>
    <w:rsid w:val="000F0A39"/>
    <w:rsid w:val="000F1D20"/>
    <w:rsid w:val="000F2096"/>
    <w:rsid w:val="000F3B0C"/>
    <w:rsid w:val="000F5AFB"/>
    <w:rsid w:val="000F5C0F"/>
    <w:rsid w:val="000F5F38"/>
    <w:rsid w:val="000F7257"/>
    <w:rsid w:val="000F7E46"/>
    <w:rsid w:val="00100C3D"/>
    <w:rsid w:val="00103B3A"/>
    <w:rsid w:val="00103BBF"/>
    <w:rsid w:val="00104611"/>
    <w:rsid w:val="00104A90"/>
    <w:rsid w:val="00104E80"/>
    <w:rsid w:val="00105AB6"/>
    <w:rsid w:val="00106259"/>
    <w:rsid w:val="00106262"/>
    <w:rsid w:val="001071B8"/>
    <w:rsid w:val="0011169E"/>
    <w:rsid w:val="00112E55"/>
    <w:rsid w:val="0011395C"/>
    <w:rsid w:val="00114594"/>
    <w:rsid w:val="0011575E"/>
    <w:rsid w:val="00116CA8"/>
    <w:rsid w:val="001211B7"/>
    <w:rsid w:val="00123005"/>
    <w:rsid w:val="00123F95"/>
    <w:rsid w:val="0012533B"/>
    <w:rsid w:val="00127D4E"/>
    <w:rsid w:val="00127EB5"/>
    <w:rsid w:val="00131FAA"/>
    <w:rsid w:val="001332BA"/>
    <w:rsid w:val="00134CF8"/>
    <w:rsid w:val="00135153"/>
    <w:rsid w:val="00142603"/>
    <w:rsid w:val="00143F95"/>
    <w:rsid w:val="00145A8A"/>
    <w:rsid w:val="0014618D"/>
    <w:rsid w:val="00147D70"/>
    <w:rsid w:val="00150256"/>
    <w:rsid w:val="00150698"/>
    <w:rsid w:val="001537CC"/>
    <w:rsid w:val="0015596E"/>
    <w:rsid w:val="0016071B"/>
    <w:rsid w:val="00160AE6"/>
    <w:rsid w:val="001613B3"/>
    <w:rsid w:val="0016495B"/>
    <w:rsid w:val="00166A10"/>
    <w:rsid w:val="00167149"/>
    <w:rsid w:val="001672C5"/>
    <w:rsid w:val="00167520"/>
    <w:rsid w:val="001703F7"/>
    <w:rsid w:val="00170F58"/>
    <w:rsid w:val="001711E2"/>
    <w:rsid w:val="00171A29"/>
    <w:rsid w:val="00173AF9"/>
    <w:rsid w:val="00174A83"/>
    <w:rsid w:val="0017733D"/>
    <w:rsid w:val="00182434"/>
    <w:rsid w:val="00184329"/>
    <w:rsid w:val="001852FE"/>
    <w:rsid w:val="00192E4E"/>
    <w:rsid w:val="00195AC8"/>
    <w:rsid w:val="00195C54"/>
    <w:rsid w:val="001961EE"/>
    <w:rsid w:val="00196541"/>
    <w:rsid w:val="001A01F4"/>
    <w:rsid w:val="001A0B65"/>
    <w:rsid w:val="001A4902"/>
    <w:rsid w:val="001A4E65"/>
    <w:rsid w:val="001A4E7B"/>
    <w:rsid w:val="001A55C6"/>
    <w:rsid w:val="001A6955"/>
    <w:rsid w:val="001A75D4"/>
    <w:rsid w:val="001B417B"/>
    <w:rsid w:val="001B4D6B"/>
    <w:rsid w:val="001B51FD"/>
    <w:rsid w:val="001B5691"/>
    <w:rsid w:val="001B6C17"/>
    <w:rsid w:val="001B7416"/>
    <w:rsid w:val="001C0313"/>
    <w:rsid w:val="001C48C5"/>
    <w:rsid w:val="001C4D64"/>
    <w:rsid w:val="001C6D15"/>
    <w:rsid w:val="001D1127"/>
    <w:rsid w:val="001D258D"/>
    <w:rsid w:val="001D3B05"/>
    <w:rsid w:val="001D452A"/>
    <w:rsid w:val="001D4787"/>
    <w:rsid w:val="001D4E02"/>
    <w:rsid w:val="001D6250"/>
    <w:rsid w:val="001E0698"/>
    <w:rsid w:val="001E1E60"/>
    <w:rsid w:val="001E2BFA"/>
    <w:rsid w:val="001E33F3"/>
    <w:rsid w:val="001E47F5"/>
    <w:rsid w:val="001E632A"/>
    <w:rsid w:val="001F1575"/>
    <w:rsid w:val="001F3A41"/>
    <w:rsid w:val="001F3E5E"/>
    <w:rsid w:val="001F3F01"/>
    <w:rsid w:val="001F61A2"/>
    <w:rsid w:val="001F61D5"/>
    <w:rsid w:val="001F623F"/>
    <w:rsid w:val="002022F8"/>
    <w:rsid w:val="0020679A"/>
    <w:rsid w:val="00206974"/>
    <w:rsid w:val="00207FE0"/>
    <w:rsid w:val="00211128"/>
    <w:rsid w:val="00215C29"/>
    <w:rsid w:val="00220B46"/>
    <w:rsid w:val="00224680"/>
    <w:rsid w:val="00226ABD"/>
    <w:rsid w:val="00227A18"/>
    <w:rsid w:val="00230BBF"/>
    <w:rsid w:val="00230FBF"/>
    <w:rsid w:val="00231EE9"/>
    <w:rsid w:val="00232DB5"/>
    <w:rsid w:val="00233443"/>
    <w:rsid w:val="00234946"/>
    <w:rsid w:val="002361F1"/>
    <w:rsid w:val="00237478"/>
    <w:rsid w:val="002375CC"/>
    <w:rsid w:val="0023774C"/>
    <w:rsid w:val="00240EAF"/>
    <w:rsid w:val="00240F6F"/>
    <w:rsid w:val="0024253F"/>
    <w:rsid w:val="00242FA9"/>
    <w:rsid w:val="00243B5F"/>
    <w:rsid w:val="00244BF9"/>
    <w:rsid w:val="00245EC2"/>
    <w:rsid w:val="00252CFC"/>
    <w:rsid w:val="002544A8"/>
    <w:rsid w:val="00260052"/>
    <w:rsid w:val="00260EE1"/>
    <w:rsid w:val="00262539"/>
    <w:rsid w:val="002625EF"/>
    <w:rsid w:val="00262C85"/>
    <w:rsid w:val="00263B43"/>
    <w:rsid w:val="002664A3"/>
    <w:rsid w:val="00266FDE"/>
    <w:rsid w:val="002709AB"/>
    <w:rsid w:val="002726F1"/>
    <w:rsid w:val="00272C5A"/>
    <w:rsid w:val="002766C7"/>
    <w:rsid w:val="00276AA7"/>
    <w:rsid w:val="00276BA7"/>
    <w:rsid w:val="00277383"/>
    <w:rsid w:val="002850DC"/>
    <w:rsid w:val="002857B6"/>
    <w:rsid w:val="0028610E"/>
    <w:rsid w:val="002868D3"/>
    <w:rsid w:val="00286E45"/>
    <w:rsid w:val="0029098D"/>
    <w:rsid w:val="00293823"/>
    <w:rsid w:val="0029691F"/>
    <w:rsid w:val="002A2EB4"/>
    <w:rsid w:val="002A3F99"/>
    <w:rsid w:val="002A495D"/>
    <w:rsid w:val="002A54AC"/>
    <w:rsid w:val="002A5A3E"/>
    <w:rsid w:val="002A6327"/>
    <w:rsid w:val="002B125A"/>
    <w:rsid w:val="002B1C09"/>
    <w:rsid w:val="002B1E15"/>
    <w:rsid w:val="002B272C"/>
    <w:rsid w:val="002B4B10"/>
    <w:rsid w:val="002B5252"/>
    <w:rsid w:val="002B5638"/>
    <w:rsid w:val="002B5A43"/>
    <w:rsid w:val="002C2399"/>
    <w:rsid w:val="002C35AF"/>
    <w:rsid w:val="002C4234"/>
    <w:rsid w:val="002C4DF4"/>
    <w:rsid w:val="002C6303"/>
    <w:rsid w:val="002D0A68"/>
    <w:rsid w:val="002D2756"/>
    <w:rsid w:val="002E0C97"/>
    <w:rsid w:val="002E1046"/>
    <w:rsid w:val="002E3402"/>
    <w:rsid w:val="002E4857"/>
    <w:rsid w:val="002E573F"/>
    <w:rsid w:val="002E5A97"/>
    <w:rsid w:val="002F0B8E"/>
    <w:rsid w:val="002F298B"/>
    <w:rsid w:val="002F479B"/>
    <w:rsid w:val="002F512C"/>
    <w:rsid w:val="002F5EC3"/>
    <w:rsid w:val="002F6C52"/>
    <w:rsid w:val="00300B5E"/>
    <w:rsid w:val="003024B9"/>
    <w:rsid w:val="00303CF1"/>
    <w:rsid w:val="00303DD4"/>
    <w:rsid w:val="003052FE"/>
    <w:rsid w:val="0030549B"/>
    <w:rsid w:val="00305E66"/>
    <w:rsid w:val="00307192"/>
    <w:rsid w:val="0031009B"/>
    <w:rsid w:val="0031142D"/>
    <w:rsid w:val="00312A02"/>
    <w:rsid w:val="00312DAA"/>
    <w:rsid w:val="00313009"/>
    <w:rsid w:val="00314205"/>
    <w:rsid w:val="00314F6F"/>
    <w:rsid w:val="003163F3"/>
    <w:rsid w:val="00320110"/>
    <w:rsid w:val="00320BA0"/>
    <w:rsid w:val="0032494C"/>
    <w:rsid w:val="00324A2C"/>
    <w:rsid w:val="00324EA0"/>
    <w:rsid w:val="00325780"/>
    <w:rsid w:val="003261E5"/>
    <w:rsid w:val="00326AF0"/>
    <w:rsid w:val="003307D3"/>
    <w:rsid w:val="0033629B"/>
    <w:rsid w:val="003362C8"/>
    <w:rsid w:val="003367F1"/>
    <w:rsid w:val="00337C9B"/>
    <w:rsid w:val="00337F02"/>
    <w:rsid w:val="00343FAB"/>
    <w:rsid w:val="00344E02"/>
    <w:rsid w:val="0034559A"/>
    <w:rsid w:val="00345FA6"/>
    <w:rsid w:val="0035057F"/>
    <w:rsid w:val="00351BAD"/>
    <w:rsid w:val="00353755"/>
    <w:rsid w:val="003548FA"/>
    <w:rsid w:val="00356014"/>
    <w:rsid w:val="0035730E"/>
    <w:rsid w:val="00360E40"/>
    <w:rsid w:val="00362CEC"/>
    <w:rsid w:val="0036347C"/>
    <w:rsid w:val="003643E1"/>
    <w:rsid w:val="0036494E"/>
    <w:rsid w:val="00365241"/>
    <w:rsid w:val="003667CD"/>
    <w:rsid w:val="00366D3F"/>
    <w:rsid w:val="003673E7"/>
    <w:rsid w:val="003735B9"/>
    <w:rsid w:val="0037528C"/>
    <w:rsid w:val="00375EEA"/>
    <w:rsid w:val="003766F8"/>
    <w:rsid w:val="00382CA1"/>
    <w:rsid w:val="003862D1"/>
    <w:rsid w:val="003872C6"/>
    <w:rsid w:val="003876C2"/>
    <w:rsid w:val="0039247E"/>
    <w:rsid w:val="00392C08"/>
    <w:rsid w:val="00394068"/>
    <w:rsid w:val="003964F4"/>
    <w:rsid w:val="003975AF"/>
    <w:rsid w:val="003A03E2"/>
    <w:rsid w:val="003A12AF"/>
    <w:rsid w:val="003A172F"/>
    <w:rsid w:val="003A1DE1"/>
    <w:rsid w:val="003A229D"/>
    <w:rsid w:val="003A267C"/>
    <w:rsid w:val="003A2F65"/>
    <w:rsid w:val="003A50B3"/>
    <w:rsid w:val="003A6C68"/>
    <w:rsid w:val="003B0395"/>
    <w:rsid w:val="003B23E0"/>
    <w:rsid w:val="003B39D2"/>
    <w:rsid w:val="003B3CEF"/>
    <w:rsid w:val="003B57FB"/>
    <w:rsid w:val="003B5C5F"/>
    <w:rsid w:val="003B5FED"/>
    <w:rsid w:val="003B6486"/>
    <w:rsid w:val="003B7069"/>
    <w:rsid w:val="003B7F50"/>
    <w:rsid w:val="003C0B28"/>
    <w:rsid w:val="003C149A"/>
    <w:rsid w:val="003C6143"/>
    <w:rsid w:val="003C7FCE"/>
    <w:rsid w:val="003D1555"/>
    <w:rsid w:val="003D17DE"/>
    <w:rsid w:val="003D1EA8"/>
    <w:rsid w:val="003D337B"/>
    <w:rsid w:val="003D37B4"/>
    <w:rsid w:val="003D5325"/>
    <w:rsid w:val="003D67A9"/>
    <w:rsid w:val="003D706A"/>
    <w:rsid w:val="003E13C6"/>
    <w:rsid w:val="003E26C9"/>
    <w:rsid w:val="003E4355"/>
    <w:rsid w:val="003E4F17"/>
    <w:rsid w:val="003E7F3B"/>
    <w:rsid w:val="003F0697"/>
    <w:rsid w:val="003F1529"/>
    <w:rsid w:val="003F3360"/>
    <w:rsid w:val="003F39F8"/>
    <w:rsid w:val="003F3FD6"/>
    <w:rsid w:val="00400852"/>
    <w:rsid w:val="00401BA8"/>
    <w:rsid w:val="00402C56"/>
    <w:rsid w:val="00404B3F"/>
    <w:rsid w:val="00406D5B"/>
    <w:rsid w:val="004107FD"/>
    <w:rsid w:val="00414466"/>
    <w:rsid w:val="004169AF"/>
    <w:rsid w:val="004177EE"/>
    <w:rsid w:val="00420A70"/>
    <w:rsid w:val="004212B9"/>
    <w:rsid w:val="004215AF"/>
    <w:rsid w:val="004239F4"/>
    <w:rsid w:val="00424730"/>
    <w:rsid w:val="00424C40"/>
    <w:rsid w:val="00426419"/>
    <w:rsid w:val="00427514"/>
    <w:rsid w:val="00431372"/>
    <w:rsid w:val="00431D91"/>
    <w:rsid w:val="00434F3D"/>
    <w:rsid w:val="00436853"/>
    <w:rsid w:val="00436CD1"/>
    <w:rsid w:val="0044070F"/>
    <w:rsid w:val="004416A3"/>
    <w:rsid w:val="0044305C"/>
    <w:rsid w:val="00444B48"/>
    <w:rsid w:val="0044687F"/>
    <w:rsid w:val="004508A8"/>
    <w:rsid w:val="00450FCD"/>
    <w:rsid w:val="004510B1"/>
    <w:rsid w:val="00451C4E"/>
    <w:rsid w:val="00451D77"/>
    <w:rsid w:val="0045238C"/>
    <w:rsid w:val="00452AD0"/>
    <w:rsid w:val="00453608"/>
    <w:rsid w:val="00453964"/>
    <w:rsid w:val="00455AA8"/>
    <w:rsid w:val="00455C39"/>
    <w:rsid w:val="00456104"/>
    <w:rsid w:val="004573F4"/>
    <w:rsid w:val="00460684"/>
    <w:rsid w:val="0046355D"/>
    <w:rsid w:val="00463BCE"/>
    <w:rsid w:val="00463FEC"/>
    <w:rsid w:val="004651DD"/>
    <w:rsid w:val="004716DB"/>
    <w:rsid w:val="004718FC"/>
    <w:rsid w:val="00473B9B"/>
    <w:rsid w:val="004808B2"/>
    <w:rsid w:val="00480B23"/>
    <w:rsid w:val="00482CDF"/>
    <w:rsid w:val="004855DF"/>
    <w:rsid w:val="0048632D"/>
    <w:rsid w:val="004864B4"/>
    <w:rsid w:val="00493F27"/>
    <w:rsid w:val="00494845"/>
    <w:rsid w:val="004A2135"/>
    <w:rsid w:val="004A43B8"/>
    <w:rsid w:val="004A566E"/>
    <w:rsid w:val="004A5BB6"/>
    <w:rsid w:val="004B07F7"/>
    <w:rsid w:val="004B20D4"/>
    <w:rsid w:val="004B2C78"/>
    <w:rsid w:val="004B383C"/>
    <w:rsid w:val="004B4E8E"/>
    <w:rsid w:val="004B615B"/>
    <w:rsid w:val="004B646A"/>
    <w:rsid w:val="004C19A7"/>
    <w:rsid w:val="004C32D1"/>
    <w:rsid w:val="004C39A2"/>
    <w:rsid w:val="004C5F26"/>
    <w:rsid w:val="004C6CF6"/>
    <w:rsid w:val="004C7B39"/>
    <w:rsid w:val="004D2387"/>
    <w:rsid w:val="004D2857"/>
    <w:rsid w:val="004D324C"/>
    <w:rsid w:val="004D369E"/>
    <w:rsid w:val="004D3AA9"/>
    <w:rsid w:val="004D745A"/>
    <w:rsid w:val="004E1B12"/>
    <w:rsid w:val="004E4D8E"/>
    <w:rsid w:val="004E528A"/>
    <w:rsid w:val="004E59CF"/>
    <w:rsid w:val="004E6015"/>
    <w:rsid w:val="004F097F"/>
    <w:rsid w:val="004F0AFB"/>
    <w:rsid w:val="004F0D2A"/>
    <w:rsid w:val="004F37BE"/>
    <w:rsid w:val="004F3F85"/>
    <w:rsid w:val="004F40B7"/>
    <w:rsid w:val="004F44B8"/>
    <w:rsid w:val="004F646F"/>
    <w:rsid w:val="004F697C"/>
    <w:rsid w:val="005016DC"/>
    <w:rsid w:val="00502F75"/>
    <w:rsid w:val="0050355C"/>
    <w:rsid w:val="005037B3"/>
    <w:rsid w:val="00504145"/>
    <w:rsid w:val="005076B0"/>
    <w:rsid w:val="00510EAB"/>
    <w:rsid w:val="005140DE"/>
    <w:rsid w:val="0051526F"/>
    <w:rsid w:val="005152B1"/>
    <w:rsid w:val="0051593C"/>
    <w:rsid w:val="00521207"/>
    <w:rsid w:val="005218C1"/>
    <w:rsid w:val="00523035"/>
    <w:rsid w:val="0052411B"/>
    <w:rsid w:val="00526465"/>
    <w:rsid w:val="00526793"/>
    <w:rsid w:val="00527BCF"/>
    <w:rsid w:val="005303B2"/>
    <w:rsid w:val="00531BEA"/>
    <w:rsid w:val="005332F7"/>
    <w:rsid w:val="00533D30"/>
    <w:rsid w:val="00533D45"/>
    <w:rsid w:val="00535BFA"/>
    <w:rsid w:val="0054430C"/>
    <w:rsid w:val="00544ED6"/>
    <w:rsid w:val="00547A80"/>
    <w:rsid w:val="00551101"/>
    <w:rsid w:val="00551557"/>
    <w:rsid w:val="00556CFF"/>
    <w:rsid w:val="00565634"/>
    <w:rsid w:val="00565A55"/>
    <w:rsid w:val="005661FC"/>
    <w:rsid w:val="0056650A"/>
    <w:rsid w:val="00566BDE"/>
    <w:rsid w:val="00567325"/>
    <w:rsid w:val="005709C5"/>
    <w:rsid w:val="00570C20"/>
    <w:rsid w:val="0057145D"/>
    <w:rsid w:val="005723CF"/>
    <w:rsid w:val="00573F2D"/>
    <w:rsid w:val="00580557"/>
    <w:rsid w:val="0058088C"/>
    <w:rsid w:val="00580E77"/>
    <w:rsid w:val="005826E9"/>
    <w:rsid w:val="0058539E"/>
    <w:rsid w:val="00592D9D"/>
    <w:rsid w:val="00593BE2"/>
    <w:rsid w:val="00593DAA"/>
    <w:rsid w:val="00597B9F"/>
    <w:rsid w:val="005A0C4F"/>
    <w:rsid w:val="005A5FB8"/>
    <w:rsid w:val="005A6133"/>
    <w:rsid w:val="005A63C2"/>
    <w:rsid w:val="005B072B"/>
    <w:rsid w:val="005B0F20"/>
    <w:rsid w:val="005B220B"/>
    <w:rsid w:val="005B2439"/>
    <w:rsid w:val="005B2D43"/>
    <w:rsid w:val="005B3F0B"/>
    <w:rsid w:val="005B4E29"/>
    <w:rsid w:val="005B58C4"/>
    <w:rsid w:val="005C019A"/>
    <w:rsid w:val="005C06AE"/>
    <w:rsid w:val="005C0FA8"/>
    <w:rsid w:val="005C1A5A"/>
    <w:rsid w:val="005C2AA2"/>
    <w:rsid w:val="005C47A9"/>
    <w:rsid w:val="005C68D6"/>
    <w:rsid w:val="005C7BF4"/>
    <w:rsid w:val="005D0600"/>
    <w:rsid w:val="005D2820"/>
    <w:rsid w:val="005D2959"/>
    <w:rsid w:val="005D6CD0"/>
    <w:rsid w:val="005E43D3"/>
    <w:rsid w:val="005E7459"/>
    <w:rsid w:val="005F018F"/>
    <w:rsid w:val="005F15A5"/>
    <w:rsid w:val="005F2A79"/>
    <w:rsid w:val="005F3A64"/>
    <w:rsid w:val="005F46C9"/>
    <w:rsid w:val="005F64AF"/>
    <w:rsid w:val="0060037D"/>
    <w:rsid w:val="006005BD"/>
    <w:rsid w:val="00601D85"/>
    <w:rsid w:val="00602689"/>
    <w:rsid w:val="006041F9"/>
    <w:rsid w:val="00605028"/>
    <w:rsid w:val="00605215"/>
    <w:rsid w:val="0060710C"/>
    <w:rsid w:val="006072E8"/>
    <w:rsid w:val="00607825"/>
    <w:rsid w:val="0061062E"/>
    <w:rsid w:val="0061348D"/>
    <w:rsid w:val="006151AD"/>
    <w:rsid w:val="00615F63"/>
    <w:rsid w:val="006216F3"/>
    <w:rsid w:val="006234C9"/>
    <w:rsid w:val="006243D3"/>
    <w:rsid w:val="00624571"/>
    <w:rsid w:val="00624C33"/>
    <w:rsid w:val="00625D62"/>
    <w:rsid w:val="006266BB"/>
    <w:rsid w:val="00626880"/>
    <w:rsid w:val="00630A55"/>
    <w:rsid w:val="00630C8C"/>
    <w:rsid w:val="006313FB"/>
    <w:rsid w:val="00631E00"/>
    <w:rsid w:val="00633264"/>
    <w:rsid w:val="006333A9"/>
    <w:rsid w:val="00633E0A"/>
    <w:rsid w:val="00633E42"/>
    <w:rsid w:val="00634E28"/>
    <w:rsid w:val="0064023F"/>
    <w:rsid w:val="006458E6"/>
    <w:rsid w:val="006462AA"/>
    <w:rsid w:val="006468ED"/>
    <w:rsid w:val="00647AD6"/>
    <w:rsid w:val="00647DF5"/>
    <w:rsid w:val="006513FA"/>
    <w:rsid w:val="00651538"/>
    <w:rsid w:val="006533E4"/>
    <w:rsid w:val="00654D11"/>
    <w:rsid w:val="00655190"/>
    <w:rsid w:val="006554B3"/>
    <w:rsid w:val="0066008C"/>
    <w:rsid w:val="00661BCC"/>
    <w:rsid w:val="006631AB"/>
    <w:rsid w:val="0066412B"/>
    <w:rsid w:val="00664C87"/>
    <w:rsid w:val="0066740C"/>
    <w:rsid w:val="00670176"/>
    <w:rsid w:val="00670D67"/>
    <w:rsid w:val="00670F45"/>
    <w:rsid w:val="00673CE9"/>
    <w:rsid w:val="0068278D"/>
    <w:rsid w:val="00682954"/>
    <w:rsid w:val="00684B7D"/>
    <w:rsid w:val="00686179"/>
    <w:rsid w:val="00686CDF"/>
    <w:rsid w:val="00687D44"/>
    <w:rsid w:val="0069035C"/>
    <w:rsid w:val="00693A24"/>
    <w:rsid w:val="00694DC8"/>
    <w:rsid w:val="00694DF9"/>
    <w:rsid w:val="00695BB0"/>
    <w:rsid w:val="00696D38"/>
    <w:rsid w:val="006A054B"/>
    <w:rsid w:val="006A1AE3"/>
    <w:rsid w:val="006A3890"/>
    <w:rsid w:val="006A48CD"/>
    <w:rsid w:val="006A4C02"/>
    <w:rsid w:val="006A620B"/>
    <w:rsid w:val="006A7076"/>
    <w:rsid w:val="006B24D2"/>
    <w:rsid w:val="006B34B2"/>
    <w:rsid w:val="006B42B1"/>
    <w:rsid w:val="006B58A6"/>
    <w:rsid w:val="006B65DD"/>
    <w:rsid w:val="006B6620"/>
    <w:rsid w:val="006B6BEC"/>
    <w:rsid w:val="006B7262"/>
    <w:rsid w:val="006B7F11"/>
    <w:rsid w:val="006C02FA"/>
    <w:rsid w:val="006C070B"/>
    <w:rsid w:val="006C1049"/>
    <w:rsid w:val="006C124B"/>
    <w:rsid w:val="006C21E3"/>
    <w:rsid w:val="006D2777"/>
    <w:rsid w:val="006D27C3"/>
    <w:rsid w:val="006D2892"/>
    <w:rsid w:val="006D2C34"/>
    <w:rsid w:val="006D413B"/>
    <w:rsid w:val="006D48F2"/>
    <w:rsid w:val="006D6373"/>
    <w:rsid w:val="006D6F1C"/>
    <w:rsid w:val="006E01A9"/>
    <w:rsid w:val="006E0575"/>
    <w:rsid w:val="006E263F"/>
    <w:rsid w:val="006E4AE0"/>
    <w:rsid w:val="006E5E60"/>
    <w:rsid w:val="006F1184"/>
    <w:rsid w:val="006F13D8"/>
    <w:rsid w:val="006F1B4E"/>
    <w:rsid w:val="006F586C"/>
    <w:rsid w:val="006F5D41"/>
    <w:rsid w:val="006F7395"/>
    <w:rsid w:val="006F7EE4"/>
    <w:rsid w:val="00700619"/>
    <w:rsid w:val="00704BBF"/>
    <w:rsid w:val="007051A5"/>
    <w:rsid w:val="00706497"/>
    <w:rsid w:val="007067A3"/>
    <w:rsid w:val="007100A9"/>
    <w:rsid w:val="007103C2"/>
    <w:rsid w:val="00710F0E"/>
    <w:rsid w:val="0071287A"/>
    <w:rsid w:val="00712FD7"/>
    <w:rsid w:val="00713B11"/>
    <w:rsid w:val="00714621"/>
    <w:rsid w:val="00714772"/>
    <w:rsid w:val="007159BA"/>
    <w:rsid w:val="00715A54"/>
    <w:rsid w:val="00720081"/>
    <w:rsid w:val="007244A3"/>
    <w:rsid w:val="00727A17"/>
    <w:rsid w:val="00727ED8"/>
    <w:rsid w:val="007304C0"/>
    <w:rsid w:val="00730D78"/>
    <w:rsid w:val="007312D6"/>
    <w:rsid w:val="00731B40"/>
    <w:rsid w:val="00732E70"/>
    <w:rsid w:val="00733265"/>
    <w:rsid w:val="00734870"/>
    <w:rsid w:val="00740215"/>
    <w:rsid w:val="00740275"/>
    <w:rsid w:val="00745044"/>
    <w:rsid w:val="00745B0D"/>
    <w:rsid w:val="00747DF6"/>
    <w:rsid w:val="007508F3"/>
    <w:rsid w:val="00753831"/>
    <w:rsid w:val="00755D93"/>
    <w:rsid w:val="00757C6C"/>
    <w:rsid w:val="00760CA3"/>
    <w:rsid w:val="00760D07"/>
    <w:rsid w:val="007637B1"/>
    <w:rsid w:val="007645E3"/>
    <w:rsid w:val="00764904"/>
    <w:rsid w:val="0076542E"/>
    <w:rsid w:val="007703F5"/>
    <w:rsid w:val="00775FE9"/>
    <w:rsid w:val="007760AB"/>
    <w:rsid w:val="007805A0"/>
    <w:rsid w:val="0078431D"/>
    <w:rsid w:val="00786010"/>
    <w:rsid w:val="0078641F"/>
    <w:rsid w:val="00792959"/>
    <w:rsid w:val="00794F11"/>
    <w:rsid w:val="0079530D"/>
    <w:rsid w:val="00795B4D"/>
    <w:rsid w:val="00795C0F"/>
    <w:rsid w:val="007977E3"/>
    <w:rsid w:val="007A10E3"/>
    <w:rsid w:val="007A1BE1"/>
    <w:rsid w:val="007A4D26"/>
    <w:rsid w:val="007A6C6F"/>
    <w:rsid w:val="007B083E"/>
    <w:rsid w:val="007B2927"/>
    <w:rsid w:val="007B2B46"/>
    <w:rsid w:val="007B2C19"/>
    <w:rsid w:val="007B415D"/>
    <w:rsid w:val="007B4408"/>
    <w:rsid w:val="007B446A"/>
    <w:rsid w:val="007B4731"/>
    <w:rsid w:val="007B54A1"/>
    <w:rsid w:val="007B624A"/>
    <w:rsid w:val="007B6409"/>
    <w:rsid w:val="007B6C8B"/>
    <w:rsid w:val="007C0AFF"/>
    <w:rsid w:val="007C10C4"/>
    <w:rsid w:val="007C22DD"/>
    <w:rsid w:val="007C28E6"/>
    <w:rsid w:val="007C32DE"/>
    <w:rsid w:val="007C3495"/>
    <w:rsid w:val="007C3FF9"/>
    <w:rsid w:val="007C4353"/>
    <w:rsid w:val="007C599F"/>
    <w:rsid w:val="007C5D8B"/>
    <w:rsid w:val="007D0F89"/>
    <w:rsid w:val="007D214F"/>
    <w:rsid w:val="007D2947"/>
    <w:rsid w:val="007D2A30"/>
    <w:rsid w:val="007D6E01"/>
    <w:rsid w:val="007D7B49"/>
    <w:rsid w:val="007E0C29"/>
    <w:rsid w:val="007E14D6"/>
    <w:rsid w:val="007E2040"/>
    <w:rsid w:val="007E3102"/>
    <w:rsid w:val="007E3361"/>
    <w:rsid w:val="007E3E43"/>
    <w:rsid w:val="007E441E"/>
    <w:rsid w:val="007E4487"/>
    <w:rsid w:val="007E4511"/>
    <w:rsid w:val="007E461A"/>
    <w:rsid w:val="007E68DB"/>
    <w:rsid w:val="007E7DA7"/>
    <w:rsid w:val="007F026F"/>
    <w:rsid w:val="007F05E5"/>
    <w:rsid w:val="007F10E1"/>
    <w:rsid w:val="007F1B53"/>
    <w:rsid w:val="007F1FCD"/>
    <w:rsid w:val="007F2DE4"/>
    <w:rsid w:val="007F6287"/>
    <w:rsid w:val="007F69DA"/>
    <w:rsid w:val="00802029"/>
    <w:rsid w:val="008029F2"/>
    <w:rsid w:val="00802FFD"/>
    <w:rsid w:val="00804299"/>
    <w:rsid w:val="008043CA"/>
    <w:rsid w:val="00805085"/>
    <w:rsid w:val="008067B1"/>
    <w:rsid w:val="008075D0"/>
    <w:rsid w:val="00811326"/>
    <w:rsid w:val="00811CE4"/>
    <w:rsid w:val="00812165"/>
    <w:rsid w:val="00814C7D"/>
    <w:rsid w:val="008152F6"/>
    <w:rsid w:val="0081566C"/>
    <w:rsid w:val="00815D5F"/>
    <w:rsid w:val="008210B1"/>
    <w:rsid w:val="00822646"/>
    <w:rsid w:val="00822E4F"/>
    <w:rsid w:val="00824990"/>
    <w:rsid w:val="008251F1"/>
    <w:rsid w:val="00825A40"/>
    <w:rsid w:val="008305A1"/>
    <w:rsid w:val="008312DB"/>
    <w:rsid w:val="00834A60"/>
    <w:rsid w:val="0083564D"/>
    <w:rsid w:val="00835E26"/>
    <w:rsid w:val="00837487"/>
    <w:rsid w:val="00841432"/>
    <w:rsid w:val="00841CDE"/>
    <w:rsid w:val="00841E13"/>
    <w:rsid w:val="00841FAE"/>
    <w:rsid w:val="008422F2"/>
    <w:rsid w:val="008425F1"/>
    <w:rsid w:val="00843B6E"/>
    <w:rsid w:val="00844FBA"/>
    <w:rsid w:val="00847C2F"/>
    <w:rsid w:val="00851D86"/>
    <w:rsid w:val="00855760"/>
    <w:rsid w:val="00856452"/>
    <w:rsid w:val="008566C9"/>
    <w:rsid w:val="008568AD"/>
    <w:rsid w:val="00856B84"/>
    <w:rsid w:val="00857981"/>
    <w:rsid w:val="00857F30"/>
    <w:rsid w:val="00862D86"/>
    <w:rsid w:val="008672A6"/>
    <w:rsid w:val="008672ED"/>
    <w:rsid w:val="00867EFF"/>
    <w:rsid w:val="00870B8E"/>
    <w:rsid w:val="008720C5"/>
    <w:rsid w:val="00872A1A"/>
    <w:rsid w:val="00874F1B"/>
    <w:rsid w:val="00880903"/>
    <w:rsid w:val="00880DA4"/>
    <w:rsid w:val="008848D9"/>
    <w:rsid w:val="00884CB3"/>
    <w:rsid w:val="008860EE"/>
    <w:rsid w:val="00886234"/>
    <w:rsid w:val="0088661B"/>
    <w:rsid w:val="0089045C"/>
    <w:rsid w:val="008950BE"/>
    <w:rsid w:val="00895DA2"/>
    <w:rsid w:val="008963C3"/>
    <w:rsid w:val="008A03F7"/>
    <w:rsid w:val="008A1CBB"/>
    <w:rsid w:val="008A23ED"/>
    <w:rsid w:val="008A24E6"/>
    <w:rsid w:val="008A52F6"/>
    <w:rsid w:val="008A54D8"/>
    <w:rsid w:val="008A56FA"/>
    <w:rsid w:val="008A5975"/>
    <w:rsid w:val="008A60BE"/>
    <w:rsid w:val="008A7F13"/>
    <w:rsid w:val="008B0F96"/>
    <w:rsid w:val="008B2722"/>
    <w:rsid w:val="008B2F3F"/>
    <w:rsid w:val="008B6734"/>
    <w:rsid w:val="008C009A"/>
    <w:rsid w:val="008C07B7"/>
    <w:rsid w:val="008C0F82"/>
    <w:rsid w:val="008C116D"/>
    <w:rsid w:val="008C3614"/>
    <w:rsid w:val="008C3BE3"/>
    <w:rsid w:val="008C4774"/>
    <w:rsid w:val="008C6354"/>
    <w:rsid w:val="008C779B"/>
    <w:rsid w:val="008C7C40"/>
    <w:rsid w:val="008D3891"/>
    <w:rsid w:val="008D4421"/>
    <w:rsid w:val="008E2B64"/>
    <w:rsid w:val="008E2CC2"/>
    <w:rsid w:val="008E3065"/>
    <w:rsid w:val="008F0F7A"/>
    <w:rsid w:val="008F1D4D"/>
    <w:rsid w:val="008F29A7"/>
    <w:rsid w:val="008F4A9A"/>
    <w:rsid w:val="008F4CFC"/>
    <w:rsid w:val="008F7676"/>
    <w:rsid w:val="008F7829"/>
    <w:rsid w:val="008F78DA"/>
    <w:rsid w:val="00900449"/>
    <w:rsid w:val="009007C8"/>
    <w:rsid w:val="009021AE"/>
    <w:rsid w:val="00902493"/>
    <w:rsid w:val="00903B2A"/>
    <w:rsid w:val="00906CA0"/>
    <w:rsid w:val="0091228E"/>
    <w:rsid w:val="00913085"/>
    <w:rsid w:val="009144DF"/>
    <w:rsid w:val="00914F6E"/>
    <w:rsid w:val="009163CA"/>
    <w:rsid w:val="0091712A"/>
    <w:rsid w:val="00917B7E"/>
    <w:rsid w:val="00917EA8"/>
    <w:rsid w:val="009206EB"/>
    <w:rsid w:val="00923481"/>
    <w:rsid w:val="0092432A"/>
    <w:rsid w:val="009274C2"/>
    <w:rsid w:val="0092755D"/>
    <w:rsid w:val="00931E4A"/>
    <w:rsid w:val="0093301F"/>
    <w:rsid w:val="00933979"/>
    <w:rsid w:val="00934234"/>
    <w:rsid w:val="00935DE4"/>
    <w:rsid w:val="00936DB6"/>
    <w:rsid w:val="00937029"/>
    <w:rsid w:val="009379A7"/>
    <w:rsid w:val="009432CC"/>
    <w:rsid w:val="00943DE1"/>
    <w:rsid w:val="00944527"/>
    <w:rsid w:val="00944D1C"/>
    <w:rsid w:val="009456B9"/>
    <w:rsid w:val="0094622B"/>
    <w:rsid w:val="00946E11"/>
    <w:rsid w:val="009473CF"/>
    <w:rsid w:val="009544D5"/>
    <w:rsid w:val="00954676"/>
    <w:rsid w:val="00960A66"/>
    <w:rsid w:val="00960E28"/>
    <w:rsid w:val="009630AB"/>
    <w:rsid w:val="009634BE"/>
    <w:rsid w:val="00964D68"/>
    <w:rsid w:val="00966C5C"/>
    <w:rsid w:val="00970029"/>
    <w:rsid w:val="009716AA"/>
    <w:rsid w:val="0097475C"/>
    <w:rsid w:val="00975340"/>
    <w:rsid w:val="0097661F"/>
    <w:rsid w:val="00977728"/>
    <w:rsid w:val="009836C5"/>
    <w:rsid w:val="00985F98"/>
    <w:rsid w:val="009862E4"/>
    <w:rsid w:val="00987A63"/>
    <w:rsid w:val="00991036"/>
    <w:rsid w:val="009937EE"/>
    <w:rsid w:val="00993D7D"/>
    <w:rsid w:val="009945BA"/>
    <w:rsid w:val="00994BD5"/>
    <w:rsid w:val="009959DD"/>
    <w:rsid w:val="00996BD0"/>
    <w:rsid w:val="009A0403"/>
    <w:rsid w:val="009A6571"/>
    <w:rsid w:val="009A680D"/>
    <w:rsid w:val="009A7FFE"/>
    <w:rsid w:val="009B0896"/>
    <w:rsid w:val="009B25F0"/>
    <w:rsid w:val="009B5946"/>
    <w:rsid w:val="009B7B38"/>
    <w:rsid w:val="009C1158"/>
    <w:rsid w:val="009C24B6"/>
    <w:rsid w:val="009C3374"/>
    <w:rsid w:val="009C4AF6"/>
    <w:rsid w:val="009C4D84"/>
    <w:rsid w:val="009C77B5"/>
    <w:rsid w:val="009D26F7"/>
    <w:rsid w:val="009D2769"/>
    <w:rsid w:val="009D28B0"/>
    <w:rsid w:val="009D2B2A"/>
    <w:rsid w:val="009D4297"/>
    <w:rsid w:val="009D528C"/>
    <w:rsid w:val="009D628F"/>
    <w:rsid w:val="009D6E2D"/>
    <w:rsid w:val="009E1227"/>
    <w:rsid w:val="009E234D"/>
    <w:rsid w:val="009E29C0"/>
    <w:rsid w:val="009E5893"/>
    <w:rsid w:val="009E5AE8"/>
    <w:rsid w:val="009E5C6E"/>
    <w:rsid w:val="009E5D87"/>
    <w:rsid w:val="009E6EEE"/>
    <w:rsid w:val="009E7ABE"/>
    <w:rsid w:val="009F4995"/>
    <w:rsid w:val="009F5F18"/>
    <w:rsid w:val="00A003C3"/>
    <w:rsid w:val="00A01825"/>
    <w:rsid w:val="00A024E2"/>
    <w:rsid w:val="00A02FFA"/>
    <w:rsid w:val="00A04D29"/>
    <w:rsid w:val="00A05833"/>
    <w:rsid w:val="00A06619"/>
    <w:rsid w:val="00A242F3"/>
    <w:rsid w:val="00A243E5"/>
    <w:rsid w:val="00A26CBE"/>
    <w:rsid w:val="00A32EA5"/>
    <w:rsid w:val="00A32EBE"/>
    <w:rsid w:val="00A35E03"/>
    <w:rsid w:val="00A35FFF"/>
    <w:rsid w:val="00A361C6"/>
    <w:rsid w:val="00A36331"/>
    <w:rsid w:val="00A40BCE"/>
    <w:rsid w:val="00A41014"/>
    <w:rsid w:val="00A42ABE"/>
    <w:rsid w:val="00A4417A"/>
    <w:rsid w:val="00A46852"/>
    <w:rsid w:val="00A47905"/>
    <w:rsid w:val="00A500A4"/>
    <w:rsid w:val="00A50DF9"/>
    <w:rsid w:val="00A5502E"/>
    <w:rsid w:val="00A55304"/>
    <w:rsid w:val="00A56326"/>
    <w:rsid w:val="00A567B2"/>
    <w:rsid w:val="00A5750E"/>
    <w:rsid w:val="00A61925"/>
    <w:rsid w:val="00A62724"/>
    <w:rsid w:val="00A65A93"/>
    <w:rsid w:val="00A6736F"/>
    <w:rsid w:val="00A70A00"/>
    <w:rsid w:val="00A74FEC"/>
    <w:rsid w:val="00A76B35"/>
    <w:rsid w:val="00A80567"/>
    <w:rsid w:val="00A827FE"/>
    <w:rsid w:val="00A86756"/>
    <w:rsid w:val="00A87551"/>
    <w:rsid w:val="00A8761A"/>
    <w:rsid w:val="00A938D9"/>
    <w:rsid w:val="00A93B02"/>
    <w:rsid w:val="00A94AC0"/>
    <w:rsid w:val="00A951CA"/>
    <w:rsid w:val="00AA09D6"/>
    <w:rsid w:val="00AA2F5A"/>
    <w:rsid w:val="00AA47D9"/>
    <w:rsid w:val="00AA5467"/>
    <w:rsid w:val="00AA58E7"/>
    <w:rsid w:val="00AA5E93"/>
    <w:rsid w:val="00AA6025"/>
    <w:rsid w:val="00AA6BA9"/>
    <w:rsid w:val="00AA7775"/>
    <w:rsid w:val="00AB069C"/>
    <w:rsid w:val="00AB0AF1"/>
    <w:rsid w:val="00AB2128"/>
    <w:rsid w:val="00AB25EA"/>
    <w:rsid w:val="00AB5139"/>
    <w:rsid w:val="00AB524A"/>
    <w:rsid w:val="00AB6709"/>
    <w:rsid w:val="00AB7E04"/>
    <w:rsid w:val="00AC218E"/>
    <w:rsid w:val="00AC25A4"/>
    <w:rsid w:val="00AC3BD2"/>
    <w:rsid w:val="00AD2A63"/>
    <w:rsid w:val="00AD5A34"/>
    <w:rsid w:val="00AD64E5"/>
    <w:rsid w:val="00AD6BDE"/>
    <w:rsid w:val="00AD6C1F"/>
    <w:rsid w:val="00AD7C13"/>
    <w:rsid w:val="00AE1DA2"/>
    <w:rsid w:val="00AE3317"/>
    <w:rsid w:val="00AE413F"/>
    <w:rsid w:val="00AE566E"/>
    <w:rsid w:val="00AE57B9"/>
    <w:rsid w:val="00AE58F8"/>
    <w:rsid w:val="00AE765A"/>
    <w:rsid w:val="00AE793E"/>
    <w:rsid w:val="00AF0F1A"/>
    <w:rsid w:val="00AF154E"/>
    <w:rsid w:val="00AF2B2E"/>
    <w:rsid w:val="00AF3704"/>
    <w:rsid w:val="00AF6C10"/>
    <w:rsid w:val="00AF6F49"/>
    <w:rsid w:val="00B009B1"/>
    <w:rsid w:val="00B00A45"/>
    <w:rsid w:val="00B00BB2"/>
    <w:rsid w:val="00B040E6"/>
    <w:rsid w:val="00B104D8"/>
    <w:rsid w:val="00B11149"/>
    <w:rsid w:val="00B11673"/>
    <w:rsid w:val="00B12734"/>
    <w:rsid w:val="00B135F4"/>
    <w:rsid w:val="00B20109"/>
    <w:rsid w:val="00B21B24"/>
    <w:rsid w:val="00B242A5"/>
    <w:rsid w:val="00B24473"/>
    <w:rsid w:val="00B24BD3"/>
    <w:rsid w:val="00B25F86"/>
    <w:rsid w:val="00B26237"/>
    <w:rsid w:val="00B26FAB"/>
    <w:rsid w:val="00B2756E"/>
    <w:rsid w:val="00B302A0"/>
    <w:rsid w:val="00B31456"/>
    <w:rsid w:val="00B319AE"/>
    <w:rsid w:val="00B3306B"/>
    <w:rsid w:val="00B3313A"/>
    <w:rsid w:val="00B3429E"/>
    <w:rsid w:val="00B34E4A"/>
    <w:rsid w:val="00B3774A"/>
    <w:rsid w:val="00B40F25"/>
    <w:rsid w:val="00B42502"/>
    <w:rsid w:val="00B44514"/>
    <w:rsid w:val="00B4451A"/>
    <w:rsid w:val="00B46121"/>
    <w:rsid w:val="00B47F24"/>
    <w:rsid w:val="00B525AD"/>
    <w:rsid w:val="00B52702"/>
    <w:rsid w:val="00B53BD8"/>
    <w:rsid w:val="00B54157"/>
    <w:rsid w:val="00B54A3C"/>
    <w:rsid w:val="00B554D4"/>
    <w:rsid w:val="00B56C4B"/>
    <w:rsid w:val="00B56C96"/>
    <w:rsid w:val="00B57FBA"/>
    <w:rsid w:val="00B607A6"/>
    <w:rsid w:val="00B616CB"/>
    <w:rsid w:val="00B67BFA"/>
    <w:rsid w:val="00B70142"/>
    <w:rsid w:val="00B70676"/>
    <w:rsid w:val="00B72FA7"/>
    <w:rsid w:val="00B73F20"/>
    <w:rsid w:val="00B75592"/>
    <w:rsid w:val="00B76660"/>
    <w:rsid w:val="00B813D1"/>
    <w:rsid w:val="00B82143"/>
    <w:rsid w:val="00B82FCD"/>
    <w:rsid w:val="00B83705"/>
    <w:rsid w:val="00B8595F"/>
    <w:rsid w:val="00B86A66"/>
    <w:rsid w:val="00B87530"/>
    <w:rsid w:val="00B87EAC"/>
    <w:rsid w:val="00B91DC3"/>
    <w:rsid w:val="00B9254D"/>
    <w:rsid w:val="00B92656"/>
    <w:rsid w:val="00B96693"/>
    <w:rsid w:val="00B96A6C"/>
    <w:rsid w:val="00BA01AB"/>
    <w:rsid w:val="00BA238B"/>
    <w:rsid w:val="00BA3B99"/>
    <w:rsid w:val="00BA51AF"/>
    <w:rsid w:val="00BA5AD3"/>
    <w:rsid w:val="00BA5E52"/>
    <w:rsid w:val="00BA63C7"/>
    <w:rsid w:val="00BB10EE"/>
    <w:rsid w:val="00BB289F"/>
    <w:rsid w:val="00BB2B8F"/>
    <w:rsid w:val="00BB5A0F"/>
    <w:rsid w:val="00BB6DC4"/>
    <w:rsid w:val="00BB74D1"/>
    <w:rsid w:val="00BC303E"/>
    <w:rsid w:val="00BC3523"/>
    <w:rsid w:val="00BC45D9"/>
    <w:rsid w:val="00BC500C"/>
    <w:rsid w:val="00BC6548"/>
    <w:rsid w:val="00BC6EA1"/>
    <w:rsid w:val="00BC7A7F"/>
    <w:rsid w:val="00BC7F1C"/>
    <w:rsid w:val="00BD139A"/>
    <w:rsid w:val="00BD1E9A"/>
    <w:rsid w:val="00BD728C"/>
    <w:rsid w:val="00BD73EF"/>
    <w:rsid w:val="00BE0223"/>
    <w:rsid w:val="00BE1CD6"/>
    <w:rsid w:val="00BE24A3"/>
    <w:rsid w:val="00BE2509"/>
    <w:rsid w:val="00BE2F81"/>
    <w:rsid w:val="00BE3D33"/>
    <w:rsid w:val="00BE40B6"/>
    <w:rsid w:val="00BE4512"/>
    <w:rsid w:val="00BE52F7"/>
    <w:rsid w:val="00BE77C8"/>
    <w:rsid w:val="00BE77EC"/>
    <w:rsid w:val="00BF010F"/>
    <w:rsid w:val="00BF1FDA"/>
    <w:rsid w:val="00BF6261"/>
    <w:rsid w:val="00BF6A76"/>
    <w:rsid w:val="00C036FE"/>
    <w:rsid w:val="00C03731"/>
    <w:rsid w:val="00C056F0"/>
    <w:rsid w:val="00C0780B"/>
    <w:rsid w:val="00C12200"/>
    <w:rsid w:val="00C12E86"/>
    <w:rsid w:val="00C13381"/>
    <w:rsid w:val="00C1539B"/>
    <w:rsid w:val="00C1686A"/>
    <w:rsid w:val="00C168D5"/>
    <w:rsid w:val="00C20833"/>
    <w:rsid w:val="00C224E6"/>
    <w:rsid w:val="00C228A3"/>
    <w:rsid w:val="00C230FE"/>
    <w:rsid w:val="00C258B4"/>
    <w:rsid w:val="00C265A1"/>
    <w:rsid w:val="00C30EB8"/>
    <w:rsid w:val="00C31E8B"/>
    <w:rsid w:val="00C32FB4"/>
    <w:rsid w:val="00C335D0"/>
    <w:rsid w:val="00C369E9"/>
    <w:rsid w:val="00C36A67"/>
    <w:rsid w:val="00C40BD0"/>
    <w:rsid w:val="00C509A2"/>
    <w:rsid w:val="00C50DD0"/>
    <w:rsid w:val="00C53E56"/>
    <w:rsid w:val="00C560F5"/>
    <w:rsid w:val="00C562FA"/>
    <w:rsid w:val="00C56DEB"/>
    <w:rsid w:val="00C60BE0"/>
    <w:rsid w:val="00C6318A"/>
    <w:rsid w:val="00C6548A"/>
    <w:rsid w:val="00C66BED"/>
    <w:rsid w:val="00C70AA9"/>
    <w:rsid w:val="00C70CC8"/>
    <w:rsid w:val="00C720FF"/>
    <w:rsid w:val="00C73699"/>
    <w:rsid w:val="00C7489F"/>
    <w:rsid w:val="00C75DFD"/>
    <w:rsid w:val="00C77538"/>
    <w:rsid w:val="00C77F0A"/>
    <w:rsid w:val="00C80A9E"/>
    <w:rsid w:val="00C81124"/>
    <w:rsid w:val="00C811E9"/>
    <w:rsid w:val="00C82B65"/>
    <w:rsid w:val="00C83B46"/>
    <w:rsid w:val="00C86A9E"/>
    <w:rsid w:val="00C9467A"/>
    <w:rsid w:val="00C95AC0"/>
    <w:rsid w:val="00C96092"/>
    <w:rsid w:val="00C97DAE"/>
    <w:rsid w:val="00CA05FA"/>
    <w:rsid w:val="00CA1D5A"/>
    <w:rsid w:val="00CA21DF"/>
    <w:rsid w:val="00CA28D4"/>
    <w:rsid w:val="00CA360C"/>
    <w:rsid w:val="00CA5890"/>
    <w:rsid w:val="00CB09C6"/>
    <w:rsid w:val="00CB0AFA"/>
    <w:rsid w:val="00CB0E0A"/>
    <w:rsid w:val="00CB443E"/>
    <w:rsid w:val="00CC00C3"/>
    <w:rsid w:val="00CC0312"/>
    <w:rsid w:val="00CC0366"/>
    <w:rsid w:val="00CC0993"/>
    <w:rsid w:val="00CC2B1E"/>
    <w:rsid w:val="00CC44C2"/>
    <w:rsid w:val="00CC4BCC"/>
    <w:rsid w:val="00CC4F07"/>
    <w:rsid w:val="00CC6380"/>
    <w:rsid w:val="00CD437B"/>
    <w:rsid w:val="00CD4A37"/>
    <w:rsid w:val="00CD7385"/>
    <w:rsid w:val="00CD7F60"/>
    <w:rsid w:val="00CE01E3"/>
    <w:rsid w:val="00CE06B0"/>
    <w:rsid w:val="00CE3EBC"/>
    <w:rsid w:val="00CE562C"/>
    <w:rsid w:val="00CE6BFA"/>
    <w:rsid w:val="00CE6F36"/>
    <w:rsid w:val="00CE786E"/>
    <w:rsid w:val="00CF11AC"/>
    <w:rsid w:val="00CF2962"/>
    <w:rsid w:val="00CF5EB4"/>
    <w:rsid w:val="00D00AB5"/>
    <w:rsid w:val="00D00CCE"/>
    <w:rsid w:val="00D03F59"/>
    <w:rsid w:val="00D040DF"/>
    <w:rsid w:val="00D047B2"/>
    <w:rsid w:val="00D05575"/>
    <w:rsid w:val="00D05ED0"/>
    <w:rsid w:val="00D07356"/>
    <w:rsid w:val="00D07F1A"/>
    <w:rsid w:val="00D105D5"/>
    <w:rsid w:val="00D10FC0"/>
    <w:rsid w:val="00D110F8"/>
    <w:rsid w:val="00D12E72"/>
    <w:rsid w:val="00D177B8"/>
    <w:rsid w:val="00D21E0D"/>
    <w:rsid w:val="00D2241F"/>
    <w:rsid w:val="00D25742"/>
    <w:rsid w:val="00D25A9E"/>
    <w:rsid w:val="00D26250"/>
    <w:rsid w:val="00D26A1B"/>
    <w:rsid w:val="00D271E3"/>
    <w:rsid w:val="00D27D64"/>
    <w:rsid w:val="00D324DE"/>
    <w:rsid w:val="00D33D55"/>
    <w:rsid w:val="00D34481"/>
    <w:rsid w:val="00D34657"/>
    <w:rsid w:val="00D360AA"/>
    <w:rsid w:val="00D36FF2"/>
    <w:rsid w:val="00D40088"/>
    <w:rsid w:val="00D42AB4"/>
    <w:rsid w:val="00D43106"/>
    <w:rsid w:val="00D45627"/>
    <w:rsid w:val="00D457C3"/>
    <w:rsid w:val="00D46C3B"/>
    <w:rsid w:val="00D5094B"/>
    <w:rsid w:val="00D526BE"/>
    <w:rsid w:val="00D54FF8"/>
    <w:rsid w:val="00D553A0"/>
    <w:rsid w:val="00D566D5"/>
    <w:rsid w:val="00D61709"/>
    <w:rsid w:val="00D61759"/>
    <w:rsid w:val="00D61C7E"/>
    <w:rsid w:val="00D621E4"/>
    <w:rsid w:val="00D64CF0"/>
    <w:rsid w:val="00D65609"/>
    <w:rsid w:val="00D6586B"/>
    <w:rsid w:val="00D6612C"/>
    <w:rsid w:val="00D717BA"/>
    <w:rsid w:val="00D71CE9"/>
    <w:rsid w:val="00D726B3"/>
    <w:rsid w:val="00D7355C"/>
    <w:rsid w:val="00D74F45"/>
    <w:rsid w:val="00D75FEF"/>
    <w:rsid w:val="00D76809"/>
    <w:rsid w:val="00D82598"/>
    <w:rsid w:val="00D82BAA"/>
    <w:rsid w:val="00D82E92"/>
    <w:rsid w:val="00D83E52"/>
    <w:rsid w:val="00D92F64"/>
    <w:rsid w:val="00D97AC3"/>
    <w:rsid w:val="00DA0436"/>
    <w:rsid w:val="00DA271B"/>
    <w:rsid w:val="00DA30A6"/>
    <w:rsid w:val="00DA5A72"/>
    <w:rsid w:val="00DA6C39"/>
    <w:rsid w:val="00DA7A6D"/>
    <w:rsid w:val="00DA7B96"/>
    <w:rsid w:val="00DB1270"/>
    <w:rsid w:val="00DB1DDB"/>
    <w:rsid w:val="00DB23B9"/>
    <w:rsid w:val="00DB36AF"/>
    <w:rsid w:val="00DB538D"/>
    <w:rsid w:val="00DB5DE4"/>
    <w:rsid w:val="00DB5F87"/>
    <w:rsid w:val="00DC0BE1"/>
    <w:rsid w:val="00DC1C98"/>
    <w:rsid w:val="00DC2BF8"/>
    <w:rsid w:val="00DC4360"/>
    <w:rsid w:val="00DC5E9F"/>
    <w:rsid w:val="00DE05E2"/>
    <w:rsid w:val="00DE0ABA"/>
    <w:rsid w:val="00DE0EF8"/>
    <w:rsid w:val="00DE17CB"/>
    <w:rsid w:val="00DE2364"/>
    <w:rsid w:val="00DE3926"/>
    <w:rsid w:val="00DE7A82"/>
    <w:rsid w:val="00DF3695"/>
    <w:rsid w:val="00DF47A8"/>
    <w:rsid w:val="00DF4D19"/>
    <w:rsid w:val="00DF69B0"/>
    <w:rsid w:val="00DF7368"/>
    <w:rsid w:val="00E00918"/>
    <w:rsid w:val="00E014DD"/>
    <w:rsid w:val="00E03480"/>
    <w:rsid w:val="00E04674"/>
    <w:rsid w:val="00E06822"/>
    <w:rsid w:val="00E0789F"/>
    <w:rsid w:val="00E114E5"/>
    <w:rsid w:val="00E1408B"/>
    <w:rsid w:val="00E14C44"/>
    <w:rsid w:val="00E14CFA"/>
    <w:rsid w:val="00E1588B"/>
    <w:rsid w:val="00E1724C"/>
    <w:rsid w:val="00E202F4"/>
    <w:rsid w:val="00E20523"/>
    <w:rsid w:val="00E21F54"/>
    <w:rsid w:val="00E2204C"/>
    <w:rsid w:val="00E24CF3"/>
    <w:rsid w:val="00E25013"/>
    <w:rsid w:val="00E26FD7"/>
    <w:rsid w:val="00E328D2"/>
    <w:rsid w:val="00E32DA2"/>
    <w:rsid w:val="00E330A9"/>
    <w:rsid w:val="00E33298"/>
    <w:rsid w:val="00E3716D"/>
    <w:rsid w:val="00E404D4"/>
    <w:rsid w:val="00E40535"/>
    <w:rsid w:val="00E40E9B"/>
    <w:rsid w:val="00E41ED2"/>
    <w:rsid w:val="00E45686"/>
    <w:rsid w:val="00E471D7"/>
    <w:rsid w:val="00E52B61"/>
    <w:rsid w:val="00E546F4"/>
    <w:rsid w:val="00E55889"/>
    <w:rsid w:val="00E55904"/>
    <w:rsid w:val="00E55A7C"/>
    <w:rsid w:val="00E571A7"/>
    <w:rsid w:val="00E57B05"/>
    <w:rsid w:val="00E62418"/>
    <w:rsid w:val="00E62713"/>
    <w:rsid w:val="00E645D4"/>
    <w:rsid w:val="00E717AD"/>
    <w:rsid w:val="00E7198F"/>
    <w:rsid w:val="00E71A5D"/>
    <w:rsid w:val="00E72479"/>
    <w:rsid w:val="00E72550"/>
    <w:rsid w:val="00E77A58"/>
    <w:rsid w:val="00E77D9D"/>
    <w:rsid w:val="00E808CF"/>
    <w:rsid w:val="00E83A7C"/>
    <w:rsid w:val="00E83E6F"/>
    <w:rsid w:val="00E860F6"/>
    <w:rsid w:val="00E87E17"/>
    <w:rsid w:val="00E949EB"/>
    <w:rsid w:val="00E94CC0"/>
    <w:rsid w:val="00E94FE2"/>
    <w:rsid w:val="00E9765B"/>
    <w:rsid w:val="00E976BF"/>
    <w:rsid w:val="00EA01BD"/>
    <w:rsid w:val="00EA0B71"/>
    <w:rsid w:val="00EA1BF9"/>
    <w:rsid w:val="00EA7099"/>
    <w:rsid w:val="00EA79E5"/>
    <w:rsid w:val="00EB0BDF"/>
    <w:rsid w:val="00EB1336"/>
    <w:rsid w:val="00EB2067"/>
    <w:rsid w:val="00EB3B7D"/>
    <w:rsid w:val="00EB4464"/>
    <w:rsid w:val="00EB46F9"/>
    <w:rsid w:val="00EB4F5A"/>
    <w:rsid w:val="00EB64BA"/>
    <w:rsid w:val="00EB736E"/>
    <w:rsid w:val="00EC16F0"/>
    <w:rsid w:val="00EC2DB8"/>
    <w:rsid w:val="00EC41A0"/>
    <w:rsid w:val="00EC4735"/>
    <w:rsid w:val="00EC797F"/>
    <w:rsid w:val="00ED03A9"/>
    <w:rsid w:val="00ED06F9"/>
    <w:rsid w:val="00ED2513"/>
    <w:rsid w:val="00ED632C"/>
    <w:rsid w:val="00ED71A9"/>
    <w:rsid w:val="00ED71FA"/>
    <w:rsid w:val="00EE1454"/>
    <w:rsid w:val="00EE35C7"/>
    <w:rsid w:val="00EE3632"/>
    <w:rsid w:val="00EE6408"/>
    <w:rsid w:val="00EF0943"/>
    <w:rsid w:val="00EF1A99"/>
    <w:rsid w:val="00EF1C7F"/>
    <w:rsid w:val="00EF1EDA"/>
    <w:rsid w:val="00EF235D"/>
    <w:rsid w:val="00EF340F"/>
    <w:rsid w:val="00EF3995"/>
    <w:rsid w:val="00EF4915"/>
    <w:rsid w:val="00EF50A0"/>
    <w:rsid w:val="00EF5A41"/>
    <w:rsid w:val="00EF5F19"/>
    <w:rsid w:val="00EF651E"/>
    <w:rsid w:val="00EF7E23"/>
    <w:rsid w:val="00F011FF"/>
    <w:rsid w:val="00F0297F"/>
    <w:rsid w:val="00F029F9"/>
    <w:rsid w:val="00F04C0F"/>
    <w:rsid w:val="00F04D6C"/>
    <w:rsid w:val="00F0516E"/>
    <w:rsid w:val="00F05716"/>
    <w:rsid w:val="00F05F90"/>
    <w:rsid w:val="00F112D8"/>
    <w:rsid w:val="00F13F40"/>
    <w:rsid w:val="00F1511B"/>
    <w:rsid w:val="00F22077"/>
    <w:rsid w:val="00F234F3"/>
    <w:rsid w:val="00F23DB8"/>
    <w:rsid w:val="00F26952"/>
    <w:rsid w:val="00F274F4"/>
    <w:rsid w:val="00F27A41"/>
    <w:rsid w:val="00F27DA1"/>
    <w:rsid w:val="00F310AB"/>
    <w:rsid w:val="00F33460"/>
    <w:rsid w:val="00F334B7"/>
    <w:rsid w:val="00F36723"/>
    <w:rsid w:val="00F37DE9"/>
    <w:rsid w:val="00F37FAC"/>
    <w:rsid w:val="00F40294"/>
    <w:rsid w:val="00F412B5"/>
    <w:rsid w:val="00F42726"/>
    <w:rsid w:val="00F42ACE"/>
    <w:rsid w:val="00F43F37"/>
    <w:rsid w:val="00F46353"/>
    <w:rsid w:val="00F530A6"/>
    <w:rsid w:val="00F53810"/>
    <w:rsid w:val="00F550B1"/>
    <w:rsid w:val="00F622BC"/>
    <w:rsid w:val="00F6436E"/>
    <w:rsid w:val="00F643CB"/>
    <w:rsid w:val="00F647DD"/>
    <w:rsid w:val="00F650D2"/>
    <w:rsid w:val="00F66657"/>
    <w:rsid w:val="00F67BB5"/>
    <w:rsid w:val="00F70513"/>
    <w:rsid w:val="00F74042"/>
    <w:rsid w:val="00F74A96"/>
    <w:rsid w:val="00F75BF8"/>
    <w:rsid w:val="00F803E3"/>
    <w:rsid w:val="00F819A1"/>
    <w:rsid w:val="00F84604"/>
    <w:rsid w:val="00F8495E"/>
    <w:rsid w:val="00F8547F"/>
    <w:rsid w:val="00F8548E"/>
    <w:rsid w:val="00F9060F"/>
    <w:rsid w:val="00F91596"/>
    <w:rsid w:val="00F92346"/>
    <w:rsid w:val="00F947AD"/>
    <w:rsid w:val="00F94AB3"/>
    <w:rsid w:val="00F950CA"/>
    <w:rsid w:val="00F9631E"/>
    <w:rsid w:val="00FA2CC4"/>
    <w:rsid w:val="00FA526C"/>
    <w:rsid w:val="00FB098D"/>
    <w:rsid w:val="00FB1567"/>
    <w:rsid w:val="00FB4635"/>
    <w:rsid w:val="00FB57D8"/>
    <w:rsid w:val="00FC0366"/>
    <w:rsid w:val="00FC1083"/>
    <w:rsid w:val="00FC114E"/>
    <w:rsid w:val="00FC3CFC"/>
    <w:rsid w:val="00FC50F8"/>
    <w:rsid w:val="00FC6489"/>
    <w:rsid w:val="00FD0DC2"/>
    <w:rsid w:val="00FD31CB"/>
    <w:rsid w:val="00FD3926"/>
    <w:rsid w:val="00FD465B"/>
    <w:rsid w:val="00FD4FFA"/>
    <w:rsid w:val="00FD6123"/>
    <w:rsid w:val="00FD69B4"/>
    <w:rsid w:val="00FD795A"/>
    <w:rsid w:val="00FE3D9F"/>
    <w:rsid w:val="00FE4184"/>
    <w:rsid w:val="00FE5129"/>
    <w:rsid w:val="00FE5388"/>
    <w:rsid w:val="00FE56BC"/>
    <w:rsid w:val="00FE6DA2"/>
    <w:rsid w:val="00FE7D69"/>
    <w:rsid w:val="00FE7F0D"/>
    <w:rsid w:val="00FF0011"/>
    <w:rsid w:val="00FF1A05"/>
    <w:rsid w:val="00FF293C"/>
    <w:rsid w:val="00FF30B6"/>
    <w:rsid w:val="00FF5082"/>
    <w:rsid w:val="00FF6D6E"/>
    <w:rsid w:val="015B6A60"/>
    <w:rsid w:val="0163423C"/>
    <w:rsid w:val="018A43E4"/>
    <w:rsid w:val="01DB71A5"/>
    <w:rsid w:val="022264E7"/>
    <w:rsid w:val="022E2331"/>
    <w:rsid w:val="035A4728"/>
    <w:rsid w:val="04671B9D"/>
    <w:rsid w:val="049C58DC"/>
    <w:rsid w:val="06694ECC"/>
    <w:rsid w:val="072900A1"/>
    <w:rsid w:val="07AF59F8"/>
    <w:rsid w:val="081A6DB3"/>
    <w:rsid w:val="085E576C"/>
    <w:rsid w:val="093C3367"/>
    <w:rsid w:val="09452F69"/>
    <w:rsid w:val="09645E28"/>
    <w:rsid w:val="096A1617"/>
    <w:rsid w:val="09D265CE"/>
    <w:rsid w:val="0A6138B9"/>
    <w:rsid w:val="0AB81282"/>
    <w:rsid w:val="0AD02470"/>
    <w:rsid w:val="0B7913F6"/>
    <w:rsid w:val="0BB1719F"/>
    <w:rsid w:val="0BB44687"/>
    <w:rsid w:val="0BF21337"/>
    <w:rsid w:val="0BFA5531"/>
    <w:rsid w:val="0C3C0D71"/>
    <w:rsid w:val="0C9F454D"/>
    <w:rsid w:val="0D141862"/>
    <w:rsid w:val="0D1E5280"/>
    <w:rsid w:val="0DCA541A"/>
    <w:rsid w:val="0DF02DDE"/>
    <w:rsid w:val="0E807225"/>
    <w:rsid w:val="0EBA4BC0"/>
    <w:rsid w:val="0F350DA9"/>
    <w:rsid w:val="0FD45AD0"/>
    <w:rsid w:val="0FF27E6B"/>
    <w:rsid w:val="0FFD3BCE"/>
    <w:rsid w:val="10EC4E5D"/>
    <w:rsid w:val="11FB0379"/>
    <w:rsid w:val="125A2F4E"/>
    <w:rsid w:val="12717ED2"/>
    <w:rsid w:val="12942A81"/>
    <w:rsid w:val="12BD65D7"/>
    <w:rsid w:val="12CE157B"/>
    <w:rsid w:val="12F76614"/>
    <w:rsid w:val="12F96839"/>
    <w:rsid w:val="130260F3"/>
    <w:rsid w:val="13230C28"/>
    <w:rsid w:val="137B0331"/>
    <w:rsid w:val="146A3851"/>
    <w:rsid w:val="146E7F31"/>
    <w:rsid w:val="14A9617E"/>
    <w:rsid w:val="156D538C"/>
    <w:rsid w:val="15836DC8"/>
    <w:rsid w:val="15863CA1"/>
    <w:rsid w:val="16295B74"/>
    <w:rsid w:val="167C18CE"/>
    <w:rsid w:val="168D6C52"/>
    <w:rsid w:val="16976E10"/>
    <w:rsid w:val="17316C8C"/>
    <w:rsid w:val="17B46EBD"/>
    <w:rsid w:val="17EB0A1F"/>
    <w:rsid w:val="18D1181A"/>
    <w:rsid w:val="1997050A"/>
    <w:rsid w:val="1A04406C"/>
    <w:rsid w:val="1AA71D6A"/>
    <w:rsid w:val="1B062FE7"/>
    <w:rsid w:val="1B51586E"/>
    <w:rsid w:val="1B52009D"/>
    <w:rsid w:val="1B9D2222"/>
    <w:rsid w:val="1BE42CC1"/>
    <w:rsid w:val="1D78719A"/>
    <w:rsid w:val="1D9C5A80"/>
    <w:rsid w:val="1DF3522B"/>
    <w:rsid w:val="1E440BC7"/>
    <w:rsid w:val="1EDB5A9D"/>
    <w:rsid w:val="1EE97C85"/>
    <w:rsid w:val="1F14506B"/>
    <w:rsid w:val="1F6B1C5A"/>
    <w:rsid w:val="1F777D44"/>
    <w:rsid w:val="1FA770AE"/>
    <w:rsid w:val="20090F41"/>
    <w:rsid w:val="2084331C"/>
    <w:rsid w:val="20E71028"/>
    <w:rsid w:val="212D73D7"/>
    <w:rsid w:val="213C09B6"/>
    <w:rsid w:val="21BC6E03"/>
    <w:rsid w:val="21FE6200"/>
    <w:rsid w:val="22DA6005"/>
    <w:rsid w:val="22E7337F"/>
    <w:rsid w:val="231E1D7D"/>
    <w:rsid w:val="232C3E39"/>
    <w:rsid w:val="2352467F"/>
    <w:rsid w:val="23A665C5"/>
    <w:rsid w:val="255F69AA"/>
    <w:rsid w:val="25857DEB"/>
    <w:rsid w:val="258B1590"/>
    <w:rsid w:val="25B65855"/>
    <w:rsid w:val="25B76424"/>
    <w:rsid w:val="263552EB"/>
    <w:rsid w:val="26CB3B3F"/>
    <w:rsid w:val="26CC21D7"/>
    <w:rsid w:val="2732083F"/>
    <w:rsid w:val="274230AB"/>
    <w:rsid w:val="28064F0C"/>
    <w:rsid w:val="280A5E99"/>
    <w:rsid w:val="286E4F80"/>
    <w:rsid w:val="28AE0C26"/>
    <w:rsid w:val="293902DA"/>
    <w:rsid w:val="295B52C5"/>
    <w:rsid w:val="29B30E69"/>
    <w:rsid w:val="29C70BEB"/>
    <w:rsid w:val="2A5879A7"/>
    <w:rsid w:val="2B374B9A"/>
    <w:rsid w:val="2C031F5A"/>
    <w:rsid w:val="2C3E4F60"/>
    <w:rsid w:val="2C6B58FF"/>
    <w:rsid w:val="2CCD697A"/>
    <w:rsid w:val="2D0662C8"/>
    <w:rsid w:val="2D1732E0"/>
    <w:rsid w:val="2D4A5CC0"/>
    <w:rsid w:val="2D614000"/>
    <w:rsid w:val="2D640BA5"/>
    <w:rsid w:val="2DE21206"/>
    <w:rsid w:val="2E41006F"/>
    <w:rsid w:val="2E55781B"/>
    <w:rsid w:val="2EF2478B"/>
    <w:rsid w:val="2EF85512"/>
    <w:rsid w:val="2F286BCC"/>
    <w:rsid w:val="2F370ACC"/>
    <w:rsid w:val="2F6571C9"/>
    <w:rsid w:val="303E1732"/>
    <w:rsid w:val="308719F2"/>
    <w:rsid w:val="31291ED4"/>
    <w:rsid w:val="31693F67"/>
    <w:rsid w:val="31B54577"/>
    <w:rsid w:val="32E706CD"/>
    <w:rsid w:val="331965BD"/>
    <w:rsid w:val="3325624E"/>
    <w:rsid w:val="33312E9E"/>
    <w:rsid w:val="3336318B"/>
    <w:rsid w:val="338440BC"/>
    <w:rsid w:val="33A019CD"/>
    <w:rsid w:val="33C12378"/>
    <w:rsid w:val="342A079E"/>
    <w:rsid w:val="34E66A4D"/>
    <w:rsid w:val="356B2B79"/>
    <w:rsid w:val="36340DB7"/>
    <w:rsid w:val="364E48D6"/>
    <w:rsid w:val="374732E4"/>
    <w:rsid w:val="37B46E2D"/>
    <w:rsid w:val="381C2202"/>
    <w:rsid w:val="386C6EBD"/>
    <w:rsid w:val="39396C23"/>
    <w:rsid w:val="393A3BBB"/>
    <w:rsid w:val="3953178D"/>
    <w:rsid w:val="398D4B14"/>
    <w:rsid w:val="398E2386"/>
    <w:rsid w:val="39D30676"/>
    <w:rsid w:val="3A502E72"/>
    <w:rsid w:val="3A9843AF"/>
    <w:rsid w:val="3B456DB7"/>
    <w:rsid w:val="3B47324E"/>
    <w:rsid w:val="3B4F3354"/>
    <w:rsid w:val="3B58607A"/>
    <w:rsid w:val="3B8F321B"/>
    <w:rsid w:val="3BC24B6B"/>
    <w:rsid w:val="3C75344B"/>
    <w:rsid w:val="3C793D48"/>
    <w:rsid w:val="3D0544BC"/>
    <w:rsid w:val="3D206569"/>
    <w:rsid w:val="3DA91B30"/>
    <w:rsid w:val="3DFF624B"/>
    <w:rsid w:val="3E5A640F"/>
    <w:rsid w:val="3EF61DFB"/>
    <w:rsid w:val="3F710BCE"/>
    <w:rsid w:val="400E1D4D"/>
    <w:rsid w:val="410302E0"/>
    <w:rsid w:val="41502177"/>
    <w:rsid w:val="418E639B"/>
    <w:rsid w:val="41A4218A"/>
    <w:rsid w:val="41C129BA"/>
    <w:rsid w:val="41F37E3D"/>
    <w:rsid w:val="42234165"/>
    <w:rsid w:val="427A3BEF"/>
    <w:rsid w:val="427C7BC0"/>
    <w:rsid w:val="42CE1E1B"/>
    <w:rsid w:val="438E1D6D"/>
    <w:rsid w:val="43F7626F"/>
    <w:rsid w:val="449A21E7"/>
    <w:rsid w:val="4521194F"/>
    <w:rsid w:val="458F5F0C"/>
    <w:rsid w:val="45CC79E2"/>
    <w:rsid w:val="45EC305F"/>
    <w:rsid w:val="46123D46"/>
    <w:rsid w:val="46175851"/>
    <w:rsid w:val="462239BE"/>
    <w:rsid w:val="463179E1"/>
    <w:rsid w:val="46AB20C9"/>
    <w:rsid w:val="46CA42D8"/>
    <w:rsid w:val="46CE7C60"/>
    <w:rsid w:val="470936E0"/>
    <w:rsid w:val="4777116C"/>
    <w:rsid w:val="477F72E9"/>
    <w:rsid w:val="48756201"/>
    <w:rsid w:val="491024A8"/>
    <w:rsid w:val="4A0A57AD"/>
    <w:rsid w:val="4A617F9C"/>
    <w:rsid w:val="4A837265"/>
    <w:rsid w:val="4A9C207C"/>
    <w:rsid w:val="4ACB3629"/>
    <w:rsid w:val="4ACB3C71"/>
    <w:rsid w:val="4B000BF6"/>
    <w:rsid w:val="4B09512A"/>
    <w:rsid w:val="4C135E4D"/>
    <w:rsid w:val="4CCA07D0"/>
    <w:rsid w:val="4D5631CE"/>
    <w:rsid w:val="4D781D8D"/>
    <w:rsid w:val="4D9B6A00"/>
    <w:rsid w:val="4DAE533F"/>
    <w:rsid w:val="4DBD62C8"/>
    <w:rsid w:val="4DE8590F"/>
    <w:rsid w:val="4E281BE5"/>
    <w:rsid w:val="4EBB4BA1"/>
    <w:rsid w:val="4EC93BEB"/>
    <w:rsid w:val="4ED2223A"/>
    <w:rsid w:val="4EEE2759"/>
    <w:rsid w:val="4FB40B37"/>
    <w:rsid w:val="4FB45BEB"/>
    <w:rsid w:val="50296CD6"/>
    <w:rsid w:val="505F5230"/>
    <w:rsid w:val="50A6581B"/>
    <w:rsid w:val="50FA3BDF"/>
    <w:rsid w:val="518D686B"/>
    <w:rsid w:val="51AB291C"/>
    <w:rsid w:val="51DE2796"/>
    <w:rsid w:val="51E4137E"/>
    <w:rsid w:val="520E6EE7"/>
    <w:rsid w:val="523B1AFF"/>
    <w:rsid w:val="525D6888"/>
    <w:rsid w:val="52760130"/>
    <w:rsid w:val="52FB0D10"/>
    <w:rsid w:val="536900ED"/>
    <w:rsid w:val="537533AF"/>
    <w:rsid w:val="541E1827"/>
    <w:rsid w:val="54606612"/>
    <w:rsid w:val="547F1697"/>
    <w:rsid w:val="5485693F"/>
    <w:rsid w:val="54AA340B"/>
    <w:rsid w:val="557D7140"/>
    <w:rsid w:val="56EE41D3"/>
    <w:rsid w:val="57D0407E"/>
    <w:rsid w:val="58BE4BDC"/>
    <w:rsid w:val="58E0106A"/>
    <w:rsid w:val="59476274"/>
    <w:rsid w:val="59D37116"/>
    <w:rsid w:val="5A055F61"/>
    <w:rsid w:val="5AAD5C63"/>
    <w:rsid w:val="5ABE3BD9"/>
    <w:rsid w:val="5B005333"/>
    <w:rsid w:val="5B2904EA"/>
    <w:rsid w:val="5BBD43D7"/>
    <w:rsid w:val="5C431B1D"/>
    <w:rsid w:val="5CB14BAA"/>
    <w:rsid w:val="5DF17A5F"/>
    <w:rsid w:val="5E4472E8"/>
    <w:rsid w:val="5E9D5029"/>
    <w:rsid w:val="5EBA6F28"/>
    <w:rsid w:val="5EBE2070"/>
    <w:rsid w:val="5EDA54BC"/>
    <w:rsid w:val="5F055475"/>
    <w:rsid w:val="5F5269D4"/>
    <w:rsid w:val="5F6A4E78"/>
    <w:rsid w:val="5F83069C"/>
    <w:rsid w:val="5FBB451C"/>
    <w:rsid w:val="6162357F"/>
    <w:rsid w:val="618B0BB4"/>
    <w:rsid w:val="61A76CD4"/>
    <w:rsid w:val="61E71C23"/>
    <w:rsid w:val="62120938"/>
    <w:rsid w:val="62D02945"/>
    <w:rsid w:val="63011DB1"/>
    <w:rsid w:val="63282237"/>
    <w:rsid w:val="63D865FF"/>
    <w:rsid w:val="63FF06D9"/>
    <w:rsid w:val="642A60E4"/>
    <w:rsid w:val="644A704B"/>
    <w:rsid w:val="644F6AF1"/>
    <w:rsid w:val="645512D4"/>
    <w:rsid w:val="647F4F9A"/>
    <w:rsid w:val="65980161"/>
    <w:rsid w:val="65A86C02"/>
    <w:rsid w:val="6608046D"/>
    <w:rsid w:val="670005DC"/>
    <w:rsid w:val="6741171A"/>
    <w:rsid w:val="679416EF"/>
    <w:rsid w:val="681D48FE"/>
    <w:rsid w:val="683A1FD5"/>
    <w:rsid w:val="68481C08"/>
    <w:rsid w:val="684B7DD4"/>
    <w:rsid w:val="684D46CF"/>
    <w:rsid w:val="689F2D60"/>
    <w:rsid w:val="6977004F"/>
    <w:rsid w:val="69C06597"/>
    <w:rsid w:val="69D616BD"/>
    <w:rsid w:val="6A9B564A"/>
    <w:rsid w:val="6AD3103C"/>
    <w:rsid w:val="6B6D0862"/>
    <w:rsid w:val="6BD31648"/>
    <w:rsid w:val="6BE71F04"/>
    <w:rsid w:val="6BE94BEE"/>
    <w:rsid w:val="6C23287D"/>
    <w:rsid w:val="6C783837"/>
    <w:rsid w:val="6CB848BA"/>
    <w:rsid w:val="6D2D7EC9"/>
    <w:rsid w:val="6D7D4BBD"/>
    <w:rsid w:val="6E11619B"/>
    <w:rsid w:val="6EDD17DA"/>
    <w:rsid w:val="6EF3181C"/>
    <w:rsid w:val="6F441CBC"/>
    <w:rsid w:val="6F576B02"/>
    <w:rsid w:val="6FA95EC8"/>
    <w:rsid w:val="6FC339B1"/>
    <w:rsid w:val="700B6833"/>
    <w:rsid w:val="70A65464"/>
    <w:rsid w:val="70D5719D"/>
    <w:rsid w:val="728A4E31"/>
    <w:rsid w:val="72D72E18"/>
    <w:rsid w:val="72FD21E0"/>
    <w:rsid w:val="72FF4021"/>
    <w:rsid w:val="73881F60"/>
    <w:rsid w:val="73B614A0"/>
    <w:rsid w:val="73C25629"/>
    <w:rsid w:val="741E2879"/>
    <w:rsid w:val="75385D67"/>
    <w:rsid w:val="75406CC1"/>
    <w:rsid w:val="75A601AC"/>
    <w:rsid w:val="75BF0696"/>
    <w:rsid w:val="76C948C7"/>
    <w:rsid w:val="77440CDE"/>
    <w:rsid w:val="776C7C79"/>
    <w:rsid w:val="786C55F9"/>
    <w:rsid w:val="78B327C2"/>
    <w:rsid w:val="78CF4148"/>
    <w:rsid w:val="79D5266D"/>
    <w:rsid w:val="7A1C30F9"/>
    <w:rsid w:val="7A2758A7"/>
    <w:rsid w:val="7A474EFC"/>
    <w:rsid w:val="7A4F0D2B"/>
    <w:rsid w:val="7AFA350D"/>
    <w:rsid w:val="7C135E75"/>
    <w:rsid w:val="7C8705D5"/>
    <w:rsid w:val="7CD3693F"/>
    <w:rsid w:val="7D290995"/>
    <w:rsid w:val="7D5725B3"/>
    <w:rsid w:val="7E164725"/>
    <w:rsid w:val="7E303749"/>
    <w:rsid w:val="7E847119"/>
    <w:rsid w:val="7F6562EA"/>
    <w:rsid w:val="7F8E34DB"/>
    <w:rsid w:val="7FA85EF4"/>
    <w:rsid w:val="7FD206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qFormat="1"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Cs/>
      <w:kern w:val="44"/>
      <w:sz w:val="30"/>
      <w:szCs w:val="44"/>
    </w:rPr>
  </w:style>
  <w:style w:type="paragraph" w:styleId="4">
    <w:name w:val="heading 2"/>
    <w:basedOn w:val="1"/>
    <w:next w:val="1"/>
    <w:link w:val="31"/>
    <w:unhideWhenUsed/>
    <w:qFormat/>
    <w:uiPriority w:val="0"/>
    <w:pPr>
      <w:keepNext/>
      <w:keepLines/>
      <w:spacing w:before="120" w:after="120" w:line="360" w:lineRule="auto"/>
      <w:outlineLvl w:val="1"/>
    </w:pPr>
    <w:rPr>
      <w:rFonts w:asciiTheme="majorHAnsi" w:hAnsiTheme="majorHAnsi" w:eastAsiaTheme="majorEastAsia" w:cstheme="majorBidi"/>
      <w:b/>
      <w:bCs/>
      <w:sz w:val="24"/>
      <w:szCs w:val="32"/>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6">
    <w:name w:val="heading 4"/>
    <w:basedOn w:val="1"/>
    <w:next w:val="1"/>
    <w:qFormat/>
    <w:uiPriority w:val="0"/>
    <w:pPr>
      <w:numPr>
        <w:ilvl w:val="3"/>
        <w:numId w:val="1"/>
      </w:numPr>
      <w:adjustRightInd w:val="0"/>
      <w:snapToGrid w:val="0"/>
      <w:spacing w:before="156" w:beforeLines="50" w:after="156" w:afterLines="50" w:line="400" w:lineRule="exact"/>
      <w:jc w:val="center"/>
      <w:outlineLvl w:val="3"/>
    </w:pPr>
    <w:rPr>
      <w:rFonts w:ascii="黑体" w:hAnsi="黑体" w:eastAsia="黑体"/>
      <w:b/>
      <w:szCs w:val="21"/>
    </w:rPr>
  </w:style>
  <w:style w:type="paragraph" w:styleId="7">
    <w:name w:val="heading 5"/>
    <w:basedOn w:val="1"/>
    <w:next w:val="1"/>
    <w:qFormat/>
    <w:uiPriority w:val="0"/>
    <w:pPr>
      <w:numPr>
        <w:ilvl w:val="4"/>
        <w:numId w:val="1"/>
      </w:numPr>
      <w:ind w:left="580"/>
      <w:outlineLvl w:val="4"/>
    </w:pPr>
    <w:rPr>
      <w:bCs/>
      <w:szCs w:val="21"/>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8">
    <w:name w:val="toa heading"/>
    <w:basedOn w:val="1"/>
    <w:next w:val="1"/>
    <w:qFormat/>
    <w:uiPriority w:val="0"/>
    <w:pPr>
      <w:spacing w:before="120"/>
    </w:pPr>
    <w:rPr>
      <w:rFonts w:ascii="Arial" w:hAnsi="Arial"/>
    </w:rPr>
  </w:style>
  <w:style w:type="paragraph" w:styleId="9">
    <w:name w:val="annotation text"/>
    <w:basedOn w:val="1"/>
    <w:link w:val="34"/>
    <w:unhideWhenUsed/>
    <w:qFormat/>
    <w:uiPriority w:val="0"/>
    <w:pPr>
      <w:jc w:val="left"/>
    </w:pPr>
  </w:style>
  <w:style w:type="paragraph" w:styleId="10">
    <w:name w:val="Date"/>
    <w:basedOn w:val="1"/>
    <w:next w:val="1"/>
    <w:link w:val="38"/>
    <w:qFormat/>
    <w:uiPriority w:val="0"/>
    <w:pPr>
      <w:ind w:left="100" w:leftChars="2500"/>
    </w:pPr>
  </w:style>
  <w:style w:type="paragraph" w:styleId="11">
    <w:name w:val="Balloon Text"/>
    <w:basedOn w:val="1"/>
    <w:link w:val="36"/>
    <w:semiHidden/>
    <w:unhideWhenUsed/>
    <w:qFormat/>
    <w:uiPriority w:val="0"/>
    <w:rPr>
      <w:sz w:val="18"/>
      <w:szCs w:val="18"/>
    </w:rPr>
  </w:style>
  <w:style w:type="paragraph" w:styleId="12">
    <w:name w:val="footer"/>
    <w:basedOn w:val="1"/>
    <w:link w:val="29"/>
    <w:qFormat/>
    <w:uiPriority w:val="99"/>
    <w:pPr>
      <w:tabs>
        <w:tab w:val="center" w:pos="4153"/>
        <w:tab w:val="right" w:pos="8306"/>
      </w:tabs>
      <w:snapToGrid w:val="0"/>
      <w:jc w:val="left"/>
    </w:pPr>
    <w:rPr>
      <w:sz w:val="18"/>
      <w:szCs w:val="18"/>
    </w:rPr>
  </w:style>
  <w:style w:type="paragraph" w:styleId="13">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2"/>
    <w:basedOn w:val="1"/>
    <w:next w:val="1"/>
    <w:unhideWhenUsed/>
    <w:qFormat/>
    <w:uiPriority w:val="39"/>
    <w:pPr>
      <w:ind w:left="420" w:leftChars="200"/>
    </w:pPr>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7">
    <w:name w:val="Normal (Web)"/>
    <w:basedOn w:val="1"/>
    <w:semiHidden/>
    <w:unhideWhenUsed/>
    <w:qFormat/>
    <w:uiPriority w:val="0"/>
    <w:pPr>
      <w:spacing w:beforeAutospacing="1" w:afterAutospacing="1"/>
      <w:jc w:val="left"/>
    </w:pPr>
    <w:rPr>
      <w:rFonts w:cs="Times New Roman"/>
      <w:kern w:val="0"/>
      <w:sz w:val="24"/>
    </w:rPr>
  </w:style>
  <w:style w:type="paragraph" w:styleId="18">
    <w:name w:val="annotation subject"/>
    <w:basedOn w:val="9"/>
    <w:next w:val="9"/>
    <w:link w:val="35"/>
    <w:semiHidden/>
    <w:unhideWhenUsed/>
    <w:qFormat/>
    <w:uiPriority w:val="0"/>
    <w:rPr>
      <w:b/>
      <w:bCs/>
    </w:rPr>
  </w:style>
  <w:style w:type="table" w:styleId="20">
    <w:name w:val="Table Grid"/>
    <w:basedOn w:val="1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FollowedHyperlink"/>
    <w:basedOn w:val="21"/>
    <w:semiHidden/>
    <w:unhideWhenUsed/>
    <w:qFormat/>
    <w:uiPriority w:val="0"/>
    <w:rPr>
      <w:color w:val="741274"/>
      <w:u w:val="single"/>
    </w:rPr>
  </w:style>
  <w:style w:type="character" w:styleId="24">
    <w:name w:val="Emphasis"/>
    <w:basedOn w:val="21"/>
    <w:qFormat/>
    <w:uiPriority w:val="0"/>
    <w:rPr>
      <w:color w:val="CC0000"/>
    </w:rPr>
  </w:style>
  <w:style w:type="character" w:styleId="25">
    <w:name w:val="Hyperlink"/>
    <w:basedOn w:val="21"/>
    <w:unhideWhenUsed/>
    <w:qFormat/>
    <w:uiPriority w:val="99"/>
    <w:rPr>
      <w:color w:val="0563C1" w:themeColor="hyperlink"/>
      <w:u w:val="single"/>
    </w:rPr>
  </w:style>
  <w:style w:type="character" w:styleId="26">
    <w:name w:val="annotation reference"/>
    <w:basedOn w:val="21"/>
    <w:unhideWhenUsed/>
    <w:qFormat/>
    <w:uiPriority w:val="0"/>
    <w:rPr>
      <w:sz w:val="21"/>
      <w:szCs w:val="21"/>
    </w:rPr>
  </w:style>
  <w:style w:type="character" w:styleId="27">
    <w:name w:val="HTML Cite"/>
    <w:basedOn w:val="21"/>
    <w:semiHidden/>
    <w:unhideWhenUsed/>
    <w:qFormat/>
    <w:uiPriority w:val="0"/>
    <w:rPr>
      <w:color w:val="008000"/>
    </w:rPr>
  </w:style>
  <w:style w:type="character" w:customStyle="1" w:styleId="28">
    <w:name w:val="页眉 Char"/>
    <w:basedOn w:val="21"/>
    <w:link w:val="13"/>
    <w:qFormat/>
    <w:uiPriority w:val="0"/>
    <w:rPr>
      <w:kern w:val="2"/>
      <w:sz w:val="18"/>
      <w:szCs w:val="18"/>
    </w:rPr>
  </w:style>
  <w:style w:type="character" w:customStyle="1" w:styleId="29">
    <w:name w:val="页脚 Char"/>
    <w:basedOn w:val="21"/>
    <w:link w:val="12"/>
    <w:qFormat/>
    <w:uiPriority w:val="99"/>
    <w:rPr>
      <w:kern w:val="2"/>
      <w:sz w:val="18"/>
      <w:szCs w:val="18"/>
    </w:rPr>
  </w:style>
  <w:style w:type="character" w:customStyle="1" w:styleId="30">
    <w:name w:val="标题 1 Char"/>
    <w:basedOn w:val="21"/>
    <w:link w:val="3"/>
    <w:qFormat/>
    <w:uiPriority w:val="9"/>
    <w:rPr>
      <w:bCs/>
      <w:kern w:val="44"/>
      <w:sz w:val="30"/>
      <w:szCs w:val="44"/>
    </w:rPr>
  </w:style>
  <w:style w:type="character" w:customStyle="1" w:styleId="31">
    <w:name w:val="标题 2 Char"/>
    <w:basedOn w:val="21"/>
    <w:link w:val="4"/>
    <w:qFormat/>
    <w:uiPriority w:val="0"/>
    <w:rPr>
      <w:rFonts w:asciiTheme="majorHAnsi" w:hAnsiTheme="majorHAnsi" w:eastAsiaTheme="majorEastAsia" w:cstheme="majorBidi"/>
      <w:b/>
      <w:bCs/>
      <w:kern w:val="2"/>
      <w:sz w:val="24"/>
      <w:szCs w:val="32"/>
    </w:rPr>
  </w:style>
  <w:style w:type="paragraph" w:customStyle="1" w:styleId="32">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3">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2E75B5" w:themeColor="accent1" w:themeShade="BF"/>
      <w:kern w:val="0"/>
      <w:sz w:val="32"/>
      <w:szCs w:val="32"/>
    </w:rPr>
  </w:style>
  <w:style w:type="character" w:customStyle="1" w:styleId="34">
    <w:name w:val="批注文字 Char"/>
    <w:basedOn w:val="21"/>
    <w:link w:val="9"/>
    <w:semiHidden/>
    <w:qFormat/>
    <w:uiPriority w:val="0"/>
    <w:rPr>
      <w:kern w:val="2"/>
      <w:sz w:val="21"/>
      <w:szCs w:val="24"/>
    </w:rPr>
  </w:style>
  <w:style w:type="character" w:customStyle="1" w:styleId="35">
    <w:name w:val="批注主题 Char"/>
    <w:basedOn w:val="34"/>
    <w:link w:val="18"/>
    <w:semiHidden/>
    <w:qFormat/>
    <w:uiPriority w:val="0"/>
    <w:rPr>
      <w:b/>
      <w:bCs/>
      <w:kern w:val="2"/>
      <w:sz w:val="21"/>
      <w:szCs w:val="24"/>
    </w:rPr>
  </w:style>
  <w:style w:type="character" w:customStyle="1" w:styleId="36">
    <w:name w:val="批注框文本 Char"/>
    <w:basedOn w:val="21"/>
    <w:link w:val="11"/>
    <w:semiHidden/>
    <w:qFormat/>
    <w:uiPriority w:val="0"/>
    <w:rPr>
      <w:kern w:val="2"/>
      <w:sz w:val="18"/>
      <w:szCs w:val="18"/>
    </w:rPr>
  </w:style>
  <w:style w:type="character" w:styleId="37">
    <w:name w:val="Placeholder Text"/>
    <w:basedOn w:val="21"/>
    <w:unhideWhenUsed/>
    <w:qFormat/>
    <w:uiPriority w:val="99"/>
    <w:rPr>
      <w:color w:val="808080"/>
    </w:rPr>
  </w:style>
  <w:style w:type="character" w:customStyle="1" w:styleId="38">
    <w:name w:val="日期 Char"/>
    <w:basedOn w:val="21"/>
    <w:link w:val="10"/>
    <w:qFormat/>
    <w:uiPriority w:val="0"/>
    <w:rPr>
      <w:kern w:val="2"/>
      <w:sz w:val="21"/>
      <w:szCs w:val="24"/>
    </w:rPr>
  </w:style>
  <w:style w:type="paragraph" w:styleId="39">
    <w:name w:val="List Paragraph"/>
    <w:basedOn w:val="1"/>
    <w:unhideWhenUsed/>
    <w:qFormat/>
    <w:uiPriority w:val="99"/>
    <w:pPr>
      <w:ind w:firstLine="420" w:firstLineChars="200"/>
    </w:pPr>
  </w:style>
  <w:style w:type="paragraph" w:customStyle="1" w:styleId="40">
    <w:name w:val="段"/>
    <w:basedOn w:val="1"/>
    <w:qFormat/>
    <w:uiPriority w:val="0"/>
    <w:pPr>
      <w:ind w:firstLine="425"/>
    </w:pPr>
    <w:rPr>
      <w:rFonts w:hint="eastAsia" w:ascii="宋体" w:hAnsi="Times New Roman"/>
    </w:rPr>
  </w:style>
  <w:style w:type="character" w:customStyle="1" w:styleId="41">
    <w:name w:val="sugg-loading"/>
    <w:basedOn w:val="21"/>
    <w:qFormat/>
    <w:uiPriority w:val="0"/>
  </w:style>
  <w:style w:type="character" w:customStyle="1" w:styleId="42">
    <w:name w:val="page-cur"/>
    <w:basedOn w:val="21"/>
    <w:qFormat/>
    <w:uiPriority w:val="0"/>
    <w:rPr>
      <w:b/>
      <w:color w:val="333333"/>
      <w:bdr w:val="single" w:color="E5E5E5" w:sz="6" w:space="0"/>
      <w:shd w:val="clear" w:color="auto" w:fill="F2F2F2"/>
    </w:rPr>
  </w:style>
  <w:style w:type="paragraph" w:customStyle="1" w:styleId="43">
    <w:name w:val="二级无"/>
    <w:basedOn w:val="44"/>
    <w:qFormat/>
    <w:uiPriority w:val="0"/>
    <w:pPr>
      <w:spacing w:beforeLines="0" w:afterLines="0"/>
    </w:pPr>
    <w:rPr>
      <w:rFonts w:ascii="宋体" w:eastAsia="宋体"/>
    </w:rPr>
  </w:style>
  <w:style w:type="paragraph" w:customStyle="1" w:styleId="44">
    <w:name w:val="二级条标题"/>
    <w:basedOn w:val="45"/>
    <w:next w:val="40"/>
    <w:qFormat/>
    <w:uiPriority w:val="0"/>
    <w:pPr>
      <w:numPr>
        <w:ilvl w:val="2"/>
        <w:numId w:val="2"/>
      </w:numPr>
      <w:spacing w:before="50" w:after="50"/>
      <w:outlineLvl w:val="3"/>
    </w:pPr>
  </w:style>
  <w:style w:type="paragraph" w:customStyle="1" w:styleId="45">
    <w:name w:val="一级条标题"/>
    <w:next w:val="1"/>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6">
    <w:name w:val="Body"/>
    <w:basedOn w:val="1"/>
    <w:qFormat/>
    <w:uiPriority w:val="99"/>
    <w:pPr>
      <w:numPr>
        <w:ilvl w:val="2"/>
        <w:numId w:val="3"/>
      </w:numPr>
      <w:tabs>
        <w:tab w:val="left" w:pos="3261"/>
      </w:tabs>
      <w:adjustRightInd w:val="0"/>
      <w:spacing w:line="360" w:lineRule="auto"/>
      <w:outlineLvl w:val="2"/>
    </w:pPr>
    <w:rPr>
      <w:rFonts w:ascii="Times New Roman" w:hAnsi="Times New Roman"/>
      <w:color w:val="000000"/>
      <w:sz w:val="24"/>
      <w:szCs w:val="20"/>
    </w:rPr>
  </w:style>
  <w:style w:type="paragraph" w:customStyle="1" w:styleId="47">
    <w:name w:val="Body Title"/>
    <w:basedOn w:val="1"/>
    <w:qFormat/>
    <w:uiPriority w:val="99"/>
    <w:pPr>
      <w:numPr>
        <w:ilvl w:val="2"/>
        <w:numId w:val="4"/>
      </w:numPr>
      <w:tabs>
        <w:tab w:val="left" w:pos="540"/>
        <w:tab w:val="left" w:pos="3261"/>
      </w:tabs>
      <w:adjustRightInd w:val="0"/>
      <w:spacing w:line="360" w:lineRule="auto"/>
      <w:outlineLvl w:val="2"/>
    </w:pPr>
    <w:rPr>
      <w:rFonts w:ascii="Times New Roman" w:hAnsi="Times New Roman"/>
      <w:b/>
      <w:color w:val="000000"/>
      <w:sz w:val="24"/>
      <w:szCs w:val="20"/>
    </w:rPr>
  </w:style>
  <w:style w:type="character" w:customStyle="1" w:styleId="48">
    <w:name w:val="more"/>
    <w:basedOn w:val="21"/>
    <w:qFormat/>
    <w:uiPriority w:val="0"/>
    <w:rPr>
      <w:sz w:val="18"/>
      <w:szCs w:val="18"/>
    </w:rPr>
  </w:style>
  <w:style w:type="character" w:customStyle="1" w:styleId="49">
    <w:name w:val="more1"/>
    <w:basedOn w:val="21"/>
    <w:qFormat/>
    <w:uiPriority w:val="0"/>
  </w:style>
  <w:style w:type="character" w:customStyle="1" w:styleId="50">
    <w:name w:val="layui-laypage-curr"/>
    <w:basedOn w:val="21"/>
    <w:qFormat/>
    <w:uiPriority w:val="0"/>
  </w:style>
  <w:style w:type="character" w:customStyle="1" w:styleId="51">
    <w:name w:val="layui-this"/>
    <w:basedOn w:val="21"/>
    <w:qFormat/>
    <w:uiPriority w:val="0"/>
    <w:rPr>
      <w:bdr w:val="single" w:color="EEEEEE" w:sz="6" w:space="0"/>
      <w:shd w:val="clear" w:fill="FFFFFF"/>
    </w:rPr>
  </w:style>
  <w:style w:type="character" w:customStyle="1" w:styleId="52">
    <w:name w:val="hover14"/>
    <w:basedOn w:val="21"/>
    <w:qFormat/>
    <w:uiPriority w:val="0"/>
    <w:rPr>
      <w:color w:val="5FB878"/>
    </w:rPr>
  </w:style>
  <w:style w:type="character" w:customStyle="1" w:styleId="53">
    <w:name w:val="hover15"/>
    <w:basedOn w:val="21"/>
    <w:qFormat/>
    <w:uiPriority w:val="0"/>
    <w:rPr>
      <w:color w:val="FFFFFF"/>
    </w:rPr>
  </w:style>
  <w:style w:type="character" w:customStyle="1" w:styleId="54">
    <w:name w:val="hover16"/>
    <w:basedOn w:val="21"/>
    <w:qFormat/>
    <w:uiPriority w:val="0"/>
    <w:rPr>
      <w:color w:val="5FB878"/>
    </w:rPr>
  </w:style>
  <w:style w:type="character" w:customStyle="1" w:styleId="55">
    <w:name w:val="first-child"/>
    <w:basedOn w:val="21"/>
    <w:qFormat/>
    <w:uiPriority w:val="0"/>
  </w:style>
  <w:style w:type="paragraph" w:customStyle="1" w:styleId="56">
    <w:name w:val="附录标识"/>
    <w:basedOn w:val="1"/>
    <w:qFormat/>
    <w:uiPriority w:val="0"/>
    <w:pPr>
      <w:widowControl/>
      <w:numPr>
        <w:ilvl w:val="0"/>
        <w:numId w:val="5"/>
      </w:numPr>
      <w:shd w:val="clear" w:color="FFFFFF" w:fill="FFFFFF"/>
      <w:tabs>
        <w:tab w:val="left" w:pos="6405"/>
      </w:tabs>
      <w:spacing w:before="640" w:after="200"/>
      <w:jc w:val="center"/>
      <w:outlineLvl w:val="0"/>
    </w:pPr>
    <w:rPr>
      <w:rFonts w:ascii="黑体" w:eastAsia="黑体"/>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5.wmf"/><Relationship Id="rId22" Type="http://schemas.openxmlformats.org/officeDocument/2006/relationships/oleObject" Target="embeddings/oleObject4.bin"/><Relationship Id="rId21" Type="http://schemas.openxmlformats.org/officeDocument/2006/relationships/image" Target="media/image4.w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oleObject" Target="embeddings/oleObject2.bin"/><Relationship Id="rId17" Type="http://schemas.openxmlformats.org/officeDocument/2006/relationships/image" Target="media/image2.wmf"/><Relationship Id="rId16" Type="http://schemas.openxmlformats.org/officeDocument/2006/relationships/oleObject" Target="embeddings/oleObject1.bin"/><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79" textRotate="1"/>
    <customShpInfo spid="_x0000_s2071" textRotate="1"/>
    <customShpInfo spid="_x0000_s2057" textRotate="1"/>
    <customShpInfo spid="_x0000_s2102" textRotate="1"/>
    <customShpInfo spid="_x0000_s2103" textRotate="1"/>
    <customShpInfo spid="_x0000_s2104" textRotate="1"/>
    <customShpInfo spid="_x0000_s2086" textRotate="1"/>
    <customShpInfo spid="_x0000_s2087" textRotate="1"/>
    <customShpInfo spid="_x0000_s2088" textRotate="1"/>
    <customShpInfo spid="_x0000_s2083" textRotate="1"/>
    <customShpInfo spid="_x0000_s2084" textRotate="1"/>
    <customShpInfo spid="_x0000_s2085" textRotate="1"/>
    <customShpInfo spid="_x0000_s2080" textRotate="1"/>
    <customShpInfo spid="_x0000_s2072" textRotate="1"/>
    <customShpInfo spid="_x0000_s2073"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B421F2-B872-4F37-B5B7-35FC97EDA28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9479</Words>
  <Characters>11433</Characters>
  <Lines>159</Lines>
  <Paragraphs>44</Paragraphs>
  <TotalTime>12</TotalTime>
  <ScaleCrop>false</ScaleCrop>
  <LinksUpToDate>false</LinksUpToDate>
  <CharactersWithSpaces>17128</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2019-04-16T09:29:00Z</dcterms:created>
  <dc:creator>抬头看那抹阳光</dc:creator>
  <cp:lastModifiedBy>贺鸿珠</cp:lastModifiedBy>
  <cp:lastPrinted>2024-06-20T01:26:00Z</cp:lastPrinted>
  <dcterms:modified xsi:type="dcterms:W3CDTF">2024-08-14T14:18:37Z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287A25099BE84CE6A2FFC5A398EC59F4</vt:lpwstr>
  </property>
</Properties>
</file>