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4248BC">
      <w:pPr>
        <w:pStyle w:val="106"/>
        <w:rPr>
          <w:rFonts w:hint="eastAsia" w:hAnsi="黑体"/>
          <w:color w:val="auto"/>
        </w:rPr>
      </w:pPr>
      <w:r>
        <w:rPr>
          <w:rFonts w:hAnsi="黑体"/>
          <w:color w:val="auto"/>
        </w:rPr>
        <w:t>T/CECS 1000X—</w:t>
      </w:r>
      <w:bookmarkStart w:id="0" w:name="StdNo2"/>
      <w:r>
        <w:rPr>
          <w:rFonts w:hAnsi="黑体"/>
          <w:color w:val="auto"/>
        </w:rPr>
        <w:fldChar w:fldCharType="begin">
          <w:ffData>
            <w:name w:val="StdNo2"/>
            <w:enabled/>
            <w:calcOnExit w:val="0"/>
            <w:textInput>
              <w:default w:val="XXXX"/>
              <w:maxLength w:val="4"/>
            </w:textInput>
          </w:ffData>
        </w:fldChar>
      </w:r>
      <w:r>
        <w:rPr>
          <w:rFonts w:hAnsi="黑体"/>
          <w:color w:val="auto"/>
        </w:rPr>
        <w:instrText xml:space="preserve"> FORMTEXT </w:instrText>
      </w:r>
      <w:r>
        <w:rPr>
          <w:rFonts w:hAnsi="黑体"/>
          <w:color w:val="auto"/>
        </w:rPr>
        <w:fldChar w:fldCharType="separate"/>
      </w:r>
      <w:r>
        <w:rPr>
          <w:rFonts w:hint="eastAsia" w:hAnsi="黑体"/>
          <w:color w:val="auto"/>
        </w:rPr>
        <w:t>    </w:t>
      </w:r>
      <w:r>
        <w:rPr>
          <w:rFonts w:hAnsi="黑体"/>
          <w:color w:val="auto"/>
        </w:rPr>
        <w:fldChar w:fldCharType="end"/>
      </w:r>
      <w:bookmarkEnd w:id="0"/>
    </w:p>
    <w:tbl>
      <w:tblPr>
        <w:tblStyle w:val="34"/>
        <w:tblW w:w="18712"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14:paraId="1491F4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1FECFE8F">
            <w:pPr>
              <w:pStyle w:val="88"/>
              <w:rPr>
                <w:color w:val="auto"/>
              </w:rPr>
            </w:pPr>
            <w:bookmarkStart w:id="1" w:name="DT"/>
            <w:r>
              <w:rPr>
                <w:color w:val="auto"/>
              </w:rPr>
              <mc:AlternateContent>
                <mc:Choice Requires="wps">
                  <w:drawing>
                    <wp:anchor distT="0" distB="0" distL="114300" distR="114300" simplePos="0" relativeHeight="251665408" behindDoc="1" locked="0" layoutInCell="1" allowOverlap="1">
                      <wp:simplePos x="0" y="0"/>
                      <wp:positionH relativeFrom="column">
                        <wp:posOffset>4734560</wp:posOffset>
                      </wp:positionH>
                      <wp:positionV relativeFrom="paragraph">
                        <wp:posOffset>34290</wp:posOffset>
                      </wp:positionV>
                      <wp:extent cx="1143000" cy="228600"/>
                      <wp:effectExtent l="0" t="0" r="381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107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ID0rnsJAgAAIAQAAA4AAAAAAAAAAQAgAAAA&#10;JQEAAGRycy9lMm9Eb2MueG1sUEsFBgAAAAAGAAYAWQEAAKAFAAAAAA==&#10;">
                      <v:fill on="t" focussize="0,0"/>
                      <v:stroke on="f"/>
                      <v:imagedata o:title=""/>
                      <o:lock v:ext="edit" aspectratio="f"/>
                    </v:rect>
                  </w:pict>
                </mc:Fallback>
              </mc:AlternateContent>
            </w:r>
            <w:bookmarkEnd w:id="1"/>
          </w:p>
        </w:tc>
        <w:tc>
          <w:tcPr>
            <w:tcW w:w="9356" w:type="dxa"/>
            <w:tcBorders>
              <w:top w:val="nil"/>
              <w:left w:val="nil"/>
              <w:bottom w:val="nil"/>
              <w:right w:val="nil"/>
            </w:tcBorders>
          </w:tcPr>
          <w:p w14:paraId="61EE7882">
            <w:pPr>
              <w:pStyle w:val="88"/>
              <w:rPr>
                <w:color w:val="auto"/>
              </w:rPr>
            </w:pPr>
          </w:p>
        </w:tc>
      </w:tr>
    </w:tbl>
    <w:p w14:paraId="3E688987">
      <w:pPr>
        <w:pStyle w:val="106"/>
        <w:rPr>
          <w:rFonts w:hint="eastAsia" w:hAnsi="黑体"/>
          <w:color w:val="auto"/>
        </w:rPr>
      </w:pPr>
    </w:p>
    <w:p w14:paraId="4B70D6F6">
      <w:pPr>
        <w:pStyle w:val="106"/>
        <w:rPr>
          <w:rFonts w:hint="eastAsia" w:hAnsi="黑体"/>
          <w:color w:val="auto"/>
        </w:rPr>
      </w:pPr>
    </w:p>
    <w:p w14:paraId="42F369D1">
      <w:pPr>
        <w:pStyle w:val="71"/>
        <w:rPr>
          <w:color w:val="auto"/>
          <w:sz w:val="44"/>
          <w:szCs w:val="44"/>
        </w:rPr>
      </w:pPr>
      <w:r>
        <w:rPr>
          <w:rFonts w:hint="eastAsia"/>
          <w:color w:val="auto"/>
          <w:sz w:val="44"/>
          <w:szCs w:val="44"/>
        </w:rPr>
        <w:t>绿色建材评价  铝合金衬塑复合管材与管件</w:t>
      </w:r>
    </w:p>
    <w:p w14:paraId="0F2F5796">
      <w:pPr>
        <w:pStyle w:val="70"/>
        <w:rPr>
          <w:color w:val="auto"/>
        </w:rPr>
      </w:pPr>
      <w:r>
        <w:rPr>
          <w:rFonts w:hint="eastAsia"/>
          <w:color w:val="auto"/>
        </w:rPr>
        <w:t>G</w:t>
      </w:r>
      <w:r>
        <w:rPr>
          <w:color w:val="auto"/>
        </w:rPr>
        <w:t>reen building material</w:t>
      </w:r>
      <w:r>
        <w:rPr>
          <w:rFonts w:hint="eastAsia"/>
          <w:color w:val="auto"/>
        </w:rPr>
        <w:t xml:space="preserve"> a</w:t>
      </w:r>
      <w:r>
        <w:rPr>
          <w:color w:val="auto"/>
        </w:rPr>
        <w:t>ssessment—</w:t>
      </w:r>
      <w:r>
        <w:rPr>
          <w:rFonts w:hint="eastAsia"/>
          <w:color w:val="auto"/>
        </w:rPr>
        <w:t>Al</w:t>
      </w:r>
      <w:r>
        <w:rPr>
          <w:color w:val="auto"/>
        </w:rPr>
        <w:t>uminum alloy lining plastics pipes and fittings</w:t>
      </w:r>
    </w:p>
    <w:p w14:paraId="263FD51C">
      <w:pPr>
        <w:pStyle w:val="69"/>
        <w:rPr>
          <w:rFonts w:hint="eastAsia" w:eastAsia="宋体"/>
          <w:color w:val="auto"/>
          <w:lang w:eastAsia="zh-CN"/>
        </w:rPr>
      </w:pPr>
      <w:r>
        <w:rPr>
          <w:rFonts w:hint="eastAsia"/>
          <w:color w:val="auto"/>
          <w:lang w:eastAsia="zh-CN"/>
        </w:rPr>
        <w:t>（征求意见稿）</w:t>
      </w:r>
    </w:p>
    <w:tbl>
      <w:tblPr>
        <w:tblStyle w:val="34"/>
        <w:tblW w:w="9855"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06DF71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79DF4ED0">
            <w:pPr>
              <w:pStyle w:val="102"/>
              <w:rPr>
                <w:color w:val="auto"/>
              </w:rPr>
            </w:pPr>
            <w:r>
              <w:rPr>
                <w:color w:val="auto"/>
              </w:rPr>
              <mc:AlternateContent>
                <mc:Choice Requires="wps">
                  <w:drawing>
                    <wp:anchor distT="0" distB="0" distL="114300" distR="114300" simplePos="0" relativeHeight="251664384" behindDoc="1" locked="1" layoutInCell="1" allowOverlap="1">
                      <wp:simplePos x="0" y="0"/>
                      <wp:positionH relativeFrom="column">
                        <wp:posOffset>2200910</wp:posOffset>
                      </wp:positionH>
                      <wp:positionV relativeFrom="paragraph">
                        <wp:posOffset>573405</wp:posOffset>
                      </wp:positionV>
                      <wp:extent cx="1905000" cy="254000"/>
                      <wp:effectExtent l="0" t="0" r="3810" b="3175"/>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2096;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xLv7Q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O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SxLv7QkCAAAgBAAADgAAAAAAAAABACAAAAAk&#10;AQAAZHJzL2Uyb0RvYy54bWxQSwUGAAAAAAYABgBZAQAAnwUAAAAA&#10;">
                      <v:fill on="t" focussize="0,0"/>
                      <v:stroke on="f"/>
                      <v:imagedata o:title=""/>
                      <o:lock v:ext="edit" aspectratio="f"/>
                      <w10:anchorlock/>
                    </v:rect>
                  </w:pict>
                </mc:Fallback>
              </mc:AlternateContent>
            </w:r>
            <w:r>
              <w:rPr>
                <w:color w:val="auto"/>
              </w:rPr>
              <mc:AlternateContent>
                <mc:Choice Requires="wps">
                  <w:drawing>
                    <wp:anchor distT="0" distB="0" distL="114300" distR="114300" simplePos="0" relativeHeight="251663360" behindDoc="1" locked="1" layoutInCell="1" allowOverlap="1">
                      <wp:simplePos x="0" y="0"/>
                      <wp:positionH relativeFrom="column">
                        <wp:posOffset>2454910</wp:posOffset>
                      </wp:positionH>
                      <wp:positionV relativeFrom="paragraph">
                        <wp:posOffset>255905</wp:posOffset>
                      </wp:positionV>
                      <wp:extent cx="1270000" cy="304800"/>
                      <wp:effectExtent l="2540" t="0" r="3810" b="3175"/>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3120;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gKh3U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F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qAqHdQgCAAAgBAAADgAAAAAAAAABACAAAAAl&#10;AQAAZHJzL2Uyb0RvYy54bWxQSwUGAAAAAAYABgBZAQAAnwUAAAAA&#10;">
                      <v:fill on="t" focussize="0,0"/>
                      <v:stroke on="f"/>
                      <v:imagedata o:title=""/>
                      <o:lock v:ext="edit" aspectratio="f"/>
                      <w10:anchorlock/>
                    </v:rect>
                  </w:pict>
                </mc:Fallback>
              </mc:AlternateContent>
            </w:r>
            <w:r>
              <w:rPr>
                <w:color w:val="auto"/>
              </w:rPr>
              <w:t xml:space="preserve"> </w:t>
            </w:r>
          </w:p>
        </w:tc>
      </w:tr>
      <w:tr w14:paraId="110E5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4520A95E">
            <w:pPr>
              <w:pStyle w:val="101"/>
              <w:rPr>
                <w:color w:val="auto"/>
              </w:rPr>
            </w:pPr>
          </w:p>
        </w:tc>
      </w:tr>
    </w:tbl>
    <w:p w14:paraId="6D8BE354">
      <w:pPr>
        <w:pStyle w:val="122"/>
        <w:framePr w:hAnchor="page" w:x="1454" w:y="14138"/>
        <w:rPr>
          <w:color w:val="auto"/>
        </w:rPr>
      </w:pPr>
      <w:bookmarkStart w:id="2" w:name="FY"/>
      <w:r>
        <w:rPr>
          <w:rFonts w:ascii="黑体"/>
          <w:color w:val="auto"/>
        </w:rPr>
        <w:fldChar w:fldCharType="begin">
          <w:ffData>
            <w:name w:val="FY"/>
            <w:enabled/>
            <w:calcOnExit w:val="0"/>
            <w:entryMacro w:val="ShowHelp8"/>
            <w:textInput>
              <w:default w:val="XXXX"/>
              <w:maxLength w:val="4"/>
            </w:textInput>
          </w:ffData>
        </w:fldChar>
      </w:r>
      <w:r>
        <w:rPr>
          <w:rFonts w:ascii="黑体"/>
          <w:color w:val="auto"/>
        </w:rPr>
        <w:instrText xml:space="preserve"> FORMTEXT </w:instrText>
      </w:r>
      <w:r>
        <w:rPr>
          <w:rFonts w:ascii="黑体"/>
          <w:color w:val="auto"/>
        </w:rPr>
        <w:fldChar w:fldCharType="separate"/>
      </w:r>
      <w:r>
        <w:rPr>
          <w:rFonts w:ascii="黑体"/>
          <w:color w:val="auto"/>
        </w:rPr>
        <w:t>XXXX</w:t>
      </w:r>
      <w:r>
        <w:rPr>
          <w:rFonts w:ascii="黑体"/>
          <w:color w:val="auto"/>
        </w:rPr>
        <w:fldChar w:fldCharType="end"/>
      </w:r>
      <w:bookmarkEnd w:id="2"/>
      <w:r>
        <w:rPr>
          <w:color w:val="auto"/>
        </w:rPr>
        <w:t xml:space="preserve"> </w:t>
      </w:r>
      <w:r>
        <w:rPr>
          <w:rFonts w:ascii="黑体"/>
          <w:color w:val="auto"/>
        </w:rPr>
        <w:t>-</w:t>
      </w:r>
      <w:r>
        <w:rPr>
          <w:color w:val="auto"/>
        </w:rPr>
        <w:t xml:space="preserve"> </w:t>
      </w:r>
      <w:r>
        <w:rPr>
          <w:rFonts w:ascii="黑体"/>
          <w:color w:val="auto"/>
        </w:rPr>
        <w:fldChar w:fldCharType="begin">
          <w:ffData>
            <w:name w:val="FM"/>
            <w:enabled/>
            <w:calcOnExit w:val="0"/>
            <w:entryMacro w:val="ShowHelp8"/>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r>
        <w:rPr>
          <w:color w:val="auto"/>
        </w:rPr>
        <w:t xml:space="preserve"> </w:t>
      </w:r>
      <w:r>
        <w:rPr>
          <w:rFonts w:ascii="黑体"/>
          <w:color w:val="auto"/>
        </w:rPr>
        <w:t>-</w:t>
      </w:r>
      <w:r>
        <w:rPr>
          <w:color w:val="auto"/>
        </w:rPr>
        <w:t xml:space="preserve"> </w:t>
      </w:r>
      <w:bookmarkStart w:id="3" w:name="FD"/>
      <w:r>
        <w:rPr>
          <w:rFonts w:ascii="黑体"/>
          <w:color w:val="auto"/>
        </w:rPr>
        <w:fldChar w:fldCharType="begin">
          <w:ffData>
            <w:name w:val="FD"/>
            <w:enabled/>
            <w:calcOnExit w:val="0"/>
            <w:entryMacro w:val="ShowHelp8"/>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3"/>
      <w:r>
        <w:rPr>
          <w:rFonts w:hint="eastAsia"/>
          <w:color w:val="auto"/>
        </w:rPr>
        <w:t>发布</w:t>
      </w:r>
      <w:r>
        <w:rPr>
          <w:color w:val="auto"/>
        </w:rPr>
        <mc:AlternateContent>
          <mc:Choice Requires="wps">
            <w:drawing>
              <wp:anchor distT="0" distB="0" distL="114300" distR="114300" simplePos="0" relativeHeight="251660288" behindDoc="0" locked="1" layoutInCell="1" allowOverlap="1">
                <wp:simplePos x="0" y="0"/>
                <wp:positionH relativeFrom="column">
                  <wp:posOffset>-635</wp:posOffset>
                </wp:positionH>
                <wp:positionV relativeFrom="page">
                  <wp:posOffset>9251950</wp:posOffset>
                </wp:positionV>
                <wp:extent cx="6120130" cy="0"/>
                <wp:effectExtent l="7620" t="12700" r="6350" b="6350"/>
                <wp:wrapNone/>
                <wp:docPr id="3" name="Line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0.05pt;margin-top:728.5pt;height:0pt;width:481.9pt;mso-position-vertical-relative:page;z-index:251660288;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WHazzWAAAACwEAAA8AAAAAAAAAAQAgAAAAIgAAAGRycy9kb3du&#10;cmV2LnhtbFBLAQIUABQAAAAIAIdO4kBw1QfZyAEAAJ8DAAAOAAAAAAAAAAEAIAAAACUBAABkcnMv&#10;ZTJvRG9jLnhtbFBLBQYAAAAABgAGAFkBAABfBQAAAAA=&#10;">
                <v:fill on="f" focussize="0,0"/>
                <v:stroke color="#000000" joinstyle="round"/>
                <v:imagedata o:title=""/>
                <o:lock v:ext="edit" aspectratio="f"/>
                <w10:anchorlock/>
              </v:line>
            </w:pict>
          </mc:Fallback>
        </mc:AlternateContent>
      </w:r>
    </w:p>
    <w:p w14:paraId="2A9D11B1">
      <w:pPr>
        <w:pStyle w:val="147"/>
        <w:framePr w:hAnchor="page" w:x="7051" w:y="14113"/>
        <w:rPr>
          <w:color w:val="auto"/>
        </w:rPr>
      </w:pPr>
      <w:bookmarkStart w:id="4" w:name="SY"/>
      <w:r>
        <w:rPr>
          <w:rFonts w:ascii="黑体"/>
          <w:color w:val="auto"/>
        </w:rPr>
        <w:fldChar w:fldCharType="begin">
          <w:ffData>
            <w:name w:val="SY"/>
            <w:enabled/>
            <w:calcOnExit w:val="0"/>
            <w:entryMacro w:val="ShowHelp9"/>
            <w:textInput>
              <w:default w:val="XXXX"/>
              <w:maxLength w:val="4"/>
            </w:textInput>
          </w:ffData>
        </w:fldChar>
      </w:r>
      <w:r>
        <w:rPr>
          <w:rFonts w:ascii="黑体"/>
          <w:color w:val="auto"/>
        </w:rPr>
        <w:instrText xml:space="preserve"> FORMTEXT </w:instrText>
      </w:r>
      <w:r>
        <w:rPr>
          <w:rFonts w:ascii="黑体"/>
          <w:color w:val="auto"/>
        </w:rPr>
        <w:fldChar w:fldCharType="separate"/>
      </w:r>
      <w:r>
        <w:rPr>
          <w:rFonts w:ascii="黑体"/>
          <w:color w:val="auto"/>
        </w:rPr>
        <w:t>XXXX</w:t>
      </w:r>
      <w:r>
        <w:rPr>
          <w:rFonts w:ascii="黑体"/>
          <w:color w:val="auto"/>
        </w:rPr>
        <w:fldChar w:fldCharType="end"/>
      </w:r>
      <w:bookmarkEnd w:id="4"/>
      <w:r>
        <w:rPr>
          <w:color w:val="auto"/>
        </w:rPr>
        <w:t xml:space="preserve"> </w:t>
      </w:r>
      <w:r>
        <w:rPr>
          <w:rFonts w:ascii="黑体"/>
          <w:color w:val="auto"/>
        </w:rPr>
        <w:t>-</w:t>
      </w:r>
      <w:r>
        <w:rPr>
          <w:color w:val="auto"/>
        </w:rPr>
        <w:t xml:space="preserve"> </w:t>
      </w:r>
      <w:bookmarkStart w:id="5" w:name="SM"/>
      <w:r>
        <w:rPr>
          <w:rFonts w:ascii="黑体"/>
          <w:color w:val="auto"/>
        </w:rPr>
        <w:fldChar w:fldCharType="begin">
          <w:ffData>
            <w:name w:val="SM"/>
            <w:enabled/>
            <w:calcOnExit w:val="0"/>
            <w:entryMacro w:val="ShowHelp9"/>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5"/>
      <w:r>
        <w:rPr>
          <w:color w:val="auto"/>
        </w:rPr>
        <w:t xml:space="preserve"> </w:t>
      </w:r>
      <w:r>
        <w:rPr>
          <w:rFonts w:ascii="黑体"/>
          <w:color w:val="auto"/>
        </w:rPr>
        <w:t>-</w:t>
      </w:r>
      <w:r>
        <w:rPr>
          <w:color w:val="auto"/>
        </w:rPr>
        <w:t xml:space="preserve"> </w:t>
      </w:r>
      <w:bookmarkStart w:id="6" w:name="SD"/>
      <w:r>
        <w:rPr>
          <w:rFonts w:ascii="黑体"/>
          <w:color w:val="auto"/>
        </w:rPr>
        <w:fldChar w:fldCharType="begin">
          <w:ffData>
            <w:name w:val="SD"/>
            <w:enabled/>
            <w:calcOnExit w:val="0"/>
            <w:entryMacro w:val="ShowHelp9"/>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6"/>
      <w:r>
        <w:rPr>
          <w:rFonts w:hint="eastAsia"/>
          <w:color w:val="auto"/>
        </w:rPr>
        <w:t>实施</w:t>
      </w:r>
    </w:p>
    <w:p w14:paraId="66BC76A9">
      <w:pPr>
        <w:pStyle w:val="129"/>
        <w:rPr>
          <w:color w:val="auto"/>
        </w:rPr>
      </w:pPr>
      <w:r>
        <w:rPr>
          <w:rFonts w:hint="eastAsia"/>
          <w:color w:val="auto"/>
        </w:rPr>
        <w:t>中国工程建设标准化协会</w:t>
      </w:r>
      <w:r>
        <w:rPr>
          <w:rFonts w:hint="eastAsia" w:ascii="MS Mincho" w:hAnsi="MS Mincho" w:eastAsia="MS Mincho" w:cs="MS Mincho"/>
          <w:color w:val="auto"/>
        </w:rPr>
        <w:t>   </w:t>
      </w:r>
      <w:r>
        <w:rPr>
          <w:rStyle w:val="55"/>
          <w:rFonts w:hint="eastAsia"/>
          <w:color w:val="auto"/>
          <w:szCs w:val="28"/>
        </w:rPr>
        <w:t>发布</w:t>
      </w:r>
    </w:p>
    <w:p w14:paraId="72B101E7">
      <w:pPr>
        <w:pStyle w:val="89"/>
        <w:keepNext w:val="0"/>
        <w:keepLines w:val="0"/>
        <w:pageBreakBefore w:val="0"/>
        <w:framePr w:h="2024" w:hRule="exact" w:vAnchor="page" w:hAnchor="page" w:x="8714" w:y="980"/>
        <w:widowControl/>
        <w:kinsoku/>
        <w:wordWrap/>
        <w:overflowPunct/>
        <w:topLinePunct w:val="0"/>
        <w:autoSpaceDE/>
        <w:autoSpaceDN/>
        <w:bidi w:val="0"/>
        <w:adjustRightInd/>
        <w:snapToGrid/>
        <w:jc w:val="center"/>
        <w:textAlignment w:val="auto"/>
        <w:rPr>
          <w:rFonts w:ascii="黑体" w:hAnsi="黑体" w:eastAsia="黑体"/>
          <w:sz w:val="144"/>
          <w:szCs w:val="144"/>
        </w:rPr>
      </w:pPr>
      <w:r>
        <w:rPr>
          <w:rFonts w:ascii="黑体" w:hAnsi="黑体" w:eastAsia="黑体"/>
          <w:sz w:val="144"/>
          <w:szCs w:val="144"/>
        </w:rPr>
        <w:t>T</w:t>
      </w:r>
    </w:p>
    <w:p w14:paraId="3333FCB9">
      <w:pPr>
        <w:pStyle w:val="25"/>
        <w:rPr>
          <w:color w:val="auto"/>
        </w:rPr>
        <w:sectPr>
          <w:headerReference r:id="rId3" w:type="default"/>
          <w:footerReference r:id="rId4" w:type="default"/>
          <w:pgSz w:w="11906" w:h="16838"/>
          <w:pgMar w:top="1417" w:right="1134" w:bottom="1134" w:left="1418" w:header="0" w:footer="0" w:gutter="0"/>
          <w:pgNumType w:start="1"/>
          <w:cols w:space="720" w:num="1"/>
          <w:docGrid w:type="lines" w:linePitch="312" w:charSpace="0"/>
        </w:sectPr>
      </w:pPr>
      <w:r>
        <w:rPr>
          <w:color w:val="auto"/>
        </w:rPr>
        <mc:AlternateContent>
          <mc:Choice Requires="wps">
            <w:drawing>
              <wp:anchor distT="0" distB="0" distL="114300" distR="114300" simplePos="0" relativeHeight="251662336" behindDoc="0" locked="1" layoutInCell="1" allowOverlap="1">
                <wp:simplePos x="0" y="0"/>
                <wp:positionH relativeFrom="column">
                  <wp:posOffset>7620</wp:posOffset>
                </wp:positionH>
                <wp:positionV relativeFrom="paragraph">
                  <wp:posOffset>979170</wp:posOffset>
                </wp:positionV>
                <wp:extent cx="6119495" cy="695325"/>
                <wp:effectExtent l="12700" t="5715" r="11430" b="13335"/>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14:paraId="26213163">
                            <w:pPr>
                              <w:jc w:val="distribute"/>
                              <w:rPr>
                                <w:rFonts w:hint="eastAsia"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anchor>
            </w:drawing>
          </mc:Choice>
          <mc:Fallback>
            <w:pict>
              <v:shape id="Text Box 7" o:spid="_x0000_s1026" o:spt="202" type="#_x0000_t202" style="position:absolute;left:0pt;margin-left:0.6pt;margin-top:77.1pt;height:54.75pt;width:481.85pt;z-index:251662336;mso-width-relative:page;mso-height-relative:page;" fillcolor="#FFFFFF" filled="t" stroked="t" coordsize="21600,21600" o:gfxdata="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3NfiPZAAAACQEAAA8AAAAAAAAAAQAgAAAAIgAAAGRycy9kb3ducmV2LnhtbFBLAQIU&#10;ABQAAAAIAIdO4kAcRxoMKwIAAIYEAAAOAAAAAAAAAAEAIAAAACgBAABkcnMvZTJvRG9jLnhtbFBL&#10;BQYAAAAABgAGAFkBAADFBQAAAAA=&#10;">
                <v:fill on="t" focussize="0,0"/>
                <v:stroke color="#FFFFFF" miterlimit="8" joinstyle="miter"/>
                <v:imagedata o:title=""/>
                <o:lock v:ext="edit" aspectratio="f"/>
                <v:textbox style="mso-fit-shape-to-text:t;">
                  <w:txbxContent>
                    <w:p w14:paraId="26213163">
                      <w:pPr>
                        <w:jc w:val="distribute"/>
                        <w:rPr>
                          <w:rFonts w:hint="eastAsia" w:ascii="黑体" w:hAnsi="黑体" w:eastAsia="黑体"/>
                          <w:sz w:val="72"/>
                          <w:szCs w:val="72"/>
                        </w:rPr>
                      </w:pPr>
                      <w:r>
                        <w:rPr>
                          <w:rFonts w:hint="eastAsia" w:ascii="黑体" w:hAnsi="黑体" w:eastAsia="黑体"/>
                          <w:sz w:val="72"/>
                          <w:szCs w:val="72"/>
                        </w:rPr>
                        <w:t>团体标准</w:t>
                      </w:r>
                    </w:p>
                  </w:txbxContent>
                </v:textbox>
                <w10:anchorlock/>
              </v:shape>
            </w:pict>
          </mc:Fallback>
        </mc:AlternateContent>
      </w:r>
      <w:r>
        <w:rPr>
          <w:color w:val="auto"/>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ragraph">
                  <wp:posOffset>2339975</wp:posOffset>
                </wp:positionV>
                <wp:extent cx="6120130" cy="0"/>
                <wp:effectExtent l="13970" t="13970" r="9525" b="5080"/>
                <wp:wrapNone/>
                <wp:docPr id="1" name="Line 8"/>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0.05pt;margin-top:184.25pt;height:0pt;width:481.9pt;z-index:251661312;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QeJf1wAAAAkBAAAPAAAAAAAAAAEAIAAAACIAAABkcnMvZG93&#10;bnJldi54bWxQSwECFAAUAAAACACHTuJA3LobEcgBAACfAwAADgAAAAAAAAABACAAAAAmAQAAZHJz&#10;L2Uyb0RvYy54bWxQSwUGAAAAAAYABgBZAQAAYAUAAAAA&#10;">
                <v:fill on="f" focussize="0,0"/>
                <v:stroke color="#000000" joinstyle="round"/>
                <v:imagedata o:title=""/>
                <o:lock v:ext="edit" aspectratio="f"/>
                <w10:anchorlock/>
              </v:line>
            </w:pict>
          </mc:Fallback>
        </mc:AlternateContent>
      </w:r>
    </w:p>
    <w:p w14:paraId="7B6ADAF0">
      <w:pPr>
        <w:pStyle w:val="150"/>
        <w:jc w:val="center"/>
        <w:rPr>
          <w:rFonts w:ascii="Times New Roman" w:hAnsi="Times New Roman"/>
          <w:color w:val="auto"/>
        </w:rPr>
      </w:pPr>
      <w:r>
        <w:rPr>
          <w:rFonts w:hint="eastAsia" w:ascii="黑体" w:hAnsi="Times New Roman" w:eastAsia="黑体"/>
          <w:b w:val="0"/>
          <w:bCs w:val="0"/>
          <w:color w:val="auto"/>
          <w:sz w:val="32"/>
          <w:szCs w:val="20"/>
        </w:rPr>
        <w:t>目</w:t>
      </w:r>
      <w:r>
        <w:rPr>
          <w:rFonts w:ascii="黑体" w:hAnsi="Times New Roman" w:eastAsia="黑体"/>
          <w:b w:val="0"/>
          <w:bCs w:val="0"/>
          <w:color w:val="auto"/>
          <w:sz w:val="32"/>
          <w:szCs w:val="20"/>
        </w:rPr>
        <w:t xml:space="preserve">  </w:t>
      </w:r>
      <w:r>
        <w:rPr>
          <w:rFonts w:hint="eastAsia" w:ascii="黑体" w:hAnsi="Times New Roman" w:eastAsia="黑体"/>
          <w:b w:val="0"/>
          <w:bCs w:val="0"/>
          <w:color w:val="auto"/>
          <w:sz w:val="32"/>
          <w:szCs w:val="20"/>
        </w:rPr>
        <w:t>次</w:t>
      </w:r>
      <w:r>
        <w:rPr>
          <w:rFonts w:ascii="Times New Roman" w:hAnsi="Times New Roman"/>
          <w:color w:val="auto"/>
        </w:rPr>
        <w:fldChar w:fldCharType="begin"/>
      </w:r>
      <w:r>
        <w:rPr>
          <w:rFonts w:ascii="Times New Roman" w:hAnsi="Times New Roman"/>
          <w:color w:val="auto"/>
        </w:rPr>
        <w:instrText xml:space="preserve"> TOC \o "1-3" \h \z \u </w:instrText>
      </w:r>
      <w:r>
        <w:rPr>
          <w:rFonts w:ascii="Times New Roman" w:hAnsi="Times New Roman"/>
          <w:color w:val="auto"/>
        </w:rPr>
        <w:fldChar w:fldCharType="separate"/>
      </w:r>
    </w:p>
    <w:p w14:paraId="4D5E2079">
      <w:pPr>
        <w:pStyle w:val="21"/>
        <w:spacing w:before="78" w:after="78" w:line="276" w:lineRule="auto"/>
        <w:rPr>
          <w:rFonts w:ascii="Times New Roman"/>
          <w:color w:val="auto"/>
        </w:rPr>
      </w:pPr>
      <w:r>
        <w:rPr>
          <w:rFonts w:hint="eastAsia" w:asciiTheme="majorEastAsia" w:hAnsiTheme="majorEastAsia" w:eastAsiaTheme="majorEastAsia"/>
          <w:color w:val="auto"/>
        </w:rPr>
        <w:t>前言</w:t>
      </w:r>
      <w:r>
        <w:rPr>
          <w:rFonts w:ascii="Times New Roman"/>
          <w:color w:val="auto"/>
        </w:rPr>
        <w:tab/>
      </w:r>
      <w:r>
        <w:rPr>
          <w:rFonts w:ascii="Times New Roman"/>
          <w:color w:val="auto"/>
        </w:rPr>
        <w:fldChar w:fldCharType="begin"/>
      </w:r>
      <w:r>
        <w:rPr>
          <w:rFonts w:ascii="Times New Roman"/>
          <w:color w:val="auto"/>
        </w:rPr>
        <w:instrText xml:space="preserve"> = 2 \* ROMAN \* MERGEFORMAT </w:instrText>
      </w:r>
      <w:r>
        <w:rPr>
          <w:rFonts w:ascii="Times New Roman"/>
          <w:color w:val="auto"/>
        </w:rPr>
        <w:fldChar w:fldCharType="separate"/>
      </w:r>
      <w:r>
        <w:rPr>
          <w:rFonts w:ascii="Times New Roman"/>
          <w:color w:val="auto"/>
        </w:rPr>
        <w:t>II</w:t>
      </w:r>
      <w:r>
        <w:rPr>
          <w:rFonts w:ascii="Times New Roman"/>
          <w:color w:val="auto"/>
        </w:rPr>
        <w:fldChar w:fldCharType="end"/>
      </w:r>
    </w:p>
    <w:p w14:paraId="2F10A264">
      <w:pPr>
        <w:pStyle w:val="21"/>
        <w:spacing w:before="78" w:after="78"/>
        <w:rPr>
          <w:rFonts w:ascii="Times New Roman"/>
          <w:color w:val="auto"/>
          <w:szCs w:val="22"/>
        </w:rPr>
      </w:pPr>
      <w:r>
        <w:rPr>
          <w:rFonts w:ascii="Times New Roman"/>
          <w:color w:val="auto"/>
        </w:rPr>
        <w:t>1</w:t>
      </w:r>
      <w:r>
        <w:rPr>
          <w:color w:val="auto"/>
        </w:rPr>
        <w:fldChar w:fldCharType="begin"/>
      </w:r>
      <w:r>
        <w:rPr>
          <w:color w:val="auto"/>
        </w:rPr>
        <w:instrText xml:space="preserve"> HYPERLINK \l "_Toc532820946" </w:instrText>
      </w:r>
      <w:r>
        <w:rPr>
          <w:color w:val="auto"/>
        </w:rPr>
        <w:fldChar w:fldCharType="separate"/>
      </w:r>
      <w:r>
        <w:rPr>
          <w:rStyle w:val="40"/>
          <w:rFonts w:ascii="Times New Roman"/>
          <w:color w:val="auto"/>
        </w:rPr>
        <w:t xml:space="preserve"> 范围</w:t>
      </w:r>
      <w:r>
        <w:rPr>
          <w:rStyle w:val="40"/>
          <w:rFonts w:ascii="Times New Roman"/>
          <w:color w:val="auto"/>
        </w:rPr>
        <w:tab/>
      </w:r>
      <w:r>
        <w:rPr>
          <w:rStyle w:val="40"/>
          <w:rFonts w:ascii="Times New Roman"/>
          <w:color w:val="auto"/>
        </w:rPr>
        <w:fldChar w:fldCharType="end"/>
      </w:r>
    </w:p>
    <w:p w14:paraId="2C32A767">
      <w:pPr>
        <w:pStyle w:val="30"/>
        <w:rPr>
          <w:rFonts w:ascii="Times New Roman"/>
          <w:color w:val="auto"/>
          <w:szCs w:val="22"/>
        </w:rPr>
      </w:pPr>
      <w:r>
        <w:rPr>
          <w:color w:val="auto"/>
        </w:rPr>
        <w:fldChar w:fldCharType="begin"/>
      </w:r>
      <w:r>
        <w:rPr>
          <w:color w:val="auto"/>
        </w:rPr>
        <w:instrText xml:space="preserve"> HYPERLINK \l "_Toc532820947" </w:instrText>
      </w:r>
      <w:r>
        <w:rPr>
          <w:color w:val="auto"/>
        </w:rPr>
        <w:fldChar w:fldCharType="separate"/>
      </w:r>
      <w:r>
        <w:rPr>
          <w:rStyle w:val="40"/>
          <w:rFonts w:ascii="Times New Roman"/>
          <w:color w:val="auto"/>
        </w:rPr>
        <w:t>2 规范性引用文件</w:t>
      </w:r>
      <w:r>
        <w:rPr>
          <w:rFonts w:ascii="Times New Roman"/>
          <w:color w:val="auto"/>
        </w:rPr>
        <w:tab/>
      </w:r>
      <w:r>
        <w:rPr>
          <w:rFonts w:ascii="Times New Roman"/>
          <w:color w:val="auto"/>
        </w:rPr>
        <w:fldChar w:fldCharType="end"/>
      </w:r>
    </w:p>
    <w:p w14:paraId="2E4CE26D">
      <w:pPr>
        <w:pStyle w:val="30"/>
        <w:rPr>
          <w:rFonts w:ascii="Times New Roman"/>
          <w:color w:val="auto"/>
          <w:szCs w:val="22"/>
        </w:rPr>
      </w:pPr>
      <w:r>
        <w:rPr>
          <w:color w:val="auto"/>
        </w:rPr>
        <w:fldChar w:fldCharType="begin"/>
      </w:r>
      <w:r>
        <w:rPr>
          <w:color w:val="auto"/>
        </w:rPr>
        <w:instrText xml:space="preserve"> HYPERLINK \l "_Toc532820948" </w:instrText>
      </w:r>
      <w:r>
        <w:rPr>
          <w:color w:val="auto"/>
        </w:rPr>
        <w:fldChar w:fldCharType="separate"/>
      </w:r>
      <w:r>
        <w:rPr>
          <w:rStyle w:val="40"/>
          <w:rFonts w:ascii="Times New Roman"/>
          <w:bCs/>
          <w:color w:val="auto"/>
        </w:rPr>
        <w:t>3 术语和定义</w:t>
      </w:r>
      <w:r>
        <w:rPr>
          <w:rFonts w:ascii="Times New Roman"/>
          <w:color w:val="auto"/>
        </w:rPr>
        <w:tab/>
      </w:r>
      <w:r>
        <w:rPr>
          <w:rFonts w:ascii="Times New Roman"/>
          <w:color w:val="auto"/>
        </w:rPr>
        <w:fldChar w:fldCharType="end"/>
      </w:r>
    </w:p>
    <w:p w14:paraId="5697386D">
      <w:pPr>
        <w:pStyle w:val="30"/>
        <w:rPr>
          <w:rFonts w:ascii="Times New Roman"/>
          <w:color w:val="auto"/>
          <w:szCs w:val="22"/>
        </w:rPr>
      </w:pPr>
      <w:r>
        <w:rPr>
          <w:color w:val="auto"/>
        </w:rPr>
        <w:fldChar w:fldCharType="begin"/>
      </w:r>
      <w:r>
        <w:rPr>
          <w:color w:val="auto"/>
        </w:rPr>
        <w:instrText xml:space="preserve"> HYPERLINK \l "_Toc532820957" </w:instrText>
      </w:r>
      <w:r>
        <w:rPr>
          <w:color w:val="auto"/>
        </w:rPr>
        <w:fldChar w:fldCharType="separate"/>
      </w:r>
      <w:r>
        <w:rPr>
          <w:rStyle w:val="40"/>
          <w:rFonts w:ascii="Times New Roman"/>
          <w:bCs/>
          <w:color w:val="auto"/>
        </w:rPr>
        <w:t>4 评价要求</w:t>
      </w:r>
      <w:r>
        <w:rPr>
          <w:rFonts w:ascii="Times New Roman"/>
          <w:color w:val="auto"/>
        </w:rPr>
        <w:tab/>
      </w:r>
      <w:r>
        <w:rPr>
          <w:rFonts w:ascii="Times New Roman"/>
          <w:color w:val="auto"/>
        </w:rPr>
        <w:fldChar w:fldCharType="end"/>
      </w:r>
    </w:p>
    <w:p w14:paraId="025C9CB8">
      <w:pPr>
        <w:pStyle w:val="30"/>
        <w:rPr>
          <w:rFonts w:ascii="Times New Roman"/>
          <w:color w:val="auto"/>
          <w:szCs w:val="22"/>
        </w:rPr>
      </w:pPr>
      <w:r>
        <w:rPr>
          <w:color w:val="auto"/>
        </w:rPr>
        <w:fldChar w:fldCharType="begin"/>
      </w:r>
      <w:r>
        <w:rPr>
          <w:color w:val="auto"/>
        </w:rPr>
        <w:instrText xml:space="preserve"> HYPERLINK \l "_Toc532820960" </w:instrText>
      </w:r>
      <w:r>
        <w:rPr>
          <w:color w:val="auto"/>
        </w:rPr>
        <w:fldChar w:fldCharType="separate"/>
      </w:r>
      <w:r>
        <w:rPr>
          <w:rStyle w:val="40"/>
          <w:rFonts w:ascii="Times New Roman"/>
          <w:bCs/>
          <w:color w:val="auto"/>
        </w:rPr>
        <w:t>5 评价方法</w:t>
      </w:r>
      <w:r>
        <w:rPr>
          <w:rFonts w:ascii="Times New Roman"/>
          <w:color w:val="auto"/>
        </w:rPr>
        <w:tab/>
      </w:r>
      <w:r>
        <w:rPr>
          <w:rFonts w:ascii="Times New Roman"/>
          <w:color w:val="auto"/>
        </w:rPr>
        <w:fldChar w:fldCharType="end"/>
      </w:r>
    </w:p>
    <w:p w14:paraId="35F500A2">
      <w:pPr>
        <w:pStyle w:val="21"/>
        <w:spacing w:before="78" w:after="78"/>
        <w:rPr>
          <w:rFonts w:ascii="Times New Roman"/>
          <w:color w:val="auto"/>
        </w:rPr>
      </w:pPr>
      <w:r>
        <w:rPr>
          <w:color w:val="auto"/>
        </w:rPr>
        <w:fldChar w:fldCharType="begin"/>
      </w:r>
      <w:r>
        <w:rPr>
          <w:color w:val="auto"/>
        </w:rPr>
        <w:instrText xml:space="preserve"> HYPERLINK \l "_Toc532820969" </w:instrText>
      </w:r>
      <w:r>
        <w:rPr>
          <w:color w:val="auto"/>
        </w:rPr>
        <w:fldChar w:fldCharType="separate"/>
      </w:r>
      <w:r>
        <w:rPr>
          <w:rStyle w:val="40"/>
          <w:rFonts w:ascii="Times New Roman"/>
          <w:color w:val="auto"/>
        </w:rPr>
        <w:t>附录A（规范性）计算方法</w:t>
      </w:r>
      <w:r>
        <w:rPr>
          <w:rFonts w:ascii="Times New Roman"/>
          <w:color w:val="auto"/>
        </w:rPr>
        <w:tab/>
      </w:r>
      <w:r>
        <w:rPr>
          <w:rFonts w:ascii="Times New Roman"/>
          <w:color w:val="auto"/>
        </w:rPr>
        <w:fldChar w:fldCharType="end"/>
      </w:r>
      <w:r>
        <w:rPr>
          <w:rFonts w:ascii="Times New Roman"/>
          <w:color w:val="auto"/>
        </w:rPr>
        <w:fldChar w:fldCharType="end"/>
      </w:r>
    </w:p>
    <w:p w14:paraId="13260CC4">
      <w:pPr>
        <w:pStyle w:val="21"/>
        <w:spacing w:before="78" w:after="78"/>
        <w:rPr>
          <w:rFonts w:ascii="Times New Roman"/>
          <w:color w:val="auto"/>
        </w:rPr>
      </w:pPr>
      <w:r>
        <w:rPr>
          <w:rFonts w:ascii="Times New Roman"/>
          <w:color w:val="auto"/>
        </w:rPr>
        <w:br w:type="page"/>
      </w:r>
    </w:p>
    <w:p w14:paraId="35C47161">
      <w:pPr>
        <w:pStyle w:val="74"/>
        <w:rPr>
          <w:color w:val="auto"/>
        </w:rPr>
      </w:pPr>
      <w:bookmarkStart w:id="7" w:name="_Toc532820816"/>
      <w:bookmarkStart w:id="8" w:name="_Toc532820944"/>
      <w:bookmarkStart w:id="9" w:name="_Toc524004770"/>
      <w:r>
        <w:rPr>
          <w:rFonts w:hint="eastAsia"/>
          <w:color w:val="auto"/>
        </w:rPr>
        <w:t>前</w:t>
      </w:r>
      <w:bookmarkStart w:id="10" w:name="BKQY"/>
      <w:r>
        <w:rPr>
          <w:rFonts w:hint="eastAsia" w:ascii="MS Mincho" w:hAnsi="MS Mincho" w:eastAsia="MS Mincho" w:cs="MS Mincho"/>
          <w:color w:val="auto"/>
        </w:rPr>
        <w:t>  </w:t>
      </w:r>
      <w:r>
        <w:rPr>
          <w:rFonts w:hint="eastAsia"/>
          <w:color w:val="auto"/>
        </w:rPr>
        <w:t>言</w:t>
      </w:r>
      <w:bookmarkEnd w:id="7"/>
      <w:bookmarkEnd w:id="8"/>
      <w:bookmarkEnd w:id="9"/>
      <w:bookmarkEnd w:id="10"/>
    </w:p>
    <w:p w14:paraId="4C3E563A">
      <w:pPr>
        <w:ind w:firstLine="420" w:firstLineChars="200"/>
        <w:rPr>
          <w:color w:val="auto"/>
        </w:rPr>
      </w:pPr>
      <w:r>
        <w:rPr>
          <w:rFonts w:hint="eastAsia"/>
          <w:color w:val="auto"/>
        </w:rPr>
        <w:t>本文件按照GB/T 1.1</w:t>
      </w:r>
      <w:r>
        <w:rPr>
          <w:rFonts w:hint="eastAsia"/>
          <w:color w:val="auto"/>
          <w:lang w:eastAsia="zh-CN"/>
        </w:rPr>
        <w:t>—</w:t>
      </w:r>
      <w:r>
        <w:rPr>
          <w:rFonts w:hint="eastAsia"/>
          <w:color w:val="auto"/>
        </w:rPr>
        <w:t>2020</w:t>
      </w:r>
      <w:r>
        <w:rPr>
          <w:rFonts w:hint="eastAsia"/>
          <w:color w:val="auto"/>
          <w:lang w:eastAsia="zh-CN"/>
        </w:rPr>
        <w:t>《标准化工作导则</w:t>
      </w:r>
      <w:r>
        <w:rPr>
          <w:rFonts w:hint="eastAsia"/>
          <w:color w:val="auto"/>
          <w:lang w:val="en-US" w:eastAsia="zh-CN"/>
        </w:rPr>
        <w:t xml:space="preserve">  第1部分：标准化文件的结构和起草规则</w:t>
      </w:r>
      <w:r>
        <w:rPr>
          <w:rFonts w:hint="eastAsia"/>
          <w:color w:val="auto"/>
          <w:lang w:eastAsia="zh-CN"/>
        </w:rPr>
        <w:t>》的规定起草</w:t>
      </w:r>
      <w:r>
        <w:rPr>
          <w:rFonts w:hint="eastAsia"/>
          <w:color w:val="auto"/>
        </w:rPr>
        <w:t>。</w:t>
      </w:r>
    </w:p>
    <w:p w14:paraId="0E7ECD8F">
      <w:pPr>
        <w:ind w:firstLine="420" w:firstLineChars="200"/>
        <w:rPr>
          <w:color w:val="auto"/>
        </w:rPr>
      </w:pPr>
      <w:r>
        <w:rPr>
          <w:rFonts w:hint="eastAsia" w:cs="宋体"/>
          <w:color w:val="auto"/>
        </w:rPr>
        <w:t>本文件是按中国工程建设标准化协会《关于印发</w:t>
      </w:r>
      <w:r>
        <w:rPr>
          <w:rFonts w:cs="宋体"/>
          <w:color w:val="auto"/>
        </w:rPr>
        <w:t>&lt;</w:t>
      </w:r>
      <w:r>
        <w:rPr>
          <w:rFonts w:hint="eastAsia" w:cs="宋体"/>
          <w:color w:val="auto"/>
        </w:rPr>
        <w:t>20</w:t>
      </w:r>
      <w:r>
        <w:rPr>
          <w:rFonts w:cs="宋体"/>
          <w:color w:val="auto"/>
        </w:rPr>
        <w:t>24</w:t>
      </w:r>
      <w:r>
        <w:rPr>
          <w:rFonts w:hint="eastAsia" w:cs="宋体"/>
          <w:color w:val="auto"/>
        </w:rPr>
        <w:t>年第一批次协会标准制订、修订计划&gt;的通知》（建标协字〔20</w:t>
      </w:r>
      <w:r>
        <w:rPr>
          <w:rFonts w:cs="宋体"/>
          <w:color w:val="auto"/>
        </w:rPr>
        <w:t>24</w:t>
      </w:r>
      <w:r>
        <w:rPr>
          <w:rFonts w:hint="eastAsia" w:cs="宋体"/>
          <w:color w:val="auto"/>
        </w:rPr>
        <w:t>〕</w:t>
      </w:r>
      <w:r>
        <w:rPr>
          <w:rFonts w:cs="宋体"/>
          <w:color w:val="auto"/>
        </w:rPr>
        <w:t>15</w:t>
      </w:r>
      <w:r>
        <w:rPr>
          <w:rFonts w:hint="eastAsia" w:cs="宋体"/>
          <w:color w:val="auto"/>
        </w:rPr>
        <w:t>号）的要求制定。</w:t>
      </w:r>
    </w:p>
    <w:p w14:paraId="31A09C4D">
      <w:pPr>
        <w:pStyle w:val="25"/>
        <w:rPr>
          <w:color w:val="auto"/>
        </w:rPr>
      </w:pPr>
      <w:r>
        <w:rPr>
          <w:rFonts w:hint="eastAsia"/>
          <w:color w:val="auto"/>
        </w:rPr>
        <w:t>本文件的某些内容可能涉及专利</w:t>
      </w:r>
      <w:r>
        <w:rPr>
          <w:rFonts w:hint="eastAsia"/>
          <w:color w:val="auto"/>
          <w:lang w:eastAsia="zh-CN"/>
        </w:rPr>
        <w:t>。</w:t>
      </w:r>
      <w:r>
        <w:rPr>
          <w:rFonts w:hint="eastAsia"/>
          <w:color w:val="auto"/>
        </w:rPr>
        <w:t>本文件的发布机构不承担识别这些专利的责任。</w:t>
      </w:r>
    </w:p>
    <w:p w14:paraId="7998F608">
      <w:pPr>
        <w:pStyle w:val="25"/>
        <w:rPr>
          <w:rFonts w:ascii="Times New Roman"/>
          <w:color w:val="auto"/>
        </w:rPr>
      </w:pPr>
      <w:r>
        <w:rPr>
          <w:rFonts w:ascii="Times New Roman"/>
          <w:color w:val="auto"/>
        </w:rPr>
        <w:t>本</w:t>
      </w:r>
      <w:r>
        <w:rPr>
          <w:rFonts w:hint="eastAsia" w:ascii="Times New Roman"/>
          <w:color w:val="auto"/>
        </w:rPr>
        <w:t>文件</w:t>
      </w:r>
      <w:r>
        <w:rPr>
          <w:rFonts w:ascii="Times New Roman"/>
          <w:color w:val="auto"/>
        </w:rPr>
        <w:t>由中国工程建设标准化协会</w:t>
      </w:r>
      <w:r>
        <w:rPr>
          <w:rFonts w:hint="eastAsia" w:ascii="Times New Roman"/>
          <w:color w:val="auto"/>
        </w:rPr>
        <w:t>提出。</w:t>
      </w:r>
    </w:p>
    <w:p w14:paraId="7C239CB8">
      <w:pPr>
        <w:pStyle w:val="25"/>
        <w:rPr>
          <w:rFonts w:ascii="Times New Roman"/>
          <w:color w:val="auto"/>
        </w:rPr>
      </w:pPr>
      <w:r>
        <w:rPr>
          <w:rFonts w:hint="eastAsia"/>
          <w:color w:val="auto"/>
        </w:rPr>
        <w:t>本文件由中国工程建设标准化协会建筑材料分会归口管理</w:t>
      </w:r>
      <w:r>
        <w:rPr>
          <w:rFonts w:ascii="Times New Roman"/>
          <w:color w:val="auto"/>
        </w:rPr>
        <w:t>。</w:t>
      </w:r>
    </w:p>
    <w:p w14:paraId="7D403CF2">
      <w:pPr>
        <w:pStyle w:val="25"/>
        <w:rPr>
          <w:rFonts w:hint="eastAsia" w:eastAsia="宋体"/>
          <w:color w:val="auto"/>
          <w:lang w:val="en-US" w:eastAsia="zh-CN"/>
        </w:rPr>
      </w:pPr>
      <w:r>
        <w:rPr>
          <w:rFonts w:hint="eastAsia"/>
          <w:color w:val="auto"/>
        </w:rPr>
        <w:t>本文件负责起草单位：住房和城乡建设部科技与产业化发展中心</w:t>
      </w:r>
      <w:r>
        <w:rPr>
          <w:rFonts w:hint="eastAsia"/>
          <w:color w:val="auto"/>
          <w:lang w:eastAsia="zh-CN"/>
        </w:rPr>
        <w:t>。</w:t>
      </w:r>
    </w:p>
    <w:p w14:paraId="246F04BB">
      <w:pPr>
        <w:pStyle w:val="25"/>
        <w:rPr>
          <w:color w:val="auto"/>
        </w:rPr>
      </w:pPr>
      <w:r>
        <w:rPr>
          <w:rFonts w:hint="eastAsia"/>
          <w:color w:val="auto"/>
        </w:rPr>
        <w:t>本文件参加起草单位：</w:t>
      </w:r>
      <w:r>
        <w:rPr>
          <w:color w:val="auto"/>
        </w:rPr>
        <w:t xml:space="preserve"> </w:t>
      </w:r>
    </w:p>
    <w:p w14:paraId="5215344D">
      <w:pPr>
        <w:pStyle w:val="25"/>
        <w:rPr>
          <w:color w:val="auto"/>
        </w:rPr>
      </w:pPr>
      <w:r>
        <w:rPr>
          <w:rFonts w:hint="eastAsia"/>
          <w:color w:val="auto"/>
        </w:rPr>
        <w:t>本文件主要起草人：</w:t>
      </w:r>
      <w:r>
        <w:rPr>
          <w:color w:val="auto"/>
        </w:rPr>
        <w:t xml:space="preserve"> </w:t>
      </w:r>
    </w:p>
    <w:p w14:paraId="6B869D41">
      <w:pPr>
        <w:ind w:firstLine="420" w:firstLineChars="200"/>
        <w:rPr>
          <w:rFonts w:cs="宋体"/>
          <w:color w:val="auto"/>
        </w:rPr>
        <w:sectPr>
          <w:headerReference r:id="rId5" w:type="default"/>
          <w:footerReference r:id="rId6" w:type="default"/>
          <w:pgSz w:w="11906" w:h="16838"/>
          <w:pgMar w:top="567" w:right="1134" w:bottom="1134" w:left="1418" w:header="1418" w:footer="1134" w:gutter="0"/>
          <w:pgNumType w:fmt="upperRoman" w:start="1"/>
          <w:cols w:space="720" w:num="1"/>
          <w:formProt w:val="0"/>
          <w:docGrid w:type="lines" w:linePitch="312" w:charSpace="0"/>
        </w:sectPr>
      </w:pPr>
      <w:r>
        <w:rPr>
          <w:rFonts w:hint="eastAsia" w:cs="宋体"/>
          <w:color w:val="auto"/>
        </w:rPr>
        <w:t>本文件主要审查人：</w:t>
      </w:r>
    </w:p>
    <w:p w14:paraId="7AA0C741">
      <w:pPr>
        <w:pStyle w:val="117"/>
        <w:rPr>
          <w:rFonts w:cs="黑体"/>
          <w:color w:val="auto"/>
          <w:sz w:val="36"/>
          <w:szCs w:val="36"/>
        </w:rPr>
      </w:pPr>
      <w:bookmarkStart w:id="11" w:name="_Toc532820817"/>
      <w:bookmarkStart w:id="12" w:name="_Toc532820945"/>
      <w:r>
        <w:rPr>
          <w:rFonts w:hint="eastAsia" w:cs="黑体"/>
          <w:color w:val="auto"/>
          <w:sz w:val="36"/>
          <w:szCs w:val="36"/>
        </w:rPr>
        <w:t xml:space="preserve">绿色建材评价 </w:t>
      </w:r>
      <w:r>
        <w:rPr>
          <w:rFonts w:cs="黑体"/>
          <w:color w:val="auto"/>
          <w:sz w:val="36"/>
          <w:szCs w:val="36"/>
        </w:rPr>
        <w:t xml:space="preserve"> </w:t>
      </w:r>
      <w:r>
        <w:rPr>
          <w:rFonts w:hint="eastAsia" w:cs="黑体"/>
          <w:color w:val="auto"/>
          <w:sz w:val="36"/>
          <w:szCs w:val="36"/>
        </w:rPr>
        <w:t>铝合金衬塑复合管材与管件</w:t>
      </w:r>
      <w:bookmarkEnd w:id="11"/>
      <w:bookmarkEnd w:id="12"/>
    </w:p>
    <w:p w14:paraId="0508F94F">
      <w:pPr>
        <w:pStyle w:val="77"/>
        <w:spacing w:before="312" w:after="312"/>
        <w:rPr>
          <w:color w:val="auto"/>
        </w:rPr>
      </w:pPr>
      <w:bookmarkStart w:id="13" w:name="_Toc532820946"/>
      <w:bookmarkStart w:id="14" w:name="_Toc524004771"/>
      <w:bookmarkStart w:id="15" w:name="_Toc532820818"/>
      <w:bookmarkStart w:id="16" w:name="_Toc524004350"/>
      <w:r>
        <w:rPr>
          <w:rFonts w:hint="eastAsia"/>
          <w:color w:val="auto"/>
        </w:rPr>
        <w:t>范围</w:t>
      </w:r>
      <w:bookmarkEnd w:id="13"/>
      <w:bookmarkEnd w:id="14"/>
      <w:bookmarkEnd w:id="15"/>
      <w:bookmarkEnd w:id="16"/>
    </w:p>
    <w:p w14:paraId="4451065E">
      <w:pPr>
        <w:pStyle w:val="25"/>
        <w:rPr>
          <w:rFonts w:ascii="Times New Roman"/>
          <w:color w:val="auto"/>
        </w:rPr>
      </w:pPr>
      <w:r>
        <w:rPr>
          <w:rFonts w:hint="eastAsia" w:ascii="Times New Roman"/>
          <w:color w:val="auto"/>
        </w:rPr>
        <w:t>本文件规定了铝合金衬塑复合管材与管件绿色建材评价的评价要求和评价方法。</w:t>
      </w:r>
    </w:p>
    <w:p w14:paraId="736E269A">
      <w:pPr>
        <w:ind w:firstLine="420" w:firstLineChars="200"/>
        <w:jc w:val="left"/>
        <w:rPr>
          <w:rFonts w:hAnsi="Calibri"/>
          <w:color w:val="auto"/>
          <w:szCs w:val="22"/>
        </w:rPr>
      </w:pPr>
      <w:r>
        <w:rPr>
          <w:rFonts w:hint="eastAsia" w:hAnsi="Calibri"/>
          <w:color w:val="auto"/>
          <w:szCs w:val="22"/>
        </w:rPr>
        <w:t>本</w:t>
      </w:r>
      <w:r>
        <w:rPr>
          <w:rFonts w:hint="eastAsia"/>
          <w:color w:val="auto"/>
        </w:rPr>
        <w:t>文件主要</w:t>
      </w:r>
      <w:r>
        <w:rPr>
          <w:rFonts w:hint="eastAsia" w:hAnsi="Calibri"/>
          <w:color w:val="auto"/>
          <w:szCs w:val="22"/>
        </w:rPr>
        <w:t>适用于空调循环水、供暖热水、生活饮用水、生活热水输送用铝合金衬塑复合管道系统。</w:t>
      </w:r>
    </w:p>
    <w:p w14:paraId="63CBD5B5">
      <w:pPr>
        <w:pStyle w:val="77"/>
        <w:spacing w:before="312" w:after="312"/>
        <w:rPr>
          <w:color w:val="auto"/>
        </w:rPr>
      </w:pPr>
      <w:bookmarkStart w:id="17" w:name="_Toc532820947"/>
      <w:bookmarkStart w:id="18" w:name="_Toc524004772"/>
      <w:bookmarkStart w:id="19" w:name="_Toc532820819"/>
      <w:bookmarkStart w:id="20" w:name="_Toc524004351"/>
      <w:r>
        <w:rPr>
          <w:rFonts w:hint="eastAsia"/>
          <w:color w:val="auto"/>
        </w:rPr>
        <w:t>规范性引用文件</w:t>
      </w:r>
      <w:bookmarkEnd w:id="17"/>
      <w:bookmarkEnd w:id="18"/>
      <w:bookmarkEnd w:id="19"/>
      <w:bookmarkEnd w:id="20"/>
    </w:p>
    <w:p w14:paraId="1DD27306">
      <w:pPr>
        <w:pStyle w:val="25"/>
        <w:rPr>
          <w:rFonts w:hint="eastAsia"/>
          <w:color w:val="auto"/>
        </w:rPr>
      </w:pPr>
      <w:r>
        <w:rPr>
          <w:rFonts w:hint="eastAsia"/>
          <w:color w:val="auto"/>
        </w:rPr>
        <w:t>下列文件中的内容通过文中的规范性引而构成本文件必不可少的条款。其中，注日期的引用文件，仅该日期对应的版本适用于本文件。不注日期的引用文件，其最新版本</w:t>
      </w:r>
      <w:r>
        <w:rPr>
          <w:color w:val="auto"/>
        </w:rPr>
        <w:t>(</w:t>
      </w:r>
      <w:r>
        <w:rPr>
          <w:rFonts w:hint="eastAsia"/>
          <w:color w:val="auto"/>
        </w:rPr>
        <w:t>包括所有的修改单</w:t>
      </w:r>
      <w:r>
        <w:rPr>
          <w:color w:val="auto"/>
        </w:rPr>
        <w:t>)</w:t>
      </w:r>
      <w:r>
        <w:rPr>
          <w:rFonts w:hint="eastAsia"/>
          <w:color w:val="auto"/>
        </w:rPr>
        <w:t>适用于本文件。</w:t>
      </w:r>
    </w:p>
    <w:p w14:paraId="0AA47F86">
      <w:pPr>
        <w:pStyle w:val="25"/>
        <w:tabs>
          <w:tab w:val="left" w:pos="2268"/>
        </w:tabs>
        <w:ind w:left="420" w:firstLine="0" w:firstLineChars="0"/>
        <w:rPr>
          <w:rFonts w:hint="default" w:ascii="瀹嬩綋" w:eastAsia="瀹嬩綋"/>
          <w:color w:val="auto"/>
          <w:szCs w:val="21"/>
          <w:shd w:val="clear" w:color="auto" w:fill="FFFFFF"/>
          <w:lang w:val="en-US" w:eastAsia="zh-CN"/>
        </w:rPr>
      </w:pPr>
      <w:r>
        <w:rPr>
          <w:rFonts w:hint="eastAsia" w:ascii="Times New Roman"/>
          <w:color w:val="auto"/>
          <w:lang w:val="en-US" w:eastAsia="zh-CN"/>
        </w:rPr>
        <w:t>GB 12348</w:t>
      </w:r>
      <w:r>
        <w:rPr>
          <w:rFonts w:hint="eastAsia" w:ascii="瀹嬩綋" w:eastAsia="瀹嬩綋"/>
          <w:color w:val="auto"/>
          <w:szCs w:val="21"/>
          <w:shd w:val="clear" w:color="auto" w:fill="FFFFFF"/>
          <w:lang w:val="en-US" w:eastAsia="zh-CN"/>
        </w:rPr>
        <w:t xml:space="preserve"> 工业企业厂界环境噪声排放标准</w:t>
      </w:r>
    </w:p>
    <w:p w14:paraId="2D9360BB">
      <w:pPr>
        <w:pStyle w:val="25"/>
        <w:tabs>
          <w:tab w:val="left" w:pos="2268"/>
        </w:tabs>
        <w:ind w:left="420" w:firstLine="0" w:firstLineChars="0"/>
        <w:rPr>
          <w:rFonts w:ascii="Times New Roman"/>
          <w:color w:val="auto"/>
        </w:rPr>
      </w:pPr>
      <w:r>
        <w:rPr>
          <w:rFonts w:ascii="Times New Roman"/>
          <w:color w:val="auto"/>
        </w:rPr>
        <w:t xml:space="preserve">GB/T 2589 </w:t>
      </w:r>
      <w:r>
        <w:rPr>
          <w:rFonts w:hint="eastAsia" w:ascii="Times New Roman"/>
          <w:color w:val="auto"/>
        </w:rPr>
        <w:t>综合能耗计算通则</w:t>
      </w:r>
    </w:p>
    <w:p w14:paraId="512AA739">
      <w:pPr>
        <w:pStyle w:val="25"/>
        <w:tabs>
          <w:tab w:val="left" w:pos="2268"/>
        </w:tabs>
        <w:ind w:left="420" w:firstLine="0" w:firstLineChars="0"/>
        <w:rPr>
          <w:rFonts w:ascii="瀹嬩綋" w:eastAsia="瀹嬩綋"/>
          <w:color w:val="auto"/>
          <w:szCs w:val="21"/>
          <w:shd w:val="clear" w:color="auto" w:fill="FFFFFF"/>
        </w:rPr>
      </w:pPr>
      <w:r>
        <w:rPr>
          <w:rFonts w:ascii="Times New Roman"/>
          <w:color w:val="auto"/>
        </w:rPr>
        <w:t xml:space="preserve">GB 18597 </w:t>
      </w:r>
      <w:r>
        <w:rPr>
          <w:rFonts w:hint="eastAsia" w:ascii="瀹嬩綋" w:eastAsia="瀹嬩綋"/>
          <w:color w:val="auto"/>
          <w:szCs w:val="21"/>
          <w:shd w:val="clear" w:color="auto" w:fill="FFFFFF"/>
        </w:rPr>
        <w:t>危险废物贮存污染控制标准</w:t>
      </w:r>
    </w:p>
    <w:p w14:paraId="6C5E1371">
      <w:pPr>
        <w:pStyle w:val="25"/>
        <w:tabs>
          <w:tab w:val="left" w:pos="2268"/>
        </w:tabs>
        <w:ind w:left="420" w:firstLine="0" w:firstLineChars="0"/>
        <w:rPr>
          <w:rFonts w:ascii="瀹嬩綋" w:eastAsia="瀹嬩綋"/>
          <w:color w:val="auto"/>
          <w:szCs w:val="21"/>
          <w:shd w:val="clear" w:color="auto" w:fill="FFFFFF"/>
        </w:rPr>
      </w:pPr>
      <w:r>
        <w:rPr>
          <w:rFonts w:ascii="Times New Roman"/>
          <w:color w:val="auto"/>
        </w:rPr>
        <w:t xml:space="preserve">GB 18599 </w:t>
      </w:r>
      <w:r>
        <w:rPr>
          <w:rFonts w:hint="eastAsia" w:ascii="瀹嬩綋" w:eastAsia="瀹嬩綋"/>
          <w:color w:val="auto"/>
          <w:szCs w:val="21"/>
          <w:shd w:val="clear" w:color="auto" w:fill="FFFFFF"/>
        </w:rPr>
        <w:t>一般</w:t>
      </w:r>
      <w:r>
        <w:rPr>
          <w:rFonts w:ascii="瀹嬩綋" w:eastAsia="瀹嬩綋"/>
          <w:color w:val="auto"/>
          <w:szCs w:val="21"/>
          <w:shd w:val="clear" w:color="auto" w:fill="FFFFFF"/>
        </w:rPr>
        <w:t>工业固体废物贮存、处置</w:t>
      </w:r>
      <w:r>
        <w:rPr>
          <w:rFonts w:hint="eastAsia" w:ascii="瀹嬩綋" w:eastAsia="瀹嬩綋"/>
          <w:color w:val="auto"/>
          <w:szCs w:val="21"/>
          <w:shd w:val="clear" w:color="auto" w:fill="FFFFFF"/>
        </w:rPr>
        <w:t>场</w:t>
      </w:r>
      <w:r>
        <w:rPr>
          <w:rFonts w:ascii="瀹嬩綋" w:eastAsia="瀹嬩綋"/>
          <w:color w:val="auto"/>
          <w:szCs w:val="21"/>
          <w:shd w:val="clear" w:color="auto" w:fill="FFFFFF"/>
        </w:rPr>
        <w:t>污染控制标准</w:t>
      </w:r>
    </w:p>
    <w:p w14:paraId="18EAA043">
      <w:pPr>
        <w:pStyle w:val="25"/>
        <w:ind w:left="420" w:firstLine="0" w:firstLineChars="0"/>
        <w:rPr>
          <w:rFonts w:ascii="Times New Roman"/>
          <w:color w:val="auto"/>
        </w:rPr>
      </w:pPr>
      <w:r>
        <w:rPr>
          <w:rFonts w:ascii="Times New Roman"/>
          <w:color w:val="auto"/>
        </w:rPr>
        <w:t xml:space="preserve">GB/T 19001 </w:t>
      </w:r>
      <w:r>
        <w:rPr>
          <w:rFonts w:hint="eastAsia" w:ascii="Times New Roman"/>
          <w:color w:val="auto"/>
        </w:rPr>
        <w:t xml:space="preserve"> 质量管理体系 </w:t>
      </w:r>
      <w:r>
        <w:rPr>
          <w:rFonts w:ascii="Times New Roman"/>
          <w:color w:val="auto"/>
        </w:rPr>
        <w:t xml:space="preserve"> </w:t>
      </w:r>
      <w:r>
        <w:rPr>
          <w:rFonts w:hint="eastAsia" w:ascii="Times New Roman"/>
          <w:color w:val="auto"/>
        </w:rPr>
        <w:t>要求</w:t>
      </w:r>
    </w:p>
    <w:p w14:paraId="7C12F3B1">
      <w:pPr>
        <w:pStyle w:val="25"/>
        <w:tabs>
          <w:tab w:val="left" w:pos="2268"/>
        </w:tabs>
        <w:ind w:left="420" w:firstLine="0" w:firstLineChars="0"/>
        <w:rPr>
          <w:rFonts w:ascii="Times New Roman"/>
          <w:color w:val="auto"/>
        </w:rPr>
      </w:pPr>
      <w:r>
        <w:rPr>
          <w:rFonts w:ascii="Times New Roman"/>
          <w:color w:val="auto"/>
        </w:rPr>
        <w:t xml:space="preserve">GB/T 23331 </w:t>
      </w:r>
      <w:r>
        <w:rPr>
          <w:rFonts w:hint="eastAsia" w:ascii="Times New Roman"/>
          <w:color w:val="auto"/>
        </w:rPr>
        <w:t xml:space="preserve"> </w:t>
      </w:r>
      <w:r>
        <w:rPr>
          <w:rFonts w:ascii="Times New Roman"/>
          <w:color w:val="auto"/>
        </w:rPr>
        <w:t>能源管理体系</w:t>
      </w:r>
      <w:r>
        <w:rPr>
          <w:rFonts w:hint="eastAsia" w:ascii="Times New Roman"/>
          <w:color w:val="auto"/>
        </w:rPr>
        <w:t xml:space="preserve"> </w:t>
      </w:r>
      <w:r>
        <w:rPr>
          <w:rFonts w:ascii="Times New Roman"/>
          <w:color w:val="auto"/>
        </w:rPr>
        <w:t xml:space="preserve"> 要求及使用指南</w:t>
      </w:r>
    </w:p>
    <w:p w14:paraId="7E1BC6D5">
      <w:pPr>
        <w:pStyle w:val="25"/>
        <w:ind w:left="420" w:firstLine="0" w:firstLineChars="0"/>
        <w:rPr>
          <w:rFonts w:ascii="Times New Roman"/>
          <w:color w:val="auto"/>
        </w:rPr>
      </w:pPr>
      <w:r>
        <w:rPr>
          <w:rFonts w:ascii="Times New Roman"/>
          <w:color w:val="auto"/>
        </w:rPr>
        <w:t xml:space="preserve">GB/T 24001 </w:t>
      </w:r>
      <w:r>
        <w:rPr>
          <w:rFonts w:hint="eastAsia" w:ascii="Times New Roman"/>
          <w:color w:val="auto"/>
        </w:rPr>
        <w:t xml:space="preserve"> 环境管理体系 </w:t>
      </w:r>
      <w:r>
        <w:rPr>
          <w:rFonts w:ascii="Times New Roman"/>
          <w:color w:val="auto"/>
        </w:rPr>
        <w:t xml:space="preserve"> </w:t>
      </w:r>
      <w:r>
        <w:rPr>
          <w:rFonts w:hint="eastAsia" w:ascii="Times New Roman"/>
          <w:color w:val="auto"/>
        </w:rPr>
        <w:t>要求及使用指南</w:t>
      </w:r>
    </w:p>
    <w:p w14:paraId="622B13B4">
      <w:pPr>
        <w:pStyle w:val="25"/>
        <w:rPr>
          <w:rFonts w:ascii="Times New Roman"/>
          <w:color w:val="auto"/>
        </w:rPr>
      </w:pPr>
      <w:r>
        <w:rPr>
          <w:rFonts w:hint="eastAsia" w:ascii="Times New Roman"/>
          <w:color w:val="auto"/>
        </w:rPr>
        <w:t>GB/T 33000  企业安全生产标准化基本规范</w:t>
      </w:r>
    </w:p>
    <w:p w14:paraId="299FD8BA">
      <w:pPr>
        <w:pStyle w:val="25"/>
        <w:tabs>
          <w:tab w:val="left" w:pos="2268"/>
        </w:tabs>
        <w:ind w:left="420" w:firstLine="0" w:firstLineChars="0"/>
        <w:rPr>
          <w:rFonts w:ascii="Times New Roman"/>
          <w:color w:val="auto"/>
        </w:rPr>
      </w:pPr>
      <w:r>
        <w:rPr>
          <w:rFonts w:ascii="Times New Roman"/>
          <w:color w:val="auto"/>
        </w:rPr>
        <w:t xml:space="preserve">GB/T 41494 </w:t>
      </w:r>
      <w:r>
        <w:rPr>
          <w:rFonts w:hint="eastAsia" w:ascii="Times New Roman"/>
          <w:color w:val="auto"/>
        </w:rPr>
        <w:t xml:space="preserve"> 铝合金衬塑复合管材与管件</w:t>
      </w:r>
    </w:p>
    <w:p w14:paraId="744A2678">
      <w:pPr>
        <w:pStyle w:val="25"/>
        <w:rPr>
          <w:rFonts w:hint="eastAsia" w:ascii="Times New Roman"/>
          <w:color w:val="auto"/>
        </w:rPr>
      </w:pPr>
      <w:r>
        <w:rPr>
          <w:rFonts w:hint="eastAsia" w:ascii="Times New Roman"/>
          <w:color w:val="auto"/>
        </w:rPr>
        <w:t xml:space="preserve">GB/T </w:t>
      </w:r>
      <w:r>
        <w:rPr>
          <w:rFonts w:ascii="Times New Roman"/>
          <w:color w:val="auto"/>
        </w:rPr>
        <w:t>45</w:t>
      </w:r>
      <w:r>
        <w:rPr>
          <w:rFonts w:hint="eastAsia" w:ascii="Times New Roman"/>
          <w:color w:val="auto"/>
        </w:rPr>
        <w:t>001  职业健康安全管理体系  要求及使用指南</w:t>
      </w:r>
    </w:p>
    <w:p w14:paraId="2D3F9F9E">
      <w:pPr>
        <w:pStyle w:val="25"/>
        <w:rPr>
          <w:rFonts w:hint="eastAsia" w:ascii="Times New Roman"/>
          <w:color w:val="auto"/>
        </w:rPr>
      </w:pPr>
    </w:p>
    <w:p w14:paraId="70BE7947">
      <w:pPr>
        <w:pStyle w:val="77"/>
        <w:spacing w:before="312" w:after="312"/>
        <w:rPr>
          <w:bCs/>
          <w:color w:val="auto"/>
          <w:szCs w:val="21"/>
        </w:rPr>
      </w:pPr>
      <w:bookmarkStart w:id="21" w:name="_Toc524004352"/>
      <w:bookmarkEnd w:id="21"/>
      <w:bookmarkStart w:id="22" w:name="_Toc511069681"/>
      <w:bookmarkStart w:id="23" w:name="_Toc524004773"/>
      <w:bookmarkStart w:id="24" w:name="_Toc519084143"/>
      <w:bookmarkStart w:id="25" w:name="_Toc509139383"/>
      <w:bookmarkStart w:id="26" w:name="_Toc532820820"/>
      <w:bookmarkStart w:id="27" w:name="_Toc509984954"/>
      <w:bookmarkStart w:id="28" w:name="_Toc521666152"/>
      <w:bookmarkStart w:id="29" w:name="_Toc532820948"/>
      <w:r>
        <w:rPr>
          <w:rFonts w:hint="eastAsia"/>
          <w:bCs/>
          <w:color w:val="auto"/>
          <w:szCs w:val="21"/>
        </w:rPr>
        <w:t>术语和定义</w:t>
      </w:r>
      <w:bookmarkEnd w:id="22"/>
      <w:bookmarkEnd w:id="23"/>
      <w:bookmarkEnd w:id="24"/>
      <w:bookmarkEnd w:id="25"/>
      <w:bookmarkEnd w:id="26"/>
      <w:bookmarkEnd w:id="27"/>
      <w:bookmarkEnd w:id="28"/>
      <w:bookmarkEnd w:id="29"/>
    </w:p>
    <w:p w14:paraId="563F7D0C">
      <w:pPr>
        <w:pStyle w:val="25"/>
        <w:ind w:left="420" w:firstLine="0" w:firstLineChars="0"/>
        <w:rPr>
          <w:color w:val="auto"/>
        </w:rPr>
      </w:pPr>
      <w:bookmarkStart w:id="30" w:name="_Toc6509"/>
      <w:r>
        <w:rPr>
          <w:rFonts w:ascii="Times New Roman"/>
          <w:color w:val="auto"/>
        </w:rPr>
        <w:t>GB/T 41494界定的以及</w:t>
      </w:r>
      <w:r>
        <w:rPr>
          <w:rFonts w:hint="eastAsia"/>
          <w:color w:val="auto"/>
        </w:rPr>
        <w:t>下列术语和定义适用于本文件。</w:t>
      </w:r>
    </w:p>
    <w:p w14:paraId="5CAD10B2">
      <w:pPr>
        <w:pStyle w:val="63"/>
        <w:spacing w:before="156" w:after="156"/>
        <w:rPr>
          <w:color w:val="auto"/>
        </w:rPr>
      </w:pPr>
      <w:bookmarkStart w:id="31" w:name="_Toc532820949"/>
      <w:bookmarkEnd w:id="31"/>
      <w:bookmarkStart w:id="32" w:name="_Toc532820821"/>
      <w:bookmarkEnd w:id="32"/>
    </w:p>
    <w:p w14:paraId="7666669C">
      <w:pPr>
        <w:widowControl/>
        <w:tabs>
          <w:tab w:val="center" w:pos="4201"/>
          <w:tab w:val="right" w:leader="dot" w:pos="9298"/>
        </w:tabs>
        <w:autoSpaceDE w:val="0"/>
        <w:autoSpaceDN w:val="0"/>
        <w:ind w:firstLine="420" w:firstLineChars="200"/>
        <w:rPr>
          <w:color w:val="auto"/>
          <w:sz w:val="24"/>
        </w:rPr>
      </w:pPr>
      <w:r>
        <w:rPr>
          <w:rFonts w:hint="eastAsia" w:eastAsia="黑体"/>
          <w:color w:val="auto"/>
        </w:rPr>
        <w:t>绿色建材</w:t>
      </w:r>
      <w:r>
        <w:rPr>
          <w:rFonts w:eastAsia="黑体"/>
          <w:color w:val="auto"/>
        </w:rPr>
        <w:t xml:space="preserve">  green building materials</w:t>
      </w:r>
    </w:p>
    <w:p w14:paraId="517B68BB">
      <w:pPr>
        <w:widowControl/>
        <w:tabs>
          <w:tab w:val="center" w:pos="4201"/>
          <w:tab w:val="right" w:leader="dot" w:pos="9298"/>
        </w:tabs>
        <w:autoSpaceDE w:val="0"/>
        <w:autoSpaceDN w:val="0"/>
        <w:ind w:firstLine="420" w:firstLineChars="200"/>
        <w:rPr>
          <w:rFonts w:hint="eastAsia"/>
          <w:color w:val="auto"/>
          <w:kern w:val="0"/>
          <w:szCs w:val="20"/>
        </w:rPr>
      </w:pPr>
      <w:r>
        <w:rPr>
          <w:rFonts w:hint="eastAsia"/>
          <w:color w:val="auto"/>
          <w:kern w:val="0"/>
          <w:szCs w:val="20"/>
        </w:rPr>
        <w:t>在全生命周期内可减少对天然资源消耗和减轻对生态环境影响，具有</w:t>
      </w:r>
      <w:r>
        <w:rPr>
          <w:rFonts w:hint="eastAsia" w:asciiTheme="minorEastAsia" w:hAnsiTheme="minorEastAsia" w:eastAsiaTheme="minorEastAsia"/>
          <w:color w:val="auto"/>
          <w:kern w:val="0"/>
          <w:szCs w:val="20"/>
        </w:rPr>
        <w:t>“</w:t>
      </w:r>
      <w:r>
        <w:rPr>
          <w:rFonts w:hint="eastAsia"/>
          <w:color w:val="auto"/>
          <w:kern w:val="0"/>
          <w:szCs w:val="20"/>
        </w:rPr>
        <w:t>节能、减排、安全、便利和可循环</w:t>
      </w:r>
      <w:r>
        <w:rPr>
          <w:rFonts w:hint="eastAsia" w:asciiTheme="minorEastAsia" w:hAnsiTheme="minorEastAsia" w:eastAsiaTheme="minorEastAsia"/>
          <w:color w:val="auto"/>
          <w:kern w:val="0"/>
          <w:szCs w:val="20"/>
        </w:rPr>
        <w:t>”</w:t>
      </w:r>
      <w:r>
        <w:rPr>
          <w:rFonts w:hint="eastAsia"/>
          <w:color w:val="auto"/>
          <w:kern w:val="0"/>
          <w:szCs w:val="20"/>
        </w:rPr>
        <w:t>特征的建材产品。</w:t>
      </w:r>
    </w:p>
    <w:p w14:paraId="695AC51B">
      <w:pPr>
        <w:widowControl/>
        <w:tabs>
          <w:tab w:val="center" w:pos="4201"/>
          <w:tab w:val="right" w:leader="dot" w:pos="9298"/>
        </w:tabs>
        <w:autoSpaceDE w:val="0"/>
        <w:autoSpaceDN w:val="0"/>
        <w:ind w:firstLine="420" w:firstLineChars="200"/>
        <w:rPr>
          <w:rFonts w:hint="eastAsia"/>
          <w:color w:val="auto"/>
          <w:kern w:val="0"/>
          <w:szCs w:val="20"/>
        </w:rPr>
      </w:pPr>
    </w:p>
    <w:p w14:paraId="066DA3BB">
      <w:pPr>
        <w:pStyle w:val="63"/>
        <w:spacing w:before="156" w:after="156"/>
        <w:rPr>
          <w:color w:val="auto"/>
        </w:rPr>
      </w:pPr>
      <w:bookmarkStart w:id="33" w:name="_Toc532820822"/>
      <w:bookmarkEnd w:id="33"/>
      <w:bookmarkStart w:id="34" w:name="_Toc532820950"/>
      <w:bookmarkEnd w:id="34"/>
    </w:p>
    <w:p w14:paraId="372EEF96">
      <w:pPr>
        <w:widowControl/>
        <w:tabs>
          <w:tab w:val="center" w:pos="4201"/>
          <w:tab w:val="right" w:leader="dot" w:pos="9298"/>
        </w:tabs>
        <w:autoSpaceDE w:val="0"/>
        <w:autoSpaceDN w:val="0"/>
        <w:ind w:firstLine="420" w:firstLineChars="200"/>
        <w:rPr>
          <w:rFonts w:eastAsia="黑体"/>
          <w:color w:val="auto"/>
        </w:rPr>
      </w:pPr>
      <w:r>
        <w:rPr>
          <w:rFonts w:hint="eastAsia" w:eastAsia="黑体"/>
          <w:color w:val="auto"/>
        </w:rPr>
        <w:t>绿色建材评价</w:t>
      </w:r>
      <w:r>
        <w:rPr>
          <w:rFonts w:eastAsia="黑体"/>
          <w:color w:val="auto"/>
        </w:rPr>
        <w:t xml:space="preserve"> green building materials</w:t>
      </w:r>
      <w:r>
        <w:rPr>
          <w:color w:val="auto"/>
          <w:sz w:val="24"/>
        </w:rPr>
        <w:t xml:space="preserve"> </w:t>
      </w:r>
      <w:r>
        <w:rPr>
          <w:rFonts w:eastAsia="黑体"/>
          <w:color w:val="auto"/>
        </w:rPr>
        <w:t xml:space="preserve">assessment </w:t>
      </w:r>
    </w:p>
    <w:p w14:paraId="5E41FADF">
      <w:pPr>
        <w:widowControl/>
        <w:tabs>
          <w:tab w:val="center" w:pos="4201"/>
          <w:tab w:val="right" w:leader="dot" w:pos="9298"/>
        </w:tabs>
        <w:autoSpaceDE w:val="0"/>
        <w:autoSpaceDN w:val="0"/>
        <w:ind w:firstLine="420" w:firstLineChars="200"/>
        <w:rPr>
          <w:rFonts w:hint="eastAsia"/>
          <w:color w:val="auto"/>
          <w:kern w:val="0"/>
          <w:szCs w:val="20"/>
        </w:rPr>
      </w:pPr>
      <w:r>
        <w:rPr>
          <w:rFonts w:hint="eastAsia"/>
          <w:color w:val="auto"/>
          <w:kern w:val="0"/>
          <w:szCs w:val="20"/>
        </w:rPr>
        <w:t>依据绿色建材评价技术标准，按照程序和要求对申请开展评价的建材产品进行评价，确认其等级的活动。</w:t>
      </w:r>
    </w:p>
    <w:p w14:paraId="000EF2E3">
      <w:pPr>
        <w:widowControl/>
        <w:tabs>
          <w:tab w:val="center" w:pos="4201"/>
          <w:tab w:val="right" w:leader="dot" w:pos="9298"/>
        </w:tabs>
        <w:autoSpaceDE w:val="0"/>
        <w:autoSpaceDN w:val="0"/>
        <w:ind w:firstLine="420" w:firstLineChars="200"/>
        <w:rPr>
          <w:rFonts w:hint="eastAsia"/>
          <w:color w:val="auto"/>
          <w:kern w:val="0"/>
          <w:szCs w:val="20"/>
        </w:rPr>
      </w:pPr>
    </w:p>
    <w:p w14:paraId="20B54C78">
      <w:pPr>
        <w:widowControl/>
        <w:tabs>
          <w:tab w:val="center" w:pos="4201"/>
          <w:tab w:val="right" w:leader="dot" w:pos="9298"/>
        </w:tabs>
        <w:autoSpaceDE w:val="0"/>
        <w:autoSpaceDN w:val="0"/>
        <w:ind w:firstLine="420" w:firstLineChars="200"/>
        <w:rPr>
          <w:rFonts w:hint="eastAsia"/>
          <w:color w:val="auto"/>
          <w:kern w:val="0"/>
          <w:szCs w:val="20"/>
        </w:rPr>
      </w:pPr>
    </w:p>
    <w:p w14:paraId="7F7D4784">
      <w:pPr>
        <w:pStyle w:val="63"/>
        <w:spacing w:before="156" w:after="156"/>
        <w:rPr>
          <w:color w:val="auto"/>
        </w:rPr>
      </w:pPr>
      <w:bookmarkStart w:id="35" w:name="_Toc532820951"/>
      <w:bookmarkEnd w:id="35"/>
      <w:bookmarkStart w:id="36" w:name="_Toc532820823"/>
      <w:bookmarkEnd w:id="36"/>
    </w:p>
    <w:p w14:paraId="042D836D">
      <w:pPr>
        <w:widowControl/>
        <w:tabs>
          <w:tab w:val="center" w:pos="4201"/>
          <w:tab w:val="right" w:leader="dot" w:pos="9298"/>
        </w:tabs>
        <w:autoSpaceDE w:val="0"/>
        <w:autoSpaceDN w:val="0"/>
        <w:ind w:firstLine="420" w:firstLineChars="200"/>
        <w:rPr>
          <w:rFonts w:eastAsia="黑体"/>
          <w:color w:val="auto"/>
        </w:rPr>
      </w:pPr>
      <w:r>
        <w:rPr>
          <w:rFonts w:hint="eastAsia" w:eastAsia="黑体"/>
          <w:color w:val="auto"/>
        </w:rPr>
        <w:t>评价等级</w:t>
      </w:r>
      <w:r>
        <w:rPr>
          <w:rFonts w:eastAsia="黑体"/>
          <w:color w:val="auto"/>
        </w:rPr>
        <w:t xml:space="preserve"> assessment level</w:t>
      </w:r>
    </w:p>
    <w:p w14:paraId="6117926F">
      <w:pPr>
        <w:widowControl/>
        <w:tabs>
          <w:tab w:val="center" w:pos="4201"/>
          <w:tab w:val="right" w:leader="dot" w:pos="9298"/>
        </w:tabs>
        <w:autoSpaceDE w:val="0"/>
        <w:autoSpaceDN w:val="0"/>
        <w:ind w:firstLine="420" w:firstLineChars="200"/>
        <w:rPr>
          <w:rFonts w:hint="eastAsia"/>
          <w:color w:val="auto"/>
          <w:kern w:val="0"/>
          <w:szCs w:val="20"/>
        </w:rPr>
      </w:pPr>
      <w:r>
        <w:rPr>
          <w:rFonts w:hint="eastAsia"/>
          <w:color w:val="auto"/>
          <w:kern w:val="0"/>
          <w:szCs w:val="20"/>
        </w:rPr>
        <w:t>产品评价结果所达到的绿色建材级别，由低到高分为一星级、二星级和三星级。</w:t>
      </w:r>
    </w:p>
    <w:p w14:paraId="6B468596">
      <w:pPr>
        <w:widowControl/>
        <w:tabs>
          <w:tab w:val="center" w:pos="4201"/>
          <w:tab w:val="right" w:leader="dot" w:pos="9298"/>
        </w:tabs>
        <w:autoSpaceDE w:val="0"/>
        <w:autoSpaceDN w:val="0"/>
        <w:ind w:firstLine="420" w:firstLineChars="200"/>
        <w:rPr>
          <w:rFonts w:hint="eastAsia"/>
          <w:color w:val="auto"/>
          <w:kern w:val="0"/>
          <w:szCs w:val="20"/>
        </w:rPr>
      </w:pPr>
    </w:p>
    <w:p w14:paraId="52A13BF5">
      <w:pPr>
        <w:pStyle w:val="63"/>
        <w:spacing w:before="156" w:after="156"/>
        <w:rPr>
          <w:color w:val="auto"/>
        </w:rPr>
      </w:pPr>
      <w:bookmarkStart w:id="37" w:name="_Toc397433562"/>
      <w:bookmarkStart w:id="38" w:name="_Toc397348590"/>
      <w:bookmarkStart w:id="39" w:name="_Toc396118203"/>
      <w:bookmarkStart w:id="40" w:name="OLE_LINK5"/>
      <w:bookmarkStart w:id="41" w:name="_Toc396134034"/>
      <w:bookmarkStart w:id="42" w:name="_Toc363024794"/>
      <w:bookmarkStart w:id="43" w:name="OLE_LINK6"/>
      <w:bookmarkStart w:id="44" w:name="_Toc350863991"/>
      <w:bookmarkStart w:id="45" w:name="_Toc384816550"/>
      <w:bookmarkStart w:id="46" w:name="_Toc382580630"/>
      <w:bookmarkStart w:id="47" w:name="_Toc406143967"/>
    </w:p>
    <w:p w14:paraId="0E86192C">
      <w:pPr>
        <w:widowControl/>
        <w:tabs>
          <w:tab w:val="center" w:pos="4201"/>
          <w:tab w:val="right" w:leader="dot" w:pos="9298"/>
        </w:tabs>
        <w:autoSpaceDE w:val="0"/>
        <w:autoSpaceDN w:val="0"/>
        <w:ind w:firstLine="420" w:firstLineChars="200"/>
        <w:rPr>
          <w:rFonts w:eastAsia="黑体"/>
          <w:color w:val="auto"/>
        </w:rPr>
      </w:pPr>
      <w:r>
        <w:rPr>
          <w:rFonts w:hint="eastAsia" w:eastAsia="黑体"/>
          <w:color w:val="auto"/>
        </w:rPr>
        <w:t>铝合金衬塑复合管材</w:t>
      </w:r>
      <w:r>
        <w:rPr>
          <w:rFonts w:eastAsia="黑体"/>
          <w:color w:val="auto"/>
        </w:rPr>
        <w:t xml:space="preserve"> </w:t>
      </w:r>
      <w:r>
        <w:rPr>
          <w:rFonts w:hint="eastAsia" w:eastAsia="黑体"/>
          <w:color w:val="auto"/>
        </w:rPr>
        <w:t>al</w:t>
      </w:r>
      <w:r>
        <w:rPr>
          <w:rFonts w:eastAsia="黑体"/>
          <w:color w:val="auto"/>
        </w:rPr>
        <w:t>uminum alloy lining plastic pipe</w:t>
      </w:r>
    </w:p>
    <w:p w14:paraId="4980676E">
      <w:pPr>
        <w:pStyle w:val="25"/>
        <w:rPr>
          <w:color w:val="auto"/>
        </w:rPr>
      </w:pPr>
      <w:r>
        <w:rPr>
          <w:rFonts w:hint="eastAsia"/>
          <w:color w:val="auto"/>
        </w:rPr>
        <w:t>外管为铝合金管，内管为热塑性塑料（P</w:t>
      </w:r>
      <w:r>
        <w:rPr>
          <w:color w:val="auto"/>
        </w:rPr>
        <w:t>P-R</w:t>
      </w:r>
      <w:r>
        <w:rPr>
          <w:rFonts w:hint="eastAsia"/>
          <w:color w:val="auto"/>
        </w:rPr>
        <w:t>、</w:t>
      </w:r>
      <w:r>
        <w:rPr>
          <w:color w:val="auto"/>
        </w:rPr>
        <w:t>PB</w:t>
      </w:r>
      <w:r>
        <w:rPr>
          <w:rFonts w:hint="eastAsia"/>
          <w:color w:val="auto"/>
        </w:rPr>
        <w:t>、P</w:t>
      </w:r>
      <w:r>
        <w:rPr>
          <w:color w:val="auto"/>
        </w:rPr>
        <w:t>E</w:t>
      </w:r>
      <w:r>
        <w:rPr>
          <w:rFonts w:hint="eastAsia"/>
          <w:color w:val="auto"/>
        </w:rPr>
        <w:t>-</w:t>
      </w:r>
      <w:r>
        <w:rPr>
          <w:color w:val="auto"/>
        </w:rPr>
        <w:t>RT</w:t>
      </w:r>
      <w:r>
        <w:rPr>
          <w:rFonts w:hint="eastAsia"/>
          <w:color w:val="auto"/>
        </w:rPr>
        <w:t>、PE）管，经预应力复合而成两层结构的管材。</w:t>
      </w:r>
    </w:p>
    <w:p w14:paraId="50FD83C0">
      <w:pPr>
        <w:pStyle w:val="25"/>
        <w:rPr>
          <w:color w:val="auto"/>
        </w:rPr>
      </w:pPr>
    </w:p>
    <w:p w14:paraId="235AD593">
      <w:pPr>
        <w:pStyle w:val="63"/>
        <w:spacing w:before="156" w:after="156"/>
        <w:rPr>
          <w:color w:val="auto"/>
        </w:rPr>
      </w:pPr>
    </w:p>
    <w:p w14:paraId="28CEA92B">
      <w:pPr>
        <w:widowControl/>
        <w:tabs>
          <w:tab w:val="center" w:pos="4201"/>
          <w:tab w:val="right" w:leader="dot" w:pos="9298"/>
        </w:tabs>
        <w:autoSpaceDE w:val="0"/>
        <w:autoSpaceDN w:val="0"/>
        <w:ind w:firstLine="420" w:firstLineChars="200"/>
        <w:rPr>
          <w:rFonts w:eastAsia="黑体"/>
          <w:color w:val="auto"/>
        </w:rPr>
      </w:pPr>
      <w:r>
        <w:rPr>
          <w:rFonts w:hint="eastAsia" w:eastAsia="黑体"/>
          <w:color w:val="auto"/>
        </w:rPr>
        <w:t>环境产品声明</w:t>
      </w:r>
      <w:r>
        <w:rPr>
          <w:rFonts w:eastAsia="黑体"/>
          <w:color w:val="auto"/>
        </w:rPr>
        <w:t xml:space="preserve"> environmental product declaration</w:t>
      </w:r>
    </w:p>
    <w:p w14:paraId="1B3CA6A6">
      <w:pPr>
        <w:widowControl/>
        <w:tabs>
          <w:tab w:val="center" w:pos="4201"/>
          <w:tab w:val="right" w:leader="dot" w:pos="9298"/>
        </w:tabs>
        <w:autoSpaceDE w:val="0"/>
        <w:autoSpaceDN w:val="0"/>
        <w:ind w:firstLine="420" w:firstLineChars="200"/>
        <w:rPr>
          <w:rFonts w:ascii="宋体"/>
          <w:color w:val="auto"/>
          <w:kern w:val="0"/>
          <w:szCs w:val="20"/>
        </w:rPr>
      </w:pPr>
      <w:r>
        <w:rPr>
          <w:rFonts w:hint="eastAsia" w:ascii="宋体"/>
          <w:color w:val="auto"/>
          <w:kern w:val="0"/>
          <w:szCs w:val="20"/>
        </w:rPr>
        <w:t>提供基于预设参数的量化环境数据的环境声明，必要时包括附加环境信息。</w:t>
      </w:r>
    </w:p>
    <w:p w14:paraId="5321B6A4">
      <w:pPr>
        <w:widowControl/>
        <w:tabs>
          <w:tab w:val="center" w:pos="4201"/>
          <w:tab w:val="right" w:leader="dot" w:pos="9298"/>
        </w:tabs>
        <w:autoSpaceDE w:val="0"/>
        <w:autoSpaceDN w:val="0"/>
        <w:ind w:firstLine="420" w:firstLineChars="200"/>
        <w:rPr>
          <w:rFonts w:ascii="宋体"/>
          <w:color w:val="auto"/>
          <w:kern w:val="0"/>
          <w:szCs w:val="20"/>
        </w:rPr>
      </w:pPr>
    </w:p>
    <w:p w14:paraId="6BFE27EB">
      <w:pPr>
        <w:pStyle w:val="63"/>
        <w:spacing w:before="156" w:after="156"/>
        <w:rPr>
          <w:color w:val="auto"/>
        </w:rPr>
      </w:pPr>
    </w:p>
    <w:p w14:paraId="51B1B971">
      <w:pPr>
        <w:widowControl/>
        <w:tabs>
          <w:tab w:val="center" w:pos="4201"/>
          <w:tab w:val="right" w:leader="dot" w:pos="9298"/>
        </w:tabs>
        <w:autoSpaceDE w:val="0"/>
        <w:autoSpaceDN w:val="0"/>
        <w:ind w:firstLine="420" w:firstLineChars="200"/>
        <w:rPr>
          <w:rFonts w:eastAsia="黑体"/>
          <w:color w:val="auto"/>
        </w:rPr>
      </w:pPr>
      <w:r>
        <w:rPr>
          <w:rFonts w:hint="eastAsia" w:eastAsia="黑体"/>
          <w:color w:val="auto"/>
        </w:rPr>
        <w:t>碳足迹</w:t>
      </w:r>
      <w:r>
        <w:rPr>
          <w:rFonts w:eastAsia="黑体"/>
          <w:color w:val="auto"/>
        </w:rPr>
        <w:t xml:space="preserve">  </w:t>
      </w:r>
      <w:r>
        <w:rPr>
          <w:color w:val="auto"/>
        </w:rPr>
        <w:fldChar w:fldCharType="begin"/>
      </w:r>
      <w:r>
        <w:rPr>
          <w:color w:val="auto"/>
        </w:rPr>
        <w:instrText xml:space="preserve"> HYPERLINK "http://www.baidu.com/link?url=NM-sDc8vF8f6LBJJjre3x3OgH29MNSR7nUOi6mno3-iVlHb3Zlvs9wTbxnKcKC6gPud9_XI7Qg3qobY6J2p3_MuxwSugBbZWQE3OggbMvUq" \t "https://www.baidu.com/_blank" </w:instrText>
      </w:r>
      <w:r>
        <w:rPr>
          <w:color w:val="auto"/>
        </w:rPr>
        <w:fldChar w:fldCharType="separate"/>
      </w:r>
      <w:r>
        <w:rPr>
          <w:rFonts w:eastAsia="黑体"/>
          <w:color w:val="auto"/>
        </w:rPr>
        <w:t>carbon footprint</w:t>
      </w:r>
      <w:r>
        <w:rPr>
          <w:rFonts w:eastAsia="黑体"/>
          <w:color w:val="auto"/>
        </w:rPr>
        <w:fldChar w:fldCharType="end"/>
      </w:r>
    </w:p>
    <w:p w14:paraId="2A240E87">
      <w:pPr>
        <w:widowControl/>
        <w:tabs>
          <w:tab w:val="center" w:pos="4201"/>
          <w:tab w:val="right" w:leader="dot" w:pos="9298"/>
        </w:tabs>
        <w:autoSpaceDE w:val="0"/>
        <w:autoSpaceDN w:val="0"/>
        <w:ind w:firstLine="420" w:firstLineChars="200"/>
        <w:rPr>
          <w:rFonts w:ascii="宋体"/>
          <w:color w:val="auto"/>
          <w:kern w:val="0"/>
          <w:szCs w:val="20"/>
        </w:rPr>
      </w:pPr>
      <w:r>
        <w:rPr>
          <w:rFonts w:hint="eastAsia" w:ascii="宋体"/>
          <w:color w:val="auto"/>
          <w:kern w:val="0"/>
          <w:szCs w:val="20"/>
        </w:rPr>
        <w:t>用以量化过程、过程系统或产品系统温室气体排放的参数，以表现它们对气候变化的贡献。</w:t>
      </w:r>
    </w:p>
    <w:p w14:paraId="09FBFD93">
      <w:pPr>
        <w:pStyle w:val="25"/>
        <w:ind w:firstLine="0" w:firstLineChars="0"/>
        <w:rPr>
          <w:color w:val="auto"/>
        </w:rPr>
      </w:pPr>
    </w:p>
    <w:bookmarkEnd w:id="30"/>
    <w:bookmarkEnd w:id="37"/>
    <w:bookmarkEnd w:id="38"/>
    <w:bookmarkEnd w:id="39"/>
    <w:bookmarkEnd w:id="40"/>
    <w:bookmarkEnd w:id="41"/>
    <w:bookmarkEnd w:id="42"/>
    <w:bookmarkEnd w:id="43"/>
    <w:bookmarkEnd w:id="44"/>
    <w:bookmarkEnd w:id="45"/>
    <w:bookmarkEnd w:id="46"/>
    <w:bookmarkEnd w:id="47"/>
    <w:p w14:paraId="5E0CB483">
      <w:pPr>
        <w:pStyle w:val="77"/>
        <w:spacing w:before="312" w:after="312"/>
        <w:rPr>
          <w:rFonts w:hint="eastAsia" w:hAnsi="黑体"/>
          <w:bCs/>
          <w:color w:val="auto"/>
          <w:szCs w:val="21"/>
        </w:rPr>
      </w:pPr>
      <w:bookmarkStart w:id="48" w:name="_Toc462063257"/>
      <w:bookmarkStart w:id="49" w:name="_Toc532820829"/>
      <w:bookmarkStart w:id="50" w:name="_Toc406486353"/>
      <w:bookmarkStart w:id="51" w:name="_Toc532820957"/>
      <w:r>
        <w:rPr>
          <w:rFonts w:hint="eastAsia" w:hAnsi="黑体"/>
          <w:bCs/>
          <w:color w:val="auto"/>
          <w:szCs w:val="21"/>
        </w:rPr>
        <w:t>评价要求</w:t>
      </w:r>
      <w:bookmarkEnd w:id="48"/>
      <w:bookmarkEnd w:id="49"/>
      <w:bookmarkEnd w:id="50"/>
      <w:bookmarkEnd w:id="51"/>
    </w:p>
    <w:p w14:paraId="2875DF5B">
      <w:pPr>
        <w:pStyle w:val="63"/>
        <w:spacing w:before="156" w:after="156"/>
        <w:rPr>
          <w:rFonts w:hint="eastAsia" w:hAnsi="黑体"/>
          <w:bCs/>
          <w:color w:val="auto"/>
        </w:rPr>
      </w:pPr>
      <w:bookmarkStart w:id="52" w:name="_Toc22141"/>
      <w:bookmarkStart w:id="53" w:name="_Toc532820958"/>
      <w:bookmarkStart w:id="54" w:name="_Toc406486354"/>
      <w:bookmarkStart w:id="55" w:name="_Toc459107153"/>
      <w:bookmarkStart w:id="56" w:name="_Toc532820830"/>
      <w:bookmarkStart w:id="57" w:name="_Toc456611366"/>
      <w:bookmarkStart w:id="58" w:name="_Toc360632439"/>
      <w:bookmarkStart w:id="59" w:name="_Toc350864000"/>
      <w:bookmarkStart w:id="60" w:name="_Toc396134049"/>
      <w:bookmarkStart w:id="61" w:name="_Toc360436848"/>
      <w:bookmarkStart w:id="62" w:name="_Toc406486355"/>
      <w:bookmarkStart w:id="63" w:name="_Toc384816564"/>
      <w:bookmarkStart w:id="64" w:name="_Toc360436761"/>
      <w:r>
        <w:rPr>
          <w:rFonts w:hint="eastAsia" w:hAnsi="黑体"/>
          <w:bCs/>
          <w:color w:val="auto"/>
        </w:rPr>
        <w:t>一般要求</w:t>
      </w:r>
      <w:bookmarkEnd w:id="52"/>
      <w:bookmarkEnd w:id="53"/>
      <w:bookmarkEnd w:id="54"/>
      <w:bookmarkEnd w:id="55"/>
      <w:bookmarkEnd w:id="56"/>
      <w:bookmarkEnd w:id="57"/>
    </w:p>
    <w:p w14:paraId="4D0670C3">
      <w:pPr>
        <w:pStyle w:val="62"/>
        <w:spacing w:before="156" w:after="156"/>
        <w:rPr>
          <w:rFonts w:hint="eastAsia" w:ascii="Times New Roman" w:hAnsi="宋体" w:eastAsia="宋体"/>
          <w:bCs/>
          <w:color w:val="auto"/>
        </w:rPr>
      </w:pPr>
      <w:bookmarkStart w:id="65" w:name="_Toc436234466"/>
      <w:r>
        <w:rPr>
          <w:rFonts w:hint="eastAsia" w:ascii="Times New Roman" w:eastAsia="宋体"/>
          <w:color w:val="auto"/>
        </w:rPr>
        <w:t>生产企业连续</w:t>
      </w:r>
      <w:r>
        <w:rPr>
          <w:rFonts w:hint="eastAsia" w:ascii="Times New Roman" w:eastAsia="宋体"/>
          <w:color w:val="auto"/>
          <w:lang w:val="en-US" w:eastAsia="zh-CN"/>
        </w:rPr>
        <w:t>3</w:t>
      </w:r>
      <w:r>
        <w:rPr>
          <w:rFonts w:hint="eastAsia" w:ascii="Times New Roman" w:eastAsia="宋体"/>
          <w:color w:val="auto"/>
        </w:rPr>
        <w:t>年无环境污染事件</w:t>
      </w:r>
      <w:r>
        <w:rPr>
          <w:rFonts w:hint="eastAsia" w:ascii="Times New Roman" w:eastAsia="宋体"/>
          <w:color w:val="auto"/>
          <w:lang w:val="en-US" w:eastAsia="zh-CN"/>
        </w:rPr>
        <w:t>及</w:t>
      </w:r>
      <w:r>
        <w:rPr>
          <w:rFonts w:hint="eastAsia" w:ascii="Times New Roman" w:eastAsia="宋体"/>
          <w:color w:val="auto"/>
        </w:rPr>
        <w:t>安全事故。</w:t>
      </w:r>
    </w:p>
    <w:p w14:paraId="0B20C65B">
      <w:pPr>
        <w:pStyle w:val="62"/>
        <w:spacing w:before="156" w:after="156"/>
        <w:rPr>
          <w:color w:val="auto"/>
        </w:rPr>
      </w:pPr>
      <w:r>
        <w:rPr>
          <w:rFonts w:hint="eastAsia" w:ascii="Times New Roman" w:eastAsia="宋体"/>
          <w:color w:val="auto"/>
        </w:rPr>
        <w:t>生产企业应采用国家鼓励的先进技术工艺，不应使用国家或有关部门发布的淘汰或禁止的技术、工艺、装备及相关物质。</w:t>
      </w:r>
    </w:p>
    <w:p w14:paraId="0366388D">
      <w:pPr>
        <w:pStyle w:val="62"/>
        <w:spacing w:before="156" w:after="156"/>
        <w:rPr>
          <w:rFonts w:ascii="Times New Roman" w:eastAsia="宋体"/>
          <w:color w:val="auto"/>
        </w:rPr>
      </w:pPr>
      <w:r>
        <w:rPr>
          <w:rFonts w:hint="eastAsia" w:ascii="Times New Roman" w:eastAsia="宋体"/>
          <w:color w:val="auto"/>
        </w:rPr>
        <w:t>生产企业应按照GB/T 19001、GB/T 24001和GB/T 45001的规定分别建立并运行质量管理体系、环境管理体系和职业健康安全管理体系。</w:t>
      </w:r>
    </w:p>
    <w:p w14:paraId="03942223">
      <w:pPr>
        <w:pStyle w:val="25"/>
        <w:ind w:firstLine="0" w:firstLineChars="0"/>
        <w:rPr>
          <w:color w:val="auto"/>
        </w:rPr>
      </w:pPr>
      <w:r>
        <w:rPr>
          <w:rFonts w:hint="eastAsia" w:ascii="Times New Roman" w:hAnsi="宋体"/>
          <w:bCs/>
          <w:color w:val="auto"/>
        </w:rPr>
        <w:t>4</w:t>
      </w:r>
      <w:r>
        <w:rPr>
          <w:rFonts w:ascii="Times New Roman" w:hAnsi="宋体"/>
          <w:bCs/>
          <w:color w:val="auto"/>
        </w:rPr>
        <w:t xml:space="preserve">.1.4  </w:t>
      </w:r>
      <w:r>
        <w:rPr>
          <w:rFonts w:hint="eastAsia" w:ascii="Times New Roman"/>
          <w:color w:val="auto"/>
        </w:rPr>
        <w:t>一般工业固体废物的收集、贮存、处置应符合GB 18599的规定。危险废物的贮存应符合GB 18597的规定，后续应交付持有危险废物经营许可证的单位处置。</w:t>
      </w:r>
    </w:p>
    <w:p w14:paraId="64EE52EF">
      <w:pPr>
        <w:pStyle w:val="62"/>
        <w:numPr>
          <w:ilvl w:val="2"/>
          <w:numId w:val="17"/>
        </w:numPr>
        <w:spacing w:before="156" w:after="156"/>
        <w:rPr>
          <w:rFonts w:hint="eastAsia" w:ascii="Times New Roman" w:hAnsi="宋体" w:eastAsia="宋体"/>
          <w:bCs/>
          <w:color w:val="auto"/>
        </w:rPr>
      </w:pPr>
      <w:r>
        <w:rPr>
          <w:rFonts w:hint="eastAsia" w:ascii="Times New Roman" w:hAnsi="宋体" w:eastAsia="宋体"/>
          <w:bCs/>
          <w:color w:val="auto"/>
        </w:rPr>
        <w:t>产品基本性能应优于GB</w:t>
      </w:r>
      <w:r>
        <w:rPr>
          <w:rFonts w:ascii="Times New Roman" w:hAnsi="宋体" w:eastAsia="宋体"/>
          <w:bCs/>
          <w:color w:val="auto"/>
        </w:rPr>
        <w:t>/T 41494</w:t>
      </w:r>
      <w:r>
        <w:rPr>
          <w:rFonts w:hint="eastAsia" w:ascii="Times New Roman" w:hAnsi="宋体" w:eastAsia="宋体"/>
          <w:bCs/>
          <w:color w:val="auto"/>
        </w:rPr>
        <w:t>现行标准的要求。</w:t>
      </w:r>
    </w:p>
    <w:p w14:paraId="25F079D6">
      <w:pPr>
        <w:pStyle w:val="62"/>
        <w:numPr>
          <w:ilvl w:val="2"/>
          <w:numId w:val="17"/>
        </w:numPr>
        <w:spacing w:before="156" w:after="156"/>
        <w:rPr>
          <w:rFonts w:hint="eastAsia" w:ascii="Times New Roman" w:hAnsi="宋体" w:eastAsia="宋体"/>
          <w:bCs/>
          <w:color w:val="auto"/>
          <w:highlight w:val="none"/>
        </w:rPr>
      </w:pPr>
      <w:r>
        <w:rPr>
          <w:rFonts w:hint="eastAsia" w:ascii="Times New Roman" w:hAnsi="宋体" w:eastAsia="宋体"/>
          <w:bCs/>
          <w:color w:val="auto"/>
          <w:highlight w:val="none"/>
        </w:rPr>
        <w:t>铝合金衬塑复合管材与相应管件应由同一企业生产</w:t>
      </w:r>
      <w:r>
        <w:rPr>
          <w:rFonts w:hint="eastAsia" w:ascii="Times New Roman" w:hAnsi="宋体" w:eastAsia="宋体"/>
          <w:bCs/>
          <w:color w:val="auto"/>
          <w:highlight w:val="none"/>
          <w:lang w:val="en-US" w:eastAsia="zh-CN"/>
        </w:rPr>
        <w:t>且具有与商标一致性标识。</w:t>
      </w:r>
    </w:p>
    <w:p w14:paraId="4AF5DE03">
      <w:pPr>
        <w:pStyle w:val="62"/>
        <w:numPr>
          <w:ilvl w:val="2"/>
          <w:numId w:val="17"/>
        </w:numPr>
        <w:spacing w:before="156" w:after="156"/>
        <w:rPr>
          <w:rFonts w:ascii="Times New Roman" w:eastAsia="宋体"/>
          <w:color w:val="auto"/>
          <w:szCs w:val="20"/>
        </w:rPr>
      </w:pPr>
      <w:r>
        <w:rPr>
          <w:rFonts w:hint="eastAsia" w:ascii="Times New Roman" w:eastAsia="宋体"/>
          <w:color w:val="auto"/>
          <w:szCs w:val="20"/>
        </w:rPr>
        <w:t>申请不同等级的生产企业还应符合表</w:t>
      </w:r>
      <w:r>
        <w:rPr>
          <w:rFonts w:ascii="Times New Roman" w:eastAsia="宋体"/>
          <w:color w:val="auto"/>
          <w:szCs w:val="20"/>
        </w:rPr>
        <w:t>1</w:t>
      </w:r>
      <w:r>
        <w:rPr>
          <w:rFonts w:hint="eastAsia" w:ascii="Times New Roman" w:eastAsia="宋体"/>
          <w:color w:val="auto"/>
          <w:szCs w:val="20"/>
        </w:rPr>
        <w:t>的规定。</w:t>
      </w:r>
      <w:bookmarkStart w:id="66" w:name="_Toc140158622"/>
      <w:bookmarkStart w:id="67" w:name="_Toc130391444"/>
      <w:bookmarkStart w:id="68" w:name="_Toc140158793"/>
      <w:bookmarkStart w:id="69" w:name="_Toc140158682"/>
    </w:p>
    <w:p w14:paraId="223A8336">
      <w:pPr>
        <w:pStyle w:val="25"/>
        <w:rPr>
          <w:color w:val="auto"/>
        </w:rPr>
      </w:pPr>
    </w:p>
    <w:p w14:paraId="3B9232CF">
      <w:pPr>
        <w:pStyle w:val="77"/>
        <w:numPr>
          <w:ilvl w:val="0"/>
          <w:numId w:val="0"/>
        </w:numPr>
        <w:spacing w:before="156" w:beforeLines="50" w:after="156" w:afterLines="50"/>
        <w:jc w:val="center"/>
        <w:outlineLvl w:val="9"/>
        <w:rPr>
          <w:rFonts w:ascii="Times New Roman"/>
          <w:color w:val="auto"/>
        </w:rPr>
      </w:pPr>
      <w:r>
        <w:rPr>
          <w:rFonts w:hint="eastAsia" w:ascii="Times New Roman"/>
          <w:color w:val="auto"/>
        </w:rPr>
        <w:t>表</w:t>
      </w:r>
      <w:r>
        <w:rPr>
          <w:rFonts w:ascii="Times New Roman"/>
          <w:color w:val="auto"/>
        </w:rPr>
        <w:t>1</w:t>
      </w:r>
      <w:r>
        <w:rPr>
          <w:rFonts w:hint="eastAsia" w:ascii="Times New Roman"/>
          <w:color w:val="auto"/>
        </w:rPr>
        <w:t xml:space="preserve">  申请企业等级规定</w:t>
      </w:r>
      <w:bookmarkEnd w:id="66"/>
      <w:bookmarkEnd w:id="67"/>
      <w:bookmarkEnd w:id="68"/>
      <w:bookmarkEnd w:id="69"/>
    </w:p>
    <w:tbl>
      <w:tblPr>
        <w:tblStyle w:val="3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4663"/>
        <w:gridCol w:w="1418"/>
        <w:gridCol w:w="1417"/>
        <w:gridCol w:w="1604"/>
      </w:tblGrid>
      <w:tr w14:paraId="0BC0D6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4663" w:type="dxa"/>
            <w:vMerge w:val="restart"/>
            <w:tcBorders>
              <w:tl2br w:val="nil"/>
              <w:tr2bl w:val="nil"/>
            </w:tcBorders>
            <w:shd w:val="clear" w:color="auto" w:fill="auto"/>
            <w:vAlign w:val="center"/>
          </w:tcPr>
          <w:p w14:paraId="72B3F0E9">
            <w:pPr>
              <w:jc w:val="center"/>
              <w:rPr>
                <w:color w:val="auto"/>
                <w:sz w:val="18"/>
                <w:szCs w:val="18"/>
              </w:rPr>
            </w:pPr>
            <w:r>
              <w:rPr>
                <w:color w:val="auto"/>
                <w:sz w:val="18"/>
                <w:szCs w:val="18"/>
              </w:rPr>
              <w:t>具体规定</w:t>
            </w:r>
          </w:p>
        </w:tc>
        <w:tc>
          <w:tcPr>
            <w:tcW w:w="4439" w:type="dxa"/>
            <w:gridSpan w:val="3"/>
            <w:tcBorders>
              <w:tl2br w:val="nil"/>
              <w:tr2bl w:val="nil"/>
            </w:tcBorders>
            <w:shd w:val="clear" w:color="auto" w:fill="auto"/>
            <w:vAlign w:val="center"/>
          </w:tcPr>
          <w:p w14:paraId="7C2DFFF2">
            <w:pPr>
              <w:jc w:val="center"/>
              <w:rPr>
                <w:color w:val="auto"/>
                <w:kern w:val="0"/>
                <w:sz w:val="18"/>
                <w:szCs w:val="18"/>
              </w:rPr>
            </w:pPr>
            <w:r>
              <w:rPr>
                <w:color w:val="auto"/>
                <w:kern w:val="0"/>
                <w:sz w:val="18"/>
                <w:szCs w:val="18"/>
              </w:rPr>
              <w:t>不同评价等级符合项</w:t>
            </w:r>
            <w:r>
              <w:rPr>
                <w:rFonts w:hint="eastAsia"/>
                <w:color w:val="auto"/>
                <w:kern w:val="0"/>
                <w:sz w:val="18"/>
                <w:szCs w:val="18"/>
              </w:rPr>
              <w:t>数</w:t>
            </w:r>
            <w:r>
              <w:rPr>
                <w:color w:val="auto"/>
                <w:kern w:val="0"/>
                <w:sz w:val="18"/>
                <w:szCs w:val="18"/>
              </w:rPr>
              <w:t>要求</w:t>
            </w:r>
          </w:p>
        </w:tc>
      </w:tr>
      <w:tr w14:paraId="0F7C1F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4663" w:type="dxa"/>
            <w:vMerge w:val="continue"/>
            <w:tcBorders>
              <w:tl2br w:val="nil"/>
              <w:tr2bl w:val="nil"/>
            </w:tcBorders>
            <w:shd w:val="clear" w:color="auto" w:fill="auto"/>
            <w:vAlign w:val="center"/>
          </w:tcPr>
          <w:p w14:paraId="00025795">
            <w:pPr>
              <w:jc w:val="center"/>
              <w:rPr>
                <w:color w:val="auto"/>
                <w:sz w:val="18"/>
                <w:szCs w:val="18"/>
              </w:rPr>
            </w:pPr>
          </w:p>
        </w:tc>
        <w:tc>
          <w:tcPr>
            <w:tcW w:w="1418" w:type="dxa"/>
            <w:tcBorders>
              <w:tl2br w:val="nil"/>
              <w:tr2bl w:val="nil"/>
            </w:tcBorders>
            <w:shd w:val="clear" w:color="auto" w:fill="auto"/>
            <w:vAlign w:val="center"/>
          </w:tcPr>
          <w:p w14:paraId="74E6B0EA">
            <w:pPr>
              <w:jc w:val="center"/>
              <w:rPr>
                <w:color w:val="auto"/>
                <w:kern w:val="0"/>
                <w:sz w:val="18"/>
                <w:szCs w:val="18"/>
              </w:rPr>
            </w:pPr>
            <w:r>
              <w:rPr>
                <w:color w:val="auto"/>
                <w:kern w:val="0"/>
                <w:sz w:val="18"/>
                <w:szCs w:val="18"/>
              </w:rPr>
              <w:t>一星级</w:t>
            </w:r>
          </w:p>
        </w:tc>
        <w:tc>
          <w:tcPr>
            <w:tcW w:w="1417" w:type="dxa"/>
            <w:tcBorders>
              <w:tl2br w:val="nil"/>
              <w:tr2bl w:val="nil"/>
            </w:tcBorders>
            <w:shd w:val="clear" w:color="auto" w:fill="auto"/>
            <w:vAlign w:val="center"/>
          </w:tcPr>
          <w:p w14:paraId="511DED48">
            <w:pPr>
              <w:jc w:val="center"/>
              <w:rPr>
                <w:color w:val="auto"/>
                <w:kern w:val="0"/>
                <w:sz w:val="18"/>
                <w:szCs w:val="18"/>
              </w:rPr>
            </w:pPr>
            <w:r>
              <w:rPr>
                <w:color w:val="auto"/>
                <w:kern w:val="0"/>
                <w:sz w:val="18"/>
                <w:szCs w:val="18"/>
              </w:rPr>
              <w:t>二星级</w:t>
            </w:r>
          </w:p>
        </w:tc>
        <w:tc>
          <w:tcPr>
            <w:tcW w:w="1604" w:type="dxa"/>
            <w:tcBorders>
              <w:tl2br w:val="nil"/>
              <w:tr2bl w:val="nil"/>
            </w:tcBorders>
            <w:shd w:val="clear" w:color="auto" w:fill="auto"/>
            <w:vAlign w:val="center"/>
          </w:tcPr>
          <w:p w14:paraId="0424B68E">
            <w:pPr>
              <w:jc w:val="center"/>
              <w:rPr>
                <w:color w:val="auto"/>
                <w:kern w:val="0"/>
                <w:sz w:val="18"/>
                <w:szCs w:val="18"/>
              </w:rPr>
            </w:pPr>
            <w:r>
              <w:rPr>
                <w:color w:val="auto"/>
                <w:kern w:val="0"/>
                <w:sz w:val="18"/>
                <w:szCs w:val="18"/>
              </w:rPr>
              <w:t>三星级</w:t>
            </w:r>
          </w:p>
        </w:tc>
      </w:tr>
      <w:tr w14:paraId="787B1F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4663" w:type="dxa"/>
            <w:tcBorders>
              <w:tl2br w:val="nil"/>
              <w:tr2bl w:val="nil"/>
            </w:tcBorders>
            <w:shd w:val="clear" w:color="auto" w:fill="auto"/>
            <w:vAlign w:val="center"/>
          </w:tcPr>
          <w:p w14:paraId="27CEA17E">
            <w:pPr>
              <w:jc w:val="left"/>
              <w:rPr>
                <w:color w:val="auto"/>
                <w:sz w:val="18"/>
                <w:szCs w:val="18"/>
              </w:rPr>
            </w:pPr>
            <w:r>
              <w:rPr>
                <w:color w:val="auto"/>
                <w:sz w:val="18"/>
                <w:szCs w:val="18"/>
              </w:rPr>
              <w:t>安全生产标准化</w:t>
            </w:r>
            <w:r>
              <w:rPr>
                <w:rFonts w:hint="eastAsia"/>
                <w:color w:val="auto"/>
                <w:sz w:val="18"/>
                <w:szCs w:val="18"/>
              </w:rPr>
              <w:t>符合</w:t>
            </w:r>
            <w:r>
              <w:rPr>
                <w:color w:val="auto"/>
                <w:sz w:val="18"/>
                <w:szCs w:val="18"/>
              </w:rPr>
              <w:t>GB/T 33000</w:t>
            </w:r>
            <w:r>
              <w:rPr>
                <w:rFonts w:hint="eastAsia"/>
                <w:color w:val="auto"/>
                <w:sz w:val="18"/>
                <w:szCs w:val="18"/>
              </w:rPr>
              <w:t>的规定</w:t>
            </w:r>
          </w:p>
        </w:tc>
        <w:tc>
          <w:tcPr>
            <w:tcW w:w="1418" w:type="dxa"/>
            <w:vMerge w:val="restart"/>
            <w:tcBorders>
              <w:tl2br w:val="nil"/>
              <w:tr2bl w:val="nil"/>
            </w:tcBorders>
            <w:shd w:val="clear" w:color="auto" w:fill="auto"/>
            <w:vAlign w:val="center"/>
          </w:tcPr>
          <w:p w14:paraId="3D163325">
            <w:pPr>
              <w:jc w:val="center"/>
              <w:rPr>
                <w:color w:val="auto"/>
                <w:kern w:val="0"/>
                <w:sz w:val="18"/>
                <w:szCs w:val="18"/>
              </w:rPr>
            </w:pPr>
            <w:r>
              <w:rPr>
                <w:color w:val="auto"/>
                <w:kern w:val="0"/>
                <w:sz w:val="18"/>
                <w:szCs w:val="18"/>
              </w:rPr>
              <w:t>—</w:t>
            </w:r>
          </w:p>
        </w:tc>
        <w:tc>
          <w:tcPr>
            <w:tcW w:w="1417" w:type="dxa"/>
            <w:vMerge w:val="restart"/>
            <w:tcBorders>
              <w:tl2br w:val="nil"/>
              <w:tr2bl w:val="nil"/>
            </w:tcBorders>
            <w:shd w:val="clear" w:color="auto" w:fill="auto"/>
            <w:vAlign w:val="center"/>
          </w:tcPr>
          <w:p w14:paraId="17B4DA27">
            <w:pPr>
              <w:jc w:val="center"/>
              <w:rPr>
                <w:color w:val="auto"/>
                <w:kern w:val="0"/>
                <w:sz w:val="18"/>
                <w:szCs w:val="18"/>
              </w:rPr>
            </w:pPr>
            <w:r>
              <w:rPr>
                <w:color w:val="auto"/>
                <w:kern w:val="0"/>
                <w:sz w:val="18"/>
                <w:szCs w:val="18"/>
              </w:rPr>
              <w:t>至少符合1项</w:t>
            </w:r>
          </w:p>
        </w:tc>
        <w:tc>
          <w:tcPr>
            <w:tcW w:w="1604" w:type="dxa"/>
            <w:vMerge w:val="restart"/>
            <w:tcBorders>
              <w:tl2br w:val="nil"/>
              <w:tr2bl w:val="nil"/>
            </w:tcBorders>
            <w:shd w:val="clear" w:color="auto" w:fill="auto"/>
            <w:vAlign w:val="center"/>
          </w:tcPr>
          <w:p w14:paraId="1021B721">
            <w:pPr>
              <w:jc w:val="center"/>
              <w:rPr>
                <w:color w:val="auto"/>
                <w:kern w:val="0"/>
                <w:sz w:val="18"/>
                <w:szCs w:val="18"/>
              </w:rPr>
            </w:pPr>
            <w:r>
              <w:rPr>
                <w:color w:val="auto"/>
                <w:kern w:val="0"/>
                <w:sz w:val="18"/>
                <w:szCs w:val="18"/>
              </w:rPr>
              <w:t>至少符合2项</w:t>
            </w:r>
          </w:p>
        </w:tc>
      </w:tr>
      <w:tr w14:paraId="5E7EB0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4663" w:type="dxa"/>
            <w:tcBorders>
              <w:tl2br w:val="nil"/>
              <w:tr2bl w:val="nil"/>
            </w:tcBorders>
            <w:shd w:val="clear" w:color="auto" w:fill="auto"/>
            <w:vAlign w:val="center"/>
          </w:tcPr>
          <w:p w14:paraId="268247F0">
            <w:pPr>
              <w:jc w:val="left"/>
              <w:rPr>
                <w:color w:val="auto"/>
                <w:sz w:val="18"/>
                <w:szCs w:val="18"/>
              </w:rPr>
            </w:pPr>
            <w:r>
              <w:rPr>
                <w:color w:val="auto"/>
                <w:sz w:val="18"/>
                <w:szCs w:val="18"/>
              </w:rPr>
              <w:t>按GB/T 23331建立并运行能源管理体系</w:t>
            </w:r>
          </w:p>
        </w:tc>
        <w:tc>
          <w:tcPr>
            <w:tcW w:w="1418" w:type="dxa"/>
            <w:vMerge w:val="continue"/>
            <w:tcBorders>
              <w:tl2br w:val="nil"/>
              <w:tr2bl w:val="nil"/>
            </w:tcBorders>
            <w:shd w:val="clear" w:color="auto" w:fill="auto"/>
            <w:vAlign w:val="center"/>
          </w:tcPr>
          <w:p w14:paraId="6F0E9654">
            <w:pPr>
              <w:jc w:val="center"/>
              <w:rPr>
                <w:color w:val="auto"/>
                <w:kern w:val="0"/>
                <w:sz w:val="18"/>
                <w:szCs w:val="18"/>
              </w:rPr>
            </w:pPr>
          </w:p>
        </w:tc>
        <w:tc>
          <w:tcPr>
            <w:tcW w:w="1417" w:type="dxa"/>
            <w:vMerge w:val="continue"/>
            <w:tcBorders>
              <w:tl2br w:val="nil"/>
              <w:tr2bl w:val="nil"/>
            </w:tcBorders>
            <w:shd w:val="clear" w:color="auto" w:fill="auto"/>
            <w:vAlign w:val="center"/>
          </w:tcPr>
          <w:p w14:paraId="1DAA140C">
            <w:pPr>
              <w:jc w:val="center"/>
              <w:rPr>
                <w:color w:val="auto"/>
                <w:kern w:val="0"/>
                <w:sz w:val="18"/>
                <w:szCs w:val="18"/>
              </w:rPr>
            </w:pPr>
          </w:p>
        </w:tc>
        <w:tc>
          <w:tcPr>
            <w:tcW w:w="1604" w:type="dxa"/>
            <w:vMerge w:val="continue"/>
            <w:tcBorders>
              <w:tl2br w:val="nil"/>
              <w:tr2bl w:val="nil"/>
            </w:tcBorders>
            <w:shd w:val="clear" w:color="auto" w:fill="auto"/>
            <w:vAlign w:val="center"/>
          </w:tcPr>
          <w:p w14:paraId="20CFC9D5">
            <w:pPr>
              <w:jc w:val="center"/>
              <w:rPr>
                <w:color w:val="auto"/>
                <w:kern w:val="0"/>
                <w:sz w:val="18"/>
                <w:szCs w:val="18"/>
              </w:rPr>
            </w:pPr>
          </w:p>
        </w:tc>
      </w:tr>
    </w:tbl>
    <w:p w14:paraId="519A6D80">
      <w:pPr>
        <w:pStyle w:val="25"/>
        <w:ind w:firstLine="0" w:firstLineChars="0"/>
        <w:rPr>
          <w:color w:val="auto"/>
        </w:rPr>
      </w:pPr>
    </w:p>
    <w:bookmarkEnd w:id="65"/>
    <w:p w14:paraId="2C67986D">
      <w:pPr>
        <w:pStyle w:val="63"/>
        <w:numPr>
          <w:ilvl w:val="0"/>
          <w:numId w:val="0"/>
        </w:numPr>
        <w:spacing w:before="156" w:after="156"/>
        <w:rPr>
          <w:color w:val="auto"/>
        </w:rPr>
      </w:pPr>
      <w:bookmarkStart w:id="70" w:name="_Toc532820959"/>
      <w:bookmarkStart w:id="71" w:name="_Toc31135"/>
      <w:bookmarkStart w:id="72" w:name="_Toc532820831"/>
      <w:bookmarkStart w:id="73" w:name="_Toc462063260"/>
      <w:r>
        <w:rPr>
          <w:rFonts w:hint="eastAsia"/>
          <w:color w:val="auto"/>
        </w:rPr>
        <w:t>4</w:t>
      </w:r>
      <w:r>
        <w:rPr>
          <w:color w:val="auto"/>
        </w:rPr>
        <w:t>.2</w:t>
      </w:r>
      <w:r>
        <w:rPr>
          <w:rFonts w:hint="eastAsia"/>
          <w:color w:val="auto"/>
        </w:rPr>
        <w:t>评价指标要求</w:t>
      </w:r>
      <w:bookmarkEnd w:id="58"/>
      <w:bookmarkEnd w:id="59"/>
      <w:bookmarkEnd w:id="60"/>
      <w:bookmarkEnd w:id="61"/>
      <w:bookmarkEnd w:id="62"/>
      <w:bookmarkEnd w:id="63"/>
      <w:bookmarkEnd w:id="64"/>
      <w:bookmarkEnd w:id="70"/>
      <w:bookmarkEnd w:id="71"/>
      <w:bookmarkEnd w:id="72"/>
      <w:bookmarkEnd w:id="73"/>
    </w:p>
    <w:p w14:paraId="1D4F47AB">
      <w:pPr>
        <w:pStyle w:val="25"/>
        <w:rPr>
          <w:rFonts w:ascii="Times New Roman"/>
          <w:color w:val="auto"/>
        </w:rPr>
      </w:pPr>
      <w:r>
        <w:rPr>
          <w:rFonts w:hint="eastAsia" w:ascii="Times New Roman"/>
          <w:color w:val="auto"/>
        </w:rPr>
        <w:t>铝合金衬塑复合管材与管件评价指标包括资源属性指标、能源属性指标、环境属性指标和品质属性指标。指标体系由一级指标和二级指标组成，</w:t>
      </w:r>
      <w:r>
        <w:rPr>
          <w:rFonts w:ascii="Times New Roman"/>
          <w:color w:val="auto"/>
        </w:rPr>
        <w:t>评价</w:t>
      </w:r>
      <w:r>
        <w:rPr>
          <w:rFonts w:hint="eastAsia" w:ascii="Times New Roman"/>
          <w:color w:val="auto"/>
        </w:rPr>
        <w:t>指标符合表2的要求。</w:t>
      </w:r>
    </w:p>
    <w:p w14:paraId="3D607ED1">
      <w:pPr>
        <w:pStyle w:val="25"/>
        <w:rPr>
          <w:color w:val="auto"/>
        </w:rPr>
      </w:pPr>
      <w:bookmarkStart w:id="74" w:name="_Toc130391446"/>
      <w:bookmarkStart w:id="75" w:name="_Toc140158684"/>
      <w:bookmarkStart w:id="76" w:name="_Toc140158795"/>
      <w:bookmarkStart w:id="77" w:name="_Toc140158624"/>
    </w:p>
    <w:p w14:paraId="307B122C">
      <w:pPr>
        <w:pStyle w:val="77"/>
        <w:numPr>
          <w:ilvl w:val="0"/>
          <w:numId w:val="0"/>
        </w:numPr>
        <w:spacing w:before="156" w:beforeLines="50" w:after="156" w:afterLines="50"/>
        <w:jc w:val="center"/>
        <w:outlineLvl w:val="9"/>
        <w:rPr>
          <w:rFonts w:ascii="Times New Roman"/>
          <w:color w:val="auto"/>
        </w:rPr>
      </w:pPr>
      <w:r>
        <w:rPr>
          <w:rFonts w:hint="eastAsia" w:ascii="Times New Roman"/>
          <w:color w:val="auto"/>
        </w:rPr>
        <w:t>表</w:t>
      </w:r>
      <w:r>
        <w:rPr>
          <w:rFonts w:ascii="Times New Roman"/>
          <w:color w:val="auto"/>
        </w:rPr>
        <w:t>2</w:t>
      </w:r>
      <w:r>
        <w:rPr>
          <w:rFonts w:hint="eastAsia" w:ascii="Times New Roman"/>
          <w:color w:val="auto"/>
        </w:rPr>
        <w:t xml:space="preserve">  铝合金衬塑复合管材与管件评价指标要求</w:t>
      </w:r>
      <w:bookmarkEnd w:id="74"/>
      <w:bookmarkEnd w:id="75"/>
      <w:bookmarkEnd w:id="76"/>
      <w:bookmarkEnd w:id="77"/>
    </w:p>
    <w:tbl>
      <w:tblPr>
        <w:tblStyle w:val="34"/>
        <w:tblW w:w="10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26"/>
        <w:gridCol w:w="597"/>
        <w:gridCol w:w="576"/>
        <w:gridCol w:w="273"/>
        <w:gridCol w:w="583"/>
        <w:gridCol w:w="72"/>
        <w:gridCol w:w="641"/>
        <w:gridCol w:w="720"/>
        <w:gridCol w:w="872"/>
        <w:gridCol w:w="1579"/>
        <w:gridCol w:w="1056"/>
        <w:gridCol w:w="1321"/>
        <w:gridCol w:w="1741"/>
      </w:tblGrid>
      <w:tr w14:paraId="0BA107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2" w:hRule="atLeast"/>
          <w:tblHeader/>
          <w:jc w:val="center"/>
        </w:trPr>
        <w:tc>
          <w:tcPr>
            <w:tcW w:w="726" w:type="dxa"/>
            <w:vMerge w:val="restart"/>
            <w:tcBorders>
              <w:tl2br w:val="nil"/>
              <w:tr2bl w:val="nil"/>
            </w:tcBorders>
            <w:shd w:val="clear" w:color="auto" w:fill="auto"/>
            <w:vAlign w:val="center"/>
          </w:tcPr>
          <w:p w14:paraId="7C74EAD0">
            <w:pPr>
              <w:widowControl/>
              <w:jc w:val="center"/>
              <w:rPr>
                <w:color w:val="auto"/>
                <w:kern w:val="0"/>
                <w:sz w:val="18"/>
                <w:szCs w:val="18"/>
              </w:rPr>
            </w:pPr>
            <w:r>
              <w:rPr>
                <w:rFonts w:hint="eastAsia"/>
                <w:color w:val="auto"/>
                <w:kern w:val="0"/>
                <w:sz w:val="18"/>
                <w:szCs w:val="18"/>
              </w:rPr>
              <w:t>一级指标</w:t>
            </w:r>
          </w:p>
        </w:tc>
        <w:tc>
          <w:tcPr>
            <w:tcW w:w="3462" w:type="dxa"/>
            <w:gridSpan w:val="7"/>
            <w:vMerge w:val="restart"/>
            <w:tcBorders>
              <w:tl2br w:val="nil"/>
              <w:tr2bl w:val="nil"/>
            </w:tcBorders>
            <w:shd w:val="clear" w:color="auto" w:fill="auto"/>
            <w:vAlign w:val="center"/>
          </w:tcPr>
          <w:p w14:paraId="2C611CAF">
            <w:pPr>
              <w:widowControl/>
              <w:jc w:val="center"/>
              <w:rPr>
                <w:color w:val="auto"/>
                <w:kern w:val="0"/>
                <w:sz w:val="18"/>
                <w:szCs w:val="18"/>
              </w:rPr>
            </w:pPr>
            <w:r>
              <w:rPr>
                <w:rFonts w:hint="eastAsia"/>
                <w:color w:val="auto"/>
                <w:kern w:val="0"/>
                <w:sz w:val="18"/>
                <w:szCs w:val="18"/>
              </w:rPr>
              <w:t>二级指标</w:t>
            </w:r>
          </w:p>
        </w:tc>
        <w:tc>
          <w:tcPr>
            <w:tcW w:w="872" w:type="dxa"/>
            <w:vMerge w:val="restart"/>
            <w:tcBorders>
              <w:tl2br w:val="nil"/>
              <w:tr2bl w:val="nil"/>
            </w:tcBorders>
            <w:shd w:val="clear" w:color="auto" w:fill="auto"/>
            <w:vAlign w:val="center"/>
          </w:tcPr>
          <w:p w14:paraId="24962770">
            <w:pPr>
              <w:widowControl/>
              <w:jc w:val="center"/>
              <w:rPr>
                <w:color w:val="auto"/>
                <w:kern w:val="0"/>
                <w:sz w:val="18"/>
                <w:szCs w:val="18"/>
              </w:rPr>
            </w:pPr>
            <w:r>
              <w:rPr>
                <w:rFonts w:hint="eastAsia"/>
                <w:color w:val="auto"/>
                <w:kern w:val="0"/>
                <w:sz w:val="18"/>
                <w:szCs w:val="18"/>
              </w:rPr>
              <w:t>单位</w:t>
            </w:r>
          </w:p>
        </w:tc>
        <w:tc>
          <w:tcPr>
            <w:tcW w:w="3956" w:type="dxa"/>
            <w:gridSpan w:val="3"/>
            <w:tcBorders>
              <w:tl2br w:val="nil"/>
              <w:tr2bl w:val="nil"/>
            </w:tcBorders>
            <w:shd w:val="clear" w:color="auto" w:fill="auto"/>
            <w:vAlign w:val="center"/>
          </w:tcPr>
          <w:p w14:paraId="2F73C091">
            <w:pPr>
              <w:widowControl/>
              <w:jc w:val="center"/>
              <w:rPr>
                <w:color w:val="auto"/>
                <w:kern w:val="0"/>
                <w:sz w:val="18"/>
                <w:szCs w:val="18"/>
              </w:rPr>
            </w:pPr>
            <w:r>
              <w:rPr>
                <w:rFonts w:hint="eastAsia"/>
                <w:color w:val="auto"/>
                <w:kern w:val="0"/>
                <w:sz w:val="18"/>
                <w:szCs w:val="18"/>
              </w:rPr>
              <w:t>基准值</w:t>
            </w:r>
          </w:p>
        </w:tc>
        <w:tc>
          <w:tcPr>
            <w:tcW w:w="1741" w:type="dxa"/>
            <w:vMerge w:val="restart"/>
            <w:tcBorders>
              <w:tl2br w:val="nil"/>
              <w:tr2bl w:val="nil"/>
            </w:tcBorders>
            <w:shd w:val="clear" w:color="auto" w:fill="auto"/>
            <w:vAlign w:val="center"/>
          </w:tcPr>
          <w:p w14:paraId="06AF3C18">
            <w:pPr>
              <w:widowControl/>
              <w:jc w:val="center"/>
              <w:rPr>
                <w:color w:val="auto"/>
                <w:kern w:val="0"/>
                <w:sz w:val="18"/>
                <w:szCs w:val="18"/>
              </w:rPr>
            </w:pPr>
            <w:r>
              <w:rPr>
                <w:rFonts w:hint="eastAsia"/>
                <w:color w:val="auto"/>
                <w:kern w:val="0"/>
                <w:sz w:val="18"/>
                <w:szCs w:val="18"/>
              </w:rPr>
              <w:t>评价依据</w:t>
            </w:r>
          </w:p>
        </w:tc>
      </w:tr>
      <w:tr w14:paraId="4AAE96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tblHeader/>
          <w:jc w:val="center"/>
        </w:trPr>
        <w:tc>
          <w:tcPr>
            <w:tcW w:w="726" w:type="dxa"/>
            <w:vMerge w:val="continue"/>
            <w:tcBorders>
              <w:tl2br w:val="nil"/>
              <w:tr2bl w:val="nil"/>
            </w:tcBorders>
            <w:shd w:val="clear" w:color="auto" w:fill="auto"/>
            <w:vAlign w:val="center"/>
          </w:tcPr>
          <w:p w14:paraId="3BB48429">
            <w:pPr>
              <w:jc w:val="center"/>
              <w:rPr>
                <w:color w:val="auto"/>
                <w:sz w:val="18"/>
                <w:szCs w:val="18"/>
              </w:rPr>
            </w:pPr>
          </w:p>
        </w:tc>
        <w:tc>
          <w:tcPr>
            <w:tcW w:w="3462" w:type="dxa"/>
            <w:gridSpan w:val="7"/>
            <w:vMerge w:val="continue"/>
            <w:tcBorders>
              <w:tl2br w:val="nil"/>
              <w:tr2bl w:val="nil"/>
            </w:tcBorders>
            <w:shd w:val="clear" w:color="auto" w:fill="auto"/>
            <w:vAlign w:val="center"/>
          </w:tcPr>
          <w:p w14:paraId="173EE014">
            <w:pPr>
              <w:jc w:val="center"/>
              <w:rPr>
                <w:color w:val="auto"/>
                <w:sz w:val="18"/>
                <w:szCs w:val="18"/>
              </w:rPr>
            </w:pPr>
          </w:p>
        </w:tc>
        <w:tc>
          <w:tcPr>
            <w:tcW w:w="872" w:type="dxa"/>
            <w:vMerge w:val="continue"/>
            <w:tcBorders>
              <w:tl2br w:val="nil"/>
              <w:tr2bl w:val="nil"/>
            </w:tcBorders>
            <w:shd w:val="clear" w:color="auto" w:fill="auto"/>
            <w:vAlign w:val="center"/>
          </w:tcPr>
          <w:p w14:paraId="6227282B">
            <w:pPr>
              <w:jc w:val="center"/>
              <w:rPr>
                <w:color w:val="auto"/>
                <w:sz w:val="18"/>
                <w:szCs w:val="18"/>
              </w:rPr>
            </w:pPr>
          </w:p>
        </w:tc>
        <w:tc>
          <w:tcPr>
            <w:tcW w:w="1579" w:type="dxa"/>
            <w:tcBorders>
              <w:tl2br w:val="nil"/>
              <w:tr2bl w:val="nil"/>
            </w:tcBorders>
            <w:shd w:val="clear" w:color="auto" w:fill="auto"/>
            <w:vAlign w:val="center"/>
          </w:tcPr>
          <w:p w14:paraId="133CEFB6">
            <w:pPr>
              <w:jc w:val="center"/>
              <w:rPr>
                <w:color w:val="auto"/>
                <w:sz w:val="18"/>
                <w:szCs w:val="18"/>
              </w:rPr>
            </w:pPr>
            <w:r>
              <w:rPr>
                <w:rFonts w:hint="eastAsia"/>
                <w:color w:val="auto"/>
                <w:kern w:val="0"/>
                <w:sz w:val="18"/>
                <w:szCs w:val="18"/>
              </w:rPr>
              <w:t>一星级</w:t>
            </w:r>
          </w:p>
        </w:tc>
        <w:tc>
          <w:tcPr>
            <w:tcW w:w="1056" w:type="dxa"/>
            <w:tcBorders>
              <w:tl2br w:val="nil"/>
              <w:tr2bl w:val="nil"/>
            </w:tcBorders>
            <w:shd w:val="clear" w:color="auto" w:fill="auto"/>
            <w:vAlign w:val="center"/>
          </w:tcPr>
          <w:p w14:paraId="23C4D6C9">
            <w:pPr>
              <w:jc w:val="center"/>
              <w:rPr>
                <w:color w:val="auto"/>
                <w:sz w:val="18"/>
                <w:szCs w:val="18"/>
              </w:rPr>
            </w:pPr>
            <w:r>
              <w:rPr>
                <w:rFonts w:hint="eastAsia"/>
                <w:color w:val="auto"/>
                <w:kern w:val="0"/>
                <w:sz w:val="18"/>
                <w:szCs w:val="18"/>
              </w:rPr>
              <w:t>二星级</w:t>
            </w:r>
          </w:p>
        </w:tc>
        <w:tc>
          <w:tcPr>
            <w:tcW w:w="1321" w:type="dxa"/>
            <w:tcBorders>
              <w:tl2br w:val="nil"/>
              <w:tr2bl w:val="nil"/>
            </w:tcBorders>
            <w:shd w:val="clear" w:color="auto" w:fill="auto"/>
            <w:vAlign w:val="center"/>
          </w:tcPr>
          <w:p w14:paraId="5170A34D">
            <w:pPr>
              <w:jc w:val="center"/>
              <w:rPr>
                <w:color w:val="auto"/>
                <w:sz w:val="18"/>
                <w:szCs w:val="18"/>
              </w:rPr>
            </w:pPr>
            <w:r>
              <w:rPr>
                <w:rFonts w:hint="eastAsia"/>
                <w:color w:val="auto"/>
                <w:kern w:val="0"/>
                <w:sz w:val="18"/>
                <w:szCs w:val="18"/>
              </w:rPr>
              <w:t>三星级</w:t>
            </w:r>
          </w:p>
        </w:tc>
        <w:tc>
          <w:tcPr>
            <w:tcW w:w="1741" w:type="dxa"/>
            <w:vMerge w:val="continue"/>
            <w:tcBorders>
              <w:tl2br w:val="nil"/>
              <w:tr2bl w:val="nil"/>
            </w:tcBorders>
            <w:shd w:val="clear" w:color="auto" w:fill="auto"/>
            <w:vAlign w:val="center"/>
          </w:tcPr>
          <w:p w14:paraId="6935A958">
            <w:pPr>
              <w:jc w:val="center"/>
              <w:rPr>
                <w:color w:val="auto"/>
                <w:kern w:val="0"/>
                <w:sz w:val="18"/>
                <w:szCs w:val="18"/>
              </w:rPr>
            </w:pPr>
          </w:p>
        </w:tc>
      </w:tr>
      <w:tr w14:paraId="2641C3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restart"/>
            <w:tcBorders>
              <w:tl2br w:val="nil"/>
              <w:tr2bl w:val="nil"/>
            </w:tcBorders>
            <w:shd w:val="clear" w:color="auto" w:fill="auto"/>
            <w:vAlign w:val="center"/>
          </w:tcPr>
          <w:p w14:paraId="5F42F5D7">
            <w:pPr>
              <w:jc w:val="center"/>
              <w:rPr>
                <w:color w:val="auto"/>
                <w:kern w:val="0"/>
                <w:sz w:val="18"/>
                <w:szCs w:val="18"/>
              </w:rPr>
            </w:pPr>
            <w:r>
              <w:rPr>
                <w:rFonts w:hint="eastAsia"/>
                <w:color w:val="auto"/>
                <w:kern w:val="0"/>
                <w:sz w:val="18"/>
                <w:szCs w:val="18"/>
              </w:rPr>
              <w:t>资源属性</w:t>
            </w:r>
          </w:p>
        </w:tc>
        <w:tc>
          <w:tcPr>
            <w:tcW w:w="3462" w:type="dxa"/>
            <w:gridSpan w:val="7"/>
            <w:tcBorders>
              <w:tl2br w:val="nil"/>
              <w:tr2bl w:val="nil"/>
            </w:tcBorders>
            <w:shd w:val="clear" w:color="auto" w:fill="auto"/>
            <w:vAlign w:val="center"/>
          </w:tcPr>
          <w:p w14:paraId="26DE26F4">
            <w:pPr>
              <w:widowControl/>
              <w:rPr>
                <w:color w:val="auto"/>
                <w:sz w:val="18"/>
                <w:szCs w:val="18"/>
              </w:rPr>
            </w:pPr>
            <w:r>
              <w:rPr>
                <w:rFonts w:hint="eastAsia"/>
                <w:color w:val="auto"/>
                <w:sz w:val="18"/>
                <w:szCs w:val="18"/>
              </w:rPr>
              <w:t>生产过程产生固体废弃物利用率</w:t>
            </w:r>
          </w:p>
        </w:tc>
        <w:tc>
          <w:tcPr>
            <w:tcW w:w="872" w:type="dxa"/>
            <w:tcBorders>
              <w:tl2br w:val="nil"/>
              <w:tr2bl w:val="nil"/>
            </w:tcBorders>
            <w:shd w:val="clear" w:color="auto" w:fill="auto"/>
            <w:vAlign w:val="center"/>
          </w:tcPr>
          <w:p w14:paraId="33891D0F">
            <w:pPr>
              <w:widowControl/>
              <w:jc w:val="center"/>
              <w:rPr>
                <w:color w:val="auto"/>
                <w:kern w:val="0"/>
                <w:sz w:val="18"/>
                <w:szCs w:val="18"/>
              </w:rPr>
            </w:pPr>
            <w:r>
              <w:rPr>
                <w:rFonts w:hint="eastAsia"/>
                <w:color w:val="auto"/>
                <w:kern w:val="0"/>
                <w:sz w:val="18"/>
                <w:szCs w:val="18"/>
              </w:rPr>
              <w:t>%</w:t>
            </w:r>
          </w:p>
        </w:tc>
        <w:tc>
          <w:tcPr>
            <w:tcW w:w="3956" w:type="dxa"/>
            <w:gridSpan w:val="3"/>
            <w:tcBorders>
              <w:tl2br w:val="nil"/>
              <w:tr2bl w:val="nil"/>
            </w:tcBorders>
            <w:shd w:val="clear" w:color="auto" w:fill="auto"/>
            <w:vAlign w:val="center"/>
          </w:tcPr>
          <w:p w14:paraId="2E2C87B1">
            <w:pPr>
              <w:widowControl/>
              <w:jc w:val="center"/>
              <w:rPr>
                <w:color w:val="auto"/>
                <w:kern w:val="0"/>
                <w:sz w:val="18"/>
                <w:szCs w:val="18"/>
              </w:rPr>
            </w:pPr>
            <w:r>
              <w:rPr>
                <w:rFonts w:hint="eastAsia"/>
                <w:color w:val="auto"/>
                <w:kern w:val="0"/>
                <w:sz w:val="18"/>
                <w:szCs w:val="18"/>
              </w:rPr>
              <w:t>100</w:t>
            </w:r>
          </w:p>
        </w:tc>
        <w:tc>
          <w:tcPr>
            <w:tcW w:w="1741" w:type="dxa"/>
            <w:tcBorders>
              <w:tl2br w:val="nil"/>
              <w:tr2bl w:val="nil"/>
            </w:tcBorders>
            <w:shd w:val="clear" w:color="auto" w:fill="auto"/>
            <w:vAlign w:val="center"/>
          </w:tcPr>
          <w:p w14:paraId="7D5E5076">
            <w:pPr>
              <w:widowControl/>
              <w:jc w:val="center"/>
              <w:rPr>
                <w:color w:val="auto"/>
                <w:kern w:val="0"/>
                <w:sz w:val="18"/>
                <w:szCs w:val="18"/>
              </w:rPr>
            </w:pPr>
            <w:r>
              <w:rPr>
                <w:rFonts w:hint="eastAsia"/>
                <w:color w:val="auto"/>
                <w:kern w:val="0"/>
                <w:sz w:val="18"/>
                <w:szCs w:val="18"/>
              </w:rPr>
              <w:t>附录A中的A</w:t>
            </w:r>
            <w:r>
              <w:rPr>
                <w:color w:val="auto"/>
                <w:kern w:val="0"/>
                <w:sz w:val="18"/>
                <w:szCs w:val="18"/>
              </w:rPr>
              <w:t>.1</w:t>
            </w:r>
          </w:p>
        </w:tc>
      </w:tr>
      <w:tr w14:paraId="30C62D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4400FF37">
            <w:pPr>
              <w:jc w:val="center"/>
              <w:rPr>
                <w:color w:val="auto"/>
                <w:kern w:val="0"/>
                <w:sz w:val="18"/>
                <w:szCs w:val="18"/>
              </w:rPr>
            </w:pPr>
          </w:p>
        </w:tc>
        <w:tc>
          <w:tcPr>
            <w:tcW w:w="3462" w:type="dxa"/>
            <w:gridSpan w:val="7"/>
            <w:tcBorders>
              <w:tl2br w:val="nil"/>
              <w:tr2bl w:val="nil"/>
            </w:tcBorders>
            <w:shd w:val="clear" w:color="auto" w:fill="auto"/>
            <w:vAlign w:val="center"/>
          </w:tcPr>
          <w:p w14:paraId="754BAADB">
            <w:pPr>
              <w:widowControl/>
              <w:rPr>
                <w:color w:val="auto"/>
                <w:sz w:val="18"/>
                <w:szCs w:val="18"/>
              </w:rPr>
            </w:pPr>
            <w:r>
              <w:rPr>
                <w:rFonts w:hint="eastAsia"/>
                <w:color w:val="auto"/>
                <w:sz w:val="18"/>
                <w:szCs w:val="18"/>
              </w:rPr>
              <w:t>综合成材率</w:t>
            </w:r>
          </w:p>
        </w:tc>
        <w:tc>
          <w:tcPr>
            <w:tcW w:w="872" w:type="dxa"/>
            <w:tcBorders>
              <w:tl2br w:val="nil"/>
              <w:tr2bl w:val="nil"/>
            </w:tcBorders>
            <w:shd w:val="clear" w:color="auto" w:fill="auto"/>
            <w:vAlign w:val="center"/>
          </w:tcPr>
          <w:p w14:paraId="72E69781">
            <w:pPr>
              <w:widowControl/>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134F2B20">
            <w:pPr>
              <w:widowControl/>
              <w:jc w:val="center"/>
              <w:rPr>
                <w:color w:val="auto"/>
                <w:kern w:val="0"/>
                <w:sz w:val="18"/>
                <w:szCs w:val="18"/>
              </w:rPr>
            </w:pPr>
            <w:r>
              <w:rPr>
                <w:rFonts w:hint="eastAsia"/>
                <w:color w:val="auto"/>
                <w:kern w:val="0"/>
                <w:sz w:val="18"/>
                <w:szCs w:val="18"/>
              </w:rPr>
              <w:t>≥94</w:t>
            </w:r>
          </w:p>
        </w:tc>
        <w:tc>
          <w:tcPr>
            <w:tcW w:w="1056" w:type="dxa"/>
            <w:tcBorders>
              <w:tl2br w:val="nil"/>
              <w:tr2bl w:val="nil"/>
            </w:tcBorders>
            <w:shd w:val="clear" w:color="auto" w:fill="auto"/>
            <w:vAlign w:val="center"/>
          </w:tcPr>
          <w:p w14:paraId="5F361675">
            <w:pPr>
              <w:widowControl/>
              <w:jc w:val="center"/>
              <w:rPr>
                <w:color w:val="auto"/>
                <w:kern w:val="0"/>
                <w:sz w:val="18"/>
                <w:szCs w:val="18"/>
              </w:rPr>
            </w:pPr>
            <w:r>
              <w:rPr>
                <w:rFonts w:hint="eastAsia"/>
                <w:color w:val="auto"/>
                <w:kern w:val="0"/>
                <w:sz w:val="18"/>
                <w:szCs w:val="18"/>
              </w:rPr>
              <w:t>≥96</w:t>
            </w:r>
          </w:p>
        </w:tc>
        <w:tc>
          <w:tcPr>
            <w:tcW w:w="1321" w:type="dxa"/>
            <w:tcBorders>
              <w:tl2br w:val="nil"/>
              <w:tr2bl w:val="nil"/>
            </w:tcBorders>
            <w:shd w:val="clear" w:color="auto" w:fill="auto"/>
            <w:vAlign w:val="center"/>
          </w:tcPr>
          <w:p w14:paraId="39086A4F">
            <w:pPr>
              <w:widowControl/>
              <w:jc w:val="center"/>
              <w:rPr>
                <w:color w:val="auto"/>
                <w:kern w:val="0"/>
                <w:sz w:val="18"/>
                <w:szCs w:val="18"/>
              </w:rPr>
            </w:pPr>
            <w:r>
              <w:rPr>
                <w:rFonts w:hint="eastAsia"/>
                <w:color w:val="auto"/>
                <w:kern w:val="0"/>
                <w:sz w:val="18"/>
                <w:szCs w:val="18"/>
              </w:rPr>
              <w:t>≥98</w:t>
            </w:r>
          </w:p>
        </w:tc>
        <w:tc>
          <w:tcPr>
            <w:tcW w:w="1741" w:type="dxa"/>
            <w:tcBorders>
              <w:tl2br w:val="nil"/>
              <w:tr2bl w:val="nil"/>
            </w:tcBorders>
            <w:shd w:val="clear" w:color="auto" w:fill="auto"/>
            <w:vAlign w:val="center"/>
          </w:tcPr>
          <w:p w14:paraId="12E33071">
            <w:pPr>
              <w:widowControl/>
              <w:jc w:val="center"/>
              <w:rPr>
                <w:color w:val="auto"/>
                <w:kern w:val="0"/>
                <w:sz w:val="18"/>
                <w:szCs w:val="18"/>
              </w:rPr>
            </w:pPr>
            <w:r>
              <w:rPr>
                <w:rFonts w:hint="eastAsia"/>
                <w:color w:val="auto"/>
                <w:kern w:val="0"/>
                <w:sz w:val="18"/>
                <w:szCs w:val="18"/>
              </w:rPr>
              <w:t>附录A中的A</w:t>
            </w:r>
            <w:r>
              <w:rPr>
                <w:color w:val="auto"/>
                <w:kern w:val="0"/>
                <w:sz w:val="18"/>
                <w:szCs w:val="18"/>
              </w:rPr>
              <w:t>.</w:t>
            </w:r>
            <w:r>
              <w:rPr>
                <w:rFonts w:hint="eastAsia"/>
                <w:color w:val="auto"/>
                <w:kern w:val="0"/>
                <w:sz w:val="18"/>
                <w:szCs w:val="18"/>
              </w:rPr>
              <w:t>2</w:t>
            </w:r>
          </w:p>
        </w:tc>
      </w:tr>
      <w:tr w14:paraId="56B59A9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restart"/>
            <w:tcBorders>
              <w:tl2br w:val="nil"/>
              <w:tr2bl w:val="nil"/>
            </w:tcBorders>
            <w:shd w:val="clear" w:color="auto" w:fill="auto"/>
            <w:vAlign w:val="center"/>
          </w:tcPr>
          <w:p w14:paraId="3DC9884A">
            <w:pPr>
              <w:jc w:val="center"/>
              <w:rPr>
                <w:color w:val="auto"/>
                <w:sz w:val="18"/>
                <w:szCs w:val="18"/>
              </w:rPr>
            </w:pPr>
            <w:r>
              <w:rPr>
                <w:rFonts w:hint="eastAsia"/>
                <w:color w:val="auto"/>
                <w:kern w:val="0"/>
                <w:sz w:val="18"/>
                <w:szCs w:val="18"/>
              </w:rPr>
              <w:t>能源属性</w:t>
            </w:r>
          </w:p>
        </w:tc>
        <w:tc>
          <w:tcPr>
            <w:tcW w:w="1173" w:type="dxa"/>
            <w:gridSpan w:val="2"/>
            <w:vMerge w:val="restart"/>
            <w:tcBorders>
              <w:tl2br w:val="nil"/>
              <w:tr2bl w:val="nil"/>
            </w:tcBorders>
            <w:shd w:val="clear" w:color="auto" w:fill="auto"/>
            <w:vAlign w:val="center"/>
          </w:tcPr>
          <w:p w14:paraId="777E429D">
            <w:pPr>
              <w:widowControl/>
              <w:jc w:val="center"/>
              <w:rPr>
                <w:color w:val="auto"/>
                <w:kern w:val="0"/>
                <w:sz w:val="18"/>
                <w:szCs w:val="18"/>
              </w:rPr>
            </w:pPr>
            <w:r>
              <w:rPr>
                <w:rFonts w:hint="eastAsia"/>
                <w:color w:val="auto"/>
                <w:kern w:val="0"/>
                <w:sz w:val="18"/>
                <w:szCs w:val="18"/>
              </w:rPr>
              <w:t>单位产品</w:t>
            </w:r>
          </w:p>
          <w:p w14:paraId="41CE8908">
            <w:pPr>
              <w:widowControl/>
              <w:jc w:val="center"/>
              <w:rPr>
                <w:color w:val="auto"/>
                <w:kern w:val="0"/>
                <w:sz w:val="18"/>
                <w:szCs w:val="18"/>
              </w:rPr>
            </w:pPr>
            <w:r>
              <w:rPr>
                <w:rFonts w:hint="eastAsia"/>
                <w:color w:val="auto"/>
                <w:kern w:val="0"/>
                <w:sz w:val="18"/>
                <w:szCs w:val="18"/>
              </w:rPr>
              <w:t>综合能耗</w:t>
            </w:r>
          </w:p>
        </w:tc>
        <w:tc>
          <w:tcPr>
            <w:tcW w:w="2289" w:type="dxa"/>
            <w:gridSpan w:val="5"/>
            <w:tcBorders>
              <w:tl2br w:val="nil"/>
              <w:tr2bl w:val="nil"/>
            </w:tcBorders>
            <w:shd w:val="clear" w:color="auto" w:fill="auto"/>
            <w:vAlign w:val="center"/>
          </w:tcPr>
          <w:p w14:paraId="2B6BC575">
            <w:pPr>
              <w:rPr>
                <w:color w:val="auto"/>
                <w:kern w:val="0"/>
                <w:sz w:val="18"/>
                <w:szCs w:val="18"/>
              </w:rPr>
            </w:pPr>
            <w:r>
              <w:rPr>
                <w:rFonts w:hint="eastAsia"/>
                <w:color w:val="auto"/>
                <w:kern w:val="0"/>
                <w:sz w:val="18"/>
                <w:szCs w:val="18"/>
              </w:rPr>
              <w:t>管材</w:t>
            </w:r>
          </w:p>
        </w:tc>
        <w:tc>
          <w:tcPr>
            <w:tcW w:w="872" w:type="dxa"/>
            <w:tcBorders>
              <w:tl2br w:val="nil"/>
              <w:tr2bl w:val="nil"/>
            </w:tcBorders>
            <w:shd w:val="clear" w:color="auto" w:fill="auto"/>
            <w:vAlign w:val="center"/>
          </w:tcPr>
          <w:p w14:paraId="6082F344">
            <w:pPr>
              <w:widowControl/>
              <w:jc w:val="center"/>
              <w:rPr>
                <w:color w:val="auto"/>
                <w:kern w:val="0"/>
                <w:sz w:val="18"/>
                <w:szCs w:val="18"/>
              </w:rPr>
            </w:pPr>
            <w:r>
              <w:rPr>
                <w:color w:val="auto"/>
                <w:kern w:val="0"/>
                <w:sz w:val="18"/>
                <w:szCs w:val="18"/>
              </w:rPr>
              <w:t>kgce/</w:t>
            </w:r>
            <w:r>
              <w:rPr>
                <w:rFonts w:hint="eastAsia"/>
                <w:color w:val="auto"/>
                <w:kern w:val="0"/>
                <w:sz w:val="18"/>
                <w:szCs w:val="18"/>
              </w:rPr>
              <w:t>kg</w:t>
            </w:r>
          </w:p>
        </w:tc>
        <w:tc>
          <w:tcPr>
            <w:tcW w:w="1579" w:type="dxa"/>
            <w:tcBorders>
              <w:tl2br w:val="nil"/>
              <w:tr2bl w:val="nil"/>
            </w:tcBorders>
            <w:shd w:val="clear" w:color="auto" w:fill="auto"/>
            <w:vAlign w:val="center"/>
          </w:tcPr>
          <w:p w14:paraId="1ABB68C6">
            <w:pPr>
              <w:widowControl/>
              <w:jc w:val="center"/>
              <w:rPr>
                <w:color w:val="auto"/>
                <w:kern w:val="0"/>
                <w:sz w:val="18"/>
                <w:szCs w:val="18"/>
              </w:rPr>
            </w:pPr>
            <w:r>
              <w:rPr>
                <w:rFonts w:hint="eastAsia"/>
                <w:color w:val="auto"/>
                <w:kern w:val="0"/>
                <w:sz w:val="18"/>
                <w:szCs w:val="18"/>
              </w:rPr>
              <w:t>≤</w:t>
            </w:r>
            <w:r>
              <w:rPr>
                <w:color w:val="auto"/>
                <w:kern w:val="0"/>
                <w:sz w:val="18"/>
                <w:szCs w:val="18"/>
              </w:rPr>
              <w:t>0.</w:t>
            </w:r>
            <w:r>
              <w:rPr>
                <w:rFonts w:hint="eastAsia"/>
                <w:color w:val="auto"/>
                <w:kern w:val="0"/>
                <w:sz w:val="18"/>
                <w:szCs w:val="18"/>
              </w:rPr>
              <w:t>10</w:t>
            </w:r>
          </w:p>
        </w:tc>
        <w:tc>
          <w:tcPr>
            <w:tcW w:w="1056" w:type="dxa"/>
            <w:tcBorders>
              <w:tl2br w:val="nil"/>
              <w:tr2bl w:val="nil"/>
            </w:tcBorders>
            <w:shd w:val="clear" w:color="auto" w:fill="auto"/>
            <w:vAlign w:val="center"/>
          </w:tcPr>
          <w:p w14:paraId="22AF2B14">
            <w:pPr>
              <w:widowControl/>
              <w:jc w:val="center"/>
              <w:rPr>
                <w:color w:val="auto"/>
                <w:kern w:val="0"/>
                <w:sz w:val="18"/>
                <w:szCs w:val="18"/>
              </w:rPr>
            </w:pPr>
            <w:r>
              <w:rPr>
                <w:rFonts w:hint="eastAsia"/>
                <w:color w:val="auto"/>
                <w:kern w:val="0"/>
                <w:sz w:val="18"/>
                <w:szCs w:val="18"/>
              </w:rPr>
              <w:t>≤</w:t>
            </w:r>
            <w:r>
              <w:rPr>
                <w:color w:val="auto"/>
                <w:kern w:val="0"/>
                <w:sz w:val="18"/>
                <w:szCs w:val="18"/>
              </w:rPr>
              <w:t>0.0</w:t>
            </w:r>
            <w:r>
              <w:rPr>
                <w:rFonts w:hint="eastAsia"/>
                <w:color w:val="auto"/>
                <w:kern w:val="0"/>
                <w:sz w:val="18"/>
                <w:szCs w:val="18"/>
              </w:rPr>
              <w:t>9</w:t>
            </w:r>
          </w:p>
        </w:tc>
        <w:tc>
          <w:tcPr>
            <w:tcW w:w="1321" w:type="dxa"/>
            <w:tcBorders>
              <w:tl2br w:val="nil"/>
              <w:tr2bl w:val="nil"/>
            </w:tcBorders>
            <w:shd w:val="clear" w:color="auto" w:fill="auto"/>
            <w:vAlign w:val="center"/>
          </w:tcPr>
          <w:p w14:paraId="35146C1E">
            <w:pPr>
              <w:widowControl/>
              <w:jc w:val="center"/>
              <w:rPr>
                <w:color w:val="auto"/>
                <w:kern w:val="0"/>
                <w:sz w:val="18"/>
                <w:szCs w:val="18"/>
              </w:rPr>
            </w:pPr>
            <w:r>
              <w:rPr>
                <w:rFonts w:hint="eastAsia"/>
                <w:color w:val="auto"/>
                <w:kern w:val="0"/>
                <w:sz w:val="18"/>
                <w:szCs w:val="18"/>
              </w:rPr>
              <w:t>≤</w:t>
            </w:r>
            <w:r>
              <w:rPr>
                <w:color w:val="auto"/>
                <w:kern w:val="0"/>
                <w:sz w:val="18"/>
                <w:szCs w:val="18"/>
              </w:rPr>
              <w:t>0.0</w:t>
            </w:r>
            <w:r>
              <w:rPr>
                <w:rFonts w:hint="eastAsia"/>
                <w:color w:val="auto"/>
                <w:kern w:val="0"/>
                <w:sz w:val="18"/>
                <w:szCs w:val="18"/>
              </w:rPr>
              <w:t>8</w:t>
            </w:r>
          </w:p>
        </w:tc>
        <w:tc>
          <w:tcPr>
            <w:tcW w:w="1741" w:type="dxa"/>
            <w:tcBorders>
              <w:tl2br w:val="nil"/>
              <w:tr2bl w:val="nil"/>
            </w:tcBorders>
            <w:shd w:val="clear" w:color="auto" w:fill="auto"/>
            <w:vAlign w:val="center"/>
          </w:tcPr>
          <w:p w14:paraId="6B848A2C">
            <w:pPr>
              <w:widowControl/>
              <w:jc w:val="center"/>
              <w:rPr>
                <w:color w:val="auto"/>
                <w:kern w:val="0"/>
                <w:sz w:val="18"/>
                <w:szCs w:val="18"/>
              </w:rPr>
            </w:pPr>
            <w:r>
              <w:rPr>
                <w:rFonts w:hint="eastAsia"/>
                <w:color w:val="auto"/>
                <w:kern w:val="0"/>
                <w:sz w:val="18"/>
                <w:szCs w:val="18"/>
              </w:rPr>
              <w:t>附录A中的A</w:t>
            </w:r>
            <w:r>
              <w:rPr>
                <w:color w:val="auto"/>
                <w:kern w:val="0"/>
                <w:sz w:val="18"/>
                <w:szCs w:val="18"/>
              </w:rPr>
              <w:t>.</w:t>
            </w:r>
            <w:r>
              <w:rPr>
                <w:rFonts w:hint="eastAsia"/>
                <w:color w:val="auto"/>
                <w:kern w:val="0"/>
                <w:sz w:val="18"/>
                <w:szCs w:val="18"/>
              </w:rPr>
              <w:t>3</w:t>
            </w:r>
          </w:p>
        </w:tc>
      </w:tr>
      <w:tr w14:paraId="423F5B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0FF78BC3">
            <w:pPr>
              <w:jc w:val="center"/>
              <w:rPr>
                <w:color w:val="auto"/>
                <w:sz w:val="18"/>
                <w:szCs w:val="18"/>
              </w:rPr>
            </w:pPr>
          </w:p>
        </w:tc>
        <w:tc>
          <w:tcPr>
            <w:tcW w:w="1173" w:type="dxa"/>
            <w:gridSpan w:val="2"/>
            <w:vMerge w:val="continue"/>
            <w:tcBorders>
              <w:tl2br w:val="nil"/>
              <w:tr2bl w:val="nil"/>
            </w:tcBorders>
            <w:shd w:val="clear" w:color="auto" w:fill="auto"/>
            <w:vAlign w:val="center"/>
          </w:tcPr>
          <w:p w14:paraId="26B97E93">
            <w:pPr>
              <w:widowControl/>
              <w:rPr>
                <w:color w:val="auto"/>
                <w:kern w:val="0"/>
                <w:sz w:val="18"/>
                <w:szCs w:val="18"/>
              </w:rPr>
            </w:pPr>
          </w:p>
        </w:tc>
        <w:tc>
          <w:tcPr>
            <w:tcW w:w="2289" w:type="dxa"/>
            <w:gridSpan w:val="5"/>
            <w:tcBorders>
              <w:tl2br w:val="nil"/>
              <w:tr2bl w:val="nil"/>
            </w:tcBorders>
            <w:shd w:val="clear" w:color="auto" w:fill="auto"/>
            <w:vAlign w:val="center"/>
          </w:tcPr>
          <w:p w14:paraId="353992DD">
            <w:pPr>
              <w:widowControl/>
              <w:rPr>
                <w:color w:val="auto"/>
                <w:kern w:val="0"/>
                <w:sz w:val="18"/>
                <w:szCs w:val="18"/>
              </w:rPr>
            </w:pPr>
            <w:r>
              <w:rPr>
                <w:color w:val="auto"/>
                <w:kern w:val="0"/>
                <w:sz w:val="18"/>
                <w:szCs w:val="18"/>
              </w:rPr>
              <w:t>管件</w:t>
            </w:r>
          </w:p>
        </w:tc>
        <w:tc>
          <w:tcPr>
            <w:tcW w:w="872" w:type="dxa"/>
            <w:tcBorders>
              <w:tl2br w:val="nil"/>
              <w:tr2bl w:val="nil"/>
            </w:tcBorders>
            <w:shd w:val="clear" w:color="auto" w:fill="auto"/>
            <w:vAlign w:val="center"/>
          </w:tcPr>
          <w:p w14:paraId="7CC3EA5E">
            <w:pPr>
              <w:widowControl/>
              <w:jc w:val="center"/>
              <w:rPr>
                <w:color w:val="auto"/>
                <w:kern w:val="0"/>
                <w:sz w:val="18"/>
                <w:szCs w:val="18"/>
              </w:rPr>
            </w:pPr>
            <w:r>
              <w:rPr>
                <w:color w:val="auto"/>
                <w:kern w:val="0"/>
                <w:sz w:val="18"/>
                <w:szCs w:val="18"/>
              </w:rPr>
              <w:t>kgce/</w:t>
            </w:r>
            <w:r>
              <w:rPr>
                <w:rFonts w:hint="eastAsia"/>
                <w:color w:val="auto"/>
                <w:kern w:val="0"/>
                <w:sz w:val="18"/>
                <w:szCs w:val="18"/>
              </w:rPr>
              <w:t>kg</w:t>
            </w:r>
          </w:p>
        </w:tc>
        <w:tc>
          <w:tcPr>
            <w:tcW w:w="1579" w:type="dxa"/>
            <w:tcBorders>
              <w:tl2br w:val="nil"/>
              <w:tr2bl w:val="nil"/>
            </w:tcBorders>
            <w:shd w:val="clear" w:color="auto" w:fill="auto"/>
            <w:vAlign w:val="center"/>
          </w:tcPr>
          <w:p w14:paraId="0303204C">
            <w:pPr>
              <w:widowControl/>
              <w:jc w:val="center"/>
              <w:rPr>
                <w:color w:val="auto"/>
                <w:kern w:val="0"/>
                <w:sz w:val="18"/>
                <w:szCs w:val="18"/>
              </w:rPr>
            </w:pPr>
            <w:r>
              <w:rPr>
                <w:rFonts w:hint="eastAsia"/>
                <w:color w:val="auto"/>
                <w:kern w:val="0"/>
                <w:sz w:val="18"/>
                <w:szCs w:val="18"/>
              </w:rPr>
              <w:t>≤</w:t>
            </w:r>
            <w:r>
              <w:rPr>
                <w:color w:val="auto"/>
                <w:kern w:val="0"/>
                <w:sz w:val="18"/>
                <w:szCs w:val="18"/>
              </w:rPr>
              <w:t>0.</w:t>
            </w:r>
            <w:r>
              <w:rPr>
                <w:rFonts w:hint="eastAsia"/>
                <w:color w:val="auto"/>
                <w:kern w:val="0"/>
                <w:sz w:val="18"/>
                <w:szCs w:val="18"/>
              </w:rPr>
              <w:t>4</w:t>
            </w:r>
          </w:p>
        </w:tc>
        <w:tc>
          <w:tcPr>
            <w:tcW w:w="1056" w:type="dxa"/>
            <w:tcBorders>
              <w:tl2br w:val="nil"/>
              <w:tr2bl w:val="nil"/>
            </w:tcBorders>
            <w:shd w:val="clear" w:color="auto" w:fill="auto"/>
            <w:vAlign w:val="center"/>
          </w:tcPr>
          <w:p w14:paraId="29FAB8BC">
            <w:pPr>
              <w:widowControl/>
              <w:jc w:val="center"/>
              <w:rPr>
                <w:color w:val="auto"/>
                <w:kern w:val="0"/>
                <w:sz w:val="18"/>
                <w:szCs w:val="18"/>
              </w:rPr>
            </w:pPr>
            <w:r>
              <w:rPr>
                <w:rFonts w:hint="eastAsia"/>
                <w:color w:val="auto"/>
                <w:kern w:val="0"/>
                <w:sz w:val="18"/>
                <w:szCs w:val="18"/>
              </w:rPr>
              <w:t>≤</w:t>
            </w:r>
            <w:r>
              <w:rPr>
                <w:color w:val="auto"/>
                <w:kern w:val="0"/>
                <w:sz w:val="18"/>
                <w:szCs w:val="18"/>
              </w:rPr>
              <w:t>0.</w:t>
            </w:r>
            <w:r>
              <w:rPr>
                <w:rFonts w:hint="eastAsia"/>
                <w:color w:val="auto"/>
                <w:kern w:val="0"/>
                <w:sz w:val="18"/>
                <w:szCs w:val="18"/>
              </w:rPr>
              <w:t>3</w:t>
            </w:r>
          </w:p>
        </w:tc>
        <w:tc>
          <w:tcPr>
            <w:tcW w:w="1321" w:type="dxa"/>
            <w:tcBorders>
              <w:tl2br w:val="nil"/>
              <w:tr2bl w:val="nil"/>
            </w:tcBorders>
            <w:shd w:val="clear" w:color="auto" w:fill="auto"/>
            <w:vAlign w:val="center"/>
          </w:tcPr>
          <w:p w14:paraId="128DD5D3">
            <w:pPr>
              <w:widowControl/>
              <w:jc w:val="center"/>
              <w:rPr>
                <w:color w:val="auto"/>
                <w:kern w:val="0"/>
                <w:sz w:val="18"/>
                <w:szCs w:val="18"/>
              </w:rPr>
            </w:pPr>
            <w:r>
              <w:rPr>
                <w:rFonts w:hint="eastAsia"/>
                <w:color w:val="auto"/>
                <w:kern w:val="0"/>
                <w:sz w:val="18"/>
                <w:szCs w:val="18"/>
              </w:rPr>
              <w:t>≤</w:t>
            </w:r>
            <w:r>
              <w:rPr>
                <w:color w:val="auto"/>
                <w:kern w:val="0"/>
                <w:sz w:val="18"/>
                <w:szCs w:val="18"/>
              </w:rPr>
              <w:t>0.</w:t>
            </w:r>
            <w:r>
              <w:rPr>
                <w:rFonts w:hint="eastAsia"/>
                <w:color w:val="auto"/>
                <w:kern w:val="0"/>
                <w:sz w:val="18"/>
                <w:szCs w:val="18"/>
              </w:rPr>
              <w:t>2</w:t>
            </w:r>
          </w:p>
        </w:tc>
        <w:tc>
          <w:tcPr>
            <w:tcW w:w="1741" w:type="dxa"/>
            <w:tcBorders>
              <w:tl2br w:val="nil"/>
              <w:tr2bl w:val="nil"/>
            </w:tcBorders>
            <w:shd w:val="clear" w:color="auto" w:fill="auto"/>
            <w:vAlign w:val="center"/>
          </w:tcPr>
          <w:p w14:paraId="6650BBBE">
            <w:pPr>
              <w:widowControl/>
              <w:jc w:val="center"/>
              <w:rPr>
                <w:color w:val="auto"/>
                <w:kern w:val="0"/>
                <w:sz w:val="18"/>
                <w:szCs w:val="18"/>
              </w:rPr>
            </w:pPr>
            <w:r>
              <w:rPr>
                <w:rFonts w:hint="eastAsia"/>
                <w:color w:val="auto"/>
                <w:kern w:val="0"/>
                <w:sz w:val="18"/>
                <w:szCs w:val="18"/>
              </w:rPr>
              <w:t>附录A中的A</w:t>
            </w:r>
            <w:r>
              <w:rPr>
                <w:color w:val="auto"/>
                <w:kern w:val="0"/>
                <w:sz w:val="18"/>
                <w:szCs w:val="18"/>
              </w:rPr>
              <w:t>.</w:t>
            </w:r>
            <w:r>
              <w:rPr>
                <w:rFonts w:hint="eastAsia"/>
                <w:color w:val="auto"/>
                <w:kern w:val="0"/>
                <w:sz w:val="18"/>
                <w:szCs w:val="18"/>
              </w:rPr>
              <w:t>3</w:t>
            </w:r>
          </w:p>
        </w:tc>
      </w:tr>
      <w:tr w14:paraId="0F810A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restart"/>
            <w:tcBorders>
              <w:tl2br w:val="nil"/>
              <w:tr2bl w:val="nil"/>
            </w:tcBorders>
            <w:shd w:val="clear" w:color="auto" w:fill="auto"/>
            <w:vAlign w:val="center"/>
          </w:tcPr>
          <w:p w14:paraId="13B12037">
            <w:pPr>
              <w:widowControl/>
              <w:jc w:val="center"/>
              <w:rPr>
                <w:color w:val="auto"/>
                <w:kern w:val="0"/>
                <w:sz w:val="18"/>
                <w:szCs w:val="18"/>
              </w:rPr>
            </w:pPr>
            <w:r>
              <w:rPr>
                <w:rFonts w:hint="eastAsia"/>
                <w:color w:val="auto"/>
                <w:kern w:val="0"/>
                <w:sz w:val="18"/>
                <w:szCs w:val="18"/>
              </w:rPr>
              <w:t>环境属性</w:t>
            </w:r>
          </w:p>
        </w:tc>
        <w:tc>
          <w:tcPr>
            <w:tcW w:w="3462" w:type="dxa"/>
            <w:gridSpan w:val="7"/>
            <w:tcBorders>
              <w:tl2br w:val="nil"/>
              <w:tr2bl w:val="nil"/>
            </w:tcBorders>
            <w:shd w:val="clear" w:color="auto" w:fill="auto"/>
            <w:vAlign w:val="center"/>
          </w:tcPr>
          <w:p w14:paraId="0D2D8A91">
            <w:pPr>
              <w:rPr>
                <w:color w:val="auto"/>
                <w:kern w:val="0"/>
                <w:sz w:val="18"/>
                <w:szCs w:val="18"/>
              </w:rPr>
            </w:pPr>
            <w:r>
              <w:rPr>
                <w:rFonts w:hint="eastAsia"/>
                <w:color w:val="auto"/>
                <w:kern w:val="0"/>
                <w:sz w:val="18"/>
                <w:szCs w:val="18"/>
              </w:rPr>
              <w:t>生产废料综合处置率</w:t>
            </w:r>
          </w:p>
        </w:tc>
        <w:tc>
          <w:tcPr>
            <w:tcW w:w="872" w:type="dxa"/>
            <w:tcBorders>
              <w:tl2br w:val="nil"/>
              <w:tr2bl w:val="nil"/>
            </w:tcBorders>
            <w:shd w:val="clear" w:color="auto" w:fill="auto"/>
            <w:vAlign w:val="center"/>
          </w:tcPr>
          <w:p w14:paraId="27299313">
            <w:pPr>
              <w:widowControl/>
              <w:tabs>
                <w:tab w:val="center" w:pos="4201"/>
                <w:tab w:val="right" w:leader="dot" w:pos="9298"/>
              </w:tabs>
              <w:autoSpaceDE w:val="0"/>
              <w:autoSpaceDN w:val="0"/>
              <w:jc w:val="center"/>
              <w:rPr>
                <w:color w:val="auto"/>
                <w:sz w:val="18"/>
                <w:szCs w:val="18"/>
              </w:rPr>
            </w:pPr>
            <w:r>
              <w:rPr>
                <w:color w:val="auto"/>
                <w:kern w:val="0"/>
                <w:sz w:val="18"/>
                <w:szCs w:val="18"/>
              </w:rPr>
              <w:t>%</w:t>
            </w:r>
          </w:p>
        </w:tc>
        <w:tc>
          <w:tcPr>
            <w:tcW w:w="1579" w:type="dxa"/>
            <w:tcBorders>
              <w:tl2br w:val="nil"/>
              <w:tr2bl w:val="nil"/>
            </w:tcBorders>
            <w:shd w:val="clear" w:color="auto" w:fill="auto"/>
            <w:vAlign w:val="center"/>
          </w:tcPr>
          <w:p w14:paraId="00FC14CD">
            <w:pPr>
              <w:jc w:val="center"/>
              <w:rPr>
                <w:color w:val="auto"/>
                <w:kern w:val="0"/>
                <w:sz w:val="18"/>
                <w:szCs w:val="18"/>
              </w:rPr>
            </w:pPr>
            <w:r>
              <w:rPr>
                <w:rFonts w:hint="eastAsia"/>
                <w:color w:val="auto"/>
                <w:kern w:val="0"/>
                <w:sz w:val="18"/>
                <w:szCs w:val="18"/>
              </w:rPr>
              <w:t>≥</w:t>
            </w:r>
            <w:r>
              <w:rPr>
                <w:color w:val="auto"/>
                <w:kern w:val="0"/>
                <w:sz w:val="18"/>
                <w:szCs w:val="18"/>
              </w:rPr>
              <w:t>90</w:t>
            </w:r>
          </w:p>
        </w:tc>
        <w:tc>
          <w:tcPr>
            <w:tcW w:w="1056" w:type="dxa"/>
            <w:tcBorders>
              <w:tl2br w:val="nil"/>
              <w:tr2bl w:val="nil"/>
            </w:tcBorders>
            <w:shd w:val="clear" w:color="auto" w:fill="auto"/>
            <w:vAlign w:val="center"/>
          </w:tcPr>
          <w:p w14:paraId="61B6A83B">
            <w:pPr>
              <w:jc w:val="center"/>
              <w:rPr>
                <w:color w:val="auto"/>
                <w:kern w:val="0"/>
                <w:sz w:val="18"/>
                <w:szCs w:val="18"/>
              </w:rPr>
            </w:pPr>
            <w:r>
              <w:rPr>
                <w:rFonts w:hint="eastAsia"/>
                <w:color w:val="auto"/>
                <w:kern w:val="0"/>
                <w:sz w:val="18"/>
                <w:szCs w:val="18"/>
              </w:rPr>
              <w:t>≥</w:t>
            </w:r>
            <w:r>
              <w:rPr>
                <w:color w:val="auto"/>
                <w:kern w:val="0"/>
                <w:sz w:val="18"/>
                <w:szCs w:val="18"/>
              </w:rPr>
              <w:t>95</w:t>
            </w:r>
          </w:p>
        </w:tc>
        <w:tc>
          <w:tcPr>
            <w:tcW w:w="1321" w:type="dxa"/>
            <w:tcBorders>
              <w:tl2br w:val="nil"/>
              <w:tr2bl w:val="nil"/>
            </w:tcBorders>
            <w:shd w:val="clear" w:color="auto" w:fill="auto"/>
            <w:vAlign w:val="center"/>
          </w:tcPr>
          <w:p w14:paraId="3760BC46">
            <w:pPr>
              <w:jc w:val="center"/>
              <w:rPr>
                <w:color w:val="auto"/>
                <w:kern w:val="0"/>
                <w:sz w:val="18"/>
                <w:szCs w:val="18"/>
              </w:rPr>
            </w:pPr>
            <w:r>
              <w:rPr>
                <w:rFonts w:hint="eastAsia"/>
                <w:color w:val="auto"/>
                <w:kern w:val="0"/>
                <w:sz w:val="18"/>
                <w:szCs w:val="18"/>
              </w:rPr>
              <w:t>1</w:t>
            </w:r>
            <w:r>
              <w:rPr>
                <w:color w:val="auto"/>
                <w:kern w:val="0"/>
                <w:sz w:val="18"/>
                <w:szCs w:val="18"/>
              </w:rPr>
              <w:t>00</w:t>
            </w:r>
          </w:p>
        </w:tc>
        <w:tc>
          <w:tcPr>
            <w:tcW w:w="1741" w:type="dxa"/>
            <w:tcBorders>
              <w:tl2br w:val="nil"/>
              <w:tr2bl w:val="nil"/>
            </w:tcBorders>
            <w:shd w:val="clear" w:color="auto" w:fill="auto"/>
            <w:vAlign w:val="center"/>
          </w:tcPr>
          <w:p w14:paraId="15238A65">
            <w:pPr>
              <w:jc w:val="center"/>
              <w:rPr>
                <w:color w:val="auto"/>
                <w:kern w:val="0"/>
                <w:sz w:val="18"/>
                <w:szCs w:val="18"/>
              </w:rPr>
            </w:pPr>
            <w:r>
              <w:rPr>
                <w:rFonts w:hint="eastAsia"/>
                <w:color w:val="auto"/>
                <w:kern w:val="0"/>
                <w:sz w:val="18"/>
                <w:szCs w:val="18"/>
              </w:rPr>
              <w:t>附录A中的A</w:t>
            </w:r>
            <w:r>
              <w:rPr>
                <w:color w:val="auto"/>
                <w:kern w:val="0"/>
                <w:sz w:val="18"/>
                <w:szCs w:val="18"/>
              </w:rPr>
              <w:t>.</w:t>
            </w:r>
            <w:r>
              <w:rPr>
                <w:rFonts w:hint="eastAsia"/>
                <w:color w:val="auto"/>
                <w:kern w:val="0"/>
                <w:sz w:val="18"/>
                <w:szCs w:val="18"/>
              </w:rPr>
              <w:t>4</w:t>
            </w:r>
          </w:p>
        </w:tc>
      </w:tr>
      <w:tr w14:paraId="6C6A9A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64835B59">
            <w:pPr>
              <w:widowControl/>
              <w:jc w:val="center"/>
              <w:rPr>
                <w:color w:val="auto"/>
                <w:kern w:val="0"/>
                <w:sz w:val="18"/>
                <w:szCs w:val="18"/>
              </w:rPr>
            </w:pPr>
          </w:p>
        </w:tc>
        <w:tc>
          <w:tcPr>
            <w:tcW w:w="3462" w:type="dxa"/>
            <w:gridSpan w:val="7"/>
            <w:tcBorders>
              <w:tl2br w:val="nil"/>
              <w:tr2bl w:val="nil"/>
            </w:tcBorders>
            <w:shd w:val="clear" w:color="auto" w:fill="auto"/>
            <w:vAlign w:val="center"/>
          </w:tcPr>
          <w:p w14:paraId="1E5450A2">
            <w:pPr>
              <w:rPr>
                <w:color w:val="auto"/>
                <w:kern w:val="0"/>
                <w:sz w:val="18"/>
                <w:szCs w:val="18"/>
              </w:rPr>
            </w:pPr>
            <w:r>
              <w:rPr>
                <w:rFonts w:hint="eastAsia"/>
                <w:color w:val="auto"/>
                <w:kern w:val="0"/>
                <w:sz w:val="18"/>
                <w:szCs w:val="18"/>
              </w:rPr>
              <w:t>单位产品工业废水排放量</w:t>
            </w:r>
          </w:p>
        </w:tc>
        <w:tc>
          <w:tcPr>
            <w:tcW w:w="872" w:type="dxa"/>
            <w:tcBorders>
              <w:tl2br w:val="nil"/>
              <w:tr2bl w:val="nil"/>
            </w:tcBorders>
            <w:shd w:val="clear" w:color="auto" w:fill="auto"/>
            <w:vAlign w:val="center"/>
          </w:tcPr>
          <w:p w14:paraId="23A60E86">
            <w:pPr>
              <w:widowControl/>
              <w:tabs>
                <w:tab w:val="center" w:pos="4201"/>
                <w:tab w:val="right" w:leader="dot" w:pos="9298"/>
              </w:tabs>
              <w:autoSpaceDE w:val="0"/>
              <w:autoSpaceDN w:val="0"/>
              <w:jc w:val="center"/>
              <w:rPr>
                <w:color w:val="auto"/>
                <w:kern w:val="0"/>
                <w:sz w:val="18"/>
                <w:szCs w:val="18"/>
              </w:rPr>
            </w:pPr>
            <w:r>
              <w:rPr>
                <w:rFonts w:hint="eastAsia"/>
                <w:color w:val="auto"/>
                <w:kern w:val="0"/>
                <w:sz w:val="18"/>
                <w:szCs w:val="18"/>
              </w:rPr>
              <w:t>kg/m³</w:t>
            </w:r>
          </w:p>
        </w:tc>
        <w:tc>
          <w:tcPr>
            <w:tcW w:w="3956" w:type="dxa"/>
            <w:gridSpan w:val="3"/>
            <w:tcBorders>
              <w:tl2br w:val="nil"/>
              <w:tr2bl w:val="nil"/>
            </w:tcBorders>
            <w:shd w:val="clear" w:color="auto" w:fill="auto"/>
            <w:vAlign w:val="center"/>
          </w:tcPr>
          <w:p w14:paraId="348802F2">
            <w:pPr>
              <w:jc w:val="center"/>
              <w:rPr>
                <w:rFonts w:hint="default" w:eastAsia="宋体"/>
                <w:color w:val="auto"/>
                <w:kern w:val="0"/>
                <w:sz w:val="18"/>
                <w:szCs w:val="18"/>
                <w:lang w:val="en-US" w:eastAsia="zh-CN"/>
              </w:rPr>
            </w:pPr>
            <w:r>
              <w:rPr>
                <w:rFonts w:hint="eastAsia"/>
                <w:color w:val="auto"/>
                <w:kern w:val="0"/>
                <w:sz w:val="18"/>
                <w:szCs w:val="18"/>
                <w:lang w:val="en-US" w:eastAsia="zh-CN"/>
              </w:rPr>
              <w:t>0.20</w:t>
            </w:r>
          </w:p>
        </w:tc>
        <w:tc>
          <w:tcPr>
            <w:tcW w:w="1741" w:type="dxa"/>
            <w:tcBorders>
              <w:tl2br w:val="nil"/>
              <w:tr2bl w:val="nil"/>
            </w:tcBorders>
            <w:shd w:val="clear" w:color="auto" w:fill="auto"/>
            <w:vAlign w:val="center"/>
          </w:tcPr>
          <w:p w14:paraId="60E5D6B4">
            <w:pPr>
              <w:jc w:val="center"/>
              <w:rPr>
                <w:color w:val="auto"/>
                <w:kern w:val="0"/>
                <w:sz w:val="18"/>
                <w:szCs w:val="18"/>
              </w:rPr>
            </w:pPr>
            <w:r>
              <w:rPr>
                <w:rFonts w:hint="eastAsia"/>
                <w:color w:val="auto"/>
                <w:kern w:val="0"/>
                <w:sz w:val="18"/>
                <w:szCs w:val="18"/>
              </w:rPr>
              <w:t>附录A中的A</w:t>
            </w:r>
            <w:r>
              <w:rPr>
                <w:color w:val="auto"/>
                <w:kern w:val="0"/>
                <w:sz w:val="18"/>
                <w:szCs w:val="18"/>
              </w:rPr>
              <w:t>.</w:t>
            </w:r>
            <w:r>
              <w:rPr>
                <w:rFonts w:hint="eastAsia"/>
                <w:color w:val="auto"/>
                <w:kern w:val="0"/>
                <w:sz w:val="18"/>
                <w:szCs w:val="18"/>
              </w:rPr>
              <w:t>5</w:t>
            </w:r>
          </w:p>
        </w:tc>
      </w:tr>
      <w:tr w14:paraId="27AB5E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50B9A5F0">
            <w:pPr>
              <w:widowControl/>
              <w:jc w:val="center"/>
              <w:rPr>
                <w:color w:val="auto"/>
                <w:kern w:val="0"/>
                <w:sz w:val="18"/>
                <w:szCs w:val="18"/>
              </w:rPr>
            </w:pPr>
          </w:p>
        </w:tc>
        <w:tc>
          <w:tcPr>
            <w:tcW w:w="2101" w:type="dxa"/>
            <w:gridSpan w:val="5"/>
            <w:tcBorders>
              <w:tl2br w:val="nil"/>
              <w:tr2bl w:val="nil"/>
            </w:tcBorders>
            <w:shd w:val="clear" w:color="auto" w:fill="auto"/>
            <w:vAlign w:val="center"/>
          </w:tcPr>
          <w:p w14:paraId="7D1FD79A">
            <w:pPr>
              <w:jc w:val="left"/>
              <w:rPr>
                <w:rFonts w:hint="default" w:eastAsia="宋体"/>
                <w:color w:val="auto"/>
                <w:kern w:val="0"/>
                <w:sz w:val="18"/>
                <w:szCs w:val="18"/>
                <w:lang w:val="en-US" w:eastAsia="zh-CN"/>
              </w:rPr>
            </w:pPr>
            <w:r>
              <w:rPr>
                <w:rFonts w:hint="eastAsia"/>
                <w:color w:val="auto"/>
                <w:kern w:val="0"/>
                <w:sz w:val="18"/>
                <w:szCs w:val="18"/>
              </w:rPr>
              <w:t>生产过程环境影响</w:t>
            </w:r>
          </w:p>
        </w:tc>
        <w:tc>
          <w:tcPr>
            <w:tcW w:w="1361" w:type="dxa"/>
            <w:gridSpan w:val="2"/>
            <w:tcBorders>
              <w:tl2br w:val="nil"/>
              <w:tr2bl w:val="nil"/>
            </w:tcBorders>
            <w:shd w:val="clear" w:color="auto" w:fill="auto"/>
            <w:vAlign w:val="center"/>
          </w:tcPr>
          <w:p w14:paraId="2BF53E31">
            <w:pPr>
              <w:jc w:val="center"/>
              <w:rPr>
                <w:rFonts w:hint="eastAsia" w:eastAsia="宋体"/>
                <w:color w:val="auto"/>
                <w:kern w:val="0"/>
                <w:sz w:val="18"/>
                <w:szCs w:val="18"/>
                <w:lang w:val="en-US" w:eastAsia="zh-CN"/>
              </w:rPr>
            </w:pPr>
            <w:r>
              <w:rPr>
                <w:rFonts w:hint="eastAsia"/>
                <w:color w:val="auto"/>
                <w:kern w:val="0"/>
                <w:sz w:val="18"/>
                <w:szCs w:val="18"/>
                <w:lang w:val="en-US" w:eastAsia="zh-CN"/>
              </w:rPr>
              <w:t>噪声</w:t>
            </w:r>
          </w:p>
        </w:tc>
        <w:tc>
          <w:tcPr>
            <w:tcW w:w="872" w:type="dxa"/>
            <w:tcBorders>
              <w:tl2br w:val="nil"/>
              <w:tr2bl w:val="nil"/>
            </w:tcBorders>
            <w:shd w:val="clear" w:color="auto" w:fill="auto"/>
            <w:vAlign w:val="center"/>
          </w:tcPr>
          <w:p w14:paraId="499F32F8">
            <w:pPr>
              <w:widowControl/>
              <w:tabs>
                <w:tab w:val="center" w:pos="4201"/>
                <w:tab w:val="right" w:leader="dot" w:pos="9298"/>
              </w:tabs>
              <w:autoSpaceDE w:val="0"/>
              <w:autoSpaceDN w:val="0"/>
              <w:jc w:val="center"/>
              <w:rPr>
                <w:rFonts w:hint="eastAsia"/>
                <w:color w:val="auto"/>
                <w:kern w:val="0"/>
                <w:sz w:val="18"/>
                <w:szCs w:val="18"/>
              </w:rPr>
            </w:pPr>
            <w:r>
              <w:rPr>
                <w:rFonts w:hint="eastAsia"/>
                <w:color w:val="auto"/>
                <w:kern w:val="0"/>
                <w:sz w:val="18"/>
                <w:szCs w:val="18"/>
              </w:rPr>
              <w:t>dB(A)</w:t>
            </w:r>
          </w:p>
        </w:tc>
        <w:tc>
          <w:tcPr>
            <w:tcW w:w="1579" w:type="dxa"/>
            <w:tcBorders>
              <w:tl2br w:val="nil"/>
              <w:tr2bl w:val="nil"/>
            </w:tcBorders>
            <w:shd w:val="clear" w:color="auto" w:fill="auto"/>
            <w:vAlign w:val="center"/>
          </w:tcPr>
          <w:p w14:paraId="7B733007">
            <w:pPr>
              <w:jc w:val="center"/>
              <w:rPr>
                <w:rFonts w:hint="eastAsia" w:eastAsia="宋体"/>
                <w:color w:val="auto"/>
                <w:kern w:val="0"/>
                <w:sz w:val="18"/>
                <w:szCs w:val="18"/>
                <w:lang w:val="en-US" w:eastAsia="zh-CN"/>
              </w:rPr>
            </w:pPr>
            <w:r>
              <w:rPr>
                <w:rFonts w:hint="eastAsia"/>
                <w:color w:val="auto"/>
                <w:kern w:val="0"/>
                <w:sz w:val="18"/>
                <w:szCs w:val="18"/>
              </w:rPr>
              <w:t>—</w:t>
            </w:r>
          </w:p>
        </w:tc>
        <w:tc>
          <w:tcPr>
            <w:tcW w:w="1056" w:type="dxa"/>
            <w:tcBorders>
              <w:tl2br w:val="nil"/>
              <w:tr2bl w:val="nil"/>
            </w:tcBorders>
            <w:shd w:val="clear" w:color="auto" w:fill="auto"/>
            <w:vAlign w:val="center"/>
          </w:tcPr>
          <w:p w14:paraId="4D596399">
            <w:pPr>
              <w:jc w:val="center"/>
              <w:rPr>
                <w:rFonts w:hint="default" w:eastAsia="宋体"/>
                <w:color w:val="auto"/>
                <w:kern w:val="0"/>
                <w:sz w:val="18"/>
                <w:szCs w:val="18"/>
                <w:lang w:val="en-US" w:eastAsia="zh-CN"/>
              </w:rPr>
            </w:pPr>
            <w:r>
              <w:rPr>
                <w:rFonts w:hint="eastAsia"/>
                <w:color w:val="auto"/>
                <w:kern w:val="0"/>
                <w:sz w:val="18"/>
                <w:szCs w:val="18"/>
                <w:lang w:val="en-US" w:eastAsia="zh-CN"/>
              </w:rPr>
              <w:t>3类</w:t>
            </w:r>
          </w:p>
        </w:tc>
        <w:tc>
          <w:tcPr>
            <w:tcW w:w="1321" w:type="dxa"/>
            <w:tcBorders>
              <w:tl2br w:val="nil"/>
              <w:tr2bl w:val="nil"/>
            </w:tcBorders>
            <w:shd w:val="clear" w:color="auto" w:fill="auto"/>
            <w:vAlign w:val="center"/>
          </w:tcPr>
          <w:p w14:paraId="0D0677E1">
            <w:pPr>
              <w:jc w:val="center"/>
              <w:rPr>
                <w:rFonts w:hint="default" w:eastAsia="宋体"/>
                <w:color w:val="auto"/>
                <w:kern w:val="0"/>
                <w:sz w:val="18"/>
                <w:szCs w:val="18"/>
                <w:lang w:val="en-US" w:eastAsia="zh-CN"/>
              </w:rPr>
            </w:pPr>
            <w:r>
              <w:rPr>
                <w:rFonts w:hint="eastAsia"/>
                <w:color w:val="auto"/>
                <w:kern w:val="0"/>
                <w:sz w:val="18"/>
                <w:szCs w:val="18"/>
                <w:lang w:val="en-US" w:eastAsia="zh-CN"/>
              </w:rPr>
              <w:t>2类</w:t>
            </w:r>
          </w:p>
        </w:tc>
        <w:tc>
          <w:tcPr>
            <w:tcW w:w="1741" w:type="dxa"/>
            <w:tcBorders>
              <w:tl2br w:val="nil"/>
              <w:tr2bl w:val="nil"/>
            </w:tcBorders>
            <w:shd w:val="clear" w:color="auto" w:fill="auto"/>
            <w:vAlign w:val="center"/>
          </w:tcPr>
          <w:p w14:paraId="4C31A59D">
            <w:pPr>
              <w:jc w:val="center"/>
              <w:rPr>
                <w:rFonts w:hint="eastAsia"/>
                <w:color w:val="auto"/>
                <w:kern w:val="0"/>
                <w:sz w:val="18"/>
                <w:szCs w:val="18"/>
              </w:rPr>
            </w:pPr>
            <w:r>
              <w:rPr>
                <w:rFonts w:hint="eastAsia"/>
                <w:color w:val="auto"/>
                <w:kern w:val="0"/>
                <w:sz w:val="18"/>
                <w:szCs w:val="18"/>
              </w:rPr>
              <w:t>GB 12348</w:t>
            </w:r>
          </w:p>
        </w:tc>
      </w:tr>
      <w:tr w14:paraId="54A122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6" w:hRule="atLeast"/>
          <w:jc w:val="center"/>
        </w:trPr>
        <w:tc>
          <w:tcPr>
            <w:tcW w:w="726" w:type="dxa"/>
            <w:vMerge w:val="restart"/>
            <w:tcBorders>
              <w:tl2br w:val="nil"/>
              <w:tr2bl w:val="nil"/>
            </w:tcBorders>
            <w:shd w:val="clear" w:color="auto" w:fill="auto"/>
            <w:vAlign w:val="center"/>
          </w:tcPr>
          <w:p w14:paraId="00D0C2F9">
            <w:pPr>
              <w:jc w:val="center"/>
              <w:rPr>
                <w:color w:val="auto"/>
                <w:kern w:val="0"/>
                <w:sz w:val="18"/>
                <w:szCs w:val="18"/>
              </w:rPr>
            </w:pPr>
            <w:r>
              <w:rPr>
                <w:rFonts w:hint="eastAsia"/>
                <w:color w:val="auto"/>
                <w:kern w:val="0"/>
                <w:sz w:val="18"/>
                <w:szCs w:val="18"/>
              </w:rPr>
              <w:t>品质属性</w:t>
            </w:r>
          </w:p>
        </w:tc>
        <w:tc>
          <w:tcPr>
            <w:tcW w:w="597" w:type="dxa"/>
            <w:vMerge w:val="restart"/>
            <w:tcBorders>
              <w:tl2br w:val="nil"/>
              <w:tr2bl w:val="nil"/>
            </w:tcBorders>
            <w:shd w:val="clear" w:color="auto" w:fill="auto"/>
            <w:vAlign w:val="center"/>
          </w:tcPr>
          <w:p w14:paraId="63D473F7">
            <w:pPr>
              <w:jc w:val="center"/>
              <w:rPr>
                <w:color w:val="auto"/>
                <w:kern w:val="0"/>
                <w:sz w:val="18"/>
                <w:szCs w:val="18"/>
              </w:rPr>
            </w:pPr>
            <w:r>
              <w:rPr>
                <w:rFonts w:hint="eastAsia"/>
                <w:color w:val="auto"/>
                <w:kern w:val="0"/>
                <w:sz w:val="18"/>
                <w:szCs w:val="18"/>
              </w:rPr>
              <w:t>管材属性</w:t>
            </w:r>
          </w:p>
        </w:tc>
        <w:tc>
          <w:tcPr>
            <w:tcW w:w="849" w:type="dxa"/>
            <w:gridSpan w:val="2"/>
            <w:vMerge w:val="restart"/>
            <w:tcBorders>
              <w:tl2br w:val="nil"/>
              <w:tr2bl w:val="nil"/>
            </w:tcBorders>
            <w:shd w:val="clear" w:color="auto" w:fill="auto"/>
            <w:vAlign w:val="center"/>
          </w:tcPr>
          <w:p w14:paraId="6871BCB2">
            <w:pPr>
              <w:jc w:val="center"/>
              <w:rPr>
                <w:color w:val="auto"/>
                <w:kern w:val="0"/>
                <w:sz w:val="18"/>
                <w:szCs w:val="18"/>
              </w:rPr>
            </w:pPr>
            <w:r>
              <w:rPr>
                <w:rFonts w:hint="eastAsia"/>
                <w:color w:val="auto"/>
                <w:kern w:val="0"/>
                <w:sz w:val="18"/>
                <w:szCs w:val="18"/>
              </w:rPr>
              <w:t>原材料</w:t>
            </w:r>
          </w:p>
        </w:tc>
        <w:tc>
          <w:tcPr>
            <w:tcW w:w="655" w:type="dxa"/>
            <w:gridSpan w:val="2"/>
            <w:vMerge w:val="restart"/>
            <w:tcBorders>
              <w:tl2br w:val="nil"/>
              <w:tr2bl w:val="nil"/>
            </w:tcBorders>
            <w:shd w:val="clear" w:color="auto" w:fill="auto"/>
            <w:vAlign w:val="center"/>
          </w:tcPr>
          <w:p w14:paraId="6E60E888">
            <w:pPr>
              <w:jc w:val="center"/>
              <w:rPr>
                <w:color w:val="auto"/>
                <w:kern w:val="0"/>
                <w:sz w:val="18"/>
                <w:szCs w:val="18"/>
              </w:rPr>
            </w:pPr>
            <w:r>
              <w:rPr>
                <w:rFonts w:hint="eastAsia"/>
                <w:color w:val="auto"/>
                <w:kern w:val="0"/>
                <w:sz w:val="18"/>
                <w:szCs w:val="18"/>
              </w:rPr>
              <w:t>外管</w:t>
            </w:r>
          </w:p>
        </w:tc>
        <w:tc>
          <w:tcPr>
            <w:tcW w:w="1361" w:type="dxa"/>
            <w:gridSpan w:val="2"/>
            <w:tcBorders>
              <w:tl2br w:val="nil"/>
              <w:tr2bl w:val="nil"/>
            </w:tcBorders>
            <w:shd w:val="clear" w:color="auto" w:fill="auto"/>
            <w:vAlign w:val="center"/>
          </w:tcPr>
          <w:p w14:paraId="16C58A84">
            <w:pPr>
              <w:jc w:val="center"/>
              <w:rPr>
                <w:color w:val="auto"/>
                <w:kern w:val="0"/>
                <w:sz w:val="18"/>
                <w:szCs w:val="18"/>
              </w:rPr>
            </w:pPr>
            <w:r>
              <w:rPr>
                <w:rFonts w:hint="eastAsia"/>
                <w:color w:val="auto"/>
                <w:kern w:val="0"/>
                <w:sz w:val="18"/>
                <w:szCs w:val="18"/>
              </w:rPr>
              <w:t>铝合金牌号</w:t>
            </w:r>
          </w:p>
        </w:tc>
        <w:tc>
          <w:tcPr>
            <w:tcW w:w="872" w:type="dxa"/>
            <w:tcBorders>
              <w:tl2br w:val="nil"/>
              <w:tr2bl w:val="nil"/>
            </w:tcBorders>
            <w:shd w:val="clear" w:color="auto" w:fill="auto"/>
            <w:vAlign w:val="center"/>
          </w:tcPr>
          <w:p w14:paraId="335FAD04">
            <w:pPr>
              <w:jc w:val="center"/>
              <w:rPr>
                <w:color w:val="auto"/>
                <w:kern w:val="0"/>
                <w:sz w:val="18"/>
                <w:szCs w:val="18"/>
              </w:rPr>
            </w:pPr>
            <w:r>
              <w:rPr>
                <w:rFonts w:hint="eastAsia"/>
                <w:color w:val="auto"/>
                <w:kern w:val="0"/>
                <w:sz w:val="18"/>
                <w:szCs w:val="18"/>
              </w:rPr>
              <w:t>—</w:t>
            </w:r>
          </w:p>
        </w:tc>
        <w:tc>
          <w:tcPr>
            <w:tcW w:w="2635" w:type="dxa"/>
            <w:gridSpan w:val="2"/>
            <w:tcBorders>
              <w:tl2br w:val="nil"/>
              <w:tr2bl w:val="nil"/>
            </w:tcBorders>
            <w:shd w:val="clear" w:color="auto" w:fill="auto"/>
            <w:vAlign w:val="center"/>
          </w:tcPr>
          <w:p w14:paraId="7769677F">
            <w:pPr>
              <w:jc w:val="center"/>
              <w:rPr>
                <w:color w:val="auto"/>
                <w:kern w:val="0"/>
                <w:sz w:val="18"/>
                <w:szCs w:val="18"/>
              </w:rPr>
            </w:pPr>
            <w:r>
              <w:rPr>
                <w:rFonts w:hint="eastAsia"/>
                <w:color w:val="auto"/>
                <w:kern w:val="0"/>
                <w:sz w:val="18"/>
                <w:szCs w:val="18"/>
              </w:rPr>
              <w:t>非6063-T5</w:t>
            </w:r>
          </w:p>
        </w:tc>
        <w:tc>
          <w:tcPr>
            <w:tcW w:w="1321" w:type="dxa"/>
            <w:tcBorders>
              <w:tl2br w:val="nil"/>
              <w:tr2bl w:val="nil"/>
            </w:tcBorders>
            <w:shd w:val="clear" w:color="auto" w:fill="auto"/>
            <w:vAlign w:val="center"/>
          </w:tcPr>
          <w:p w14:paraId="21B46900">
            <w:pPr>
              <w:jc w:val="center"/>
              <w:rPr>
                <w:color w:val="auto"/>
                <w:kern w:val="0"/>
                <w:sz w:val="18"/>
                <w:szCs w:val="18"/>
              </w:rPr>
            </w:pPr>
            <w:r>
              <w:rPr>
                <w:rFonts w:hint="eastAsia"/>
                <w:color w:val="auto"/>
                <w:kern w:val="0"/>
                <w:sz w:val="18"/>
                <w:szCs w:val="18"/>
              </w:rPr>
              <w:t>6063-T5</w:t>
            </w:r>
          </w:p>
        </w:tc>
        <w:tc>
          <w:tcPr>
            <w:tcW w:w="1741" w:type="dxa"/>
            <w:tcBorders>
              <w:tl2br w:val="nil"/>
              <w:tr2bl w:val="nil"/>
            </w:tcBorders>
            <w:shd w:val="clear" w:color="auto" w:fill="auto"/>
            <w:vAlign w:val="center"/>
          </w:tcPr>
          <w:p w14:paraId="212CF434">
            <w:pPr>
              <w:jc w:val="center"/>
              <w:rPr>
                <w:color w:val="auto"/>
                <w:kern w:val="0"/>
                <w:sz w:val="18"/>
                <w:szCs w:val="18"/>
              </w:rPr>
            </w:pPr>
            <w:r>
              <w:rPr>
                <w:rFonts w:hint="eastAsia"/>
                <w:color w:val="auto"/>
                <w:kern w:val="0"/>
                <w:sz w:val="18"/>
                <w:szCs w:val="18"/>
              </w:rPr>
              <w:t>检验检测报告</w:t>
            </w:r>
          </w:p>
        </w:tc>
      </w:tr>
      <w:tr w14:paraId="3AF845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34B63BA7">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4E1B53A1">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096418CA">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6017B3EE">
            <w:pPr>
              <w:jc w:val="center"/>
              <w:rPr>
                <w:color w:val="auto"/>
                <w:kern w:val="0"/>
                <w:sz w:val="18"/>
                <w:szCs w:val="18"/>
                <w:highlight w:val="none"/>
              </w:rPr>
            </w:pPr>
          </w:p>
        </w:tc>
        <w:tc>
          <w:tcPr>
            <w:tcW w:w="1361" w:type="dxa"/>
            <w:gridSpan w:val="2"/>
            <w:tcBorders>
              <w:tl2br w:val="nil"/>
              <w:tr2bl w:val="nil"/>
            </w:tcBorders>
            <w:shd w:val="clear" w:color="auto" w:fill="auto"/>
            <w:vAlign w:val="center"/>
          </w:tcPr>
          <w:p w14:paraId="085E944C">
            <w:pPr>
              <w:jc w:val="center"/>
              <w:rPr>
                <w:color w:val="auto"/>
                <w:kern w:val="0"/>
                <w:sz w:val="18"/>
                <w:szCs w:val="18"/>
                <w:highlight w:val="none"/>
              </w:rPr>
            </w:pPr>
            <w:r>
              <w:rPr>
                <w:rFonts w:hint="eastAsia"/>
                <w:color w:val="auto"/>
                <w:kern w:val="0"/>
                <w:sz w:val="18"/>
                <w:szCs w:val="18"/>
                <w:highlight w:val="none"/>
              </w:rPr>
              <w:t xml:space="preserve">表面处理   </w:t>
            </w:r>
          </w:p>
        </w:tc>
        <w:tc>
          <w:tcPr>
            <w:tcW w:w="872" w:type="dxa"/>
            <w:tcBorders>
              <w:tl2br w:val="nil"/>
              <w:tr2bl w:val="nil"/>
            </w:tcBorders>
            <w:shd w:val="clear" w:color="auto" w:fill="auto"/>
            <w:vAlign w:val="center"/>
          </w:tcPr>
          <w:p w14:paraId="2F6BCB20">
            <w:pPr>
              <w:jc w:val="center"/>
              <w:rPr>
                <w:color w:val="auto"/>
                <w:kern w:val="0"/>
                <w:sz w:val="18"/>
                <w:szCs w:val="18"/>
                <w:highlight w:val="none"/>
              </w:rPr>
            </w:pPr>
            <w:r>
              <w:rPr>
                <w:rFonts w:hint="eastAsia"/>
                <w:color w:val="auto"/>
                <w:kern w:val="0"/>
                <w:sz w:val="18"/>
                <w:szCs w:val="18"/>
                <w:highlight w:val="none"/>
              </w:rPr>
              <w:t>—</w:t>
            </w:r>
          </w:p>
        </w:tc>
        <w:tc>
          <w:tcPr>
            <w:tcW w:w="1579" w:type="dxa"/>
            <w:tcBorders>
              <w:tl2br w:val="nil"/>
              <w:tr2bl w:val="nil"/>
            </w:tcBorders>
            <w:shd w:val="clear" w:color="auto" w:fill="auto"/>
            <w:vAlign w:val="center"/>
          </w:tcPr>
          <w:p w14:paraId="555C6836">
            <w:pPr>
              <w:jc w:val="center"/>
              <w:rPr>
                <w:color w:val="auto"/>
                <w:kern w:val="0"/>
                <w:sz w:val="18"/>
                <w:szCs w:val="18"/>
                <w:highlight w:val="none"/>
              </w:rPr>
            </w:pPr>
            <w:r>
              <w:rPr>
                <w:rFonts w:hint="eastAsia"/>
                <w:color w:val="auto"/>
                <w:kern w:val="0"/>
                <w:sz w:val="18"/>
                <w:szCs w:val="18"/>
                <w:highlight w:val="none"/>
              </w:rPr>
              <w:t>覆塑</w:t>
            </w:r>
          </w:p>
        </w:tc>
        <w:tc>
          <w:tcPr>
            <w:tcW w:w="1056" w:type="dxa"/>
            <w:tcBorders>
              <w:tl2br w:val="nil"/>
              <w:tr2bl w:val="nil"/>
            </w:tcBorders>
            <w:shd w:val="clear" w:color="auto" w:fill="auto"/>
            <w:vAlign w:val="center"/>
          </w:tcPr>
          <w:p w14:paraId="5516B46F">
            <w:pPr>
              <w:jc w:val="center"/>
              <w:rPr>
                <w:color w:val="auto"/>
                <w:kern w:val="0"/>
                <w:sz w:val="18"/>
                <w:szCs w:val="18"/>
                <w:highlight w:val="none"/>
              </w:rPr>
            </w:pPr>
            <w:r>
              <w:rPr>
                <w:rFonts w:hint="eastAsia"/>
                <w:color w:val="auto"/>
                <w:kern w:val="0"/>
                <w:sz w:val="18"/>
                <w:szCs w:val="18"/>
                <w:highlight w:val="none"/>
              </w:rPr>
              <w:t>阳极氧化</w:t>
            </w:r>
          </w:p>
        </w:tc>
        <w:tc>
          <w:tcPr>
            <w:tcW w:w="1321" w:type="dxa"/>
            <w:tcBorders>
              <w:tl2br w:val="nil"/>
              <w:tr2bl w:val="nil"/>
            </w:tcBorders>
            <w:shd w:val="clear" w:color="auto" w:fill="auto"/>
            <w:vAlign w:val="center"/>
          </w:tcPr>
          <w:p w14:paraId="6314F7D7">
            <w:pPr>
              <w:jc w:val="center"/>
              <w:rPr>
                <w:color w:val="auto"/>
                <w:kern w:val="0"/>
                <w:sz w:val="18"/>
                <w:szCs w:val="18"/>
                <w:highlight w:val="none"/>
              </w:rPr>
            </w:pPr>
            <w:r>
              <w:rPr>
                <w:rFonts w:hint="eastAsia"/>
                <w:color w:val="auto"/>
                <w:kern w:val="0"/>
                <w:sz w:val="18"/>
                <w:szCs w:val="18"/>
                <w:highlight w:val="none"/>
              </w:rPr>
              <w:t>静电喷涂</w:t>
            </w:r>
          </w:p>
        </w:tc>
        <w:tc>
          <w:tcPr>
            <w:tcW w:w="1741" w:type="dxa"/>
            <w:tcBorders>
              <w:tl2br w:val="nil"/>
              <w:tr2bl w:val="nil"/>
            </w:tcBorders>
            <w:shd w:val="clear" w:color="auto" w:fill="auto"/>
            <w:vAlign w:val="center"/>
          </w:tcPr>
          <w:p w14:paraId="3674D410">
            <w:pPr>
              <w:jc w:val="center"/>
              <w:rPr>
                <w:color w:val="auto"/>
                <w:kern w:val="0"/>
                <w:sz w:val="18"/>
                <w:szCs w:val="18"/>
                <w:highlight w:val="none"/>
              </w:rPr>
            </w:pPr>
            <w:r>
              <w:rPr>
                <w:rFonts w:hint="eastAsia"/>
                <w:color w:val="auto"/>
                <w:kern w:val="0"/>
                <w:sz w:val="18"/>
                <w:szCs w:val="18"/>
                <w:highlight w:val="none"/>
              </w:rPr>
              <w:t>检验检测报告</w:t>
            </w:r>
          </w:p>
        </w:tc>
      </w:tr>
      <w:tr w14:paraId="7EAB42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297A6AA3">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5859C648">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0718948C">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550770E9">
            <w:pPr>
              <w:jc w:val="center"/>
              <w:rPr>
                <w:color w:val="auto"/>
                <w:kern w:val="0"/>
                <w:sz w:val="18"/>
                <w:szCs w:val="18"/>
                <w:highlight w:val="none"/>
              </w:rPr>
            </w:pPr>
          </w:p>
        </w:tc>
        <w:tc>
          <w:tcPr>
            <w:tcW w:w="1361" w:type="dxa"/>
            <w:gridSpan w:val="2"/>
            <w:tcBorders>
              <w:tl2br w:val="nil"/>
              <w:tr2bl w:val="nil"/>
            </w:tcBorders>
            <w:shd w:val="clear" w:color="auto" w:fill="auto"/>
            <w:vAlign w:val="center"/>
          </w:tcPr>
          <w:p w14:paraId="19838160">
            <w:pPr>
              <w:jc w:val="center"/>
              <w:rPr>
                <w:color w:val="auto"/>
                <w:kern w:val="0"/>
                <w:sz w:val="18"/>
                <w:szCs w:val="18"/>
                <w:highlight w:val="none"/>
              </w:rPr>
            </w:pPr>
            <w:r>
              <w:rPr>
                <w:rFonts w:hint="eastAsia"/>
                <w:color w:val="auto"/>
                <w:kern w:val="0"/>
                <w:sz w:val="18"/>
                <w:szCs w:val="18"/>
                <w:highlight w:val="none"/>
              </w:rPr>
              <w:t>表面处理</w:t>
            </w:r>
            <w:r>
              <w:rPr>
                <w:rFonts w:hint="eastAsia"/>
                <w:color w:val="auto"/>
                <w:kern w:val="0"/>
                <w:sz w:val="18"/>
                <w:szCs w:val="18"/>
                <w:highlight w:val="none"/>
                <w:lang w:val="en-US" w:eastAsia="zh-CN"/>
              </w:rPr>
              <w:t xml:space="preserve">  </w:t>
            </w:r>
            <w:r>
              <w:rPr>
                <w:rFonts w:hint="eastAsia"/>
                <w:color w:val="auto"/>
                <w:kern w:val="0"/>
                <w:sz w:val="18"/>
                <w:szCs w:val="18"/>
                <w:highlight w:val="none"/>
              </w:rPr>
              <w:t>厚度</w:t>
            </w:r>
          </w:p>
        </w:tc>
        <w:tc>
          <w:tcPr>
            <w:tcW w:w="872" w:type="dxa"/>
            <w:tcBorders>
              <w:tl2br w:val="nil"/>
              <w:tr2bl w:val="nil"/>
            </w:tcBorders>
            <w:shd w:val="clear" w:color="auto" w:fill="auto"/>
            <w:vAlign w:val="center"/>
          </w:tcPr>
          <w:p w14:paraId="6506F479">
            <w:pPr>
              <w:jc w:val="center"/>
              <w:rPr>
                <w:color w:val="auto"/>
                <w:kern w:val="0"/>
                <w:sz w:val="18"/>
                <w:szCs w:val="18"/>
                <w:highlight w:val="none"/>
              </w:rPr>
            </w:pPr>
            <w:r>
              <w:rPr>
                <w:rFonts w:hint="eastAsia"/>
                <w:color w:val="auto"/>
                <w:kern w:val="0"/>
                <w:sz w:val="18"/>
                <w:szCs w:val="18"/>
                <w:highlight w:val="none"/>
              </w:rPr>
              <w:t>μm</w:t>
            </w:r>
          </w:p>
        </w:tc>
        <w:tc>
          <w:tcPr>
            <w:tcW w:w="1579" w:type="dxa"/>
            <w:tcBorders>
              <w:tl2br w:val="nil"/>
              <w:tr2bl w:val="nil"/>
            </w:tcBorders>
            <w:shd w:val="clear" w:color="auto" w:fill="auto"/>
            <w:vAlign w:val="center"/>
          </w:tcPr>
          <w:p w14:paraId="56DDB36D">
            <w:pPr>
              <w:jc w:val="center"/>
              <w:rPr>
                <w:color w:val="auto"/>
                <w:kern w:val="0"/>
                <w:sz w:val="18"/>
                <w:szCs w:val="18"/>
                <w:highlight w:val="none"/>
              </w:rPr>
            </w:pPr>
            <w:r>
              <w:rPr>
                <w:rFonts w:hint="eastAsia"/>
                <w:color w:val="auto"/>
                <w:kern w:val="0"/>
                <w:sz w:val="18"/>
                <w:szCs w:val="18"/>
                <w:highlight w:val="none"/>
              </w:rPr>
              <w:t>≥1200</w:t>
            </w:r>
          </w:p>
        </w:tc>
        <w:tc>
          <w:tcPr>
            <w:tcW w:w="1056" w:type="dxa"/>
            <w:tcBorders>
              <w:tl2br w:val="nil"/>
              <w:tr2bl w:val="nil"/>
            </w:tcBorders>
            <w:shd w:val="clear" w:color="auto" w:fill="auto"/>
            <w:vAlign w:val="center"/>
          </w:tcPr>
          <w:p w14:paraId="123944E7">
            <w:pPr>
              <w:jc w:val="center"/>
              <w:rPr>
                <w:color w:val="auto"/>
                <w:kern w:val="0"/>
                <w:sz w:val="18"/>
                <w:szCs w:val="18"/>
                <w:highlight w:val="none"/>
              </w:rPr>
            </w:pPr>
            <w:r>
              <w:rPr>
                <w:rFonts w:hint="eastAsia"/>
                <w:color w:val="auto"/>
                <w:kern w:val="0"/>
                <w:sz w:val="18"/>
                <w:szCs w:val="18"/>
                <w:highlight w:val="none"/>
              </w:rPr>
              <w:t>≥15</w:t>
            </w:r>
          </w:p>
        </w:tc>
        <w:tc>
          <w:tcPr>
            <w:tcW w:w="1321" w:type="dxa"/>
            <w:tcBorders>
              <w:tl2br w:val="nil"/>
              <w:tr2bl w:val="nil"/>
            </w:tcBorders>
            <w:shd w:val="clear" w:color="auto" w:fill="auto"/>
            <w:vAlign w:val="center"/>
          </w:tcPr>
          <w:p w14:paraId="3A14FF66">
            <w:pPr>
              <w:jc w:val="center"/>
              <w:rPr>
                <w:color w:val="auto"/>
                <w:kern w:val="0"/>
                <w:sz w:val="18"/>
                <w:szCs w:val="18"/>
                <w:highlight w:val="none"/>
              </w:rPr>
            </w:pPr>
            <w:r>
              <w:rPr>
                <w:rFonts w:hint="eastAsia"/>
                <w:color w:val="auto"/>
                <w:kern w:val="0"/>
                <w:sz w:val="18"/>
                <w:szCs w:val="18"/>
                <w:highlight w:val="none"/>
              </w:rPr>
              <w:t>≥100</w:t>
            </w:r>
          </w:p>
        </w:tc>
        <w:tc>
          <w:tcPr>
            <w:tcW w:w="1741" w:type="dxa"/>
            <w:tcBorders>
              <w:tl2br w:val="nil"/>
              <w:tr2bl w:val="nil"/>
            </w:tcBorders>
            <w:shd w:val="clear" w:color="auto" w:fill="auto"/>
            <w:vAlign w:val="center"/>
          </w:tcPr>
          <w:p w14:paraId="5296CFB5">
            <w:pPr>
              <w:jc w:val="center"/>
              <w:rPr>
                <w:color w:val="auto"/>
                <w:kern w:val="0"/>
                <w:sz w:val="18"/>
                <w:szCs w:val="18"/>
                <w:highlight w:val="none"/>
              </w:rPr>
            </w:pPr>
            <w:r>
              <w:rPr>
                <w:rFonts w:hint="eastAsia"/>
                <w:color w:val="auto"/>
                <w:kern w:val="0"/>
                <w:sz w:val="18"/>
                <w:szCs w:val="18"/>
                <w:highlight w:val="none"/>
              </w:rPr>
              <w:t>检验检测报告</w:t>
            </w:r>
          </w:p>
        </w:tc>
      </w:tr>
      <w:tr w14:paraId="2144E5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5D913577">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26BCECD9">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38D719C6">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2F048BB6">
            <w:pPr>
              <w:jc w:val="center"/>
              <w:rPr>
                <w:color w:val="auto"/>
                <w:kern w:val="0"/>
                <w:sz w:val="18"/>
                <w:szCs w:val="18"/>
                <w:highlight w:val="none"/>
              </w:rPr>
            </w:pPr>
          </w:p>
        </w:tc>
        <w:tc>
          <w:tcPr>
            <w:tcW w:w="1361" w:type="dxa"/>
            <w:gridSpan w:val="2"/>
            <w:tcBorders>
              <w:tl2br w:val="nil"/>
              <w:tr2bl w:val="nil"/>
            </w:tcBorders>
            <w:shd w:val="clear" w:color="auto" w:fill="auto"/>
            <w:vAlign w:val="center"/>
          </w:tcPr>
          <w:p w14:paraId="5C70833B">
            <w:pPr>
              <w:jc w:val="center"/>
              <w:rPr>
                <w:color w:val="auto"/>
                <w:kern w:val="0"/>
                <w:sz w:val="18"/>
                <w:szCs w:val="18"/>
                <w:highlight w:val="none"/>
              </w:rPr>
            </w:pPr>
            <w:r>
              <w:rPr>
                <w:rFonts w:hint="eastAsia"/>
                <w:color w:val="auto"/>
                <w:sz w:val="18"/>
                <w:szCs w:val="18"/>
                <w:highlight w:val="none"/>
              </w:rPr>
              <w:t>尺寸偏差</w:t>
            </w:r>
          </w:p>
        </w:tc>
        <w:tc>
          <w:tcPr>
            <w:tcW w:w="872" w:type="dxa"/>
            <w:tcBorders>
              <w:tl2br w:val="nil"/>
              <w:tr2bl w:val="nil"/>
            </w:tcBorders>
            <w:shd w:val="clear" w:color="auto" w:fill="auto"/>
            <w:vAlign w:val="center"/>
          </w:tcPr>
          <w:p w14:paraId="63675E86">
            <w:pPr>
              <w:jc w:val="center"/>
              <w:rPr>
                <w:rFonts w:hint="eastAsia" w:eastAsia="宋体"/>
                <w:color w:val="auto"/>
                <w:kern w:val="0"/>
                <w:sz w:val="18"/>
                <w:szCs w:val="18"/>
                <w:highlight w:val="none"/>
                <w:lang w:val="en-US" w:eastAsia="zh-CN"/>
              </w:rPr>
            </w:pPr>
            <w:r>
              <w:rPr>
                <w:rFonts w:hint="eastAsia"/>
                <w:color w:val="auto"/>
                <w:kern w:val="0"/>
                <w:sz w:val="18"/>
                <w:szCs w:val="18"/>
                <w:highlight w:val="none"/>
              </w:rPr>
              <w:t>壁厚</w:t>
            </w:r>
          </w:p>
        </w:tc>
        <w:tc>
          <w:tcPr>
            <w:tcW w:w="3956" w:type="dxa"/>
            <w:gridSpan w:val="3"/>
            <w:tcBorders>
              <w:tl2br w:val="nil"/>
              <w:tr2bl w:val="nil"/>
            </w:tcBorders>
            <w:shd w:val="clear" w:color="auto" w:fill="auto"/>
            <w:vAlign w:val="center"/>
          </w:tcPr>
          <w:p w14:paraId="24E36131">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0%</w:t>
            </w:r>
          </w:p>
        </w:tc>
        <w:tc>
          <w:tcPr>
            <w:tcW w:w="1741" w:type="dxa"/>
            <w:tcBorders>
              <w:tl2br w:val="nil"/>
              <w:tr2bl w:val="nil"/>
            </w:tcBorders>
            <w:shd w:val="clear" w:color="auto" w:fill="auto"/>
            <w:vAlign w:val="center"/>
          </w:tcPr>
          <w:p w14:paraId="42145670">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GB/T 41494</w:t>
            </w:r>
          </w:p>
        </w:tc>
      </w:tr>
      <w:tr w14:paraId="2E9D3C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741BA663">
            <w:pPr>
              <w:jc w:val="center"/>
              <w:rPr>
                <w:color w:val="auto"/>
                <w:kern w:val="0"/>
                <w:sz w:val="18"/>
                <w:szCs w:val="18"/>
              </w:rPr>
            </w:pPr>
          </w:p>
        </w:tc>
        <w:tc>
          <w:tcPr>
            <w:tcW w:w="597" w:type="dxa"/>
            <w:vMerge w:val="continue"/>
            <w:tcBorders>
              <w:tl2br w:val="nil"/>
              <w:tr2bl w:val="nil"/>
            </w:tcBorders>
            <w:shd w:val="clear" w:color="auto" w:fill="auto"/>
            <w:vAlign w:val="center"/>
          </w:tcPr>
          <w:p w14:paraId="63CB2BA8">
            <w:pPr>
              <w:jc w:val="center"/>
              <w:rPr>
                <w:color w:val="auto"/>
                <w:kern w:val="0"/>
                <w:sz w:val="18"/>
                <w:szCs w:val="18"/>
              </w:rPr>
            </w:pPr>
          </w:p>
        </w:tc>
        <w:tc>
          <w:tcPr>
            <w:tcW w:w="849" w:type="dxa"/>
            <w:gridSpan w:val="2"/>
            <w:vMerge w:val="continue"/>
            <w:tcBorders>
              <w:tl2br w:val="nil"/>
              <w:tr2bl w:val="nil"/>
            </w:tcBorders>
            <w:shd w:val="clear" w:color="auto" w:fill="auto"/>
            <w:vAlign w:val="center"/>
          </w:tcPr>
          <w:p w14:paraId="0456CA70">
            <w:pPr>
              <w:jc w:val="center"/>
              <w:rPr>
                <w:color w:val="auto"/>
                <w:kern w:val="0"/>
                <w:sz w:val="18"/>
                <w:szCs w:val="18"/>
              </w:rPr>
            </w:pPr>
          </w:p>
        </w:tc>
        <w:tc>
          <w:tcPr>
            <w:tcW w:w="655" w:type="dxa"/>
            <w:gridSpan w:val="2"/>
            <w:vMerge w:val="continue"/>
            <w:tcBorders>
              <w:tl2br w:val="nil"/>
              <w:tr2bl w:val="nil"/>
            </w:tcBorders>
            <w:shd w:val="clear" w:color="auto" w:fill="auto"/>
            <w:vAlign w:val="center"/>
          </w:tcPr>
          <w:p w14:paraId="10A0EE93">
            <w:pPr>
              <w:jc w:val="center"/>
              <w:rPr>
                <w:color w:val="auto"/>
                <w:kern w:val="0"/>
                <w:sz w:val="18"/>
                <w:szCs w:val="18"/>
              </w:rPr>
            </w:pPr>
          </w:p>
        </w:tc>
        <w:tc>
          <w:tcPr>
            <w:tcW w:w="1361" w:type="dxa"/>
            <w:gridSpan w:val="2"/>
            <w:tcBorders>
              <w:tl2br w:val="nil"/>
              <w:tr2bl w:val="nil"/>
            </w:tcBorders>
            <w:shd w:val="clear" w:color="auto" w:fill="auto"/>
            <w:vAlign w:val="center"/>
          </w:tcPr>
          <w:p w14:paraId="08ED469C">
            <w:pPr>
              <w:jc w:val="center"/>
              <w:rPr>
                <w:color w:val="auto"/>
                <w:kern w:val="0"/>
                <w:sz w:val="18"/>
                <w:szCs w:val="18"/>
              </w:rPr>
            </w:pPr>
            <w:r>
              <w:rPr>
                <w:rFonts w:hint="eastAsia"/>
                <w:color w:val="auto"/>
                <w:kern w:val="0"/>
                <w:sz w:val="18"/>
                <w:szCs w:val="18"/>
              </w:rPr>
              <w:t>耐腐蚀</w:t>
            </w:r>
          </w:p>
        </w:tc>
        <w:tc>
          <w:tcPr>
            <w:tcW w:w="872" w:type="dxa"/>
            <w:tcBorders>
              <w:tl2br w:val="nil"/>
              <w:tr2bl w:val="nil"/>
            </w:tcBorders>
            <w:shd w:val="clear" w:color="auto" w:fill="auto"/>
            <w:vAlign w:val="center"/>
          </w:tcPr>
          <w:p w14:paraId="11BA93E9">
            <w:pPr>
              <w:jc w:val="center"/>
              <w:rPr>
                <w:color w:val="auto"/>
                <w:kern w:val="0"/>
                <w:sz w:val="18"/>
                <w:szCs w:val="18"/>
              </w:rPr>
            </w:pPr>
            <w:r>
              <w:rPr>
                <w:rFonts w:hint="eastAsia"/>
                <w:color w:val="auto"/>
                <w:kern w:val="0"/>
                <w:sz w:val="18"/>
                <w:szCs w:val="18"/>
              </w:rPr>
              <w:t>h</w:t>
            </w:r>
          </w:p>
        </w:tc>
        <w:tc>
          <w:tcPr>
            <w:tcW w:w="1579" w:type="dxa"/>
            <w:tcBorders>
              <w:tl2br w:val="nil"/>
              <w:tr2bl w:val="nil"/>
            </w:tcBorders>
            <w:shd w:val="clear" w:color="auto" w:fill="auto"/>
            <w:vAlign w:val="center"/>
          </w:tcPr>
          <w:p w14:paraId="0796D619">
            <w:pPr>
              <w:jc w:val="center"/>
              <w:rPr>
                <w:color w:val="auto"/>
                <w:kern w:val="0"/>
                <w:sz w:val="18"/>
                <w:szCs w:val="18"/>
              </w:rPr>
            </w:pPr>
            <w:r>
              <w:rPr>
                <w:rFonts w:hint="eastAsia"/>
                <w:color w:val="auto"/>
                <w:kern w:val="0"/>
                <w:sz w:val="18"/>
                <w:szCs w:val="18"/>
              </w:rPr>
              <w:t>100</w:t>
            </w:r>
          </w:p>
        </w:tc>
        <w:tc>
          <w:tcPr>
            <w:tcW w:w="1056" w:type="dxa"/>
            <w:tcBorders>
              <w:tl2br w:val="nil"/>
              <w:tr2bl w:val="nil"/>
            </w:tcBorders>
            <w:shd w:val="clear" w:color="auto" w:fill="auto"/>
            <w:vAlign w:val="center"/>
          </w:tcPr>
          <w:p w14:paraId="3DC8FED4">
            <w:pPr>
              <w:jc w:val="center"/>
              <w:rPr>
                <w:color w:val="auto"/>
                <w:kern w:val="0"/>
                <w:sz w:val="18"/>
                <w:szCs w:val="18"/>
              </w:rPr>
            </w:pPr>
            <w:r>
              <w:rPr>
                <w:rFonts w:hint="eastAsia"/>
                <w:color w:val="auto"/>
                <w:kern w:val="0"/>
                <w:sz w:val="18"/>
                <w:szCs w:val="18"/>
              </w:rPr>
              <w:t>200</w:t>
            </w:r>
          </w:p>
        </w:tc>
        <w:tc>
          <w:tcPr>
            <w:tcW w:w="1321" w:type="dxa"/>
            <w:tcBorders>
              <w:tl2br w:val="nil"/>
              <w:tr2bl w:val="nil"/>
            </w:tcBorders>
            <w:shd w:val="clear" w:color="auto" w:fill="auto"/>
            <w:vAlign w:val="center"/>
          </w:tcPr>
          <w:p w14:paraId="62E4D2CC">
            <w:pPr>
              <w:jc w:val="center"/>
              <w:rPr>
                <w:color w:val="auto"/>
                <w:kern w:val="0"/>
                <w:sz w:val="18"/>
                <w:szCs w:val="18"/>
              </w:rPr>
            </w:pPr>
            <w:r>
              <w:rPr>
                <w:rFonts w:hint="eastAsia"/>
                <w:color w:val="auto"/>
                <w:kern w:val="0"/>
                <w:sz w:val="18"/>
                <w:szCs w:val="18"/>
              </w:rPr>
              <w:t>300</w:t>
            </w:r>
          </w:p>
        </w:tc>
        <w:tc>
          <w:tcPr>
            <w:tcW w:w="1741" w:type="dxa"/>
            <w:tcBorders>
              <w:tl2br w:val="nil"/>
              <w:tr2bl w:val="nil"/>
            </w:tcBorders>
            <w:shd w:val="clear" w:color="auto" w:fill="auto"/>
            <w:vAlign w:val="center"/>
          </w:tcPr>
          <w:p w14:paraId="7F77B665">
            <w:pPr>
              <w:jc w:val="center"/>
              <w:rPr>
                <w:color w:val="auto"/>
                <w:kern w:val="0"/>
                <w:sz w:val="18"/>
                <w:szCs w:val="18"/>
              </w:rPr>
            </w:pPr>
            <w:r>
              <w:rPr>
                <w:rFonts w:hint="eastAsia"/>
                <w:color w:val="auto"/>
                <w:kern w:val="0"/>
                <w:sz w:val="18"/>
                <w:szCs w:val="18"/>
              </w:rPr>
              <w:t>检验检测报告</w:t>
            </w:r>
          </w:p>
        </w:tc>
      </w:tr>
      <w:tr w14:paraId="41CCAB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170E2E55">
            <w:pPr>
              <w:jc w:val="center"/>
              <w:rPr>
                <w:color w:val="auto"/>
                <w:kern w:val="0"/>
                <w:sz w:val="18"/>
                <w:szCs w:val="18"/>
              </w:rPr>
            </w:pPr>
          </w:p>
        </w:tc>
        <w:tc>
          <w:tcPr>
            <w:tcW w:w="597" w:type="dxa"/>
            <w:vMerge w:val="continue"/>
            <w:tcBorders>
              <w:tl2br w:val="nil"/>
              <w:tr2bl w:val="nil"/>
            </w:tcBorders>
            <w:shd w:val="clear" w:color="auto" w:fill="auto"/>
            <w:vAlign w:val="center"/>
          </w:tcPr>
          <w:p w14:paraId="16142FE0">
            <w:pPr>
              <w:jc w:val="center"/>
              <w:rPr>
                <w:color w:val="auto"/>
                <w:kern w:val="0"/>
                <w:sz w:val="18"/>
                <w:szCs w:val="18"/>
              </w:rPr>
            </w:pPr>
          </w:p>
        </w:tc>
        <w:tc>
          <w:tcPr>
            <w:tcW w:w="849" w:type="dxa"/>
            <w:gridSpan w:val="2"/>
            <w:vMerge w:val="continue"/>
            <w:tcBorders>
              <w:tl2br w:val="nil"/>
              <w:tr2bl w:val="nil"/>
            </w:tcBorders>
            <w:shd w:val="clear" w:color="auto" w:fill="auto"/>
            <w:vAlign w:val="center"/>
          </w:tcPr>
          <w:p w14:paraId="1F7D524F">
            <w:pPr>
              <w:jc w:val="center"/>
              <w:rPr>
                <w:color w:val="auto"/>
                <w:kern w:val="0"/>
                <w:sz w:val="18"/>
                <w:szCs w:val="18"/>
              </w:rPr>
            </w:pPr>
          </w:p>
        </w:tc>
        <w:tc>
          <w:tcPr>
            <w:tcW w:w="655" w:type="dxa"/>
            <w:gridSpan w:val="2"/>
            <w:vMerge w:val="restart"/>
            <w:tcBorders>
              <w:tl2br w:val="nil"/>
              <w:tr2bl w:val="nil"/>
            </w:tcBorders>
            <w:shd w:val="clear" w:color="auto" w:fill="auto"/>
            <w:vAlign w:val="center"/>
          </w:tcPr>
          <w:p w14:paraId="25CB6170">
            <w:pPr>
              <w:jc w:val="center"/>
              <w:rPr>
                <w:color w:val="auto"/>
                <w:kern w:val="0"/>
                <w:sz w:val="18"/>
                <w:szCs w:val="18"/>
              </w:rPr>
            </w:pPr>
            <w:r>
              <w:rPr>
                <w:rFonts w:hint="eastAsia"/>
                <w:color w:val="auto"/>
                <w:kern w:val="0"/>
                <w:sz w:val="18"/>
                <w:szCs w:val="18"/>
              </w:rPr>
              <w:t>内管</w:t>
            </w:r>
            <w:r>
              <w:rPr>
                <w:rFonts w:hint="eastAsia"/>
                <w:color w:val="auto"/>
                <w:kern w:val="0"/>
                <w:sz w:val="18"/>
                <w:szCs w:val="18"/>
                <w:eastAsianLayout w:id="18" w:combine="1"/>
              </w:rPr>
              <w:t xml:space="preserve">1   </w:t>
            </w:r>
          </w:p>
        </w:tc>
        <w:tc>
          <w:tcPr>
            <w:tcW w:w="1361" w:type="dxa"/>
            <w:gridSpan w:val="2"/>
            <w:tcBorders>
              <w:tl2br w:val="nil"/>
              <w:tr2bl w:val="nil"/>
            </w:tcBorders>
            <w:shd w:val="clear" w:color="auto" w:fill="auto"/>
            <w:vAlign w:val="center"/>
          </w:tcPr>
          <w:p w14:paraId="0665DD22">
            <w:pPr>
              <w:jc w:val="center"/>
              <w:rPr>
                <w:color w:val="auto"/>
                <w:kern w:val="0"/>
                <w:sz w:val="18"/>
                <w:szCs w:val="18"/>
              </w:rPr>
            </w:pPr>
            <w:r>
              <w:rPr>
                <w:rFonts w:hint="eastAsia"/>
                <w:color w:val="auto"/>
                <w:kern w:val="0"/>
                <w:sz w:val="18"/>
                <w:szCs w:val="18"/>
              </w:rPr>
              <w:t>材质</w:t>
            </w:r>
          </w:p>
        </w:tc>
        <w:tc>
          <w:tcPr>
            <w:tcW w:w="872" w:type="dxa"/>
            <w:tcBorders>
              <w:tl2br w:val="nil"/>
              <w:tr2bl w:val="nil"/>
            </w:tcBorders>
            <w:shd w:val="clear" w:color="auto" w:fill="auto"/>
            <w:vAlign w:val="center"/>
          </w:tcPr>
          <w:p w14:paraId="0CE113DB">
            <w:pPr>
              <w:jc w:val="center"/>
              <w:rPr>
                <w:color w:val="auto"/>
                <w:kern w:val="0"/>
                <w:sz w:val="18"/>
                <w:szCs w:val="18"/>
              </w:rPr>
            </w:pPr>
            <w:r>
              <w:rPr>
                <w:rFonts w:hint="eastAsia"/>
                <w:color w:val="auto"/>
                <w:kern w:val="0"/>
                <w:sz w:val="18"/>
                <w:szCs w:val="18"/>
              </w:rPr>
              <w:t>—</w:t>
            </w:r>
          </w:p>
        </w:tc>
        <w:tc>
          <w:tcPr>
            <w:tcW w:w="2635" w:type="dxa"/>
            <w:gridSpan w:val="2"/>
            <w:tcBorders>
              <w:tl2br w:val="nil"/>
              <w:tr2bl w:val="nil"/>
            </w:tcBorders>
            <w:shd w:val="clear" w:color="auto" w:fill="auto"/>
            <w:vAlign w:val="center"/>
          </w:tcPr>
          <w:p w14:paraId="31C37C5F">
            <w:pPr>
              <w:jc w:val="center"/>
              <w:rPr>
                <w:color w:val="auto"/>
                <w:kern w:val="0"/>
                <w:sz w:val="18"/>
                <w:szCs w:val="18"/>
              </w:rPr>
            </w:pPr>
            <w:r>
              <w:rPr>
                <w:rFonts w:hint="eastAsia"/>
                <w:color w:val="auto"/>
                <w:kern w:val="0"/>
                <w:sz w:val="18"/>
                <w:szCs w:val="18"/>
              </w:rPr>
              <w:t>PE-RT I型、PP-R</w:t>
            </w:r>
          </w:p>
        </w:tc>
        <w:tc>
          <w:tcPr>
            <w:tcW w:w="1321" w:type="dxa"/>
            <w:tcBorders>
              <w:tl2br w:val="nil"/>
              <w:tr2bl w:val="nil"/>
            </w:tcBorders>
            <w:shd w:val="clear" w:color="auto" w:fill="auto"/>
            <w:vAlign w:val="center"/>
          </w:tcPr>
          <w:p w14:paraId="33870AC0">
            <w:pPr>
              <w:jc w:val="center"/>
              <w:rPr>
                <w:color w:val="auto"/>
                <w:kern w:val="0"/>
                <w:sz w:val="18"/>
                <w:szCs w:val="18"/>
              </w:rPr>
            </w:pPr>
            <w:r>
              <w:rPr>
                <w:rFonts w:hint="eastAsia"/>
                <w:color w:val="auto"/>
                <w:kern w:val="0"/>
                <w:sz w:val="18"/>
                <w:szCs w:val="18"/>
              </w:rPr>
              <w:t>PE-RT II型、PP-R</w:t>
            </w:r>
          </w:p>
        </w:tc>
        <w:tc>
          <w:tcPr>
            <w:tcW w:w="1741" w:type="dxa"/>
            <w:tcBorders>
              <w:tl2br w:val="nil"/>
              <w:tr2bl w:val="nil"/>
            </w:tcBorders>
            <w:shd w:val="clear" w:color="auto" w:fill="auto"/>
            <w:vAlign w:val="center"/>
          </w:tcPr>
          <w:p w14:paraId="5EB4311A">
            <w:pPr>
              <w:jc w:val="center"/>
              <w:rPr>
                <w:color w:val="auto"/>
                <w:kern w:val="0"/>
                <w:sz w:val="18"/>
                <w:szCs w:val="18"/>
              </w:rPr>
            </w:pPr>
            <w:r>
              <w:rPr>
                <w:rFonts w:hint="eastAsia"/>
                <w:color w:val="auto"/>
                <w:kern w:val="0"/>
                <w:sz w:val="18"/>
                <w:szCs w:val="18"/>
              </w:rPr>
              <w:t>检验检测报告</w:t>
            </w:r>
          </w:p>
        </w:tc>
      </w:tr>
      <w:tr w14:paraId="3FA2175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66A3E0D4">
            <w:pPr>
              <w:jc w:val="center"/>
              <w:rPr>
                <w:color w:val="auto"/>
                <w:kern w:val="0"/>
                <w:sz w:val="18"/>
                <w:szCs w:val="18"/>
              </w:rPr>
            </w:pPr>
          </w:p>
        </w:tc>
        <w:tc>
          <w:tcPr>
            <w:tcW w:w="597" w:type="dxa"/>
            <w:vMerge w:val="continue"/>
            <w:tcBorders>
              <w:tl2br w:val="nil"/>
              <w:tr2bl w:val="nil"/>
            </w:tcBorders>
            <w:shd w:val="clear" w:color="auto" w:fill="auto"/>
            <w:vAlign w:val="center"/>
          </w:tcPr>
          <w:p w14:paraId="37F51329">
            <w:pPr>
              <w:jc w:val="center"/>
              <w:rPr>
                <w:color w:val="auto"/>
                <w:kern w:val="0"/>
                <w:sz w:val="18"/>
                <w:szCs w:val="18"/>
              </w:rPr>
            </w:pPr>
          </w:p>
        </w:tc>
        <w:tc>
          <w:tcPr>
            <w:tcW w:w="849" w:type="dxa"/>
            <w:gridSpan w:val="2"/>
            <w:vMerge w:val="continue"/>
            <w:tcBorders>
              <w:tl2br w:val="nil"/>
              <w:tr2bl w:val="nil"/>
            </w:tcBorders>
            <w:shd w:val="clear" w:color="auto" w:fill="auto"/>
            <w:vAlign w:val="center"/>
          </w:tcPr>
          <w:p w14:paraId="4FECE62F">
            <w:pPr>
              <w:jc w:val="center"/>
              <w:rPr>
                <w:color w:val="auto"/>
                <w:kern w:val="0"/>
                <w:sz w:val="18"/>
                <w:szCs w:val="18"/>
              </w:rPr>
            </w:pPr>
          </w:p>
        </w:tc>
        <w:tc>
          <w:tcPr>
            <w:tcW w:w="655" w:type="dxa"/>
            <w:gridSpan w:val="2"/>
            <w:vMerge w:val="continue"/>
            <w:tcBorders>
              <w:tl2br w:val="nil"/>
              <w:tr2bl w:val="nil"/>
            </w:tcBorders>
            <w:shd w:val="clear" w:color="auto" w:fill="auto"/>
            <w:vAlign w:val="center"/>
          </w:tcPr>
          <w:p w14:paraId="4E476E31">
            <w:pPr>
              <w:jc w:val="center"/>
              <w:rPr>
                <w:color w:val="auto"/>
                <w:kern w:val="0"/>
                <w:sz w:val="18"/>
                <w:szCs w:val="18"/>
              </w:rPr>
            </w:pPr>
          </w:p>
        </w:tc>
        <w:tc>
          <w:tcPr>
            <w:tcW w:w="1361" w:type="dxa"/>
            <w:gridSpan w:val="2"/>
            <w:tcBorders>
              <w:tl2br w:val="nil"/>
              <w:tr2bl w:val="nil"/>
            </w:tcBorders>
            <w:shd w:val="clear" w:color="auto" w:fill="auto"/>
            <w:vAlign w:val="center"/>
          </w:tcPr>
          <w:p w14:paraId="255B34D4">
            <w:pPr>
              <w:jc w:val="center"/>
              <w:rPr>
                <w:color w:val="auto"/>
                <w:kern w:val="0"/>
                <w:sz w:val="18"/>
                <w:szCs w:val="18"/>
              </w:rPr>
            </w:pPr>
            <w:r>
              <w:rPr>
                <w:rFonts w:hint="eastAsia"/>
                <w:color w:val="auto"/>
                <w:sz w:val="18"/>
                <w:szCs w:val="18"/>
              </w:rPr>
              <w:t>耐腐蚀性能</w:t>
            </w:r>
          </w:p>
        </w:tc>
        <w:tc>
          <w:tcPr>
            <w:tcW w:w="872" w:type="dxa"/>
            <w:tcBorders>
              <w:tl2br w:val="nil"/>
              <w:tr2bl w:val="nil"/>
            </w:tcBorders>
            <w:shd w:val="clear" w:color="auto" w:fill="auto"/>
            <w:vAlign w:val="center"/>
          </w:tcPr>
          <w:p w14:paraId="3706797D">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145EDE14">
            <w:pPr>
              <w:jc w:val="center"/>
              <w:rPr>
                <w:color w:val="auto"/>
                <w:kern w:val="0"/>
                <w:sz w:val="18"/>
                <w:szCs w:val="18"/>
              </w:rPr>
            </w:pPr>
            <w:r>
              <w:rPr>
                <w:rFonts w:hint="eastAsia"/>
                <w:color w:val="auto"/>
                <w:kern w:val="0"/>
                <w:sz w:val="18"/>
                <w:szCs w:val="18"/>
              </w:rPr>
              <w:t>±0.02</w:t>
            </w:r>
          </w:p>
        </w:tc>
        <w:tc>
          <w:tcPr>
            <w:tcW w:w="2377" w:type="dxa"/>
            <w:gridSpan w:val="2"/>
            <w:tcBorders>
              <w:tl2br w:val="nil"/>
              <w:tr2bl w:val="nil"/>
            </w:tcBorders>
            <w:shd w:val="clear" w:color="auto" w:fill="auto"/>
            <w:vAlign w:val="center"/>
          </w:tcPr>
          <w:p w14:paraId="6890457D">
            <w:pPr>
              <w:jc w:val="center"/>
              <w:rPr>
                <w:color w:val="auto"/>
                <w:kern w:val="0"/>
                <w:sz w:val="18"/>
                <w:szCs w:val="18"/>
              </w:rPr>
            </w:pPr>
            <w:r>
              <w:rPr>
                <w:rFonts w:hint="eastAsia"/>
                <w:color w:val="auto"/>
                <w:kern w:val="0"/>
                <w:sz w:val="18"/>
                <w:szCs w:val="18"/>
              </w:rPr>
              <w:t>±0.01</w:t>
            </w:r>
          </w:p>
        </w:tc>
        <w:tc>
          <w:tcPr>
            <w:tcW w:w="1741" w:type="dxa"/>
            <w:tcBorders>
              <w:tl2br w:val="nil"/>
              <w:tr2bl w:val="nil"/>
            </w:tcBorders>
            <w:shd w:val="clear" w:color="auto" w:fill="auto"/>
            <w:vAlign w:val="center"/>
          </w:tcPr>
          <w:p w14:paraId="01C6B889">
            <w:pPr>
              <w:jc w:val="center"/>
              <w:rPr>
                <w:color w:val="auto"/>
                <w:kern w:val="0"/>
                <w:sz w:val="18"/>
                <w:szCs w:val="18"/>
              </w:rPr>
            </w:pPr>
            <w:r>
              <w:rPr>
                <w:rFonts w:hint="eastAsia"/>
                <w:color w:val="auto"/>
                <w:kern w:val="0"/>
                <w:sz w:val="18"/>
                <w:szCs w:val="18"/>
              </w:rPr>
              <w:t>检验检测报告</w:t>
            </w:r>
          </w:p>
        </w:tc>
      </w:tr>
      <w:tr w14:paraId="14CD5DB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726" w:type="dxa"/>
            <w:vMerge w:val="continue"/>
            <w:tcBorders>
              <w:tl2br w:val="nil"/>
              <w:tr2bl w:val="nil"/>
            </w:tcBorders>
            <w:shd w:val="clear" w:color="auto" w:fill="auto"/>
            <w:vAlign w:val="center"/>
          </w:tcPr>
          <w:p w14:paraId="6101366B">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069181EA">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173195B9">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64499805">
            <w:pPr>
              <w:jc w:val="center"/>
              <w:rPr>
                <w:color w:val="auto"/>
                <w:kern w:val="0"/>
                <w:sz w:val="18"/>
                <w:szCs w:val="18"/>
                <w:highlight w:val="none"/>
              </w:rPr>
            </w:pPr>
          </w:p>
        </w:tc>
        <w:tc>
          <w:tcPr>
            <w:tcW w:w="1361" w:type="dxa"/>
            <w:gridSpan w:val="2"/>
            <w:vMerge w:val="restart"/>
            <w:tcBorders>
              <w:tl2br w:val="nil"/>
              <w:tr2bl w:val="nil"/>
            </w:tcBorders>
            <w:shd w:val="clear" w:color="auto" w:fill="auto"/>
            <w:vAlign w:val="center"/>
          </w:tcPr>
          <w:p w14:paraId="7659F265">
            <w:pPr>
              <w:jc w:val="center"/>
              <w:rPr>
                <w:color w:val="auto"/>
                <w:sz w:val="18"/>
                <w:szCs w:val="18"/>
                <w:highlight w:val="none"/>
              </w:rPr>
            </w:pPr>
            <w:r>
              <w:rPr>
                <w:rFonts w:hint="eastAsia"/>
                <w:color w:val="auto"/>
                <w:sz w:val="18"/>
                <w:szCs w:val="18"/>
                <w:highlight w:val="none"/>
              </w:rPr>
              <w:t>尺寸   偏差</w:t>
            </w:r>
          </w:p>
        </w:tc>
        <w:tc>
          <w:tcPr>
            <w:tcW w:w="872" w:type="dxa"/>
            <w:tcBorders>
              <w:tl2br w:val="nil"/>
              <w:tr2bl w:val="nil"/>
            </w:tcBorders>
            <w:shd w:val="clear" w:color="auto" w:fill="auto"/>
            <w:vAlign w:val="center"/>
          </w:tcPr>
          <w:p w14:paraId="73B5132F">
            <w:pPr>
              <w:jc w:val="center"/>
              <w:rPr>
                <w:color w:val="auto"/>
                <w:kern w:val="0"/>
                <w:sz w:val="18"/>
                <w:szCs w:val="18"/>
                <w:highlight w:val="none"/>
              </w:rPr>
            </w:pPr>
            <w:r>
              <w:rPr>
                <w:rFonts w:hint="eastAsia"/>
                <w:color w:val="auto"/>
                <w:kern w:val="0"/>
                <w:sz w:val="18"/>
                <w:szCs w:val="18"/>
                <w:highlight w:val="none"/>
              </w:rPr>
              <w:t>外径D</w:t>
            </w:r>
          </w:p>
        </w:tc>
        <w:tc>
          <w:tcPr>
            <w:tcW w:w="2635" w:type="dxa"/>
            <w:gridSpan w:val="2"/>
            <w:tcBorders>
              <w:tl2br w:val="nil"/>
              <w:tr2bl w:val="nil"/>
            </w:tcBorders>
            <w:shd w:val="clear" w:color="auto" w:fill="auto"/>
            <w:vAlign w:val="center"/>
          </w:tcPr>
          <w:p w14:paraId="1F3BD24A">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符合标准</w:t>
            </w:r>
          </w:p>
        </w:tc>
        <w:tc>
          <w:tcPr>
            <w:tcW w:w="1321" w:type="dxa"/>
            <w:tcBorders>
              <w:tl2br w:val="nil"/>
              <w:tr2bl w:val="nil"/>
            </w:tcBorders>
            <w:shd w:val="clear" w:color="auto" w:fill="auto"/>
            <w:vAlign w:val="center"/>
          </w:tcPr>
          <w:p w14:paraId="20795C70">
            <w:pPr>
              <w:jc w:val="center"/>
              <w:rPr>
                <w:color w:val="auto"/>
                <w:kern w:val="0"/>
                <w:sz w:val="18"/>
                <w:szCs w:val="18"/>
                <w:highlight w:val="none"/>
              </w:rPr>
            </w:pPr>
            <w:r>
              <w:rPr>
                <w:rFonts w:hint="eastAsia"/>
                <w:color w:val="auto"/>
                <w:kern w:val="0"/>
                <w:sz w:val="18"/>
                <w:szCs w:val="18"/>
                <w:highlight w:val="none"/>
              </w:rPr>
              <w:t>+0.5%</w:t>
            </w:r>
          </w:p>
        </w:tc>
        <w:tc>
          <w:tcPr>
            <w:tcW w:w="1741" w:type="dxa"/>
            <w:tcBorders>
              <w:tl2br w:val="nil"/>
              <w:tr2bl w:val="nil"/>
            </w:tcBorders>
            <w:shd w:val="clear" w:color="auto" w:fill="auto"/>
            <w:vAlign w:val="center"/>
          </w:tcPr>
          <w:p w14:paraId="6ADBFEDD">
            <w:pPr>
              <w:jc w:val="center"/>
              <w:rPr>
                <w:color w:val="auto"/>
                <w:kern w:val="0"/>
                <w:sz w:val="18"/>
                <w:szCs w:val="18"/>
                <w:highlight w:val="none"/>
              </w:rPr>
            </w:pPr>
            <w:r>
              <w:rPr>
                <w:rFonts w:hint="eastAsia"/>
                <w:color w:val="auto"/>
                <w:kern w:val="0"/>
                <w:sz w:val="18"/>
                <w:szCs w:val="18"/>
                <w:highlight w:val="none"/>
              </w:rPr>
              <w:t>检验检测报告</w:t>
            </w:r>
          </w:p>
        </w:tc>
      </w:tr>
      <w:tr w14:paraId="014E54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7876F6F3">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06ECC7BC">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44B729B9">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41C8816A">
            <w:pPr>
              <w:jc w:val="center"/>
              <w:rPr>
                <w:color w:val="auto"/>
                <w:kern w:val="0"/>
                <w:sz w:val="18"/>
                <w:szCs w:val="18"/>
                <w:highlight w:val="none"/>
              </w:rPr>
            </w:pPr>
          </w:p>
        </w:tc>
        <w:tc>
          <w:tcPr>
            <w:tcW w:w="1361" w:type="dxa"/>
            <w:gridSpan w:val="2"/>
            <w:vMerge w:val="continue"/>
            <w:tcBorders>
              <w:tl2br w:val="nil"/>
              <w:tr2bl w:val="nil"/>
            </w:tcBorders>
            <w:shd w:val="clear" w:color="auto" w:fill="auto"/>
            <w:vAlign w:val="center"/>
          </w:tcPr>
          <w:p w14:paraId="441985DE">
            <w:pPr>
              <w:jc w:val="center"/>
              <w:rPr>
                <w:color w:val="auto"/>
                <w:sz w:val="18"/>
                <w:szCs w:val="18"/>
                <w:highlight w:val="none"/>
              </w:rPr>
            </w:pPr>
          </w:p>
        </w:tc>
        <w:tc>
          <w:tcPr>
            <w:tcW w:w="872" w:type="dxa"/>
            <w:tcBorders>
              <w:tl2br w:val="nil"/>
              <w:tr2bl w:val="nil"/>
            </w:tcBorders>
            <w:shd w:val="clear" w:color="auto" w:fill="auto"/>
            <w:vAlign w:val="center"/>
          </w:tcPr>
          <w:p w14:paraId="22315EA1">
            <w:pPr>
              <w:jc w:val="center"/>
              <w:rPr>
                <w:color w:val="auto"/>
                <w:kern w:val="0"/>
                <w:sz w:val="18"/>
                <w:szCs w:val="18"/>
                <w:highlight w:val="none"/>
              </w:rPr>
            </w:pPr>
            <w:r>
              <w:rPr>
                <w:rFonts w:hint="eastAsia"/>
                <w:color w:val="auto"/>
                <w:kern w:val="0"/>
                <w:sz w:val="18"/>
                <w:szCs w:val="18"/>
                <w:highlight w:val="none"/>
              </w:rPr>
              <w:t>壁厚S</w:t>
            </w:r>
          </w:p>
        </w:tc>
        <w:tc>
          <w:tcPr>
            <w:tcW w:w="2635" w:type="dxa"/>
            <w:gridSpan w:val="2"/>
            <w:tcBorders>
              <w:tl2br w:val="nil"/>
              <w:tr2bl w:val="nil"/>
            </w:tcBorders>
            <w:shd w:val="clear" w:color="auto" w:fill="auto"/>
            <w:vAlign w:val="center"/>
          </w:tcPr>
          <w:p w14:paraId="551DCBD1">
            <w:pPr>
              <w:jc w:val="center"/>
              <w:rPr>
                <w:rFonts w:hint="default"/>
                <w:color w:val="auto"/>
                <w:kern w:val="0"/>
                <w:sz w:val="18"/>
                <w:szCs w:val="18"/>
                <w:highlight w:val="none"/>
                <w:lang w:val="en-US"/>
              </w:rPr>
            </w:pPr>
            <w:r>
              <w:rPr>
                <w:rFonts w:hint="eastAsia"/>
                <w:color w:val="auto"/>
                <w:kern w:val="0"/>
                <w:sz w:val="18"/>
                <w:szCs w:val="18"/>
                <w:highlight w:val="none"/>
                <w:lang w:val="en-US" w:eastAsia="zh-CN"/>
              </w:rPr>
              <w:t>符合标准</w:t>
            </w:r>
          </w:p>
        </w:tc>
        <w:tc>
          <w:tcPr>
            <w:tcW w:w="1321" w:type="dxa"/>
            <w:tcBorders>
              <w:tl2br w:val="nil"/>
              <w:tr2bl w:val="nil"/>
            </w:tcBorders>
            <w:shd w:val="clear" w:color="auto" w:fill="auto"/>
            <w:vAlign w:val="center"/>
          </w:tcPr>
          <w:p w14:paraId="61544D9E">
            <w:pPr>
              <w:jc w:val="center"/>
              <w:rPr>
                <w:color w:val="auto"/>
                <w:kern w:val="0"/>
                <w:sz w:val="18"/>
                <w:szCs w:val="18"/>
                <w:highlight w:val="none"/>
              </w:rPr>
            </w:pPr>
            <w:r>
              <w:rPr>
                <w:rFonts w:hint="eastAsia"/>
                <w:color w:val="auto"/>
                <w:kern w:val="0"/>
                <w:sz w:val="18"/>
                <w:szCs w:val="18"/>
                <w:highlight w:val="none"/>
              </w:rPr>
              <w:t>+0.8%</w:t>
            </w:r>
          </w:p>
        </w:tc>
        <w:tc>
          <w:tcPr>
            <w:tcW w:w="1741" w:type="dxa"/>
            <w:tcBorders>
              <w:tl2br w:val="nil"/>
              <w:tr2bl w:val="nil"/>
            </w:tcBorders>
            <w:shd w:val="clear" w:color="auto" w:fill="auto"/>
            <w:vAlign w:val="center"/>
          </w:tcPr>
          <w:p w14:paraId="7A32936A">
            <w:pPr>
              <w:jc w:val="center"/>
              <w:rPr>
                <w:color w:val="auto"/>
                <w:kern w:val="0"/>
                <w:sz w:val="18"/>
                <w:szCs w:val="18"/>
                <w:highlight w:val="none"/>
              </w:rPr>
            </w:pPr>
            <w:r>
              <w:rPr>
                <w:rFonts w:hint="eastAsia"/>
                <w:color w:val="auto"/>
                <w:kern w:val="0"/>
                <w:sz w:val="18"/>
                <w:szCs w:val="18"/>
                <w:highlight w:val="none"/>
              </w:rPr>
              <w:t>检验检测报告</w:t>
            </w:r>
          </w:p>
        </w:tc>
      </w:tr>
      <w:tr w14:paraId="1792033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46" w:hRule="atLeast"/>
          <w:jc w:val="center"/>
        </w:trPr>
        <w:tc>
          <w:tcPr>
            <w:tcW w:w="726" w:type="dxa"/>
            <w:vMerge w:val="continue"/>
            <w:tcBorders>
              <w:tl2br w:val="nil"/>
              <w:tr2bl w:val="nil"/>
            </w:tcBorders>
            <w:shd w:val="clear" w:color="auto" w:fill="auto"/>
            <w:vAlign w:val="center"/>
          </w:tcPr>
          <w:p w14:paraId="600E5580">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20F2F375">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23728ED2">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7CDDD46B">
            <w:pPr>
              <w:jc w:val="center"/>
              <w:rPr>
                <w:color w:val="auto"/>
                <w:kern w:val="0"/>
                <w:sz w:val="18"/>
                <w:szCs w:val="18"/>
                <w:highlight w:val="none"/>
              </w:rPr>
            </w:pPr>
          </w:p>
        </w:tc>
        <w:tc>
          <w:tcPr>
            <w:tcW w:w="641" w:type="dxa"/>
            <w:vMerge w:val="restart"/>
            <w:tcBorders>
              <w:tl2br w:val="nil"/>
              <w:tr2bl w:val="nil"/>
            </w:tcBorders>
            <w:shd w:val="clear" w:color="auto" w:fill="auto"/>
            <w:vAlign w:val="center"/>
          </w:tcPr>
          <w:p w14:paraId="652B0DAC">
            <w:pPr>
              <w:jc w:val="center"/>
              <w:rPr>
                <w:color w:val="auto"/>
                <w:kern w:val="0"/>
                <w:sz w:val="18"/>
                <w:szCs w:val="18"/>
                <w:highlight w:val="none"/>
              </w:rPr>
            </w:pPr>
            <w:r>
              <w:rPr>
                <w:rFonts w:hint="eastAsia"/>
                <w:color w:val="auto"/>
                <w:kern w:val="0"/>
                <w:sz w:val="18"/>
                <w:szCs w:val="18"/>
                <w:highlight w:val="none"/>
              </w:rPr>
              <w:t>耐</w:t>
            </w:r>
            <w:r>
              <w:rPr>
                <w:rFonts w:hint="eastAsia"/>
                <w:color w:val="auto"/>
                <w:kern w:val="0"/>
                <w:sz w:val="18"/>
                <w:szCs w:val="18"/>
                <w:highlight w:val="none"/>
                <w:lang w:val="en-US" w:eastAsia="zh-CN"/>
              </w:rPr>
              <w:t>高</w:t>
            </w:r>
            <w:r>
              <w:rPr>
                <w:rFonts w:hint="eastAsia"/>
                <w:color w:val="auto"/>
                <w:kern w:val="0"/>
                <w:sz w:val="18"/>
                <w:szCs w:val="18"/>
                <w:highlight w:val="none"/>
              </w:rPr>
              <w:t>低温</w:t>
            </w:r>
            <w:r>
              <w:rPr>
                <w:rFonts w:hint="eastAsia"/>
                <w:color w:val="auto"/>
                <w:kern w:val="0"/>
                <w:sz w:val="18"/>
                <w:szCs w:val="18"/>
                <w:highlight w:val="none"/>
                <w:lang w:val="en-US" w:eastAsia="zh-CN"/>
              </w:rPr>
              <w:t>试验</w:t>
            </w:r>
            <w:r>
              <w:rPr>
                <w:rFonts w:hint="eastAsia"/>
                <w:color w:val="auto"/>
                <w:kern w:val="0"/>
                <w:sz w:val="18"/>
                <w:szCs w:val="18"/>
                <w:highlight w:val="none"/>
              </w:rPr>
              <w:t>性能</w:t>
            </w:r>
          </w:p>
        </w:tc>
        <w:tc>
          <w:tcPr>
            <w:tcW w:w="720" w:type="dxa"/>
            <w:tcBorders>
              <w:tl2br w:val="nil"/>
              <w:tr2bl w:val="nil"/>
            </w:tcBorders>
            <w:shd w:val="clear" w:color="auto" w:fill="auto"/>
            <w:vAlign w:val="center"/>
          </w:tcPr>
          <w:p w14:paraId="7C5EECC6">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PE-RT II型</w:t>
            </w:r>
          </w:p>
        </w:tc>
        <w:tc>
          <w:tcPr>
            <w:tcW w:w="872" w:type="dxa"/>
            <w:tcBorders>
              <w:tl2br w:val="nil"/>
              <w:tr2bl w:val="nil"/>
            </w:tcBorders>
            <w:shd w:val="clear" w:color="auto" w:fill="auto"/>
            <w:vAlign w:val="center"/>
          </w:tcPr>
          <w:p w14:paraId="3FB8629D">
            <w:pPr>
              <w:jc w:val="center"/>
              <w:rPr>
                <w:color w:val="auto"/>
                <w:kern w:val="0"/>
                <w:sz w:val="18"/>
                <w:szCs w:val="18"/>
                <w:highlight w:val="none"/>
              </w:rPr>
            </w:pPr>
            <w:r>
              <w:rPr>
                <w:rFonts w:hint="eastAsia"/>
                <w:color w:val="auto"/>
                <w:kern w:val="0"/>
                <w:sz w:val="18"/>
                <w:szCs w:val="18"/>
                <w:highlight w:val="none"/>
              </w:rPr>
              <w:t>℃</w:t>
            </w:r>
          </w:p>
        </w:tc>
        <w:tc>
          <w:tcPr>
            <w:tcW w:w="1579" w:type="dxa"/>
            <w:tcBorders>
              <w:tl2br w:val="nil"/>
              <w:tr2bl w:val="nil"/>
            </w:tcBorders>
            <w:shd w:val="clear" w:color="auto" w:fill="auto"/>
            <w:vAlign w:val="center"/>
          </w:tcPr>
          <w:p w14:paraId="1FAC06CA">
            <w:pPr>
              <w:jc w:val="center"/>
              <w:rPr>
                <w:color w:val="auto"/>
                <w:kern w:val="0"/>
                <w:sz w:val="18"/>
                <w:szCs w:val="18"/>
                <w:highlight w:val="none"/>
              </w:rPr>
            </w:pPr>
            <w:r>
              <w:rPr>
                <w:rFonts w:hint="eastAsia"/>
                <w:color w:val="auto"/>
                <w:kern w:val="0"/>
                <w:sz w:val="18"/>
                <w:szCs w:val="18"/>
                <w:highlight w:val="none"/>
                <w:lang w:val="en-US" w:eastAsia="zh-CN"/>
              </w:rPr>
              <w:t>95℃至</w:t>
            </w:r>
            <w:r>
              <w:rPr>
                <w:rFonts w:hint="eastAsia"/>
                <w:color w:val="auto"/>
                <w:kern w:val="0"/>
                <w:sz w:val="18"/>
                <w:szCs w:val="18"/>
                <w:highlight w:val="none"/>
              </w:rPr>
              <w:t>-10℃</w:t>
            </w:r>
          </w:p>
        </w:tc>
        <w:tc>
          <w:tcPr>
            <w:tcW w:w="1056" w:type="dxa"/>
            <w:tcBorders>
              <w:tl2br w:val="nil"/>
              <w:tr2bl w:val="nil"/>
            </w:tcBorders>
            <w:shd w:val="clear" w:color="auto" w:fill="auto"/>
            <w:vAlign w:val="center"/>
          </w:tcPr>
          <w:p w14:paraId="258D407C">
            <w:pPr>
              <w:jc w:val="center"/>
              <w:rPr>
                <w:color w:val="auto"/>
                <w:kern w:val="0"/>
                <w:sz w:val="18"/>
                <w:szCs w:val="18"/>
                <w:highlight w:val="none"/>
              </w:rPr>
            </w:pPr>
            <w:r>
              <w:rPr>
                <w:rFonts w:hint="eastAsia"/>
                <w:color w:val="auto"/>
                <w:kern w:val="0"/>
                <w:sz w:val="18"/>
                <w:szCs w:val="18"/>
                <w:highlight w:val="none"/>
                <w:lang w:val="en-US" w:eastAsia="zh-CN"/>
              </w:rPr>
              <w:t>95℃至</w:t>
            </w:r>
            <w:r>
              <w:rPr>
                <w:rFonts w:hint="eastAsia"/>
                <w:color w:val="auto"/>
                <w:kern w:val="0"/>
                <w:sz w:val="18"/>
                <w:szCs w:val="18"/>
                <w:highlight w:val="none"/>
              </w:rPr>
              <w:t>-15℃</w:t>
            </w:r>
          </w:p>
        </w:tc>
        <w:tc>
          <w:tcPr>
            <w:tcW w:w="1321" w:type="dxa"/>
            <w:tcBorders>
              <w:tl2br w:val="nil"/>
              <w:tr2bl w:val="nil"/>
            </w:tcBorders>
            <w:shd w:val="clear" w:color="auto" w:fill="auto"/>
            <w:vAlign w:val="center"/>
          </w:tcPr>
          <w:p w14:paraId="36EFAB5D">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95℃至-20℃</w:t>
            </w:r>
          </w:p>
        </w:tc>
        <w:tc>
          <w:tcPr>
            <w:tcW w:w="1741" w:type="dxa"/>
            <w:tcBorders>
              <w:tl2br w:val="nil"/>
              <w:tr2bl w:val="nil"/>
            </w:tcBorders>
            <w:shd w:val="clear" w:color="auto" w:fill="auto"/>
            <w:vAlign w:val="center"/>
          </w:tcPr>
          <w:p w14:paraId="238DF238">
            <w:pPr>
              <w:jc w:val="center"/>
              <w:rPr>
                <w:color w:val="auto"/>
                <w:kern w:val="0"/>
                <w:sz w:val="18"/>
                <w:szCs w:val="18"/>
                <w:highlight w:val="none"/>
              </w:rPr>
            </w:pPr>
            <w:r>
              <w:rPr>
                <w:rFonts w:hint="eastAsia"/>
                <w:color w:val="auto"/>
                <w:kern w:val="0"/>
                <w:sz w:val="18"/>
                <w:szCs w:val="18"/>
                <w:highlight w:val="none"/>
              </w:rPr>
              <w:t>检验检测报告</w:t>
            </w:r>
          </w:p>
        </w:tc>
      </w:tr>
      <w:tr w14:paraId="2B3181F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7D7787C2">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44FB0199">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33A2000D">
            <w:pPr>
              <w:jc w:val="center"/>
              <w:rPr>
                <w:color w:val="auto"/>
                <w:kern w:val="0"/>
                <w:sz w:val="18"/>
                <w:szCs w:val="18"/>
                <w:highlight w:val="none"/>
              </w:rPr>
            </w:pPr>
          </w:p>
        </w:tc>
        <w:tc>
          <w:tcPr>
            <w:tcW w:w="655" w:type="dxa"/>
            <w:gridSpan w:val="2"/>
            <w:vMerge w:val="continue"/>
            <w:tcBorders>
              <w:tl2br w:val="nil"/>
              <w:tr2bl w:val="nil"/>
            </w:tcBorders>
            <w:shd w:val="clear" w:color="auto" w:fill="auto"/>
            <w:vAlign w:val="center"/>
          </w:tcPr>
          <w:p w14:paraId="7AAA6096">
            <w:pPr>
              <w:jc w:val="center"/>
              <w:rPr>
                <w:color w:val="auto"/>
                <w:kern w:val="0"/>
                <w:sz w:val="18"/>
                <w:szCs w:val="18"/>
                <w:highlight w:val="none"/>
              </w:rPr>
            </w:pPr>
          </w:p>
        </w:tc>
        <w:tc>
          <w:tcPr>
            <w:tcW w:w="641" w:type="dxa"/>
            <w:vMerge w:val="continue"/>
            <w:tcBorders>
              <w:tl2br w:val="nil"/>
              <w:tr2bl w:val="nil"/>
            </w:tcBorders>
            <w:shd w:val="clear" w:color="auto" w:fill="auto"/>
            <w:vAlign w:val="center"/>
          </w:tcPr>
          <w:p w14:paraId="185C58C4">
            <w:pPr>
              <w:jc w:val="center"/>
              <w:rPr>
                <w:rFonts w:hint="eastAsia"/>
                <w:color w:val="auto"/>
                <w:kern w:val="0"/>
                <w:sz w:val="18"/>
                <w:szCs w:val="18"/>
                <w:highlight w:val="none"/>
              </w:rPr>
            </w:pPr>
          </w:p>
        </w:tc>
        <w:tc>
          <w:tcPr>
            <w:tcW w:w="720" w:type="dxa"/>
            <w:tcBorders>
              <w:tl2br w:val="nil"/>
              <w:tr2bl w:val="nil"/>
            </w:tcBorders>
            <w:shd w:val="clear" w:color="auto" w:fill="auto"/>
            <w:vAlign w:val="center"/>
          </w:tcPr>
          <w:p w14:paraId="57D94936">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PP-R</w:t>
            </w:r>
          </w:p>
        </w:tc>
        <w:tc>
          <w:tcPr>
            <w:tcW w:w="872" w:type="dxa"/>
            <w:tcBorders>
              <w:tl2br w:val="nil"/>
              <w:tr2bl w:val="nil"/>
            </w:tcBorders>
            <w:shd w:val="clear" w:color="auto" w:fill="auto"/>
            <w:vAlign w:val="center"/>
          </w:tcPr>
          <w:p w14:paraId="4999FE68">
            <w:pPr>
              <w:jc w:val="center"/>
              <w:rPr>
                <w:rFonts w:hint="eastAsia"/>
                <w:color w:val="auto"/>
                <w:kern w:val="0"/>
                <w:sz w:val="18"/>
                <w:szCs w:val="18"/>
                <w:highlight w:val="none"/>
              </w:rPr>
            </w:pPr>
            <w:r>
              <w:rPr>
                <w:rFonts w:hint="eastAsia"/>
                <w:color w:val="auto"/>
                <w:kern w:val="0"/>
                <w:sz w:val="18"/>
                <w:szCs w:val="18"/>
                <w:highlight w:val="none"/>
              </w:rPr>
              <w:t>℃</w:t>
            </w:r>
          </w:p>
        </w:tc>
        <w:tc>
          <w:tcPr>
            <w:tcW w:w="3956" w:type="dxa"/>
            <w:gridSpan w:val="3"/>
            <w:tcBorders>
              <w:tl2br w:val="nil"/>
              <w:tr2bl w:val="nil"/>
            </w:tcBorders>
            <w:shd w:val="clear" w:color="auto" w:fill="auto"/>
            <w:vAlign w:val="center"/>
          </w:tcPr>
          <w:p w14:paraId="74810095">
            <w:pPr>
              <w:jc w:val="center"/>
              <w:rPr>
                <w:rFonts w:hint="default"/>
                <w:color w:val="auto"/>
                <w:kern w:val="0"/>
                <w:sz w:val="18"/>
                <w:szCs w:val="18"/>
                <w:highlight w:val="none"/>
                <w:lang w:val="en-US" w:eastAsia="zh-CN"/>
              </w:rPr>
            </w:pPr>
            <w:r>
              <w:rPr>
                <w:rFonts w:hint="eastAsia"/>
                <w:color w:val="auto"/>
                <w:kern w:val="0"/>
                <w:sz w:val="18"/>
                <w:szCs w:val="18"/>
                <w:highlight w:val="none"/>
                <w:lang w:val="en-US" w:eastAsia="zh-CN"/>
              </w:rPr>
              <w:t>20℃至95℃</w:t>
            </w:r>
          </w:p>
        </w:tc>
        <w:tc>
          <w:tcPr>
            <w:tcW w:w="1741" w:type="dxa"/>
            <w:tcBorders>
              <w:tl2br w:val="nil"/>
              <w:tr2bl w:val="nil"/>
            </w:tcBorders>
            <w:shd w:val="clear" w:color="auto" w:fill="auto"/>
            <w:vAlign w:val="center"/>
          </w:tcPr>
          <w:p w14:paraId="351D2FBD">
            <w:pPr>
              <w:jc w:val="center"/>
              <w:rPr>
                <w:rFonts w:hint="eastAsia"/>
                <w:color w:val="auto"/>
                <w:kern w:val="0"/>
                <w:sz w:val="18"/>
                <w:szCs w:val="18"/>
                <w:highlight w:val="none"/>
              </w:rPr>
            </w:pPr>
            <w:r>
              <w:rPr>
                <w:rFonts w:hint="eastAsia"/>
                <w:color w:val="auto"/>
                <w:kern w:val="0"/>
                <w:sz w:val="18"/>
                <w:szCs w:val="18"/>
                <w:highlight w:val="none"/>
              </w:rPr>
              <w:t>检验检测报告</w:t>
            </w:r>
          </w:p>
        </w:tc>
      </w:tr>
      <w:tr w14:paraId="5934FB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30A018F2">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08E9D981">
            <w:pPr>
              <w:jc w:val="center"/>
              <w:rPr>
                <w:color w:val="auto"/>
                <w:kern w:val="0"/>
                <w:sz w:val="18"/>
                <w:szCs w:val="18"/>
                <w:highlight w:val="none"/>
              </w:rPr>
            </w:pPr>
          </w:p>
        </w:tc>
        <w:tc>
          <w:tcPr>
            <w:tcW w:w="2865" w:type="dxa"/>
            <w:gridSpan w:val="6"/>
            <w:tcBorders>
              <w:tl2br w:val="nil"/>
              <w:tr2bl w:val="nil"/>
            </w:tcBorders>
            <w:shd w:val="clear" w:color="auto" w:fill="auto"/>
            <w:vAlign w:val="center"/>
          </w:tcPr>
          <w:p w14:paraId="10B7DA83">
            <w:pPr>
              <w:jc w:val="center"/>
              <w:rPr>
                <w:color w:val="auto"/>
                <w:kern w:val="0"/>
                <w:sz w:val="18"/>
                <w:szCs w:val="18"/>
                <w:highlight w:val="none"/>
              </w:rPr>
            </w:pPr>
            <w:r>
              <w:rPr>
                <w:rFonts w:hint="eastAsia"/>
                <w:color w:val="auto"/>
                <w:kern w:val="0"/>
                <w:sz w:val="18"/>
                <w:szCs w:val="18"/>
                <w:highlight w:val="none"/>
              </w:rPr>
              <w:t>内压试验（实验时间）</w:t>
            </w:r>
          </w:p>
        </w:tc>
        <w:tc>
          <w:tcPr>
            <w:tcW w:w="872" w:type="dxa"/>
            <w:tcBorders>
              <w:tl2br w:val="nil"/>
              <w:tr2bl w:val="nil"/>
            </w:tcBorders>
            <w:shd w:val="clear" w:color="auto" w:fill="auto"/>
            <w:vAlign w:val="center"/>
          </w:tcPr>
          <w:p w14:paraId="784688B6">
            <w:pPr>
              <w:jc w:val="center"/>
              <w:rPr>
                <w:color w:val="auto"/>
                <w:kern w:val="0"/>
                <w:sz w:val="18"/>
                <w:szCs w:val="18"/>
                <w:highlight w:val="none"/>
              </w:rPr>
            </w:pPr>
            <w:r>
              <w:rPr>
                <w:rFonts w:hint="eastAsia"/>
                <w:color w:val="auto"/>
                <w:kern w:val="0"/>
                <w:sz w:val="18"/>
                <w:szCs w:val="18"/>
                <w:highlight w:val="none"/>
              </w:rPr>
              <w:t>h</w:t>
            </w:r>
          </w:p>
        </w:tc>
        <w:tc>
          <w:tcPr>
            <w:tcW w:w="1579" w:type="dxa"/>
            <w:tcBorders>
              <w:tl2br w:val="nil"/>
              <w:tr2bl w:val="nil"/>
            </w:tcBorders>
            <w:shd w:val="clear" w:color="auto" w:fill="auto"/>
            <w:vAlign w:val="center"/>
          </w:tcPr>
          <w:p w14:paraId="44F7A601">
            <w:pPr>
              <w:jc w:val="center"/>
              <w:rPr>
                <w:color w:val="auto"/>
                <w:kern w:val="0"/>
                <w:sz w:val="18"/>
                <w:szCs w:val="18"/>
                <w:highlight w:val="none"/>
              </w:rPr>
            </w:pPr>
            <w:r>
              <w:rPr>
                <w:rFonts w:hint="eastAsia"/>
                <w:color w:val="auto"/>
                <w:kern w:val="0"/>
                <w:sz w:val="18"/>
                <w:szCs w:val="18"/>
                <w:highlight w:val="none"/>
              </w:rPr>
              <w:t>1100</w:t>
            </w:r>
          </w:p>
        </w:tc>
        <w:tc>
          <w:tcPr>
            <w:tcW w:w="1056" w:type="dxa"/>
            <w:tcBorders>
              <w:tl2br w:val="nil"/>
              <w:tr2bl w:val="nil"/>
            </w:tcBorders>
            <w:shd w:val="clear" w:color="auto" w:fill="auto"/>
            <w:vAlign w:val="center"/>
          </w:tcPr>
          <w:p w14:paraId="6BA83FD0">
            <w:pPr>
              <w:jc w:val="center"/>
              <w:rPr>
                <w:color w:val="auto"/>
                <w:kern w:val="0"/>
                <w:sz w:val="18"/>
                <w:szCs w:val="18"/>
                <w:highlight w:val="none"/>
              </w:rPr>
            </w:pPr>
            <w:r>
              <w:rPr>
                <w:rFonts w:hint="eastAsia"/>
                <w:color w:val="auto"/>
                <w:kern w:val="0"/>
                <w:sz w:val="18"/>
                <w:szCs w:val="18"/>
                <w:highlight w:val="none"/>
              </w:rPr>
              <w:t>1150</w:t>
            </w:r>
          </w:p>
        </w:tc>
        <w:tc>
          <w:tcPr>
            <w:tcW w:w="1321" w:type="dxa"/>
            <w:tcBorders>
              <w:tl2br w:val="nil"/>
              <w:tr2bl w:val="nil"/>
            </w:tcBorders>
            <w:shd w:val="clear" w:color="auto" w:fill="auto"/>
            <w:vAlign w:val="center"/>
          </w:tcPr>
          <w:p w14:paraId="30A50B65">
            <w:pPr>
              <w:jc w:val="center"/>
              <w:rPr>
                <w:color w:val="auto"/>
                <w:kern w:val="0"/>
                <w:sz w:val="18"/>
                <w:szCs w:val="18"/>
                <w:highlight w:val="none"/>
              </w:rPr>
            </w:pPr>
            <w:r>
              <w:rPr>
                <w:rFonts w:hint="eastAsia"/>
                <w:color w:val="auto"/>
                <w:kern w:val="0"/>
                <w:sz w:val="18"/>
                <w:szCs w:val="18"/>
                <w:highlight w:val="none"/>
              </w:rPr>
              <w:t>1200</w:t>
            </w:r>
          </w:p>
        </w:tc>
        <w:tc>
          <w:tcPr>
            <w:tcW w:w="1741" w:type="dxa"/>
            <w:tcBorders>
              <w:tl2br w:val="nil"/>
              <w:tr2bl w:val="nil"/>
            </w:tcBorders>
            <w:shd w:val="clear" w:color="auto" w:fill="auto"/>
            <w:vAlign w:val="center"/>
          </w:tcPr>
          <w:p w14:paraId="46B2ECD8">
            <w:pPr>
              <w:jc w:val="center"/>
              <w:rPr>
                <w:color w:val="auto"/>
                <w:kern w:val="0"/>
                <w:sz w:val="18"/>
                <w:szCs w:val="18"/>
                <w:highlight w:val="none"/>
              </w:rPr>
            </w:pPr>
            <w:r>
              <w:rPr>
                <w:rFonts w:hint="eastAsia"/>
                <w:color w:val="auto"/>
                <w:kern w:val="0"/>
                <w:sz w:val="18"/>
                <w:szCs w:val="18"/>
                <w:highlight w:val="none"/>
              </w:rPr>
              <w:t>检验检测报告</w:t>
            </w:r>
          </w:p>
        </w:tc>
      </w:tr>
      <w:tr w14:paraId="55724D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609E6015">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36D8FD84">
            <w:pPr>
              <w:jc w:val="center"/>
              <w:rPr>
                <w:color w:val="auto"/>
                <w:kern w:val="0"/>
                <w:sz w:val="18"/>
                <w:szCs w:val="18"/>
                <w:highlight w:val="none"/>
              </w:rPr>
            </w:pPr>
          </w:p>
        </w:tc>
        <w:tc>
          <w:tcPr>
            <w:tcW w:w="2865" w:type="dxa"/>
            <w:gridSpan w:val="6"/>
            <w:tcBorders>
              <w:tl2br w:val="nil"/>
              <w:tr2bl w:val="nil"/>
            </w:tcBorders>
            <w:shd w:val="clear" w:color="auto" w:fill="auto"/>
            <w:vAlign w:val="center"/>
          </w:tcPr>
          <w:p w14:paraId="5170FA41">
            <w:pPr>
              <w:jc w:val="center"/>
              <w:rPr>
                <w:color w:val="auto"/>
                <w:kern w:val="0"/>
                <w:sz w:val="18"/>
                <w:szCs w:val="18"/>
                <w:highlight w:val="none"/>
              </w:rPr>
            </w:pPr>
            <w:r>
              <w:rPr>
                <w:rFonts w:hint="eastAsia"/>
                <w:color w:val="auto"/>
                <w:kern w:val="0"/>
                <w:sz w:val="18"/>
                <w:szCs w:val="18"/>
                <w:highlight w:val="none"/>
              </w:rPr>
              <w:t>冷热循环试验</w:t>
            </w:r>
          </w:p>
        </w:tc>
        <w:tc>
          <w:tcPr>
            <w:tcW w:w="872" w:type="dxa"/>
            <w:tcBorders>
              <w:tl2br w:val="nil"/>
              <w:tr2bl w:val="nil"/>
            </w:tcBorders>
            <w:shd w:val="clear" w:color="auto" w:fill="auto"/>
            <w:vAlign w:val="center"/>
          </w:tcPr>
          <w:p w14:paraId="763D62A1">
            <w:pPr>
              <w:jc w:val="center"/>
              <w:rPr>
                <w:color w:val="auto"/>
                <w:kern w:val="0"/>
                <w:sz w:val="18"/>
                <w:szCs w:val="18"/>
                <w:highlight w:val="none"/>
              </w:rPr>
            </w:pPr>
            <w:r>
              <w:rPr>
                <w:rFonts w:hint="eastAsia"/>
                <w:color w:val="auto"/>
                <w:kern w:val="0"/>
                <w:sz w:val="18"/>
                <w:szCs w:val="18"/>
                <w:highlight w:val="none"/>
              </w:rPr>
              <w:t>次</w:t>
            </w:r>
          </w:p>
        </w:tc>
        <w:tc>
          <w:tcPr>
            <w:tcW w:w="1579" w:type="dxa"/>
            <w:tcBorders>
              <w:tl2br w:val="nil"/>
              <w:tr2bl w:val="nil"/>
            </w:tcBorders>
            <w:shd w:val="clear" w:color="auto" w:fill="auto"/>
            <w:vAlign w:val="center"/>
          </w:tcPr>
          <w:p w14:paraId="2BFDC495">
            <w:pPr>
              <w:jc w:val="center"/>
              <w:rPr>
                <w:color w:val="auto"/>
                <w:kern w:val="0"/>
                <w:sz w:val="18"/>
                <w:szCs w:val="18"/>
                <w:highlight w:val="none"/>
              </w:rPr>
            </w:pPr>
            <w:r>
              <w:rPr>
                <w:rFonts w:hint="eastAsia"/>
                <w:color w:val="auto"/>
                <w:kern w:val="0"/>
                <w:sz w:val="18"/>
                <w:szCs w:val="18"/>
                <w:highlight w:val="none"/>
              </w:rPr>
              <w:t>5000</w:t>
            </w:r>
          </w:p>
        </w:tc>
        <w:tc>
          <w:tcPr>
            <w:tcW w:w="1056" w:type="dxa"/>
            <w:tcBorders>
              <w:tl2br w:val="nil"/>
              <w:tr2bl w:val="nil"/>
            </w:tcBorders>
            <w:shd w:val="clear" w:color="auto" w:fill="auto"/>
            <w:vAlign w:val="center"/>
          </w:tcPr>
          <w:p w14:paraId="416B58FA">
            <w:pPr>
              <w:jc w:val="center"/>
              <w:rPr>
                <w:color w:val="auto"/>
                <w:kern w:val="0"/>
                <w:sz w:val="18"/>
                <w:szCs w:val="18"/>
                <w:highlight w:val="none"/>
              </w:rPr>
            </w:pPr>
            <w:r>
              <w:rPr>
                <w:rFonts w:hint="eastAsia"/>
                <w:color w:val="auto"/>
                <w:kern w:val="0"/>
                <w:sz w:val="18"/>
                <w:szCs w:val="18"/>
                <w:highlight w:val="none"/>
              </w:rPr>
              <w:t>5500</w:t>
            </w:r>
          </w:p>
        </w:tc>
        <w:tc>
          <w:tcPr>
            <w:tcW w:w="1321" w:type="dxa"/>
            <w:tcBorders>
              <w:tl2br w:val="nil"/>
              <w:tr2bl w:val="nil"/>
            </w:tcBorders>
            <w:shd w:val="clear" w:color="auto" w:fill="auto"/>
            <w:vAlign w:val="center"/>
          </w:tcPr>
          <w:p w14:paraId="4E414849">
            <w:pPr>
              <w:jc w:val="center"/>
              <w:rPr>
                <w:color w:val="auto"/>
                <w:kern w:val="0"/>
                <w:sz w:val="18"/>
                <w:szCs w:val="18"/>
                <w:highlight w:val="none"/>
              </w:rPr>
            </w:pPr>
            <w:r>
              <w:rPr>
                <w:rFonts w:hint="eastAsia"/>
                <w:color w:val="auto"/>
                <w:kern w:val="0"/>
                <w:sz w:val="18"/>
                <w:szCs w:val="18"/>
                <w:highlight w:val="none"/>
              </w:rPr>
              <w:t>6000</w:t>
            </w:r>
          </w:p>
        </w:tc>
        <w:tc>
          <w:tcPr>
            <w:tcW w:w="1741" w:type="dxa"/>
            <w:tcBorders>
              <w:tl2br w:val="nil"/>
              <w:tr2bl w:val="nil"/>
            </w:tcBorders>
            <w:shd w:val="clear" w:color="auto" w:fill="auto"/>
            <w:vAlign w:val="center"/>
          </w:tcPr>
          <w:p w14:paraId="397EEDB7">
            <w:pPr>
              <w:jc w:val="center"/>
              <w:rPr>
                <w:color w:val="auto"/>
                <w:kern w:val="0"/>
                <w:sz w:val="18"/>
                <w:szCs w:val="18"/>
                <w:highlight w:val="none"/>
              </w:rPr>
            </w:pPr>
            <w:r>
              <w:rPr>
                <w:rFonts w:hint="eastAsia"/>
                <w:color w:val="auto"/>
                <w:kern w:val="0"/>
                <w:sz w:val="18"/>
                <w:szCs w:val="18"/>
                <w:highlight w:val="none"/>
              </w:rPr>
              <w:t>检验检测报告</w:t>
            </w:r>
          </w:p>
        </w:tc>
      </w:tr>
      <w:tr w14:paraId="036666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45670172">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45B1C93B">
            <w:pPr>
              <w:jc w:val="center"/>
              <w:rPr>
                <w:color w:val="auto"/>
                <w:kern w:val="0"/>
                <w:sz w:val="18"/>
                <w:szCs w:val="18"/>
                <w:highlight w:val="none"/>
              </w:rPr>
            </w:pPr>
          </w:p>
        </w:tc>
        <w:tc>
          <w:tcPr>
            <w:tcW w:w="1432" w:type="dxa"/>
            <w:gridSpan w:val="3"/>
            <w:vMerge w:val="restart"/>
            <w:tcBorders>
              <w:tl2br w:val="nil"/>
              <w:tr2bl w:val="nil"/>
            </w:tcBorders>
            <w:shd w:val="clear" w:color="auto" w:fill="auto"/>
            <w:vAlign w:val="center"/>
          </w:tcPr>
          <w:p w14:paraId="502DC3DF">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静液压       试验压力</w:t>
            </w:r>
          </w:p>
        </w:tc>
        <w:tc>
          <w:tcPr>
            <w:tcW w:w="1433" w:type="dxa"/>
            <w:gridSpan w:val="3"/>
            <w:tcBorders>
              <w:tl2br w:val="nil"/>
              <w:tr2bl w:val="nil"/>
            </w:tcBorders>
            <w:shd w:val="clear" w:color="auto" w:fill="auto"/>
            <w:vAlign w:val="center"/>
          </w:tcPr>
          <w:p w14:paraId="3A45CBC0">
            <w:pPr>
              <w:tabs>
                <w:tab w:val="left" w:pos="360"/>
              </w:tabs>
              <w:jc w:val="center"/>
              <w:rPr>
                <w:rFonts w:hint="default"/>
                <w:color w:val="auto"/>
                <w:kern w:val="0"/>
                <w:sz w:val="18"/>
                <w:szCs w:val="18"/>
                <w:highlight w:val="none"/>
                <w:lang w:val="en-US" w:eastAsia="zh-CN"/>
              </w:rPr>
            </w:pPr>
            <w:r>
              <w:rPr>
                <w:rFonts w:hint="eastAsia"/>
                <w:color w:val="auto"/>
                <w:kern w:val="0"/>
                <w:sz w:val="18"/>
                <w:szCs w:val="18"/>
                <w:highlight w:val="none"/>
                <w:lang w:val="en-US" w:eastAsia="zh-CN"/>
              </w:rPr>
              <w:t>PE-RT II型</w:t>
            </w:r>
          </w:p>
        </w:tc>
        <w:tc>
          <w:tcPr>
            <w:tcW w:w="872" w:type="dxa"/>
            <w:tcBorders>
              <w:tl2br w:val="nil"/>
              <w:tr2bl w:val="nil"/>
            </w:tcBorders>
            <w:shd w:val="clear" w:color="auto" w:fill="auto"/>
            <w:vAlign w:val="center"/>
          </w:tcPr>
          <w:p w14:paraId="5CE510B7">
            <w:pPr>
              <w:jc w:val="center"/>
              <w:rPr>
                <w:rFonts w:hint="default" w:eastAsia="宋体"/>
                <w:color w:val="auto"/>
                <w:kern w:val="0"/>
                <w:sz w:val="18"/>
                <w:szCs w:val="18"/>
                <w:highlight w:val="none"/>
                <w:lang w:val="en-US" w:eastAsia="zh-CN"/>
              </w:rPr>
            </w:pPr>
            <w:r>
              <w:rPr>
                <w:rFonts w:hint="eastAsia"/>
                <w:color w:val="auto"/>
                <w:kern w:val="0"/>
                <w:sz w:val="18"/>
                <w:szCs w:val="18"/>
                <w:highlight w:val="none"/>
              </w:rPr>
              <w:t>—</w:t>
            </w:r>
          </w:p>
        </w:tc>
        <w:tc>
          <w:tcPr>
            <w:tcW w:w="1579" w:type="dxa"/>
            <w:tcBorders>
              <w:tl2br w:val="nil"/>
              <w:tr2bl w:val="nil"/>
            </w:tcBorders>
            <w:shd w:val="clear" w:color="auto" w:fill="auto"/>
            <w:vAlign w:val="center"/>
          </w:tcPr>
          <w:p w14:paraId="5E238759">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符合标准</w:t>
            </w:r>
          </w:p>
        </w:tc>
        <w:tc>
          <w:tcPr>
            <w:tcW w:w="1056" w:type="dxa"/>
            <w:tcBorders>
              <w:tl2br w:val="nil"/>
              <w:tr2bl w:val="nil"/>
            </w:tcBorders>
            <w:shd w:val="clear" w:color="auto" w:fill="auto"/>
            <w:vAlign w:val="center"/>
          </w:tcPr>
          <w:p w14:paraId="23DB2C1F">
            <w:pPr>
              <w:jc w:val="center"/>
              <w:rPr>
                <w:rFonts w:hint="default"/>
                <w:color w:val="auto"/>
                <w:kern w:val="0"/>
                <w:sz w:val="18"/>
                <w:szCs w:val="18"/>
                <w:highlight w:val="none"/>
                <w:lang w:val="en-US"/>
              </w:rPr>
            </w:pPr>
            <w:r>
              <w:rPr>
                <w:rFonts w:hint="eastAsia"/>
                <w:color w:val="auto"/>
                <w:kern w:val="0"/>
                <w:sz w:val="18"/>
                <w:szCs w:val="18"/>
                <w:highlight w:val="none"/>
                <w:lang w:val="en-US" w:eastAsia="zh-CN"/>
              </w:rPr>
              <w:t>95℃/22 h/2.0Mpa</w:t>
            </w:r>
          </w:p>
        </w:tc>
        <w:tc>
          <w:tcPr>
            <w:tcW w:w="1321" w:type="dxa"/>
            <w:tcBorders>
              <w:tl2br w:val="nil"/>
              <w:tr2bl w:val="nil"/>
            </w:tcBorders>
            <w:shd w:val="clear" w:color="auto" w:fill="auto"/>
            <w:vAlign w:val="center"/>
          </w:tcPr>
          <w:p w14:paraId="5A49CEC4">
            <w:pPr>
              <w:jc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95℃/165 h/2.0Mpa</w:t>
            </w:r>
          </w:p>
        </w:tc>
        <w:tc>
          <w:tcPr>
            <w:tcW w:w="1741" w:type="dxa"/>
            <w:tcBorders>
              <w:tl2br w:val="nil"/>
              <w:tr2bl w:val="nil"/>
            </w:tcBorders>
            <w:shd w:val="clear" w:color="auto" w:fill="auto"/>
            <w:vAlign w:val="center"/>
          </w:tcPr>
          <w:p w14:paraId="25F4855E">
            <w:pPr>
              <w:jc w:val="center"/>
              <w:rPr>
                <w:rFonts w:hint="eastAsia"/>
                <w:color w:val="auto"/>
                <w:kern w:val="0"/>
                <w:sz w:val="18"/>
                <w:szCs w:val="18"/>
                <w:highlight w:val="none"/>
              </w:rPr>
            </w:pPr>
            <w:r>
              <w:rPr>
                <w:rFonts w:hint="eastAsia"/>
                <w:color w:val="auto"/>
                <w:kern w:val="0"/>
                <w:sz w:val="18"/>
                <w:szCs w:val="18"/>
                <w:highlight w:val="none"/>
              </w:rPr>
              <w:t>检验检测报告</w:t>
            </w:r>
          </w:p>
        </w:tc>
      </w:tr>
      <w:tr w14:paraId="0D633E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343E93BF">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258B7639">
            <w:pPr>
              <w:jc w:val="center"/>
              <w:rPr>
                <w:color w:val="auto"/>
                <w:kern w:val="0"/>
                <w:sz w:val="18"/>
                <w:szCs w:val="18"/>
                <w:highlight w:val="none"/>
              </w:rPr>
            </w:pPr>
          </w:p>
        </w:tc>
        <w:tc>
          <w:tcPr>
            <w:tcW w:w="1432" w:type="dxa"/>
            <w:gridSpan w:val="3"/>
            <w:vMerge w:val="continue"/>
            <w:tcBorders>
              <w:tl2br w:val="nil"/>
              <w:tr2bl w:val="nil"/>
            </w:tcBorders>
            <w:shd w:val="clear" w:color="auto" w:fill="auto"/>
            <w:vAlign w:val="center"/>
          </w:tcPr>
          <w:p w14:paraId="15FA0ABB">
            <w:pPr>
              <w:jc w:val="center"/>
              <w:rPr>
                <w:rFonts w:hint="eastAsia"/>
                <w:color w:val="auto"/>
                <w:kern w:val="0"/>
                <w:sz w:val="18"/>
                <w:szCs w:val="18"/>
                <w:highlight w:val="none"/>
                <w:lang w:val="en-US" w:eastAsia="zh-CN"/>
              </w:rPr>
            </w:pPr>
          </w:p>
        </w:tc>
        <w:tc>
          <w:tcPr>
            <w:tcW w:w="1433" w:type="dxa"/>
            <w:gridSpan w:val="3"/>
            <w:tcBorders>
              <w:tl2br w:val="nil"/>
              <w:tr2bl w:val="nil"/>
            </w:tcBorders>
            <w:shd w:val="clear" w:color="auto" w:fill="auto"/>
            <w:vAlign w:val="center"/>
          </w:tcPr>
          <w:p w14:paraId="03D550E7">
            <w:pPr>
              <w:jc w:val="center"/>
              <w:rPr>
                <w:rFonts w:hint="default"/>
                <w:color w:val="auto"/>
                <w:kern w:val="0"/>
                <w:sz w:val="18"/>
                <w:szCs w:val="18"/>
                <w:highlight w:val="none"/>
                <w:lang w:val="en-US" w:eastAsia="zh-CN"/>
              </w:rPr>
            </w:pPr>
            <w:r>
              <w:rPr>
                <w:rFonts w:hint="eastAsia"/>
                <w:color w:val="auto"/>
                <w:kern w:val="0"/>
                <w:sz w:val="18"/>
                <w:szCs w:val="18"/>
                <w:highlight w:val="none"/>
                <w:lang w:val="en-US" w:eastAsia="zh-CN"/>
              </w:rPr>
              <w:t>PP-R</w:t>
            </w:r>
          </w:p>
        </w:tc>
        <w:tc>
          <w:tcPr>
            <w:tcW w:w="872" w:type="dxa"/>
            <w:tcBorders>
              <w:tl2br w:val="nil"/>
              <w:tr2bl w:val="nil"/>
            </w:tcBorders>
            <w:shd w:val="clear" w:color="auto" w:fill="auto"/>
            <w:vAlign w:val="center"/>
          </w:tcPr>
          <w:p w14:paraId="4CF9677E">
            <w:pPr>
              <w:jc w:val="center"/>
              <w:rPr>
                <w:rFonts w:hint="eastAsia"/>
                <w:color w:val="auto"/>
                <w:kern w:val="0"/>
                <w:sz w:val="18"/>
                <w:szCs w:val="18"/>
                <w:highlight w:val="none"/>
                <w:lang w:val="en-US" w:eastAsia="zh-CN"/>
              </w:rPr>
            </w:pPr>
            <w:r>
              <w:rPr>
                <w:rFonts w:hint="eastAsia"/>
                <w:color w:val="auto"/>
                <w:kern w:val="0"/>
                <w:sz w:val="18"/>
                <w:szCs w:val="18"/>
                <w:highlight w:val="none"/>
              </w:rPr>
              <w:t>—</w:t>
            </w:r>
          </w:p>
        </w:tc>
        <w:tc>
          <w:tcPr>
            <w:tcW w:w="3956" w:type="dxa"/>
            <w:gridSpan w:val="3"/>
            <w:tcBorders>
              <w:tl2br w:val="nil"/>
              <w:tr2bl w:val="nil"/>
            </w:tcBorders>
            <w:shd w:val="clear" w:color="auto" w:fill="auto"/>
            <w:vAlign w:val="center"/>
          </w:tcPr>
          <w:p w14:paraId="518BC421">
            <w:pPr>
              <w:jc w:val="center"/>
              <w:rPr>
                <w:rFonts w:hint="eastAsia"/>
                <w:color w:val="auto"/>
                <w:kern w:val="0"/>
                <w:sz w:val="18"/>
                <w:szCs w:val="18"/>
                <w:highlight w:val="none"/>
              </w:rPr>
            </w:pPr>
            <w:r>
              <w:rPr>
                <w:rFonts w:hint="eastAsia"/>
                <w:color w:val="auto"/>
                <w:kern w:val="0"/>
                <w:sz w:val="18"/>
                <w:szCs w:val="18"/>
                <w:highlight w:val="none"/>
                <w:lang w:val="en-US" w:eastAsia="zh-CN"/>
              </w:rPr>
              <w:t>符合标准</w:t>
            </w:r>
          </w:p>
        </w:tc>
        <w:tc>
          <w:tcPr>
            <w:tcW w:w="1741" w:type="dxa"/>
            <w:tcBorders>
              <w:tl2br w:val="nil"/>
              <w:tr2bl w:val="nil"/>
            </w:tcBorders>
            <w:shd w:val="clear" w:color="auto" w:fill="auto"/>
            <w:vAlign w:val="center"/>
          </w:tcPr>
          <w:p w14:paraId="480174C5">
            <w:pPr>
              <w:jc w:val="center"/>
              <w:rPr>
                <w:rFonts w:hint="eastAsia"/>
                <w:color w:val="auto"/>
                <w:kern w:val="0"/>
                <w:sz w:val="18"/>
                <w:szCs w:val="18"/>
                <w:highlight w:val="none"/>
              </w:rPr>
            </w:pPr>
            <w:r>
              <w:rPr>
                <w:rFonts w:hint="eastAsia"/>
                <w:color w:val="auto"/>
                <w:kern w:val="0"/>
                <w:sz w:val="18"/>
                <w:szCs w:val="18"/>
                <w:highlight w:val="none"/>
              </w:rPr>
              <w:t>检验检测报告</w:t>
            </w:r>
          </w:p>
        </w:tc>
      </w:tr>
      <w:tr w14:paraId="5FEB53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786BAAA6">
            <w:pPr>
              <w:jc w:val="center"/>
              <w:rPr>
                <w:color w:val="auto"/>
                <w:kern w:val="0"/>
                <w:sz w:val="18"/>
                <w:szCs w:val="18"/>
              </w:rPr>
            </w:pPr>
          </w:p>
        </w:tc>
        <w:tc>
          <w:tcPr>
            <w:tcW w:w="597" w:type="dxa"/>
            <w:vMerge w:val="continue"/>
            <w:tcBorders>
              <w:tl2br w:val="nil"/>
              <w:tr2bl w:val="nil"/>
            </w:tcBorders>
            <w:shd w:val="clear" w:color="auto" w:fill="auto"/>
            <w:vAlign w:val="center"/>
          </w:tcPr>
          <w:p w14:paraId="13E085FE">
            <w:pPr>
              <w:jc w:val="center"/>
              <w:rPr>
                <w:color w:val="auto"/>
                <w:kern w:val="0"/>
                <w:sz w:val="18"/>
                <w:szCs w:val="18"/>
              </w:rPr>
            </w:pPr>
          </w:p>
        </w:tc>
        <w:tc>
          <w:tcPr>
            <w:tcW w:w="2865" w:type="dxa"/>
            <w:gridSpan w:val="6"/>
            <w:tcBorders>
              <w:tl2br w:val="nil"/>
              <w:tr2bl w:val="nil"/>
            </w:tcBorders>
            <w:shd w:val="clear" w:color="auto" w:fill="auto"/>
            <w:vAlign w:val="center"/>
          </w:tcPr>
          <w:p w14:paraId="27811FB1">
            <w:pPr>
              <w:jc w:val="center"/>
              <w:rPr>
                <w:color w:val="auto"/>
                <w:kern w:val="0"/>
                <w:sz w:val="18"/>
                <w:szCs w:val="18"/>
              </w:rPr>
            </w:pPr>
            <w:r>
              <w:rPr>
                <w:rFonts w:hint="eastAsia"/>
                <w:color w:val="auto"/>
                <w:kern w:val="0"/>
                <w:sz w:val="18"/>
                <w:szCs w:val="18"/>
              </w:rPr>
              <w:t>标识方式</w:t>
            </w:r>
          </w:p>
        </w:tc>
        <w:tc>
          <w:tcPr>
            <w:tcW w:w="872" w:type="dxa"/>
            <w:tcBorders>
              <w:tl2br w:val="nil"/>
              <w:tr2bl w:val="nil"/>
            </w:tcBorders>
            <w:shd w:val="clear" w:color="auto" w:fill="auto"/>
            <w:vAlign w:val="center"/>
          </w:tcPr>
          <w:p w14:paraId="1FA9888B">
            <w:pPr>
              <w:jc w:val="center"/>
              <w:rPr>
                <w:color w:val="auto"/>
                <w:kern w:val="0"/>
                <w:sz w:val="18"/>
                <w:szCs w:val="18"/>
              </w:rPr>
            </w:pPr>
            <w:bookmarkStart w:id="78" w:name="OLE_LINK1"/>
            <w:r>
              <w:rPr>
                <w:rFonts w:hint="eastAsia"/>
                <w:color w:val="auto"/>
                <w:kern w:val="0"/>
                <w:sz w:val="18"/>
                <w:szCs w:val="18"/>
              </w:rPr>
              <w:t>—</w:t>
            </w:r>
            <w:bookmarkEnd w:id="78"/>
          </w:p>
        </w:tc>
        <w:tc>
          <w:tcPr>
            <w:tcW w:w="1579" w:type="dxa"/>
            <w:tcBorders>
              <w:tl2br w:val="nil"/>
              <w:tr2bl w:val="nil"/>
            </w:tcBorders>
            <w:shd w:val="clear" w:color="auto" w:fill="auto"/>
            <w:vAlign w:val="center"/>
          </w:tcPr>
          <w:p w14:paraId="45E7FBA9">
            <w:pPr>
              <w:jc w:val="center"/>
              <w:rPr>
                <w:color w:val="auto"/>
                <w:kern w:val="0"/>
                <w:sz w:val="18"/>
                <w:szCs w:val="18"/>
              </w:rPr>
            </w:pPr>
            <w:r>
              <w:rPr>
                <w:rFonts w:hint="eastAsia"/>
                <w:color w:val="auto"/>
                <w:kern w:val="0"/>
                <w:sz w:val="18"/>
                <w:szCs w:val="18"/>
              </w:rPr>
              <w:t>非永久性标识</w:t>
            </w:r>
          </w:p>
        </w:tc>
        <w:tc>
          <w:tcPr>
            <w:tcW w:w="2377" w:type="dxa"/>
            <w:gridSpan w:val="2"/>
            <w:tcBorders>
              <w:tl2br w:val="nil"/>
              <w:tr2bl w:val="nil"/>
            </w:tcBorders>
            <w:shd w:val="clear" w:color="auto" w:fill="auto"/>
            <w:vAlign w:val="center"/>
          </w:tcPr>
          <w:p w14:paraId="6FAE60F4">
            <w:pPr>
              <w:jc w:val="center"/>
              <w:rPr>
                <w:color w:val="auto"/>
                <w:kern w:val="0"/>
                <w:sz w:val="18"/>
                <w:szCs w:val="18"/>
              </w:rPr>
            </w:pPr>
            <w:r>
              <w:rPr>
                <w:rFonts w:hint="eastAsia"/>
                <w:color w:val="auto"/>
                <w:kern w:val="0"/>
                <w:sz w:val="18"/>
                <w:szCs w:val="18"/>
              </w:rPr>
              <w:t>永久性标识</w:t>
            </w:r>
          </w:p>
        </w:tc>
        <w:tc>
          <w:tcPr>
            <w:tcW w:w="1741" w:type="dxa"/>
            <w:tcBorders>
              <w:tl2br w:val="nil"/>
              <w:tr2bl w:val="nil"/>
            </w:tcBorders>
            <w:shd w:val="clear" w:color="auto" w:fill="auto"/>
            <w:vAlign w:val="center"/>
          </w:tcPr>
          <w:p w14:paraId="0FCA5353">
            <w:pPr>
              <w:jc w:val="center"/>
              <w:rPr>
                <w:rFonts w:hint="default" w:eastAsia="宋体"/>
                <w:color w:val="auto"/>
                <w:kern w:val="0"/>
                <w:sz w:val="18"/>
                <w:szCs w:val="18"/>
                <w:lang w:val="en-US" w:eastAsia="zh-CN"/>
              </w:rPr>
            </w:pPr>
            <w:r>
              <w:rPr>
                <w:rFonts w:hint="eastAsia"/>
                <w:color w:val="auto"/>
                <w:kern w:val="0"/>
                <w:sz w:val="18"/>
                <w:szCs w:val="18"/>
                <w:lang w:val="en-US" w:eastAsia="zh-CN"/>
              </w:rPr>
              <w:t>GB/T 41494</w:t>
            </w:r>
          </w:p>
        </w:tc>
      </w:tr>
      <w:tr w14:paraId="72630F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6D1985B8">
            <w:pPr>
              <w:jc w:val="center"/>
              <w:rPr>
                <w:color w:val="auto"/>
                <w:kern w:val="0"/>
                <w:sz w:val="18"/>
                <w:szCs w:val="18"/>
              </w:rPr>
            </w:pPr>
          </w:p>
        </w:tc>
        <w:tc>
          <w:tcPr>
            <w:tcW w:w="597" w:type="dxa"/>
            <w:vMerge w:val="continue"/>
            <w:tcBorders>
              <w:tl2br w:val="nil"/>
              <w:tr2bl w:val="nil"/>
            </w:tcBorders>
            <w:shd w:val="clear" w:color="auto" w:fill="auto"/>
            <w:vAlign w:val="center"/>
          </w:tcPr>
          <w:p w14:paraId="072BE3E7">
            <w:pPr>
              <w:jc w:val="center"/>
              <w:rPr>
                <w:color w:val="auto"/>
                <w:kern w:val="0"/>
                <w:sz w:val="18"/>
                <w:szCs w:val="18"/>
              </w:rPr>
            </w:pPr>
          </w:p>
        </w:tc>
        <w:tc>
          <w:tcPr>
            <w:tcW w:w="849" w:type="dxa"/>
            <w:gridSpan w:val="2"/>
            <w:vMerge w:val="restart"/>
            <w:tcBorders>
              <w:tl2br w:val="nil"/>
              <w:tr2bl w:val="nil"/>
            </w:tcBorders>
            <w:shd w:val="clear" w:color="auto" w:fill="auto"/>
            <w:vAlign w:val="center"/>
          </w:tcPr>
          <w:p w14:paraId="2BFA56A0">
            <w:pPr>
              <w:jc w:val="center"/>
              <w:rPr>
                <w:color w:val="auto"/>
                <w:kern w:val="0"/>
                <w:sz w:val="18"/>
                <w:szCs w:val="18"/>
              </w:rPr>
            </w:pPr>
            <w:r>
              <w:rPr>
                <w:rFonts w:hint="eastAsia"/>
                <w:color w:val="auto"/>
                <w:kern w:val="0"/>
                <w:sz w:val="18"/>
                <w:szCs w:val="18"/>
              </w:rPr>
              <w:t>管材生产自动化</w:t>
            </w:r>
          </w:p>
        </w:tc>
        <w:tc>
          <w:tcPr>
            <w:tcW w:w="2016" w:type="dxa"/>
            <w:gridSpan w:val="4"/>
            <w:tcBorders>
              <w:tl2br w:val="nil"/>
              <w:tr2bl w:val="nil"/>
            </w:tcBorders>
            <w:shd w:val="clear" w:color="auto" w:fill="auto"/>
            <w:vAlign w:val="center"/>
          </w:tcPr>
          <w:p w14:paraId="39D2BDE8">
            <w:pPr>
              <w:jc w:val="center"/>
              <w:rPr>
                <w:color w:val="auto"/>
                <w:kern w:val="0"/>
                <w:sz w:val="18"/>
                <w:szCs w:val="18"/>
              </w:rPr>
            </w:pPr>
            <w:r>
              <w:rPr>
                <w:rFonts w:hint="eastAsia"/>
                <w:color w:val="auto"/>
                <w:kern w:val="0"/>
                <w:sz w:val="18"/>
                <w:szCs w:val="18"/>
              </w:rPr>
              <w:t>铝合金衬塑复合管材复合工艺自动化</w:t>
            </w:r>
          </w:p>
        </w:tc>
        <w:tc>
          <w:tcPr>
            <w:tcW w:w="872" w:type="dxa"/>
            <w:tcBorders>
              <w:tl2br w:val="nil"/>
              <w:tr2bl w:val="nil"/>
            </w:tcBorders>
            <w:shd w:val="clear" w:color="auto" w:fill="auto"/>
            <w:vAlign w:val="center"/>
          </w:tcPr>
          <w:p w14:paraId="64CC2E78">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081F8C7C">
            <w:pPr>
              <w:jc w:val="center"/>
              <w:rPr>
                <w:color w:val="auto"/>
                <w:kern w:val="0"/>
                <w:sz w:val="18"/>
                <w:szCs w:val="18"/>
              </w:rPr>
            </w:pPr>
            <w:r>
              <w:rPr>
                <w:rFonts w:hint="eastAsia"/>
                <w:color w:val="auto"/>
                <w:kern w:val="0"/>
                <w:sz w:val="18"/>
                <w:szCs w:val="18"/>
              </w:rPr>
              <w:t>无</w:t>
            </w:r>
          </w:p>
        </w:tc>
        <w:tc>
          <w:tcPr>
            <w:tcW w:w="2377" w:type="dxa"/>
            <w:gridSpan w:val="2"/>
            <w:tcBorders>
              <w:tl2br w:val="nil"/>
              <w:tr2bl w:val="nil"/>
            </w:tcBorders>
            <w:shd w:val="clear" w:color="auto" w:fill="auto"/>
            <w:vAlign w:val="center"/>
          </w:tcPr>
          <w:p w14:paraId="3D5D3130">
            <w:pPr>
              <w:jc w:val="center"/>
              <w:rPr>
                <w:color w:val="auto"/>
                <w:kern w:val="0"/>
                <w:sz w:val="18"/>
                <w:szCs w:val="18"/>
              </w:rPr>
            </w:pPr>
            <w:r>
              <w:rPr>
                <w:rFonts w:hint="eastAsia"/>
                <w:color w:val="auto"/>
                <w:kern w:val="0"/>
                <w:sz w:val="18"/>
                <w:szCs w:val="18"/>
              </w:rPr>
              <w:t>有</w:t>
            </w:r>
          </w:p>
        </w:tc>
        <w:tc>
          <w:tcPr>
            <w:tcW w:w="1741" w:type="dxa"/>
            <w:tcBorders>
              <w:tl2br w:val="nil"/>
              <w:tr2bl w:val="nil"/>
            </w:tcBorders>
            <w:shd w:val="clear" w:color="auto" w:fill="auto"/>
            <w:vAlign w:val="center"/>
          </w:tcPr>
          <w:p w14:paraId="3B34C47F">
            <w:pPr>
              <w:jc w:val="center"/>
              <w:rPr>
                <w:color w:val="auto"/>
                <w:kern w:val="0"/>
                <w:sz w:val="18"/>
                <w:szCs w:val="18"/>
              </w:rPr>
            </w:pPr>
            <w:r>
              <w:rPr>
                <w:rFonts w:hint="eastAsia"/>
                <w:color w:val="auto"/>
                <w:kern w:val="0"/>
                <w:sz w:val="18"/>
                <w:szCs w:val="18"/>
              </w:rPr>
              <w:t>提供相关证明</w:t>
            </w:r>
          </w:p>
        </w:tc>
      </w:tr>
      <w:tr w14:paraId="7A1297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645BC486">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2F8F3254">
            <w:pPr>
              <w:jc w:val="cente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1BECE36D">
            <w:pPr>
              <w:jc w:val="center"/>
              <w:rPr>
                <w:color w:val="auto"/>
                <w:kern w:val="0"/>
                <w:sz w:val="18"/>
                <w:szCs w:val="18"/>
                <w:highlight w:val="none"/>
              </w:rPr>
            </w:pPr>
          </w:p>
        </w:tc>
        <w:tc>
          <w:tcPr>
            <w:tcW w:w="2016" w:type="dxa"/>
            <w:gridSpan w:val="4"/>
            <w:tcBorders>
              <w:tl2br w:val="nil"/>
              <w:tr2bl w:val="nil"/>
            </w:tcBorders>
            <w:shd w:val="clear" w:color="auto" w:fill="auto"/>
            <w:vAlign w:val="center"/>
          </w:tcPr>
          <w:p w14:paraId="238A9EB4">
            <w:pPr>
              <w:rPr>
                <w:color w:val="auto"/>
                <w:kern w:val="0"/>
                <w:sz w:val="18"/>
                <w:szCs w:val="18"/>
                <w:highlight w:val="none"/>
              </w:rPr>
            </w:pPr>
            <w:r>
              <w:rPr>
                <w:rFonts w:hint="eastAsia"/>
                <w:color w:val="auto"/>
                <w:kern w:val="0"/>
                <w:sz w:val="18"/>
                <w:szCs w:val="18"/>
                <w:highlight w:val="none"/>
              </w:rPr>
              <w:t>生产在线</w:t>
            </w:r>
            <w:r>
              <w:rPr>
                <w:rFonts w:hint="eastAsia"/>
                <w:color w:val="auto"/>
                <w:kern w:val="0"/>
                <w:sz w:val="18"/>
                <w:szCs w:val="18"/>
                <w:highlight w:val="none"/>
                <w:lang w:val="en-US" w:eastAsia="zh-CN"/>
              </w:rPr>
              <w:t>尺寸</w:t>
            </w:r>
            <w:r>
              <w:rPr>
                <w:rFonts w:hint="eastAsia"/>
                <w:color w:val="auto"/>
                <w:kern w:val="0"/>
                <w:sz w:val="18"/>
                <w:szCs w:val="18"/>
                <w:highlight w:val="none"/>
              </w:rPr>
              <w:t>监控装置使用率</w:t>
            </w:r>
          </w:p>
        </w:tc>
        <w:tc>
          <w:tcPr>
            <w:tcW w:w="872" w:type="dxa"/>
            <w:tcBorders>
              <w:tl2br w:val="nil"/>
              <w:tr2bl w:val="nil"/>
            </w:tcBorders>
            <w:shd w:val="clear" w:color="auto" w:fill="auto"/>
            <w:vAlign w:val="center"/>
          </w:tcPr>
          <w:p w14:paraId="17F71F3B">
            <w:pPr>
              <w:jc w:val="center"/>
              <w:rPr>
                <w:color w:val="auto"/>
                <w:kern w:val="0"/>
                <w:sz w:val="18"/>
                <w:szCs w:val="18"/>
                <w:highlight w:val="none"/>
              </w:rPr>
            </w:pPr>
            <w:r>
              <w:rPr>
                <w:rFonts w:hint="eastAsia"/>
                <w:color w:val="auto"/>
                <w:kern w:val="0"/>
                <w:sz w:val="18"/>
                <w:szCs w:val="18"/>
                <w:highlight w:val="none"/>
              </w:rPr>
              <w:t>%</w:t>
            </w:r>
          </w:p>
        </w:tc>
        <w:tc>
          <w:tcPr>
            <w:tcW w:w="1579" w:type="dxa"/>
            <w:tcBorders>
              <w:tl2br w:val="nil"/>
              <w:tr2bl w:val="nil"/>
            </w:tcBorders>
            <w:shd w:val="clear" w:color="auto" w:fill="auto"/>
            <w:vAlign w:val="center"/>
          </w:tcPr>
          <w:p w14:paraId="7E75EAFA">
            <w:pPr>
              <w:jc w:val="center"/>
              <w:rPr>
                <w:color w:val="auto"/>
                <w:kern w:val="0"/>
                <w:sz w:val="18"/>
                <w:szCs w:val="18"/>
                <w:highlight w:val="none"/>
              </w:rPr>
            </w:pPr>
            <w:r>
              <w:rPr>
                <w:rFonts w:hint="eastAsia"/>
                <w:color w:val="auto"/>
                <w:kern w:val="0"/>
                <w:sz w:val="18"/>
                <w:szCs w:val="18"/>
                <w:highlight w:val="none"/>
              </w:rPr>
              <w:t>≥50%</w:t>
            </w:r>
          </w:p>
        </w:tc>
        <w:tc>
          <w:tcPr>
            <w:tcW w:w="1056" w:type="dxa"/>
            <w:tcBorders>
              <w:tl2br w:val="nil"/>
              <w:tr2bl w:val="nil"/>
            </w:tcBorders>
            <w:shd w:val="clear" w:color="auto" w:fill="auto"/>
            <w:vAlign w:val="center"/>
          </w:tcPr>
          <w:p w14:paraId="15BF70BC">
            <w:pPr>
              <w:jc w:val="center"/>
              <w:rPr>
                <w:color w:val="auto"/>
                <w:kern w:val="0"/>
                <w:sz w:val="18"/>
                <w:szCs w:val="18"/>
                <w:highlight w:val="none"/>
              </w:rPr>
            </w:pPr>
            <w:r>
              <w:rPr>
                <w:rFonts w:hint="eastAsia"/>
                <w:color w:val="auto"/>
                <w:kern w:val="0"/>
                <w:sz w:val="18"/>
                <w:szCs w:val="18"/>
                <w:highlight w:val="none"/>
              </w:rPr>
              <w:t>≥75%</w:t>
            </w:r>
          </w:p>
        </w:tc>
        <w:tc>
          <w:tcPr>
            <w:tcW w:w="1321" w:type="dxa"/>
            <w:tcBorders>
              <w:tl2br w:val="nil"/>
              <w:tr2bl w:val="nil"/>
            </w:tcBorders>
            <w:shd w:val="clear" w:color="auto" w:fill="auto"/>
            <w:vAlign w:val="center"/>
          </w:tcPr>
          <w:p w14:paraId="0CC48324">
            <w:pPr>
              <w:jc w:val="center"/>
              <w:rPr>
                <w:color w:val="auto"/>
                <w:kern w:val="0"/>
                <w:sz w:val="18"/>
                <w:szCs w:val="18"/>
                <w:highlight w:val="none"/>
              </w:rPr>
            </w:pPr>
            <w:r>
              <w:rPr>
                <w:rFonts w:hint="eastAsia"/>
                <w:color w:val="auto"/>
                <w:kern w:val="0"/>
                <w:sz w:val="18"/>
                <w:szCs w:val="18"/>
                <w:highlight w:val="none"/>
              </w:rPr>
              <w:t>100%</w:t>
            </w:r>
          </w:p>
        </w:tc>
        <w:tc>
          <w:tcPr>
            <w:tcW w:w="1741" w:type="dxa"/>
            <w:tcBorders>
              <w:tl2br w:val="nil"/>
              <w:tr2bl w:val="nil"/>
            </w:tcBorders>
            <w:shd w:val="clear" w:color="auto" w:fill="auto"/>
            <w:vAlign w:val="center"/>
          </w:tcPr>
          <w:p w14:paraId="69E7BB8A">
            <w:pPr>
              <w:jc w:val="center"/>
              <w:rPr>
                <w:color w:val="auto"/>
                <w:kern w:val="0"/>
                <w:sz w:val="18"/>
                <w:szCs w:val="18"/>
                <w:highlight w:val="none"/>
              </w:rPr>
            </w:pPr>
            <w:r>
              <w:rPr>
                <w:rFonts w:hint="eastAsia"/>
                <w:color w:val="auto"/>
                <w:kern w:val="0"/>
                <w:sz w:val="18"/>
                <w:szCs w:val="18"/>
                <w:highlight w:val="none"/>
              </w:rPr>
              <w:t>提供相关证明</w:t>
            </w:r>
          </w:p>
        </w:tc>
      </w:tr>
      <w:tr w14:paraId="36DD6B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61E2856A">
            <w:pPr>
              <w:jc w:val="center"/>
              <w:rPr>
                <w:color w:val="auto"/>
                <w:kern w:val="0"/>
                <w:sz w:val="18"/>
                <w:szCs w:val="18"/>
              </w:rPr>
            </w:pPr>
          </w:p>
        </w:tc>
        <w:tc>
          <w:tcPr>
            <w:tcW w:w="597" w:type="dxa"/>
            <w:vMerge w:val="restart"/>
            <w:tcBorders>
              <w:tl2br w:val="nil"/>
              <w:tr2bl w:val="nil"/>
            </w:tcBorders>
            <w:shd w:val="clear" w:color="auto" w:fill="auto"/>
            <w:vAlign w:val="center"/>
          </w:tcPr>
          <w:p w14:paraId="4A2529D2">
            <w:pPr>
              <w:jc w:val="center"/>
              <w:rPr>
                <w:color w:val="auto"/>
                <w:kern w:val="0"/>
                <w:sz w:val="18"/>
                <w:szCs w:val="18"/>
              </w:rPr>
            </w:pPr>
            <w:r>
              <w:rPr>
                <w:rFonts w:hint="eastAsia"/>
                <w:color w:val="auto"/>
                <w:kern w:val="0"/>
                <w:sz w:val="18"/>
                <w:szCs w:val="18"/>
              </w:rPr>
              <w:t>管件</w:t>
            </w:r>
          </w:p>
          <w:p w14:paraId="0EC22FDD">
            <w:pPr>
              <w:jc w:val="center"/>
              <w:rPr>
                <w:color w:val="auto"/>
                <w:kern w:val="0"/>
                <w:sz w:val="18"/>
                <w:szCs w:val="18"/>
              </w:rPr>
            </w:pPr>
            <w:r>
              <w:rPr>
                <w:rFonts w:hint="eastAsia"/>
                <w:color w:val="auto"/>
                <w:kern w:val="0"/>
                <w:sz w:val="18"/>
                <w:szCs w:val="18"/>
              </w:rPr>
              <w:t>属性</w:t>
            </w:r>
          </w:p>
        </w:tc>
        <w:tc>
          <w:tcPr>
            <w:tcW w:w="2865" w:type="dxa"/>
            <w:gridSpan w:val="6"/>
            <w:tcBorders>
              <w:tl2br w:val="nil"/>
              <w:tr2bl w:val="nil"/>
            </w:tcBorders>
            <w:shd w:val="clear" w:color="auto" w:fill="auto"/>
            <w:vAlign w:val="center"/>
          </w:tcPr>
          <w:p w14:paraId="4AB2EB34">
            <w:pPr>
              <w:jc w:val="center"/>
              <w:rPr>
                <w:color w:val="auto"/>
                <w:kern w:val="0"/>
                <w:sz w:val="18"/>
                <w:szCs w:val="18"/>
              </w:rPr>
            </w:pPr>
            <w:r>
              <w:rPr>
                <w:rFonts w:hint="eastAsia"/>
                <w:color w:val="auto"/>
                <w:kern w:val="0"/>
                <w:sz w:val="18"/>
                <w:szCs w:val="18"/>
              </w:rPr>
              <w:t>原材料</w:t>
            </w:r>
            <w:r>
              <w:rPr>
                <w:rFonts w:hint="eastAsia"/>
                <w:color w:val="auto"/>
                <w:kern w:val="0"/>
                <w:sz w:val="18"/>
                <w:szCs w:val="18"/>
                <w:eastAsianLayout w:id="19" w:combine="1"/>
              </w:rPr>
              <w:t xml:space="preserve">1   </w:t>
            </w:r>
          </w:p>
        </w:tc>
        <w:tc>
          <w:tcPr>
            <w:tcW w:w="872" w:type="dxa"/>
            <w:tcBorders>
              <w:tl2br w:val="nil"/>
              <w:tr2bl w:val="nil"/>
            </w:tcBorders>
            <w:shd w:val="clear" w:color="auto" w:fill="auto"/>
            <w:vAlign w:val="center"/>
          </w:tcPr>
          <w:p w14:paraId="4CF61364">
            <w:pPr>
              <w:jc w:val="center"/>
              <w:rPr>
                <w:color w:val="auto"/>
                <w:kern w:val="0"/>
                <w:sz w:val="18"/>
                <w:szCs w:val="18"/>
              </w:rPr>
            </w:pPr>
            <w:r>
              <w:rPr>
                <w:rFonts w:hint="eastAsia"/>
                <w:color w:val="auto"/>
                <w:kern w:val="0"/>
                <w:sz w:val="18"/>
                <w:szCs w:val="18"/>
              </w:rPr>
              <w:t>—</w:t>
            </w:r>
          </w:p>
        </w:tc>
        <w:tc>
          <w:tcPr>
            <w:tcW w:w="2635" w:type="dxa"/>
            <w:gridSpan w:val="2"/>
            <w:tcBorders>
              <w:tl2br w:val="nil"/>
              <w:tr2bl w:val="nil"/>
            </w:tcBorders>
            <w:shd w:val="clear" w:color="auto" w:fill="auto"/>
            <w:vAlign w:val="center"/>
          </w:tcPr>
          <w:p w14:paraId="1752B394">
            <w:pPr>
              <w:jc w:val="center"/>
              <w:rPr>
                <w:color w:val="auto"/>
                <w:kern w:val="0"/>
                <w:sz w:val="18"/>
                <w:szCs w:val="18"/>
              </w:rPr>
            </w:pPr>
            <w:r>
              <w:rPr>
                <w:rFonts w:hint="eastAsia"/>
                <w:color w:val="auto"/>
                <w:kern w:val="0"/>
                <w:sz w:val="18"/>
                <w:szCs w:val="18"/>
              </w:rPr>
              <w:t>PE-RT I型、PP-R</w:t>
            </w:r>
          </w:p>
        </w:tc>
        <w:tc>
          <w:tcPr>
            <w:tcW w:w="1321" w:type="dxa"/>
            <w:tcBorders>
              <w:tl2br w:val="nil"/>
              <w:tr2bl w:val="nil"/>
            </w:tcBorders>
            <w:shd w:val="clear" w:color="auto" w:fill="auto"/>
            <w:vAlign w:val="center"/>
          </w:tcPr>
          <w:p w14:paraId="5ABFFCD8">
            <w:pPr>
              <w:jc w:val="center"/>
              <w:rPr>
                <w:color w:val="auto"/>
                <w:kern w:val="0"/>
                <w:sz w:val="18"/>
                <w:szCs w:val="18"/>
              </w:rPr>
            </w:pPr>
            <w:r>
              <w:rPr>
                <w:rFonts w:hint="eastAsia"/>
                <w:color w:val="auto"/>
                <w:kern w:val="0"/>
                <w:sz w:val="18"/>
                <w:szCs w:val="18"/>
              </w:rPr>
              <w:t>PE-RT II 型、PP-R</w:t>
            </w:r>
          </w:p>
        </w:tc>
        <w:tc>
          <w:tcPr>
            <w:tcW w:w="1741" w:type="dxa"/>
            <w:tcBorders>
              <w:tl2br w:val="nil"/>
              <w:tr2bl w:val="nil"/>
            </w:tcBorders>
            <w:shd w:val="clear" w:color="auto" w:fill="auto"/>
            <w:vAlign w:val="center"/>
          </w:tcPr>
          <w:p w14:paraId="1253E0A2">
            <w:pPr>
              <w:jc w:val="center"/>
              <w:rPr>
                <w:color w:val="auto"/>
                <w:kern w:val="0"/>
                <w:sz w:val="18"/>
                <w:szCs w:val="18"/>
              </w:rPr>
            </w:pPr>
            <w:r>
              <w:rPr>
                <w:rFonts w:hint="eastAsia"/>
                <w:color w:val="auto"/>
                <w:kern w:val="0"/>
                <w:sz w:val="18"/>
                <w:szCs w:val="18"/>
              </w:rPr>
              <w:t>检验检测报告</w:t>
            </w:r>
          </w:p>
        </w:tc>
      </w:tr>
      <w:tr w14:paraId="064931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67715C92">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02F935CB">
            <w:pPr>
              <w:rPr>
                <w:color w:val="auto"/>
                <w:kern w:val="0"/>
                <w:sz w:val="18"/>
                <w:szCs w:val="18"/>
                <w:highlight w:val="none"/>
              </w:rPr>
            </w:pPr>
          </w:p>
        </w:tc>
        <w:tc>
          <w:tcPr>
            <w:tcW w:w="849" w:type="dxa"/>
            <w:gridSpan w:val="2"/>
            <w:vMerge w:val="restart"/>
            <w:tcBorders>
              <w:tl2br w:val="nil"/>
              <w:tr2bl w:val="nil"/>
            </w:tcBorders>
            <w:shd w:val="clear" w:color="auto" w:fill="auto"/>
            <w:vAlign w:val="center"/>
          </w:tcPr>
          <w:p w14:paraId="5761666F">
            <w:pPr>
              <w:jc w:val="center"/>
              <w:rPr>
                <w:color w:val="auto"/>
                <w:kern w:val="0"/>
                <w:sz w:val="18"/>
                <w:szCs w:val="18"/>
                <w:highlight w:val="none"/>
              </w:rPr>
            </w:pPr>
            <w:r>
              <w:rPr>
                <w:rFonts w:hint="eastAsia"/>
                <w:color w:val="auto"/>
                <w:kern w:val="0"/>
                <w:sz w:val="18"/>
                <w:szCs w:val="18"/>
                <w:highlight w:val="none"/>
              </w:rPr>
              <w:t>尺寸   偏差</w:t>
            </w:r>
          </w:p>
        </w:tc>
        <w:tc>
          <w:tcPr>
            <w:tcW w:w="2016" w:type="dxa"/>
            <w:gridSpan w:val="4"/>
            <w:tcBorders>
              <w:tl2br w:val="nil"/>
              <w:tr2bl w:val="nil"/>
            </w:tcBorders>
            <w:shd w:val="clear" w:color="auto" w:fill="auto"/>
            <w:vAlign w:val="center"/>
          </w:tcPr>
          <w:p w14:paraId="2D915DAD">
            <w:pPr>
              <w:jc w:val="center"/>
              <w:rPr>
                <w:color w:val="auto"/>
                <w:kern w:val="0"/>
                <w:sz w:val="18"/>
                <w:szCs w:val="18"/>
                <w:highlight w:val="none"/>
              </w:rPr>
            </w:pPr>
            <w:r>
              <w:rPr>
                <w:rFonts w:hint="eastAsia"/>
                <w:color w:val="auto"/>
                <w:kern w:val="0"/>
                <w:sz w:val="18"/>
                <w:szCs w:val="18"/>
                <w:highlight w:val="none"/>
              </w:rPr>
              <w:t>管系列</w:t>
            </w:r>
          </w:p>
        </w:tc>
        <w:tc>
          <w:tcPr>
            <w:tcW w:w="872" w:type="dxa"/>
            <w:tcBorders>
              <w:tl2br w:val="nil"/>
              <w:tr2bl w:val="nil"/>
            </w:tcBorders>
            <w:shd w:val="clear" w:color="auto" w:fill="auto"/>
            <w:vAlign w:val="center"/>
          </w:tcPr>
          <w:p w14:paraId="3CC380C7">
            <w:pPr>
              <w:jc w:val="center"/>
              <w:rPr>
                <w:color w:val="auto"/>
                <w:kern w:val="0"/>
                <w:sz w:val="18"/>
                <w:szCs w:val="18"/>
                <w:highlight w:val="none"/>
              </w:rPr>
            </w:pPr>
            <w:r>
              <w:rPr>
                <w:rFonts w:hint="eastAsia"/>
                <w:color w:val="auto"/>
                <w:kern w:val="0"/>
                <w:sz w:val="18"/>
                <w:szCs w:val="18"/>
                <w:highlight w:val="none"/>
              </w:rPr>
              <w:t>—</w:t>
            </w:r>
          </w:p>
        </w:tc>
        <w:tc>
          <w:tcPr>
            <w:tcW w:w="1579" w:type="dxa"/>
            <w:tcBorders>
              <w:tl2br w:val="nil"/>
              <w:tr2bl w:val="nil"/>
            </w:tcBorders>
            <w:shd w:val="clear" w:color="auto" w:fill="auto"/>
            <w:vAlign w:val="center"/>
          </w:tcPr>
          <w:p w14:paraId="0DA268C2">
            <w:pPr>
              <w:jc w:val="center"/>
              <w:rPr>
                <w:color w:val="auto"/>
                <w:kern w:val="0"/>
                <w:sz w:val="18"/>
                <w:szCs w:val="18"/>
                <w:highlight w:val="none"/>
              </w:rPr>
            </w:pPr>
            <w:r>
              <w:rPr>
                <w:rFonts w:hint="eastAsia"/>
                <w:color w:val="auto"/>
                <w:kern w:val="0"/>
                <w:sz w:val="18"/>
                <w:szCs w:val="18"/>
                <w:highlight w:val="none"/>
              </w:rPr>
              <w:t>大于同系列（S）管材壁厚</w:t>
            </w:r>
          </w:p>
        </w:tc>
        <w:tc>
          <w:tcPr>
            <w:tcW w:w="1056" w:type="dxa"/>
            <w:tcBorders>
              <w:tl2br w:val="nil"/>
              <w:tr2bl w:val="nil"/>
            </w:tcBorders>
            <w:shd w:val="clear" w:color="auto" w:fill="auto"/>
            <w:vAlign w:val="center"/>
          </w:tcPr>
          <w:p w14:paraId="33303559">
            <w:pPr>
              <w:jc w:val="center"/>
              <w:rPr>
                <w:color w:val="auto"/>
                <w:kern w:val="0"/>
                <w:sz w:val="18"/>
                <w:szCs w:val="18"/>
                <w:highlight w:val="none"/>
              </w:rPr>
            </w:pPr>
            <w:r>
              <w:rPr>
                <w:rFonts w:hint="eastAsia"/>
                <w:color w:val="auto"/>
                <w:kern w:val="0"/>
                <w:sz w:val="18"/>
                <w:szCs w:val="18"/>
                <w:highlight w:val="none"/>
              </w:rPr>
              <w:t>≥S4</w:t>
            </w:r>
          </w:p>
        </w:tc>
        <w:tc>
          <w:tcPr>
            <w:tcW w:w="1321" w:type="dxa"/>
            <w:tcBorders>
              <w:tl2br w:val="nil"/>
              <w:tr2bl w:val="nil"/>
            </w:tcBorders>
            <w:shd w:val="clear" w:color="auto" w:fill="auto"/>
            <w:vAlign w:val="center"/>
          </w:tcPr>
          <w:p w14:paraId="5B7B761D">
            <w:pPr>
              <w:jc w:val="center"/>
              <w:rPr>
                <w:color w:val="auto"/>
                <w:kern w:val="0"/>
                <w:sz w:val="18"/>
                <w:szCs w:val="18"/>
                <w:highlight w:val="none"/>
              </w:rPr>
            </w:pPr>
            <w:r>
              <w:rPr>
                <w:rFonts w:hint="eastAsia"/>
                <w:color w:val="auto"/>
                <w:kern w:val="0"/>
                <w:sz w:val="18"/>
                <w:szCs w:val="18"/>
                <w:highlight w:val="none"/>
              </w:rPr>
              <w:t>≥S2.5</w:t>
            </w:r>
          </w:p>
        </w:tc>
        <w:tc>
          <w:tcPr>
            <w:tcW w:w="1741" w:type="dxa"/>
            <w:tcBorders>
              <w:tl2br w:val="nil"/>
              <w:tr2bl w:val="nil"/>
            </w:tcBorders>
            <w:shd w:val="clear" w:color="auto" w:fill="auto"/>
            <w:vAlign w:val="center"/>
          </w:tcPr>
          <w:p w14:paraId="2A6F2E1F">
            <w:pPr>
              <w:jc w:val="center"/>
              <w:rPr>
                <w:color w:val="auto"/>
                <w:kern w:val="0"/>
                <w:sz w:val="18"/>
                <w:szCs w:val="18"/>
                <w:highlight w:val="none"/>
              </w:rPr>
            </w:pPr>
            <w:r>
              <w:rPr>
                <w:rFonts w:hint="eastAsia"/>
                <w:color w:val="auto"/>
                <w:kern w:val="0"/>
                <w:sz w:val="18"/>
                <w:szCs w:val="18"/>
                <w:highlight w:val="none"/>
              </w:rPr>
              <w:t>检验检测报告</w:t>
            </w:r>
          </w:p>
        </w:tc>
      </w:tr>
      <w:tr w14:paraId="396792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09051BBD">
            <w:pPr>
              <w:jc w:val="center"/>
              <w:rPr>
                <w:color w:val="auto"/>
                <w:kern w:val="0"/>
                <w:sz w:val="18"/>
                <w:szCs w:val="18"/>
                <w:highlight w:val="none"/>
              </w:rPr>
            </w:pPr>
          </w:p>
        </w:tc>
        <w:tc>
          <w:tcPr>
            <w:tcW w:w="597" w:type="dxa"/>
            <w:vMerge w:val="continue"/>
            <w:tcBorders>
              <w:tl2br w:val="nil"/>
              <w:tr2bl w:val="nil"/>
            </w:tcBorders>
            <w:shd w:val="clear" w:color="auto" w:fill="auto"/>
            <w:vAlign w:val="center"/>
          </w:tcPr>
          <w:p w14:paraId="2405DE94">
            <w:pPr>
              <w:rPr>
                <w:color w:val="auto"/>
                <w:kern w:val="0"/>
                <w:sz w:val="18"/>
                <w:szCs w:val="18"/>
                <w:highlight w:val="none"/>
              </w:rPr>
            </w:pPr>
          </w:p>
        </w:tc>
        <w:tc>
          <w:tcPr>
            <w:tcW w:w="849" w:type="dxa"/>
            <w:gridSpan w:val="2"/>
            <w:vMerge w:val="continue"/>
            <w:tcBorders>
              <w:tl2br w:val="nil"/>
              <w:tr2bl w:val="nil"/>
            </w:tcBorders>
            <w:shd w:val="clear" w:color="auto" w:fill="auto"/>
            <w:vAlign w:val="center"/>
          </w:tcPr>
          <w:p w14:paraId="58590DDB">
            <w:pPr>
              <w:jc w:val="center"/>
              <w:rPr>
                <w:color w:val="auto"/>
                <w:kern w:val="0"/>
                <w:sz w:val="18"/>
                <w:szCs w:val="18"/>
                <w:highlight w:val="none"/>
              </w:rPr>
            </w:pPr>
          </w:p>
        </w:tc>
        <w:tc>
          <w:tcPr>
            <w:tcW w:w="2016" w:type="dxa"/>
            <w:gridSpan w:val="4"/>
            <w:tcBorders>
              <w:tl2br w:val="nil"/>
              <w:tr2bl w:val="nil"/>
            </w:tcBorders>
            <w:shd w:val="clear" w:color="auto" w:fill="auto"/>
            <w:vAlign w:val="center"/>
          </w:tcPr>
          <w:p w14:paraId="1038A118">
            <w:pPr>
              <w:jc w:val="center"/>
              <w:rPr>
                <w:color w:val="auto"/>
                <w:kern w:val="0"/>
                <w:sz w:val="18"/>
                <w:szCs w:val="18"/>
                <w:highlight w:val="none"/>
              </w:rPr>
            </w:pPr>
            <w:r>
              <w:rPr>
                <w:rFonts w:hint="eastAsia"/>
                <w:color w:val="auto"/>
                <w:kern w:val="0"/>
                <w:sz w:val="18"/>
                <w:szCs w:val="18"/>
                <w:highlight w:val="none"/>
              </w:rPr>
              <w:t>内径d</w:t>
            </w:r>
          </w:p>
        </w:tc>
        <w:tc>
          <w:tcPr>
            <w:tcW w:w="872" w:type="dxa"/>
            <w:tcBorders>
              <w:tl2br w:val="nil"/>
              <w:tr2bl w:val="nil"/>
            </w:tcBorders>
            <w:shd w:val="clear" w:color="auto" w:fill="auto"/>
            <w:vAlign w:val="center"/>
          </w:tcPr>
          <w:p w14:paraId="6788DA93">
            <w:pPr>
              <w:jc w:val="center"/>
              <w:rPr>
                <w:color w:val="auto"/>
                <w:kern w:val="0"/>
                <w:sz w:val="18"/>
                <w:szCs w:val="18"/>
                <w:highlight w:val="none"/>
              </w:rPr>
            </w:pPr>
            <w:r>
              <w:rPr>
                <w:rFonts w:hint="eastAsia"/>
                <w:color w:val="auto"/>
                <w:kern w:val="0"/>
                <w:sz w:val="18"/>
                <w:szCs w:val="18"/>
                <w:highlight w:val="none"/>
              </w:rPr>
              <w:t>㎜</w:t>
            </w:r>
          </w:p>
        </w:tc>
        <w:tc>
          <w:tcPr>
            <w:tcW w:w="2635" w:type="dxa"/>
            <w:gridSpan w:val="2"/>
            <w:tcBorders>
              <w:tl2br w:val="nil"/>
              <w:tr2bl w:val="nil"/>
            </w:tcBorders>
            <w:shd w:val="clear" w:color="auto" w:fill="auto"/>
            <w:vAlign w:val="center"/>
          </w:tcPr>
          <w:p w14:paraId="22E265C5">
            <w:pPr>
              <w:jc w:val="center"/>
              <w:rPr>
                <w:color w:val="auto"/>
                <w:kern w:val="0"/>
                <w:sz w:val="18"/>
                <w:szCs w:val="18"/>
                <w:highlight w:val="none"/>
              </w:rPr>
            </w:pPr>
            <w:r>
              <w:rPr>
                <w:rFonts w:hint="eastAsia"/>
                <w:color w:val="auto"/>
                <w:kern w:val="0"/>
                <w:sz w:val="18"/>
                <w:szCs w:val="18"/>
                <w:highlight w:val="none"/>
                <w:lang w:val="en-US" w:eastAsia="zh-CN"/>
              </w:rPr>
              <w:t>符合标准</w:t>
            </w:r>
          </w:p>
        </w:tc>
        <w:tc>
          <w:tcPr>
            <w:tcW w:w="1321" w:type="dxa"/>
            <w:tcBorders>
              <w:tl2br w:val="nil"/>
              <w:tr2bl w:val="nil"/>
            </w:tcBorders>
            <w:shd w:val="clear" w:color="auto" w:fill="auto"/>
            <w:vAlign w:val="center"/>
          </w:tcPr>
          <w:p w14:paraId="6266E89E">
            <w:pPr>
              <w:jc w:val="center"/>
              <w:rPr>
                <w:color w:val="auto"/>
                <w:kern w:val="0"/>
                <w:sz w:val="18"/>
                <w:szCs w:val="18"/>
                <w:highlight w:val="none"/>
              </w:rPr>
            </w:pPr>
            <w:r>
              <w:rPr>
                <w:rFonts w:hint="eastAsia"/>
                <w:color w:val="auto"/>
                <w:kern w:val="0"/>
                <w:sz w:val="18"/>
                <w:szCs w:val="18"/>
                <w:highlight w:val="none"/>
              </w:rPr>
              <w:t>+0.5%</w:t>
            </w:r>
          </w:p>
        </w:tc>
        <w:tc>
          <w:tcPr>
            <w:tcW w:w="1741" w:type="dxa"/>
            <w:tcBorders>
              <w:tl2br w:val="nil"/>
              <w:tr2bl w:val="nil"/>
            </w:tcBorders>
            <w:shd w:val="clear" w:color="auto" w:fill="auto"/>
            <w:vAlign w:val="center"/>
          </w:tcPr>
          <w:p w14:paraId="20F6DC21">
            <w:pPr>
              <w:jc w:val="center"/>
              <w:rPr>
                <w:color w:val="auto"/>
                <w:kern w:val="0"/>
                <w:sz w:val="18"/>
                <w:szCs w:val="18"/>
                <w:highlight w:val="none"/>
              </w:rPr>
            </w:pPr>
            <w:r>
              <w:rPr>
                <w:rFonts w:hint="eastAsia"/>
                <w:color w:val="auto"/>
                <w:kern w:val="0"/>
                <w:sz w:val="18"/>
                <w:szCs w:val="18"/>
                <w:highlight w:val="none"/>
              </w:rPr>
              <w:t>检验检测报告</w:t>
            </w:r>
          </w:p>
        </w:tc>
      </w:tr>
      <w:tr w14:paraId="41A406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40F17ED8">
            <w:pPr>
              <w:jc w:val="center"/>
              <w:rPr>
                <w:color w:val="auto"/>
                <w:kern w:val="0"/>
                <w:sz w:val="18"/>
                <w:szCs w:val="18"/>
              </w:rPr>
            </w:pPr>
          </w:p>
        </w:tc>
        <w:tc>
          <w:tcPr>
            <w:tcW w:w="597" w:type="dxa"/>
            <w:vMerge w:val="continue"/>
            <w:tcBorders>
              <w:tl2br w:val="nil"/>
              <w:tr2bl w:val="nil"/>
            </w:tcBorders>
            <w:shd w:val="clear" w:color="auto" w:fill="auto"/>
            <w:vAlign w:val="center"/>
          </w:tcPr>
          <w:p w14:paraId="0B9BEDFA">
            <w:pPr>
              <w:rPr>
                <w:color w:val="auto"/>
                <w:kern w:val="0"/>
                <w:sz w:val="18"/>
                <w:szCs w:val="18"/>
              </w:rPr>
            </w:pPr>
          </w:p>
        </w:tc>
        <w:tc>
          <w:tcPr>
            <w:tcW w:w="2865" w:type="dxa"/>
            <w:gridSpan w:val="6"/>
            <w:tcBorders>
              <w:tl2br w:val="nil"/>
              <w:tr2bl w:val="nil"/>
            </w:tcBorders>
            <w:shd w:val="clear" w:color="auto" w:fill="auto"/>
            <w:vAlign w:val="center"/>
          </w:tcPr>
          <w:p w14:paraId="78054A90">
            <w:pPr>
              <w:jc w:val="center"/>
              <w:rPr>
                <w:color w:val="auto"/>
                <w:kern w:val="0"/>
                <w:sz w:val="18"/>
                <w:szCs w:val="18"/>
              </w:rPr>
            </w:pPr>
            <w:r>
              <w:rPr>
                <w:rFonts w:hint="eastAsia"/>
                <w:color w:val="auto"/>
                <w:kern w:val="0"/>
                <w:sz w:val="18"/>
                <w:szCs w:val="18"/>
              </w:rPr>
              <w:t>标识方式</w:t>
            </w:r>
          </w:p>
        </w:tc>
        <w:tc>
          <w:tcPr>
            <w:tcW w:w="872" w:type="dxa"/>
            <w:tcBorders>
              <w:tl2br w:val="nil"/>
              <w:tr2bl w:val="nil"/>
            </w:tcBorders>
            <w:shd w:val="clear" w:color="auto" w:fill="auto"/>
            <w:vAlign w:val="center"/>
          </w:tcPr>
          <w:p w14:paraId="7E0A5FBC">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6F079F03">
            <w:pPr>
              <w:jc w:val="center"/>
              <w:rPr>
                <w:rFonts w:hint="eastAsia" w:eastAsia="宋体"/>
                <w:color w:val="auto"/>
                <w:kern w:val="0"/>
                <w:sz w:val="18"/>
                <w:szCs w:val="18"/>
                <w:lang w:val="en-US" w:eastAsia="zh-CN"/>
              </w:rPr>
            </w:pPr>
            <w:r>
              <w:rPr>
                <w:rFonts w:hint="eastAsia"/>
                <w:color w:val="auto"/>
                <w:kern w:val="0"/>
                <w:sz w:val="18"/>
                <w:szCs w:val="18"/>
              </w:rPr>
              <w:t>非永久性标识</w:t>
            </w:r>
          </w:p>
        </w:tc>
        <w:tc>
          <w:tcPr>
            <w:tcW w:w="2377" w:type="dxa"/>
            <w:gridSpan w:val="2"/>
            <w:tcBorders>
              <w:tl2br w:val="nil"/>
              <w:tr2bl w:val="nil"/>
            </w:tcBorders>
            <w:shd w:val="clear" w:color="auto" w:fill="auto"/>
            <w:vAlign w:val="center"/>
          </w:tcPr>
          <w:p w14:paraId="126C2FB4">
            <w:pPr>
              <w:jc w:val="center"/>
              <w:rPr>
                <w:color w:val="auto"/>
                <w:kern w:val="0"/>
                <w:sz w:val="18"/>
                <w:szCs w:val="18"/>
              </w:rPr>
            </w:pPr>
            <w:r>
              <w:rPr>
                <w:rFonts w:hint="eastAsia"/>
                <w:color w:val="auto"/>
                <w:kern w:val="0"/>
                <w:sz w:val="18"/>
                <w:szCs w:val="18"/>
              </w:rPr>
              <w:t>永久性标识</w:t>
            </w:r>
          </w:p>
        </w:tc>
        <w:tc>
          <w:tcPr>
            <w:tcW w:w="1741" w:type="dxa"/>
            <w:tcBorders>
              <w:tl2br w:val="nil"/>
              <w:tr2bl w:val="nil"/>
            </w:tcBorders>
            <w:shd w:val="clear" w:color="auto" w:fill="auto"/>
            <w:vAlign w:val="center"/>
          </w:tcPr>
          <w:p w14:paraId="5B6EB85F">
            <w:pPr>
              <w:jc w:val="center"/>
              <w:rPr>
                <w:color w:val="auto"/>
                <w:kern w:val="0"/>
                <w:sz w:val="18"/>
                <w:szCs w:val="18"/>
              </w:rPr>
            </w:pPr>
            <w:r>
              <w:rPr>
                <w:rFonts w:hint="eastAsia"/>
                <w:color w:val="auto"/>
                <w:kern w:val="0"/>
                <w:sz w:val="18"/>
                <w:szCs w:val="18"/>
              </w:rPr>
              <w:t>提供相关证明</w:t>
            </w:r>
          </w:p>
        </w:tc>
      </w:tr>
      <w:tr w14:paraId="2626A3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80" w:hRule="atLeast"/>
          <w:jc w:val="center"/>
        </w:trPr>
        <w:tc>
          <w:tcPr>
            <w:tcW w:w="726" w:type="dxa"/>
            <w:vMerge w:val="continue"/>
            <w:tcBorders>
              <w:tl2br w:val="nil"/>
              <w:tr2bl w:val="nil"/>
            </w:tcBorders>
            <w:shd w:val="clear" w:color="auto" w:fill="auto"/>
            <w:vAlign w:val="center"/>
          </w:tcPr>
          <w:p w14:paraId="3A877889">
            <w:pPr>
              <w:jc w:val="center"/>
              <w:rPr>
                <w:color w:val="auto"/>
                <w:kern w:val="0"/>
                <w:sz w:val="18"/>
                <w:szCs w:val="18"/>
              </w:rPr>
            </w:pPr>
          </w:p>
        </w:tc>
        <w:tc>
          <w:tcPr>
            <w:tcW w:w="597" w:type="dxa"/>
            <w:vMerge w:val="continue"/>
            <w:tcBorders>
              <w:tl2br w:val="nil"/>
              <w:tr2bl w:val="nil"/>
            </w:tcBorders>
            <w:shd w:val="clear" w:color="auto" w:fill="auto"/>
            <w:vAlign w:val="center"/>
          </w:tcPr>
          <w:p w14:paraId="7A27F75C">
            <w:pPr>
              <w:rPr>
                <w:color w:val="auto"/>
                <w:kern w:val="0"/>
                <w:sz w:val="18"/>
                <w:szCs w:val="18"/>
              </w:rPr>
            </w:pPr>
          </w:p>
        </w:tc>
        <w:tc>
          <w:tcPr>
            <w:tcW w:w="2865" w:type="dxa"/>
            <w:gridSpan w:val="6"/>
            <w:tcBorders>
              <w:tl2br w:val="nil"/>
              <w:tr2bl w:val="nil"/>
            </w:tcBorders>
            <w:shd w:val="clear" w:color="auto" w:fill="auto"/>
            <w:vAlign w:val="center"/>
          </w:tcPr>
          <w:p w14:paraId="6A496B39">
            <w:pPr>
              <w:jc w:val="center"/>
              <w:rPr>
                <w:color w:val="auto"/>
                <w:kern w:val="0"/>
                <w:sz w:val="18"/>
                <w:szCs w:val="18"/>
                <w:highlight w:val="none"/>
              </w:rPr>
            </w:pPr>
            <w:r>
              <w:rPr>
                <w:rFonts w:hint="eastAsia"/>
                <w:color w:val="auto"/>
                <w:kern w:val="0"/>
                <w:sz w:val="18"/>
                <w:szCs w:val="18"/>
                <w:highlight w:val="none"/>
              </w:rPr>
              <w:t>标识内容</w:t>
            </w:r>
          </w:p>
        </w:tc>
        <w:tc>
          <w:tcPr>
            <w:tcW w:w="872" w:type="dxa"/>
            <w:tcBorders>
              <w:tl2br w:val="nil"/>
              <w:tr2bl w:val="nil"/>
            </w:tcBorders>
            <w:shd w:val="clear" w:color="auto" w:fill="auto"/>
            <w:vAlign w:val="center"/>
          </w:tcPr>
          <w:p w14:paraId="1DA34BA4">
            <w:pPr>
              <w:jc w:val="center"/>
              <w:rPr>
                <w:color w:val="auto"/>
                <w:kern w:val="0"/>
                <w:sz w:val="18"/>
                <w:szCs w:val="18"/>
                <w:highlight w:val="none"/>
              </w:rPr>
            </w:pPr>
            <w:r>
              <w:rPr>
                <w:rFonts w:hint="eastAsia"/>
                <w:color w:val="auto"/>
                <w:kern w:val="0"/>
                <w:sz w:val="18"/>
                <w:szCs w:val="18"/>
                <w:highlight w:val="none"/>
              </w:rPr>
              <w:t>—</w:t>
            </w:r>
          </w:p>
        </w:tc>
        <w:tc>
          <w:tcPr>
            <w:tcW w:w="1579" w:type="dxa"/>
            <w:tcBorders>
              <w:tl2br w:val="nil"/>
              <w:tr2bl w:val="nil"/>
            </w:tcBorders>
            <w:shd w:val="clear" w:color="auto" w:fill="auto"/>
            <w:vAlign w:val="center"/>
          </w:tcPr>
          <w:p w14:paraId="1C999591">
            <w:pPr>
              <w:jc w:val="center"/>
              <w:rPr>
                <w:color w:val="auto"/>
                <w:kern w:val="0"/>
                <w:sz w:val="18"/>
                <w:szCs w:val="18"/>
                <w:highlight w:val="none"/>
              </w:rPr>
            </w:pPr>
            <w:r>
              <w:rPr>
                <w:rFonts w:hint="eastAsia"/>
                <w:color w:val="auto"/>
                <w:kern w:val="0"/>
                <w:sz w:val="18"/>
                <w:szCs w:val="18"/>
                <w:highlight w:val="none"/>
              </w:rPr>
              <w:t>商标、原料名称、产品规格、管系列（S）</w:t>
            </w:r>
          </w:p>
        </w:tc>
        <w:tc>
          <w:tcPr>
            <w:tcW w:w="1056" w:type="dxa"/>
            <w:tcBorders>
              <w:tl2br w:val="nil"/>
              <w:tr2bl w:val="nil"/>
            </w:tcBorders>
            <w:shd w:val="clear" w:color="auto" w:fill="auto"/>
            <w:vAlign w:val="center"/>
          </w:tcPr>
          <w:p w14:paraId="5650FCBF">
            <w:pPr>
              <w:jc w:val="center"/>
              <w:rPr>
                <w:color w:val="auto"/>
                <w:kern w:val="0"/>
                <w:sz w:val="18"/>
                <w:szCs w:val="18"/>
                <w:highlight w:val="none"/>
              </w:rPr>
            </w:pPr>
            <w:r>
              <w:rPr>
                <w:rFonts w:hint="eastAsia"/>
                <w:color w:val="auto"/>
                <w:kern w:val="0"/>
                <w:sz w:val="18"/>
                <w:szCs w:val="18"/>
                <w:highlight w:val="none"/>
              </w:rPr>
              <w:t>商标、    原料名称、产品规格、   管系列（S）</w:t>
            </w:r>
          </w:p>
        </w:tc>
        <w:tc>
          <w:tcPr>
            <w:tcW w:w="1321" w:type="dxa"/>
            <w:tcBorders>
              <w:tl2br w:val="nil"/>
              <w:tr2bl w:val="nil"/>
            </w:tcBorders>
            <w:shd w:val="clear" w:color="auto" w:fill="auto"/>
            <w:vAlign w:val="center"/>
          </w:tcPr>
          <w:p w14:paraId="4B0B9DFD">
            <w:pPr>
              <w:jc w:val="center"/>
              <w:rPr>
                <w:color w:val="auto"/>
                <w:kern w:val="0"/>
                <w:sz w:val="18"/>
                <w:szCs w:val="18"/>
                <w:highlight w:val="none"/>
              </w:rPr>
            </w:pPr>
            <w:r>
              <w:rPr>
                <w:rFonts w:hint="eastAsia"/>
                <w:color w:val="auto"/>
                <w:kern w:val="0"/>
                <w:sz w:val="18"/>
                <w:szCs w:val="18"/>
                <w:highlight w:val="none"/>
              </w:rPr>
              <w:t>品牌LOGO、  商标</w:t>
            </w:r>
            <w:r>
              <w:rPr>
                <w:rFonts w:hint="eastAsia"/>
                <w:color w:val="auto"/>
                <w:kern w:val="0"/>
                <w:sz w:val="18"/>
                <w:szCs w:val="18"/>
                <w:highlight w:val="none"/>
                <w:lang w:eastAsia="zh-CN"/>
              </w:rPr>
              <w:t>、</w:t>
            </w:r>
            <w:r>
              <w:rPr>
                <w:rFonts w:hint="eastAsia"/>
                <w:color w:val="auto"/>
                <w:kern w:val="0"/>
                <w:sz w:val="18"/>
                <w:szCs w:val="18"/>
                <w:highlight w:val="none"/>
                <w:lang w:val="en-US" w:eastAsia="zh-CN"/>
              </w:rPr>
              <w:t xml:space="preserve">       </w:t>
            </w:r>
            <w:r>
              <w:rPr>
                <w:rFonts w:hint="eastAsia"/>
                <w:color w:val="auto"/>
                <w:kern w:val="0"/>
                <w:sz w:val="18"/>
                <w:szCs w:val="18"/>
                <w:highlight w:val="none"/>
              </w:rPr>
              <w:t>原料名称、        产品规格、        管系列（S）</w:t>
            </w:r>
          </w:p>
        </w:tc>
        <w:tc>
          <w:tcPr>
            <w:tcW w:w="1741" w:type="dxa"/>
            <w:tcBorders>
              <w:tl2br w:val="nil"/>
              <w:tr2bl w:val="nil"/>
            </w:tcBorders>
            <w:shd w:val="clear" w:color="auto" w:fill="auto"/>
            <w:vAlign w:val="center"/>
          </w:tcPr>
          <w:p w14:paraId="17B8C33C">
            <w:pPr>
              <w:jc w:val="center"/>
              <w:rPr>
                <w:color w:val="auto"/>
                <w:kern w:val="0"/>
                <w:sz w:val="18"/>
                <w:szCs w:val="18"/>
                <w:highlight w:val="none"/>
              </w:rPr>
            </w:pPr>
            <w:r>
              <w:rPr>
                <w:rFonts w:hint="eastAsia"/>
                <w:color w:val="auto"/>
                <w:kern w:val="0"/>
                <w:sz w:val="18"/>
                <w:szCs w:val="18"/>
                <w:highlight w:val="none"/>
              </w:rPr>
              <w:t>提供相关证明</w:t>
            </w:r>
          </w:p>
        </w:tc>
      </w:tr>
      <w:tr w14:paraId="5832A1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45" w:hRule="atLeast"/>
          <w:jc w:val="center"/>
        </w:trPr>
        <w:tc>
          <w:tcPr>
            <w:tcW w:w="726" w:type="dxa"/>
            <w:vMerge w:val="continue"/>
            <w:tcBorders>
              <w:tl2br w:val="nil"/>
              <w:tr2bl w:val="nil"/>
            </w:tcBorders>
            <w:shd w:val="clear" w:color="auto" w:fill="auto"/>
            <w:vAlign w:val="center"/>
          </w:tcPr>
          <w:p w14:paraId="4C90BB1D">
            <w:pPr>
              <w:jc w:val="center"/>
              <w:rPr>
                <w:color w:val="auto"/>
                <w:kern w:val="0"/>
                <w:sz w:val="18"/>
                <w:szCs w:val="18"/>
              </w:rPr>
            </w:pPr>
          </w:p>
        </w:tc>
        <w:tc>
          <w:tcPr>
            <w:tcW w:w="597" w:type="dxa"/>
            <w:vMerge w:val="continue"/>
            <w:tcBorders>
              <w:tl2br w:val="nil"/>
              <w:tr2bl w:val="nil"/>
            </w:tcBorders>
            <w:shd w:val="clear" w:color="auto" w:fill="auto"/>
            <w:vAlign w:val="center"/>
          </w:tcPr>
          <w:p w14:paraId="676716A8">
            <w:pPr>
              <w:rPr>
                <w:color w:val="auto"/>
                <w:kern w:val="0"/>
                <w:sz w:val="18"/>
                <w:szCs w:val="18"/>
              </w:rPr>
            </w:pPr>
          </w:p>
        </w:tc>
        <w:tc>
          <w:tcPr>
            <w:tcW w:w="849" w:type="dxa"/>
            <w:gridSpan w:val="2"/>
            <w:tcBorders>
              <w:tl2br w:val="nil"/>
              <w:tr2bl w:val="nil"/>
            </w:tcBorders>
            <w:shd w:val="clear" w:color="auto" w:fill="auto"/>
            <w:vAlign w:val="center"/>
          </w:tcPr>
          <w:p w14:paraId="0B251F61">
            <w:pPr>
              <w:jc w:val="center"/>
              <w:rPr>
                <w:color w:val="auto"/>
                <w:kern w:val="0"/>
                <w:sz w:val="18"/>
                <w:szCs w:val="18"/>
              </w:rPr>
            </w:pPr>
            <w:r>
              <w:rPr>
                <w:rFonts w:hint="eastAsia"/>
                <w:color w:val="auto"/>
                <w:kern w:val="0"/>
                <w:sz w:val="18"/>
                <w:szCs w:val="18"/>
              </w:rPr>
              <w:t>管件生产自动化</w:t>
            </w:r>
          </w:p>
        </w:tc>
        <w:tc>
          <w:tcPr>
            <w:tcW w:w="2016" w:type="dxa"/>
            <w:gridSpan w:val="4"/>
            <w:tcBorders>
              <w:tl2br w:val="nil"/>
              <w:tr2bl w:val="nil"/>
            </w:tcBorders>
            <w:shd w:val="clear" w:color="auto" w:fill="auto"/>
            <w:vAlign w:val="center"/>
          </w:tcPr>
          <w:p w14:paraId="78DD240A">
            <w:pPr>
              <w:jc w:val="center"/>
              <w:rPr>
                <w:color w:val="auto"/>
                <w:kern w:val="0"/>
                <w:sz w:val="18"/>
                <w:szCs w:val="18"/>
              </w:rPr>
            </w:pPr>
            <w:r>
              <w:rPr>
                <w:rFonts w:hint="eastAsia"/>
                <w:color w:val="auto"/>
                <w:kern w:val="0"/>
                <w:sz w:val="18"/>
                <w:szCs w:val="18"/>
              </w:rPr>
              <w:t>机械手或机器人使用率</w:t>
            </w:r>
          </w:p>
        </w:tc>
        <w:tc>
          <w:tcPr>
            <w:tcW w:w="872" w:type="dxa"/>
            <w:tcBorders>
              <w:tl2br w:val="nil"/>
              <w:tr2bl w:val="nil"/>
            </w:tcBorders>
            <w:shd w:val="clear" w:color="auto" w:fill="auto"/>
            <w:vAlign w:val="center"/>
          </w:tcPr>
          <w:p w14:paraId="56BC7AE2">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17C315A2">
            <w:pPr>
              <w:jc w:val="center"/>
              <w:rPr>
                <w:color w:val="auto"/>
                <w:kern w:val="0"/>
                <w:sz w:val="18"/>
                <w:szCs w:val="18"/>
              </w:rPr>
            </w:pPr>
            <w:r>
              <w:rPr>
                <w:rFonts w:hint="eastAsia"/>
                <w:color w:val="auto"/>
                <w:kern w:val="0"/>
                <w:sz w:val="18"/>
                <w:szCs w:val="18"/>
              </w:rPr>
              <w:t>≥20%</w:t>
            </w:r>
          </w:p>
        </w:tc>
        <w:tc>
          <w:tcPr>
            <w:tcW w:w="1056" w:type="dxa"/>
            <w:tcBorders>
              <w:tl2br w:val="nil"/>
              <w:tr2bl w:val="nil"/>
            </w:tcBorders>
            <w:shd w:val="clear" w:color="auto" w:fill="auto"/>
            <w:vAlign w:val="center"/>
          </w:tcPr>
          <w:p w14:paraId="3221A00D">
            <w:pPr>
              <w:jc w:val="center"/>
              <w:rPr>
                <w:color w:val="auto"/>
                <w:kern w:val="0"/>
                <w:sz w:val="18"/>
                <w:szCs w:val="18"/>
              </w:rPr>
            </w:pPr>
            <w:r>
              <w:rPr>
                <w:rFonts w:hint="eastAsia"/>
                <w:color w:val="auto"/>
                <w:kern w:val="0"/>
                <w:sz w:val="18"/>
                <w:szCs w:val="18"/>
              </w:rPr>
              <w:t>≥50%</w:t>
            </w:r>
          </w:p>
        </w:tc>
        <w:tc>
          <w:tcPr>
            <w:tcW w:w="1321" w:type="dxa"/>
            <w:tcBorders>
              <w:tl2br w:val="nil"/>
              <w:tr2bl w:val="nil"/>
            </w:tcBorders>
            <w:shd w:val="clear" w:color="auto" w:fill="auto"/>
            <w:vAlign w:val="center"/>
          </w:tcPr>
          <w:p w14:paraId="4F05CF0A">
            <w:pPr>
              <w:jc w:val="center"/>
              <w:rPr>
                <w:color w:val="auto"/>
                <w:kern w:val="0"/>
                <w:sz w:val="18"/>
                <w:szCs w:val="18"/>
              </w:rPr>
            </w:pPr>
            <w:r>
              <w:rPr>
                <w:rFonts w:hint="eastAsia"/>
                <w:color w:val="auto"/>
                <w:kern w:val="0"/>
                <w:sz w:val="18"/>
                <w:szCs w:val="18"/>
              </w:rPr>
              <w:t>≥70%</w:t>
            </w:r>
          </w:p>
        </w:tc>
        <w:tc>
          <w:tcPr>
            <w:tcW w:w="1741" w:type="dxa"/>
            <w:tcBorders>
              <w:tl2br w:val="nil"/>
              <w:tr2bl w:val="nil"/>
            </w:tcBorders>
            <w:shd w:val="clear" w:color="auto" w:fill="auto"/>
            <w:vAlign w:val="center"/>
          </w:tcPr>
          <w:p w14:paraId="2CE494F1">
            <w:pPr>
              <w:jc w:val="center"/>
              <w:rPr>
                <w:color w:val="auto"/>
                <w:kern w:val="0"/>
                <w:sz w:val="18"/>
                <w:szCs w:val="18"/>
              </w:rPr>
            </w:pPr>
            <w:r>
              <w:rPr>
                <w:rFonts w:hint="eastAsia"/>
                <w:color w:val="auto"/>
                <w:kern w:val="0"/>
                <w:sz w:val="18"/>
                <w:szCs w:val="18"/>
              </w:rPr>
              <w:t>提供相关证明</w:t>
            </w:r>
          </w:p>
        </w:tc>
      </w:tr>
      <w:tr w14:paraId="6AD857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4" w:hRule="atLeast"/>
          <w:jc w:val="center"/>
        </w:trPr>
        <w:tc>
          <w:tcPr>
            <w:tcW w:w="726" w:type="dxa"/>
            <w:vMerge w:val="continue"/>
            <w:tcBorders>
              <w:tl2br w:val="nil"/>
              <w:tr2bl w:val="nil"/>
            </w:tcBorders>
            <w:shd w:val="clear" w:color="auto" w:fill="auto"/>
            <w:vAlign w:val="center"/>
          </w:tcPr>
          <w:p w14:paraId="2957EA86">
            <w:pPr>
              <w:jc w:val="center"/>
              <w:rPr>
                <w:color w:val="auto"/>
                <w:kern w:val="0"/>
                <w:sz w:val="18"/>
                <w:szCs w:val="18"/>
              </w:rPr>
            </w:pPr>
          </w:p>
        </w:tc>
        <w:tc>
          <w:tcPr>
            <w:tcW w:w="597" w:type="dxa"/>
            <w:vMerge w:val="restart"/>
            <w:tcBorders>
              <w:tl2br w:val="nil"/>
              <w:tr2bl w:val="nil"/>
            </w:tcBorders>
            <w:shd w:val="clear" w:color="auto" w:fill="auto"/>
            <w:vAlign w:val="center"/>
          </w:tcPr>
          <w:p w14:paraId="2CCCE8E1">
            <w:pPr>
              <w:jc w:val="center"/>
              <w:rPr>
                <w:color w:val="auto"/>
                <w:kern w:val="0"/>
                <w:sz w:val="18"/>
                <w:szCs w:val="18"/>
              </w:rPr>
            </w:pPr>
          </w:p>
          <w:p w14:paraId="4C0EBD2E">
            <w:pPr>
              <w:jc w:val="center"/>
              <w:rPr>
                <w:color w:val="auto"/>
                <w:kern w:val="0"/>
                <w:sz w:val="18"/>
                <w:szCs w:val="18"/>
              </w:rPr>
            </w:pPr>
          </w:p>
          <w:p w14:paraId="6C7C6573">
            <w:pPr>
              <w:jc w:val="center"/>
              <w:rPr>
                <w:color w:val="auto"/>
                <w:kern w:val="0"/>
                <w:sz w:val="18"/>
                <w:szCs w:val="18"/>
              </w:rPr>
            </w:pPr>
            <w:r>
              <w:rPr>
                <w:rFonts w:hint="eastAsia"/>
                <w:color w:val="auto"/>
                <w:kern w:val="0"/>
                <w:sz w:val="18"/>
                <w:szCs w:val="18"/>
              </w:rPr>
              <w:t>安装</w:t>
            </w:r>
          </w:p>
          <w:p w14:paraId="7B4CE183">
            <w:pPr>
              <w:jc w:val="center"/>
              <w:rPr>
                <w:color w:val="auto"/>
                <w:kern w:val="0"/>
                <w:sz w:val="18"/>
                <w:szCs w:val="18"/>
              </w:rPr>
            </w:pPr>
            <w:r>
              <w:rPr>
                <w:rFonts w:hint="eastAsia"/>
                <w:color w:val="auto"/>
                <w:kern w:val="0"/>
                <w:sz w:val="18"/>
                <w:szCs w:val="18"/>
              </w:rPr>
              <w:t>质量</w:t>
            </w:r>
          </w:p>
          <w:p w14:paraId="4F745ECB">
            <w:pPr>
              <w:jc w:val="center"/>
              <w:rPr>
                <w:color w:val="auto"/>
                <w:kern w:val="0"/>
                <w:sz w:val="18"/>
                <w:szCs w:val="18"/>
              </w:rPr>
            </w:pPr>
            <w:r>
              <w:rPr>
                <w:rFonts w:hint="eastAsia"/>
                <w:color w:val="auto"/>
                <w:kern w:val="0"/>
                <w:sz w:val="18"/>
                <w:szCs w:val="18"/>
              </w:rPr>
              <w:t>可控</w:t>
            </w:r>
          </w:p>
        </w:tc>
        <w:tc>
          <w:tcPr>
            <w:tcW w:w="2865" w:type="dxa"/>
            <w:gridSpan w:val="6"/>
            <w:tcBorders>
              <w:tl2br w:val="nil"/>
              <w:tr2bl w:val="nil"/>
            </w:tcBorders>
            <w:shd w:val="clear" w:color="auto" w:fill="auto"/>
            <w:vAlign w:val="center"/>
          </w:tcPr>
          <w:p w14:paraId="3E65637E">
            <w:pPr>
              <w:jc w:val="center"/>
              <w:rPr>
                <w:color w:val="auto"/>
                <w:kern w:val="0"/>
                <w:sz w:val="18"/>
                <w:szCs w:val="18"/>
              </w:rPr>
            </w:pPr>
            <w:r>
              <w:rPr>
                <w:rFonts w:hint="eastAsia"/>
                <w:color w:val="auto"/>
                <w:kern w:val="0"/>
                <w:sz w:val="18"/>
                <w:szCs w:val="18"/>
              </w:rPr>
              <w:t>管配件连接方式</w:t>
            </w:r>
          </w:p>
        </w:tc>
        <w:tc>
          <w:tcPr>
            <w:tcW w:w="872" w:type="dxa"/>
            <w:tcBorders>
              <w:tl2br w:val="nil"/>
              <w:tr2bl w:val="nil"/>
            </w:tcBorders>
            <w:shd w:val="clear" w:color="auto" w:fill="auto"/>
            <w:vAlign w:val="center"/>
          </w:tcPr>
          <w:p w14:paraId="52A6B921">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61191774">
            <w:pPr>
              <w:jc w:val="center"/>
              <w:rPr>
                <w:color w:val="auto"/>
                <w:kern w:val="0"/>
                <w:sz w:val="18"/>
                <w:szCs w:val="18"/>
              </w:rPr>
            </w:pPr>
            <w:r>
              <w:rPr>
                <w:rFonts w:hint="eastAsia"/>
                <w:color w:val="auto"/>
                <w:kern w:val="0"/>
                <w:sz w:val="18"/>
                <w:szCs w:val="18"/>
              </w:rPr>
              <w:t>热熔焊接</w:t>
            </w:r>
          </w:p>
        </w:tc>
        <w:tc>
          <w:tcPr>
            <w:tcW w:w="1056" w:type="dxa"/>
            <w:tcBorders>
              <w:tl2br w:val="nil"/>
              <w:tr2bl w:val="nil"/>
            </w:tcBorders>
            <w:shd w:val="clear" w:color="auto" w:fill="auto"/>
            <w:vAlign w:val="center"/>
          </w:tcPr>
          <w:p w14:paraId="1AA5AFA2">
            <w:pPr>
              <w:jc w:val="center"/>
              <w:rPr>
                <w:color w:val="auto"/>
                <w:kern w:val="0"/>
                <w:sz w:val="18"/>
                <w:szCs w:val="18"/>
              </w:rPr>
            </w:pPr>
            <w:r>
              <w:rPr>
                <w:rFonts w:hint="eastAsia"/>
                <w:color w:val="auto"/>
                <w:kern w:val="0"/>
                <w:sz w:val="18"/>
                <w:szCs w:val="18"/>
              </w:rPr>
              <w:t>固定参数电熔焊接</w:t>
            </w:r>
          </w:p>
        </w:tc>
        <w:tc>
          <w:tcPr>
            <w:tcW w:w="1321" w:type="dxa"/>
            <w:tcBorders>
              <w:tl2br w:val="nil"/>
              <w:tr2bl w:val="nil"/>
            </w:tcBorders>
            <w:shd w:val="clear" w:color="auto" w:fill="auto"/>
            <w:vAlign w:val="center"/>
          </w:tcPr>
          <w:p w14:paraId="614FA24E">
            <w:pPr>
              <w:jc w:val="center"/>
              <w:rPr>
                <w:rFonts w:hint="eastAsia" w:eastAsia="宋体"/>
                <w:color w:val="auto"/>
                <w:kern w:val="0"/>
                <w:sz w:val="18"/>
                <w:szCs w:val="18"/>
                <w:lang w:val="en-US" w:eastAsia="zh-CN"/>
              </w:rPr>
            </w:pPr>
            <w:r>
              <w:rPr>
                <w:rFonts w:hint="eastAsia"/>
                <w:color w:val="auto"/>
                <w:kern w:val="0"/>
                <w:sz w:val="18"/>
                <w:szCs w:val="18"/>
              </w:rPr>
              <w:t>温变</w:t>
            </w:r>
            <w:r>
              <w:rPr>
                <w:rFonts w:hint="eastAsia"/>
                <w:color w:val="auto"/>
                <w:kern w:val="0"/>
                <w:sz w:val="18"/>
                <w:szCs w:val="18"/>
                <w:lang w:val="en-US" w:eastAsia="zh-CN"/>
              </w:rPr>
              <w:t>自适应</w:t>
            </w:r>
          </w:p>
          <w:p w14:paraId="47127CFA">
            <w:pPr>
              <w:jc w:val="center"/>
              <w:rPr>
                <w:color w:val="auto"/>
                <w:kern w:val="0"/>
                <w:sz w:val="18"/>
                <w:szCs w:val="18"/>
              </w:rPr>
            </w:pPr>
            <w:r>
              <w:rPr>
                <w:rFonts w:hint="eastAsia"/>
                <w:color w:val="auto"/>
                <w:kern w:val="0"/>
                <w:sz w:val="18"/>
                <w:szCs w:val="18"/>
              </w:rPr>
              <w:t>电熔焊接</w:t>
            </w:r>
          </w:p>
        </w:tc>
        <w:tc>
          <w:tcPr>
            <w:tcW w:w="1741" w:type="dxa"/>
            <w:tcBorders>
              <w:tl2br w:val="nil"/>
              <w:tr2bl w:val="nil"/>
            </w:tcBorders>
            <w:shd w:val="clear" w:color="auto" w:fill="auto"/>
            <w:vAlign w:val="center"/>
          </w:tcPr>
          <w:p w14:paraId="2B515937">
            <w:pPr>
              <w:jc w:val="center"/>
              <w:rPr>
                <w:color w:val="auto"/>
                <w:kern w:val="0"/>
                <w:sz w:val="18"/>
                <w:szCs w:val="18"/>
              </w:rPr>
            </w:pPr>
            <w:r>
              <w:rPr>
                <w:rFonts w:hint="eastAsia"/>
                <w:color w:val="auto"/>
                <w:kern w:val="0"/>
                <w:sz w:val="18"/>
                <w:szCs w:val="18"/>
              </w:rPr>
              <w:t>提供相关证明</w:t>
            </w:r>
          </w:p>
        </w:tc>
      </w:tr>
      <w:tr w14:paraId="7FF0EB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726" w:type="dxa"/>
            <w:vMerge w:val="continue"/>
            <w:tcBorders>
              <w:tl2br w:val="nil"/>
              <w:tr2bl w:val="nil"/>
            </w:tcBorders>
            <w:shd w:val="clear" w:color="auto" w:fill="auto"/>
            <w:vAlign w:val="center"/>
          </w:tcPr>
          <w:p w14:paraId="088F0B99">
            <w:pPr>
              <w:jc w:val="center"/>
              <w:rPr>
                <w:color w:val="auto"/>
                <w:kern w:val="0"/>
                <w:sz w:val="18"/>
                <w:szCs w:val="18"/>
              </w:rPr>
            </w:pPr>
          </w:p>
        </w:tc>
        <w:tc>
          <w:tcPr>
            <w:tcW w:w="597" w:type="dxa"/>
            <w:vMerge w:val="continue"/>
            <w:tcBorders>
              <w:tl2br w:val="nil"/>
              <w:tr2bl w:val="nil"/>
            </w:tcBorders>
            <w:shd w:val="clear" w:color="auto" w:fill="auto"/>
            <w:vAlign w:val="center"/>
          </w:tcPr>
          <w:p w14:paraId="72BCA9A5">
            <w:pPr>
              <w:rPr>
                <w:color w:val="auto"/>
                <w:kern w:val="0"/>
                <w:sz w:val="18"/>
                <w:szCs w:val="18"/>
              </w:rPr>
            </w:pPr>
          </w:p>
        </w:tc>
        <w:tc>
          <w:tcPr>
            <w:tcW w:w="2865" w:type="dxa"/>
            <w:gridSpan w:val="6"/>
            <w:tcBorders>
              <w:tl2br w:val="nil"/>
              <w:tr2bl w:val="nil"/>
            </w:tcBorders>
            <w:shd w:val="clear" w:color="auto" w:fill="auto"/>
            <w:vAlign w:val="center"/>
          </w:tcPr>
          <w:p w14:paraId="4AC52091">
            <w:pPr>
              <w:jc w:val="center"/>
              <w:rPr>
                <w:color w:val="auto"/>
                <w:kern w:val="0"/>
                <w:sz w:val="18"/>
                <w:szCs w:val="18"/>
              </w:rPr>
            </w:pPr>
            <w:r>
              <w:rPr>
                <w:rFonts w:hint="eastAsia"/>
                <w:color w:val="auto"/>
                <w:kern w:val="0"/>
                <w:sz w:val="18"/>
                <w:szCs w:val="18"/>
              </w:rPr>
              <w:t>安装设备先进性</w:t>
            </w:r>
          </w:p>
        </w:tc>
        <w:tc>
          <w:tcPr>
            <w:tcW w:w="872" w:type="dxa"/>
            <w:tcBorders>
              <w:tl2br w:val="nil"/>
              <w:tr2bl w:val="nil"/>
            </w:tcBorders>
            <w:shd w:val="clear" w:color="auto" w:fill="auto"/>
            <w:vAlign w:val="center"/>
          </w:tcPr>
          <w:p w14:paraId="077F3DCF">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3772ED97">
            <w:pPr>
              <w:jc w:val="center"/>
              <w:rPr>
                <w:color w:val="auto"/>
                <w:kern w:val="0"/>
                <w:sz w:val="18"/>
                <w:szCs w:val="18"/>
              </w:rPr>
            </w:pPr>
            <w:r>
              <w:rPr>
                <w:rFonts w:hint="eastAsia"/>
                <w:color w:val="auto"/>
                <w:kern w:val="0"/>
                <w:sz w:val="18"/>
                <w:szCs w:val="18"/>
              </w:rPr>
              <w:t>手动</w:t>
            </w:r>
          </w:p>
        </w:tc>
        <w:tc>
          <w:tcPr>
            <w:tcW w:w="1056" w:type="dxa"/>
            <w:tcBorders>
              <w:tl2br w:val="nil"/>
              <w:tr2bl w:val="nil"/>
            </w:tcBorders>
            <w:shd w:val="clear" w:color="auto" w:fill="auto"/>
            <w:vAlign w:val="center"/>
          </w:tcPr>
          <w:p w14:paraId="4F1186F5">
            <w:pPr>
              <w:jc w:val="center"/>
              <w:rPr>
                <w:color w:val="auto"/>
                <w:kern w:val="0"/>
                <w:sz w:val="18"/>
                <w:szCs w:val="18"/>
              </w:rPr>
            </w:pPr>
            <w:r>
              <w:rPr>
                <w:rFonts w:hint="eastAsia"/>
                <w:color w:val="auto"/>
                <w:kern w:val="0"/>
                <w:sz w:val="18"/>
                <w:szCs w:val="18"/>
              </w:rPr>
              <w:t>半自动</w:t>
            </w:r>
          </w:p>
        </w:tc>
        <w:tc>
          <w:tcPr>
            <w:tcW w:w="1321" w:type="dxa"/>
            <w:tcBorders>
              <w:tl2br w:val="nil"/>
              <w:tr2bl w:val="nil"/>
            </w:tcBorders>
            <w:shd w:val="clear" w:color="auto" w:fill="auto"/>
            <w:vAlign w:val="center"/>
          </w:tcPr>
          <w:p w14:paraId="6E733B52">
            <w:pPr>
              <w:jc w:val="center"/>
              <w:rPr>
                <w:color w:val="auto"/>
                <w:kern w:val="0"/>
                <w:sz w:val="18"/>
                <w:szCs w:val="18"/>
              </w:rPr>
            </w:pPr>
            <w:r>
              <w:rPr>
                <w:rFonts w:hint="eastAsia"/>
                <w:color w:val="auto"/>
                <w:kern w:val="0"/>
                <w:sz w:val="18"/>
                <w:szCs w:val="18"/>
              </w:rPr>
              <w:t>全自动</w:t>
            </w:r>
          </w:p>
        </w:tc>
        <w:tc>
          <w:tcPr>
            <w:tcW w:w="1741" w:type="dxa"/>
            <w:tcBorders>
              <w:tl2br w:val="nil"/>
              <w:tr2bl w:val="nil"/>
            </w:tcBorders>
            <w:shd w:val="clear" w:color="auto" w:fill="auto"/>
            <w:vAlign w:val="center"/>
          </w:tcPr>
          <w:p w14:paraId="55B79C38">
            <w:pPr>
              <w:jc w:val="center"/>
              <w:rPr>
                <w:color w:val="auto"/>
                <w:kern w:val="0"/>
                <w:sz w:val="18"/>
                <w:szCs w:val="18"/>
              </w:rPr>
            </w:pPr>
            <w:r>
              <w:rPr>
                <w:rFonts w:hint="eastAsia"/>
                <w:color w:val="auto"/>
                <w:kern w:val="0"/>
                <w:sz w:val="18"/>
                <w:szCs w:val="18"/>
              </w:rPr>
              <w:t>提供相关证明</w:t>
            </w:r>
          </w:p>
        </w:tc>
      </w:tr>
      <w:tr w14:paraId="3F5CE8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57" w:hRule="atLeast"/>
          <w:jc w:val="center"/>
        </w:trPr>
        <w:tc>
          <w:tcPr>
            <w:tcW w:w="726" w:type="dxa"/>
            <w:vMerge w:val="continue"/>
            <w:tcBorders>
              <w:tl2br w:val="nil"/>
              <w:tr2bl w:val="nil"/>
            </w:tcBorders>
            <w:shd w:val="clear" w:color="auto" w:fill="auto"/>
            <w:vAlign w:val="center"/>
          </w:tcPr>
          <w:p w14:paraId="588E5C29">
            <w:pPr>
              <w:jc w:val="center"/>
              <w:rPr>
                <w:color w:val="auto"/>
                <w:kern w:val="0"/>
                <w:sz w:val="18"/>
                <w:szCs w:val="18"/>
              </w:rPr>
            </w:pPr>
          </w:p>
        </w:tc>
        <w:tc>
          <w:tcPr>
            <w:tcW w:w="597" w:type="dxa"/>
            <w:vMerge w:val="continue"/>
            <w:tcBorders>
              <w:tl2br w:val="nil"/>
              <w:tr2bl w:val="nil"/>
            </w:tcBorders>
            <w:shd w:val="clear" w:color="auto" w:fill="auto"/>
            <w:vAlign w:val="center"/>
          </w:tcPr>
          <w:p w14:paraId="687264BD">
            <w:pPr>
              <w:rPr>
                <w:color w:val="auto"/>
                <w:kern w:val="0"/>
                <w:sz w:val="18"/>
                <w:szCs w:val="18"/>
              </w:rPr>
            </w:pPr>
          </w:p>
        </w:tc>
        <w:tc>
          <w:tcPr>
            <w:tcW w:w="2865" w:type="dxa"/>
            <w:gridSpan w:val="6"/>
            <w:tcBorders>
              <w:tl2br w:val="nil"/>
              <w:tr2bl w:val="nil"/>
            </w:tcBorders>
            <w:shd w:val="clear" w:color="auto" w:fill="auto"/>
            <w:vAlign w:val="center"/>
          </w:tcPr>
          <w:p w14:paraId="078F8A52">
            <w:pPr>
              <w:jc w:val="center"/>
              <w:rPr>
                <w:color w:val="auto"/>
                <w:kern w:val="0"/>
                <w:sz w:val="18"/>
                <w:szCs w:val="18"/>
              </w:rPr>
            </w:pPr>
            <w:r>
              <w:rPr>
                <w:rFonts w:hint="eastAsia"/>
                <w:color w:val="auto"/>
                <w:kern w:val="0"/>
                <w:sz w:val="18"/>
                <w:szCs w:val="18"/>
              </w:rPr>
              <w:t>售后服务完整</w:t>
            </w:r>
          </w:p>
        </w:tc>
        <w:tc>
          <w:tcPr>
            <w:tcW w:w="872" w:type="dxa"/>
            <w:tcBorders>
              <w:tl2br w:val="nil"/>
              <w:tr2bl w:val="nil"/>
            </w:tcBorders>
            <w:shd w:val="clear" w:color="auto" w:fill="auto"/>
            <w:vAlign w:val="center"/>
          </w:tcPr>
          <w:p w14:paraId="28BA0F3B">
            <w:pPr>
              <w:jc w:val="center"/>
              <w:rPr>
                <w:color w:val="auto"/>
                <w:kern w:val="0"/>
                <w:sz w:val="18"/>
                <w:szCs w:val="18"/>
              </w:rPr>
            </w:pPr>
            <w:r>
              <w:rPr>
                <w:rFonts w:hint="eastAsia"/>
                <w:color w:val="auto"/>
                <w:kern w:val="0"/>
                <w:sz w:val="18"/>
                <w:szCs w:val="18"/>
              </w:rPr>
              <w:t>—</w:t>
            </w:r>
          </w:p>
        </w:tc>
        <w:tc>
          <w:tcPr>
            <w:tcW w:w="2635" w:type="dxa"/>
            <w:gridSpan w:val="2"/>
            <w:tcBorders>
              <w:tl2br w:val="nil"/>
              <w:tr2bl w:val="nil"/>
            </w:tcBorders>
            <w:shd w:val="clear" w:color="auto" w:fill="auto"/>
            <w:vAlign w:val="center"/>
          </w:tcPr>
          <w:p w14:paraId="04E7210E">
            <w:pPr>
              <w:jc w:val="center"/>
              <w:rPr>
                <w:color w:val="auto"/>
                <w:kern w:val="0"/>
                <w:sz w:val="18"/>
                <w:szCs w:val="18"/>
              </w:rPr>
            </w:pPr>
            <w:r>
              <w:rPr>
                <w:rFonts w:hint="eastAsia"/>
                <w:color w:val="auto"/>
                <w:kern w:val="0"/>
                <w:sz w:val="18"/>
                <w:szCs w:val="18"/>
              </w:rPr>
              <w:t>售后团队和</w:t>
            </w:r>
          </w:p>
          <w:p w14:paraId="31EBC8AA">
            <w:pPr>
              <w:jc w:val="center"/>
              <w:rPr>
                <w:color w:val="auto"/>
                <w:kern w:val="0"/>
                <w:sz w:val="18"/>
                <w:szCs w:val="18"/>
              </w:rPr>
            </w:pPr>
            <w:r>
              <w:rPr>
                <w:rFonts w:hint="eastAsia"/>
                <w:color w:val="auto"/>
                <w:kern w:val="0"/>
                <w:sz w:val="18"/>
                <w:szCs w:val="18"/>
              </w:rPr>
              <w:t>作业指导文件</w:t>
            </w:r>
          </w:p>
        </w:tc>
        <w:tc>
          <w:tcPr>
            <w:tcW w:w="1321" w:type="dxa"/>
            <w:tcBorders>
              <w:tl2br w:val="nil"/>
              <w:tr2bl w:val="nil"/>
            </w:tcBorders>
            <w:shd w:val="clear" w:color="auto" w:fill="auto"/>
            <w:vAlign w:val="center"/>
          </w:tcPr>
          <w:p w14:paraId="3D7DEC89">
            <w:pPr>
              <w:rPr>
                <w:color w:val="auto"/>
                <w:kern w:val="0"/>
                <w:sz w:val="18"/>
                <w:szCs w:val="18"/>
              </w:rPr>
            </w:pPr>
            <w:r>
              <w:rPr>
                <w:rFonts w:hint="eastAsia"/>
                <w:color w:val="auto"/>
                <w:kern w:val="0"/>
                <w:sz w:val="18"/>
                <w:szCs w:val="18"/>
              </w:rPr>
              <w:t>售后团队和作业指导文件、远程售后监控</w:t>
            </w:r>
          </w:p>
        </w:tc>
        <w:tc>
          <w:tcPr>
            <w:tcW w:w="1741" w:type="dxa"/>
            <w:tcBorders>
              <w:tl2br w:val="nil"/>
              <w:tr2bl w:val="nil"/>
            </w:tcBorders>
            <w:shd w:val="clear" w:color="auto" w:fill="auto"/>
            <w:vAlign w:val="center"/>
          </w:tcPr>
          <w:p w14:paraId="22E82840">
            <w:pPr>
              <w:jc w:val="center"/>
              <w:rPr>
                <w:color w:val="auto"/>
                <w:kern w:val="0"/>
                <w:sz w:val="18"/>
                <w:szCs w:val="18"/>
              </w:rPr>
            </w:pPr>
            <w:r>
              <w:rPr>
                <w:rFonts w:hint="eastAsia"/>
                <w:color w:val="auto"/>
                <w:kern w:val="0"/>
                <w:sz w:val="18"/>
                <w:szCs w:val="18"/>
              </w:rPr>
              <w:t>提供相关证明</w:t>
            </w:r>
          </w:p>
        </w:tc>
      </w:tr>
      <w:tr w14:paraId="590DE2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569" w:hRule="atLeast"/>
          <w:jc w:val="center"/>
        </w:trPr>
        <w:tc>
          <w:tcPr>
            <w:tcW w:w="726" w:type="dxa"/>
            <w:vMerge w:val="continue"/>
            <w:tcBorders>
              <w:tl2br w:val="nil"/>
              <w:tr2bl w:val="nil"/>
            </w:tcBorders>
            <w:shd w:val="clear" w:color="auto" w:fill="auto"/>
            <w:vAlign w:val="center"/>
          </w:tcPr>
          <w:p w14:paraId="6A62B4D5">
            <w:pPr>
              <w:jc w:val="center"/>
              <w:rPr>
                <w:color w:val="auto"/>
                <w:kern w:val="0"/>
                <w:sz w:val="18"/>
                <w:szCs w:val="18"/>
              </w:rPr>
            </w:pPr>
          </w:p>
        </w:tc>
        <w:tc>
          <w:tcPr>
            <w:tcW w:w="597" w:type="dxa"/>
            <w:vMerge w:val="continue"/>
            <w:tcBorders>
              <w:tl2br w:val="nil"/>
              <w:tr2bl w:val="nil"/>
            </w:tcBorders>
            <w:shd w:val="clear" w:color="auto" w:fill="auto"/>
            <w:vAlign w:val="center"/>
          </w:tcPr>
          <w:p w14:paraId="67C02C70">
            <w:pPr>
              <w:rPr>
                <w:color w:val="auto"/>
                <w:kern w:val="0"/>
                <w:sz w:val="18"/>
                <w:szCs w:val="18"/>
              </w:rPr>
            </w:pPr>
          </w:p>
        </w:tc>
        <w:tc>
          <w:tcPr>
            <w:tcW w:w="2865" w:type="dxa"/>
            <w:gridSpan w:val="6"/>
            <w:tcBorders>
              <w:tl2br w:val="nil"/>
              <w:tr2bl w:val="nil"/>
            </w:tcBorders>
            <w:shd w:val="clear" w:color="auto" w:fill="auto"/>
            <w:vAlign w:val="center"/>
          </w:tcPr>
          <w:p w14:paraId="5275B574">
            <w:pPr>
              <w:jc w:val="center"/>
              <w:rPr>
                <w:color w:val="auto"/>
                <w:kern w:val="0"/>
                <w:sz w:val="18"/>
                <w:szCs w:val="18"/>
              </w:rPr>
            </w:pPr>
            <w:r>
              <w:rPr>
                <w:rFonts w:hint="eastAsia"/>
                <w:color w:val="auto"/>
                <w:kern w:val="0"/>
                <w:sz w:val="18"/>
                <w:szCs w:val="18"/>
              </w:rPr>
              <w:t>应用技术文件</w:t>
            </w:r>
          </w:p>
        </w:tc>
        <w:tc>
          <w:tcPr>
            <w:tcW w:w="872" w:type="dxa"/>
            <w:tcBorders>
              <w:tl2br w:val="nil"/>
              <w:tr2bl w:val="nil"/>
            </w:tcBorders>
            <w:shd w:val="clear" w:color="auto" w:fill="auto"/>
            <w:vAlign w:val="center"/>
          </w:tcPr>
          <w:p w14:paraId="08BF0B25">
            <w:pPr>
              <w:jc w:val="center"/>
              <w:rPr>
                <w:color w:val="auto"/>
                <w:kern w:val="0"/>
                <w:sz w:val="18"/>
                <w:szCs w:val="18"/>
              </w:rPr>
            </w:pPr>
            <w:r>
              <w:rPr>
                <w:rFonts w:hint="eastAsia"/>
                <w:color w:val="auto"/>
                <w:kern w:val="0"/>
                <w:sz w:val="18"/>
                <w:szCs w:val="18"/>
              </w:rPr>
              <w:t>—</w:t>
            </w:r>
          </w:p>
        </w:tc>
        <w:tc>
          <w:tcPr>
            <w:tcW w:w="1579" w:type="dxa"/>
            <w:tcBorders>
              <w:tl2br w:val="nil"/>
              <w:tr2bl w:val="nil"/>
            </w:tcBorders>
            <w:shd w:val="clear" w:color="auto" w:fill="auto"/>
            <w:vAlign w:val="center"/>
          </w:tcPr>
          <w:p w14:paraId="241B426A">
            <w:pPr>
              <w:jc w:val="center"/>
              <w:rPr>
                <w:color w:val="auto"/>
                <w:kern w:val="0"/>
                <w:sz w:val="18"/>
                <w:szCs w:val="18"/>
              </w:rPr>
            </w:pPr>
            <w:r>
              <w:rPr>
                <w:rFonts w:hint="eastAsia"/>
                <w:color w:val="auto"/>
                <w:kern w:val="0"/>
                <w:sz w:val="18"/>
                <w:szCs w:val="18"/>
              </w:rPr>
              <w:t>提供工艺参数</w:t>
            </w:r>
          </w:p>
        </w:tc>
        <w:tc>
          <w:tcPr>
            <w:tcW w:w="1056" w:type="dxa"/>
            <w:tcBorders>
              <w:tl2br w:val="nil"/>
              <w:tr2bl w:val="nil"/>
            </w:tcBorders>
            <w:shd w:val="clear" w:color="auto" w:fill="auto"/>
            <w:vAlign w:val="center"/>
          </w:tcPr>
          <w:p w14:paraId="44CFAA49">
            <w:pPr>
              <w:jc w:val="center"/>
              <w:rPr>
                <w:color w:val="auto"/>
                <w:kern w:val="0"/>
                <w:sz w:val="18"/>
                <w:szCs w:val="18"/>
              </w:rPr>
            </w:pPr>
            <w:r>
              <w:rPr>
                <w:rFonts w:hint="eastAsia"/>
                <w:color w:val="auto"/>
                <w:kern w:val="0"/>
                <w:sz w:val="18"/>
                <w:szCs w:val="18"/>
              </w:rPr>
              <w:t>提供连接工艺参数和配套连接设备</w:t>
            </w:r>
          </w:p>
        </w:tc>
        <w:tc>
          <w:tcPr>
            <w:tcW w:w="1321" w:type="dxa"/>
            <w:tcBorders>
              <w:tl2br w:val="nil"/>
              <w:tr2bl w:val="nil"/>
            </w:tcBorders>
            <w:shd w:val="clear" w:color="auto" w:fill="auto"/>
            <w:vAlign w:val="center"/>
          </w:tcPr>
          <w:p w14:paraId="6DC47AD3">
            <w:pPr>
              <w:jc w:val="center"/>
              <w:rPr>
                <w:color w:val="auto"/>
                <w:kern w:val="0"/>
                <w:sz w:val="18"/>
                <w:szCs w:val="18"/>
              </w:rPr>
            </w:pPr>
            <w:r>
              <w:rPr>
                <w:rFonts w:hint="eastAsia"/>
                <w:color w:val="auto"/>
                <w:kern w:val="0"/>
                <w:sz w:val="18"/>
                <w:szCs w:val="18"/>
              </w:rPr>
              <w:t>提供连接工艺参数、配套连接设备、温变恒能电熔焊接</w:t>
            </w:r>
          </w:p>
        </w:tc>
        <w:tc>
          <w:tcPr>
            <w:tcW w:w="1741" w:type="dxa"/>
            <w:tcBorders>
              <w:tl2br w:val="nil"/>
              <w:tr2bl w:val="nil"/>
            </w:tcBorders>
            <w:shd w:val="clear" w:color="auto" w:fill="auto"/>
            <w:vAlign w:val="center"/>
          </w:tcPr>
          <w:p w14:paraId="25A8D55C">
            <w:pPr>
              <w:jc w:val="center"/>
              <w:rPr>
                <w:color w:val="auto"/>
                <w:kern w:val="0"/>
                <w:sz w:val="18"/>
                <w:szCs w:val="18"/>
              </w:rPr>
            </w:pPr>
            <w:r>
              <w:rPr>
                <w:rFonts w:hint="eastAsia"/>
                <w:color w:val="auto"/>
                <w:kern w:val="0"/>
                <w:sz w:val="18"/>
                <w:szCs w:val="18"/>
              </w:rPr>
              <w:t>提供相关证明</w:t>
            </w:r>
          </w:p>
        </w:tc>
      </w:tr>
      <w:tr w14:paraId="1CBF0D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2" w:hRule="atLeast"/>
          <w:jc w:val="center"/>
        </w:trPr>
        <w:tc>
          <w:tcPr>
            <w:tcW w:w="10757" w:type="dxa"/>
            <w:gridSpan w:val="13"/>
            <w:tcBorders>
              <w:tl2br w:val="nil"/>
              <w:tr2bl w:val="nil"/>
            </w:tcBorders>
            <w:shd w:val="clear" w:color="auto" w:fill="auto"/>
            <w:vAlign w:val="center"/>
          </w:tcPr>
          <w:p w14:paraId="49C74A9D">
            <w:pPr>
              <w:pStyle w:val="151"/>
              <w:numPr>
                <w:ilvl w:val="0"/>
                <w:numId w:val="18"/>
              </w:numPr>
              <w:ind w:firstLineChars="0"/>
              <w:jc w:val="left"/>
              <w:rPr>
                <w:color w:val="auto"/>
                <w:kern w:val="0"/>
                <w:sz w:val="18"/>
                <w:szCs w:val="18"/>
              </w:rPr>
            </w:pPr>
            <w:r>
              <w:rPr>
                <w:rFonts w:hint="eastAsia"/>
                <w:color w:val="auto"/>
                <w:kern w:val="0"/>
                <w:sz w:val="18"/>
                <w:szCs w:val="18"/>
              </w:rPr>
              <w:t>本文件适用于铝合金衬塑（PE-RT、PP-R）复合管材与管件的绿色建材评价</w:t>
            </w:r>
          </w:p>
        </w:tc>
      </w:tr>
    </w:tbl>
    <w:p w14:paraId="68744E11">
      <w:pPr>
        <w:tabs>
          <w:tab w:val="left" w:pos="4965"/>
        </w:tabs>
        <w:rPr>
          <w:color w:val="auto"/>
        </w:rPr>
      </w:pPr>
    </w:p>
    <w:p w14:paraId="50E3D916">
      <w:pPr>
        <w:pStyle w:val="77"/>
        <w:numPr>
          <w:ilvl w:val="0"/>
          <w:numId w:val="17"/>
        </w:numPr>
        <w:spacing w:before="312" w:after="312"/>
        <w:rPr>
          <w:color w:val="auto"/>
        </w:rPr>
      </w:pPr>
      <w:bookmarkStart w:id="79" w:name="_Toc532820832"/>
      <w:bookmarkStart w:id="80" w:name="_Toc532820960"/>
      <w:r>
        <w:rPr>
          <w:rFonts w:hint="eastAsia"/>
          <w:color w:val="auto"/>
        </w:rPr>
        <w:t>评价方法</w:t>
      </w:r>
      <w:bookmarkEnd w:id="79"/>
      <w:bookmarkEnd w:id="80"/>
    </w:p>
    <w:p w14:paraId="500C04F2">
      <w:pPr>
        <w:pStyle w:val="63"/>
        <w:numPr>
          <w:ilvl w:val="1"/>
          <w:numId w:val="17"/>
        </w:numPr>
        <w:spacing w:before="156" w:after="156"/>
        <w:rPr>
          <w:rFonts w:ascii="Times New Roman" w:eastAsia="宋体"/>
          <w:color w:val="auto"/>
        </w:rPr>
      </w:pPr>
      <w:bookmarkStart w:id="81" w:name="_Toc140158799"/>
      <w:r>
        <w:rPr>
          <w:rFonts w:hint="eastAsia" w:ascii="Times New Roman" w:eastAsia="宋体"/>
          <w:color w:val="auto"/>
          <w:szCs w:val="20"/>
        </w:rPr>
        <w:t>生产企业满足第4章对应评价等级的全部要求时，判定评价结果符合该评价等级规定。</w:t>
      </w:r>
      <w:bookmarkEnd w:id="81"/>
    </w:p>
    <w:p w14:paraId="78269D97">
      <w:pPr>
        <w:pStyle w:val="63"/>
        <w:numPr>
          <w:ilvl w:val="0"/>
          <w:numId w:val="0"/>
        </w:numPr>
        <w:spacing w:before="156" w:after="156"/>
        <w:rPr>
          <w:rFonts w:ascii="Times New Roman" w:eastAsia="宋体"/>
          <w:color w:val="auto"/>
          <w:szCs w:val="20"/>
        </w:rPr>
      </w:pPr>
      <w:bookmarkStart w:id="82" w:name="_Toc532820967"/>
      <w:bookmarkEnd w:id="82"/>
      <w:bookmarkStart w:id="83" w:name="_Toc532820968"/>
      <w:bookmarkEnd w:id="83"/>
      <w:bookmarkStart w:id="84" w:name="_Toc532820839"/>
      <w:bookmarkEnd w:id="84"/>
      <w:bookmarkStart w:id="85" w:name="_Toc532820840"/>
      <w:bookmarkEnd w:id="85"/>
      <w:bookmarkStart w:id="86" w:name="_Toc140158800"/>
      <w:r>
        <w:rPr>
          <w:rFonts w:hint="eastAsia" w:ascii="Times New Roman" w:eastAsia="宋体"/>
          <w:color w:val="auto"/>
          <w:szCs w:val="20"/>
        </w:rPr>
        <w:t>5</w:t>
      </w:r>
      <w:r>
        <w:rPr>
          <w:rFonts w:ascii="Times New Roman" w:eastAsia="宋体"/>
          <w:color w:val="auto"/>
          <w:szCs w:val="20"/>
        </w:rPr>
        <w:t xml:space="preserve">.2  </w:t>
      </w:r>
      <w:r>
        <w:rPr>
          <w:rFonts w:hint="eastAsia" w:ascii="Times New Roman" w:eastAsia="宋体"/>
          <w:color w:val="auto"/>
          <w:szCs w:val="20"/>
        </w:rPr>
        <w:t>生产企业应按第4章的规定提供相关证明文件。</w:t>
      </w:r>
      <w:bookmarkEnd w:id="86"/>
    </w:p>
    <w:p w14:paraId="7C789659">
      <w:pPr>
        <w:widowControl/>
        <w:jc w:val="left"/>
        <w:rPr>
          <w:rFonts w:ascii="宋体"/>
          <w:color w:val="auto"/>
          <w:kern w:val="0"/>
          <w:szCs w:val="20"/>
        </w:rPr>
      </w:pPr>
      <w:r>
        <w:rPr>
          <w:color w:val="auto"/>
        </w:rPr>
        <w:br w:type="page"/>
      </w:r>
    </w:p>
    <w:p w14:paraId="392CD522">
      <w:pPr>
        <w:pStyle w:val="67"/>
        <w:numPr>
          <w:ilvl w:val="0"/>
          <w:numId w:val="0"/>
        </w:numPr>
        <w:wordWrap/>
        <w:spacing w:beforeLines="0" w:afterLines="0"/>
        <w:jc w:val="center"/>
        <w:outlineLvl w:val="0"/>
        <w:rPr>
          <w:rFonts w:hint="eastAsia" w:hAnsi="黑体"/>
          <w:color w:val="auto"/>
        </w:rPr>
      </w:pPr>
      <w:bookmarkStart w:id="87" w:name="_Toc130481734"/>
      <w:bookmarkStart w:id="88" w:name="_Toc496798699"/>
      <w:bookmarkStart w:id="89" w:name="_Toc456611294"/>
      <w:bookmarkStart w:id="90" w:name="_Toc459106424"/>
      <w:r>
        <w:rPr>
          <w:rFonts w:hint="eastAsia" w:hAnsi="黑体"/>
          <w:color w:val="auto"/>
        </w:rPr>
        <w:t xml:space="preserve">附 录 </w:t>
      </w:r>
      <w:bookmarkEnd w:id="87"/>
      <w:r>
        <w:rPr>
          <w:rFonts w:hint="eastAsia" w:hAnsi="黑体"/>
          <w:color w:val="auto"/>
        </w:rPr>
        <w:t>A</w:t>
      </w:r>
    </w:p>
    <w:p w14:paraId="07F95C7C">
      <w:pPr>
        <w:pStyle w:val="25"/>
        <w:ind w:firstLine="0" w:firstLineChars="0"/>
        <w:jc w:val="center"/>
        <w:rPr>
          <w:rFonts w:hint="eastAsia" w:ascii="黑体" w:hAnsi="黑体" w:eastAsia="黑体"/>
          <w:color w:val="auto"/>
        </w:rPr>
      </w:pPr>
      <w:r>
        <w:rPr>
          <w:rFonts w:hint="eastAsia" w:ascii="黑体" w:hAnsi="黑体" w:eastAsia="黑体"/>
          <w:color w:val="auto"/>
        </w:rPr>
        <w:t>（规范性）</w:t>
      </w:r>
    </w:p>
    <w:p w14:paraId="045DC071">
      <w:pPr>
        <w:pStyle w:val="25"/>
        <w:ind w:firstLine="0" w:firstLineChars="0"/>
        <w:jc w:val="center"/>
        <w:outlineLvl w:val="0"/>
        <w:rPr>
          <w:rFonts w:hint="eastAsia" w:ascii="黑体" w:hAnsi="黑体" w:eastAsia="黑体"/>
          <w:color w:val="auto"/>
        </w:rPr>
      </w:pPr>
      <w:r>
        <w:rPr>
          <w:rFonts w:hint="eastAsia" w:ascii="黑体" w:hAnsi="黑体" w:eastAsia="黑体"/>
          <w:color w:val="auto"/>
        </w:rPr>
        <w:t>计算方法</w:t>
      </w:r>
    </w:p>
    <w:p w14:paraId="1BAC55CB">
      <w:pPr>
        <w:pStyle w:val="67"/>
        <w:numPr>
          <w:ilvl w:val="0"/>
          <w:numId w:val="0"/>
        </w:numPr>
        <w:spacing w:before="312" w:after="312"/>
        <w:outlineLvl w:val="9"/>
        <w:rPr>
          <w:rFonts w:ascii="Times New Roman"/>
          <w:color w:val="auto"/>
        </w:rPr>
      </w:pPr>
      <w:r>
        <w:rPr>
          <w:rFonts w:hint="eastAsia" w:ascii="Times New Roman"/>
          <w:color w:val="auto"/>
        </w:rPr>
        <w:t>A.1  铝合金衬塑复合管材或管件生产过程产生固体废弃物利用率</w:t>
      </w:r>
    </w:p>
    <w:p w14:paraId="3D63FCB3">
      <w:pPr>
        <w:widowControl/>
        <w:tabs>
          <w:tab w:val="center" w:pos="4201"/>
          <w:tab w:val="right" w:leader="dot" w:pos="9298"/>
        </w:tabs>
        <w:autoSpaceDE w:val="0"/>
        <w:autoSpaceDN w:val="0"/>
        <w:ind w:firstLine="420" w:firstLineChars="200"/>
        <w:rPr>
          <w:color w:val="auto"/>
          <w:kern w:val="0"/>
          <w:szCs w:val="20"/>
        </w:rPr>
      </w:pPr>
      <w:r>
        <w:rPr>
          <w:color w:val="auto"/>
          <w:kern w:val="0"/>
          <w:szCs w:val="20"/>
        </w:rPr>
        <w:t>生产过程中产生固体废弃物利用率是评价期内回收再利用的固体废弃物量占评价期生产产生的固体废弃物总量的百分比，生产过程产生固体废弃物利用率按式（A.</w:t>
      </w:r>
      <w:r>
        <w:rPr>
          <w:rFonts w:hint="eastAsia"/>
          <w:color w:val="auto"/>
          <w:kern w:val="0"/>
          <w:szCs w:val="20"/>
        </w:rPr>
        <w:t>1</w:t>
      </w:r>
      <w:r>
        <w:rPr>
          <w:color w:val="auto"/>
          <w:kern w:val="0"/>
          <w:szCs w:val="20"/>
        </w:rPr>
        <w:t>）计算：</w:t>
      </w:r>
    </w:p>
    <w:p w14:paraId="3FE24275">
      <w:pPr>
        <w:widowControl/>
        <w:tabs>
          <w:tab w:val="center" w:pos="4201"/>
          <w:tab w:val="right" w:leader="dot" w:pos="9298"/>
        </w:tabs>
        <w:autoSpaceDE w:val="0"/>
        <w:autoSpaceDN w:val="0"/>
        <w:ind w:firstLine="420" w:firstLineChars="200"/>
        <w:rPr>
          <w:color w:val="auto"/>
          <w:kern w:val="0"/>
          <w:szCs w:val="20"/>
        </w:rPr>
      </w:pPr>
      <w:r>
        <w:rPr>
          <w:color w:val="auto"/>
          <w:kern w:val="0"/>
          <w:szCs w:val="20"/>
        </w:rPr>
        <w:tab/>
      </w:r>
      <w:r>
        <w:rPr>
          <w:color w:val="auto"/>
          <w:kern w:val="0"/>
          <w:position w:val="-30"/>
          <w:szCs w:val="20"/>
        </w:rPr>
        <w:object>
          <v:shape id="_x0000_i1025" o:spt="75" type="#_x0000_t75" style="height:36pt;width:81.5pt;" o:ole="t" filled="f" o:preferrelative="t" stroked="f" coordsize="21600,21600">
            <v:path/>
            <v:fill on="f" focussize="0,0"/>
            <v:stroke on="f" joinstyle="miter"/>
            <v:imagedata r:id="rId9" o:title=""/>
            <o:lock v:ext="edit" aspectratio="t"/>
            <w10:wrap type="none"/>
            <w10:anchorlock/>
          </v:shape>
          <o:OLEObject Type="Embed" ProgID="Equation.3" ShapeID="_x0000_i1025" DrawAspect="Content" ObjectID="_1468075725" r:id="rId8">
            <o:LockedField>false</o:LockedField>
          </o:OLEObject>
        </w:object>
      </w:r>
      <w:r>
        <w:rPr>
          <w:color w:val="auto"/>
          <w:kern w:val="0"/>
          <w:szCs w:val="20"/>
        </w:rPr>
        <w:tab/>
      </w:r>
      <w:r>
        <w:rPr>
          <w:color w:val="auto"/>
          <w:kern w:val="0"/>
          <w:szCs w:val="20"/>
        </w:rPr>
        <w:t>（A.</w:t>
      </w:r>
      <w:r>
        <w:rPr>
          <w:rFonts w:hint="eastAsia"/>
          <w:color w:val="auto"/>
          <w:kern w:val="0"/>
          <w:szCs w:val="20"/>
        </w:rPr>
        <w:t>1</w:t>
      </w:r>
      <w:r>
        <w:rPr>
          <w:color w:val="auto"/>
          <w:kern w:val="0"/>
          <w:szCs w:val="20"/>
        </w:rPr>
        <w:t>）</w:t>
      </w:r>
    </w:p>
    <w:p w14:paraId="661C5DC4">
      <w:pPr>
        <w:widowControl/>
        <w:tabs>
          <w:tab w:val="center" w:pos="4201"/>
          <w:tab w:val="right" w:leader="dot" w:pos="9298"/>
        </w:tabs>
        <w:autoSpaceDE w:val="0"/>
        <w:autoSpaceDN w:val="0"/>
        <w:ind w:firstLine="420" w:firstLineChars="200"/>
        <w:rPr>
          <w:color w:val="auto"/>
          <w:kern w:val="0"/>
          <w:szCs w:val="20"/>
        </w:rPr>
      </w:pPr>
      <w:r>
        <w:rPr>
          <w:color w:val="auto"/>
          <w:kern w:val="0"/>
          <w:szCs w:val="20"/>
        </w:rPr>
        <w:t>式中：</w:t>
      </w:r>
    </w:p>
    <w:p w14:paraId="69460B2E">
      <w:pPr>
        <w:widowControl/>
        <w:tabs>
          <w:tab w:val="center" w:pos="4201"/>
          <w:tab w:val="right" w:leader="dot" w:pos="9298"/>
        </w:tabs>
        <w:autoSpaceDE w:val="0"/>
        <w:autoSpaceDN w:val="0"/>
        <w:ind w:firstLine="420" w:firstLineChars="200"/>
        <w:rPr>
          <w:color w:val="auto"/>
          <w:kern w:val="0"/>
          <w:szCs w:val="20"/>
        </w:rPr>
      </w:pPr>
      <w:r>
        <w:rPr>
          <w:i/>
          <w:color w:val="auto"/>
          <w:kern w:val="0"/>
          <w:szCs w:val="20"/>
        </w:rPr>
        <w:t>P</w:t>
      </w:r>
      <w:r>
        <w:rPr>
          <w:i/>
          <w:color w:val="auto"/>
          <w:kern w:val="0"/>
          <w:szCs w:val="20"/>
          <w:vertAlign w:val="subscript"/>
        </w:rPr>
        <w:t>j</w:t>
      </w:r>
      <w:r>
        <w:rPr>
          <w:color w:val="auto"/>
          <w:kern w:val="0"/>
          <w:szCs w:val="20"/>
        </w:rPr>
        <w:t xml:space="preserve"> ——生产过程产生固体废弃物利用率；</w:t>
      </w:r>
    </w:p>
    <w:p w14:paraId="3F27E1E4">
      <w:pPr>
        <w:widowControl/>
        <w:tabs>
          <w:tab w:val="center" w:pos="4201"/>
          <w:tab w:val="right" w:leader="dot" w:pos="9298"/>
        </w:tabs>
        <w:autoSpaceDE w:val="0"/>
        <w:autoSpaceDN w:val="0"/>
        <w:ind w:firstLine="420" w:firstLineChars="200"/>
        <w:rPr>
          <w:color w:val="auto"/>
          <w:kern w:val="0"/>
          <w:szCs w:val="20"/>
        </w:rPr>
      </w:pPr>
      <w:r>
        <w:rPr>
          <w:i/>
          <w:color w:val="auto"/>
          <w:kern w:val="0"/>
          <w:szCs w:val="20"/>
        </w:rPr>
        <w:t>M</w:t>
      </w:r>
      <w:r>
        <w:rPr>
          <w:i/>
          <w:color w:val="auto"/>
          <w:kern w:val="0"/>
          <w:szCs w:val="20"/>
          <w:vertAlign w:val="subscript"/>
        </w:rPr>
        <w:t>j</w:t>
      </w:r>
      <w:r>
        <w:rPr>
          <w:i/>
          <w:color w:val="auto"/>
          <w:kern w:val="0"/>
          <w:szCs w:val="20"/>
        </w:rPr>
        <w:t xml:space="preserve"> </w:t>
      </w:r>
      <w:r>
        <w:rPr>
          <w:color w:val="auto"/>
          <w:kern w:val="0"/>
          <w:szCs w:val="20"/>
        </w:rPr>
        <w:t>——评价期内回收再利用的固体废弃物量，单位为千克（kg）；</w:t>
      </w:r>
    </w:p>
    <w:p w14:paraId="7811BD2B">
      <w:pPr>
        <w:widowControl/>
        <w:tabs>
          <w:tab w:val="center" w:pos="4201"/>
          <w:tab w:val="right" w:leader="dot" w:pos="9298"/>
        </w:tabs>
        <w:autoSpaceDE w:val="0"/>
        <w:autoSpaceDN w:val="0"/>
        <w:ind w:firstLine="420" w:firstLineChars="200"/>
        <w:rPr>
          <w:color w:val="auto"/>
          <w:kern w:val="0"/>
          <w:szCs w:val="20"/>
        </w:rPr>
      </w:pPr>
      <w:r>
        <w:rPr>
          <w:i/>
          <w:color w:val="auto"/>
          <w:kern w:val="0"/>
          <w:szCs w:val="20"/>
        </w:rPr>
        <w:t>M</w:t>
      </w:r>
      <w:r>
        <w:rPr>
          <w:i/>
          <w:color w:val="auto"/>
          <w:kern w:val="0"/>
          <w:szCs w:val="20"/>
          <w:vertAlign w:val="subscript"/>
        </w:rPr>
        <w:t>c</w:t>
      </w:r>
      <w:r>
        <w:rPr>
          <w:color w:val="auto"/>
          <w:kern w:val="0"/>
          <w:szCs w:val="20"/>
        </w:rPr>
        <w:t xml:space="preserve"> ——评价期生产产生的固体废弃物总量，单位为千克（kg）。</w:t>
      </w:r>
    </w:p>
    <w:p w14:paraId="5B93168D">
      <w:pPr>
        <w:widowControl/>
        <w:tabs>
          <w:tab w:val="center" w:pos="4201"/>
          <w:tab w:val="right" w:leader="dot" w:pos="9298"/>
        </w:tabs>
        <w:autoSpaceDE w:val="0"/>
        <w:autoSpaceDN w:val="0"/>
        <w:ind w:firstLine="420" w:firstLineChars="200"/>
        <w:rPr>
          <w:color w:val="auto"/>
          <w:kern w:val="0"/>
          <w:szCs w:val="20"/>
        </w:rPr>
      </w:pPr>
    </w:p>
    <w:p w14:paraId="34D509D9">
      <w:pPr>
        <w:widowControl/>
        <w:tabs>
          <w:tab w:val="center" w:pos="4201"/>
          <w:tab w:val="right" w:leader="dot" w:pos="9298"/>
        </w:tabs>
        <w:autoSpaceDE w:val="0"/>
        <w:autoSpaceDN w:val="0"/>
        <w:ind w:firstLine="420" w:firstLineChars="200"/>
        <w:rPr>
          <w:color w:val="auto"/>
          <w:kern w:val="0"/>
          <w:szCs w:val="20"/>
        </w:rPr>
      </w:pPr>
    </w:p>
    <w:p w14:paraId="6BE78F83">
      <w:pPr>
        <w:pStyle w:val="67"/>
        <w:numPr>
          <w:ilvl w:val="0"/>
          <w:numId w:val="0"/>
        </w:numPr>
        <w:spacing w:before="312" w:after="312"/>
        <w:rPr>
          <w:rFonts w:ascii="Times New Roman"/>
          <w:color w:val="auto"/>
        </w:rPr>
      </w:pPr>
      <w:r>
        <w:rPr>
          <w:rFonts w:hint="eastAsia" w:ascii="Times New Roman"/>
          <w:color w:val="auto"/>
        </w:rPr>
        <w:t xml:space="preserve">A.2  </w:t>
      </w:r>
      <w:r>
        <w:rPr>
          <w:rFonts w:ascii="Times New Roman"/>
          <w:color w:val="auto"/>
        </w:rPr>
        <w:t>综合成材率</w:t>
      </w:r>
    </w:p>
    <w:p w14:paraId="2D7991F2">
      <w:pPr>
        <w:widowControl/>
        <w:tabs>
          <w:tab w:val="center" w:pos="4201"/>
          <w:tab w:val="right" w:leader="dot" w:pos="9298"/>
        </w:tabs>
        <w:autoSpaceDE w:val="0"/>
        <w:autoSpaceDN w:val="0"/>
        <w:ind w:firstLine="420" w:firstLineChars="200"/>
        <w:rPr>
          <w:color w:val="auto"/>
          <w:kern w:val="0"/>
          <w:szCs w:val="20"/>
        </w:rPr>
      </w:pPr>
      <w:r>
        <w:rPr>
          <w:color w:val="auto"/>
          <w:kern w:val="0"/>
          <w:szCs w:val="20"/>
        </w:rPr>
        <w:t>综合成材率是评价期内管材或管件生产量占评价期内消耗量的百分比，总合成材率按式（A.</w:t>
      </w:r>
      <w:r>
        <w:rPr>
          <w:rFonts w:hint="eastAsia"/>
          <w:color w:val="auto"/>
          <w:kern w:val="0"/>
          <w:szCs w:val="20"/>
        </w:rPr>
        <w:t>2</w:t>
      </w:r>
      <w:r>
        <w:rPr>
          <w:color w:val="auto"/>
          <w:kern w:val="0"/>
          <w:szCs w:val="20"/>
        </w:rPr>
        <w:t>）计算：</w:t>
      </w:r>
    </w:p>
    <w:p w14:paraId="2BE0C669">
      <w:pPr>
        <w:widowControl/>
        <w:tabs>
          <w:tab w:val="center" w:pos="4201"/>
          <w:tab w:val="right" w:leader="dot" w:pos="9298"/>
        </w:tabs>
        <w:autoSpaceDE w:val="0"/>
        <w:autoSpaceDN w:val="0"/>
        <w:spacing w:before="156" w:after="156"/>
        <w:rPr>
          <w:color w:val="auto"/>
          <w:kern w:val="0"/>
          <w:szCs w:val="20"/>
        </w:rPr>
      </w:pPr>
      <w:r>
        <w:rPr>
          <w:color w:val="auto"/>
          <w:kern w:val="0"/>
          <w:szCs w:val="20"/>
        </w:rPr>
        <w:drawing>
          <wp:anchor distT="0" distB="0" distL="114300" distR="114300" simplePos="0" relativeHeight="251659264" behindDoc="0" locked="0" layoutInCell="1" allowOverlap="1">
            <wp:simplePos x="0" y="0"/>
            <wp:positionH relativeFrom="column">
              <wp:posOffset>1757045</wp:posOffset>
            </wp:positionH>
            <wp:positionV relativeFrom="paragraph">
              <wp:posOffset>1905</wp:posOffset>
            </wp:positionV>
            <wp:extent cx="1009650" cy="457200"/>
            <wp:effectExtent l="0" t="0" r="0" b="0"/>
            <wp:wrapNone/>
            <wp:docPr id="13273271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327136" name="图片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009650" cy="457200"/>
                    </a:xfrm>
                    <a:prstGeom prst="rect">
                      <a:avLst/>
                    </a:prstGeom>
                    <a:noFill/>
                    <a:ln>
                      <a:noFill/>
                    </a:ln>
                  </pic:spPr>
                </pic:pic>
              </a:graphicData>
            </a:graphic>
          </wp:anchor>
        </w:drawing>
      </w:r>
      <w:r>
        <w:rPr>
          <w:color w:val="auto"/>
          <w:kern w:val="0"/>
          <w:szCs w:val="20"/>
        </w:rPr>
        <w:tab/>
      </w:r>
      <w:r>
        <w:rPr>
          <w:color w:val="auto"/>
          <w:kern w:val="0"/>
          <w:szCs w:val="20"/>
        </w:rPr>
        <w:t xml:space="preserve">  </w:t>
      </w:r>
      <w:r>
        <w:rPr>
          <w:color w:val="auto"/>
          <w:kern w:val="0"/>
          <w:szCs w:val="20"/>
        </w:rPr>
        <w:tab/>
      </w:r>
      <w:r>
        <w:rPr>
          <w:color w:val="auto"/>
          <w:kern w:val="0"/>
          <w:szCs w:val="20"/>
        </w:rPr>
        <w:t>（A.</w:t>
      </w:r>
      <w:r>
        <w:rPr>
          <w:rFonts w:hint="eastAsia"/>
          <w:color w:val="auto"/>
          <w:kern w:val="0"/>
          <w:szCs w:val="20"/>
        </w:rPr>
        <w:t>2</w:t>
      </w:r>
      <w:r>
        <w:rPr>
          <w:color w:val="auto"/>
          <w:kern w:val="0"/>
          <w:szCs w:val="20"/>
        </w:rPr>
        <w:t>）</w:t>
      </w:r>
    </w:p>
    <w:p w14:paraId="69286749">
      <w:pPr>
        <w:widowControl/>
        <w:tabs>
          <w:tab w:val="center" w:pos="4201"/>
          <w:tab w:val="right" w:leader="dot" w:pos="9298"/>
        </w:tabs>
        <w:autoSpaceDE w:val="0"/>
        <w:autoSpaceDN w:val="0"/>
        <w:ind w:firstLine="420" w:firstLineChars="200"/>
        <w:rPr>
          <w:color w:val="auto"/>
          <w:kern w:val="0"/>
          <w:szCs w:val="20"/>
        </w:rPr>
      </w:pPr>
    </w:p>
    <w:p w14:paraId="4E0F3DC0">
      <w:pPr>
        <w:widowControl/>
        <w:tabs>
          <w:tab w:val="center" w:pos="4201"/>
          <w:tab w:val="right" w:leader="dot" w:pos="9298"/>
        </w:tabs>
        <w:autoSpaceDE w:val="0"/>
        <w:autoSpaceDN w:val="0"/>
        <w:ind w:firstLine="420" w:firstLineChars="200"/>
        <w:rPr>
          <w:color w:val="auto"/>
          <w:kern w:val="0"/>
          <w:szCs w:val="20"/>
        </w:rPr>
      </w:pPr>
      <w:r>
        <w:rPr>
          <w:color w:val="auto"/>
          <w:kern w:val="0"/>
          <w:szCs w:val="20"/>
        </w:rPr>
        <w:t>式中：</w:t>
      </w:r>
    </w:p>
    <w:p w14:paraId="39C0CD9C">
      <w:pPr>
        <w:widowControl/>
        <w:tabs>
          <w:tab w:val="center" w:pos="4201"/>
          <w:tab w:val="right" w:leader="dot" w:pos="9298"/>
        </w:tabs>
        <w:autoSpaceDE w:val="0"/>
        <w:autoSpaceDN w:val="0"/>
        <w:ind w:firstLine="420" w:firstLineChars="200"/>
        <w:rPr>
          <w:color w:val="auto"/>
          <w:kern w:val="0"/>
          <w:szCs w:val="20"/>
        </w:rPr>
      </w:pPr>
      <w:r>
        <w:rPr>
          <w:i/>
          <w:color w:val="auto"/>
          <w:kern w:val="0"/>
          <w:szCs w:val="20"/>
        </w:rPr>
        <w:t>G</w:t>
      </w:r>
      <w:r>
        <w:rPr>
          <w:i/>
          <w:color w:val="auto"/>
          <w:kern w:val="0"/>
          <w:szCs w:val="20"/>
          <w:vertAlign w:val="subscript"/>
        </w:rPr>
        <w:t>j</w:t>
      </w:r>
      <w:r>
        <w:rPr>
          <w:color w:val="auto"/>
          <w:kern w:val="0"/>
          <w:szCs w:val="20"/>
        </w:rPr>
        <w:t xml:space="preserve"> ——评价期内管材或管件的成材率；</w:t>
      </w:r>
    </w:p>
    <w:p w14:paraId="349CB1DD">
      <w:pPr>
        <w:widowControl/>
        <w:tabs>
          <w:tab w:val="center" w:pos="4201"/>
          <w:tab w:val="right" w:leader="dot" w:pos="9298"/>
        </w:tabs>
        <w:autoSpaceDE w:val="0"/>
        <w:autoSpaceDN w:val="0"/>
        <w:ind w:firstLine="420" w:firstLineChars="200"/>
        <w:rPr>
          <w:color w:val="auto"/>
          <w:kern w:val="0"/>
          <w:szCs w:val="20"/>
        </w:rPr>
      </w:pPr>
      <w:r>
        <w:rPr>
          <w:i/>
          <w:color w:val="auto"/>
          <w:kern w:val="0"/>
          <w:szCs w:val="20"/>
        </w:rPr>
        <w:t>N</w:t>
      </w:r>
      <w:r>
        <w:rPr>
          <w:i/>
          <w:color w:val="auto"/>
          <w:kern w:val="0"/>
          <w:szCs w:val="20"/>
          <w:vertAlign w:val="subscript"/>
        </w:rPr>
        <w:t>j</w:t>
      </w:r>
      <w:r>
        <w:rPr>
          <w:i/>
          <w:color w:val="auto"/>
          <w:kern w:val="0"/>
          <w:szCs w:val="20"/>
        </w:rPr>
        <w:t xml:space="preserve"> </w:t>
      </w:r>
      <w:r>
        <w:rPr>
          <w:color w:val="auto"/>
          <w:kern w:val="0"/>
          <w:szCs w:val="20"/>
        </w:rPr>
        <w:t>——评价期内合格管材或管件的生产量，单位为吨（t）；</w:t>
      </w:r>
    </w:p>
    <w:p w14:paraId="7A603D1B">
      <w:pPr>
        <w:widowControl/>
        <w:tabs>
          <w:tab w:val="center" w:pos="4201"/>
          <w:tab w:val="right" w:leader="dot" w:pos="9298"/>
        </w:tabs>
        <w:autoSpaceDE w:val="0"/>
        <w:autoSpaceDN w:val="0"/>
        <w:ind w:firstLine="420" w:firstLineChars="200"/>
        <w:rPr>
          <w:color w:val="auto"/>
          <w:kern w:val="0"/>
          <w:szCs w:val="20"/>
        </w:rPr>
      </w:pPr>
      <w:r>
        <w:rPr>
          <w:i/>
          <w:color w:val="auto"/>
          <w:kern w:val="0"/>
          <w:szCs w:val="20"/>
        </w:rPr>
        <w:t>N</w:t>
      </w:r>
      <w:r>
        <w:rPr>
          <w:i/>
          <w:color w:val="auto"/>
          <w:kern w:val="0"/>
          <w:szCs w:val="20"/>
          <w:vertAlign w:val="subscript"/>
        </w:rPr>
        <w:t>c</w:t>
      </w:r>
      <w:r>
        <w:rPr>
          <w:color w:val="auto"/>
          <w:kern w:val="0"/>
          <w:szCs w:val="20"/>
        </w:rPr>
        <w:t xml:space="preserve"> ——评价期原材料的消耗量，单位为吨（t）。</w:t>
      </w:r>
    </w:p>
    <w:p w14:paraId="59151C22">
      <w:pPr>
        <w:pStyle w:val="67"/>
        <w:numPr>
          <w:ilvl w:val="0"/>
          <w:numId w:val="0"/>
        </w:numPr>
        <w:spacing w:before="312" w:after="312"/>
        <w:outlineLvl w:val="9"/>
        <w:rPr>
          <w:rFonts w:ascii="Times New Roman"/>
          <w:color w:val="auto"/>
        </w:rPr>
      </w:pPr>
    </w:p>
    <w:p w14:paraId="19E530C7">
      <w:pPr>
        <w:pStyle w:val="67"/>
        <w:numPr>
          <w:ilvl w:val="0"/>
          <w:numId w:val="0"/>
        </w:numPr>
        <w:spacing w:before="312" w:after="312"/>
        <w:outlineLvl w:val="9"/>
        <w:rPr>
          <w:rFonts w:ascii="Times New Roman"/>
          <w:color w:val="auto"/>
        </w:rPr>
      </w:pPr>
      <w:r>
        <w:rPr>
          <w:rFonts w:hint="eastAsia" w:ascii="Times New Roman"/>
          <w:color w:val="auto"/>
        </w:rPr>
        <w:t>A.3  铝合金衬塑复合管材或管件单位产品生产能耗</w:t>
      </w:r>
    </w:p>
    <w:p w14:paraId="088CEF67">
      <w:pPr>
        <w:widowControl/>
        <w:tabs>
          <w:tab w:val="center" w:pos="4201"/>
          <w:tab w:val="right" w:leader="dot" w:pos="9298"/>
        </w:tabs>
        <w:autoSpaceDE w:val="0"/>
        <w:autoSpaceDN w:val="0"/>
        <w:ind w:firstLine="420" w:firstLineChars="200"/>
        <w:rPr>
          <w:color w:val="auto"/>
          <w:kern w:val="0"/>
          <w:szCs w:val="21"/>
        </w:rPr>
      </w:pPr>
      <w:r>
        <w:rPr>
          <w:rFonts w:hint="eastAsia"/>
          <w:color w:val="auto"/>
          <w:kern w:val="0"/>
          <w:szCs w:val="21"/>
        </w:rPr>
        <w:t>宜以近12个月作为统计期，计算单位产品生产能耗。企业正式投产不足12个月时，统计期可适当缩短，但不应少于6个月。按公式（</w:t>
      </w:r>
      <w:r>
        <w:rPr>
          <w:color w:val="auto"/>
          <w:kern w:val="0"/>
          <w:szCs w:val="21"/>
        </w:rPr>
        <w:t>A</w:t>
      </w:r>
      <w:r>
        <w:rPr>
          <w:rFonts w:hint="eastAsia"/>
          <w:color w:val="auto"/>
          <w:kern w:val="0"/>
          <w:szCs w:val="21"/>
        </w:rPr>
        <w:t>.3）计算：</w:t>
      </w:r>
    </w:p>
    <w:p w14:paraId="21C9033C">
      <w:pPr>
        <w:jc w:val="center"/>
        <w:rPr>
          <w:color w:val="auto"/>
        </w:rPr>
      </w:pPr>
      <m:oMath>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w:rPr>
                <w:rFonts w:ascii="Cambria Math" w:hAnsi="Cambria Math"/>
                <w:color w:val="auto"/>
              </w:rPr>
              <m:t>pd</m:t>
            </m:r>
            <m:ctrlPr>
              <w:rPr>
                <w:rFonts w:ascii="Cambria Math" w:hAnsi="Cambria Math"/>
                <w:i/>
                <w:color w:val="auto"/>
              </w:rPr>
            </m:ctrlPr>
          </m:sub>
        </m:sSub>
        <m:r>
          <m:rP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w:rPr>
                    <w:rFonts w:ascii="Cambria Math" w:hAnsi="Cambria Math"/>
                    <w:color w:val="auto"/>
                  </w:rPr>
                  <m:t>E</m:t>
                </m:r>
                <m:ctrlPr>
                  <w:rPr>
                    <w:rFonts w:ascii="Cambria Math" w:hAnsi="Cambria Math"/>
                    <w:i/>
                    <w:color w:val="auto"/>
                  </w:rPr>
                </m:ctrlPr>
              </m:e>
              <m:sub>
                <m:r>
                  <m:rPr/>
                  <w:rPr>
                    <w:rFonts w:ascii="Cambria Math" w:hAnsi="Cambria Math"/>
                    <w:color w:val="auto"/>
                  </w:rPr>
                  <m:t>pd</m:t>
                </m:r>
                <m:ctrlPr>
                  <w:rPr>
                    <w:rFonts w:ascii="Cambria Math" w:hAnsi="Cambria Math"/>
                    <w:i/>
                    <w:color w:val="auto"/>
                  </w:rPr>
                </m:ctrlPr>
              </m:sub>
            </m:sSub>
            <m:ctrlPr>
              <w:rPr>
                <w:rFonts w:ascii="Cambria Math" w:hAnsi="Cambria Math"/>
                <w:i/>
                <w:color w:val="auto"/>
              </w:rPr>
            </m:ctrlPr>
          </m:num>
          <m:den>
            <m:sSub>
              <m:sSubPr>
                <m:ctrlPr>
                  <w:rPr>
                    <w:rFonts w:ascii="Cambria Math" w:hAnsi="Cambria Math"/>
                    <w:i/>
                    <w:color w:val="auto"/>
                  </w:rPr>
                </m:ctrlPr>
              </m:sSubPr>
              <m:e>
                <m:r>
                  <m:rPr/>
                  <w:rPr>
                    <w:rFonts w:ascii="Cambria Math" w:hAnsi="Cambria Math"/>
                    <w:color w:val="auto"/>
                  </w:rPr>
                  <m:t>m</m:t>
                </m:r>
                <m:ctrlPr>
                  <w:rPr>
                    <w:rFonts w:ascii="Cambria Math" w:hAnsi="Cambria Math"/>
                    <w:i/>
                    <w:color w:val="auto"/>
                  </w:rPr>
                </m:ctrlPr>
              </m:e>
              <m:sub>
                <m:r>
                  <m:rPr/>
                  <w:rPr>
                    <w:rFonts w:ascii="Cambria Math" w:hAnsi="Cambria Math"/>
                    <w:color w:val="auto"/>
                  </w:rPr>
                  <m:t>d</m:t>
                </m:r>
                <m:ctrlPr>
                  <w:rPr>
                    <w:rFonts w:ascii="Cambria Math" w:hAnsi="Cambria Math"/>
                    <w:i/>
                    <w:color w:val="auto"/>
                  </w:rPr>
                </m:ctrlPr>
              </m:sub>
            </m:sSub>
            <m:ctrlPr>
              <w:rPr>
                <w:rFonts w:ascii="Cambria Math" w:hAnsi="Cambria Math"/>
                <w:i/>
                <w:color w:val="auto"/>
              </w:rPr>
            </m:ctrlPr>
          </m:den>
        </m:f>
        <m:r>
          <m:rPr/>
          <w:rPr>
            <w:rFonts w:ascii="Cambria Math" w:hAnsi="Cambria Math"/>
            <w:color w:val="auto"/>
          </w:rPr>
          <m:t xml:space="preserve">  </m:t>
        </m:r>
      </m:oMath>
      <w:r>
        <w:rPr>
          <w:rFonts w:hint="eastAsia" w:ascii="宋体"/>
          <w:color w:val="auto"/>
          <w:kern w:val="0"/>
          <w:szCs w:val="20"/>
        </w:rPr>
        <w:t>…………………………</w:t>
      </w:r>
      <w:r>
        <w:rPr>
          <w:color w:val="auto"/>
          <w:kern w:val="0"/>
          <w:szCs w:val="20"/>
        </w:rPr>
        <w:t>(</w:t>
      </w:r>
      <w:r>
        <w:rPr>
          <w:rFonts w:hint="eastAsia"/>
          <w:color w:val="auto"/>
          <w:kern w:val="0"/>
          <w:szCs w:val="20"/>
        </w:rPr>
        <w:t>A</w:t>
      </w:r>
      <w:r>
        <w:rPr>
          <w:color w:val="auto"/>
          <w:kern w:val="0"/>
          <w:szCs w:val="20"/>
        </w:rPr>
        <w:t>.</w:t>
      </w:r>
      <w:r>
        <w:rPr>
          <w:rFonts w:hint="eastAsia"/>
          <w:color w:val="auto"/>
          <w:kern w:val="0"/>
          <w:szCs w:val="20"/>
        </w:rPr>
        <w:t>3</w:t>
      </w:r>
      <w:r>
        <w:rPr>
          <w:color w:val="auto"/>
          <w:kern w:val="0"/>
          <w:szCs w:val="20"/>
        </w:rPr>
        <w:t>)</w:t>
      </w:r>
      <w:r>
        <w:rPr>
          <w:color w:val="auto"/>
          <w:szCs w:val="21"/>
        </w:rPr>
        <w:fldChar w:fldCharType="begin"/>
      </w:r>
      <w:r>
        <w:rPr>
          <w:color w:val="auto"/>
          <w:szCs w:val="21"/>
        </w:rPr>
        <w:instrText xml:space="preserve"> QUOTE </w:instrText>
      </w:r>
      <m:oMath>
        <m:r>
          <m:rPr>
            <m:sty m:val="p"/>
          </m:rPr>
          <w:rPr>
            <w:rFonts w:ascii="Cambria Math" w:hAnsi="Cambria Math"/>
            <w:color w:val="auto"/>
          </w:rPr>
          <m:t xml:space="preserve">W=</m:t>
        </m:r>
        <m:f>
          <m:fPr>
            <m:ctrlPr>
              <w:rPr>
                <w:rFonts w:ascii="Cambria Math" w:hAnsi="Cambria Math"/>
                <w:i/>
                <w:color w:val="auto"/>
              </w:rPr>
            </m:ctrlPr>
          </m:fPr>
          <m:num>
            <m:sSub>
              <m:sSubPr>
                <m:ctrlPr>
                  <w:rPr>
                    <w:rFonts w:ascii="Cambria Math" w:hAnsi="Cambria Math"/>
                    <w:i/>
                    <w:color w:val="auto"/>
                  </w:rPr>
                </m:ctrlPr>
              </m:sSubPr>
              <m:e>
                <m:r>
                  <m:rPr>
                    <m:sty m:val="p"/>
                  </m:rPr>
                  <w:rPr>
                    <w:rFonts w:ascii="Cambria Math" w:hAnsi="Cambria Math"/>
                    <w:color w:val="auto"/>
                  </w:rPr>
                  <m:t xml:space="preserve">m</m:t>
                </m:r>
                <m:ctrlPr>
                  <w:rPr>
                    <w:rFonts w:ascii="Cambria Math" w:hAnsi="Cambria Math"/>
                    <w:i/>
                    <w:color w:val="auto"/>
                  </w:rPr>
                </m:ctrlPr>
              </m:e>
              <m:sub>
                <m:r>
                  <m:rPr>
                    <m:sty m:val="p"/>
                  </m:rPr>
                  <w:rPr>
                    <w:rFonts w:ascii="Cambria Math" w:hAnsi="Cambria Math"/>
                    <w:color w:val="auto"/>
                  </w:rPr>
                  <m:t xml:space="preserve">rw</m:t>
                </m:r>
                <m:ctrlPr>
                  <w:rPr>
                    <w:rFonts w:ascii="Cambria Math" w:hAnsi="Cambria Math"/>
                    <w:i/>
                    <w:color w:val="auto"/>
                  </w:rPr>
                </m:ctrlPr>
              </m:sub>
            </m:sSub>
            <m:ctrlPr>
              <w:rPr>
                <w:rFonts w:ascii="Cambria Math" w:hAnsi="Cambria Math"/>
                <w:i/>
                <w:color w:val="auto"/>
              </w:rPr>
            </m:ctrlPr>
          </m:num>
          <m:den>
            <m:sSub>
              <m:sSubPr>
                <m:ctrlPr>
                  <w:rPr>
                    <w:rFonts w:ascii="Cambria Math" w:hAnsi="Cambria Math"/>
                    <w:i/>
                    <w:color w:val="auto"/>
                  </w:rPr>
                </m:ctrlPr>
              </m:sSubPr>
              <m:e>
                <m:r>
                  <m:rPr>
                    <m:sty m:val="p"/>
                  </m:rPr>
                  <w:rPr>
                    <w:rFonts w:ascii="Cambria Math" w:hAnsi="Cambria Math"/>
                    <w:color w:val="auto"/>
                  </w:rPr>
                  <m:t xml:space="preserve">m</m:t>
                </m:r>
                <m:ctrlPr>
                  <w:rPr>
                    <w:rFonts w:ascii="Cambria Math" w:hAnsi="Cambria Math"/>
                    <w:i/>
                    <w:color w:val="auto"/>
                  </w:rPr>
                </m:ctrlPr>
              </m:e>
              <m:sub>
                <m:r>
                  <m:rPr>
                    <m:sty m:val="p"/>
                  </m:rPr>
                  <w:rPr>
                    <w:rFonts w:ascii="Cambria Math" w:hAnsi="Cambria Math"/>
                    <w:color w:val="auto"/>
                  </w:rPr>
                  <m:t xml:space="preserve">pw</m:t>
                </m:r>
                <m:ctrlPr>
                  <w:rPr>
                    <w:rFonts w:ascii="Cambria Math" w:hAnsi="Cambria Math"/>
                    <w:i/>
                    <w:color w:val="auto"/>
                  </w:rPr>
                </m:ctrlPr>
              </m:sub>
            </m:sSub>
            <m:ctrlPr>
              <w:rPr>
                <w:rFonts w:ascii="Cambria Math" w:hAnsi="Cambria Math"/>
                <w:i/>
                <w:color w:val="auto"/>
              </w:rPr>
            </m:ctrlPr>
          </m:den>
        </m:f>
        <m:r>
          <m:rPr>
            <m:sty m:val="p"/>
          </m:rPr>
          <w:rPr>
            <w:rFonts w:ascii="Cambria Math" w:hAnsi="Cambria Math"/>
            <w:color w:val="auto"/>
          </w:rPr>
          <m:t xml:space="preserve">×100%                        …………………………(A.1)  </m:t>
        </m:r>
      </m:oMath>
      <w:r>
        <w:rPr>
          <w:color w:val="auto"/>
          <w:szCs w:val="21"/>
        </w:rPr>
        <w:fldChar w:fldCharType="end"/>
      </w:r>
    </w:p>
    <w:p w14:paraId="378DCCD8">
      <w:pPr>
        <w:ind w:firstLine="420" w:firstLineChars="200"/>
        <w:jc w:val="left"/>
        <w:rPr>
          <w:iCs/>
          <w:color w:val="auto"/>
          <w:kern w:val="0"/>
          <w:szCs w:val="21"/>
        </w:rPr>
      </w:pPr>
      <w:r>
        <w:rPr>
          <w:rFonts w:hint="eastAsia"/>
          <w:iCs/>
          <w:color w:val="auto"/>
          <w:kern w:val="0"/>
          <w:szCs w:val="21"/>
        </w:rPr>
        <w:t>式中：</w:t>
      </w:r>
    </w:p>
    <w:p w14:paraId="55F84F36">
      <w:pPr>
        <w:pStyle w:val="25"/>
        <w:rPr>
          <w:rFonts w:ascii="Times New Roman"/>
          <w:color w:val="auto"/>
        </w:rPr>
      </w:pPr>
      <w:r>
        <w:rPr>
          <w:rFonts w:ascii="Times New Roman"/>
          <w:i/>
          <w:color w:val="auto"/>
          <w:szCs w:val="21"/>
        </w:rPr>
        <w:t>e</w:t>
      </w:r>
      <w:r>
        <w:rPr>
          <w:rFonts w:ascii="Times New Roman"/>
          <w:i/>
          <w:color w:val="auto"/>
          <w:szCs w:val="21"/>
          <w:vertAlign w:val="subscript"/>
        </w:rPr>
        <w:t>pd</w:t>
      </w:r>
      <w:r>
        <w:rPr>
          <w:rFonts w:ascii="Times New Roman"/>
          <w:i/>
          <w:color w:val="auto"/>
          <w:szCs w:val="21"/>
        </w:rPr>
        <w:t xml:space="preserve"> </w:t>
      </w:r>
      <w:r>
        <w:rPr>
          <w:rFonts w:ascii="Times New Roman"/>
          <w:color w:val="auto"/>
          <w:szCs w:val="21"/>
        </w:rPr>
        <w:t>——</w:t>
      </w:r>
      <w:r>
        <w:rPr>
          <w:rFonts w:hint="eastAsia" w:ascii="Times New Roman"/>
          <w:color w:val="auto"/>
        </w:rPr>
        <w:t>铝合金衬塑复合管材或管件单位产品生产耗能，单位为千克标准煤每吨（kgce/</w:t>
      </w:r>
      <w:r>
        <w:rPr>
          <w:rFonts w:ascii="Times New Roman"/>
          <w:color w:val="auto"/>
        </w:rPr>
        <w:t>kg</w:t>
      </w:r>
      <w:r>
        <w:rPr>
          <w:rFonts w:hint="eastAsia" w:ascii="Times New Roman"/>
          <w:color w:val="auto"/>
        </w:rPr>
        <w:t>）；；</w:t>
      </w:r>
    </w:p>
    <w:p w14:paraId="3203B52B">
      <w:pPr>
        <w:pStyle w:val="25"/>
        <w:rPr>
          <w:rFonts w:ascii="Times New Roman"/>
          <w:color w:val="auto"/>
        </w:rPr>
      </w:pPr>
      <w:r>
        <w:rPr>
          <w:rFonts w:ascii="Times New Roman"/>
          <w:i/>
          <w:color w:val="auto"/>
          <w:szCs w:val="21"/>
        </w:rPr>
        <w:t>E</w:t>
      </w:r>
      <w:r>
        <w:rPr>
          <w:rFonts w:ascii="Times New Roman"/>
          <w:i/>
          <w:color w:val="auto"/>
          <w:szCs w:val="21"/>
          <w:vertAlign w:val="subscript"/>
        </w:rPr>
        <w:t xml:space="preserve">pd </w:t>
      </w:r>
      <w:r>
        <w:rPr>
          <w:rFonts w:ascii="Times New Roman"/>
          <w:color w:val="auto"/>
        </w:rPr>
        <w:t>——</w:t>
      </w:r>
      <w:r>
        <w:rPr>
          <w:rFonts w:hint="eastAsia" w:ascii="Times New Roman"/>
          <w:color w:val="auto"/>
        </w:rPr>
        <w:t>统计期内铝合金衬塑复合管材或管件生产耗能总量，统计边界为从原材料进入生产厂区开始，到铝合金衬塑复合管材或管件产品出厂的整个生产过程的电耗、天然气、生产用车油耗和其他能源消耗，按照GB</w:t>
      </w:r>
      <w:r>
        <w:rPr>
          <w:rFonts w:ascii="Times New Roman"/>
          <w:color w:val="auto"/>
        </w:rPr>
        <w:t>/T 2589</w:t>
      </w:r>
      <w:r>
        <w:rPr>
          <w:rFonts w:hint="eastAsia" w:ascii="Times New Roman"/>
          <w:color w:val="auto"/>
        </w:rPr>
        <w:t>计算。单位为千克标准煤（kgce）；</w:t>
      </w:r>
    </w:p>
    <w:p w14:paraId="5349F156">
      <w:pPr>
        <w:pStyle w:val="25"/>
        <w:rPr>
          <w:rFonts w:ascii="Times New Roman"/>
          <w:color w:val="auto"/>
        </w:rPr>
      </w:pPr>
      <w:r>
        <w:rPr>
          <w:rFonts w:ascii="Times New Roman"/>
          <w:i/>
          <w:color w:val="auto"/>
          <w:szCs w:val="21"/>
        </w:rPr>
        <w:t>m</w:t>
      </w:r>
      <w:r>
        <w:rPr>
          <w:rFonts w:ascii="Times New Roman"/>
          <w:i/>
          <w:color w:val="auto"/>
          <w:szCs w:val="21"/>
          <w:vertAlign w:val="subscript"/>
        </w:rPr>
        <w:t xml:space="preserve">d </w:t>
      </w:r>
      <w:r>
        <w:rPr>
          <w:rFonts w:ascii="Times New Roman"/>
          <w:color w:val="auto"/>
        </w:rPr>
        <w:t>——</w:t>
      </w:r>
      <w:r>
        <w:rPr>
          <w:rFonts w:hint="eastAsia" w:ascii="Times New Roman"/>
          <w:color w:val="auto"/>
        </w:rPr>
        <w:t>统计期内符合相关标准的合格铝合金衬塑复合管材或管件总产量，单位为公斤（</w:t>
      </w:r>
      <w:r>
        <w:rPr>
          <w:rFonts w:ascii="Times New Roman"/>
          <w:color w:val="auto"/>
        </w:rPr>
        <w:t>kg</w:t>
      </w:r>
      <w:r>
        <w:rPr>
          <w:rFonts w:hint="eastAsia" w:ascii="Times New Roman"/>
          <w:color w:val="auto"/>
        </w:rPr>
        <w:t>）。</w:t>
      </w:r>
    </w:p>
    <w:p w14:paraId="56BC4B5B">
      <w:pPr>
        <w:pStyle w:val="67"/>
        <w:numPr>
          <w:ilvl w:val="0"/>
          <w:numId w:val="0"/>
        </w:numPr>
        <w:spacing w:before="312" w:after="312"/>
        <w:rPr>
          <w:color w:val="auto"/>
        </w:rPr>
      </w:pPr>
    </w:p>
    <w:p w14:paraId="10A3B71B">
      <w:pPr>
        <w:pStyle w:val="67"/>
        <w:numPr>
          <w:ilvl w:val="0"/>
          <w:numId w:val="0"/>
        </w:numPr>
        <w:spacing w:before="312" w:after="312"/>
        <w:rPr>
          <w:color w:val="auto"/>
        </w:rPr>
      </w:pPr>
      <w:r>
        <w:rPr>
          <w:rFonts w:hint="eastAsia" w:ascii="Times New Roman"/>
          <w:color w:val="auto"/>
        </w:rPr>
        <w:t xml:space="preserve">A.4  </w:t>
      </w:r>
      <w:r>
        <w:rPr>
          <w:rFonts w:hint="eastAsia"/>
          <w:color w:val="auto"/>
        </w:rPr>
        <w:t>生产废料综合处置率</w:t>
      </w:r>
    </w:p>
    <w:p w14:paraId="73B44080">
      <w:pPr>
        <w:pStyle w:val="25"/>
        <w:spacing w:line="520" w:lineRule="exact"/>
        <w:rPr>
          <w:rFonts w:ascii="Times New Roman"/>
          <w:color w:val="auto"/>
        </w:rPr>
      </w:pPr>
      <w:r>
        <w:rPr>
          <w:rFonts w:hint="eastAsia" w:ascii="Times New Roman"/>
          <w:color w:val="auto"/>
        </w:rPr>
        <w:t>宜以近12个月作为统计期计算生产废料综合处置</w:t>
      </w:r>
      <w:r>
        <w:rPr>
          <w:rFonts w:ascii="Times New Roman"/>
          <w:color w:val="auto"/>
        </w:rPr>
        <w:t>率</w:t>
      </w:r>
      <w:r>
        <w:rPr>
          <w:rFonts w:hint="eastAsia" w:ascii="Times New Roman"/>
          <w:color w:val="auto"/>
        </w:rPr>
        <w:t>的平均值。企业正式投产不足12个月时，统计期可适当缩短，但不应少于6个月。按公式（</w:t>
      </w:r>
      <w:r>
        <w:rPr>
          <w:rFonts w:ascii="Times New Roman"/>
          <w:color w:val="auto"/>
          <w:szCs w:val="21"/>
        </w:rPr>
        <w:t>A.</w:t>
      </w:r>
      <w:r>
        <w:rPr>
          <w:rFonts w:hint="eastAsia" w:ascii="Times New Roman"/>
          <w:color w:val="auto"/>
          <w:szCs w:val="21"/>
        </w:rPr>
        <w:t>4</w:t>
      </w:r>
      <w:r>
        <w:rPr>
          <w:rFonts w:hint="eastAsia" w:ascii="Times New Roman"/>
          <w:color w:val="auto"/>
        </w:rPr>
        <w:t>）计算：</w:t>
      </w:r>
    </w:p>
    <w:p w14:paraId="651B6975">
      <w:pPr>
        <w:pStyle w:val="25"/>
        <w:spacing w:line="480" w:lineRule="auto"/>
        <w:rPr>
          <w:rFonts w:ascii="Times New Roman"/>
          <w:color w:val="auto"/>
        </w:rPr>
      </w:pPr>
      <m:oMath>
        <m:r>
          <m:rPr/>
          <w:rPr>
            <w:rFonts w:ascii="Cambria Math" w:hAnsi="Cambria Math"/>
            <w:color w:val="auto"/>
          </w:rPr>
          <m:t xml:space="preserve">                        R=</m:t>
        </m:r>
        <m:f>
          <m:fPr>
            <m:ctrlPr>
              <w:rPr>
                <w:rFonts w:ascii="Cambria Math" w:hAnsi="Cambria Math"/>
                <w:i/>
                <w:color w:val="auto"/>
              </w:rPr>
            </m:ctrlPr>
          </m:fPr>
          <m:num>
            <m:sSub>
              <m:sSubPr>
                <m:ctrlPr>
                  <w:rPr>
                    <w:rFonts w:ascii="Cambria Math" w:hAnsi="Cambria Math"/>
                    <w:i/>
                    <w:color w:val="auto"/>
                  </w:rPr>
                </m:ctrlPr>
              </m:sSubPr>
              <m:e>
                <m:r>
                  <m:rPr/>
                  <w:rPr>
                    <w:rFonts w:ascii="Cambria Math" w:hAnsi="Cambria Math"/>
                    <w:color w:val="auto"/>
                  </w:rPr>
                  <m:t>M</m:t>
                </m:r>
                <m:ctrlPr>
                  <w:rPr>
                    <w:rFonts w:ascii="Cambria Math" w:hAnsi="Cambria Math"/>
                    <w:i/>
                    <w:color w:val="auto"/>
                  </w:rPr>
                </m:ctrlPr>
              </m:e>
              <m:sub>
                <m:r>
                  <m:rPr/>
                  <w:rPr>
                    <w:rFonts w:ascii="Cambria Math" w:hAnsi="Cambria Math"/>
                    <w:color w:val="auto"/>
                  </w:rPr>
                  <m:t>r</m:t>
                </m:r>
                <m:ctrlPr>
                  <w:rPr>
                    <w:rFonts w:ascii="Cambria Math" w:hAnsi="Cambria Math"/>
                    <w:i/>
                    <w:color w:val="auto"/>
                  </w:rPr>
                </m:ctrlPr>
              </m:sub>
            </m:sSub>
            <m:ctrlPr>
              <w:rPr>
                <w:rFonts w:ascii="Cambria Math" w:hAnsi="Cambria Math"/>
                <w:i/>
                <w:color w:val="auto"/>
              </w:rPr>
            </m:ctrlPr>
          </m:num>
          <m:den>
            <m:sSub>
              <m:sSubPr>
                <m:ctrlPr>
                  <w:rPr>
                    <w:rFonts w:ascii="Cambria Math" w:hAnsi="Cambria Math"/>
                    <w:i/>
                    <w:color w:val="auto"/>
                  </w:rPr>
                </m:ctrlPr>
              </m:sSubPr>
              <m:e>
                <m:r>
                  <m:rPr/>
                  <w:rPr>
                    <w:rFonts w:ascii="Cambria Math" w:hAnsi="Cambria Math"/>
                    <w:color w:val="auto"/>
                  </w:rPr>
                  <m:t>M</m:t>
                </m:r>
                <m:ctrlPr>
                  <w:rPr>
                    <w:rFonts w:ascii="Cambria Math" w:hAnsi="Cambria Math"/>
                    <w:i/>
                    <w:color w:val="auto"/>
                  </w:rPr>
                </m:ctrlPr>
              </m:e>
              <m:sub>
                <m:r>
                  <m:rPr/>
                  <w:rPr>
                    <w:rFonts w:ascii="Cambria Math" w:hAnsi="Cambria Math"/>
                    <w:color w:val="auto"/>
                  </w:rPr>
                  <m:t>p</m:t>
                </m:r>
                <m:ctrlPr>
                  <w:rPr>
                    <w:rFonts w:ascii="Cambria Math" w:hAnsi="Cambria Math"/>
                    <w:i/>
                    <w:color w:val="auto"/>
                  </w:rPr>
                </m:ctrlPr>
              </m:sub>
            </m:sSub>
            <m:ctrlPr>
              <w:rPr>
                <w:rFonts w:ascii="Cambria Math" w:hAnsi="Cambria Math"/>
                <w:i/>
                <w:color w:val="auto"/>
              </w:rPr>
            </m:ctrlPr>
          </m:den>
        </m:f>
        <m:r>
          <m:rPr/>
          <w:rPr>
            <w:rFonts w:ascii="Cambria Math" w:hAnsi="Cambria Math"/>
            <w:color w:val="auto"/>
          </w:rPr>
          <m:t xml:space="preserve">×100% </m:t>
        </m:r>
      </m:oMath>
      <w:r>
        <w:rPr>
          <w:rFonts w:hint="eastAsia" w:ascii="Times New Roman"/>
          <w:color w:val="auto"/>
        </w:rPr>
        <w:t>………………………（A.4）</w:t>
      </w:r>
    </w:p>
    <w:p w14:paraId="67A98A30">
      <w:pPr>
        <w:spacing w:line="520" w:lineRule="exact"/>
        <w:ind w:firstLine="420" w:firstLineChars="200"/>
        <w:rPr>
          <w:color w:val="auto"/>
          <w:szCs w:val="21"/>
        </w:rPr>
      </w:pPr>
      <w:r>
        <w:rPr>
          <w:rFonts w:hint="eastAsia"/>
          <w:color w:val="auto"/>
          <w:szCs w:val="21"/>
        </w:rPr>
        <w:t>式中：</w:t>
      </w:r>
    </w:p>
    <w:p w14:paraId="6E2747B9">
      <w:pPr>
        <w:spacing w:line="520" w:lineRule="exact"/>
        <w:ind w:firstLine="420" w:firstLineChars="200"/>
        <w:rPr>
          <w:color w:val="auto"/>
          <w:szCs w:val="21"/>
        </w:rPr>
      </w:pPr>
      <w:r>
        <w:rPr>
          <w:i/>
          <w:color w:val="auto"/>
          <w:szCs w:val="21"/>
        </w:rPr>
        <w:t>Mr</w:t>
      </w:r>
      <w:r>
        <w:rPr>
          <w:color w:val="auto"/>
          <w:szCs w:val="21"/>
        </w:rPr>
        <w:t>——</w:t>
      </w:r>
      <w:r>
        <w:rPr>
          <w:rFonts w:hint="eastAsia"/>
          <w:color w:val="auto"/>
          <w:szCs w:val="21"/>
        </w:rPr>
        <w:t>统计期内</w:t>
      </w:r>
      <w:r>
        <w:rPr>
          <w:rFonts w:hint="eastAsia"/>
          <w:color w:val="auto"/>
          <w:kern w:val="0"/>
          <w:szCs w:val="20"/>
        </w:rPr>
        <w:t>综合处置</w:t>
      </w:r>
      <w:r>
        <w:rPr>
          <w:rFonts w:hint="eastAsia"/>
          <w:color w:val="auto"/>
          <w:szCs w:val="21"/>
        </w:rPr>
        <w:t>的生产废料</w:t>
      </w:r>
      <w:r>
        <w:rPr>
          <w:color w:val="auto"/>
          <w:szCs w:val="21"/>
        </w:rPr>
        <w:t>量</w:t>
      </w:r>
      <w:r>
        <w:rPr>
          <w:rFonts w:hint="eastAsia"/>
          <w:color w:val="auto"/>
          <w:szCs w:val="21"/>
        </w:rPr>
        <w:t>，单位为千克（</w:t>
      </w:r>
      <w:r>
        <w:rPr>
          <w:color w:val="auto"/>
          <w:szCs w:val="21"/>
        </w:rPr>
        <w:t>kg</w:t>
      </w:r>
      <w:r>
        <w:rPr>
          <w:rFonts w:hint="eastAsia"/>
          <w:color w:val="auto"/>
          <w:szCs w:val="21"/>
        </w:rPr>
        <w:t>）；</w:t>
      </w:r>
    </w:p>
    <w:p w14:paraId="73F780CF">
      <w:pPr>
        <w:spacing w:line="520" w:lineRule="exact"/>
        <w:ind w:firstLine="420" w:firstLineChars="200"/>
        <w:rPr>
          <w:color w:val="auto"/>
          <w:szCs w:val="21"/>
        </w:rPr>
      </w:pPr>
      <w:r>
        <w:rPr>
          <w:i/>
          <w:color w:val="auto"/>
          <w:szCs w:val="21"/>
        </w:rPr>
        <w:t>Mp</w:t>
      </w:r>
      <w:r>
        <w:rPr>
          <w:color w:val="auto"/>
          <w:szCs w:val="21"/>
        </w:rPr>
        <w:t>——</w:t>
      </w:r>
      <w:r>
        <w:rPr>
          <w:rFonts w:hint="eastAsia"/>
          <w:color w:val="auto"/>
          <w:szCs w:val="21"/>
        </w:rPr>
        <w:t>统计期内生产产生的</w:t>
      </w:r>
      <w:r>
        <w:rPr>
          <w:color w:val="auto"/>
          <w:szCs w:val="21"/>
        </w:rPr>
        <w:t>废料</w:t>
      </w:r>
      <w:r>
        <w:rPr>
          <w:rFonts w:hint="eastAsia"/>
          <w:color w:val="auto"/>
          <w:szCs w:val="21"/>
        </w:rPr>
        <w:t>总量，单位为千克（</w:t>
      </w:r>
      <w:r>
        <w:rPr>
          <w:color w:val="auto"/>
          <w:szCs w:val="21"/>
        </w:rPr>
        <w:t>kg</w:t>
      </w:r>
      <w:r>
        <w:rPr>
          <w:rFonts w:hint="eastAsia"/>
          <w:color w:val="auto"/>
          <w:szCs w:val="21"/>
        </w:rPr>
        <w:t>）；</w:t>
      </w:r>
    </w:p>
    <w:p w14:paraId="79158819">
      <w:pPr>
        <w:spacing w:line="520" w:lineRule="exact"/>
        <w:ind w:firstLine="420" w:firstLineChars="200"/>
        <w:rPr>
          <w:color w:val="auto"/>
          <w:szCs w:val="21"/>
        </w:rPr>
      </w:pPr>
      <w:r>
        <w:rPr>
          <w:i/>
          <w:color w:val="auto"/>
          <w:szCs w:val="21"/>
        </w:rPr>
        <w:t>R</w:t>
      </w:r>
      <w:r>
        <w:rPr>
          <w:color w:val="auto"/>
          <w:szCs w:val="21"/>
        </w:rPr>
        <w:t>——</w:t>
      </w:r>
      <w:r>
        <w:rPr>
          <w:rFonts w:hint="eastAsia"/>
          <w:color w:val="auto"/>
          <w:kern w:val="0"/>
          <w:szCs w:val="20"/>
        </w:rPr>
        <w:t>生产废料综合</w:t>
      </w:r>
      <w:r>
        <w:rPr>
          <w:color w:val="auto"/>
          <w:kern w:val="0"/>
          <w:szCs w:val="20"/>
        </w:rPr>
        <w:t>处置</w:t>
      </w:r>
      <w:r>
        <w:rPr>
          <w:rFonts w:hint="eastAsia"/>
          <w:color w:val="auto"/>
          <w:kern w:val="0"/>
          <w:szCs w:val="20"/>
        </w:rPr>
        <w:t>率</w:t>
      </w:r>
      <w:r>
        <w:rPr>
          <w:rFonts w:hint="eastAsia"/>
          <w:color w:val="auto"/>
          <w:szCs w:val="21"/>
        </w:rPr>
        <w:t>，</w:t>
      </w:r>
      <w:r>
        <w:rPr>
          <w:color w:val="auto"/>
          <w:szCs w:val="21"/>
        </w:rPr>
        <w:t>%</w:t>
      </w:r>
      <w:r>
        <w:rPr>
          <w:rFonts w:hint="eastAsia"/>
          <w:color w:val="auto"/>
          <w:szCs w:val="21"/>
        </w:rPr>
        <w:t>。</w:t>
      </w:r>
    </w:p>
    <w:bookmarkEnd w:id="88"/>
    <w:bookmarkEnd w:id="89"/>
    <w:bookmarkEnd w:id="90"/>
    <w:p w14:paraId="4A130D82">
      <w:pPr>
        <w:pStyle w:val="25"/>
        <w:ind w:firstLine="0" w:firstLineChars="0"/>
        <w:rPr>
          <w:rFonts w:ascii="Times New Roman"/>
          <w:color w:val="auto"/>
        </w:rPr>
      </w:pPr>
    </w:p>
    <w:p w14:paraId="57FA19C1">
      <w:pPr>
        <w:pStyle w:val="67"/>
        <w:numPr>
          <w:ilvl w:val="0"/>
          <w:numId w:val="0"/>
        </w:numPr>
        <w:spacing w:before="312" w:after="312"/>
        <w:outlineLvl w:val="9"/>
        <w:rPr>
          <w:rFonts w:ascii="Times New Roman"/>
          <w:color w:val="auto"/>
        </w:rPr>
      </w:pPr>
      <w:r>
        <w:rPr>
          <w:rFonts w:hint="eastAsia" w:ascii="Times New Roman"/>
          <w:color w:val="auto"/>
        </w:rPr>
        <w:t>A.5  单位产品工业废水排放量</w:t>
      </w:r>
    </w:p>
    <w:p w14:paraId="30BADFAD">
      <w:pPr>
        <w:widowControl/>
        <w:tabs>
          <w:tab w:val="center" w:pos="4201"/>
          <w:tab w:val="right" w:leader="dot" w:pos="9298"/>
        </w:tabs>
        <w:autoSpaceDE w:val="0"/>
        <w:autoSpaceDN w:val="0"/>
        <w:ind w:firstLine="420" w:firstLineChars="200"/>
        <w:rPr>
          <w:color w:val="auto"/>
          <w:kern w:val="0"/>
          <w:szCs w:val="21"/>
        </w:rPr>
      </w:pPr>
      <w:r>
        <w:rPr>
          <w:rFonts w:hint="eastAsia"/>
          <w:color w:val="auto"/>
          <w:kern w:val="0"/>
          <w:szCs w:val="21"/>
        </w:rPr>
        <w:t>宜以近12个月作为统计期，计算单位产品废水排放量。企业正式投产不足12个月时，统计期可适当缩短，但不应少于6个月。按公式（</w:t>
      </w:r>
      <w:r>
        <w:rPr>
          <w:color w:val="auto"/>
          <w:kern w:val="0"/>
          <w:szCs w:val="21"/>
        </w:rPr>
        <w:t>A</w:t>
      </w:r>
      <w:r>
        <w:rPr>
          <w:rFonts w:hint="eastAsia"/>
          <w:color w:val="auto"/>
          <w:kern w:val="0"/>
          <w:szCs w:val="21"/>
        </w:rPr>
        <w:t>.5）计算：</w:t>
      </w:r>
    </w:p>
    <w:p w14:paraId="0C23AC2B">
      <w:pPr>
        <w:jc w:val="center"/>
        <w:rPr>
          <w:color w:val="auto"/>
        </w:rPr>
      </w:pPr>
      <m:oMath>
        <m:r>
          <m:rPr/>
          <w:rPr>
            <w:rFonts w:hint="eastAsia" w:ascii="Cambria Math" w:hAnsi="Cambria Math"/>
            <w:color w:val="auto"/>
          </w:rPr>
          <m:t>F</m:t>
        </m:r>
        <m:r>
          <m:rP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w:rPr>
                    <w:rFonts w:ascii="Cambria Math" w:hAnsi="Cambria Math"/>
                    <w:color w:val="auto"/>
                  </w:rPr>
                  <m:t>V</m:t>
                </m:r>
                <m:ctrlPr>
                  <w:rPr>
                    <w:rFonts w:ascii="Cambria Math" w:hAnsi="Cambria Math"/>
                    <w:i/>
                    <w:color w:val="auto"/>
                  </w:rPr>
                </m:ctrlPr>
              </m:e>
              <m:sub>
                <m:r>
                  <m:rPr/>
                  <w:rPr>
                    <w:rFonts w:ascii="Cambria Math" w:hAnsi="Cambria Math"/>
                    <w:color w:val="auto"/>
                  </w:rPr>
                  <m:t>w</m:t>
                </m:r>
                <m:ctrlPr>
                  <w:rPr>
                    <w:rFonts w:ascii="Cambria Math" w:hAnsi="Cambria Math"/>
                    <w:i/>
                    <w:color w:val="auto"/>
                  </w:rPr>
                </m:ctrlPr>
              </m:sub>
            </m:sSub>
            <m:ctrlPr>
              <w:rPr>
                <w:rFonts w:ascii="Cambria Math" w:hAnsi="Cambria Math"/>
                <w:i/>
                <w:color w:val="auto"/>
              </w:rPr>
            </m:ctrlPr>
          </m:num>
          <m:den>
            <m:r>
              <m:rPr/>
              <w:rPr>
                <w:rFonts w:ascii="Cambria Math" w:hAnsi="Cambria Math"/>
                <w:color w:val="auto"/>
              </w:rPr>
              <m:t>md</m:t>
            </m:r>
            <m:ctrlPr>
              <w:rPr>
                <w:rFonts w:ascii="Cambria Math" w:hAnsi="Cambria Math"/>
                <w:i/>
                <w:color w:val="auto"/>
              </w:rPr>
            </m:ctrlPr>
          </m:den>
        </m:f>
        <m:r>
          <m:rPr/>
          <w:rPr>
            <w:rFonts w:ascii="Cambria Math" w:hAnsi="Cambria Math"/>
            <w:color w:val="auto"/>
          </w:rPr>
          <m:t xml:space="preserve"> </m:t>
        </m:r>
      </m:oMath>
      <w:r>
        <w:rPr>
          <w:rFonts w:hint="eastAsia" w:ascii="宋体"/>
          <w:color w:val="auto"/>
          <w:kern w:val="0"/>
          <w:szCs w:val="20"/>
        </w:rPr>
        <w:t>…………………………</w:t>
      </w:r>
      <w:r>
        <w:rPr>
          <w:color w:val="auto"/>
          <w:kern w:val="0"/>
          <w:szCs w:val="20"/>
        </w:rPr>
        <w:t>(A.</w:t>
      </w:r>
      <w:r>
        <w:rPr>
          <w:rFonts w:hint="eastAsia"/>
          <w:color w:val="auto"/>
          <w:kern w:val="0"/>
          <w:szCs w:val="20"/>
        </w:rPr>
        <w:t>5</w:t>
      </w:r>
      <w:r>
        <w:rPr>
          <w:color w:val="auto"/>
          <w:kern w:val="0"/>
          <w:szCs w:val="20"/>
        </w:rPr>
        <w:t>)</w:t>
      </w:r>
      <w:r>
        <w:rPr>
          <w:color w:val="auto"/>
          <w:szCs w:val="21"/>
        </w:rPr>
        <w:fldChar w:fldCharType="begin"/>
      </w:r>
      <w:r>
        <w:rPr>
          <w:color w:val="auto"/>
          <w:szCs w:val="21"/>
        </w:rPr>
        <w:instrText xml:space="preserve"> QUOTE </w:instrText>
      </w:r>
      <m:oMath>
        <m:r>
          <m:rPr>
            <m:sty m:val="p"/>
          </m:rPr>
          <w:rPr>
            <w:rFonts w:ascii="Cambria Math" w:hAnsi="Cambria Math"/>
            <w:color w:val="auto"/>
          </w:rPr>
          <m:t xml:space="preserve">W=</m:t>
        </m:r>
        <m:f>
          <m:fPr>
            <m:ctrlPr>
              <w:rPr>
                <w:rFonts w:ascii="Cambria Math" w:hAnsi="Cambria Math"/>
                <w:i/>
                <w:color w:val="auto"/>
              </w:rPr>
            </m:ctrlPr>
          </m:fPr>
          <m:num>
            <m:sSub>
              <m:sSubPr>
                <m:ctrlPr>
                  <w:rPr>
                    <w:rFonts w:ascii="Cambria Math" w:hAnsi="Cambria Math"/>
                    <w:i/>
                    <w:color w:val="auto"/>
                  </w:rPr>
                </m:ctrlPr>
              </m:sSubPr>
              <m:e>
                <m:r>
                  <m:rPr>
                    <m:sty m:val="p"/>
                  </m:rPr>
                  <w:rPr>
                    <w:rFonts w:ascii="Cambria Math" w:hAnsi="Cambria Math"/>
                    <w:color w:val="auto"/>
                  </w:rPr>
                  <m:t xml:space="preserve">m</m:t>
                </m:r>
                <m:ctrlPr>
                  <w:rPr>
                    <w:rFonts w:ascii="Cambria Math" w:hAnsi="Cambria Math"/>
                    <w:i/>
                    <w:color w:val="auto"/>
                  </w:rPr>
                </m:ctrlPr>
              </m:e>
              <m:sub>
                <m:r>
                  <m:rPr>
                    <m:sty m:val="p"/>
                  </m:rPr>
                  <w:rPr>
                    <w:rFonts w:ascii="Cambria Math" w:hAnsi="Cambria Math"/>
                    <w:color w:val="auto"/>
                  </w:rPr>
                  <m:t xml:space="preserve">rw</m:t>
                </m:r>
                <m:ctrlPr>
                  <w:rPr>
                    <w:rFonts w:ascii="Cambria Math" w:hAnsi="Cambria Math"/>
                    <w:i/>
                    <w:color w:val="auto"/>
                  </w:rPr>
                </m:ctrlPr>
              </m:sub>
            </m:sSub>
            <m:ctrlPr>
              <w:rPr>
                <w:rFonts w:ascii="Cambria Math" w:hAnsi="Cambria Math"/>
                <w:i/>
                <w:color w:val="auto"/>
              </w:rPr>
            </m:ctrlPr>
          </m:num>
          <m:den>
            <m:sSub>
              <m:sSubPr>
                <m:ctrlPr>
                  <w:rPr>
                    <w:rFonts w:ascii="Cambria Math" w:hAnsi="Cambria Math"/>
                    <w:i/>
                    <w:color w:val="auto"/>
                  </w:rPr>
                </m:ctrlPr>
              </m:sSubPr>
              <m:e>
                <m:r>
                  <m:rPr>
                    <m:sty m:val="p"/>
                  </m:rPr>
                  <w:rPr>
                    <w:rFonts w:ascii="Cambria Math" w:hAnsi="Cambria Math"/>
                    <w:color w:val="auto"/>
                  </w:rPr>
                  <m:t xml:space="preserve">m</m:t>
                </m:r>
                <m:ctrlPr>
                  <w:rPr>
                    <w:rFonts w:ascii="Cambria Math" w:hAnsi="Cambria Math"/>
                    <w:i/>
                    <w:color w:val="auto"/>
                  </w:rPr>
                </m:ctrlPr>
              </m:e>
              <m:sub>
                <m:r>
                  <m:rPr>
                    <m:sty m:val="p"/>
                  </m:rPr>
                  <w:rPr>
                    <w:rFonts w:ascii="Cambria Math" w:hAnsi="Cambria Math"/>
                    <w:color w:val="auto"/>
                  </w:rPr>
                  <m:t xml:space="preserve">pw</m:t>
                </m:r>
                <m:ctrlPr>
                  <w:rPr>
                    <w:rFonts w:ascii="Cambria Math" w:hAnsi="Cambria Math"/>
                    <w:i/>
                    <w:color w:val="auto"/>
                  </w:rPr>
                </m:ctrlPr>
              </m:sub>
            </m:sSub>
            <m:ctrlPr>
              <w:rPr>
                <w:rFonts w:ascii="Cambria Math" w:hAnsi="Cambria Math"/>
                <w:i/>
                <w:color w:val="auto"/>
              </w:rPr>
            </m:ctrlPr>
          </m:den>
        </m:f>
        <m:r>
          <m:rPr>
            <m:sty m:val="p"/>
          </m:rPr>
          <w:rPr>
            <w:rFonts w:ascii="Cambria Math" w:hAnsi="Cambria Math"/>
            <w:color w:val="auto"/>
          </w:rPr>
          <m:t xml:space="preserve">×100%                        …………………………(A.1)  </m:t>
        </m:r>
      </m:oMath>
      <w:r>
        <w:rPr>
          <w:color w:val="auto"/>
          <w:szCs w:val="21"/>
        </w:rPr>
        <w:fldChar w:fldCharType="end"/>
      </w:r>
    </w:p>
    <w:p w14:paraId="4F90A990">
      <w:pPr>
        <w:ind w:firstLine="420" w:firstLineChars="200"/>
        <w:jc w:val="left"/>
        <w:rPr>
          <w:iCs/>
          <w:color w:val="auto"/>
          <w:kern w:val="0"/>
          <w:szCs w:val="21"/>
        </w:rPr>
      </w:pPr>
      <w:r>
        <w:rPr>
          <w:rFonts w:hint="eastAsia"/>
          <w:iCs/>
          <w:color w:val="auto"/>
          <w:kern w:val="0"/>
          <w:szCs w:val="21"/>
        </w:rPr>
        <w:t>式中：</w:t>
      </w:r>
    </w:p>
    <w:p w14:paraId="7BC5DF23">
      <w:pPr>
        <w:pStyle w:val="25"/>
        <w:rPr>
          <w:rFonts w:ascii="Times New Roman"/>
          <w:color w:val="auto"/>
        </w:rPr>
      </w:pPr>
      <w:r>
        <w:rPr>
          <w:rFonts w:ascii="Times New Roman"/>
          <w:i/>
          <w:color w:val="auto"/>
          <w:szCs w:val="21"/>
        </w:rPr>
        <w:t xml:space="preserve">F </w:t>
      </w:r>
      <w:r>
        <w:rPr>
          <w:rFonts w:ascii="Times New Roman"/>
          <w:color w:val="auto"/>
          <w:szCs w:val="21"/>
        </w:rPr>
        <w:t>——</w:t>
      </w:r>
      <w:r>
        <w:rPr>
          <w:rFonts w:hint="eastAsia" w:ascii="Times New Roman"/>
          <w:color w:val="auto"/>
        </w:rPr>
        <w:t>单位产品工业废水排放量，单位为千克每立方米（</w:t>
      </w:r>
      <w:r>
        <w:rPr>
          <w:rFonts w:ascii="Times New Roman"/>
          <w:color w:val="auto"/>
        </w:rPr>
        <w:t>m3/</w:t>
      </w:r>
      <w:r>
        <w:rPr>
          <w:rFonts w:hint="eastAsia" w:ascii="Times New Roman"/>
          <w:color w:val="auto"/>
        </w:rPr>
        <w:t xml:space="preserve"> kg）；</w:t>
      </w:r>
    </w:p>
    <w:p w14:paraId="710E3C25">
      <w:pPr>
        <w:pStyle w:val="25"/>
        <w:rPr>
          <w:rFonts w:ascii="Times New Roman"/>
          <w:color w:val="auto"/>
        </w:rPr>
      </w:pPr>
      <w:r>
        <w:rPr>
          <w:rFonts w:ascii="Times New Roman"/>
          <w:i/>
          <w:color w:val="auto"/>
          <w:szCs w:val="21"/>
        </w:rPr>
        <w:t>V</w:t>
      </w:r>
      <w:r>
        <w:rPr>
          <w:rFonts w:ascii="Times New Roman"/>
          <w:i/>
          <w:color w:val="auto"/>
          <w:szCs w:val="21"/>
          <w:vertAlign w:val="subscript"/>
        </w:rPr>
        <w:t xml:space="preserve">w </w:t>
      </w:r>
      <w:r>
        <w:rPr>
          <w:rFonts w:ascii="Times New Roman"/>
          <w:color w:val="auto"/>
        </w:rPr>
        <w:t>——</w:t>
      </w:r>
      <w:r>
        <w:rPr>
          <w:rFonts w:hint="eastAsia" w:ascii="Times New Roman"/>
          <w:color w:val="auto"/>
        </w:rPr>
        <w:t>统计期内产品生产废水排放总量，单位为立方米（</w:t>
      </w:r>
      <w:r>
        <w:rPr>
          <w:rFonts w:ascii="Times New Roman"/>
          <w:color w:val="auto"/>
        </w:rPr>
        <w:t>m3</w:t>
      </w:r>
      <w:r>
        <w:rPr>
          <w:rFonts w:hint="eastAsia" w:ascii="Times New Roman"/>
          <w:color w:val="auto"/>
        </w:rPr>
        <w:t>）；</w:t>
      </w:r>
    </w:p>
    <w:p w14:paraId="4A265027">
      <w:pPr>
        <w:pStyle w:val="25"/>
        <w:rPr>
          <w:rFonts w:ascii="Times New Roman"/>
          <w:color w:val="auto"/>
        </w:rPr>
      </w:pPr>
      <w:r>
        <w:rPr>
          <w:rFonts w:ascii="Times New Roman"/>
          <w:i/>
          <w:color w:val="auto"/>
          <w:szCs w:val="21"/>
        </w:rPr>
        <w:t>m</w:t>
      </w:r>
      <w:r>
        <w:rPr>
          <w:rFonts w:ascii="Times New Roman"/>
          <w:i/>
          <w:color w:val="auto"/>
          <w:szCs w:val="21"/>
          <w:vertAlign w:val="subscript"/>
        </w:rPr>
        <w:t>d</w:t>
      </w:r>
      <w:r>
        <w:rPr>
          <w:rFonts w:ascii="Times New Roman"/>
          <w:color w:val="auto"/>
        </w:rPr>
        <w:t>——</w:t>
      </w:r>
      <w:r>
        <w:rPr>
          <w:rFonts w:hint="eastAsia" w:ascii="Times New Roman"/>
          <w:color w:val="auto"/>
        </w:rPr>
        <w:t>统计期内符合相关标准的合格铝合金衬塑复合管材或管件总产量，单位为</w:t>
      </w:r>
      <w:r>
        <w:rPr>
          <w:rFonts w:ascii="Times New Roman"/>
          <w:color w:val="auto"/>
        </w:rPr>
        <w:t>公斤</w:t>
      </w:r>
      <w:r>
        <w:rPr>
          <w:rFonts w:hint="eastAsia" w:ascii="Times New Roman"/>
          <w:color w:val="auto"/>
        </w:rPr>
        <w:t>（k</w:t>
      </w:r>
      <w:r>
        <w:rPr>
          <w:rFonts w:ascii="Times New Roman"/>
          <w:color w:val="auto"/>
        </w:rPr>
        <w:t>g</w:t>
      </w:r>
      <w:r>
        <w:rPr>
          <w:rFonts w:hint="eastAsia" w:ascii="Times New Roman"/>
          <w:color w:val="auto"/>
        </w:rPr>
        <w:t>）。</w:t>
      </w:r>
    </w:p>
    <w:p w14:paraId="3ADDB39F">
      <w:pPr>
        <w:pStyle w:val="25"/>
        <w:ind w:firstLine="0" w:firstLineChars="0"/>
        <w:rPr>
          <w:rFonts w:ascii="Times New Roman"/>
          <w:color w:val="auto"/>
        </w:rPr>
      </w:pPr>
    </w:p>
    <w:p w14:paraId="6640B13A">
      <w:pPr>
        <w:pStyle w:val="25"/>
        <w:ind w:firstLine="0" w:firstLineChars="0"/>
        <w:rPr>
          <w:rFonts w:ascii="Times New Roman"/>
          <w:color w:val="auto"/>
        </w:rPr>
      </w:pPr>
    </w:p>
    <w:p w14:paraId="5ADBEF6F">
      <w:pPr>
        <w:pStyle w:val="137"/>
        <w:rPr>
          <w:color w:val="auto"/>
        </w:rPr>
      </w:pPr>
      <w:bookmarkStart w:id="91" w:name="DW"/>
      <w:bookmarkEnd w:id="91"/>
      <w:r>
        <w:rPr>
          <w:color w:val="auto"/>
        </w:rPr>
        <w:t>_________________________________</w:t>
      </w:r>
    </w:p>
    <w:p w14:paraId="427D6EB5">
      <w:pPr>
        <w:rPr>
          <w:color w:val="auto"/>
        </w:rPr>
      </w:pPr>
    </w:p>
    <w:p w14:paraId="610CF97B">
      <w:pPr>
        <w:spacing w:line="520" w:lineRule="exact"/>
        <w:rPr>
          <w:color w:val="auto"/>
          <w:szCs w:val="21"/>
        </w:rPr>
      </w:pPr>
    </w:p>
    <w:p w14:paraId="49CBDAD2">
      <w:pPr>
        <w:widowControl/>
        <w:jc w:val="left"/>
        <w:rPr>
          <w:color w:val="auto"/>
          <w:szCs w:val="21"/>
        </w:rPr>
      </w:pPr>
    </w:p>
    <w:sectPr>
      <w:pgSz w:w="11906" w:h="16838"/>
      <w:pgMar w:top="1135" w:right="1134" w:bottom="851" w:left="1418" w:header="1418" w:footer="1134"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S Mincho">
    <w:panose1 w:val="02020609040205080304"/>
    <w:charset w:val="80"/>
    <w:family w:val="modern"/>
    <w:pitch w:val="default"/>
    <w:sig w:usb0="E00002FF" w:usb1="6AC7FDFB" w:usb2="00000012" w:usb3="00000000" w:csb0="4002009F" w:csb1="DFD70000"/>
  </w:font>
  <w:font w:name="瀹嬩綋">
    <w:altName w:val="宋体"/>
    <w:panose1 w:val="00000000000000000000"/>
    <w:charset w:val="86"/>
    <w:family w:val="roman"/>
    <w:pitch w:val="default"/>
    <w:sig w:usb0="00000000" w:usb1="00000000" w:usb2="0000001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728A7">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0109378"/>
    </w:sdtPr>
    <w:sdtContent>
      <w:p w14:paraId="3DB337E3">
        <w:pPr>
          <w:pStyle w:val="19"/>
          <w:jc w:val="center"/>
        </w:pPr>
        <w:r>
          <w:fldChar w:fldCharType="begin"/>
        </w:r>
        <w:r>
          <w:instrText xml:space="preserve">PAGE   \* MERGEFORMAT</w:instrText>
        </w:r>
        <w:r>
          <w:fldChar w:fldCharType="separate"/>
        </w:r>
        <w:r>
          <w:rPr>
            <w:lang w:val="zh-CN"/>
          </w:rPr>
          <w:t>7</w:t>
        </w:r>
        <w:r>
          <w:fldChar w:fldCharType="end"/>
        </w:r>
      </w:p>
    </w:sdtContent>
  </w:sdt>
  <w:p w14:paraId="1F73D02A">
    <w:pPr>
      <w:pStyle w:val="1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1049D">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8D4A9">
    <w:pPr>
      <w:pStyle w:val="112"/>
    </w:pPr>
    <w:bookmarkStart w:id="92" w:name="_GoBack"/>
    <w:r>
      <w:t>T/ CECS 1000X—XXXX</w:t>
    </w:r>
  </w:p>
  <w:bookmarkEnd w:id="9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72"/>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
    <w:nsid w:val="093C6778"/>
    <w:multiLevelType w:val="multilevel"/>
    <w:tmpl w:val="093C6778"/>
    <w:lvl w:ilvl="0" w:tentative="0">
      <w:start w:val="1"/>
      <w:numFmt w:val="decimal"/>
      <w:pStyle w:val="54"/>
      <w:suff w:val="nothing"/>
      <w:lvlText w:val="示例%1："/>
      <w:lvlJc w:val="left"/>
      <w:pPr>
        <w:ind w:firstLine="397"/>
      </w:pPr>
      <w:rPr>
        <w:rFonts w:hint="eastAsia" w:ascii="黑体" w:eastAsia="黑体" w:cs="Times New Roman"/>
        <w:sz w:val="18"/>
      </w:rPr>
    </w:lvl>
    <w:lvl w:ilvl="1" w:tentative="0">
      <w:start w:val="1"/>
      <w:numFmt w:val="lowerLetter"/>
      <w:lvlText w:val="%2)"/>
      <w:lvlJc w:val="left"/>
      <w:pPr>
        <w:ind w:left="840" w:hanging="420"/>
      </w:pP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2">
    <w:nsid w:val="0AE367E9"/>
    <w:multiLevelType w:val="multilevel"/>
    <w:tmpl w:val="0AE367E9"/>
    <w:lvl w:ilvl="0" w:tentative="0">
      <w:start w:val="1"/>
      <w:numFmt w:val="none"/>
      <w:pStyle w:val="100"/>
      <w:suff w:val="nothing"/>
      <w:lvlText w:val="%1示例："/>
      <w:lvlJc w:val="left"/>
      <w:pPr>
        <w:ind w:firstLine="363"/>
      </w:pPr>
      <w:rPr>
        <w:rFonts w:hint="eastAsia" w:ascii="黑体" w:eastAsia="黑体" w:cs="Times New Roman"/>
        <w:b w:val="0"/>
        <w:i w:val="0"/>
        <w:sz w:val="18"/>
        <w:szCs w:val="18"/>
      </w:rPr>
    </w:lvl>
    <w:lvl w:ilvl="1" w:tentative="0">
      <w:start w:val="1"/>
      <w:numFmt w:val="lowerLetter"/>
      <w:lvlText w:val="%2)"/>
      <w:lvlJc w:val="left"/>
      <w:pPr>
        <w:tabs>
          <w:tab w:val="left" w:pos="363"/>
        </w:tabs>
        <w:ind w:firstLine="363"/>
      </w:pPr>
      <w:rPr>
        <w:rFonts w:hint="eastAsia" w:cs="Times New Roman"/>
      </w:rPr>
    </w:lvl>
    <w:lvl w:ilvl="2" w:tentative="0">
      <w:start w:val="1"/>
      <w:numFmt w:val="lowerRoman"/>
      <w:lvlText w:val="%3."/>
      <w:lvlJc w:val="right"/>
      <w:pPr>
        <w:tabs>
          <w:tab w:val="left" w:pos="363"/>
        </w:tabs>
        <w:ind w:firstLine="363"/>
      </w:pPr>
      <w:rPr>
        <w:rFonts w:hint="eastAsia" w:cs="Times New Roman"/>
      </w:rPr>
    </w:lvl>
    <w:lvl w:ilvl="3" w:tentative="0">
      <w:start w:val="1"/>
      <w:numFmt w:val="decimal"/>
      <w:lvlText w:val="%4."/>
      <w:lvlJc w:val="left"/>
      <w:pPr>
        <w:tabs>
          <w:tab w:val="left" w:pos="363"/>
        </w:tabs>
        <w:ind w:firstLine="363"/>
      </w:pPr>
      <w:rPr>
        <w:rFonts w:hint="eastAsia" w:cs="Times New Roman"/>
      </w:rPr>
    </w:lvl>
    <w:lvl w:ilvl="4" w:tentative="0">
      <w:start w:val="1"/>
      <w:numFmt w:val="lowerLetter"/>
      <w:lvlText w:val="%5)"/>
      <w:lvlJc w:val="left"/>
      <w:pPr>
        <w:tabs>
          <w:tab w:val="left" w:pos="363"/>
        </w:tabs>
        <w:ind w:firstLine="363"/>
      </w:pPr>
      <w:rPr>
        <w:rFonts w:hint="eastAsia" w:cs="Times New Roman"/>
      </w:rPr>
    </w:lvl>
    <w:lvl w:ilvl="5" w:tentative="0">
      <w:start w:val="1"/>
      <w:numFmt w:val="lowerRoman"/>
      <w:lvlText w:val="%6."/>
      <w:lvlJc w:val="right"/>
      <w:pPr>
        <w:tabs>
          <w:tab w:val="left" w:pos="363"/>
        </w:tabs>
        <w:ind w:firstLine="363"/>
      </w:pPr>
      <w:rPr>
        <w:rFonts w:hint="eastAsia" w:cs="Times New Roman"/>
      </w:rPr>
    </w:lvl>
    <w:lvl w:ilvl="6" w:tentative="0">
      <w:start w:val="1"/>
      <w:numFmt w:val="decimal"/>
      <w:lvlText w:val="%7."/>
      <w:lvlJc w:val="left"/>
      <w:pPr>
        <w:tabs>
          <w:tab w:val="left" w:pos="363"/>
        </w:tabs>
        <w:ind w:firstLine="363"/>
      </w:pPr>
      <w:rPr>
        <w:rFonts w:hint="eastAsia" w:cs="Times New Roman"/>
      </w:rPr>
    </w:lvl>
    <w:lvl w:ilvl="7" w:tentative="0">
      <w:start w:val="1"/>
      <w:numFmt w:val="lowerLetter"/>
      <w:lvlText w:val="%8)"/>
      <w:lvlJc w:val="left"/>
      <w:pPr>
        <w:tabs>
          <w:tab w:val="left" w:pos="363"/>
        </w:tabs>
        <w:ind w:firstLine="363"/>
      </w:pPr>
      <w:rPr>
        <w:rFonts w:hint="eastAsia" w:cs="Times New Roman"/>
      </w:rPr>
    </w:lvl>
    <w:lvl w:ilvl="8" w:tentative="0">
      <w:start w:val="1"/>
      <w:numFmt w:val="lowerRoman"/>
      <w:lvlText w:val="%9."/>
      <w:lvlJc w:val="right"/>
      <w:pPr>
        <w:tabs>
          <w:tab w:val="left" w:pos="363"/>
        </w:tabs>
        <w:ind w:firstLine="363"/>
      </w:pPr>
      <w:rPr>
        <w:rFonts w:hint="eastAsia" w:cs="Times New Roman"/>
      </w:rPr>
    </w:lvl>
  </w:abstractNum>
  <w:abstractNum w:abstractNumId="3">
    <w:nsid w:val="0DDE2B46"/>
    <w:multiLevelType w:val="multilevel"/>
    <w:tmpl w:val="0DDE2B46"/>
    <w:lvl w:ilvl="0" w:tentative="0">
      <w:start w:val="1"/>
      <w:numFmt w:val="lowerLetter"/>
      <w:pStyle w:val="135"/>
      <w:suff w:val="nothing"/>
      <w:lvlText w:val="%1   "/>
      <w:lvlJc w:val="left"/>
      <w:pPr>
        <w:ind w:left="544" w:hanging="181"/>
      </w:pPr>
      <w:rPr>
        <w:rFonts w:hint="eastAsia" w:ascii="宋体" w:eastAsia="宋体" w:cs="Times New Roman"/>
        <w:b w:val="0"/>
        <w:i w:val="0"/>
        <w:sz w:val="18"/>
        <w:vertAlign w:val="superscript"/>
      </w:rPr>
    </w:lvl>
    <w:lvl w:ilvl="1" w:tentative="0">
      <w:start w:val="1"/>
      <w:numFmt w:val="lowerLetter"/>
      <w:lvlText w:val="%2"/>
      <w:lvlJc w:val="left"/>
      <w:pPr>
        <w:tabs>
          <w:tab w:val="left" w:pos="57"/>
        </w:tabs>
        <w:ind w:left="363" w:hanging="363"/>
      </w:pPr>
      <w:rPr>
        <w:rFonts w:hint="eastAsia" w:cs="Times New Roman"/>
      </w:rPr>
    </w:lvl>
    <w:lvl w:ilvl="2" w:tentative="0">
      <w:start w:val="1"/>
      <w:numFmt w:val="lowerRoman"/>
      <w:lvlText w:val="%3."/>
      <w:lvlJc w:val="right"/>
      <w:pPr>
        <w:tabs>
          <w:tab w:val="left" w:pos="57"/>
        </w:tabs>
        <w:ind w:left="363" w:hanging="363"/>
      </w:pPr>
      <w:rPr>
        <w:rFonts w:hint="eastAsia" w:cs="Times New Roman"/>
      </w:rPr>
    </w:lvl>
    <w:lvl w:ilvl="3" w:tentative="0">
      <w:start w:val="1"/>
      <w:numFmt w:val="decimal"/>
      <w:lvlText w:val="%4."/>
      <w:lvlJc w:val="left"/>
      <w:pPr>
        <w:tabs>
          <w:tab w:val="left" w:pos="57"/>
        </w:tabs>
        <w:ind w:left="363" w:hanging="363"/>
      </w:pPr>
      <w:rPr>
        <w:rFonts w:hint="eastAsia" w:cs="Times New Roman"/>
      </w:rPr>
    </w:lvl>
    <w:lvl w:ilvl="4" w:tentative="0">
      <w:start w:val="1"/>
      <w:numFmt w:val="lowerLetter"/>
      <w:lvlText w:val="%5)"/>
      <w:lvlJc w:val="left"/>
      <w:pPr>
        <w:tabs>
          <w:tab w:val="left" w:pos="57"/>
        </w:tabs>
        <w:ind w:left="363" w:hanging="363"/>
      </w:pPr>
      <w:rPr>
        <w:rFonts w:hint="eastAsia" w:cs="Times New Roman"/>
      </w:rPr>
    </w:lvl>
    <w:lvl w:ilvl="5" w:tentative="0">
      <w:start w:val="1"/>
      <w:numFmt w:val="lowerRoman"/>
      <w:lvlText w:val="%6."/>
      <w:lvlJc w:val="right"/>
      <w:pPr>
        <w:tabs>
          <w:tab w:val="left" w:pos="57"/>
        </w:tabs>
        <w:ind w:left="363" w:hanging="363"/>
      </w:pPr>
      <w:rPr>
        <w:rFonts w:hint="eastAsia" w:cs="Times New Roman"/>
      </w:rPr>
    </w:lvl>
    <w:lvl w:ilvl="6" w:tentative="0">
      <w:start w:val="1"/>
      <w:numFmt w:val="decimal"/>
      <w:lvlText w:val="%7."/>
      <w:lvlJc w:val="left"/>
      <w:pPr>
        <w:tabs>
          <w:tab w:val="left" w:pos="57"/>
        </w:tabs>
        <w:ind w:left="363" w:hanging="363"/>
      </w:pPr>
      <w:rPr>
        <w:rFonts w:hint="eastAsia" w:cs="Times New Roman"/>
      </w:rPr>
    </w:lvl>
    <w:lvl w:ilvl="7" w:tentative="0">
      <w:start w:val="1"/>
      <w:numFmt w:val="lowerLetter"/>
      <w:lvlText w:val="%8)"/>
      <w:lvlJc w:val="left"/>
      <w:pPr>
        <w:tabs>
          <w:tab w:val="left" w:pos="57"/>
        </w:tabs>
        <w:ind w:left="363" w:hanging="363"/>
      </w:pPr>
      <w:rPr>
        <w:rFonts w:hint="eastAsia" w:cs="Times New Roman"/>
      </w:rPr>
    </w:lvl>
    <w:lvl w:ilvl="8" w:tentative="0">
      <w:start w:val="1"/>
      <w:numFmt w:val="lowerRoman"/>
      <w:lvlText w:val="%9."/>
      <w:lvlJc w:val="right"/>
      <w:pPr>
        <w:tabs>
          <w:tab w:val="left" w:pos="57"/>
        </w:tabs>
        <w:ind w:left="363" w:hanging="363"/>
      </w:pPr>
      <w:rPr>
        <w:rFonts w:hint="eastAsia" w:cs="Times New Roman"/>
      </w:rPr>
    </w:lvl>
  </w:abstractNum>
  <w:abstractNum w:abstractNumId="4">
    <w:nsid w:val="1DBF583A"/>
    <w:multiLevelType w:val="multilevel"/>
    <w:tmpl w:val="1DBF583A"/>
    <w:lvl w:ilvl="0" w:tentative="0">
      <w:start w:val="1"/>
      <w:numFmt w:val="decimal"/>
      <w:pStyle w:val="60"/>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5">
    <w:nsid w:val="1FC91163"/>
    <w:multiLevelType w:val="multilevel"/>
    <w:tmpl w:val="1FC91163"/>
    <w:lvl w:ilvl="0" w:tentative="0">
      <w:start w:val="1"/>
      <w:numFmt w:val="decimal"/>
      <w:pStyle w:val="77"/>
      <w:suff w:val="nothing"/>
      <w:lvlText w:val="%1　"/>
      <w:lvlJc w:val="left"/>
      <w:rPr>
        <w:rFonts w:hint="eastAsia" w:ascii="黑体" w:hAnsi="Times New Roman" w:eastAsia="黑体" w:cs="Times New Roman"/>
        <w:b w:val="0"/>
        <w:i w:val="0"/>
        <w:sz w:val="21"/>
        <w:szCs w:val="21"/>
      </w:rPr>
    </w:lvl>
    <w:lvl w:ilvl="1" w:tentative="0">
      <w:start w:val="1"/>
      <w:numFmt w:val="decimal"/>
      <w:pStyle w:val="63"/>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62"/>
      <w:suff w:val="nothing"/>
      <w:lvlText w:val="%1.%2.%3　"/>
      <w:lvlJc w:val="left"/>
      <w:pPr>
        <w:ind w:left="0"/>
      </w:pPr>
      <w:rPr>
        <w:rFonts w:hint="default" w:ascii="Times New Roman" w:hAnsi="Times New Roman" w:eastAsia="黑体" w:cs="Times New Roman"/>
        <w:b w:val="0"/>
        <w:i w:val="0"/>
        <w:sz w:val="21"/>
      </w:rPr>
    </w:lvl>
    <w:lvl w:ilvl="3" w:tentative="0">
      <w:start w:val="1"/>
      <w:numFmt w:val="decimal"/>
      <w:pStyle w:val="61"/>
      <w:suff w:val="nothing"/>
      <w:lvlText w:val="%1.%2.%3.%4　"/>
      <w:lvlJc w:val="left"/>
      <w:rPr>
        <w:rFonts w:hint="eastAsia" w:ascii="黑体" w:hAnsi="Times New Roman" w:eastAsia="黑体" w:cs="Times New Roman"/>
        <w:b w:val="0"/>
        <w:i w:val="0"/>
        <w:sz w:val="21"/>
      </w:rPr>
    </w:lvl>
    <w:lvl w:ilvl="4" w:tentative="0">
      <w:start w:val="1"/>
      <w:numFmt w:val="decimal"/>
      <w:pStyle w:val="90"/>
      <w:suff w:val="nothing"/>
      <w:lvlText w:val="%1.%2.%3.%4.%5　"/>
      <w:lvlJc w:val="left"/>
      <w:rPr>
        <w:rFonts w:hint="eastAsia" w:ascii="黑体" w:hAnsi="Times New Roman" w:eastAsia="黑体" w:cs="Times New Roman"/>
        <w:b w:val="0"/>
        <w:i w:val="0"/>
        <w:sz w:val="21"/>
      </w:rPr>
    </w:lvl>
    <w:lvl w:ilvl="5" w:tentative="0">
      <w:start w:val="1"/>
      <w:numFmt w:val="decimal"/>
      <w:pStyle w:val="115"/>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6">
    <w:nsid w:val="2A8F7113"/>
    <w:multiLevelType w:val="multilevel"/>
    <w:tmpl w:val="2A8F7113"/>
    <w:lvl w:ilvl="0" w:tentative="0">
      <w:start w:val="1"/>
      <w:numFmt w:val="upperLetter"/>
      <w:pStyle w:val="94"/>
      <w:suff w:val="space"/>
      <w:lvlText w:val="%1"/>
      <w:lvlJc w:val="left"/>
      <w:pPr>
        <w:ind w:left="623" w:hanging="425"/>
      </w:pPr>
      <w:rPr>
        <w:rFonts w:hint="eastAsia" w:cs="Times New Roman"/>
      </w:rPr>
    </w:lvl>
    <w:lvl w:ilvl="1" w:tentative="0">
      <w:start w:val="1"/>
      <w:numFmt w:val="decimal"/>
      <w:pStyle w:val="143"/>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7">
    <w:nsid w:val="2C5917C3"/>
    <w:multiLevelType w:val="multilevel"/>
    <w:tmpl w:val="2C5917C3"/>
    <w:lvl w:ilvl="0" w:tentative="0">
      <w:start w:val="1"/>
      <w:numFmt w:val="none"/>
      <w:pStyle w:val="113"/>
      <w:suff w:val="nothing"/>
      <w:lvlText w:val="%1——"/>
      <w:lvlJc w:val="left"/>
      <w:pPr>
        <w:ind w:left="833" w:hanging="408"/>
      </w:pPr>
      <w:rPr>
        <w:rFonts w:hint="eastAsia" w:cs="Times New Roman"/>
      </w:rPr>
    </w:lvl>
    <w:lvl w:ilvl="1" w:tentative="0">
      <w:start w:val="1"/>
      <w:numFmt w:val="bullet"/>
      <w:pStyle w:val="121"/>
      <w:lvlText w:val=""/>
      <w:lvlJc w:val="left"/>
      <w:pPr>
        <w:tabs>
          <w:tab w:val="left" w:pos="760"/>
        </w:tabs>
        <w:ind w:left="1264" w:hanging="413"/>
      </w:pPr>
      <w:rPr>
        <w:rFonts w:hint="default" w:ascii="Symbol" w:hAnsi="Symbol"/>
        <w:color w:val="auto"/>
      </w:rPr>
    </w:lvl>
    <w:lvl w:ilvl="2" w:tentative="0">
      <w:start w:val="1"/>
      <w:numFmt w:val="bullet"/>
      <w:pStyle w:val="6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8">
    <w:nsid w:val="3D733618"/>
    <w:multiLevelType w:val="multilevel"/>
    <w:tmpl w:val="3D733618"/>
    <w:lvl w:ilvl="0" w:tentative="0">
      <w:start w:val="1"/>
      <w:numFmt w:val="decimal"/>
      <w:pStyle w:val="26"/>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9">
    <w:nsid w:val="44C50F90"/>
    <w:multiLevelType w:val="multilevel"/>
    <w:tmpl w:val="44C50F90"/>
    <w:lvl w:ilvl="0" w:tentative="0">
      <w:start w:val="1"/>
      <w:numFmt w:val="lowerLetter"/>
      <w:pStyle w:val="92"/>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75"/>
      <w:lvlText w:val="%2)"/>
      <w:lvlJc w:val="left"/>
      <w:pPr>
        <w:tabs>
          <w:tab w:val="left" w:pos="1260"/>
        </w:tabs>
        <w:ind w:left="1259" w:hanging="419"/>
      </w:pPr>
      <w:rPr>
        <w:rFonts w:hint="eastAsia" w:cs="Times New Roman"/>
      </w:rPr>
    </w:lvl>
    <w:lvl w:ilvl="2" w:tentative="0">
      <w:start w:val="1"/>
      <w:numFmt w:val="decimal"/>
      <w:pStyle w:val="79"/>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10">
    <w:nsid w:val="4B733A5F"/>
    <w:multiLevelType w:val="multilevel"/>
    <w:tmpl w:val="4B733A5F"/>
    <w:lvl w:ilvl="0" w:tentative="0">
      <w:start w:val="1"/>
      <w:numFmt w:val="decimal"/>
      <w:pStyle w:val="76"/>
      <w:suff w:val="nothing"/>
      <w:lvlText w:val="示例%1："/>
      <w:lvlJc w:val="left"/>
      <w:pPr>
        <w:ind w:firstLine="363"/>
      </w:pPr>
      <w:rPr>
        <w:rFonts w:hint="eastAsia" w:ascii="黑体" w:hAnsi="Times New Roman" w:eastAsia="黑体" w:cs="Times New Roman"/>
        <w:b w:val="0"/>
        <w:i w:val="0"/>
        <w:sz w:val="18"/>
        <w:szCs w:val="18"/>
        <w:vertAlign w:val="baseline"/>
      </w:rPr>
    </w:lvl>
    <w:lvl w:ilvl="1" w:tentative="0">
      <w:start w:val="1"/>
      <w:numFmt w:val="none"/>
      <w:suff w:val="space"/>
      <w:lvlText w:val=""/>
      <w:lvlJc w:val="left"/>
      <w:rPr>
        <w:rFonts w:hint="eastAsia" w:cs="Times New Roman"/>
        <w:vertAlign w:val="baseline"/>
      </w:rPr>
    </w:lvl>
    <w:lvl w:ilvl="2" w:tentative="0">
      <w:start w:val="1"/>
      <w:numFmt w:val="decimal"/>
      <w:suff w:val="space"/>
      <w:lvlText w:val="2.2.%3"/>
      <w:lvlJc w:val="left"/>
      <w:rPr>
        <w:rFonts w:hint="eastAsia" w:cs="Times New Roman"/>
        <w:vertAlign w:val="baseline"/>
      </w:rPr>
    </w:lvl>
    <w:lvl w:ilvl="3" w:tentative="0">
      <w:start w:val="1"/>
      <w:numFmt w:val="decimal"/>
      <w:lvlText w:val="%4."/>
      <w:lvlJc w:val="left"/>
      <w:pPr>
        <w:tabs>
          <w:tab w:val="left" w:pos="0"/>
        </w:tabs>
        <w:ind w:left="992" w:hanging="629"/>
      </w:pPr>
      <w:rPr>
        <w:rFonts w:hint="eastAsia" w:cs="Times New Roman"/>
        <w:vertAlign w:val="baseline"/>
      </w:rPr>
    </w:lvl>
    <w:lvl w:ilvl="4" w:tentative="0">
      <w:start w:val="1"/>
      <w:numFmt w:val="lowerLetter"/>
      <w:lvlText w:val="%5)"/>
      <w:lvlJc w:val="left"/>
      <w:pPr>
        <w:tabs>
          <w:tab w:val="left" w:pos="0"/>
        </w:tabs>
        <w:ind w:left="992" w:hanging="629"/>
      </w:pPr>
      <w:rPr>
        <w:rFonts w:hint="eastAsia" w:cs="Times New Roman"/>
        <w:vertAlign w:val="baseline"/>
      </w:rPr>
    </w:lvl>
    <w:lvl w:ilvl="5" w:tentative="0">
      <w:start w:val="1"/>
      <w:numFmt w:val="lowerRoman"/>
      <w:lvlText w:val="%6."/>
      <w:lvlJc w:val="right"/>
      <w:pPr>
        <w:tabs>
          <w:tab w:val="left" w:pos="0"/>
        </w:tabs>
        <w:ind w:left="992" w:hanging="629"/>
      </w:pPr>
      <w:rPr>
        <w:rFonts w:hint="eastAsia" w:cs="Times New Roman"/>
        <w:vertAlign w:val="baseline"/>
      </w:rPr>
    </w:lvl>
    <w:lvl w:ilvl="6" w:tentative="0">
      <w:start w:val="1"/>
      <w:numFmt w:val="decimal"/>
      <w:lvlText w:val="%7."/>
      <w:lvlJc w:val="left"/>
      <w:pPr>
        <w:tabs>
          <w:tab w:val="left" w:pos="0"/>
        </w:tabs>
        <w:ind w:left="992" w:hanging="629"/>
      </w:pPr>
      <w:rPr>
        <w:rFonts w:hint="eastAsia" w:cs="Times New Roman"/>
        <w:vertAlign w:val="baseline"/>
      </w:rPr>
    </w:lvl>
    <w:lvl w:ilvl="7" w:tentative="0">
      <w:start w:val="1"/>
      <w:numFmt w:val="lowerLetter"/>
      <w:lvlText w:val="%8)"/>
      <w:lvlJc w:val="left"/>
      <w:pPr>
        <w:tabs>
          <w:tab w:val="left" w:pos="0"/>
        </w:tabs>
        <w:ind w:left="992" w:hanging="629"/>
      </w:pPr>
      <w:rPr>
        <w:rFonts w:hint="eastAsia" w:cs="Times New Roman"/>
        <w:vertAlign w:val="baseline"/>
      </w:rPr>
    </w:lvl>
    <w:lvl w:ilvl="8" w:tentative="0">
      <w:start w:val="1"/>
      <w:numFmt w:val="lowerRoman"/>
      <w:lvlText w:val="%9."/>
      <w:lvlJc w:val="right"/>
      <w:pPr>
        <w:tabs>
          <w:tab w:val="left" w:pos="0"/>
        </w:tabs>
        <w:ind w:left="992" w:hanging="629"/>
      </w:pPr>
      <w:rPr>
        <w:rFonts w:hint="eastAsia" w:cs="Times New Roman"/>
        <w:vertAlign w:val="baseline"/>
      </w:rPr>
    </w:lvl>
  </w:abstractNum>
  <w:abstractNum w:abstractNumId="11">
    <w:nsid w:val="529C65A5"/>
    <w:multiLevelType w:val="multilevel"/>
    <w:tmpl w:val="529C65A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557C2AF5"/>
    <w:multiLevelType w:val="multilevel"/>
    <w:tmpl w:val="557C2AF5"/>
    <w:lvl w:ilvl="0" w:tentative="0">
      <w:start w:val="1"/>
      <w:numFmt w:val="decimal"/>
      <w:pStyle w:val="85"/>
      <w:suff w:val="nothing"/>
      <w:lvlText w:val="图%1　"/>
      <w:lvlJc w:val="left"/>
      <w:rPr>
        <w:rFonts w:hint="eastAsia" w:ascii="黑体" w:hAnsi="Times New Roman" w:eastAsia="黑体" w:cs="Times New Roman"/>
        <w:b w:val="0"/>
        <w:i w:val="0"/>
        <w:sz w:val="21"/>
      </w:rPr>
    </w:lvl>
    <w:lvl w:ilvl="1" w:tentative="0">
      <w:start w:val="1"/>
      <w:numFmt w:val="decimal"/>
      <w:suff w:val="nothing"/>
      <w:lvlText w:val="%1%2　"/>
      <w:lvlJc w:val="left"/>
      <w:rPr>
        <w:rFonts w:hint="default" w:ascii="Times New Roman" w:hAnsi="Times New Roman" w:eastAsia="黑体" w:cs="Times New Roman"/>
        <w:b w:val="0"/>
        <w:i w:val="0"/>
        <w:sz w:val="21"/>
      </w:rPr>
    </w:lvl>
    <w:lvl w:ilvl="2" w:tentative="0">
      <w:start w:val="1"/>
      <w:numFmt w:val="decimal"/>
      <w:suff w:val="nothing"/>
      <w:lvlText w:val="%1%2.%3　"/>
      <w:lvlJc w:val="left"/>
      <w:rPr>
        <w:rFonts w:hint="default" w:ascii="Times New Roman" w:hAnsi="Times New Roman" w:eastAsia="黑体" w:cs="Times New Roman"/>
        <w:b w:val="0"/>
        <w:i w:val="0"/>
        <w:sz w:val="21"/>
      </w:rPr>
    </w:lvl>
    <w:lvl w:ilvl="3" w:tentative="0">
      <w:start w:val="1"/>
      <w:numFmt w:val="decimal"/>
      <w:suff w:val="nothing"/>
      <w:lvlText w:val="%1%2.%3.%4　"/>
      <w:lvlJc w:val="left"/>
      <w:rPr>
        <w:rFonts w:hint="default" w:ascii="Times New Roman" w:hAnsi="Times New Roman" w:eastAsia="黑体" w:cs="Times New Roman"/>
        <w:b w:val="0"/>
        <w:i w:val="0"/>
        <w:sz w:val="21"/>
      </w:rPr>
    </w:lvl>
    <w:lvl w:ilvl="4" w:tentative="0">
      <w:start w:val="1"/>
      <w:numFmt w:val="decimal"/>
      <w:suff w:val="nothing"/>
      <w:lvlText w:val="%1%2.%3.%4.%5　"/>
      <w:lvlJc w:val="left"/>
      <w:rPr>
        <w:rFonts w:hint="default" w:ascii="Times New Roman" w:hAnsi="Times New Roman" w:eastAsia="黑体" w:cs="Times New Roman"/>
        <w:b w:val="0"/>
        <w:i w:val="0"/>
        <w:sz w:val="21"/>
      </w:rPr>
    </w:lvl>
    <w:lvl w:ilvl="5" w:tentative="0">
      <w:start w:val="1"/>
      <w:numFmt w:val="decimal"/>
      <w:suff w:val="nothing"/>
      <w:lvlText w:val="%1%2.%3.%4.%5.%6　"/>
      <w:lvlJc w:val="left"/>
      <w:rPr>
        <w:rFonts w:hint="default" w:ascii="Times New Roman" w:hAnsi="Times New Roman" w:eastAsia="黑体" w:cs="Times New Roman"/>
        <w:b w:val="0"/>
        <w:i w:val="0"/>
        <w:sz w:val="21"/>
      </w:rPr>
    </w:lvl>
    <w:lvl w:ilvl="6" w:tentative="0">
      <w:start w:val="1"/>
      <w:numFmt w:val="decimal"/>
      <w:suff w:val="nothing"/>
      <w:lvlText w:val="%1%2.%3.%4.%5.%6.%7　"/>
      <w:lvlJc w:val="left"/>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3">
    <w:nsid w:val="60B55DC2"/>
    <w:multiLevelType w:val="multilevel"/>
    <w:tmpl w:val="60B55DC2"/>
    <w:lvl w:ilvl="0" w:tentative="0">
      <w:start w:val="1"/>
      <w:numFmt w:val="upperLetter"/>
      <w:pStyle w:val="134"/>
      <w:lvlText w:val="%1"/>
      <w:lvlJc w:val="left"/>
      <w:pPr>
        <w:tabs>
          <w:tab w:val="left" w:pos="0"/>
        </w:tabs>
        <w:ind w:hanging="425"/>
      </w:pPr>
      <w:rPr>
        <w:rFonts w:hint="eastAsia" w:cs="Times New Roman"/>
      </w:rPr>
    </w:lvl>
    <w:lvl w:ilvl="1" w:tentative="0">
      <w:start w:val="1"/>
      <w:numFmt w:val="decimal"/>
      <w:pStyle w:val="136"/>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14">
    <w:nsid w:val="646260FA"/>
    <w:multiLevelType w:val="multilevel"/>
    <w:tmpl w:val="646260FA"/>
    <w:lvl w:ilvl="0" w:tentative="0">
      <w:start w:val="1"/>
      <w:numFmt w:val="decimal"/>
      <w:pStyle w:val="146"/>
      <w:suff w:val="nothing"/>
      <w:lvlText w:val="表%1　"/>
      <w:lvlJc w:val="left"/>
      <w:rPr>
        <w:rFonts w:hint="eastAsia" w:ascii="黑体" w:hAnsi="Times New Roman" w:eastAsia="黑体" w:cs="Times New Roman"/>
        <w:b w:val="0"/>
        <w:i w:val="0"/>
        <w:sz w:val="21"/>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5">
    <w:nsid w:val="657D3FBC"/>
    <w:multiLevelType w:val="multilevel"/>
    <w:tmpl w:val="657D3FBC"/>
    <w:lvl w:ilvl="0" w:tentative="0">
      <w:start w:val="1"/>
      <w:numFmt w:val="upperLetter"/>
      <w:pStyle w:val="132"/>
      <w:suff w:val="nothing"/>
      <w:lvlText w:val="附　录　%1"/>
      <w:lvlJc w:val="left"/>
      <w:pPr>
        <w:ind w:left="3119"/>
      </w:pPr>
      <w:rPr>
        <w:rFonts w:hint="eastAsia" w:ascii="黑体" w:hAnsi="Times New Roman" w:eastAsia="黑体" w:cs="Times New Roman"/>
        <w:b w:val="0"/>
        <w:i w:val="0"/>
        <w:spacing w:val="0"/>
        <w:w w:val="100"/>
        <w:sz w:val="21"/>
      </w:rPr>
    </w:lvl>
    <w:lvl w:ilvl="1" w:tentative="0">
      <w:start w:val="1"/>
      <w:numFmt w:val="decimal"/>
      <w:pStyle w:val="67"/>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66"/>
      <w:suff w:val="nothing"/>
      <w:lvlText w:val="%1.%2.%3　"/>
      <w:lvlJc w:val="left"/>
      <w:rPr>
        <w:rFonts w:hint="eastAsia" w:ascii="黑体" w:hAnsi="Times New Roman" w:eastAsia="黑体" w:cs="Times New Roman"/>
        <w:b w:val="0"/>
        <w:i w:val="0"/>
        <w:sz w:val="21"/>
      </w:rPr>
    </w:lvl>
    <w:lvl w:ilvl="3" w:tentative="0">
      <w:start w:val="1"/>
      <w:numFmt w:val="decimal"/>
      <w:pStyle w:val="84"/>
      <w:suff w:val="nothing"/>
      <w:lvlText w:val="%1.%2.%3.%4　"/>
      <w:lvlJc w:val="left"/>
      <w:rPr>
        <w:rFonts w:hint="eastAsia" w:ascii="黑体" w:hAnsi="Times New Roman" w:eastAsia="黑体" w:cs="Times New Roman"/>
        <w:b w:val="0"/>
        <w:i w:val="0"/>
        <w:sz w:val="21"/>
      </w:rPr>
    </w:lvl>
    <w:lvl w:ilvl="4" w:tentative="0">
      <w:start w:val="1"/>
      <w:numFmt w:val="decimal"/>
      <w:pStyle w:val="83"/>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6">
    <w:nsid w:val="6D6C07CD"/>
    <w:multiLevelType w:val="multilevel"/>
    <w:tmpl w:val="6D6C07CD"/>
    <w:lvl w:ilvl="0" w:tentative="0">
      <w:start w:val="1"/>
      <w:numFmt w:val="lowerLetter"/>
      <w:pStyle w:val="144"/>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141"/>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8"/>
  </w:num>
  <w:num w:numId="2">
    <w:abstractNumId w:val="1"/>
  </w:num>
  <w:num w:numId="3">
    <w:abstractNumId w:val="4"/>
  </w:num>
  <w:num w:numId="4">
    <w:abstractNumId w:val="5"/>
  </w:num>
  <w:num w:numId="5">
    <w:abstractNumId w:val="15"/>
  </w:num>
  <w:num w:numId="6">
    <w:abstractNumId w:val="7"/>
  </w:num>
  <w:num w:numId="7">
    <w:abstractNumId w:val="0"/>
  </w:num>
  <w:num w:numId="8">
    <w:abstractNumId w:val="9"/>
  </w:num>
  <w:num w:numId="9">
    <w:abstractNumId w:val="10"/>
  </w:num>
  <w:num w:numId="10">
    <w:abstractNumId w:val="12"/>
  </w:num>
  <w:num w:numId="11">
    <w:abstractNumId w:val="6"/>
  </w:num>
  <w:num w:numId="12">
    <w:abstractNumId w:val="2"/>
  </w:num>
  <w:num w:numId="13">
    <w:abstractNumId w:val="13"/>
  </w:num>
  <w:num w:numId="14">
    <w:abstractNumId w:val="3"/>
  </w:num>
  <w:num w:numId="15">
    <w:abstractNumId w:val="16"/>
  </w:num>
  <w:num w:numId="16">
    <w:abstractNumId w:val="14"/>
  </w:num>
  <w:num w:numId="17">
    <w:abstractNumId w:val="5"/>
    <w:lvlOverride w:ilvl="0">
      <w:startOverride w:val="4"/>
    </w:lvlOverride>
    <w:lvlOverride w:ilvl="1">
      <w:startOverride w:val="1"/>
    </w:lvlOverride>
    <w:lvlOverride w:ilvl="2">
      <w:startOverride w:val="5"/>
    </w:lvlOverride>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zMmZjZGYxNWY1MzliNDJiNmQwZmE1YzIwN2FiMDkifQ=="/>
  </w:docVars>
  <w:rsids>
    <w:rsidRoot w:val="00035925"/>
    <w:rsid w:val="0000020D"/>
    <w:rsid w:val="00000244"/>
    <w:rsid w:val="0000057D"/>
    <w:rsid w:val="000017EB"/>
    <w:rsid w:val="0000185F"/>
    <w:rsid w:val="00002DFF"/>
    <w:rsid w:val="0000485B"/>
    <w:rsid w:val="00004F9D"/>
    <w:rsid w:val="000054E3"/>
    <w:rsid w:val="0000586F"/>
    <w:rsid w:val="00005B9A"/>
    <w:rsid w:val="0000660B"/>
    <w:rsid w:val="00007C76"/>
    <w:rsid w:val="00007D81"/>
    <w:rsid w:val="00010050"/>
    <w:rsid w:val="000103EE"/>
    <w:rsid w:val="000106F7"/>
    <w:rsid w:val="000108A8"/>
    <w:rsid w:val="000108D0"/>
    <w:rsid w:val="00011893"/>
    <w:rsid w:val="00011E53"/>
    <w:rsid w:val="00012DFC"/>
    <w:rsid w:val="00012FD6"/>
    <w:rsid w:val="00013A8A"/>
    <w:rsid w:val="00013D86"/>
    <w:rsid w:val="00013E02"/>
    <w:rsid w:val="00014679"/>
    <w:rsid w:val="0001468D"/>
    <w:rsid w:val="00014A9D"/>
    <w:rsid w:val="0001506B"/>
    <w:rsid w:val="00016C35"/>
    <w:rsid w:val="000172E4"/>
    <w:rsid w:val="00020397"/>
    <w:rsid w:val="0002060A"/>
    <w:rsid w:val="00020702"/>
    <w:rsid w:val="0002143C"/>
    <w:rsid w:val="0002146B"/>
    <w:rsid w:val="00021539"/>
    <w:rsid w:val="0002268F"/>
    <w:rsid w:val="00022FEE"/>
    <w:rsid w:val="000231DC"/>
    <w:rsid w:val="000235A5"/>
    <w:rsid w:val="00023E16"/>
    <w:rsid w:val="00025A65"/>
    <w:rsid w:val="00026AD6"/>
    <w:rsid w:val="00026C31"/>
    <w:rsid w:val="00026F4A"/>
    <w:rsid w:val="00027280"/>
    <w:rsid w:val="000278CD"/>
    <w:rsid w:val="0002791E"/>
    <w:rsid w:val="00027BA1"/>
    <w:rsid w:val="000308F4"/>
    <w:rsid w:val="00030A91"/>
    <w:rsid w:val="00030FBA"/>
    <w:rsid w:val="00031779"/>
    <w:rsid w:val="000320A7"/>
    <w:rsid w:val="000329F4"/>
    <w:rsid w:val="00032D39"/>
    <w:rsid w:val="0003378C"/>
    <w:rsid w:val="00033E42"/>
    <w:rsid w:val="00034087"/>
    <w:rsid w:val="0003477E"/>
    <w:rsid w:val="000358A8"/>
    <w:rsid w:val="00035925"/>
    <w:rsid w:val="000371CD"/>
    <w:rsid w:val="00041E53"/>
    <w:rsid w:val="0004265C"/>
    <w:rsid w:val="000457E2"/>
    <w:rsid w:val="0004614E"/>
    <w:rsid w:val="000467DB"/>
    <w:rsid w:val="0004726A"/>
    <w:rsid w:val="00047FF5"/>
    <w:rsid w:val="000500C1"/>
    <w:rsid w:val="0005037C"/>
    <w:rsid w:val="000504CD"/>
    <w:rsid w:val="000512FF"/>
    <w:rsid w:val="0005171B"/>
    <w:rsid w:val="00052742"/>
    <w:rsid w:val="00053C73"/>
    <w:rsid w:val="000545BF"/>
    <w:rsid w:val="00055A45"/>
    <w:rsid w:val="00055F03"/>
    <w:rsid w:val="000562E6"/>
    <w:rsid w:val="00057875"/>
    <w:rsid w:val="00057B4A"/>
    <w:rsid w:val="00061D7B"/>
    <w:rsid w:val="000621EC"/>
    <w:rsid w:val="00062AE8"/>
    <w:rsid w:val="000633B0"/>
    <w:rsid w:val="00063740"/>
    <w:rsid w:val="000658F0"/>
    <w:rsid w:val="000668AE"/>
    <w:rsid w:val="00066F2E"/>
    <w:rsid w:val="0006772D"/>
    <w:rsid w:val="00067CDF"/>
    <w:rsid w:val="00067FA7"/>
    <w:rsid w:val="00071402"/>
    <w:rsid w:val="00071516"/>
    <w:rsid w:val="000729D9"/>
    <w:rsid w:val="00072E01"/>
    <w:rsid w:val="0007345C"/>
    <w:rsid w:val="000741CD"/>
    <w:rsid w:val="00074212"/>
    <w:rsid w:val="000742E2"/>
    <w:rsid w:val="00074421"/>
    <w:rsid w:val="00074FBE"/>
    <w:rsid w:val="00075B19"/>
    <w:rsid w:val="00075E0D"/>
    <w:rsid w:val="00076375"/>
    <w:rsid w:val="000763B8"/>
    <w:rsid w:val="000764F8"/>
    <w:rsid w:val="00076841"/>
    <w:rsid w:val="000804E4"/>
    <w:rsid w:val="00080979"/>
    <w:rsid w:val="00080E14"/>
    <w:rsid w:val="00081AB1"/>
    <w:rsid w:val="00081AFA"/>
    <w:rsid w:val="000828E8"/>
    <w:rsid w:val="00083A09"/>
    <w:rsid w:val="00083E1F"/>
    <w:rsid w:val="00084126"/>
    <w:rsid w:val="000850B6"/>
    <w:rsid w:val="000860DB"/>
    <w:rsid w:val="00086665"/>
    <w:rsid w:val="0009005E"/>
    <w:rsid w:val="00090CC3"/>
    <w:rsid w:val="00090DEC"/>
    <w:rsid w:val="00092158"/>
    <w:rsid w:val="00092857"/>
    <w:rsid w:val="000939BC"/>
    <w:rsid w:val="000942C3"/>
    <w:rsid w:val="00094376"/>
    <w:rsid w:val="000945A4"/>
    <w:rsid w:val="00094B93"/>
    <w:rsid w:val="000A0407"/>
    <w:rsid w:val="000A20A9"/>
    <w:rsid w:val="000A225F"/>
    <w:rsid w:val="000A45C4"/>
    <w:rsid w:val="000A48B1"/>
    <w:rsid w:val="000A50D8"/>
    <w:rsid w:val="000A69F5"/>
    <w:rsid w:val="000A7631"/>
    <w:rsid w:val="000B030E"/>
    <w:rsid w:val="000B0CA3"/>
    <w:rsid w:val="000B0E5F"/>
    <w:rsid w:val="000B12CD"/>
    <w:rsid w:val="000B28A2"/>
    <w:rsid w:val="000B2BF9"/>
    <w:rsid w:val="000B3056"/>
    <w:rsid w:val="000B3143"/>
    <w:rsid w:val="000B4899"/>
    <w:rsid w:val="000B5676"/>
    <w:rsid w:val="000B570A"/>
    <w:rsid w:val="000B755D"/>
    <w:rsid w:val="000B7597"/>
    <w:rsid w:val="000B7B01"/>
    <w:rsid w:val="000B7CCA"/>
    <w:rsid w:val="000C077F"/>
    <w:rsid w:val="000C1E5C"/>
    <w:rsid w:val="000C213D"/>
    <w:rsid w:val="000C3DC0"/>
    <w:rsid w:val="000C4932"/>
    <w:rsid w:val="000C52FC"/>
    <w:rsid w:val="000C53D9"/>
    <w:rsid w:val="000C5A28"/>
    <w:rsid w:val="000C5C0A"/>
    <w:rsid w:val="000C6257"/>
    <w:rsid w:val="000C6699"/>
    <w:rsid w:val="000C6B05"/>
    <w:rsid w:val="000C6BE8"/>
    <w:rsid w:val="000C6CF8"/>
    <w:rsid w:val="000C6DD6"/>
    <w:rsid w:val="000C73D4"/>
    <w:rsid w:val="000D0513"/>
    <w:rsid w:val="000D0AE6"/>
    <w:rsid w:val="000D12E9"/>
    <w:rsid w:val="000D2EA2"/>
    <w:rsid w:val="000D3D4C"/>
    <w:rsid w:val="000D4F51"/>
    <w:rsid w:val="000D50E1"/>
    <w:rsid w:val="000D5F23"/>
    <w:rsid w:val="000D718B"/>
    <w:rsid w:val="000D78C2"/>
    <w:rsid w:val="000E0C46"/>
    <w:rsid w:val="000E1797"/>
    <w:rsid w:val="000E4D01"/>
    <w:rsid w:val="000E50FB"/>
    <w:rsid w:val="000E6E69"/>
    <w:rsid w:val="000E72A9"/>
    <w:rsid w:val="000E7493"/>
    <w:rsid w:val="000F0053"/>
    <w:rsid w:val="000F030C"/>
    <w:rsid w:val="000F035D"/>
    <w:rsid w:val="000F0F73"/>
    <w:rsid w:val="000F129C"/>
    <w:rsid w:val="000F2D4D"/>
    <w:rsid w:val="000F325D"/>
    <w:rsid w:val="000F60B3"/>
    <w:rsid w:val="000F740A"/>
    <w:rsid w:val="00102F7F"/>
    <w:rsid w:val="00103EC5"/>
    <w:rsid w:val="001042C3"/>
    <w:rsid w:val="00104510"/>
    <w:rsid w:val="00104B0C"/>
    <w:rsid w:val="00105258"/>
    <w:rsid w:val="001056DE"/>
    <w:rsid w:val="00106C29"/>
    <w:rsid w:val="00107398"/>
    <w:rsid w:val="001108A3"/>
    <w:rsid w:val="00110C37"/>
    <w:rsid w:val="00111592"/>
    <w:rsid w:val="001124C0"/>
    <w:rsid w:val="001137F2"/>
    <w:rsid w:val="00113E00"/>
    <w:rsid w:val="00113F4B"/>
    <w:rsid w:val="00115197"/>
    <w:rsid w:val="00116351"/>
    <w:rsid w:val="001166B5"/>
    <w:rsid w:val="00120CC6"/>
    <w:rsid w:val="001224BB"/>
    <w:rsid w:val="00123E86"/>
    <w:rsid w:val="00124496"/>
    <w:rsid w:val="001260ED"/>
    <w:rsid w:val="00127D9D"/>
    <w:rsid w:val="001303AA"/>
    <w:rsid w:val="00130714"/>
    <w:rsid w:val="00131608"/>
    <w:rsid w:val="0013175F"/>
    <w:rsid w:val="00133A06"/>
    <w:rsid w:val="00134A4E"/>
    <w:rsid w:val="0013538F"/>
    <w:rsid w:val="00135BCD"/>
    <w:rsid w:val="00137572"/>
    <w:rsid w:val="001400E3"/>
    <w:rsid w:val="00141218"/>
    <w:rsid w:val="00141593"/>
    <w:rsid w:val="00144BDF"/>
    <w:rsid w:val="00144F49"/>
    <w:rsid w:val="00145CBE"/>
    <w:rsid w:val="001469B5"/>
    <w:rsid w:val="0015002E"/>
    <w:rsid w:val="00151106"/>
    <w:rsid w:val="001512B4"/>
    <w:rsid w:val="00151606"/>
    <w:rsid w:val="001525A9"/>
    <w:rsid w:val="00152D27"/>
    <w:rsid w:val="00152D78"/>
    <w:rsid w:val="00153507"/>
    <w:rsid w:val="00156442"/>
    <w:rsid w:val="00156600"/>
    <w:rsid w:val="0015684E"/>
    <w:rsid w:val="00156C0D"/>
    <w:rsid w:val="001573DB"/>
    <w:rsid w:val="001600C0"/>
    <w:rsid w:val="0016010E"/>
    <w:rsid w:val="0016136B"/>
    <w:rsid w:val="00161480"/>
    <w:rsid w:val="001620A5"/>
    <w:rsid w:val="00163D1C"/>
    <w:rsid w:val="00164B75"/>
    <w:rsid w:val="00164E53"/>
    <w:rsid w:val="001656BB"/>
    <w:rsid w:val="00165904"/>
    <w:rsid w:val="00165CDF"/>
    <w:rsid w:val="0016699D"/>
    <w:rsid w:val="0016782D"/>
    <w:rsid w:val="00172F2E"/>
    <w:rsid w:val="00173D54"/>
    <w:rsid w:val="001740E4"/>
    <w:rsid w:val="0017457A"/>
    <w:rsid w:val="00175159"/>
    <w:rsid w:val="00175534"/>
    <w:rsid w:val="00175590"/>
    <w:rsid w:val="00175DA8"/>
    <w:rsid w:val="00176208"/>
    <w:rsid w:val="001762A3"/>
    <w:rsid w:val="00176783"/>
    <w:rsid w:val="00176828"/>
    <w:rsid w:val="00176F9C"/>
    <w:rsid w:val="001800D9"/>
    <w:rsid w:val="001809C6"/>
    <w:rsid w:val="00180F99"/>
    <w:rsid w:val="0018211B"/>
    <w:rsid w:val="00182B0F"/>
    <w:rsid w:val="00183E3D"/>
    <w:rsid w:val="001840D3"/>
    <w:rsid w:val="001849C0"/>
    <w:rsid w:val="00185C5F"/>
    <w:rsid w:val="00185F44"/>
    <w:rsid w:val="00186599"/>
    <w:rsid w:val="00186B75"/>
    <w:rsid w:val="00187AF0"/>
    <w:rsid w:val="001900F8"/>
    <w:rsid w:val="00191258"/>
    <w:rsid w:val="00192680"/>
    <w:rsid w:val="00192769"/>
    <w:rsid w:val="00192D16"/>
    <w:rsid w:val="00192FAB"/>
    <w:rsid w:val="00193037"/>
    <w:rsid w:val="00193A2C"/>
    <w:rsid w:val="00194C47"/>
    <w:rsid w:val="00195195"/>
    <w:rsid w:val="001951C5"/>
    <w:rsid w:val="00195E6A"/>
    <w:rsid w:val="00196B85"/>
    <w:rsid w:val="00196E9F"/>
    <w:rsid w:val="001A21D5"/>
    <w:rsid w:val="001A288E"/>
    <w:rsid w:val="001A2C67"/>
    <w:rsid w:val="001A3C5D"/>
    <w:rsid w:val="001A3D07"/>
    <w:rsid w:val="001A49B8"/>
    <w:rsid w:val="001A5EE1"/>
    <w:rsid w:val="001A6AAA"/>
    <w:rsid w:val="001A7EF8"/>
    <w:rsid w:val="001B00A2"/>
    <w:rsid w:val="001B03D8"/>
    <w:rsid w:val="001B2A0B"/>
    <w:rsid w:val="001B324F"/>
    <w:rsid w:val="001B3FCF"/>
    <w:rsid w:val="001B6C7B"/>
    <w:rsid w:val="001B6DC2"/>
    <w:rsid w:val="001B7C90"/>
    <w:rsid w:val="001C0871"/>
    <w:rsid w:val="001C149C"/>
    <w:rsid w:val="001C1E5C"/>
    <w:rsid w:val="001C21AC"/>
    <w:rsid w:val="001C2A8F"/>
    <w:rsid w:val="001C365D"/>
    <w:rsid w:val="001C4191"/>
    <w:rsid w:val="001C47BA"/>
    <w:rsid w:val="001C5397"/>
    <w:rsid w:val="001C59EA"/>
    <w:rsid w:val="001C621B"/>
    <w:rsid w:val="001C6DEA"/>
    <w:rsid w:val="001C74B4"/>
    <w:rsid w:val="001D03A7"/>
    <w:rsid w:val="001D09E5"/>
    <w:rsid w:val="001D3BD6"/>
    <w:rsid w:val="001D406C"/>
    <w:rsid w:val="001D41EE"/>
    <w:rsid w:val="001D45A6"/>
    <w:rsid w:val="001D5EF5"/>
    <w:rsid w:val="001D6ADF"/>
    <w:rsid w:val="001E0380"/>
    <w:rsid w:val="001E07DF"/>
    <w:rsid w:val="001E0C3E"/>
    <w:rsid w:val="001E13B1"/>
    <w:rsid w:val="001E3AF9"/>
    <w:rsid w:val="001E3E1C"/>
    <w:rsid w:val="001E67B4"/>
    <w:rsid w:val="001E6F79"/>
    <w:rsid w:val="001F0C55"/>
    <w:rsid w:val="001F2612"/>
    <w:rsid w:val="001F3A19"/>
    <w:rsid w:val="001F3E49"/>
    <w:rsid w:val="001F41DD"/>
    <w:rsid w:val="001F448B"/>
    <w:rsid w:val="001F4564"/>
    <w:rsid w:val="001F7E7F"/>
    <w:rsid w:val="002008C7"/>
    <w:rsid w:val="00201A86"/>
    <w:rsid w:val="002028B8"/>
    <w:rsid w:val="00203915"/>
    <w:rsid w:val="00204025"/>
    <w:rsid w:val="00204037"/>
    <w:rsid w:val="00206E20"/>
    <w:rsid w:val="002072C0"/>
    <w:rsid w:val="00207BFB"/>
    <w:rsid w:val="00210FBD"/>
    <w:rsid w:val="0021182B"/>
    <w:rsid w:val="002127B6"/>
    <w:rsid w:val="002137F2"/>
    <w:rsid w:val="002153C5"/>
    <w:rsid w:val="00216484"/>
    <w:rsid w:val="00216CD4"/>
    <w:rsid w:val="00217640"/>
    <w:rsid w:val="0022005A"/>
    <w:rsid w:val="00222C31"/>
    <w:rsid w:val="00222EA9"/>
    <w:rsid w:val="002246F6"/>
    <w:rsid w:val="00231C04"/>
    <w:rsid w:val="00231DDE"/>
    <w:rsid w:val="002326A4"/>
    <w:rsid w:val="00233D66"/>
    <w:rsid w:val="00234467"/>
    <w:rsid w:val="00234BC5"/>
    <w:rsid w:val="00234C2E"/>
    <w:rsid w:val="00235134"/>
    <w:rsid w:val="00236299"/>
    <w:rsid w:val="002365EB"/>
    <w:rsid w:val="00237D8D"/>
    <w:rsid w:val="0024134D"/>
    <w:rsid w:val="0024138F"/>
    <w:rsid w:val="00241DA2"/>
    <w:rsid w:val="00242221"/>
    <w:rsid w:val="00243E77"/>
    <w:rsid w:val="002446DE"/>
    <w:rsid w:val="002451ED"/>
    <w:rsid w:val="00245ACF"/>
    <w:rsid w:val="00247FEE"/>
    <w:rsid w:val="00250997"/>
    <w:rsid w:val="00250E7D"/>
    <w:rsid w:val="00251B17"/>
    <w:rsid w:val="00251C88"/>
    <w:rsid w:val="002532EA"/>
    <w:rsid w:val="002539EC"/>
    <w:rsid w:val="00253A42"/>
    <w:rsid w:val="00254528"/>
    <w:rsid w:val="00255038"/>
    <w:rsid w:val="002565D5"/>
    <w:rsid w:val="0026055F"/>
    <w:rsid w:val="00260A9C"/>
    <w:rsid w:val="00260F97"/>
    <w:rsid w:val="00262297"/>
    <w:rsid w:val="002622C0"/>
    <w:rsid w:val="00262E2F"/>
    <w:rsid w:val="002633AF"/>
    <w:rsid w:val="00263555"/>
    <w:rsid w:val="00263994"/>
    <w:rsid w:val="00264626"/>
    <w:rsid w:val="00266CEA"/>
    <w:rsid w:val="002679A7"/>
    <w:rsid w:val="00267FBB"/>
    <w:rsid w:val="00274770"/>
    <w:rsid w:val="0027494A"/>
    <w:rsid w:val="00274E65"/>
    <w:rsid w:val="00274EF8"/>
    <w:rsid w:val="00275A90"/>
    <w:rsid w:val="002778AE"/>
    <w:rsid w:val="002778F6"/>
    <w:rsid w:val="00277DB7"/>
    <w:rsid w:val="00277E88"/>
    <w:rsid w:val="002805AC"/>
    <w:rsid w:val="00280719"/>
    <w:rsid w:val="002807EB"/>
    <w:rsid w:val="00281FEA"/>
    <w:rsid w:val="0028269A"/>
    <w:rsid w:val="00282C6B"/>
    <w:rsid w:val="00283590"/>
    <w:rsid w:val="00286973"/>
    <w:rsid w:val="00286DA1"/>
    <w:rsid w:val="00286FF9"/>
    <w:rsid w:val="002870E9"/>
    <w:rsid w:val="002872F8"/>
    <w:rsid w:val="00287B0C"/>
    <w:rsid w:val="00290C72"/>
    <w:rsid w:val="00290C91"/>
    <w:rsid w:val="00291051"/>
    <w:rsid w:val="00291079"/>
    <w:rsid w:val="00291122"/>
    <w:rsid w:val="00291464"/>
    <w:rsid w:val="00291B71"/>
    <w:rsid w:val="00291F21"/>
    <w:rsid w:val="00293D12"/>
    <w:rsid w:val="00293FB6"/>
    <w:rsid w:val="00294E70"/>
    <w:rsid w:val="002952F0"/>
    <w:rsid w:val="00296543"/>
    <w:rsid w:val="00296D7B"/>
    <w:rsid w:val="00297514"/>
    <w:rsid w:val="00297A23"/>
    <w:rsid w:val="00297F31"/>
    <w:rsid w:val="002A0186"/>
    <w:rsid w:val="002A0669"/>
    <w:rsid w:val="002A101A"/>
    <w:rsid w:val="002A1924"/>
    <w:rsid w:val="002A1EE7"/>
    <w:rsid w:val="002A2A69"/>
    <w:rsid w:val="002A5E0D"/>
    <w:rsid w:val="002A70B9"/>
    <w:rsid w:val="002A741C"/>
    <w:rsid w:val="002A7420"/>
    <w:rsid w:val="002A780D"/>
    <w:rsid w:val="002A7D00"/>
    <w:rsid w:val="002B02C4"/>
    <w:rsid w:val="002B0738"/>
    <w:rsid w:val="002B0D51"/>
    <w:rsid w:val="002B0F12"/>
    <w:rsid w:val="002B104C"/>
    <w:rsid w:val="002B1308"/>
    <w:rsid w:val="002B1B9D"/>
    <w:rsid w:val="002B4554"/>
    <w:rsid w:val="002B6E37"/>
    <w:rsid w:val="002C0949"/>
    <w:rsid w:val="002C0E0B"/>
    <w:rsid w:val="002C165A"/>
    <w:rsid w:val="002C2D73"/>
    <w:rsid w:val="002C5324"/>
    <w:rsid w:val="002C6C09"/>
    <w:rsid w:val="002C7095"/>
    <w:rsid w:val="002C72D8"/>
    <w:rsid w:val="002C7F22"/>
    <w:rsid w:val="002D01D9"/>
    <w:rsid w:val="002D0AC5"/>
    <w:rsid w:val="002D11FA"/>
    <w:rsid w:val="002D15AD"/>
    <w:rsid w:val="002D223B"/>
    <w:rsid w:val="002D4BE8"/>
    <w:rsid w:val="002D61EB"/>
    <w:rsid w:val="002D6773"/>
    <w:rsid w:val="002E0560"/>
    <w:rsid w:val="002E0DDF"/>
    <w:rsid w:val="002E0E6B"/>
    <w:rsid w:val="002E18A3"/>
    <w:rsid w:val="002E2906"/>
    <w:rsid w:val="002E2FB4"/>
    <w:rsid w:val="002E3014"/>
    <w:rsid w:val="002E3622"/>
    <w:rsid w:val="002E5635"/>
    <w:rsid w:val="002E64C3"/>
    <w:rsid w:val="002E668D"/>
    <w:rsid w:val="002E6729"/>
    <w:rsid w:val="002E6A2C"/>
    <w:rsid w:val="002E703A"/>
    <w:rsid w:val="002E7540"/>
    <w:rsid w:val="002F045D"/>
    <w:rsid w:val="002F11DA"/>
    <w:rsid w:val="002F13D7"/>
    <w:rsid w:val="002F1D8C"/>
    <w:rsid w:val="002F21DA"/>
    <w:rsid w:val="002F26D2"/>
    <w:rsid w:val="002F297A"/>
    <w:rsid w:val="002F298C"/>
    <w:rsid w:val="002F2BB4"/>
    <w:rsid w:val="002F3093"/>
    <w:rsid w:val="002F3A04"/>
    <w:rsid w:val="002F439F"/>
    <w:rsid w:val="002F5624"/>
    <w:rsid w:val="002F5DC5"/>
    <w:rsid w:val="002F780C"/>
    <w:rsid w:val="002F7DFC"/>
    <w:rsid w:val="00300592"/>
    <w:rsid w:val="00300785"/>
    <w:rsid w:val="003010DD"/>
    <w:rsid w:val="00301F39"/>
    <w:rsid w:val="00302BB0"/>
    <w:rsid w:val="003030B3"/>
    <w:rsid w:val="0030450E"/>
    <w:rsid w:val="00304BAE"/>
    <w:rsid w:val="00304F3B"/>
    <w:rsid w:val="00306027"/>
    <w:rsid w:val="00306224"/>
    <w:rsid w:val="0030645A"/>
    <w:rsid w:val="0030677F"/>
    <w:rsid w:val="00311057"/>
    <w:rsid w:val="00311951"/>
    <w:rsid w:val="00311A1D"/>
    <w:rsid w:val="00311DB0"/>
    <w:rsid w:val="00311E55"/>
    <w:rsid w:val="0031255C"/>
    <w:rsid w:val="00312AC2"/>
    <w:rsid w:val="00312ED9"/>
    <w:rsid w:val="00314371"/>
    <w:rsid w:val="003156B1"/>
    <w:rsid w:val="0031749B"/>
    <w:rsid w:val="003177A2"/>
    <w:rsid w:val="00317ADF"/>
    <w:rsid w:val="00317D95"/>
    <w:rsid w:val="00320090"/>
    <w:rsid w:val="00322B77"/>
    <w:rsid w:val="00323EA3"/>
    <w:rsid w:val="00324AC6"/>
    <w:rsid w:val="0032509E"/>
    <w:rsid w:val="00325262"/>
    <w:rsid w:val="00325926"/>
    <w:rsid w:val="00325B2E"/>
    <w:rsid w:val="00325E72"/>
    <w:rsid w:val="00326800"/>
    <w:rsid w:val="00326ACC"/>
    <w:rsid w:val="0032709E"/>
    <w:rsid w:val="00327A8A"/>
    <w:rsid w:val="00330696"/>
    <w:rsid w:val="00330775"/>
    <w:rsid w:val="00330B68"/>
    <w:rsid w:val="00330F67"/>
    <w:rsid w:val="00332263"/>
    <w:rsid w:val="0033266C"/>
    <w:rsid w:val="00334197"/>
    <w:rsid w:val="003356EB"/>
    <w:rsid w:val="003361C7"/>
    <w:rsid w:val="00336610"/>
    <w:rsid w:val="00336B25"/>
    <w:rsid w:val="00336BFF"/>
    <w:rsid w:val="003370F2"/>
    <w:rsid w:val="00340232"/>
    <w:rsid w:val="00340611"/>
    <w:rsid w:val="003407A2"/>
    <w:rsid w:val="0034117C"/>
    <w:rsid w:val="0034199F"/>
    <w:rsid w:val="003421C4"/>
    <w:rsid w:val="00342BAF"/>
    <w:rsid w:val="00343538"/>
    <w:rsid w:val="00343F73"/>
    <w:rsid w:val="00344B5E"/>
    <w:rsid w:val="00344C4B"/>
    <w:rsid w:val="00345060"/>
    <w:rsid w:val="00345E85"/>
    <w:rsid w:val="003462B9"/>
    <w:rsid w:val="00346B39"/>
    <w:rsid w:val="00347491"/>
    <w:rsid w:val="00347F92"/>
    <w:rsid w:val="00350F7A"/>
    <w:rsid w:val="00351271"/>
    <w:rsid w:val="00352977"/>
    <w:rsid w:val="00353101"/>
    <w:rsid w:val="0035323B"/>
    <w:rsid w:val="00353344"/>
    <w:rsid w:val="00355EC7"/>
    <w:rsid w:val="003609D2"/>
    <w:rsid w:val="00362042"/>
    <w:rsid w:val="00363F22"/>
    <w:rsid w:val="003640B8"/>
    <w:rsid w:val="00364C9A"/>
    <w:rsid w:val="003652AA"/>
    <w:rsid w:val="00366152"/>
    <w:rsid w:val="003671FA"/>
    <w:rsid w:val="0037014F"/>
    <w:rsid w:val="0037178C"/>
    <w:rsid w:val="00371A28"/>
    <w:rsid w:val="00372F05"/>
    <w:rsid w:val="00373F1D"/>
    <w:rsid w:val="00374E54"/>
    <w:rsid w:val="00375564"/>
    <w:rsid w:val="00375FCC"/>
    <w:rsid w:val="0037614C"/>
    <w:rsid w:val="003762E4"/>
    <w:rsid w:val="00376686"/>
    <w:rsid w:val="00376BEE"/>
    <w:rsid w:val="00376C3D"/>
    <w:rsid w:val="00377980"/>
    <w:rsid w:val="00380BB4"/>
    <w:rsid w:val="003817BE"/>
    <w:rsid w:val="0038274A"/>
    <w:rsid w:val="003827DA"/>
    <w:rsid w:val="00382E12"/>
    <w:rsid w:val="00383191"/>
    <w:rsid w:val="00383AF2"/>
    <w:rsid w:val="00384348"/>
    <w:rsid w:val="003845BE"/>
    <w:rsid w:val="00384E64"/>
    <w:rsid w:val="00386264"/>
    <w:rsid w:val="00386DED"/>
    <w:rsid w:val="00386EE3"/>
    <w:rsid w:val="00390D6C"/>
    <w:rsid w:val="003912E7"/>
    <w:rsid w:val="00391EAE"/>
    <w:rsid w:val="003922AD"/>
    <w:rsid w:val="00393947"/>
    <w:rsid w:val="00393C6E"/>
    <w:rsid w:val="0039438B"/>
    <w:rsid w:val="0039443A"/>
    <w:rsid w:val="00395276"/>
    <w:rsid w:val="003960A6"/>
    <w:rsid w:val="003975C4"/>
    <w:rsid w:val="003976EA"/>
    <w:rsid w:val="003A0581"/>
    <w:rsid w:val="003A1203"/>
    <w:rsid w:val="003A2275"/>
    <w:rsid w:val="003A22A0"/>
    <w:rsid w:val="003A60C7"/>
    <w:rsid w:val="003A6A4F"/>
    <w:rsid w:val="003A6B5F"/>
    <w:rsid w:val="003A7088"/>
    <w:rsid w:val="003A7DD0"/>
    <w:rsid w:val="003B00DF"/>
    <w:rsid w:val="003B0EB7"/>
    <w:rsid w:val="003B0FEB"/>
    <w:rsid w:val="003B1275"/>
    <w:rsid w:val="003B12FF"/>
    <w:rsid w:val="003B137A"/>
    <w:rsid w:val="003B153A"/>
    <w:rsid w:val="003B1778"/>
    <w:rsid w:val="003B1A21"/>
    <w:rsid w:val="003B2589"/>
    <w:rsid w:val="003B27AE"/>
    <w:rsid w:val="003B322B"/>
    <w:rsid w:val="003B3250"/>
    <w:rsid w:val="003B4DB3"/>
    <w:rsid w:val="003B5830"/>
    <w:rsid w:val="003B6475"/>
    <w:rsid w:val="003B65DD"/>
    <w:rsid w:val="003B71F7"/>
    <w:rsid w:val="003B7DC2"/>
    <w:rsid w:val="003C01D2"/>
    <w:rsid w:val="003C0DEE"/>
    <w:rsid w:val="003C11CB"/>
    <w:rsid w:val="003C1785"/>
    <w:rsid w:val="003C1CCD"/>
    <w:rsid w:val="003C1F06"/>
    <w:rsid w:val="003C25EE"/>
    <w:rsid w:val="003C293E"/>
    <w:rsid w:val="003C3276"/>
    <w:rsid w:val="003C4EFE"/>
    <w:rsid w:val="003C523D"/>
    <w:rsid w:val="003C75F3"/>
    <w:rsid w:val="003C76A4"/>
    <w:rsid w:val="003C7715"/>
    <w:rsid w:val="003C78A3"/>
    <w:rsid w:val="003D04E8"/>
    <w:rsid w:val="003D1906"/>
    <w:rsid w:val="003D1C21"/>
    <w:rsid w:val="003D25B8"/>
    <w:rsid w:val="003D3CA7"/>
    <w:rsid w:val="003D4009"/>
    <w:rsid w:val="003D73AE"/>
    <w:rsid w:val="003D7573"/>
    <w:rsid w:val="003D79F0"/>
    <w:rsid w:val="003E1867"/>
    <w:rsid w:val="003E2ED6"/>
    <w:rsid w:val="003E4581"/>
    <w:rsid w:val="003E5729"/>
    <w:rsid w:val="003E6A2F"/>
    <w:rsid w:val="003E7859"/>
    <w:rsid w:val="003E7F02"/>
    <w:rsid w:val="003F00FC"/>
    <w:rsid w:val="003F0165"/>
    <w:rsid w:val="003F026D"/>
    <w:rsid w:val="003F0B43"/>
    <w:rsid w:val="003F1598"/>
    <w:rsid w:val="003F2353"/>
    <w:rsid w:val="003F30CE"/>
    <w:rsid w:val="003F4445"/>
    <w:rsid w:val="003F4B5C"/>
    <w:rsid w:val="003F4EE0"/>
    <w:rsid w:val="003F7590"/>
    <w:rsid w:val="003F7AA1"/>
    <w:rsid w:val="00400B7D"/>
    <w:rsid w:val="004015DB"/>
    <w:rsid w:val="00402153"/>
    <w:rsid w:val="004025B9"/>
    <w:rsid w:val="00402FC1"/>
    <w:rsid w:val="00403130"/>
    <w:rsid w:val="00403F50"/>
    <w:rsid w:val="0040437C"/>
    <w:rsid w:val="0040588A"/>
    <w:rsid w:val="0040724B"/>
    <w:rsid w:val="00407859"/>
    <w:rsid w:val="004104C7"/>
    <w:rsid w:val="00410B39"/>
    <w:rsid w:val="00412775"/>
    <w:rsid w:val="004129AD"/>
    <w:rsid w:val="004144D7"/>
    <w:rsid w:val="004152B4"/>
    <w:rsid w:val="00416560"/>
    <w:rsid w:val="0041711E"/>
    <w:rsid w:val="00417CAD"/>
    <w:rsid w:val="0042121A"/>
    <w:rsid w:val="00421786"/>
    <w:rsid w:val="00422EE5"/>
    <w:rsid w:val="00423346"/>
    <w:rsid w:val="0042480E"/>
    <w:rsid w:val="00424D79"/>
    <w:rsid w:val="00425082"/>
    <w:rsid w:val="00425084"/>
    <w:rsid w:val="004259E5"/>
    <w:rsid w:val="00425EE0"/>
    <w:rsid w:val="00426D1B"/>
    <w:rsid w:val="00427381"/>
    <w:rsid w:val="004308E9"/>
    <w:rsid w:val="00430FA8"/>
    <w:rsid w:val="00431585"/>
    <w:rsid w:val="00431DEB"/>
    <w:rsid w:val="00433046"/>
    <w:rsid w:val="00433158"/>
    <w:rsid w:val="00434380"/>
    <w:rsid w:val="00434D50"/>
    <w:rsid w:val="004356BF"/>
    <w:rsid w:val="004361C6"/>
    <w:rsid w:val="004361E1"/>
    <w:rsid w:val="004362A4"/>
    <w:rsid w:val="004367DD"/>
    <w:rsid w:val="00436CF5"/>
    <w:rsid w:val="00437508"/>
    <w:rsid w:val="00441B96"/>
    <w:rsid w:val="0044257B"/>
    <w:rsid w:val="004425B8"/>
    <w:rsid w:val="004427ED"/>
    <w:rsid w:val="00442C34"/>
    <w:rsid w:val="00443799"/>
    <w:rsid w:val="00444003"/>
    <w:rsid w:val="004442AC"/>
    <w:rsid w:val="004442BC"/>
    <w:rsid w:val="0044452B"/>
    <w:rsid w:val="00444714"/>
    <w:rsid w:val="00444806"/>
    <w:rsid w:val="00444886"/>
    <w:rsid w:val="00445449"/>
    <w:rsid w:val="00445B77"/>
    <w:rsid w:val="0044662F"/>
    <w:rsid w:val="00446B29"/>
    <w:rsid w:val="0044756C"/>
    <w:rsid w:val="00447F96"/>
    <w:rsid w:val="00450C05"/>
    <w:rsid w:val="00450E00"/>
    <w:rsid w:val="00450E3C"/>
    <w:rsid w:val="00452B82"/>
    <w:rsid w:val="00452F64"/>
    <w:rsid w:val="00453541"/>
    <w:rsid w:val="00453F9A"/>
    <w:rsid w:val="004561EB"/>
    <w:rsid w:val="004568D0"/>
    <w:rsid w:val="00456CFA"/>
    <w:rsid w:val="00461E11"/>
    <w:rsid w:val="00462C9A"/>
    <w:rsid w:val="004631F2"/>
    <w:rsid w:val="0046359D"/>
    <w:rsid w:val="00463F1C"/>
    <w:rsid w:val="004641CF"/>
    <w:rsid w:val="00464B1C"/>
    <w:rsid w:val="00465159"/>
    <w:rsid w:val="00465485"/>
    <w:rsid w:val="00465FDA"/>
    <w:rsid w:val="00466398"/>
    <w:rsid w:val="00466A30"/>
    <w:rsid w:val="00466E4B"/>
    <w:rsid w:val="00467550"/>
    <w:rsid w:val="004715B2"/>
    <w:rsid w:val="00471E91"/>
    <w:rsid w:val="0047389C"/>
    <w:rsid w:val="00474675"/>
    <w:rsid w:val="0047470C"/>
    <w:rsid w:val="00475260"/>
    <w:rsid w:val="00475383"/>
    <w:rsid w:val="0048056F"/>
    <w:rsid w:val="0048090C"/>
    <w:rsid w:val="00481848"/>
    <w:rsid w:val="00481C16"/>
    <w:rsid w:val="00482C03"/>
    <w:rsid w:val="0048348B"/>
    <w:rsid w:val="00484AE2"/>
    <w:rsid w:val="00484FEF"/>
    <w:rsid w:val="00485CB5"/>
    <w:rsid w:val="00485DF8"/>
    <w:rsid w:val="0048621E"/>
    <w:rsid w:val="00487115"/>
    <w:rsid w:val="004875E4"/>
    <w:rsid w:val="00487905"/>
    <w:rsid w:val="00490208"/>
    <w:rsid w:val="004912FB"/>
    <w:rsid w:val="00491400"/>
    <w:rsid w:val="0049210C"/>
    <w:rsid w:val="00494ABE"/>
    <w:rsid w:val="00494E81"/>
    <w:rsid w:val="00495B03"/>
    <w:rsid w:val="00495B6A"/>
    <w:rsid w:val="00496011"/>
    <w:rsid w:val="0049691E"/>
    <w:rsid w:val="004979AE"/>
    <w:rsid w:val="00497BE6"/>
    <w:rsid w:val="004A00BB"/>
    <w:rsid w:val="004A0F36"/>
    <w:rsid w:val="004A130A"/>
    <w:rsid w:val="004A1929"/>
    <w:rsid w:val="004A1FA0"/>
    <w:rsid w:val="004A2AEB"/>
    <w:rsid w:val="004A35F9"/>
    <w:rsid w:val="004A3C43"/>
    <w:rsid w:val="004A4CE1"/>
    <w:rsid w:val="004A529B"/>
    <w:rsid w:val="004A55C1"/>
    <w:rsid w:val="004A5A39"/>
    <w:rsid w:val="004A604C"/>
    <w:rsid w:val="004A6856"/>
    <w:rsid w:val="004B08BD"/>
    <w:rsid w:val="004B1310"/>
    <w:rsid w:val="004B1B0B"/>
    <w:rsid w:val="004B22A4"/>
    <w:rsid w:val="004B24C1"/>
    <w:rsid w:val="004B2619"/>
    <w:rsid w:val="004B67BD"/>
    <w:rsid w:val="004B7575"/>
    <w:rsid w:val="004C057E"/>
    <w:rsid w:val="004C0A35"/>
    <w:rsid w:val="004C14F8"/>
    <w:rsid w:val="004C292F"/>
    <w:rsid w:val="004C3239"/>
    <w:rsid w:val="004C32B3"/>
    <w:rsid w:val="004C658A"/>
    <w:rsid w:val="004C6D6E"/>
    <w:rsid w:val="004C7AA8"/>
    <w:rsid w:val="004D009D"/>
    <w:rsid w:val="004D0877"/>
    <w:rsid w:val="004D0938"/>
    <w:rsid w:val="004D1DA8"/>
    <w:rsid w:val="004D431B"/>
    <w:rsid w:val="004D4363"/>
    <w:rsid w:val="004D4FFC"/>
    <w:rsid w:val="004D60F7"/>
    <w:rsid w:val="004D630B"/>
    <w:rsid w:val="004D6599"/>
    <w:rsid w:val="004D730A"/>
    <w:rsid w:val="004E067B"/>
    <w:rsid w:val="004E1FD7"/>
    <w:rsid w:val="004E27D6"/>
    <w:rsid w:val="004E2F9D"/>
    <w:rsid w:val="004E35A5"/>
    <w:rsid w:val="004E485C"/>
    <w:rsid w:val="004E5981"/>
    <w:rsid w:val="004E5D30"/>
    <w:rsid w:val="004E5D90"/>
    <w:rsid w:val="004E73DE"/>
    <w:rsid w:val="004F3546"/>
    <w:rsid w:val="004F454B"/>
    <w:rsid w:val="004F45AC"/>
    <w:rsid w:val="004F4C11"/>
    <w:rsid w:val="004F51A5"/>
    <w:rsid w:val="004F56DD"/>
    <w:rsid w:val="004F6536"/>
    <w:rsid w:val="004F75F6"/>
    <w:rsid w:val="00501270"/>
    <w:rsid w:val="005014FD"/>
    <w:rsid w:val="00501710"/>
    <w:rsid w:val="005020C0"/>
    <w:rsid w:val="005027C0"/>
    <w:rsid w:val="0050288A"/>
    <w:rsid w:val="0050319B"/>
    <w:rsid w:val="005034DB"/>
    <w:rsid w:val="00503C64"/>
    <w:rsid w:val="005043FD"/>
    <w:rsid w:val="00504618"/>
    <w:rsid w:val="00505159"/>
    <w:rsid w:val="0050565C"/>
    <w:rsid w:val="005073BE"/>
    <w:rsid w:val="0050794A"/>
    <w:rsid w:val="00507AB4"/>
    <w:rsid w:val="00510280"/>
    <w:rsid w:val="0051059E"/>
    <w:rsid w:val="00512B98"/>
    <w:rsid w:val="00512EB6"/>
    <w:rsid w:val="00513D73"/>
    <w:rsid w:val="0051410F"/>
    <w:rsid w:val="00514A43"/>
    <w:rsid w:val="00514C77"/>
    <w:rsid w:val="00515C5E"/>
    <w:rsid w:val="005174E5"/>
    <w:rsid w:val="00517E36"/>
    <w:rsid w:val="00517F1B"/>
    <w:rsid w:val="0052069C"/>
    <w:rsid w:val="00520D87"/>
    <w:rsid w:val="00522393"/>
    <w:rsid w:val="00522620"/>
    <w:rsid w:val="00522A7C"/>
    <w:rsid w:val="00523E5A"/>
    <w:rsid w:val="005240DE"/>
    <w:rsid w:val="00524187"/>
    <w:rsid w:val="00524BBC"/>
    <w:rsid w:val="00525656"/>
    <w:rsid w:val="00526E44"/>
    <w:rsid w:val="0053026F"/>
    <w:rsid w:val="00531420"/>
    <w:rsid w:val="00531F41"/>
    <w:rsid w:val="0053387A"/>
    <w:rsid w:val="00534792"/>
    <w:rsid w:val="0053496D"/>
    <w:rsid w:val="00534C02"/>
    <w:rsid w:val="005352F6"/>
    <w:rsid w:val="00537721"/>
    <w:rsid w:val="00537729"/>
    <w:rsid w:val="00541316"/>
    <w:rsid w:val="005418EA"/>
    <w:rsid w:val="0054264B"/>
    <w:rsid w:val="00542BD3"/>
    <w:rsid w:val="005431CC"/>
    <w:rsid w:val="00543604"/>
    <w:rsid w:val="00543786"/>
    <w:rsid w:val="005443FE"/>
    <w:rsid w:val="005446E7"/>
    <w:rsid w:val="005473C9"/>
    <w:rsid w:val="0054777A"/>
    <w:rsid w:val="0055095F"/>
    <w:rsid w:val="005533D7"/>
    <w:rsid w:val="00555259"/>
    <w:rsid w:val="0055671B"/>
    <w:rsid w:val="005571C9"/>
    <w:rsid w:val="005604DC"/>
    <w:rsid w:val="0056334E"/>
    <w:rsid w:val="0056347E"/>
    <w:rsid w:val="00563807"/>
    <w:rsid w:val="00563B1A"/>
    <w:rsid w:val="00563F7B"/>
    <w:rsid w:val="0056592C"/>
    <w:rsid w:val="00565E5B"/>
    <w:rsid w:val="00570017"/>
    <w:rsid w:val="005703DE"/>
    <w:rsid w:val="00570609"/>
    <w:rsid w:val="005728A6"/>
    <w:rsid w:val="005736D0"/>
    <w:rsid w:val="005739F7"/>
    <w:rsid w:val="0057443E"/>
    <w:rsid w:val="005747BC"/>
    <w:rsid w:val="00575EA2"/>
    <w:rsid w:val="00580A52"/>
    <w:rsid w:val="00580B5C"/>
    <w:rsid w:val="00580BD4"/>
    <w:rsid w:val="00580EBD"/>
    <w:rsid w:val="005825B2"/>
    <w:rsid w:val="0058464E"/>
    <w:rsid w:val="00584740"/>
    <w:rsid w:val="00584BE7"/>
    <w:rsid w:val="00585B04"/>
    <w:rsid w:val="0058614B"/>
    <w:rsid w:val="005861AC"/>
    <w:rsid w:val="0058694B"/>
    <w:rsid w:val="0058778F"/>
    <w:rsid w:val="00590356"/>
    <w:rsid w:val="005919D4"/>
    <w:rsid w:val="005933DE"/>
    <w:rsid w:val="00594960"/>
    <w:rsid w:val="00594D00"/>
    <w:rsid w:val="005954A6"/>
    <w:rsid w:val="00595B90"/>
    <w:rsid w:val="00597006"/>
    <w:rsid w:val="005971A1"/>
    <w:rsid w:val="005A013A"/>
    <w:rsid w:val="005A01CB"/>
    <w:rsid w:val="005A0224"/>
    <w:rsid w:val="005A2E89"/>
    <w:rsid w:val="005A3712"/>
    <w:rsid w:val="005A43FA"/>
    <w:rsid w:val="005A5513"/>
    <w:rsid w:val="005A5701"/>
    <w:rsid w:val="005A58FF"/>
    <w:rsid w:val="005A5EAF"/>
    <w:rsid w:val="005A6213"/>
    <w:rsid w:val="005A64C0"/>
    <w:rsid w:val="005B0048"/>
    <w:rsid w:val="005B09A4"/>
    <w:rsid w:val="005B20AF"/>
    <w:rsid w:val="005B3C11"/>
    <w:rsid w:val="005B48DA"/>
    <w:rsid w:val="005B5955"/>
    <w:rsid w:val="005B72AE"/>
    <w:rsid w:val="005B73CE"/>
    <w:rsid w:val="005B78B6"/>
    <w:rsid w:val="005B7B09"/>
    <w:rsid w:val="005C1C28"/>
    <w:rsid w:val="005C284D"/>
    <w:rsid w:val="005C3C20"/>
    <w:rsid w:val="005C5090"/>
    <w:rsid w:val="005C66CD"/>
    <w:rsid w:val="005C6B4B"/>
    <w:rsid w:val="005C6DB5"/>
    <w:rsid w:val="005D2580"/>
    <w:rsid w:val="005D270A"/>
    <w:rsid w:val="005D4603"/>
    <w:rsid w:val="005D5EE1"/>
    <w:rsid w:val="005D61CE"/>
    <w:rsid w:val="005E0CAE"/>
    <w:rsid w:val="005E153F"/>
    <w:rsid w:val="005E1940"/>
    <w:rsid w:val="005E19E7"/>
    <w:rsid w:val="005E2B98"/>
    <w:rsid w:val="005E4228"/>
    <w:rsid w:val="005E4AEE"/>
    <w:rsid w:val="005E5773"/>
    <w:rsid w:val="005E594C"/>
    <w:rsid w:val="005E5C02"/>
    <w:rsid w:val="005E7FFD"/>
    <w:rsid w:val="005F0646"/>
    <w:rsid w:val="005F0A37"/>
    <w:rsid w:val="005F1815"/>
    <w:rsid w:val="005F248D"/>
    <w:rsid w:val="005F2714"/>
    <w:rsid w:val="005F2A1F"/>
    <w:rsid w:val="005F35BB"/>
    <w:rsid w:val="005F5341"/>
    <w:rsid w:val="005F5430"/>
    <w:rsid w:val="00601AEF"/>
    <w:rsid w:val="006030B6"/>
    <w:rsid w:val="00603793"/>
    <w:rsid w:val="006039C5"/>
    <w:rsid w:val="0060454E"/>
    <w:rsid w:val="00604FDB"/>
    <w:rsid w:val="00605EF0"/>
    <w:rsid w:val="00606F22"/>
    <w:rsid w:val="00610D82"/>
    <w:rsid w:val="006113E7"/>
    <w:rsid w:val="006118D2"/>
    <w:rsid w:val="00611C57"/>
    <w:rsid w:val="00612EE1"/>
    <w:rsid w:val="006143C8"/>
    <w:rsid w:val="00616C8E"/>
    <w:rsid w:val="0061716C"/>
    <w:rsid w:val="006203C3"/>
    <w:rsid w:val="006205BE"/>
    <w:rsid w:val="00622825"/>
    <w:rsid w:val="006243A1"/>
    <w:rsid w:val="006244FA"/>
    <w:rsid w:val="006253D3"/>
    <w:rsid w:val="00626490"/>
    <w:rsid w:val="006305DA"/>
    <w:rsid w:val="00632668"/>
    <w:rsid w:val="0063281F"/>
    <w:rsid w:val="00632E56"/>
    <w:rsid w:val="00633A53"/>
    <w:rsid w:val="006356ED"/>
    <w:rsid w:val="00635CBA"/>
    <w:rsid w:val="00636704"/>
    <w:rsid w:val="00636E62"/>
    <w:rsid w:val="00640E4F"/>
    <w:rsid w:val="00643186"/>
    <w:rsid w:val="0064338B"/>
    <w:rsid w:val="00643BF9"/>
    <w:rsid w:val="0064485B"/>
    <w:rsid w:val="006456E2"/>
    <w:rsid w:val="00645E5F"/>
    <w:rsid w:val="00646542"/>
    <w:rsid w:val="006470CC"/>
    <w:rsid w:val="006475D7"/>
    <w:rsid w:val="00647B45"/>
    <w:rsid w:val="006504F4"/>
    <w:rsid w:val="006513C9"/>
    <w:rsid w:val="006519B1"/>
    <w:rsid w:val="0065241A"/>
    <w:rsid w:val="00653515"/>
    <w:rsid w:val="00653B58"/>
    <w:rsid w:val="00654BC9"/>
    <w:rsid w:val="006552FD"/>
    <w:rsid w:val="00655785"/>
    <w:rsid w:val="0065596F"/>
    <w:rsid w:val="006571F3"/>
    <w:rsid w:val="00657A3D"/>
    <w:rsid w:val="00657F0F"/>
    <w:rsid w:val="00660E97"/>
    <w:rsid w:val="00662400"/>
    <w:rsid w:val="0066272A"/>
    <w:rsid w:val="00663597"/>
    <w:rsid w:val="00663AD1"/>
    <w:rsid w:val="00663AF3"/>
    <w:rsid w:val="006643BA"/>
    <w:rsid w:val="00664F1F"/>
    <w:rsid w:val="00665B57"/>
    <w:rsid w:val="00666B6C"/>
    <w:rsid w:val="00666F2A"/>
    <w:rsid w:val="0067016C"/>
    <w:rsid w:val="00671173"/>
    <w:rsid w:val="00671274"/>
    <w:rsid w:val="00671D4E"/>
    <w:rsid w:val="0067214D"/>
    <w:rsid w:val="00672C33"/>
    <w:rsid w:val="00672CCC"/>
    <w:rsid w:val="00674950"/>
    <w:rsid w:val="00674D60"/>
    <w:rsid w:val="00674F45"/>
    <w:rsid w:val="006758ED"/>
    <w:rsid w:val="0067592F"/>
    <w:rsid w:val="00675BB5"/>
    <w:rsid w:val="006760E2"/>
    <w:rsid w:val="00676CAB"/>
    <w:rsid w:val="00676EE0"/>
    <w:rsid w:val="006770C1"/>
    <w:rsid w:val="00680DCF"/>
    <w:rsid w:val="00681D6A"/>
    <w:rsid w:val="00681E97"/>
    <w:rsid w:val="00682574"/>
    <w:rsid w:val="00682682"/>
    <w:rsid w:val="00682702"/>
    <w:rsid w:val="00682790"/>
    <w:rsid w:val="0068344B"/>
    <w:rsid w:val="006845CF"/>
    <w:rsid w:val="0068631B"/>
    <w:rsid w:val="00686757"/>
    <w:rsid w:val="0069146A"/>
    <w:rsid w:val="00691BA7"/>
    <w:rsid w:val="00691BAB"/>
    <w:rsid w:val="00692368"/>
    <w:rsid w:val="00692918"/>
    <w:rsid w:val="00692D6B"/>
    <w:rsid w:val="00693350"/>
    <w:rsid w:val="006945C7"/>
    <w:rsid w:val="00696ACC"/>
    <w:rsid w:val="00697843"/>
    <w:rsid w:val="006A047F"/>
    <w:rsid w:val="006A1F1E"/>
    <w:rsid w:val="006A2423"/>
    <w:rsid w:val="006A274A"/>
    <w:rsid w:val="006A2EBC"/>
    <w:rsid w:val="006A429F"/>
    <w:rsid w:val="006A5EA0"/>
    <w:rsid w:val="006A61DD"/>
    <w:rsid w:val="006A782A"/>
    <w:rsid w:val="006A783B"/>
    <w:rsid w:val="006A7B33"/>
    <w:rsid w:val="006B10A8"/>
    <w:rsid w:val="006B1A22"/>
    <w:rsid w:val="006B2277"/>
    <w:rsid w:val="006B2421"/>
    <w:rsid w:val="006B297F"/>
    <w:rsid w:val="006B2A3C"/>
    <w:rsid w:val="006B3CBC"/>
    <w:rsid w:val="006B4E13"/>
    <w:rsid w:val="006B4E2D"/>
    <w:rsid w:val="006B75DD"/>
    <w:rsid w:val="006B77A2"/>
    <w:rsid w:val="006C0561"/>
    <w:rsid w:val="006C0693"/>
    <w:rsid w:val="006C140D"/>
    <w:rsid w:val="006C53E6"/>
    <w:rsid w:val="006C67E0"/>
    <w:rsid w:val="006C7ABA"/>
    <w:rsid w:val="006D0D60"/>
    <w:rsid w:val="006D1122"/>
    <w:rsid w:val="006D12FA"/>
    <w:rsid w:val="006D25D8"/>
    <w:rsid w:val="006D2A33"/>
    <w:rsid w:val="006D2D05"/>
    <w:rsid w:val="006D343E"/>
    <w:rsid w:val="006D3B7C"/>
    <w:rsid w:val="006D3C00"/>
    <w:rsid w:val="006D4F83"/>
    <w:rsid w:val="006D5C0A"/>
    <w:rsid w:val="006D7649"/>
    <w:rsid w:val="006D7BF8"/>
    <w:rsid w:val="006E02C2"/>
    <w:rsid w:val="006E0394"/>
    <w:rsid w:val="006E0490"/>
    <w:rsid w:val="006E3675"/>
    <w:rsid w:val="006E3D97"/>
    <w:rsid w:val="006E4009"/>
    <w:rsid w:val="006E43B7"/>
    <w:rsid w:val="006E4A7F"/>
    <w:rsid w:val="006E5522"/>
    <w:rsid w:val="006E57F3"/>
    <w:rsid w:val="006E61F9"/>
    <w:rsid w:val="006E6FE8"/>
    <w:rsid w:val="006F0255"/>
    <w:rsid w:val="006F02A8"/>
    <w:rsid w:val="006F03B0"/>
    <w:rsid w:val="006F0B19"/>
    <w:rsid w:val="006F137A"/>
    <w:rsid w:val="006F2091"/>
    <w:rsid w:val="006F2427"/>
    <w:rsid w:val="006F26A2"/>
    <w:rsid w:val="006F3506"/>
    <w:rsid w:val="006F35A7"/>
    <w:rsid w:val="006F3E11"/>
    <w:rsid w:val="006F413F"/>
    <w:rsid w:val="006F568F"/>
    <w:rsid w:val="006F714A"/>
    <w:rsid w:val="006F7E71"/>
    <w:rsid w:val="00701231"/>
    <w:rsid w:val="007019B2"/>
    <w:rsid w:val="00701A83"/>
    <w:rsid w:val="00701A8C"/>
    <w:rsid w:val="00703220"/>
    <w:rsid w:val="00704DF6"/>
    <w:rsid w:val="00705309"/>
    <w:rsid w:val="007058AD"/>
    <w:rsid w:val="0070651C"/>
    <w:rsid w:val="00706940"/>
    <w:rsid w:val="00707088"/>
    <w:rsid w:val="00710050"/>
    <w:rsid w:val="007107D7"/>
    <w:rsid w:val="007108D6"/>
    <w:rsid w:val="00710BCA"/>
    <w:rsid w:val="007112B8"/>
    <w:rsid w:val="00711D7C"/>
    <w:rsid w:val="007125B9"/>
    <w:rsid w:val="00712D53"/>
    <w:rsid w:val="007132A3"/>
    <w:rsid w:val="007142DD"/>
    <w:rsid w:val="007159C9"/>
    <w:rsid w:val="00715D15"/>
    <w:rsid w:val="00716421"/>
    <w:rsid w:val="00717216"/>
    <w:rsid w:val="007206AB"/>
    <w:rsid w:val="0072118D"/>
    <w:rsid w:val="00721F66"/>
    <w:rsid w:val="0072240E"/>
    <w:rsid w:val="00722619"/>
    <w:rsid w:val="0072465C"/>
    <w:rsid w:val="00724C75"/>
    <w:rsid w:val="00724EFB"/>
    <w:rsid w:val="007266C5"/>
    <w:rsid w:val="00726A7A"/>
    <w:rsid w:val="00726D61"/>
    <w:rsid w:val="00727A42"/>
    <w:rsid w:val="00727C0C"/>
    <w:rsid w:val="0073004A"/>
    <w:rsid w:val="00730DED"/>
    <w:rsid w:val="0073118B"/>
    <w:rsid w:val="007313CE"/>
    <w:rsid w:val="00731822"/>
    <w:rsid w:val="007322D2"/>
    <w:rsid w:val="00732C8C"/>
    <w:rsid w:val="00732E0A"/>
    <w:rsid w:val="00733555"/>
    <w:rsid w:val="00736923"/>
    <w:rsid w:val="0073747F"/>
    <w:rsid w:val="0073770D"/>
    <w:rsid w:val="00740882"/>
    <w:rsid w:val="00740DE5"/>
    <w:rsid w:val="00740EE0"/>
    <w:rsid w:val="007419C3"/>
    <w:rsid w:val="007430B9"/>
    <w:rsid w:val="007438E7"/>
    <w:rsid w:val="00743E02"/>
    <w:rsid w:val="007456EB"/>
    <w:rsid w:val="00745C60"/>
    <w:rsid w:val="00746614"/>
    <w:rsid w:val="007466B5"/>
    <w:rsid w:val="0074673C"/>
    <w:rsid w:val="007467A7"/>
    <w:rsid w:val="007469DD"/>
    <w:rsid w:val="00747210"/>
    <w:rsid w:val="0074724C"/>
    <w:rsid w:val="0074741B"/>
    <w:rsid w:val="0074759E"/>
    <w:rsid w:val="007478EA"/>
    <w:rsid w:val="00750F9B"/>
    <w:rsid w:val="00752802"/>
    <w:rsid w:val="007534AB"/>
    <w:rsid w:val="0075415C"/>
    <w:rsid w:val="007541E2"/>
    <w:rsid w:val="00754BF7"/>
    <w:rsid w:val="00754E32"/>
    <w:rsid w:val="00757266"/>
    <w:rsid w:val="00757E9D"/>
    <w:rsid w:val="00761F07"/>
    <w:rsid w:val="00762BB7"/>
    <w:rsid w:val="00762F0A"/>
    <w:rsid w:val="00763502"/>
    <w:rsid w:val="0076545F"/>
    <w:rsid w:val="00765678"/>
    <w:rsid w:val="0076604C"/>
    <w:rsid w:val="00771383"/>
    <w:rsid w:val="00771CF1"/>
    <w:rsid w:val="00772393"/>
    <w:rsid w:val="007728CD"/>
    <w:rsid w:val="00774B79"/>
    <w:rsid w:val="00774EC0"/>
    <w:rsid w:val="00775B23"/>
    <w:rsid w:val="00775CF4"/>
    <w:rsid w:val="00776534"/>
    <w:rsid w:val="0078013C"/>
    <w:rsid w:val="00780D44"/>
    <w:rsid w:val="007814FC"/>
    <w:rsid w:val="00781569"/>
    <w:rsid w:val="00783946"/>
    <w:rsid w:val="007848C7"/>
    <w:rsid w:val="00787A31"/>
    <w:rsid w:val="00787F2F"/>
    <w:rsid w:val="007913AB"/>
    <w:rsid w:val="007914F7"/>
    <w:rsid w:val="007950F9"/>
    <w:rsid w:val="007953C0"/>
    <w:rsid w:val="0079693F"/>
    <w:rsid w:val="0079789A"/>
    <w:rsid w:val="007A07AD"/>
    <w:rsid w:val="007A1C89"/>
    <w:rsid w:val="007A25D0"/>
    <w:rsid w:val="007A2A84"/>
    <w:rsid w:val="007A2C9F"/>
    <w:rsid w:val="007A487A"/>
    <w:rsid w:val="007A4DB7"/>
    <w:rsid w:val="007A5167"/>
    <w:rsid w:val="007B147E"/>
    <w:rsid w:val="007B1625"/>
    <w:rsid w:val="007B1DE9"/>
    <w:rsid w:val="007B2877"/>
    <w:rsid w:val="007B3B49"/>
    <w:rsid w:val="007B4914"/>
    <w:rsid w:val="007B4AA0"/>
    <w:rsid w:val="007B7048"/>
    <w:rsid w:val="007B706E"/>
    <w:rsid w:val="007B71EB"/>
    <w:rsid w:val="007B722E"/>
    <w:rsid w:val="007B73A3"/>
    <w:rsid w:val="007C0311"/>
    <w:rsid w:val="007C0AB3"/>
    <w:rsid w:val="007C14A0"/>
    <w:rsid w:val="007C27DC"/>
    <w:rsid w:val="007C3AE1"/>
    <w:rsid w:val="007C3B95"/>
    <w:rsid w:val="007C49F4"/>
    <w:rsid w:val="007C4D04"/>
    <w:rsid w:val="007C5DB3"/>
    <w:rsid w:val="007C6205"/>
    <w:rsid w:val="007C686A"/>
    <w:rsid w:val="007C728E"/>
    <w:rsid w:val="007D0376"/>
    <w:rsid w:val="007D1198"/>
    <w:rsid w:val="007D198D"/>
    <w:rsid w:val="007D23DB"/>
    <w:rsid w:val="007D2A1F"/>
    <w:rsid w:val="007D2C53"/>
    <w:rsid w:val="007D2C7F"/>
    <w:rsid w:val="007D37BD"/>
    <w:rsid w:val="007D3D22"/>
    <w:rsid w:val="007D3D60"/>
    <w:rsid w:val="007D41DA"/>
    <w:rsid w:val="007D4574"/>
    <w:rsid w:val="007D4FEC"/>
    <w:rsid w:val="007D511F"/>
    <w:rsid w:val="007D55D2"/>
    <w:rsid w:val="007D7435"/>
    <w:rsid w:val="007E04AA"/>
    <w:rsid w:val="007E0F30"/>
    <w:rsid w:val="007E1980"/>
    <w:rsid w:val="007E1CC3"/>
    <w:rsid w:val="007E3304"/>
    <w:rsid w:val="007E3332"/>
    <w:rsid w:val="007E3E14"/>
    <w:rsid w:val="007E4B76"/>
    <w:rsid w:val="007E4FA0"/>
    <w:rsid w:val="007E524C"/>
    <w:rsid w:val="007E54C0"/>
    <w:rsid w:val="007E5EA8"/>
    <w:rsid w:val="007E7328"/>
    <w:rsid w:val="007F0C99"/>
    <w:rsid w:val="007F0CF1"/>
    <w:rsid w:val="007F0E7F"/>
    <w:rsid w:val="007F12A5"/>
    <w:rsid w:val="007F2486"/>
    <w:rsid w:val="007F2A07"/>
    <w:rsid w:val="007F3EB3"/>
    <w:rsid w:val="007F431D"/>
    <w:rsid w:val="007F48FA"/>
    <w:rsid w:val="007F4CF1"/>
    <w:rsid w:val="007F546D"/>
    <w:rsid w:val="007F636E"/>
    <w:rsid w:val="007F6DC7"/>
    <w:rsid w:val="007F758D"/>
    <w:rsid w:val="007F771A"/>
    <w:rsid w:val="007F7D52"/>
    <w:rsid w:val="00800006"/>
    <w:rsid w:val="0080016A"/>
    <w:rsid w:val="0080150D"/>
    <w:rsid w:val="0080205A"/>
    <w:rsid w:val="00803E29"/>
    <w:rsid w:val="00805220"/>
    <w:rsid w:val="00805276"/>
    <w:rsid w:val="0080612F"/>
    <w:rsid w:val="0080654C"/>
    <w:rsid w:val="00806FB5"/>
    <w:rsid w:val="008071C6"/>
    <w:rsid w:val="0080751F"/>
    <w:rsid w:val="00810BEB"/>
    <w:rsid w:val="00811E81"/>
    <w:rsid w:val="008123C0"/>
    <w:rsid w:val="00812607"/>
    <w:rsid w:val="008129AF"/>
    <w:rsid w:val="00813BAB"/>
    <w:rsid w:val="008144B2"/>
    <w:rsid w:val="00815241"/>
    <w:rsid w:val="00817A00"/>
    <w:rsid w:val="008215A8"/>
    <w:rsid w:val="0082247B"/>
    <w:rsid w:val="008224ED"/>
    <w:rsid w:val="00823017"/>
    <w:rsid w:val="0082476D"/>
    <w:rsid w:val="0082519E"/>
    <w:rsid w:val="00825935"/>
    <w:rsid w:val="00825FE1"/>
    <w:rsid w:val="008264A1"/>
    <w:rsid w:val="00826A7C"/>
    <w:rsid w:val="008314E3"/>
    <w:rsid w:val="00831EDE"/>
    <w:rsid w:val="00831F0A"/>
    <w:rsid w:val="00832793"/>
    <w:rsid w:val="00832922"/>
    <w:rsid w:val="00832B53"/>
    <w:rsid w:val="008342BB"/>
    <w:rsid w:val="008347DC"/>
    <w:rsid w:val="00835DB3"/>
    <w:rsid w:val="00835F1D"/>
    <w:rsid w:val="0083617B"/>
    <w:rsid w:val="0083659B"/>
    <w:rsid w:val="008365F8"/>
    <w:rsid w:val="00836C4A"/>
    <w:rsid w:val="008371BD"/>
    <w:rsid w:val="0083781B"/>
    <w:rsid w:val="00837BF3"/>
    <w:rsid w:val="00840D53"/>
    <w:rsid w:val="008412D0"/>
    <w:rsid w:val="008424C1"/>
    <w:rsid w:val="00843831"/>
    <w:rsid w:val="00843E4B"/>
    <w:rsid w:val="008447D5"/>
    <w:rsid w:val="00845E6E"/>
    <w:rsid w:val="00846346"/>
    <w:rsid w:val="00847A6C"/>
    <w:rsid w:val="00847F98"/>
    <w:rsid w:val="008504A8"/>
    <w:rsid w:val="00850DDA"/>
    <w:rsid w:val="0085282E"/>
    <w:rsid w:val="00853B4E"/>
    <w:rsid w:val="00853E9D"/>
    <w:rsid w:val="008556E3"/>
    <w:rsid w:val="00855D63"/>
    <w:rsid w:val="00855E4F"/>
    <w:rsid w:val="00855FC0"/>
    <w:rsid w:val="008605BB"/>
    <w:rsid w:val="00860B2C"/>
    <w:rsid w:val="00861362"/>
    <w:rsid w:val="008614B9"/>
    <w:rsid w:val="00861DE2"/>
    <w:rsid w:val="00862977"/>
    <w:rsid w:val="00862A61"/>
    <w:rsid w:val="00863429"/>
    <w:rsid w:val="00871039"/>
    <w:rsid w:val="0087198C"/>
    <w:rsid w:val="00872174"/>
    <w:rsid w:val="00872396"/>
    <w:rsid w:val="0087295F"/>
    <w:rsid w:val="00872A76"/>
    <w:rsid w:val="00872C1F"/>
    <w:rsid w:val="00873163"/>
    <w:rsid w:val="00873B42"/>
    <w:rsid w:val="00874D5E"/>
    <w:rsid w:val="00874F05"/>
    <w:rsid w:val="00874FBF"/>
    <w:rsid w:val="00875320"/>
    <w:rsid w:val="00880035"/>
    <w:rsid w:val="00881574"/>
    <w:rsid w:val="008816C0"/>
    <w:rsid w:val="00882875"/>
    <w:rsid w:val="00883692"/>
    <w:rsid w:val="00884A30"/>
    <w:rsid w:val="00884B2B"/>
    <w:rsid w:val="00885253"/>
    <w:rsid w:val="008856D8"/>
    <w:rsid w:val="00885BAF"/>
    <w:rsid w:val="008868B6"/>
    <w:rsid w:val="00890DD9"/>
    <w:rsid w:val="00891057"/>
    <w:rsid w:val="00891181"/>
    <w:rsid w:val="0089121C"/>
    <w:rsid w:val="008921C3"/>
    <w:rsid w:val="0089220B"/>
    <w:rsid w:val="00892790"/>
    <w:rsid w:val="008928FA"/>
    <w:rsid w:val="008929FD"/>
    <w:rsid w:val="00892D47"/>
    <w:rsid w:val="00892E82"/>
    <w:rsid w:val="0089307B"/>
    <w:rsid w:val="00893C2B"/>
    <w:rsid w:val="00894B11"/>
    <w:rsid w:val="008960D0"/>
    <w:rsid w:val="0089635F"/>
    <w:rsid w:val="00897B80"/>
    <w:rsid w:val="008A01C7"/>
    <w:rsid w:val="008A063B"/>
    <w:rsid w:val="008A0AFD"/>
    <w:rsid w:val="008A2759"/>
    <w:rsid w:val="008A3EA7"/>
    <w:rsid w:val="008A68D3"/>
    <w:rsid w:val="008A71E0"/>
    <w:rsid w:val="008A740C"/>
    <w:rsid w:val="008A7752"/>
    <w:rsid w:val="008A7EFA"/>
    <w:rsid w:val="008B0F2B"/>
    <w:rsid w:val="008B2A8C"/>
    <w:rsid w:val="008B2B96"/>
    <w:rsid w:val="008B2BFF"/>
    <w:rsid w:val="008B2D06"/>
    <w:rsid w:val="008B548D"/>
    <w:rsid w:val="008B678B"/>
    <w:rsid w:val="008B6C3F"/>
    <w:rsid w:val="008B7539"/>
    <w:rsid w:val="008C01B3"/>
    <w:rsid w:val="008C0AC4"/>
    <w:rsid w:val="008C1B58"/>
    <w:rsid w:val="008C1EDE"/>
    <w:rsid w:val="008C2DB9"/>
    <w:rsid w:val="008C39AE"/>
    <w:rsid w:val="008C3E16"/>
    <w:rsid w:val="008C590D"/>
    <w:rsid w:val="008C5EC4"/>
    <w:rsid w:val="008C5F51"/>
    <w:rsid w:val="008C7838"/>
    <w:rsid w:val="008D09CD"/>
    <w:rsid w:val="008D0D7C"/>
    <w:rsid w:val="008D1357"/>
    <w:rsid w:val="008D3AAA"/>
    <w:rsid w:val="008D3D25"/>
    <w:rsid w:val="008D5186"/>
    <w:rsid w:val="008D5A0B"/>
    <w:rsid w:val="008D7796"/>
    <w:rsid w:val="008E031B"/>
    <w:rsid w:val="008E0404"/>
    <w:rsid w:val="008E10F2"/>
    <w:rsid w:val="008E128A"/>
    <w:rsid w:val="008E1389"/>
    <w:rsid w:val="008E1C0F"/>
    <w:rsid w:val="008E2783"/>
    <w:rsid w:val="008E30DC"/>
    <w:rsid w:val="008E32C8"/>
    <w:rsid w:val="008E32F5"/>
    <w:rsid w:val="008E3F16"/>
    <w:rsid w:val="008E4DAC"/>
    <w:rsid w:val="008E4E3B"/>
    <w:rsid w:val="008E53D5"/>
    <w:rsid w:val="008E64AD"/>
    <w:rsid w:val="008E6B63"/>
    <w:rsid w:val="008E7029"/>
    <w:rsid w:val="008E7BC3"/>
    <w:rsid w:val="008E7DC6"/>
    <w:rsid w:val="008E7EF6"/>
    <w:rsid w:val="008F19E2"/>
    <w:rsid w:val="008F1F98"/>
    <w:rsid w:val="008F3603"/>
    <w:rsid w:val="008F3716"/>
    <w:rsid w:val="008F3B27"/>
    <w:rsid w:val="008F5596"/>
    <w:rsid w:val="008F5A91"/>
    <w:rsid w:val="008F6758"/>
    <w:rsid w:val="008F6ADB"/>
    <w:rsid w:val="009001A6"/>
    <w:rsid w:val="00901218"/>
    <w:rsid w:val="00902288"/>
    <w:rsid w:val="0090247E"/>
    <w:rsid w:val="00903A55"/>
    <w:rsid w:val="00903BEF"/>
    <w:rsid w:val="009040DD"/>
    <w:rsid w:val="00904215"/>
    <w:rsid w:val="0090511A"/>
    <w:rsid w:val="009055FA"/>
    <w:rsid w:val="00905949"/>
    <w:rsid w:val="00905A04"/>
    <w:rsid w:val="00905B47"/>
    <w:rsid w:val="009065BC"/>
    <w:rsid w:val="009066E5"/>
    <w:rsid w:val="0090672E"/>
    <w:rsid w:val="0090681B"/>
    <w:rsid w:val="0091029D"/>
    <w:rsid w:val="009110FD"/>
    <w:rsid w:val="00911579"/>
    <w:rsid w:val="009121E2"/>
    <w:rsid w:val="009126C8"/>
    <w:rsid w:val="00912E13"/>
    <w:rsid w:val="0091331C"/>
    <w:rsid w:val="00913ADB"/>
    <w:rsid w:val="00913B74"/>
    <w:rsid w:val="009148A7"/>
    <w:rsid w:val="00914CC2"/>
    <w:rsid w:val="009169CC"/>
    <w:rsid w:val="00917C57"/>
    <w:rsid w:val="00920628"/>
    <w:rsid w:val="00920666"/>
    <w:rsid w:val="00921D77"/>
    <w:rsid w:val="00922338"/>
    <w:rsid w:val="009224FC"/>
    <w:rsid w:val="00922590"/>
    <w:rsid w:val="00922794"/>
    <w:rsid w:val="009228A1"/>
    <w:rsid w:val="00922D05"/>
    <w:rsid w:val="00922D60"/>
    <w:rsid w:val="00923687"/>
    <w:rsid w:val="00923CB4"/>
    <w:rsid w:val="0092479E"/>
    <w:rsid w:val="009247BB"/>
    <w:rsid w:val="00925F22"/>
    <w:rsid w:val="009279DE"/>
    <w:rsid w:val="00927F73"/>
    <w:rsid w:val="00930116"/>
    <w:rsid w:val="009309E6"/>
    <w:rsid w:val="00930E18"/>
    <w:rsid w:val="0093324C"/>
    <w:rsid w:val="00933658"/>
    <w:rsid w:val="00933842"/>
    <w:rsid w:val="0093415D"/>
    <w:rsid w:val="009348E5"/>
    <w:rsid w:val="00934955"/>
    <w:rsid w:val="00934E07"/>
    <w:rsid w:val="00936759"/>
    <w:rsid w:val="0093716F"/>
    <w:rsid w:val="00940403"/>
    <w:rsid w:val="00940D1D"/>
    <w:rsid w:val="00941B9B"/>
    <w:rsid w:val="0094212C"/>
    <w:rsid w:val="009437F0"/>
    <w:rsid w:val="00944729"/>
    <w:rsid w:val="0095060E"/>
    <w:rsid w:val="00951F81"/>
    <w:rsid w:val="009529AC"/>
    <w:rsid w:val="009539F4"/>
    <w:rsid w:val="00953E3E"/>
    <w:rsid w:val="00954689"/>
    <w:rsid w:val="00955EF5"/>
    <w:rsid w:val="009563BD"/>
    <w:rsid w:val="00956C23"/>
    <w:rsid w:val="00956DF0"/>
    <w:rsid w:val="009617C9"/>
    <w:rsid w:val="00961C93"/>
    <w:rsid w:val="009640A0"/>
    <w:rsid w:val="00964E44"/>
    <w:rsid w:val="00965324"/>
    <w:rsid w:val="009657CE"/>
    <w:rsid w:val="00965BA5"/>
    <w:rsid w:val="00966101"/>
    <w:rsid w:val="00966887"/>
    <w:rsid w:val="00967078"/>
    <w:rsid w:val="00967B0E"/>
    <w:rsid w:val="00970682"/>
    <w:rsid w:val="0097091E"/>
    <w:rsid w:val="00970C55"/>
    <w:rsid w:val="00971287"/>
    <w:rsid w:val="00973122"/>
    <w:rsid w:val="009749C8"/>
    <w:rsid w:val="00975FDD"/>
    <w:rsid w:val="009760D3"/>
    <w:rsid w:val="00976393"/>
    <w:rsid w:val="00977132"/>
    <w:rsid w:val="0097773F"/>
    <w:rsid w:val="009818D5"/>
    <w:rsid w:val="00981A4B"/>
    <w:rsid w:val="00981B06"/>
    <w:rsid w:val="009823BD"/>
    <w:rsid w:val="00982501"/>
    <w:rsid w:val="00983B93"/>
    <w:rsid w:val="00983C26"/>
    <w:rsid w:val="00983E81"/>
    <w:rsid w:val="009847EE"/>
    <w:rsid w:val="009857B6"/>
    <w:rsid w:val="00985811"/>
    <w:rsid w:val="009859D4"/>
    <w:rsid w:val="00985CAF"/>
    <w:rsid w:val="00986E0F"/>
    <w:rsid w:val="009877D3"/>
    <w:rsid w:val="00987DC6"/>
    <w:rsid w:val="00990263"/>
    <w:rsid w:val="00991701"/>
    <w:rsid w:val="009919E9"/>
    <w:rsid w:val="00992415"/>
    <w:rsid w:val="00993BDE"/>
    <w:rsid w:val="0099402A"/>
    <w:rsid w:val="009948F6"/>
    <w:rsid w:val="009949E3"/>
    <w:rsid w:val="00994E8F"/>
    <w:rsid w:val="009951DC"/>
    <w:rsid w:val="009959BB"/>
    <w:rsid w:val="0099635F"/>
    <w:rsid w:val="009970F9"/>
    <w:rsid w:val="00997158"/>
    <w:rsid w:val="0099787F"/>
    <w:rsid w:val="00997CE0"/>
    <w:rsid w:val="009A0117"/>
    <w:rsid w:val="009A1476"/>
    <w:rsid w:val="009A1661"/>
    <w:rsid w:val="009A1F09"/>
    <w:rsid w:val="009A3A7C"/>
    <w:rsid w:val="009A3BDA"/>
    <w:rsid w:val="009A44A6"/>
    <w:rsid w:val="009A5877"/>
    <w:rsid w:val="009A5D82"/>
    <w:rsid w:val="009A62E3"/>
    <w:rsid w:val="009A686A"/>
    <w:rsid w:val="009B040D"/>
    <w:rsid w:val="009B073F"/>
    <w:rsid w:val="009B12D1"/>
    <w:rsid w:val="009B1AE4"/>
    <w:rsid w:val="009B2ADB"/>
    <w:rsid w:val="009B3851"/>
    <w:rsid w:val="009B3B7E"/>
    <w:rsid w:val="009B3D20"/>
    <w:rsid w:val="009B54D6"/>
    <w:rsid w:val="009B603A"/>
    <w:rsid w:val="009B6D50"/>
    <w:rsid w:val="009B7755"/>
    <w:rsid w:val="009B78A7"/>
    <w:rsid w:val="009C00A5"/>
    <w:rsid w:val="009C0F33"/>
    <w:rsid w:val="009C2A1C"/>
    <w:rsid w:val="009C2D0E"/>
    <w:rsid w:val="009C2DC3"/>
    <w:rsid w:val="009C30F9"/>
    <w:rsid w:val="009C324A"/>
    <w:rsid w:val="009C34AD"/>
    <w:rsid w:val="009C3DAC"/>
    <w:rsid w:val="009C4023"/>
    <w:rsid w:val="009C42E0"/>
    <w:rsid w:val="009C4D80"/>
    <w:rsid w:val="009C502B"/>
    <w:rsid w:val="009C5215"/>
    <w:rsid w:val="009C6A72"/>
    <w:rsid w:val="009C70AB"/>
    <w:rsid w:val="009C7500"/>
    <w:rsid w:val="009D0793"/>
    <w:rsid w:val="009D0EB7"/>
    <w:rsid w:val="009D1185"/>
    <w:rsid w:val="009D1229"/>
    <w:rsid w:val="009D1DD4"/>
    <w:rsid w:val="009D20E3"/>
    <w:rsid w:val="009D3A21"/>
    <w:rsid w:val="009D426E"/>
    <w:rsid w:val="009D4601"/>
    <w:rsid w:val="009D4620"/>
    <w:rsid w:val="009D465A"/>
    <w:rsid w:val="009D474D"/>
    <w:rsid w:val="009D5362"/>
    <w:rsid w:val="009D55E4"/>
    <w:rsid w:val="009D72FC"/>
    <w:rsid w:val="009E0C5B"/>
    <w:rsid w:val="009E0C96"/>
    <w:rsid w:val="009E1314"/>
    <w:rsid w:val="009E1415"/>
    <w:rsid w:val="009E1FB4"/>
    <w:rsid w:val="009E2062"/>
    <w:rsid w:val="009E264B"/>
    <w:rsid w:val="009E4060"/>
    <w:rsid w:val="009E4130"/>
    <w:rsid w:val="009E6116"/>
    <w:rsid w:val="009E6FA3"/>
    <w:rsid w:val="009E75CF"/>
    <w:rsid w:val="009F0377"/>
    <w:rsid w:val="009F0C20"/>
    <w:rsid w:val="009F12D6"/>
    <w:rsid w:val="009F1746"/>
    <w:rsid w:val="009F65BF"/>
    <w:rsid w:val="009F68E2"/>
    <w:rsid w:val="009F724B"/>
    <w:rsid w:val="009F7640"/>
    <w:rsid w:val="00A00512"/>
    <w:rsid w:val="00A00E24"/>
    <w:rsid w:val="00A02987"/>
    <w:rsid w:val="00A02E43"/>
    <w:rsid w:val="00A03BC4"/>
    <w:rsid w:val="00A03FE0"/>
    <w:rsid w:val="00A055B6"/>
    <w:rsid w:val="00A05871"/>
    <w:rsid w:val="00A06233"/>
    <w:rsid w:val="00A063E7"/>
    <w:rsid w:val="00A065F9"/>
    <w:rsid w:val="00A07F34"/>
    <w:rsid w:val="00A10C23"/>
    <w:rsid w:val="00A11E36"/>
    <w:rsid w:val="00A12782"/>
    <w:rsid w:val="00A15086"/>
    <w:rsid w:val="00A16BF1"/>
    <w:rsid w:val="00A20556"/>
    <w:rsid w:val="00A21AF9"/>
    <w:rsid w:val="00A22087"/>
    <w:rsid w:val="00A22154"/>
    <w:rsid w:val="00A226F9"/>
    <w:rsid w:val="00A228D0"/>
    <w:rsid w:val="00A23A25"/>
    <w:rsid w:val="00A23AB7"/>
    <w:rsid w:val="00A25055"/>
    <w:rsid w:val="00A2516A"/>
    <w:rsid w:val="00A2573E"/>
    <w:rsid w:val="00A25C38"/>
    <w:rsid w:val="00A26D4A"/>
    <w:rsid w:val="00A27562"/>
    <w:rsid w:val="00A305AD"/>
    <w:rsid w:val="00A315EC"/>
    <w:rsid w:val="00A31798"/>
    <w:rsid w:val="00A317D6"/>
    <w:rsid w:val="00A3283B"/>
    <w:rsid w:val="00A33B92"/>
    <w:rsid w:val="00A36BBE"/>
    <w:rsid w:val="00A37FE3"/>
    <w:rsid w:val="00A406E5"/>
    <w:rsid w:val="00A41329"/>
    <w:rsid w:val="00A414AE"/>
    <w:rsid w:val="00A41DC6"/>
    <w:rsid w:val="00A4307A"/>
    <w:rsid w:val="00A4409B"/>
    <w:rsid w:val="00A449FB"/>
    <w:rsid w:val="00A45A71"/>
    <w:rsid w:val="00A463A0"/>
    <w:rsid w:val="00A47DEA"/>
    <w:rsid w:val="00A47EBB"/>
    <w:rsid w:val="00A5069F"/>
    <w:rsid w:val="00A50852"/>
    <w:rsid w:val="00A51CDD"/>
    <w:rsid w:val="00A5379D"/>
    <w:rsid w:val="00A547BF"/>
    <w:rsid w:val="00A54B0A"/>
    <w:rsid w:val="00A5603E"/>
    <w:rsid w:val="00A56460"/>
    <w:rsid w:val="00A565BF"/>
    <w:rsid w:val="00A56753"/>
    <w:rsid w:val="00A5711D"/>
    <w:rsid w:val="00A571F8"/>
    <w:rsid w:val="00A579A5"/>
    <w:rsid w:val="00A57C1A"/>
    <w:rsid w:val="00A60B9A"/>
    <w:rsid w:val="00A61606"/>
    <w:rsid w:val="00A62FA6"/>
    <w:rsid w:val="00A636D1"/>
    <w:rsid w:val="00A63CBA"/>
    <w:rsid w:val="00A647CB"/>
    <w:rsid w:val="00A64CD9"/>
    <w:rsid w:val="00A653C8"/>
    <w:rsid w:val="00A65BB9"/>
    <w:rsid w:val="00A667A7"/>
    <w:rsid w:val="00A66BC3"/>
    <w:rsid w:val="00A66DD6"/>
    <w:rsid w:val="00A66FD5"/>
    <w:rsid w:val="00A6730D"/>
    <w:rsid w:val="00A678DF"/>
    <w:rsid w:val="00A67954"/>
    <w:rsid w:val="00A67B57"/>
    <w:rsid w:val="00A67CF0"/>
    <w:rsid w:val="00A71625"/>
    <w:rsid w:val="00A71B9B"/>
    <w:rsid w:val="00A71D5A"/>
    <w:rsid w:val="00A724C3"/>
    <w:rsid w:val="00A7268D"/>
    <w:rsid w:val="00A73FA2"/>
    <w:rsid w:val="00A7441B"/>
    <w:rsid w:val="00A746F8"/>
    <w:rsid w:val="00A751C7"/>
    <w:rsid w:val="00A75267"/>
    <w:rsid w:val="00A75C35"/>
    <w:rsid w:val="00A769DF"/>
    <w:rsid w:val="00A76A1D"/>
    <w:rsid w:val="00A8059D"/>
    <w:rsid w:val="00A8325A"/>
    <w:rsid w:val="00A83779"/>
    <w:rsid w:val="00A83F6C"/>
    <w:rsid w:val="00A840D7"/>
    <w:rsid w:val="00A84821"/>
    <w:rsid w:val="00A85593"/>
    <w:rsid w:val="00A85C5C"/>
    <w:rsid w:val="00A85E71"/>
    <w:rsid w:val="00A86F5E"/>
    <w:rsid w:val="00A87844"/>
    <w:rsid w:val="00A87DA1"/>
    <w:rsid w:val="00A9055B"/>
    <w:rsid w:val="00A90D05"/>
    <w:rsid w:val="00A927C2"/>
    <w:rsid w:val="00A92972"/>
    <w:rsid w:val="00A92A43"/>
    <w:rsid w:val="00A94E27"/>
    <w:rsid w:val="00A95AA1"/>
    <w:rsid w:val="00A9639A"/>
    <w:rsid w:val="00A96488"/>
    <w:rsid w:val="00A964E2"/>
    <w:rsid w:val="00A96607"/>
    <w:rsid w:val="00A9724F"/>
    <w:rsid w:val="00AA038C"/>
    <w:rsid w:val="00AA0799"/>
    <w:rsid w:val="00AA218C"/>
    <w:rsid w:val="00AA3588"/>
    <w:rsid w:val="00AA42F1"/>
    <w:rsid w:val="00AA5FA9"/>
    <w:rsid w:val="00AA6BA4"/>
    <w:rsid w:val="00AA6D8C"/>
    <w:rsid w:val="00AA7A09"/>
    <w:rsid w:val="00AB031C"/>
    <w:rsid w:val="00AB053C"/>
    <w:rsid w:val="00AB06EF"/>
    <w:rsid w:val="00AB0FD6"/>
    <w:rsid w:val="00AB1184"/>
    <w:rsid w:val="00AB1D5B"/>
    <w:rsid w:val="00AB1DFF"/>
    <w:rsid w:val="00AB2110"/>
    <w:rsid w:val="00AB3424"/>
    <w:rsid w:val="00AB392C"/>
    <w:rsid w:val="00AB3B50"/>
    <w:rsid w:val="00AB41BF"/>
    <w:rsid w:val="00AB68C3"/>
    <w:rsid w:val="00AC05B1"/>
    <w:rsid w:val="00AC1236"/>
    <w:rsid w:val="00AC1C79"/>
    <w:rsid w:val="00AC4EC6"/>
    <w:rsid w:val="00AC56B1"/>
    <w:rsid w:val="00AC6BC3"/>
    <w:rsid w:val="00AD00CD"/>
    <w:rsid w:val="00AD1760"/>
    <w:rsid w:val="00AD19FF"/>
    <w:rsid w:val="00AD1AFA"/>
    <w:rsid w:val="00AD356C"/>
    <w:rsid w:val="00AD3ADB"/>
    <w:rsid w:val="00AD3B99"/>
    <w:rsid w:val="00AD453F"/>
    <w:rsid w:val="00AD4B98"/>
    <w:rsid w:val="00AD4D47"/>
    <w:rsid w:val="00AD5BDD"/>
    <w:rsid w:val="00AD6669"/>
    <w:rsid w:val="00AD7E94"/>
    <w:rsid w:val="00AE15C8"/>
    <w:rsid w:val="00AE244D"/>
    <w:rsid w:val="00AE2914"/>
    <w:rsid w:val="00AE42EE"/>
    <w:rsid w:val="00AE45EB"/>
    <w:rsid w:val="00AE5E89"/>
    <w:rsid w:val="00AE6867"/>
    <w:rsid w:val="00AE6D15"/>
    <w:rsid w:val="00AE70CE"/>
    <w:rsid w:val="00AE74FF"/>
    <w:rsid w:val="00AE7E41"/>
    <w:rsid w:val="00AF0030"/>
    <w:rsid w:val="00AF07C2"/>
    <w:rsid w:val="00AF25B8"/>
    <w:rsid w:val="00AF26FE"/>
    <w:rsid w:val="00AF3EB4"/>
    <w:rsid w:val="00AF46D3"/>
    <w:rsid w:val="00AF6677"/>
    <w:rsid w:val="00AF694F"/>
    <w:rsid w:val="00AF7479"/>
    <w:rsid w:val="00B003C6"/>
    <w:rsid w:val="00B015B4"/>
    <w:rsid w:val="00B04182"/>
    <w:rsid w:val="00B04A60"/>
    <w:rsid w:val="00B05436"/>
    <w:rsid w:val="00B05CF4"/>
    <w:rsid w:val="00B0625D"/>
    <w:rsid w:val="00B07AE3"/>
    <w:rsid w:val="00B106E8"/>
    <w:rsid w:val="00B11075"/>
    <w:rsid w:val="00B11430"/>
    <w:rsid w:val="00B11FA4"/>
    <w:rsid w:val="00B13295"/>
    <w:rsid w:val="00B13597"/>
    <w:rsid w:val="00B13F51"/>
    <w:rsid w:val="00B14E3C"/>
    <w:rsid w:val="00B165A1"/>
    <w:rsid w:val="00B16FCA"/>
    <w:rsid w:val="00B174ED"/>
    <w:rsid w:val="00B204AA"/>
    <w:rsid w:val="00B212E3"/>
    <w:rsid w:val="00B213D7"/>
    <w:rsid w:val="00B21427"/>
    <w:rsid w:val="00B22DA7"/>
    <w:rsid w:val="00B2329F"/>
    <w:rsid w:val="00B23455"/>
    <w:rsid w:val="00B23D13"/>
    <w:rsid w:val="00B24F12"/>
    <w:rsid w:val="00B263B3"/>
    <w:rsid w:val="00B27ABB"/>
    <w:rsid w:val="00B306F8"/>
    <w:rsid w:val="00B30CD5"/>
    <w:rsid w:val="00B32139"/>
    <w:rsid w:val="00B323CD"/>
    <w:rsid w:val="00B33F22"/>
    <w:rsid w:val="00B34009"/>
    <w:rsid w:val="00B34339"/>
    <w:rsid w:val="00B3440A"/>
    <w:rsid w:val="00B353EB"/>
    <w:rsid w:val="00B355F6"/>
    <w:rsid w:val="00B359B3"/>
    <w:rsid w:val="00B35AB3"/>
    <w:rsid w:val="00B36D12"/>
    <w:rsid w:val="00B4005E"/>
    <w:rsid w:val="00B40B95"/>
    <w:rsid w:val="00B41960"/>
    <w:rsid w:val="00B43380"/>
    <w:rsid w:val="00B439C4"/>
    <w:rsid w:val="00B44F93"/>
    <w:rsid w:val="00B4535E"/>
    <w:rsid w:val="00B4590C"/>
    <w:rsid w:val="00B4624C"/>
    <w:rsid w:val="00B46BF6"/>
    <w:rsid w:val="00B47D3D"/>
    <w:rsid w:val="00B509D0"/>
    <w:rsid w:val="00B50D63"/>
    <w:rsid w:val="00B52224"/>
    <w:rsid w:val="00B52A8C"/>
    <w:rsid w:val="00B54276"/>
    <w:rsid w:val="00B54385"/>
    <w:rsid w:val="00B55FD1"/>
    <w:rsid w:val="00B5709D"/>
    <w:rsid w:val="00B577A8"/>
    <w:rsid w:val="00B6057A"/>
    <w:rsid w:val="00B6068D"/>
    <w:rsid w:val="00B60B54"/>
    <w:rsid w:val="00B60EDE"/>
    <w:rsid w:val="00B61270"/>
    <w:rsid w:val="00B623D9"/>
    <w:rsid w:val="00B625BF"/>
    <w:rsid w:val="00B634DA"/>
    <w:rsid w:val="00B636A8"/>
    <w:rsid w:val="00B6568F"/>
    <w:rsid w:val="00B6582E"/>
    <w:rsid w:val="00B665C6"/>
    <w:rsid w:val="00B70E8E"/>
    <w:rsid w:val="00B73D20"/>
    <w:rsid w:val="00B74762"/>
    <w:rsid w:val="00B74A23"/>
    <w:rsid w:val="00B75F83"/>
    <w:rsid w:val="00B7642C"/>
    <w:rsid w:val="00B80563"/>
    <w:rsid w:val="00B805AF"/>
    <w:rsid w:val="00B81C78"/>
    <w:rsid w:val="00B8346C"/>
    <w:rsid w:val="00B84021"/>
    <w:rsid w:val="00B85BC6"/>
    <w:rsid w:val="00B85EF9"/>
    <w:rsid w:val="00B869EC"/>
    <w:rsid w:val="00B87680"/>
    <w:rsid w:val="00B87EC7"/>
    <w:rsid w:val="00B87ECB"/>
    <w:rsid w:val="00B90444"/>
    <w:rsid w:val="00B923AA"/>
    <w:rsid w:val="00B9380A"/>
    <w:rsid w:val="00B9397A"/>
    <w:rsid w:val="00B9494B"/>
    <w:rsid w:val="00B95084"/>
    <w:rsid w:val="00B9633D"/>
    <w:rsid w:val="00B96628"/>
    <w:rsid w:val="00B970EE"/>
    <w:rsid w:val="00B97746"/>
    <w:rsid w:val="00BA1396"/>
    <w:rsid w:val="00BA19EE"/>
    <w:rsid w:val="00BA2EBE"/>
    <w:rsid w:val="00BA3605"/>
    <w:rsid w:val="00BA454E"/>
    <w:rsid w:val="00BA52D5"/>
    <w:rsid w:val="00BA7716"/>
    <w:rsid w:val="00BA7B51"/>
    <w:rsid w:val="00BA7E69"/>
    <w:rsid w:val="00BB039C"/>
    <w:rsid w:val="00BB03DB"/>
    <w:rsid w:val="00BB0519"/>
    <w:rsid w:val="00BB0C5C"/>
    <w:rsid w:val="00BB0DB6"/>
    <w:rsid w:val="00BB0F28"/>
    <w:rsid w:val="00BB14C6"/>
    <w:rsid w:val="00BB3191"/>
    <w:rsid w:val="00BB39D5"/>
    <w:rsid w:val="00BB3DCF"/>
    <w:rsid w:val="00BB4344"/>
    <w:rsid w:val="00BB4456"/>
    <w:rsid w:val="00BB458A"/>
    <w:rsid w:val="00BB4826"/>
    <w:rsid w:val="00BB4C8B"/>
    <w:rsid w:val="00BB6BA8"/>
    <w:rsid w:val="00BC01F6"/>
    <w:rsid w:val="00BC0208"/>
    <w:rsid w:val="00BC03F8"/>
    <w:rsid w:val="00BC0A80"/>
    <w:rsid w:val="00BC0D03"/>
    <w:rsid w:val="00BC130E"/>
    <w:rsid w:val="00BC1ACA"/>
    <w:rsid w:val="00BC36B6"/>
    <w:rsid w:val="00BC3740"/>
    <w:rsid w:val="00BC3991"/>
    <w:rsid w:val="00BC3AB7"/>
    <w:rsid w:val="00BC3C70"/>
    <w:rsid w:val="00BC3FD5"/>
    <w:rsid w:val="00BC4E76"/>
    <w:rsid w:val="00BC7AF5"/>
    <w:rsid w:val="00BD00D3"/>
    <w:rsid w:val="00BD0948"/>
    <w:rsid w:val="00BD0DA0"/>
    <w:rsid w:val="00BD1659"/>
    <w:rsid w:val="00BD3AA9"/>
    <w:rsid w:val="00BD3E30"/>
    <w:rsid w:val="00BD4A18"/>
    <w:rsid w:val="00BD4FAA"/>
    <w:rsid w:val="00BD67CE"/>
    <w:rsid w:val="00BD69E8"/>
    <w:rsid w:val="00BD6DB2"/>
    <w:rsid w:val="00BD755B"/>
    <w:rsid w:val="00BD7EC7"/>
    <w:rsid w:val="00BE02CE"/>
    <w:rsid w:val="00BE11CF"/>
    <w:rsid w:val="00BE21AB"/>
    <w:rsid w:val="00BE29BB"/>
    <w:rsid w:val="00BE3BFB"/>
    <w:rsid w:val="00BE55CB"/>
    <w:rsid w:val="00BE6581"/>
    <w:rsid w:val="00BF011B"/>
    <w:rsid w:val="00BF1566"/>
    <w:rsid w:val="00BF3BEB"/>
    <w:rsid w:val="00BF3EEB"/>
    <w:rsid w:val="00BF5B98"/>
    <w:rsid w:val="00BF617A"/>
    <w:rsid w:val="00BF69E6"/>
    <w:rsid w:val="00BF74DD"/>
    <w:rsid w:val="00BF7534"/>
    <w:rsid w:val="00C011D1"/>
    <w:rsid w:val="00C034FD"/>
    <w:rsid w:val="00C0379D"/>
    <w:rsid w:val="00C03931"/>
    <w:rsid w:val="00C04AD1"/>
    <w:rsid w:val="00C05D03"/>
    <w:rsid w:val="00C05FE3"/>
    <w:rsid w:val="00C06B9F"/>
    <w:rsid w:val="00C06EC1"/>
    <w:rsid w:val="00C10A0C"/>
    <w:rsid w:val="00C12612"/>
    <w:rsid w:val="00C1389E"/>
    <w:rsid w:val="00C153A4"/>
    <w:rsid w:val="00C15745"/>
    <w:rsid w:val="00C15E16"/>
    <w:rsid w:val="00C1678C"/>
    <w:rsid w:val="00C173D5"/>
    <w:rsid w:val="00C1751A"/>
    <w:rsid w:val="00C206E2"/>
    <w:rsid w:val="00C2136D"/>
    <w:rsid w:val="00C214EE"/>
    <w:rsid w:val="00C21DD5"/>
    <w:rsid w:val="00C21F1D"/>
    <w:rsid w:val="00C21F82"/>
    <w:rsid w:val="00C22467"/>
    <w:rsid w:val="00C2314B"/>
    <w:rsid w:val="00C2428E"/>
    <w:rsid w:val="00C24971"/>
    <w:rsid w:val="00C24E87"/>
    <w:rsid w:val="00C2558D"/>
    <w:rsid w:val="00C25B01"/>
    <w:rsid w:val="00C25C00"/>
    <w:rsid w:val="00C26BE5"/>
    <w:rsid w:val="00C26E4D"/>
    <w:rsid w:val="00C271FC"/>
    <w:rsid w:val="00C2766C"/>
    <w:rsid w:val="00C27909"/>
    <w:rsid w:val="00C27B03"/>
    <w:rsid w:val="00C31287"/>
    <w:rsid w:val="00C314E1"/>
    <w:rsid w:val="00C3243D"/>
    <w:rsid w:val="00C33810"/>
    <w:rsid w:val="00C3385F"/>
    <w:rsid w:val="00C33BBA"/>
    <w:rsid w:val="00C34397"/>
    <w:rsid w:val="00C36040"/>
    <w:rsid w:val="00C378E9"/>
    <w:rsid w:val="00C37D5B"/>
    <w:rsid w:val="00C4095D"/>
    <w:rsid w:val="00C40F02"/>
    <w:rsid w:val="00C4146E"/>
    <w:rsid w:val="00C41BFA"/>
    <w:rsid w:val="00C428F1"/>
    <w:rsid w:val="00C42BA9"/>
    <w:rsid w:val="00C42CE1"/>
    <w:rsid w:val="00C44731"/>
    <w:rsid w:val="00C44C4F"/>
    <w:rsid w:val="00C44FA3"/>
    <w:rsid w:val="00C451A4"/>
    <w:rsid w:val="00C471B4"/>
    <w:rsid w:val="00C51B32"/>
    <w:rsid w:val="00C51E9E"/>
    <w:rsid w:val="00C52710"/>
    <w:rsid w:val="00C534AD"/>
    <w:rsid w:val="00C546B2"/>
    <w:rsid w:val="00C547B9"/>
    <w:rsid w:val="00C54AC6"/>
    <w:rsid w:val="00C556C5"/>
    <w:rsid w:val="00C55959"/>
    <w:rsid w:val="00C5609C"/>
    <w:rsid w:val="00C5623A"/>
    <w:rsid w:val="00C56673"/>
    <w:rsid w:val="00C56945"/>
    <w:rsid w:val="00C57470"/>
    <w:rsid w:val="00C57C36"/>
    <w:rsid w:val="00C57CB6"/>
    <w:rsid w:val="00C601D2"/>
    <w:rsid w:val="00C6283C"/>
    <w:rsid w:val="00C62F88"/>
    <w:rsid w:val="00C635F4"/>
    <w:rsid w:val="00C64FDE"/>
    <w:rsid w:val="00C65254"/>
    <w:rsid w:val="00C65BCC"/>
    <w:rsid w:val="00C65E80"/>
    <w:rsid w:val="00C66970"/>
    <w:rsid w:val="00C716AC"/>
    <w:rsid w:val="00C727B1"/>
    <w:rsid w:val="00C7364B"/>
    <w:rsid w:val="00C745D3"/>
    <w:rsid w:val="00C748C8"/>
    <w:rsid w:val="00C75A1E"/>
    <w:rsid w:val="00C7738E"/>
    <w:rsid w:val="00C81B4C"/>
    <w:rsid w:val="00C8280B"/>
    <w:rsid w:val="00C83876"/>
    <w:rsid w:val="00C84917"/>
    <w:rsid w:val="00C8691C"/>
    <w:rsid w:val="00C87860"/>
    <w:rsid w:val="00C87FD9"/>
    <w:rsid w:val="00C90068"/>
    <w:rsid w:val="00C903CA"/>
    <w:rsid w:val="00C90694"/>
    <w:rsid w:val="00C90973"/>
    <w:rsid w:val="00C90D4D"/>
    <w:rsid w:val="00C9173B"/>
    <w:rsid w:val="00C91766"/>
    <w:rsid w:val="00C91E77"/>
    <w:rsid w:val="00C928C2"/>
    <w:rsid w:val="00C935FF"/>
    <w:rsid w:val="00C9446F"/>
    <w:rsid w:val="00C9491B"/>
    <w:rsid w:val="00C9515B"/>
    <w:rsid w:val="00C95429"/>
    <w:rsid w:val="00C954FB"/>
    <w:rsid w:val="00C96942"/>
    <w:rsid w:val="00C97432"/>
    <w:rsid w:val="00CA0859"/>
    <w:rsid w:val="00CA168A"/>
    <w:rsid w:val="00CA257D"/>
    <w:rsid w:val="00CA2ED7"/>
    <w:rsid w:val="00CA357E"/>
    <w:rsid w:val="00CA44F9"/>
    <w:rsid w:val="00CA4A69"/>
    <w:rsid w:val="00CA50A9"/>
    <w:rsid w:val="00CA6D1C"/>
    <w:rsid w:val="00CA6D90"/>
    <w:rsid w:val="00CA7C2A"/>
    <w:rsid w:val="00CB00C1"/>
    <w:rsid w:val="00CB0532"/>
    <w:rsid w:val="00CB10B3"/>
    <w:rsid w:val="00CB10CF"/>
    <w:rsid w:val="00CB20C8"/>
    <w:rsid w:val="00CB22D8"/>
    <w:rsid w:val="00CB29CC"/>
    <w:rsid w:val="00CB3113"/>
    <w:rsid w:val="00CB3341"/>
    <w:rsid w:val="00CB4AC6"/>
    <w:rsid w:val="00CB4B88"/>
    <w:rsid w:val="00CB4FAE"/>
    <w:rsid w:val="00CB6C8C"/>
    <w:rsid w:val="00CB6E47"/>
    <w:rsid w:val="00CB708E"/>
    <w:rsid w:val="00CC1650"/>
    <w:rsid w:val="00CC17B7"/>
    <w:rsid w:val="00CC2B9B"/>
    <w:rsid w:val="00CC2EC6"/>
    <w:rsid w:val="00CC32AE"/>
    <w:rsid w:val="00CC3E0C"/>
    <w:rsid w:val="00CC4C3E"/>
    <w:rsid w:val="00CC58D3"/>
    <w:rsid w:val="00CC6F2D"/>
    <w:rsid w:val="00CC784D"/>
    <w:rsid w:val="00CC799D"/>
    <w:rsid w:val="00CC7AA5"/>
    <w:rsid w:val="00CC7CF5"/>
    <w:rsid w:val="00CD050D"/>
    <w:rsid w:val="00CD0D5C"/>
    <w:rsid w:val="00CD133B"/>
    <w:rsid w:val="00CD1E89"/>
    <w:rsid w:val="00CD228F"/>
    <w:rsid w:val="00CD2303"/>
    <w:rsid w:val="00CD31D5"/>
    <w:rsid w:val="00CD33A8"/>
    <w:rsid w:val="00CD3961"/>
    <w:rsid w:val="00CD3E3C"/>
    <w:rsid w:val="00CD45BE"/>
    <w:rsid w:val="00CD4C43"/>
    <w:rsid w:val="00CD76C4"/>
    <w:rsid w:val="00CE053F"/>
    <w:rsid w:val="00CE0874"/>
    <w:rsid w:val="00CE2C25"/>
    <w:rsid w:val="00CE2F09"/>
    <w:rsid w:val="00CE321E"/>
    <w:rsid w:val="00CE56E5"/>
    <w:rsid w:val="00CE5C62"/>
    <w:rsid w:val="00CE601A"/>
    <w:rsid w:val="00CE61CF"/>
    <w:rsid w:val="00CE6B54"/>
    <w:rsid w:val="00CE6CFF"/>
    <w:rsid w:val="00CE7D08"/>
    <w:rsid w:val="00CF3404"/>
    <w:rsid w:val="00CF51F5"/>
    <w:rsid w:val="00CF67E0"/>
    <w:rsid w:val="00CF6B99"/>
    <w:rsid w:val="00CF6D58"/>
    <w:rsid w:val="00CF74A9"/>
    <w:rsid w:val="00D005B7"/>
    <w:rsid w:val="00D00D88"/>
    <w:rsid w:val="00D030EF"/>
    <w:rsid w:val="00D0337B"/>
    <w:rsid w:val="00D053DA"/>
    <w:rsid w:val="00D055AA"/>
    <w:rsid w:val="00D05A2E"/>
    <w:rsid w:val="00D05BAC"/>
    <w:rsid w:val="00D060D0"/>
    <w:rsid w:val="00D0687F"/>
    <w:rsid w:val="00D06D0E"/>
    <w:rsid w:val="00D06F07"/>
    <w:rsid w:val="00D079B2"/>
    <w:rsid w:val="00D07D78"/>
    <w:rsid w:val="00D106C0"/>
    <w:rsid w:val="00D11346"/>
    <w:rsid w:val="00D114E9"/>
    <w:rsid w:val="00D121A0"/>
    <w:rsid w:val="00D126CA"/>
    <w:rsid w:val="00D1340C"/>
    <w:rsid w:val="00D13571"/>
    <w:rsid w:val="00D13C8A"/>
    <w:rsid w:val="00D15608"/>
    <w:rsid w:val="00D1645E"/>
    <w:rsid w:val="00D17345"/>
    <w:rsid w:val="00D17D2A"/>
    <w:rsid w:val="00D20D50"/>
    <w:rsid w:val="00D211B2"/>
    <w:rsid w:val="00D222A7"/>
    <w:rsid w:val="00D22F6A"/>
    <w:rsid w:val="00D237EB"/>
    <w:rsid w:val="00D314AA"/>
    <w:rsid w:val="00D31B8D"/>
    <w:rsid w:val="00D32A27"/>
    <w:rsid w:val="00D331BE"/>
    <w:rsid w:val="00D34211"/>
    <w:rsid w:val="00D34E10"/>
    <w:rsid w:val="00D353D9"/>
    <w:rsid w:val="00D35F96"/>
    <w:rsid w:val="00D36702"/>
    <w:rsid w:val="00D37B78"/>
    <w:rsid w:val="00D40CDD"/>
    <w:rsid w:val="00D40E17"/>
    <w:rsid w:val="00D42231"/>
    <w:rsid w:val="00D429C6"/>
    <w:rsid w:val="00D43E25"/>
    <w:rsid w:val="00D44DF3"/>
    <w:rsid w:val="00D4504F"/>
    <w:rsid w:val="00D45F3A"/>
    <w:rsid w:val="00D46677"/>
    <w:rsid w:val="00D4710D"/>
    <w:rsid w:val="00D47748"/>
    <w:rsid w:val="00D51B3A"/>
    <w:rsid w:val="00D523A6"/>
    <w:rsid w:val="00D5331A"/>
    <w:rsid w:val="00D539CC"/>
    <w:rsid w:val="00D53AF5"/>
    <w:rsid w:val="00D546CA"/>
    <w:rsid w:val="00D54C5F"/>
    <w:rsid w:val="00D54CC3"/>
    <w:rsid w:val="00D552C9"/>
    <w:rsid w:val="00D55D59"/>
    <w:rsid w:val="00D57316"/>
    <w:rsid w:val="00D60364"/>
    <w:rsid w:val="00D6041A"/>
    <w:rsid w:val="00D608ED"/>
    <w:rsid w:val="00D60DAB"/>
    <w:rsid w:val="00D6215F"/>
    <w:rsid w:val="00D633EB"/>
    <w:rsid w:val="00D636CB"/>
    <w:rsid w:val="00D63E05"/>
    <w:rsid w:val="00D64105"/>
    <w:rsid w:val="00D64710"/>
    <w:rsid w:val="00D6481E"/>
    <w:rsid w:val="00D64FB1"/>
    <w:rsid w:val="00D7063F"/>
    <w:rsid w:val="00D70900"/>
    <w:rsid w:val="00D71080"/>
    <w:rsid w:val="00D718E9"/>
    <w:rsid w:val="00D7196E"/>
    <w:rsid w:val="00D72DE9"/>
    <w:rsid w:val="00D73022"/>
    <w:rsid w:val="00D740A2"/>
    <w:rsid w:val="00D771F2"/>
    <w:rsid w:val="00D806A6"/>
    <w:rsid w:val="00D8247A"/>
    <w:rsid w:val="00D82FF7"/>
    <w:rsid w:val="00D837C6"/>
    <w:rsid w:val="00D83AE4"/>
    <w:rsid w:val="00D847FE"/>
    <w:rsid w:val="00D84926"/>
    <w:rsid w:val="00D855E3"/>
    <w:rsid w:val="00D85840"/>
    <w:rsid w:val="00D85CC0"/>
    <w:rsid w:val="00D87B05"/>
    <w:rsid w:val="00D90F55"/>
    <w:rsid w:val="00D91257"/>
    <w:rsid w:val="00D916A7"/>
    <w:rsid w:val="00D92306"/>
    <w:rsid w:val="00D9430F"/>
    <w:rsid w:val="00D944E3"/>
    <w:rsid w:val="00D964EA"/>
    <w:rsid w:val="00D966D0"/>
    <w:rsid w:val="00D96A50"/>
    <w:rsid w:val="00D96C8A"/>
    <w:rsid w:val="00D97DD7"/>
    <w:rsid w:val="00DA01CC"/>
    <w:rsid w:val="00DA0C59"/>
    <w:rsid w:val="00DA12FD"/>
    <w:rsid w:val="00DA1757"/>
    <w:rsid w:val="00DA314C"/>
    <w:rsid w:val="00DA3991"/>
    <w:rsid w:val="00DA4C44"/>
    <w:rsid w:val="00DA53CE"/>
    <w:rsid w:val="00DA5BAD"/>
    <w:rsid w:val="00DA698C"/>
    <w:rsid w:val="00DA6A97"/>
    <w:rsid w:val="00DA6DA9"/>
    <w:rsid w:val="00DA7BB8"/>
    <w:rsid w:val="00DB0476"/>
    <w:rsid w:val="00DB0EFA"/>
    <w:rsid w:val="00DB2E97"/>
    <w:rsid w:val="00DB36BC"/>
    <w:rsid w:val="00DB5175"/>
    <w:rsid w:val="00DB58EF"/>
    <w:rsid w:val="00DB5F3D"/>
    <w:rsid w:val="00DB6841"/>
    <w:rsid w:val="00DB6BFE"/>
    <w:rsid w:val="00DB6C3B"/>
    <w:rsid w:val="00DB76E7"/>
    <w:rsid w:val="00DB7C49"/>
    <w:rsid w:val="00DB7E6C"/>
    <w:rsid w:val="00DC230C"/>
    <w:rsid w:val="00DC332F"/>
    <w:rsid w:val="00DC3867"/>
    <w:rsid w:val="00DC5CF5"/>
    <w:rsid w:val="00DC6616"/>
    <w:rsid w:val="00DC691E"/>
    <w:rsid w:val="00DC695A"/>
    <w:rsid w:val="00DC7385"/>
    <w:rsid w:val="00DD238F"/>
    <w:rsid w:val="00DD2823"/>
    <w:rsid w:val="00DD3BF3"/>
    <w:rsid w:val="00DD4E10"/>
    <w:rsid w:val="00DD5605"/>
    <w:rsid w:val="00DD5A29"/>
    <w:rsid w:val="00DD5D9D"/>
    <w:rsid w:val="00DD7E47"/>
    <w:rsid w:val="00DE02CC"/>
    <w:rsid w:val="00DE0CF2"/>
    <w:rsid w:val="00DE0F13"/>
    <w:rsid w:val="00DE1743"/>
    <w:rsid w:val="00DE2CAE"/>
    <w:rsid w:val="00DE30F6"/>
    <w:rsid w:val="00DE35CB"/>
    <w:rsid w:val="00DE48AA"/>
    <w:rsid w:val="00DE54B3"/>
    <w:rsid w:val="00DE5840"/>
    <w:rsid w:val="00DE7EE8"/>
    <w:rsid w:val="00DF1B8D"/>
    <w:rsid w:val="00DF1E2D"/>
    <w:rsid w:val="00DF21E9"/>
    <w:rsid w:val="00DF26B8"/>
    <w:rsid w:val="00DF2B31"/>
    <w:rsid w:val="00DF3672"/>
    <w:rsid w:val="00DF3B79"/>
    <w:rsid w:val="00DF6087"/>
    <w:rsid w:val="00DF6366"/>
    <w:rsid w:val="00DF6FD4"/>
    <w:rsid w:val="00DF7801"/>
    <w:rsid w:val="00E00C38"/>
    <w:rsid w:val="00E00F14"/>
    <w:rsid w:val="00E01C12"/>
    <w:rsid w:val="00E03F7B"/>
    <w:rsid w:val="00E04053"/>
    <w:rsid w:val="00E045BA"/>
    <w:rsid w:val="00E06386"/>
    <w:rsid w:val="00E06FA6"/>
    <w:rsid w:val="00E1022D"/>
    <w:rsid w:val="00E10505"/>
    <w:rsid w:val="00E12972"/>
    <w:rsid w:val="00E12B19"/>
    <w:rsid w:val="00E14E67"/>
    <w:rsid w:val="00E15C63"/>
    <w:rsid w:val="00E15F48"/>
    <w:rsid w:val="00E170C9"/>
    <w:rsid w:val="00E1785D"/>
    <w:rsid w:val="00E200DE"/>
    <w:rsid w:val="00E21F39"/>
    <w:rsid w:val="00E222C2"/>
    <w:rsid w:val="00E22D9B"/>
    <w:rsid w:val="00E23AB1"/>
    <w:rsid w:val="00E23ACC"/>
    <w:rsid w:val="00E23DFE"/>
    <w:rsid w:val="00E24402"/>
    <w:rsid w:val="00E24704"/>
    <w:rsid w:val="00E24871"/>
    <w:rsid w:val="00E24B07"/>
    <w:rsid w:val="00E24EB4"/>
    <w:rsid w:val="00E25246"/>
    <w:rsid w:val="00E252EA"/>
    <w:rsid w:val="00E2635F"/>
    <w:rsid w:val="00E308B3"/>
    <w:rsid w:val="00E30EE8"/>
    <w:rsid w:val="00E313F7"/>
    <w:rsid w:val="00E31558"/>
    <w:rsid w:val="00E320ED"/>
    <w:rsid w:val="00E32928"/>
    <w:rsid w:val="00E33069"/>
    <w:rsid w:val="00E33AFB"/>
    <w:rsid w:val="00E33C2C"/>
    <w:rsid w:val="00E34218"/>
    <w:rsid w:val="00E344C1"/>
    <w:rsid w:val="00E35CC8"/>
    <w:rsid w:val="00E36CC8"/>
    <w:rsid w:val="00E37B61"/>
    <w:rsid w:val="00E4009B"/>
    <w:rsid w:val="00E416A1"/>
    <w:rsid w:val="00E426BD"/>
    <w:rsid w:val="00E43362"/>
    <w:rsid w:val="00E445D2"/>
    <w:rsid w:val="00E45242"/>
    <w:rsid w:val="00E45DE4"/>
    <w:rsid w:val="00E46282"/>
    <w:rsid w:val="00E464BE"/>
    <w:rsid w:val="00E4763D"/>
    <w:rsid w:val="00E5195A"/>
    <w:rsid w:val="00E5216E"/>
    <w:rsid w:val="00E521C2"/>
    <w:rsid w:val="00E5240C"/>
    <w:rsid w:val="00E53789"/>
    <w:rsid w:val="00E54527"/>
    <w:rsid w:val="00E54960"/>
    <w:rsid w:val="00E55BE8"/>
    <w:rsid w:val="00E567AB"/>
    <w:rsid w:val="00E57EC4"/>
    <w:rsid w:val="00E60C60"/>
    <w:rsid w:val="00E6180A"/>
    <w:rsid w:val="00E619C5"/>
    <w:rsid w:val="00E619CF"/>
    <w:rsid w:val="00E631AB"/>
    <w:rsid w:val="00E63599"/>
    <w:rsid w:val="00E63CCA"/>
    <w:rsid w:val="00E63D8F"/>
    <w:rsid w:val="00E64068"/>
    <w:rsid w:val="00E6532F"/>
    <w:rsid w:val="00E709A0"/>
    <w:rsid w:val="00E70AA3"/>
    <w:rsid w:val="00E70E82"/>
    <w:rsid w:val="00E71D61"/>
    <w:rsid w:val="00E71DB0"/>
    <w:rsid w:val="00E71DD4"/>
    <w:rsid w:val="00E7290D"/>
    <w:rsid w:val="00E7328B"/>
    <w:rsid w:val="00E73A5E"/>
    <w:rsid w:val="00E7488B"/>
    <w:rsid w:val="00E75D30"/>
    <w:rsid w:val="00E774A4"/>
    <w:rsid w:val="00E7752F"/>
    <w:rsid w:val="00E7767C"/>
    <w:rsid w:val="00E77B4D"/>
    <w:rsid w:val="00E8048D"/>
    <w:rsid w:val="00E806B1"/>
    <w:rsid w:val="00E810FC"/>
    <w:rsid w:val="00E81140"/>
    <w:rsid w:val="00E81509"/>
    <w:rsid w:val="00E82344"/>
    <w:rsid w:val="00E8281D"/>
    <w:rsid w:val="00E83370"/>
    <w:rsid w:val="00E836B7"/>
    <w:rsid w:val="00E843CB"/>
    <w:rsid w:val="00E84C82"/>
    <w:rsid w:val="00E84D64"/>
    <w:rsid w:val="00E8580B"/>
    <w:rsid w:val="00E86813"/>
    <w:rsid w:val="00E86822"/>
    <w:rsid w:val="00E86E06"/>
    <w:rsid w:val="00E87408"/>
    <w:rsid w:val="00E874C7"/>
    <w:rsid w:val="00E87C73"/>
    <w:rsid w:val="00E87EB9"/>
    <w:rsid w:val="00E9008F"/>
    <w:rsid w:val="00E910A3"/>
    <w:rsid w:val="00E91462"/>
    <w:rsid w:val="00E914C4"/>
    <w:rsid w:val="00E9221A"/>
    <w:rsid w:val="00E922C0"/>
    <w:rsid w:val="00E9324F"/>
    <w:rsid w:val="00E934F5"/>
    <w:rsid w:val="00E935AE"/>
    <w:rsid w:val="00E93CDA"/>
    <w:rsid w:val="00E93E37"/>
    <w:rsid w:val="00E93E7F"/>
    <w:rsid w:val="00E9449B"/>
    <w:rsid w:val="00E9461E"/>
    <w:rsid w:val="00E94C2E"/>
    <w:rsid w:val="00E954F0"/>
    <w:rsid w:val="00E96961"/>
    <w:rsid w:val="00E96C60"/>
    <w:rsid w:val="00E96F99"/>
    <w:rsid w:val="00E97A8A"/>
    <w:rsid w:val="00E97C9A"/>
    <w:rsid w:val="00E97F0B"/>
    <w:rsid w:val="00EA38AB"/>
    <w:rsid w:val="00EA3E2B"/>
    <w:rsid w:val="00EA3EB1"/>
    <w:rsid w:val="00EA4737"/>
    <w:rsid w:val="00EA56F1"/>
    <w:rsid w:val="00EA5F37"/>
    <w:rsid w:val="00EA608C"/>
    <w:rsid w:val="00EA619A"/>
    <w:rsid w:val="00EA620A"/>
    <w:rsid w:val="00EA665E"/>
    <w:rsid w:val="00EA66FE"/>
    <w:rsid w:val="00EA6A05"/>
    <w:rsid w:val="00EA6E66"/>
    <w:rsid w:val="00EA72EC"/>
    <w:rsid w:val="00EA7F7A"/>
    <w:rsid w:val="00EB0CA7"/>
    <w:rsid w:val="00EB11CB"/>
    <w:rsid w:val="00EB120E"/>
    <w:rsid w:val="00EB2326"/>
    <w:rsid w:val="00EB275A"/>
    <w:rsid w:val="00EB42D9"/>
    <w:rsid w:val="00EB44CF"/>
    <w:rsid w:val="00EB533F"/>
    <w:rsid w:val="00EB67F2"/>
    <w:rsid w:val="00EB73D9"/>
    <w:rsid w:val="00EB786A"/>
    <w:rsid w:val="00EB7C65"/>
    <w:rsid w:val="00EC02F7"/>
    <w:rsid w:val="00EC0316"/>
    <w:rsid w:val="00EC09CB"/>
    <w:rsid w:val="00EC1578"/>
    <w:rsid w:val="00EC1C72"/>
    <w:rsid w:val="00EC2B06"/>
    <w:rsid w:val="00EC3669"/>
    <w:rsid w:val="00EC3CC9"/>
    <w:rsid w:val="00EC443B"/>
    <w:rsid w:val="00EC4A45"/>
    <w:rsid w:val="00EC51DF"/>
    <w:rsid w:val="00EC680A"/>
    <w:rsid w:val="00EC6CD2"/>
    <w:rsid w:val="00EC78E4"/>
    <w:rsid w:val="00ED0EE7"/>
    <w:rsid w:val="00ED2EA9"/>
    <w:rsid w:val="00ED3897"/>
    <w:rsid w:val="00ED38C8"/>
    <w:rsid w:val="00ED40A9"/>
    <w:rsid w:val="00ED40E1"/>
    <w:rsid w:val="00ED47AC"/>
    <w:rsid w:val="00ED5D6C"/>
    <w:rsid w:val="00ED75CB"/>
    <w:rsid w:val="00EE048B"/>
    <w:rsid w:val="00EE0859"/>
    <w:rsid w:val="00EE0C63"/>
    <w:rsid w:val="00EE0DC7"/>
    <w:rsid w:val="00EE146A"/>
    <w:rsid w:val="00EE23AE"/>
    <w:rsid w:val="00EE2666"/>
    <w:rsid w:val="00EE2BED"/>
    <w:rsid w:val="00EE2C72"/>
    <w:rsid w:val="00EE374B"/>
    <w:rsid w:val="00EE37E2"/>
    <w:rsid w:val="00EE3A64"/>
    <w:rsid w:val="00EE4CAA"/>
    <w:rsid w:val="00EE5173"/>
    <w:rsid w:val="00EE5607"/>
    <w:rsid w:val="00EE6445"/>
    <w:rsid w:val="00EE7E34"/>
    <w:rsid w:val="00EF06E1"/>
    <w:rsid w:val="00EF18FE"/>
    <w:rsid w:val="00EF36EF"/>
    <w:rsid w:val="00EF3EB3"/>
    <w:rsid w:val="00EF466D"/>
    <w:rsid w:val="00EF4F4C"/>
    <w:rsid w:val="00EF50BC"/>
    <w:rsid w:val="00EF6C7F"/>
    <w:rsid w:val="00EF7970"/>
    <w:rsid w:val="00F0117A"/>
    <w:rsid w:val="00F0130C"/>
    <w:rsid w:val="00F01DCA"/>
    <w:rsid w:val="00F020B5"/>
    <w:rsid w:val="00F02F75"/>
    <w:rsid w:val="00F03B98"/>
    <w:rsid w:val="00F05119"/>
    <w:rsid w:val="00F06821"/>
    <w:rsid w:val="00F0693F"/>
    <w:rsid w:val="00F06D3C"/>
    <w:rsid w:val="00F07249"/>
    <w:rsid w:val="00F074AC"/>
    <w:rsid w:val="00F10418"/>
    <w:rsid w:val="00F108ED"/>
    <w:rsid w:val="00F11BB5"/>
    <w:rsid w:val="00F125C9"/>
    <w:rsid w:val="00F12F8D"/>
    <w:rsid w:val="00F1371C"/>
    <w:rsid w:val="00F13D63"/>
    <w:rsid w:val="00F1417B"/>
    <w:rsid w:val="00F14CFB"/>
    <w:rsid w:val="00F14FB9"/>
    <w:rsid w:val="00F15253"/>
    <w:rsid w:val="00F1670C"/>
    <w:rsid w:val="00F16DDB"/>
    <w:rsid w:val="00F1754A"/>
    <w:rsid w:val="00F17733"/>
    <w:rsid w:val="00F20394"/>
    <w:rsid w:val="00F20688"/>
    <w:rsid w:val="00F211CC"/>
    <w:rsid w:val="00F229C7"/>
    <w:rsid w:val="00F23FB5"/>
    <w:rsid w:val="00F251B7"/>
    <w:rsid w:val="00F26417"/>
    <w:rsid w:val="00F265BE"/>
    <w:rsid w:val="00F2669D"/>
    <w:rsid w:val="00F2690E"/>
    <w:rsid w:val="00F27077"/>
    <w:rsid w:val="00F273E8"/>
    <w:rsid w:val="00F30A4C"/>
    <w:rsid w:val="00F3311B"/>
    <w:rsid w:val="00F345B3"/>
    <w:rsid w:val="00F34B99"/>
    <w:rsid w:val="00F37161"/>
    <w:rsid w:val="00F374C8"/>
    <w:rsid w:val="00F40737"/>
    <w:rsid w:val="00F42B20"/>
    <w:rsid w:val="00F4459E"/>
    <w:rsid w:val="00F44A11"/>
    <w:rsid w:val="00F45582"/>
    <w:rsid w:val="00F46378"/>
    <w:rsid w:val="00F467CD"/>
    <w:rsid w:val="00F46F93"/>
    <w:rsid w:val="00F472AB"/>
    <w:rsid w:val="00F50D89"/>
    <w:rsid w:val="00F514D0"/>
    <w:rsid w:val="00F51FC6"/>
    <w:rsid w:val="00F52DAB"/>
    <w:rsid w:val="00F53282"/>
    <w:rsid w:val="00F53EB6"/>
    <w:rsid w:val="00F543F0"/>
    <w:rsid w:val="00F546EE"/>
    <w:rsid w:val="00F561CF"/>
    <w:rsid w:val="00F5706E"/>
    <w:rsid w:val="00F5718A"/>
    <w:rsid w:val="00F57606"/>
    <w:rsid w:val="00F57647"/>
    <w:rsid w:val="00F57841"/>
    <w:rsid w:val="00F609B1"/>
    <w:rsid w:val="00F6138B"/>
    <w:rsid w:val="00F6199D"/>
    <w:rsid w:val="00F65283"/>
    <w:rsid w:val="00F66ED7"/>
    <w:rsid w:val="00F67F1B"/>
    <w:rsid w:val="00F70624"/>
    <w:rsid w:val="00F70DCF"/>
    <w:rsid w:val="00F71F83"/>
    <w:rsid w:val="00F7290D"/>
    <w:rsid w:val="00F74A16"/>
    <w:rsid w:val="00F75BDF"/>
    <w:rsid w:val="00F75D38"/>
    <w:rsid w:val="00F77607"/>
    <w:rsid w:val="00F8088F"/>
    <w:rsid w:val="00F80A2B"/>
    <w:rsid w:val="00F8121A"/>
    <w:rsid w:val="00F81318"/>
    <w:rsid w:val="00F81D29"/>
    <w:rsid w:val="00F827C6"/>
    <w:rsid w:val="00F839AB"/>
    <w:rsid w:val="00F83E5C"/>
    <w:rsid w:val="00F842EB"/>
    <w:rsid w:val="00F855B5"/>
    <w:rsid w:val="00F858BE"/>
    <w:rsid w:val="00F85A3B"/>
    <w:rsid w:val="00F85C2A"/>
    <w:rsid w:val="00F85CE9"/>
    <w:rsid w:val="00F875A7"/>
    <w:rsid w:val="00F87EDC"/>
    <w:rsid w:val="00F900BD"/>
    <w:rsid w:val="00F91C4D"/>
    <w:rsid w:val="00F92FD9"/>
    <w:rsid w:val="00F940F7"/>
    <w:rsid w:val="00F949A6"/>
    <w:rsid w:val="00F94E93"/>
    <w:rsid w:val="00F9568E"/>
    <w:rsid w:val="00F96F1A"/>
    <w:rsid w:val="00FA03B1"/>
    <w:rsid w:val="00FA4211"/>
    <w:rsid w:val="00FA459A"/>
    <w:rsid w:val="00FA4B5F"/>
    <w:rsid w:val="00FA629B"/>
    <w:rsid w:val="00FA6684"/>
    <w:rsid w:val="00FA6817"/>
    <w:rsid w:val="00FA731E"/>
    <w:rsid w:val="00FA7F4E"/>
    <w:rsid w:val="00FB0178"/>
    <w:rsid w:val="00FB1F41"/>
    <w:rsid w:val="00FB2B38"/>
    <w:rsid w:val="00FB3551"/>
    <w:rsid w:val="00FB3741"/>
    <w:rsid w:val="00FB6293"/>
    <w:rsid w:val="00FB6A50"/>
    <w:rsid w:val="00FB6D42"/>
    <w:rsid w:val="00FB6FDB"/>
    <w:rsid w:val="00FC0542"/>
    <w:rsid w:val="00FC0C1C"/>
    <w:rsid w:val="00FC0EFF"/>
    <w:rsid w:val="00FC4AFD"/>
    <w:rsid w:val="00FC4EBA"/>
    <w:rsid w:val="00FC4F7F"/>
    <w:rsid w:val="00FC5CCB"/>
    <w:rsid w:val="00FC6358"/>
    <w:rsid w:val="00FC65BD"/>
    <w:rsid w:val="00FC79CE"/>
    <w:rsid w:val="00FD00C6"/>
    <w:rsid w:val="00FD0522"/>
    <w:rsid w:val="00FD0C25"/>
    <w:rsid w:val="00FD0E95"/>
    <w:rsid w:val="00FD1083"/>
    <w:rsid w:val="00FD1ECB"/>
    <w:rsid w:val="00FD2EA6"/>
    <w:rsid w:val="00FD320D"/>
    <w:rsid w:val="00FD4A84"/>
    <w:rsid w:val="00FD510E"/>
    <w:rsid w:val="00FD7070"/>
    <w:rsid w:val="00FD722B"/>
    <w:rsid w:val="00FD7D61"/>
    <w:rsid w:val="00FD7FDF"/>
    <w:rsid w:val="00FE03BA"/>
    <w:rsid w:val="00FE11C6"/>
    <w:rsid w:val="00FE23DE"/>
    <w:rsid w:val="00FE5566"/>
    <w:rsid w:val="00FE5ABF"/>
    <w:rsid w:val="00FE68C8"/>
    <w:rsid w:val="00FE6BD3"/>
    <w:rsid w:val="00FE6D99"/>
    <w:rsid w:val="00FE7EDA"/>
    <w:rsid w:val="00FF03A0"/>
    <w:rsid w:val="00FF2190"/>
    <w:rsid w:val="00FF240B"/>
    <w:rsid w:val="00FF2693"/>
    <w:rsid w:val="00FF36A4"/>
    <w:rsid w:val="00FF6959"/>
    <w:rsid w:val="00FF7A19"/>
    <w:rsid w:val="097266C0"/>
    <w:rsid w:val="0E0A7CC4"/>
    <w:rsid w:val="10A2678D"/>
    <w:rsid w:val="12C30C3D"/>
    <w:rsid w:val="14B41379"/>
    <w:rsid w:val="15BD3F94"/>
    <w:rsid w:val="17D422E7"/>
    <w:rsid w:val="18870C08"/>
    <w:rsid w:val="1A6D3C16"/>
    <w:rsid w:val="1BA71133"/>
    <w:rsid w:val="1BDB6FF7"/>
    <w:rsid w:val="1D3A7D4E"/>
    <w:rsid w:val="1FF266BE"/>
    <w:rsid w:val="24B91EA0"/>
    <w:rsid w:val="250F1AC0"/>
    <w:rsid w:val="270E64D3"/>
    <w:rsid w:val="2D851472"/>
    <w:rsid w:val="2E3E0F1F"/>
    <w:rsid w:val="317A00D5"/>
    <w:rsid w:val="31C241EE"/>
    <w:rsid w:val="32713DBA"/>
    <w:rsid w:val="32AE0614"/>
    <w:rsid w:val="331E1502"/>
    <w:rsid w:val="33AD1538"/>
    <w:rsid w:val="343666E4"/>
    <w:rsid w:val="36897924"/>
    <w:rsid w:val="38181C6D"/>
    <w:rsid w:val="3C044B40"/>
    <w:rsid w:val="3EB96DF7"/>
    <w:rsid w:val="4314376A"/>
    <w:rsid w:val="43522C89"/>
    <w:rsid w:val="43593652"/>
    <w:rsid w:val="45A9403B"/>
    <w:rsid w:val="4AE21E8A"/>
    <w:rsid w:val="4AE44CD1"/>
    <w:rsid w:val="50E6470E"/>
    <w:rsid w:val="582A2F7D"/>
    <w:rsid w:val="59153BC3"/>
    <w:rsid w:val="5BDE39BF"/>
    <w:rsid w:val="5DE913F3"/>
    <w:rsid w:val="5EA06D09"/>
    <w:rsid w:val="61811074"/>
    <w:rsid w:val="61C171C6"/>
    <w:rsid w:val="62052BB9"/>
    <w:rsid w:val="65A721A7"/>
    <w:rsid w:val="6909338E"/>
    <w:rsid w:val="6DD239BB"/>
    <w:rsid w:val="72564D22"/>
    <w:rsid w:val="739D4D9A"/>
    <w:rsid w:val="75487A95"/>
    <w:rsid w:val="75E92BC6"/>
    <w:rsid w:val="78DA11F9"/>
    <w:rsid w:val="7E8D34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sdException w:uiPriority="99" w:name="envelope address"/>
    <w:lsdException w:uiPriority="99" w:name="envelope return"/>
    <w:lsdException w:qFormat="1" w:unhideWhenUsed="0" w:uiPriority="99" w:name="footnote reference"/>
    <w:lsdException w:qFormat="1" w:unhideWhenUsed="0" w:uiPriority="99" w:name="annotation reference"/>
    <w:lsdException w:uiPriority="99" w:name="line number"/>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uiPriority w:val="99"/>
    <w:pPr>
      <w:keepNext/>
      <w:keepLines/>
      <w:spacing w:before="340" w:after="330" w:line="578" w:lineRule="auto"/>
      <w:outlineLvl w:val="0"/>
    </w:pPr>
    <w:rPr>
      <w:b/>
      <w:bCs/>
      <w:kern w:val="44"/>
      <w:sz w:val="44"/>
      <w:szCs w:val="44"/>
    </w:rPr>
  </w:style>
  <w:style w:type="paragraph" w:styleId="3">
    <w:name w:val="heading 3"/>
    <w:basedOn w:val="1"/>
    <w:next w:val="1"/>
    <w:link w:val="43"/>
    <w:semiHidden/>
    <w:unhideWhenUsed/>
    <w:qFormat/>
    <w:locked/>
    <w:uiPriority w:val="0"/>
    <w:pPr>
      <w:keepNext/>
      <w:keepLines/>
      <w:spacing w:before="260" w:after="260" w:line="416" w:lineRule="auto"/>
      <w:outlineLvl w:val="2"/>
    </w:pPr>
    <w:rPr>
      <w:b/>
      <w:bCs/>
      <w:sz w:val="32"/>
      <w:szCs w:val="32"/>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semiHidden/>
    <w:qFormat/>
    <w:uiPriority w:val="99"/>
    <w:pPr>
      <w:tabs>
        <w:tab w:val="right" w:leader="dot" w:pos="9241"/>
      </w:tabs>
      <w:ind w:firstLine="505" w:firstLineChars="500"/>
      <w:jc w:val="left"/>
    </w:pPr>
    <w:rPr>
      <w:rFonts w:ascii="宋体"/>
      <w:szCs w:val="21"/>
    </w:rPr>
  </w:style>
  <w:style w:type="paragraph" w:styleId="5">
    <w:name w:val="index 8"/>
    <w:basedOn w:val="1"/>
    <w:next w:val="1"/>
    <w:semiHidden/>
    <w:qFormat/>
    <w:uiPriority w:val="99"/>
    <w:pPr>
      <w:ind w:left="1680" w:hanging="210"/>
      <w:jc w:val="left"/>
    </w:pPr>
    <w:rPr>
      <w:rFonts w:ascii="Calibri" w:hAnsi="Calibri"/>
      <w:sz w:val="20"/>
      <w:szCs w:val="20"/>
    </w:rPr>
  </w:style>
  <w:style w:type="paragraph" w:styleId="6">
    <w:name w:val="caption"/>
    <w:basedOn w:val="1"/>
    <w:next w:val="1"/>
    <w:qFormat/>
    <w:uiPriority w:val="99"/>
    <w:pPr>
      <w:spacing w:before="152" w:after="160"/>
    </w:pPr>
    <w:rPr>
      <w:rFonts w:ascii="Arial" w:hAnsi="Arial" w:eastAsia="黑体" w:cs="Arial"/>
      <w:sz w:val="20"/>
      <w:szCs w:val="20"/>
    </w:rPr>
  </w:style>
  <w:style w:type="paragraph" w:styleId="7">
    <w:name w:val="index 5"/>
    <w:basedOn w:val="1"/>
    <w:next w:val="1"/>
    <w:semiHidden/>
    <w:qFormat/>
    <w:uiPriority w:val="99"/>
    <w:pPr>
      <w:ind w:left="1050" w:hanging="210"/>
      <w:jc w:val="left"/>
    </w:pPr>
    <w:rPr>
      <w:rFonts w:ascii="Calibri" w:hAnsi="Calibri"/>
      <w:sz w:val="20"/>
      <w:szCs w:val="20"/>
    </w:rPr>
  </w:style>
  <w:style w:type="paragraph" w:styleId="8">
    <w:name w:val="Document Map"/>
    <w:basedOn w:val="1"/>
    <w:link w:val="45"/>
    <w:semiHidden/>
    <w:qFormat/>
    <w:uiPriority w:val="99"/>
    <w:pPr>
      <w:shd w:val="clear" w:color="auto" w:fill="000080"/>
    </w:pPr>
  </w:style>
  <w:style w:type="paragraph" w:styleId="9">
    <w:name w:val="annotation text"/>
    <w:basedOn w:val="1"/>
    <w:link w:val="46"/>
    <w:semiHidden/>
    <w:qFormat/>
    <w:uiPriority w:val="99"/>
    <w:pPr>
      <w:jc w:val="left"/>
    </w:pPr>
  </w:style>
  <w:style w:type="paragraph" w:styleId="10">
    <w:name w:val="index 6"/>
    <w:basedOn w:val="1"/>
    <w:next w:val="1"/>
    <w:semiHidden/>
    <w:qFormat/>
    <w:uiPriority w:val="99"/>
    <w:pPr>
      <w:ind w:left="1260" w:hanging="210"/>
      <w:jc w:val="left"/>
    </w:pPr>
    <w:rPr>
      <w:rFonts w:ascii="Calibri" w:hAnsi="Calibri"/>
      <w:sz w:val="20"/>
      <w:szCs w:val="20"/>
    </w:rPr>
  </w:style>
  <w:style w:type="paragraph" w:styleId="11">
    <w:name w:val="index 4"/>
    <w:basedOn w:val="1"/>
    <w:next w:val="1"/>
    <w:semiHidden/>
    <w:qFormat/>
    <w:uiPriority w:val="99"/>
    <w:pPr>
      <w:ind w:left="840" w:hanging="210"/>
      <w:jc w:val="left"/>
    </w:pPr>
    <w:rPr>
      <w:rFonts w:ascii="Calibri" w:hAnsi="Calibri"/>
      <w:sz w:val="20"/>
      <w:szCs w:val="20"/>
    </w:rPr>
  </w:style>
  <w:style w:type="paragraph" w:styleId="12">
    <w:name w:val="toc 5"/>
    <w:basedOn w:val="1"/>
    <w:next w:val="1"/>
    <w:semiHidden/>
    <w:qFormat/>
    <w:uiPriority w:val="99"/>
    <w:pPr>
      <w:tabs>
        <w:tab w:val="right" w:leader="dot" w:pos="9241"/>
      </w:tabs>
      <w:ind w:firstLine="300" w:firstLineChars="300"/>
      <w:jc w:val="left"/>
    </w:pPr>
    <w:rPr>
      <w:rFonts w:ascii="宋体"/>
      <w:szCs w:val="21"/>
    </w:rPr>
  </w:style>
  <w:style w:type="paragraph" w:styleId="13">
    <w:name w:val="toc 3"/>
    <w:basedOn w:val="1"/>
    <w:next w:val="1"/>
    <w:semiHidden/>
    <w:qFormat/>
    <w:uiPriority w:val="99"/>
    <w:pPr>
      <w:tabs>
        <w:tab w:val="right" w:leader="dot" w:pos="9241"/>
      </w:tabs>
      <w:ind w:firstLine="102" w:firstLineChars="100"/>
      <w:jc w:val="left"/>
    </w:pPr>
    <w:rPr>
      <w:rFonts w:ascii="宋体"/>
      <w:szCs w:val="21"/>
    </w:rPr>
  </w:style>
  <w:style w:type="paragraph" w:styleId="14">
    <w:name w:val="toc 8"/>
    <w:basedOn w:val="1"/>
    <w:next w:val="1"/>
    <w:semiHidden/>
    <w:qFormat/>
    <w:uiPriority w:val="99"/>
    <w:pPr>
      <w:tabs>
        <w:tab w:val="right" w:leader="dot" w:pos="9241"/>
      </w:tabs>
      <w:ind w:firstLine="607" w:firstLineChars="600"/>
      <w:jc w:val="left"/>
    </w:pPr>
    <w:rPr>
      <w:rFonts w:ascii="宋体"/>
      <w:szCs w:val="21"/>
    </w:rPr>
  </w:style>
  <w:style w:type="paragraph" w:styleId="15">
    <w:name w:val="index 3"/>
    <w:basedOn w:val="1"/>
    <w:next w:val="1"/>
    <w:semiHidden/>
    <w:qFormat/>
    <w:uiPriority w:val="99"/>
    <w:pPr>
      <w:ind w:left="630" w:hanging="210"/>
      <w:jc w:val="left"/>
    </w:pPr>
    <w:rPr>
      <w:rFonts w:ascii="Calibri" w:hAnsi="Calibri"/>
      <w:sz w:val="20"/>
      <w:szCs w:val="20"/>
    </w:rPr>
  </w:style>
  <w:style w:type="paragraph" w:styleId="16">
    <w:name w:val="Date"/>
    <w:basedOn w:val="1"/>
    <w:next w:val="1"/>
    <w:link w:val="154"/>
    <w:semiHidden/>
    <w:unhideWhenUsed/>
    <w:qFormat/>
    <w:uiPriority w:val="99"/>
    <w:pPr>
      <w:ind w:left="100" w:leftChars="2500"/>
    </w:pPr>
  </w:style>
  <w:style w:type="paragraph" w:styleId="17">
    <w:name w:val="endnote text"/>
    <w:basedOn w:val="1"/>
    <w:link w:val="47"/>
    <w:semiHidden/>
    <w:qFormat/>
    <w:uiPriority w:val="99"/>
    <w:pPr>
      <w:snapToGrid w:val="0"/>
      <w:jc w:val="left"/>
    </w:pPr>
  </w:style>
  <w:style w:type="paragraph" w:styleId="18">
    <w:name w:val="Balloon Text"/>
    <w:basedOn w:val="1"/>
    <w:link w:val="48"/>
    <w:semiHidden/>
    <w:qFormat/>
    <w:uiPriority w:val="99"/>
    <w:rPr>
      <w:sz w:val="18"/>
      <w:szCs w:val="18"/>
    </w:rPr>
  </w:style>
  <w:style w:type="paragraph" w:styleId="19">
    <w:name w:val="footer"/>
    <w:basedOn w:val="1"/>
    <w:link w:val="49"/>
    <w:qFormat/>
    <w:uiPriority w:val="99"/>
    <w:pPr>
      <w:snapToGrid w:val="0"/>
      <w:ind w:right="210" w:rightChars="100"/>
      <w:jc w:val="right"/>
    </w:pPr>
    <w:rPr>
      <w:sz w:val="18"/>
      <w:szCs w:val="18"/>
    </w:rPr>
  </w:style>
  <w:style w:type="paragraph" w:styleId="20">
    <w:name w:val="header"/>
    <w:basedOn w:val="1"/>
    <w:link w:val="50"/>
    <w:qFormat/>
    <w:uiPriority w:val="99"/>
    <w:pPr>
      <w:snapToGrid w:val="0"/>
      <w:jc w:val="left"/>
    </w:pPr>
    <w:rPr>
      <w:sz w:val="18"/>
      <w:szCs w:val="18"/>
    </w:rPr>
  </w:style>
  <w:style w:type="paragraph" w:styleId="21">
    <w:name w:val="toc 1"/>
    <w:basedOn w:val="1"/>
    <w:next w:val="1"/>
    <w:semiHidden/>
    <w:qFormat/>
    <w:uiPriority w:val="99"/>
    <w:pPr>
      <w:tabs>
        <w:tab w:val="right" w:leader="dot" w:pos="9241"/>
      </w:tabs>
      <w:spacing w:beforeLines="25" w:afterLines="25"/>
      <w:jc w:val="left"/>
    </w:pPr>
    <w:rPr>
      <w:rFonts w:ascii="宋体"/>
      <w:szCs w:val="21"/>
    </w:rPr>
  </w:style>
  <w:style w:type="paragraph" w:styleId="22">
    <w:name w:val="toc 4"/>
    <w:basedOn w:val="1"/>
    <w:next w:val="1"/>
    <w:semiHidden/>
    <w:qFormat/>
    <w:uiPriority w:val="99"/>
    <w:pPr>
      <w:tabs>
        <w:tab w:val="right" w:leader="dot" w:pos="9241"/>
      </w:tabs>
      <w:ind w:firstLine="198" w:firstLineChars="200"/>
      <w:jc w:val="left"/>
    </w:pPr>
    <w:rPr>
      <w:rFonts w:ascii="宋体"/>
      <w:szCs w:val="21"/>
    </w:rPr>
  </w:style>
  <w:style w:type="paragraph" w:styleId="23">
    <w:name w:val="index heading"/>
    <w:basedOn w:val="1"/>
    <w:next w:val="24"/>
    <w:semiHidden/>
    <w:qFormat/>
    <w:uiPriority w:val="99"/>
    <w:pPr>
      <w:spacing w:before="120" w:after="120"/>
      <w:jc w:val="center"/>
    </w:pPr>
    <w:rPr>
      <w:rFonts w:ascii="Calibri" w:hAnsi="Calibri"/>
      <w:b/>
      <w:bCs/>
      <w:iCs/>
      <w:szCs w:val="20"/>
    </w:rPr>
  </w:style>
  <w:style w:type="paragraph" w:styleId="24">
    <w:name w:val="index 1"/>
    <w:basedOn w:val="1"/>
    <w:next w:val="25"/>
    <w:semiHidden/>
    <w:qFormat/>
    <w:uiPriority w:val="99"/>
    <w:pPr>
      <w:tabs>
        <w:tab w:val="right" w:leader="dot" w:pos="9299"/>
      </w:tabs>
      <w:jc w:val="left"/>
    </w:pPr>
    <w:rPr>
      <w:rFonts w:ascii="宋体"/>
      <w:szCs w:val="21"/>
    </w:rPr>
  </w:style>
  <w:style w:type="paragraph" w:customStyle="1" w:styleId="25">
    <w:name w:val="段"/>
    <w:link w:val="5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link w:val="51"/>
    <w:semiHidden/>
    <w:qFormat/>
    <w:uiPriority w:val="99"/>
    <w:pPr>
      <w:numPr>
        <w:ilvl w:val="0"/>
        <w:numId w:val="1"/>
      </w:numPr>
      <w:snapToGrid w:val="0"/>
      <w:jc w:val="left"/>
    </w:pPr>
    <w:rPr>
      <w:rFonts w:ascii="宋体"/>
      <w:sz w:val="18"/>
      <w:szCs w:val="18"/>
    </w:rPr>
  </w:style>
  <w:style w:type="paragraph" w:styleId="27">
    <w:name w:val="toc 6"/>
    <w:basedOn w:val="1"/>
    <w:next w:val="1"/>
    <w:semiHidden/>
    <w:qFormat/>
    <w:uiPriority w:val="99"/>
    <w:pPr>
      <w:tabs>
        <w:tab w:val="right" w:leader="dot" w:pos="9241"/>
      </w:tabs>
      <w:ind w:firstLine="403" w:firstLineChars="400"/>
      <w:jc w:val="left"/>
    </w:pPr>
    <w:rPr>
      <w:rFonts w:ascii="宋体"/>
      <w:szCs w:val="21"/>
    </w:rPr>
  </w:style>
  <w:style w:type="paragraph" w:styleId="28">
    <w:name w:val="index 7"/>
    <w:basedOn w:val="1"/>
    <w:next w:val="1"/>
    <w:semiHidden/>
    <w:qFormat/>
    <w:uiPriority w:val="99"/>
    <w:pPr>
      <w:ind w:left="1470" w:hanging="210"/>
      <w:jc w:val="left"/>
    </w:pPr>
    <w:rPr>
      <w:rFonts w:ascii="Calibri" w:hAnsi="Calibri"/>
      <w:sz w:val="20"/>
      <w:szCs w:val="20"/>
    </w:rPr>
  </w:style>
  <w:style w:type="paragraph" w:styleId="29">
    <w:name w:val="index 9"/>
    <w:basedOn w:val="1"/>
    <w:next w:val="1"/>
    <w:semiHidden/>
    <w:qFormat/>
    <w:uiPriority w:val="99"/>
    <w:pPr>
      <w:ind w:left="1890" w:hanging="210"/>
      <w:jc w:val="left"/>
    </w:pPr>
    <w:rPr>
      <w:rFonts w:ascii="Calibri" w:hAnsi="Calibri"/>
      <w:sz w:val="20"/>
      <w:szCs w:val="20"/>
    </w:rPr>
  </w:style>
  <w:style w:type="paragraph" w:styleId="30">
    <w:name w:val="toc 2"/>
    <w:basedOn w:val="1"/>
    <w:next w:val="1"/>
    <w:semiHidden/>
    <w:qFormat/>
    <w:uiPriority w:val="99"/>
    <w:pPr>
      <w:tabs>
        <w:tab w:val="right" w:leader="dot" w:pos="9241"/>
      </w:tabs>
    </w:pPr>
    <w:rPr>
      <w:rFonts w:ascii="宋体"/>
      <w:szCs w:val="21"/>
    </w:rPr>
  </w:style>
  <w:style w:type="paragraph" w:styleId="31">
    <w:name w:val="toc 9"/>
    <w:basedOn w:val="1"/>
    <w:next w:val="1"/>
    <w:semiHidden/>
    <w:qFormat/>
    <w:uiPriority w:val="99"/>
    <w:pPr>
      <w:ind w:left="1470"/>
      <w:jc w:val="left"/>
    </w:pPr>
    <w:rPr>
      <w:sz w:val="20"/>
      <w:szCs w:val="20"/>
    </w:rPr>
  </w:style>
  <w:style w:type="paragraph" w:styleId="32">
    <w:name w:val="index 2"/>
    <w:basedOn w:val="1"/>
    <w:next w:val="1"/>
    <w:semiHidden/>
    <w:qFormat/>
    <w:uiPriority w:val="99"/>
    <w:pPr>
      <w:ind w:left="420" w:hanging="210"/>
      <w:jc w:val="left"/>
    </w:pPr>
    <w:rPr>
      <w:rFonts w:ascii="Calibri" w:hAnsi="Calibri"/>
      <w:sz w:val="20"/>
      <w:szCs w:val="20"/>
    </w:rPr>
  </w:style>
  <w:style w:type="paragraph" w:styleId="33">
    <w:name w:val="annotation subject"/>
    <w:basedOn w:val="9"/>
    <w:next w:val="9"/>
    <w:link w:val="52"/>
    <w:semiHidden/>
    <w:qFormat/>
    <w:uiPriority w:val="99"/>
    <w:rPr>
      <w:b/>
      <w:bCs/>
    </w:rPr>
  </w:style>
  <w:style w:type="table" w:styleId="35">
    <w:name w:val="Table Grid"/>
    <w:basedOn w:val="34"/>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endnote reference"/>
    <w:semiHidden/>
    <w:qFormat/>
    <w:uiPriority w:val="99"/>
    <w:rPr>
      <w:rFonts w:cs="Times New Roman"/>
      <w:vertAlign w:val="superscript"/>
    </w:rPr>
  </w:style>
  <w:style w:type="character" w:styleId="38">
    <w:name w:val="page number"/>
    <w:qFormat/>
    <w:uiPriority w:val="99"/>
    <w:rPr>
      <w:rFonts w:ascii="Times New Roman" w:hAnsi="Times New Roman" w:eastAsia="宋体" w:cs="Times New Roman"/>
      <w:sz w:val="18"/>
    </w:rPr>
  </w:style>
  <w:style w:type="character" w:styleId="39">
    <w:name w:val="FollowedHyperlink"/>
    <w:qFormat/>
    <w:uiPriority w:val="99"/>
    <w:rPr>
      <w:rFonts w:cs="Times New Roman"/>
      <w:color w:val="800080"/>
      <w:u w:val="single"/>
    </w:rPr>
  </w:style>
  <w:style w:type="character" w:styleId="40">
    <w:name w:val="Hyperlink"/>
    <w:qFormat/>
    <w:uiPriority w:val="99"/>
    <w:rPr>
      <w:rFonts w:cs="Times New Roman"/>
      <w:color w:val="0000FF"/>
      <w:spacing w:val="0"/>
      <w:w w:val="100"/>
      <w:sz w:val="21"/>
      <w:u w:val="single"/>
      <w:lang w:val="en-US" w:eastAsia="zh-CN"/>
    </w:rPr>
  </w:style>
  <w:style w:type="character" w:styleId="41">
    <w:name w:val="annotation reference"/>
    <w:semiHidden/>
    <w:qFormat/>
    <w:uiPriority w:val="99"/>
    <w:rPr>
      <w:rFonts w:cs="Times New Roman"/>
      <w:sz w:val="21"/>
    </w:rPr>
  </w:style>
  <w:style w:type="character" w:styleId="42">
    <w:name w:val="footnote reference"/>
    <w:semiHidden/>
    <w:qFormat/>
    <w:uiPriority w:val="99"/>
    <w:rPr>
      <w:rFonts w:cs="Times New Roman"/>
      <w:vertAlign w:val="superscript"/>
    </w:rPr>
  </w:style>
  <w:style w:type="character" w:customStyle="1" w:styleId="43">
    <w:name w:val="标题 3 字符"/>
    <w:basedOn w:val="36"/>
    <w:link w:val="3"/>
    <w:semiHidden/>
    <w:qFormat/>
    <w:uiPriority w:val="0"/>
    <w:rPr>
      <w:b/>
      <w:bCs/>
      <w:kern w:val="2"/>
      <w:sz w:val="32"/>
      <w:szCs w:val="32"/>
    </w:rPr>
  </w:style>
  <w:style w:type="character" w:customStyle="1" w:styleId="44">
    <w:name w:val="标题 1 字符"/>
    <w:link w:val="2"/>
    <w:qFormat/>
    <w:locked/>
    <w:uiPriority w:val="99"/>
    <w:rPr>
      <w:rFonts w:cs="Times New Roman"/>
      <w:b/>
      <w:bCs/>
      <w:kern w:val="44"/>
      <w:sz w:val="44"/>
      <w:szCs w:val="44"/>
    </w:rPr>
  </w:style>
  <w:style w:type="character" w:customStyle="1" w:styleId="45">
    <w:name w:val="文档结构图 字符"/>
    <w:link w:val="8"/>
    <w:semiHidden/>
    <w:qFormat/>
    <w:uiPriority w:val="99"/>
    <w:rPr>
      <w:sz w:val="0"/>
      <w:szCs w:val="0"/>
    </w:rPr>
  </w:style>
  <w:style w:type="character" w:customStyle="1" w:styleId="46">
    <w:name w:val="批注文字 字符"/>
    <w:link w:val="9"/>
    <w:qFormat/>
    <w:locked/>
    <w:uiPriority w:val="99"/>
    <w:rPr>
      <w:kern w:val="2"/>
      <w:sz w:val="24"/>
    </w:rPr>
  </w:style>
  <w:style w:type="character" w:customStyle="1" w:styleId="47">
    <w:name w:val="尾注文本 字符"/>
    <w:link w:val="17"/>
    <w:semiHidden/>
    <w:qFormat/>
    <w:uiPriority w:val="99"/>
    <w:rPr>
      <w:szCs w:val="24"/>
    </w:rPr>
  </w:style>
  <w:style w:type="character" w:customStyle="1" w:styleId="48">
    <w:name w:val="批注框文本 字符"/>
    <w:link w:val="18"/>
    <w:qFormat/>
    <w:locked/>
    <w:uiPriority w:val="99"/>
    <w:rPr>
      <w:kern w:val="2"/>
      <w:sz w:val="18"/>
    </w:rPr>
  </w:style>
  <w:style w:type="character" w:customStyle="1" w:styleId="49">
    <w:name w:val="页脚 字符"/>
    <w:link w:val="19"/>
    <w:qFormat/>
    <w:uiPriority w:val="99"/>
    <w:rPr>
      <w:sz w:val="18"/>
      <w:szCs w:val="18"/>
    </w:rPr>
  </w:style>
  <w:style w:type="character" w:customStyle="1" w:styleId="50">
    <w:name w:val="页眉 字符"/>
    <w:link w:val="20"/>
    <w:semiHidden/>
    <w:qFormat/>
    <w:uiPriority w:val="99"/>
    <w:rPr>
      <w:sz w:val="18"/>
      <w:szCs w:val="18"/>
    </w:rPr>
  </w:style>
  <w:style w:type="character" w:customStyle="1" w:styleId="51">
    <w:name w:val="脚注文本 字符"/>
    <w:link w:val="26"/>
    <w:semiHidden/>
    <w:qFormat/>
    <w:uiPriority w:val="99"/>
    <w:rPr>
      <w:sz w:val="18"/>
      <w:szCs w:val="18"/>
    </w:rPr>
  </w:style>
  <w:style w:type="character" w:customStyle="1" w:styleId="52">
    <w:name w:val="批注主题 字符"/>
    <w:link w:val="33"/>
    <w:qFormat/>
    <w:locked/>
    <w:uiPriority w:val="99"/>
    <w:rPr>
      <w:b/>
      <w:kern w:val="2"/>
      <w:sz w:val="24"/>
    </w:rPr>
  </w:style>
  <w:style w:type="character" w:customStyle="1" w:styleId="53">
    <w:name w:val="首示例 Char"/>
    <w:link w:val="54"/>
    <w:qFormat/>
    <w:locked/>
    <w:uiPriority w:val="99"/>
    <w:rPr>
      <w:rFonts w:ascii="宋体" w:eastAsia="宋体"/>
      <w:kern w:val="2"/>
      <w:sz w:val="18"/>
      <w:lang w:val="en-US" w:eastAsia="zh-CN"/>
    </w:rPr>
  </w:style>
  <w:style w:type="paragraph" w:customStyle="1" w:styleId="54">
    <w:name w:val="首示例"/>
    <w:next w:val="25"/>
    <w:link w:val="53"/>
    <w:qFormat/>
    <w:uiPriority w:val="99"/>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55">
    <w:name w:val="发布"/>
    <w:qFormat/>
    <w:uiPriority w:val="99"/>
    <w:rPr>
      <w:rFonts w:ascii="黑体" w:eastAsia="黑体"/>
      <w:spacing w:val="85"/>
      <w:w w:val="100"/>
      <w:position w:val="3"/>
      <w:sz w:val="28"/>
    </w:rPr>
  </w:style>
  <w:style w:type="character" w:customStyle="1" w:styleId="56">
    <w:name w:val="段 Char"/>
    <w:link w:val="25"/>
    <w:qFormat/>
    <w:locked/>
    <w:uiPriority w:val="0"/>
    <w:rPr>
      <w:rFonts w:ascii="宋体"/>
      <w:sz w:val="21"/>
      <w:lang w:val="en-US" w:eastAsia="zh-CN"/>
    </w:rPr>
  </w:style>
  <w:style w:type="character" w:customStyle="1" w:styleId="57">
    <w:name w:val="附录公式 Char"/>
    <w:link w:val="58"/>
    <w:qFormat/>
    <w:locked/>
    <w:uiPriority w:val="99"/>
    <w:rPr>
      <w:rFonts w:ascii="宋体" w:cs="Times New Roman"/>
      <w:sz w:val="21"/>
      <w:lang w:val="en-US" w:eastAsia="zh-CN" w:bidi="ar-SA"/>
    </w:rPr>
  </w:style>
  <w:style w:type="paragraph" w:customStyle="1" w:styleId="58">
    <w:name w:val="附录公式"/>
    <w:basedOn w:val="25"/>
    <w:next w:val="25"/>
    <w:link w:val="57"/>
    <w:qFormat/>
    <w:uiPriority w:val="99"/>
  </w:style>
  <w:style w:type="paragraph" w:customStyle="1" w:styleId="59">
    <w:name w:val="图的脚注"/>
    <w:next w:val="25"/>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60">
    <w:name w:val="注×：（正文）"/>
    <w:qFormat/>
    <w:uiPriority w:val="99"/>
    <w:pPr>
      <w:numPr>
        <w:ilvl w:val="0"/>
        <w:numId w:val="3"/>
      </w:numPr>
      <w:jc w:val="both"/>
    </w:pPr>
    <w:rPr>
      <w:rFonts w:ascii="宋体" w:hAnsi="Times New Roman" w:eastAsia="宋体" w:cs="Times New Roman"/>
      <w:sz w:val="18"/>
      <w:szCs w:val="18"/>
      <w:lang w:val="en-US" w:eastAsia="zh-CN" w:bidi="ar-SA"/>
    </w:rPr>
  </w:style>
  <w:style w:type="paragraph" w:customStyle="1" w:styleId="61">
    <w:name w:val="三级条标题"/>
    <w:basedOn w:val="62"/>
    <w:next w:val="25"/>
    <w:qFormat/>
    <w:uiPriority w:val="0"/>
    <w:pPr>
      <w:numPr>
        <w:ilvl w:val="3"/>
      </w:numPr>
      <w:outlineLvl w:val="4"/>
    </w:pPr>
  </w:style>
  <w:style w:type="paragraph" w:customStyle="1" w:styleId="62">
    <w:name w:val="二级条标题"/>
    <w:basedOn w:val="63"/>
    <w:next w:val="25"/>
    <w:qFormat/>
    <w:uiPriority w:val="0"/>
    <w:pPr>
      <w:numPr>
        <w:ilvl w:val="2"/>
      </w:numPr>
      <w:spacing w:before="50" w:after="50"/>
      <w:outlineLvl w:val="3"/>
    </w:pPr>
  </w:style>
  <w:style w:type="paragraph" w:customStyle="1" w:styleId="63">
    <w:name w:val="一级条标题"/>
    <w:next w:val="25"/>
    <w:qFormat/>
    <w:uiPriority w:val="0"/>
    <w:pPr>
      <w:numPr>
        <w:ilvl w:val="1"/>
        <w:numId w:val="4"/>
      </w:numPr>
      <w:spacing w:beforeLines="50" w:afterLines="50"/>
      <w:outlineLvl w:val="2"/>
    </w:pPr>
    <w:rPr>
      <w:rFonts w:ascii="黑体" w:hAnsi="Times New Roman" w:eastAsia="黑体" w:cs="Times New Roman"/>
      <w:sz w:val="21"/>
      <w:szCs w:val="21"/>
      <w:lang w:val="en-US" w:eastAsia="zh-CN" w:bidi="ar-SA"/>
    </w:rPr>
  </w:style>
  <w:style w:type="paragraph" w:customStyle="1" w:styleId="64">
    <w:name w:val="注：（正文）"/>
    <w:basedOn w:val="65"/>
    <w:next w:val="25"/>
    <w:qFormat/>
    <w:uiPriority w:val="99"/>
  </w:style>
  <w:style w:type="paragraph" w:customStyle="1" w:styleId="65">
    <w:name w:val="注："/>
    <w:next w:val="25"/>
    <w:qFormat/>
    <w:uiPriority w:val="99"/>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6">
    <w:name w:val="附录一级条标题"/>
    <w:basedOn w:val="67"/>
    <w:next w:val="25"/>
    <w:qFormat/>
    <w:uiPriority w:val="99"/>
    <w:pPr>
      <w:numPr>
        <w:ilvl w:val="2"/>
      </w:numPr>
      <w:tabs>
        <w:tab w:val="left" w:pos="360"/>
      </w:tabs>
      <w:autoSpaceDN w:val="0"/>
      <w:spacing w:beforeLines="50" w:afterLines="50"/>
      <w:outlineLvl w:val="2"/>
    </w:pPr>
  </w:style>
  <w:style w:type="paragraph" w:customStyle="1" w:styleId="67">
    <w:name w:val="附录章标题"/>
    <w:next w:val="25"/>
    <w:qFormat/>
    <w:uiPriority w:val="0"/>
    <w:pPr>
      <w:numPr>
        <w:ilvl w:val="1"/>
        <w:numId w:val="5"/>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8">
    <w:name w:val="列项◆（三级）"/>
    <w:basedOn w:val="1"/>
    <w:qFormat/>
    <w:uiPriority w:val="99"/>
    <w:pPr>
      <w:numPr>
        <w:ilvl w:val="2"/>
        <w:numId w:val="6"/>
      </w:numPr>
    </w:pPr>
    <w:rPr>
      <w:rFonts w:ascii="宋体"/>
      <w:szCs w:val="21"/>
    </w:rPr>
  </w:style>
  <w:style w:type="paragraph" w:customStyle="1" w:styleId="69">
    <w:name w:val="封面一致性程度标识"/>
    <w:basedOn w:val="70"/>
    <w:qFormat/>
    <w:uiPriority w:val="99"/>
    <w:pPr>
      <w:spacing w:before="440"/>
    </w:pPr>
    <w:rPr>
      <w:rFonts w:ascii="宋体" w:eastAsia="宋体"/>
    </w:rPr>
  </w:style>
  <w:style w:type="paragraph" w:customStyle="1" w:styleId="70">
    <w:name w:val="封面标准英文名称"/>
    <w:basedOn w:val="71"/>
    <w:qFormat/>
    <w:uiPriority w:val="99"/>
    <w:pPr>
      <w:spacing w:before="370" w:line="400" w:lineRule="exact"/>
    </w:pPr>
    <w:rPr>
      <w:rFonts w:ascii="Times New Roman"/>
      <w:sz w:val="28"/>
      <w:szCs w:val="28"/>
    </w:rPr>
  </w:style>
  <w:style w:type="paragraph" w:customStyle="1" w:styleId="71">
    <w:name w:val="封面标准名称"/>
    <w:qFormat/>
    <w:uiPriority w:val="99"/>
    <w:pPr>
      <w:framePr w:w="9639" w:h="6917" w:hRule="exact" w:wrap="auto"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2">
    <w:name w:val="注×："/>
    <w:qFormat/>
    <w:uiPriority w:val="99"/>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3">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74">
    <w:name w:val="前言、引言标题"/>
    <w:next w:val="25"/>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5">
    <w:name w:val="数字编号列项（二级）"/>
    <w:qFormat/>
    <w:uiPriority w:val="99"/>
    <w:pPr>
      <w:numPr>
        <w:ilvl w:val="1"/>
        <w:numId w:val="8"/>
      </w:numPr>
      <w:jc w:val="both"/>
    </w:pPr>
    <w:rPr>
      <w:rFonts w:ascii="宋体" w:hAnsi="Times New Roman" w:eastAsia="宋体" w:cs="Times New Roman"/>
      <w:sz w:val="21"/>
      <w:lang w:val="en-US" w:eastAsia="zh-CN" w:bidi="ar-SA"/>
    </w:rPr>
  </w:style>
  <w:style w:type="paragraph" w:customStyle="1" w:styleId="76">
    <w:name w:val="示例×："/>
    <w:basedOn w:val="77"/>
    <w:qFormat/>
    <w:uiPriority w:val="99"/>
    <w:pPr>
      <w:numPr>
        <w:numId w:val="9"/>
      </w:numPr>
      <w:spacing w:beforeLines="0" w:afterLines="0"/>
      <w:outlineLvl w:val="9"/>
    </w:pPr>
    <w:rPr>
      <w:rFonts w:ascii="宋体" w:eastAsia="宋体"/>
      <w:sz w:val="18"/>
      <w:szCs w:val="18"/>
    </w:rPr>
  </w:style>
  <w:style w:type="paragraph" w:customStyle="1" w:styleId="77">
    <w:name w:val="章标题"/>
    <w:next w:val="25"/>
    <w:qFormat/>
    <w:uiPriority w:val="0"/>
    <w:pPr>
      <w:numPr>
        <w:ilvl w:val="0"/>
        <w:numId w:val="4"/>
      </w:numPr>
      <w:spacing w:beforeLines="100" w:afterLines="100"/>
      <w:jc w:val="both"/>
      <w:outlineLvl w:val="1"/>
    </w:pPr>
    <w:rPr>
      <w:rFonts w:ascii="黑体" w:hAnsi="Times New Roman" w:eastAsia="黑体" w:cs="Times New Roman"/>
      <w:sz w:val="21"/>
      <w:lang w:val="en-US" w:eastAsia="zh-CN" w:bidi="ar-SA"/>
    </w:rPr>
  </w:style>
  <w:style w:type="paragraph" w:customStyle="1" w:styleId="78">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79">
    <w:name w:val="编号列项（三级）"/>
    <w:qFormat/>
    <w:uiPriority w:val="99"/>
    <w:pPr>
      <w:numPr>
        <w:ilvl w:val="2"/>
        <w:numId w:val="8"/>
      </w:numPr>
    </w:pPr>
    <w:rPr>
      <w:rFonts w:ascii="宋体" w:hAnsi="Times New Roman" w:eastAsia="宋体" w:cs="Times New Roman"/>
      <w:sz w:val="21"/>
      <w:lang w:val="en-US" w:eastAsia="zh-CN" w:bidi="ar-SA"/>
    </w:rPr>
  </w:style>
  <w:style w:type="paragraph" w:customStyle="1" w:styleId="80">
    <w:name w:val="图标脚注说明"/>
    <w:basedOn w:val="25"/>
    <w:qFormat/>
    <w:uiPriority w:val="99"/>
    <w:pPr>
      <w:ind w:left="840" w:hanging="420" w:firstLineChars="0"/>
    </w:pPr>
    <w:rPr>
      <w:sz w:val="18"/>
      <w:szCs w:val="18"/>
    </w:rPr>
  </w:style>
  <w:style w:type="paragraph" w:customStyle="1" w:styleId="81">
    <w:name w:val="附录四级无"/>
    <w:basedOn w:val="82"/>
    <w:qFormat/>
    <w:uiPriority w:val="99"/>
    <w:pPr>
      <w:tabs>
        <w:tab w:val="left" w:pos="360"/>
      </w:tabs>
      <w:spacing w:beforeLines="0" w:afterLines="0"/>
    </w:pPr>
    <w:rPr>
      <w:rFonts w:ascii="宋体" w:eastAsia="宋体"/>
      <w:szCs w:val="21"/>
    </w:rPr>
  </w:style>
  <w:style w:type="paragraph" w:customStyle="1" w:styleId="82">
    <w:name w:val="附录四级条标题"/>
    <w:basedOn w:val="83"/>
    <w:next w:val="25"/>
    <w:qFormat/>
    <w:uiPriority w:val="0"/>
    <w:pPr>
      <w:numPr>
        <w:ilvl w:val="0"/>
        <w:numId w:val="0"/>
      </w:numPr>
      <w:tabs>
        <w:tab w:val="left" w:pos="360"/>
      </w:tabs>
      <w:outlineLvl w:val="5"/>
    </w:pPr>
  </w:style>
  <w:style w:type="paragraph" w:customStyle="1" w:styleId="83">
    <w:name w:val="附录三级条标题"/>
    <w:basedOn w:val="84"/>
    <w:next w:val="25"/>
    <w:qFormat/>
    <w:uiPriority w:val="99"/>
    <w:pPr>
      <w:numPr>
        <w:ilvl w:val="4"/>
      </w:numPr>
      <w:tabs>
        <w:tab w:val="left" w:pos="360"/>
      </w:tabs>
      <w:outlineLvl w:val="4"/>
    </w:pPr>
  </w:style>
  <w:style w:type="paragraph" w:customStyle="1" w:styleId="84">
    <w:name w:val="附录二级条标题"/>
    <w:basedOn w:val="1"/>
    <w:next w:val="25"/>
    <w:qFormat/>
    <w:uiPriority w:val="99"/>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5">
    <w:name w:val="正文图标题"/>
    <w:next w:val="25"/>
    <w:qFormat/>
    <w:uiPriority w:val="99"/>
    <w:pPr>
      <w:numPr>
        <w:ilvl w:val="0"/>
        <w:numId w:val="1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6">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87">
    <w:name w:val="标准书眉一"/>
    <w:qFormat/>
    <w:uiPriority w:val="99"/>
    <w:pPr>
      <w:jc w:val="both"/>
    </w:pPr>
    <w:rPr>
      <w:rFonts w:ascii="Times New Roman" w:hAnsi="Times New Roman" w:eastAsia="宋体" w:cs="Times New Roman"/>
      <w:lang w:val="en-US" w:eastAsia="zh-CN" w:bidi="ar-SA"/>
    </w:rPr>
  </w:style>
  <w:style w:type="paragraph" w:customStyle="1" w:styleId="88">
    <w:name w:val="封面标准代替信息"/>
    <w:qFormat/>
    <w:uiPriority w:val="99"/>
    <w:pPr>
      <w:framePr w:w="9140" w:h="1242" w:hRule="exact" w:hSpace="284" w:wrap="auto"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9">
    <w:name w:val="标准标志"/>
    <w:next w:val="1"/>
    <w:qFormat/>
    <w:uiPriority w:val="99"/>
    <w:pPr>
      <w:framePr w:w="2546" w:h="1389" w:hRule="exact" w:hSpace="181" w:vSpace="181" w:wrap="auto"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90">
    <w:name w:val="四级条标题"/>
    <w:basedOn w:val="61"/>
    <w:next w:val="25"/>
    <w:qFormat/>
    <w:uiPriority w:val="0"/>
    <w:pPr>
      <w:numPr>
        <w:ilvl w:val="4"/>
      </w:numPr>
      <w:outlineLvl w:val="5"/>
    </w:pPr>
  </w:style>
  <w:style w:type="paragraph" w:customStyle="1" w:styleId="91">
    <w:name w:val="正文公式编号制表符"/>
    <w:basedOn w:val="25"/>
    <w:next w:val="25"/>
    <w:qFormat/>
    <w:uiPriority w:val="99"/>
    <w:pPr>
      <w:ind w:firstLine="0" w:firstLineChars="0"/>
    </w:pPr>
  </w:style>
  <w:style w:type="paragraph" w:customStyle="1" w:styleId="92">
    <w:name w:val="字母编号列项（一级）"/>
    <w:qFormat/>
    <w:uiPriority w:val="99"/>
    <w:pPr>
      <w:numPr>
        <w:ilvl w:val="0"/>
        <w:numId w:val="8"/>
      </w:numPr>
      <w:jc w:val="both"/>
    </w:pPr>
    <w:rPr>
      <w:rFonts w:ascii="宋体" w:hAnsi="Times New Roman" w:eastAsia="宋体" w:cs="Times New Roman"/>
      <w:sz w:val="21"/>
      <w:lang w:val="en-US" w:eastAsia="zh-CN" w:bidi="ar-SA"/>
    </w:rPr>
  </w:style>
  <w:style w:type="paragraph" w:customStyle="1" w:styleId="93">
    <w:name w:val="条文脚注"/>
    <w:basedOn w:val="26"/>
    <w:qFormat/>
    <w:uiPriority w:val="99"/>
    <w:pPr>
      <w:numPr>
        <w:numId w:val="0"/>
      </w:numPr>
      <w:jc w:val="both"/>
    </w:pPr>
  </w:style>
  <w:style w:type="paragraph" w:customStyle="1" w:styleId="94">
    <w:name w:val="附录图标号"/>
    <w:basedOn w:val="1"/>
    <w:qFormat/>
    <w:uiPriority w:val="99"/>
    <w:pPr>
      <w:keepNext/>
      <w:pageBreakBefore/>
      <w:widowControl/>
      <w:numPr>
        <w:ilvl w:val="0"/>
        <w:numId w:val="11"/>
      </w:numPr>
      <w:spacing w:line="14" w:lineRule="exact"/>
      <w:ind w:left="0" w:firstLine="363"/>
      <w:jc w:val="center"/>
      <w:outlineLvl w:val="0"/>
    </w:pPr>
    <w:rPr>
      <w:color w:val="FFFFFF"/>
    </w:rPr>
  </w:style>
  <w:style w:type="paragraph" w:customStyle="1" w:styleId="95">
    <w:name w:val="示例后文字"/>
    <w:basedOn w:val="25"/>
    <w:next w:val="25"/>
    <w:qFormat/>
    <w:uiPriority w:val="99"/>
    <w:pPr>
      <w:ind w:firstLine="360"/>
    </w:pPr>
    <w:rPr>
      <w:sz w:val="18"/>
    </w:rPr>
  </w:style>
  <w:style w:type="paragraph" w:customStyle="1" w:styleId="96">
    <w:name w:val="发布部门"/>
    <w:next w:val="25"/>
    <w:qFormat/>
    <w:uiPriority w:val="99"/>
    <w:pPr>
      <w:framePr w:w="7938" w:h="1134" w:hRule="exact" w:hSpace="125" w:vSpace="181" w:wrap="auto"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7">
    <w:name w:val="参考文献"/>
    <w:basedOn w:val="1"/>
    <w:next w:val="25"/>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98">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9">
    <w:name w:val="其他标准称谓"/>
    <w:next w:val="1"/>
    <w:qFormat/>
    <w:uiPriority w:val="99"/>
    <w:pPr>
      <w:framePr w:hSpace="181" w:vSpace="181" w:wrap="auto"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00">
    <w:name w:val="示例"/>
    <w:next w:val="73"/>
    <w:qFormat/>
    <w:uiPriority w:val="99"/>
    <w:pPr>
      <w:widowControl w:val="0"/>
      <w:numPr>
        <w:ilvl w:val="0"/>
        <w:numId w:val="12"/>
      </w:numPr>
      <w:jc w:val="both"/>
    </w:pPr>
    <w:rPr>
      <w:rFonts w:ascii="宋体" w:hAnsi="Times New Roman" w:eastAsia="宋体" w:cs="Times New Roman"/>
      <w:sz w:val="18"/>
      <w:szCs w:val="18"/>
      <w:lang w:val="en-US" w:eastAsia="zh-CN" w:bidi="ar-SA"/>
    </w:rPr>
  </w:style>
  <w:style w:type="paragraph" w:customStyle="1" w:styleId="101">
    <w:name w:val="封面标准文稿编辑信息"/>
    <w:basedOn w:val="102"/>
    <w:qFormat/>
    <w:uiPriority w:val="99"/>
    <w:pPr>
      <w:spacing w:before="180" w:line="180" w:lineRule="exact"/>
    </w:pPr>
    <w:rPr>
      <w:sz w:val="21"/>
    </w:rPr>
  </w:style>
  <w:style w:type="paragraph" w:customStyle="1" w:styleId="102">
    <w:name w:val="封面标准文稿类别"/>
    <w:basedOn w:val="69"/>
    <w:qFormat/>
    <w:uiPriority w:val="99"/>
    <w:pPr>
      <w:spacing w:after="160" w:line="240" w:lineRule="auto"/>
    </w:pPr>
    <w:rPr>
      <w:sz w:val="24"/>
    </w:rPr>
  </w:style>
  <w:style w:type="paragraph" w:customStyle="1" w:styleId="103">
    <w:name w:val="实施日期"/>
    <w:basedOn w:val="104"/>
    <w:qFormat/>
    <w:uiPriority w:val="99"/>
    <w:pPr>
      <w:framePr w:vAnchor="page" w:hAnchor="text"/>
      <w:jc w:val="right"/>
    </w:pPr>
  </w:style>
  <w:style w:type="paragraph" w:customStyle="1" w:styleId="104">
    <w:name w:val="发布日期"/>
    <w:qFormat/>
    <w:uiPriority w:val="99"/>
    <w:pPr>
      <w:framePr w:w="3997" w:h="471" w:hRule="exact" w:vSpace="181" w:wrap="auto" w:vAnchor="margin" w:hAnchor="page" w:x="7089" w:y="14097" w:anchorLock="1"/>
    </w:pPr>
    <w:rPr>
      <w:rFonts w:ascii="Times New Roman" w:hAnsi="Times New Roman" w:eastAsia="黑体" w:cs="Times New Roman"/>
      <w:sz w:val="28"/>
      <w:lang w:val="en-US" w:eastAsia="zh-CN" w:bidi="ar-SA"/>
    </w:rPr>
  </w:style>
  <w:style w:type="paragraph" w:customStyle="1" w:styleId="105">
    <w:name w:val="附录标题"/>
    <w:basedOn w:val="25"/>
    <w:next w:val="25"/>
    <w:qFormat/>
    <w:uiPriority w:val="99"/>
    <w:pPr>
      <w:ind w:firstLine="0" w:firstLineChars="0"/>
      <w:jc w:val="center"/>
    </w:pPr>
    <w:rPr>
      <w:rFonts w:ascii="黑体" w:eastAsia="黑体"/>
    </w:rPr>
  </w:style>
  <w:style w:type="paragraph" w:customStyle="1" w:styleId="106">
    <w:name w:val="封面标准号2"/>
    <w:qFormat/>
    <w:uiPriority w:val="99"/>
    <w:pPr>
      <w:framePr w:w="9140" w:h="1242" w:hRule="exact" w:hSpace="284" w:wrap="auto"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7">
    <w:name w:val="一级无"/>
    <w:basedOn w:val="63"/>
    <w:qFormat/>
    <w:uiPriority w:val="99"/>
    <w:pPr>
      <w:spacing w:beforeLines="0" w:afterLines="0"/>
    </w:pPr>
    <w:rPr>
      <w:rFonts w:ascii="宋体" w:eastAsia="宋体"/>
    </w:rPr>
  </w:style>
  <w:style w:type="paragraph" w:customStyle="1" w:styleId="108">
    <w:name w:val="标准称谓"/>
    <w:next w:val="1"/>
    <w:qFormat/>
    <w:uiPriority w:val="99"/>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109">
    <w:name w:val="附录一级无"/>
    <w:basedOn w:val="66"/>
    <w:qFormat/>
    <w:uiPriority w:val="99"/>
    <w:pPr>
      <w:tabs>
        <w:tab w:val="clear" w:pos="360"/>
      </w:tabs>
      <w:spacing w:beforeLines="0" w:afterLines="0"/>
    </w:pPr>
    <w:rPr>
      <w:rFonts w:ascii="宋体" w:eastAsia="宋体"/>
      <w:szCs w:val="21"/>
    </w:rPr>
  </w:style>
  <w:style w:type="paragraph" w:customStyle="1" w:styleId="110">
    <w:name w:val="封面标准英文名称2"/>
    <w:basedOn w:val="70"/>
    <w:qFormat/>
    <w:uiPriority w:val="99"/>
    <w:pPr>
      <w:framePr w:y="4469"/>
    </w:pPr>
  </w:style>
  <w:style w:type="paragraph" w:customStyle="1" w:styleId="111">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112">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3">
    <w:name w:val="列项——（一级）"/>
    <w:qFormat/>
    <w:uiPriority w:val="99"/>
    <w:pPr>
      <w:widowControl w:val="0"/>
      <w:numPr>
        <w:ilvl w:val="0"/>
        <w:numId w:val="6"/>
      </w:numPr>
      <w:jc w:val="both"/>
    </w:pPr>
    <w:rPr>
      <w:rFonts w:ascii="宋体" w:hAnsi="Times New Roman" w:eastAsia="宋体" w:cs="Times New Roman"/>
      <w:sz w:val="21"/>
      <w:lang w:val="en-US" w:eastAsia="zh-CN" w:bidi="ar-SA"/>
    </w:rPr>
  </w:style>
  <w:style w:type="paragraph" w:customStyle="1" w:styleId="114">
    <w:name w:val="封面正文"/>
    <w:qFormat/>
    <w:uiPriority w:val="99"/>
    <w:pPr>
      <w:jc w:val="both"/>
    </w:pPr>
    <w:rPr>
      <w:rFonts w:ascii="Times New Roman" w:hAnsi="Times New Roman" w:eastAsia="宋体" w:cs="Times New Roman"/>
      <w:lang w:val="en-US" w:eastAsia="zh-CN" w:bidi="ar-SA"/>
    </w:rPr>
  </w:style>
  <w:style w:type="paragraph" w:customStyle="1" w:styleId="115">
    <w:name w:val="五级条标题"/>
    <w:basedOn w:val="90"/>
    <w:next w:val="25"/>
    <w:qFormat/>
    <w:uiPriority w:val="0"/>
    <w:pPr>
      <w:numPr>
        <w:ilvl w:val="5"/>
      </w:numPr>
      <w:outlineLvl w:val="6"/>
    </w:pPr>
  </w:style>
  <w:style w:type="paragraph" w:customStyle="1" w:styleId="116">
    <w:name w:val="标准书眉_偶数页"/>
    <w:basedOn w:val="112"/>
    <w:next w:val="1"/>
    <w:qFormat/>
    <w:uiPriority w:val="99"/>
    <w:pPr>
      <w:jc w:val="left"/>
    </w:pPr>
  </w:style>
  <w:style w:type="paragraph" w:customStyle="1" w:styleId="117">
    <w:name w:val="目次、标准名称标题"/>
    <w:basedOn w:val="1"/>
    <w:next w:val="25"/>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8">
    <w:name w:val="封面标准名称2"/>
    <w:basedOn w:val="71"/>
    <w:qFormat/>
    <w:uiPriority w:val="99"/>
    <w:pPr>
      <w:framePr w:y="4469"/>
      <w:spacing w:beforeLines="630"/>
    </w:pPr>
  </w:style>
  <w:style w:type="paragraph" w:customStyle="1" w:styleId="119">
    <w:name w:val="附录五级无"/>
    <w:basedOn w:val="120"/>
    <w:qFormat/>
    <w:uiPriority w:val="99"/>
    <w:pPr>
      <w:tabs>
        <w:tab w:val="left" w:pos="360"/>
      </w:tabs>
      <w:spacing w:beforeLines="0" w:afterLines="0"/>
    </w:pPr>
    <w:rPr>
      <w:rFonts w:ascii="宋体" w:eastAsia="宋体"/>
      <w:szCs w:val="21"/>
    </w:rPr>
  </w:style>
  <w:style w:type="paragraph" w:customStyle="1" w:styleId="120">
    <w:name w:val="附录五级条标题"/>
    <w:basedOn w:val="82"/>
    <w:next w:val="25"/>
    <w:qFormat/>
    <w:uiPriority w:val="99"/>
    <w:pPr>
      <w:numPr>
        <w:ilvl w:val="6"/>
      </w:numPr>
      <w:outlineLvl w:val="6"/>
    </w:pPr>
  </w:style>
  <w:style w:type="paragraph" w:customStyle="1" w:styleId="121">
    <w:name w:val="列项●（二级）"/>
    <w:qFormat/>
    <w:uiPriority w:val="99"/>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122">
    <w:name w:val="其他发布日期"/>
    <w:basedOn w:val="104"/>
    <w:qFormat/>
    <w:uiPriority w:val="99"/>
    <w:pPr>
      <w:framePr w:vAnchor="page" w:hAnchor="text" w:x="1419"/>
    </w:pPr>
  </w:style>
  <w:style w:type="paragraph" w:customStyle="1" w:styleId="123">
    <w:name w:val="标准书脚_偶数页"/>
    <w:qFormat/>
    <w:uiPriority w:val="99"/>
    <w:pPr>
      <w:spacing w:before="120"/>
      <w:ind w:left="221"/>
    </w:pPr>
    <w:rPr>
      <w:rFonts w:ascii="宋体" w:hAnsi="Times New Roman" w:eastAsia="宋体" w:cs="Times New Roman"/>
      <w:sz w:val="18"/>
      <w:szCs w:val="18"/>
      <w:lang w:val="en-US" w:eastAsia="zh-CN" w:bidi="ar-SA"/>
    </w:rPr>
  </w:style>
  <w:style w:type="paragraph" w:customStyle="1" w:styleId="124">
    <w:name w:val="三级无"/>
    <w:basedOn w:val="61"/>
    <w:qFormat/>
    <w:uiPriority w:val="99"/>
    <w:pPr>
      <w:spacing w:beforeLines="0" w:afterLines="0"/>
    </w:pPr>
    <w:rPr>
      <w:rFonts w:ascii="宋体" w:eastAsia="宋体"/>
    </w:rPr>
  </w:style>
  <w:style w:type="paragraph" w:customStyle="1" w:styleId="125">
    <w:name w:val="二级无"/>
    <w:basedOn w:val="62"/>
    <w:qFormat/>
    <w:uiPriority w:val="99"/>
    <w:pPr>
      <w:spacing w:beforeLines="0" w:afterLines="0"/>
    </w:pPr>
    <w:rPr>
      <w:rFonts w:ascii="宋体" w:eastAsia="宋体"/>
    </w:rPr>
  </w:style>
  <w:style w:type="paragraph" w:customStyle="1" w:styleId="126">
    <w:name w:val="封面一致性程度标识2"/>
    <w:basedOn w:val="69"/>
    <w:qFormat/>
    <w:uiPriority w:val="99"/>
    <w:pPr>
      <w:framePr w:y="4469"/>
    </w:pPr>
  </w:style>
  <w:style w:type="paragraph" w:customStyle="1" w:styleId="127">
    <w:name w:val="目次、索引正文"/>
    <w:qFormat/>
    <w:uiPriority w:val="99"/>
    <w:pPr>
      <w:spacing w:line="320" w:lineRule="exact"/>
      <w:jc w:val="both"/>
    </w:pPr>
    <w:rPr>
      <w:rFonts w:ascii="宋体" w:hAnsi="Times New Roman" w:eastAsia="宋体" w:cs="Times New Roman"/>
      <w:sz w:val="21"/>
      <w:lang w:val="en-US" w:eastAsia="zh-CN" w:bidi="ar-SA"/>
    </w:rPr>
  </w:style>
  <w:style w:type="paragraph" w:customStyle="1" w:styleId="128">
    <w:name w:val="参考文献、索引标题"/>
    <w:basedOn w:val="1"/>
    <w:next w:val="25"/>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9">
    <w:name w:val="其他发布部门"/>
    <w:basedOn w:val="96"/>
    <w:qFormat/>
    <w:uiPriority w:val="99"/>
    <w:pPr>
      <w:framePr w:y="15310"/>
      <w:spacing w:line="240" w:lineRule="atLeast"/>
    </w:pPr>
    <w:rPr>
      <w:rFonts w:ascii="黑体" w:eastAsia="黑体"/>
      <w:b w:val="0"/>
    </w:rPr>
  </w:style>
  <w:style w:type="paragraph" w:customStyle="1" w:styleId="130">
    <w:name w:val="封面标准文稿编辑信息2"/>
    <w:basedOn w:val="101"/>
    <w:qFormat/>
    <w:uiPriority w:val="99"/>
    <w:pPr>
      <w:framePr w:y="4469"/>
    </w:pPr>
  </w:style>
  <w:style w:type="paragraph" w:customStyle="1" w:styleId="131">
    <w:name w:val="列项说明"/>
    <w:basedOn w:val="1"/>
    <w:qFormat/>
    <w:uiPriority w:val="99"/>
    <w:pPr>
      <w:adjustRightInd w:val="0"/>
      <w:spacing w:line="320" w:lineRule="exact"/>
      <w:ind w:left="400" w:leftChars="200" w:hanging="200" w:hangingChars="200"/>
      <w:jc w:val="left"/>
      <w:textAlignment w:val="baseline"/>
    </w:pPr>
    <w:rPr>
      <w:rFonts w:ascii="宋体"/>
      <w:kern w:val="0"/>
      <w:szCs w:val="20"/>
    </w:rPr>
  </w:style>
  <w:style w:type="paragraph" w:customStyle="1" w:styleId="132">
    <w:name w:val="附录标识"/>
    <w:basedOn w:val="1"/>
    <w:next w:val="25"/>
    <w:qFormat/>
    <w:uiPriority w:val="99"/>
    <w:pPr>
      <w:keepNext/>
      <w:widowControl/>
      <w:numPr>
        <w:ilvl w:val="0"/>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3">
    <w:name w:val="四级无"/>
    <w:basedOn w:val="90"/>
    <w:qFormat/>
    <w:uiPriority w:val="99"/>
    <w:pPr>
      <w:spacing w:beforeLines="0" w:afterLines="0"/>
    </w:pPr>
    <w:rPr>
      <w:rFonts w:ascii="宋体" w:eastAsia="宋体"/>
    </w:rPr>
  </w:style>
  <w:style w:type="paragraph" w:customStyle="1" w:styleId="134">
    <w:name w:val="附录表标号"/>
    <w:basedOn w:val="1"/>
    <w:next w:val="25"/>
    <w:qFormat/>
    <w:uiPriority w:val="99"/>
    <w:pPr>
      <w:numPr>
        <w:ilvl w:val="0"/>
        <w:numId w:val="13"/>
      </w:numPr>
      <w:tabs>
        <w:tab w:val="clear" w:pos="0"/>
      </w:tabs>
      <w:spacing w:line="14" w:lineRule="exact"/>
      <w:ind w:left="811" w:hanging="448"/>
      <w:jc w:val="center"/>
      <w:outlineLvl w:val="0"/>
    </w:pPr>
    <w:rPr>
      <w:color w:val="FFFFFF"/>
    </w:rPr>
  </w:style>
  <w:style w:type="paragraph" w:customStyle="1" w:styleId="135">
    <w:name w:val="图表脚注说明"/>
    <w:basedOn w:val="1"/>
    <w:qFormat/>
    <w:uiPriority w:val="99"/>
    <w:pPr>
      <w:numPr>
        <w:ilvl w:val="0"/>
        <w:numId w:val="14"/>
      </w:numPr>
    </w:pPr>
    <w:rPr>
      <w:rFonts w:ascii="宋体"/>
      <w:sz w:val="18"/>
      <w:szCs w:val="18"/>
    </w:rPr>
  </w:style>
  <w:style w:type="paragraph" w:customStyle="1" w:styleId="136">
    <w:name w:val="附录表标题"/>
    <w:basedOn w:val="1"/>
    <w:next w:val="25"/>
    <w:qFormat/>
    <w:uiPriority w:val="99"/>
    <w:pPr>
      <w:numPr>
        <w:ilvl w:val="1"/>
        <w:numId w:val="13"/>
      </w:numPr>
      <w:tabs>
        <w:tab w:val="left" w:pos="180"/>
      </w:tabs>
      <w:spacing w:beforeLines="50" w:afterLines="50"/>
      <w:ind w:left="0" w:firstLine="0"/>
      <w:jc w:val="center"/>
    </w:pPr>
    <w:rPr>
      <w:rFonts w:ascii="黑体" w:eastAsia="黑体"/>
      <w:szCs w:val="21"/>
    </w:rPr>
  </w:style>
  <w:style w:type="paragraph" w:customStyle="1" w:styleId="137">
    <w:name w:val="终结线"/>
    <w:basedOn w:val="1"/>
    <w:qFormat/>
    <w:uiPriority w:val="0"/>
    <w:pPr>
      <w:framePr w:hSpace="181" w:vSpace="181" w:wrap="auto" w:vAnchor="text" w:hAnchor="margin" w:xAlign="center" w:y="285"/>
    </w:pPr>
  </w:style>
  <w:style w:type="paragraph" w:customStyle="1" w:styleId="138">
    <w:name w:val="附录二级无"/>
    <w:basedOn w:val="84"/>
    <w:qFormat/>
    <w:uiPriority w:val="99"/>
    <w:pPr>
      <w:tabs>
        <w:tab w:val="clear" w:pos="360"/>
      </w:tabs>
      <w:spacing w:beforeLines="0" w:afterLines="0"/>
    </w:pPr>
    <w:rPr>
      <w:rFonts w:ascii="宋体" w:eastAsia="宋体"/>
      <w:szCs w:val="21"/>
    </w:rPr>
  </w:style>
  <w:style w:type="paragraph" w:customStyle="1" w:styleId="139">
    <w:name w:val="其他标准标志"/>
    <w:basedOn w:val="89"/>
    <w:qFormat/>
    <w:uiPriority w:val="99"/>
    <w:pPr>
      <w:framePr w:w="6101" w:vAnchor="page" w:hAnchor="page" w:x="4673" w:y="942"/>
    </w:pPr>
    <w:rPr>
      <w:w w:val="130"/>
    </w:rPr>
  </w:style>
  <w:style w:type="paragraph" w:customStyle="1" w:styleId="140">
    <w:name w:val="附录三级无"/>
    <w:basedOn w:val="83"/>
    <w:qFormat/>
    <w:uiPriority w:val="99"/>
    <w:pPr>
      <w:tabs>
        <w:tab w:val="clear" w:pos="360"/>
      </w:tabs>
      <w:spacing w:beforeLines="0" w:afterLines="0"/>
    </w:pPr>
    <w:rPr>
      <w:rFonts w:ascii="宋体" w:eastAsia="宋体"/>
      <w:szCs w:val="21"/>
    </w:rPr>
  </w:style>
  <w:style w:type="paragraph" w:customStyle="1" w:styleId="141">
    <w:name w:val="附录数字编号列项（二级）"/>
    <w:qFormat/>
    <w:uiPriority w:val="99"/>
    <w:pPr>
      <w:numPr>
        <w:ilvl w:val="1"/>
        <w:numId w:val="15"/>
      </w:numPr>
    </w:pPr>
    <w:rPr>
      <w:rFonts w:ascii="宋体" w:hAnsi="Times New Roman" w:eastAsia="宋体" w:cs="Times New Roman"/>
      <w:sz w:val="21"/>
      <w:lang w:val="en-US" w:eastAsia="zh-CN" w:bidi="ar-SA"/>
    </w:rPr>
  </w:style>
  <w:style w:type="paragraph" w:customStyle="1" w:styleId="142">
    <w:name w:val="五级无"/>
    <w:basedOn w:val="115"/>
    <w:qFormat/>
    <w:uiPriority w:val="99"/>
    <w:pPr>
      <w:spacing w:beforeLines="0" w:afterLines="0"/>
    </w:pPr>
    <w:rPr>
      <w:rFonts w:ascii="宋体" w:eastAsia="宋体"/>
    </w:rPr>
  </w:style>
  <w:style w:type="paragraph" w:customStyle="1" w:styleId="143">
    <w:name w:val="附录图标题"/>
    <w:basedOn w:val="1"/>
    <w:next w:val="25"/>
    <w:qFormat/>
    <w:uiPriority w:val="99"/>
    <w:pPr>
      <w:numPr>
        <w:ilvl w:val="1"/>
        <w:numId w:val="11"/>
      </w:numPr>
      <w:tabs>
        <w:tab w:val="left" w:pos="363"/>
      </w:tabs>
      <w:spacing w:beforeLines="50" w:afterLines="50"/>
      <w:ind w:left="0" w:firstLine="0"/>
      <w:jc w:val="center"/>
    </w:pPr>
    <w:rPr>
      <w:rFonts w:ascii="黑体" w:eastAsia="黑体"/>
      <w:szCs w:val="21"/>
    </w:rPr>
  </w:style>
  <w:style w:type="paragraph" w:customStyle="1" w:styleId="144">
    <w:name w:val="附录字母编号列项（一级）"/>
    <w:qFormat/>
    <w:uiPriority w:val="99"/>
    <w:pPr>
      <w:numPr>
        <w:ilvl w:val="0"/>
        <w:numId w:val="15"/>
      </w:numPr>
    </w:pPr>
    <w:rPr>
      <w:rFonts w:ascii="宋体" w:hAnsi="Times New Roman" w:eastAsia="宋体" w:cs="Times New Roman"/>
      <w:sz w:val="21"/>
      <w:lang w:val="en-US" w:eastAsia="zh-CN" w:bidi="ar-SA"/>
    </w:rPr>
  </w:style>
  <w:style w:type="paragraph" w:customStyle="1" w:styleId="145">
    <w:name w:val="文献分类号"/>
    <w:qFormat/>
    <w:uiPriority w:val="99"/>
    <w:pPr>
      <w:framePr w:hSpace="180" w:vSpace="180" w:wrap="auto"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6">
    <w:name w:val="正文表标题"/>
    <w:next w:val="25"/>
    <w:qFormat/>
    <w:uiPriority w:val="0"/>
    <w:pPr>
      <w:numPr>
        <w:ilvl w:val="0"/>
        <w:numId w:val="16"/>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7">
    <w:name w:val="其他实施日期"/>
    <w:basedOn w:val="103"/>
    <w:qFormat/>
    <w:uiPriority w:val="99"/>
  </w:style>
  <w:style w:type="paragraph" w:customStyle="1" w:styleId="148">
    <w:name w:val="封面标准文稿类别2"/>
    <w:basedOn w:val="102"/>
    <w:qFormat/>
    <w:uiPriority w:val="99"/>
    <w:pPr>
      <w:framePr w:y="4469"/>
    </w:pPr>
  </w:style>
  <w:style w:type="paragraph" w:customStyle="1" w:styleId="14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0">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styleId="151">
    <w:name w:val="List Paragraph"/>
    <w:basedOn w:val="1"/>
    <w:qFormat/>
    <w:uiPriority w:val="99"/>
    <w:pPr>
      <w:ind w:firstLine="420" w:firstLineChars="200"/>
    </w:pPr>
  </w:style>
  <w:style w:type="paragraph" w:customStyle="1" w:styleId="152">
    <w:name w:val="TOC 标题1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styleId="153">
    <w:name w:val="Placeholder Text"/>
    <w:basedOn w:val="36"/>
    <w:semiHidden/>
    <w:qFormat/>
    <w:uiPriority w:val="99"/>
    <w:rPr>
      <w:color w:val="808080"/>
    </w:rPr>
  </w:style>
  <w:style w:type="character" w:customStyle="1" w:styleId="154">
    <w:name w:val="日期 字符"/>
    <w:basedOn w:val="36"/>
    <w:link w:val="16"/>
    <w:semiHidden/>
    <w:qFormat/>
    <w:uiPriority w:val="99"/>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relations xmlns="http://www.yonyou.com/relation"/>
</file>

<file path=customXml/item4.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8BBF2B-3461-4FDC-B0E4-9747ECB11FBE}">
  <ds:schemaRefs/>
</ds:datastoreItem>
</file>

<file path=customXml/itemProps3.xml><?xml version="1.0" encoding="utf-8"?>
<ds:datastoreItem xmlns:ds="http://schemas.openxmlformats.org/officeDocument/2006/customXml" ds:itemID="{0737FB17-04F6-47C4-9E60-C2877F3C0BDF}">
  <ds:schemaRefs/>
</ds:datastoreItem>
</file>

<file path=customXml/itemProps4.xml><?xml version="1.0" encoding="utf-8"?>
<ds:datastoreItem xmlns:ds="http://schemas.openxmlformats.org/officeDocument/2006/customXml" ds:itemID="{87906109-B5BA-4237-84BF-17CBB1C2BA03}">
  <ds:schemaRefs/>
</ds:datastoreItem>
</file>

<file path=docProps/app.xml><?xml version="1.0" encoding="utf-8"?>
<Properties xmlns="http://schemas.openxmlformats.org/officeDocument/2006/extended-properties" xmlns:vt="http://schemas.openxmlformats.org/officeDocument/2006/docPropsVTypes">
  <Template>Normal</Template>
  <Company>CABR</Company>
  <Pages>10</Pages>
  <Words>2070</Words>
  <Characters>2685</Characters>
  <Lines>41</Lines>
  <Paragraphs>11</Paragraphs>
  <TotalTime>1</TotalTime>
  <ScaleCrop>false</ScaleCrop>
  <LinksUpToDate>false</LinksUpToDate>
  <CharactersWithSpaces>2834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2023-06-18T02:43:00Z</dcterms:created>
  <dc:creator>CNIS</dc:creator>
  <cp:lastModifiedBy>刘珊珊</cp:lastModifiedBy>
  <cp:lastPrinted>2019-12-02T00:48:00Z</cp:lastPrinted>
  <dcterms:modified xsi:type="dcterms:W3CDTF">2024-11-04T06:48:29Z</dcterms:modified>
  <dc:title>标准名称</dc:title>
  <cp:revision>347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88CAE6611FB14C1D906AF9824828FEF3</vt:lpwstr>
  </property>
</Properties>
</file>