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95E0A6">
      <w:pPr>
        <w:rPr>
          <w:b/>
          <w:bCs/>
          <w:sz w:val="52"/>
          <w:szCs w:val="84"/>
          <w:highlight w:val="none"/>
        </w:rPr>
      </w:pPr>
      <w:bookmarkStart w:id="0" w:name="_Toc278960335"/>
      <w:bookmarkStart w:id="1" w:name="SectionMark0"/>
      <w:r>
        <w:rPr>
          <w:highlight w:val="none"/>
        </w:rP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4D9BF181">
      <w:pPr>
        <w:rPr>
          <w:b/>
          <w:bCs/>
          <w:sz w:val="52"/>
          <w:szCs w:val="84"/>
          <w:highlight w:val="none"/>
        </w:rPr>
      </w:pPr>
    </w:p>
    <w:p w14:paraId="63BB495A">
      <w:pPr>
        <w:jc w:val="right"/>
        <w:rPr>
          <w:sz w:val="32"/>
          <w:szCs w:val="32"/>
          <w:highlight w:val="none"/>
        </w:rPr>
      </w:pPr>
      <w:r>
        <w:rPr>
          <w:b/>
          <w:bCs/>
          <w:sz w:val="36"/>
          <w:szCs w:val="36"/>
          <w:highlight w:val="none"/>
        </w:rPr>
        <w:t xml:space="preserve">T/CECS </w:t>
      </w:r>
      <w:r>
        <w:rPr>
          <w:sz w:val="36"/>
          <w:szCs w:val="36"/>
          <w:highlight w:val="none"/>
        </w:rPr>
        <w:t>XXX- 202X</w:t>
      </w:r>
    </w:p>
    <w:p w14:paraId="043C6791">
      <w:pPr>
        <w:jc w:val="center"/>
        <w:rPr>
          <w:szCs w:val="32"/>
          <w:highlight w:val="none"/>
        </w:rPr>
      </w:pPr>
      <w:r>
        <w:rPr>
          <w:szCs w:val="32"/>
          <w:highlight w:val="none"/>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0" r="26670" b="19050"/>
                <wp:wrapNone/>
                <wp:docPr id="2" name="直接连接符 2"/>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b/8O7VAAAABgEA&#10;AA8AAAAAAAAAAQAgAAAAIgAAAGRycy9kb3ducmV2LnhtbFBLAQIUABQAAAAIAIdO4kAHKgoB5AEA&#10;ALIDAAAOAAAAAAAAAAEAIAAAACQBAABkcnMvZTJvRG9jLnhtbFBLBQYAAAAABgAGAFkBAAB6BQAA&#10;AAA=&#10;">
                <v:fill on="f" focussize="0,0"/>
                <v:stroke weight="1.5pt" color="#000000 [3200]" miterlimit="8" joinstyle="miter"/>
                <v:imagedata o:title=""/>
                <o:lock v:ext="edit" aspectratio="f"/>
              </v:line>
            </w:pict>
          </mc:Fallback>
        </mc:AlternateContent>
      </w:r>
    </w:p>
    <w:p w14:paraId="779FE0F7">
      <w:pPr>
        <w:widowControl/>
        <w:tabs>
          <w:tab w:val="left" w:pos="3510"/>
        </w:tabs>
        <w:jc w:val="left"/>
        <w:rPr>
          <w:color w:val="000000" w:themeColor="text1"/>
          <w:highlight w:val="none"/>
          <w14:textFill>
            <w14:solidFill>
              <w14:schemeClr w14:val="tx1"/>
            </w14:solidFill>
          </w14:textFill>
        </w:rPr>
      </w:pPr>
    </w:p>
    <w:p w14:paraId="223C606E">
      <w:pPr>
        <w:rPr>
          <w:highlight w:val="none"/>
        </w:rPr>
      </w:pPr>
    </w:p>
    <w:p w14:paraId="156D25AA">
      <w:pPr>
        <w:spacing w:line="360" w:lineRule="auto"/>
        <w:ind w:firstLine="560" w:firstLineChars="200"/>
        <w:jc w:val="center"/>
        <w:rPr>
          <w:b/>
          <w:bCs/>
          <w:sz w:val="44"/>
          <w:szCs w:val="23"/>
          <w:highlight w:val="none"/>
        </w:rPr>
      </w:pPr>
      <w:r>
        <w:rPr>
          <w:sz w:val="28"/>
          <w:highlight w:val="none"/>
        </w:rPr>
        <w:t>中国工程建设标准化协会标准</w:t>
      </w:r>
    </w:p>
    <w:p w14:paraId="375326A3">
      <w:pPr>
        <w:pStyle w:val="277"/>
        <w:spacing w:line="360" w:lineRule="auto"/>
        <w:rPr>
          <w:rFonts w:eastAsia="宋体"/>
          <w:highlight w:val="none"/>
        </w:rPr>
      </w:pPr>
    </w:p>
    <w:p w14:paraId="5E97BA91">
      <w:pPr>
        <w:pStyle w:val="276"/>
        <w:spacing w:line="360" w:lineRule="auto"/>
        <w:rPr>
          <w:rFonts w:eastAsia="宋体"/>
          <w:highlight w:val="none"/>
        </w:rPr>
      </w:pPr>
    </w:p>
    <w:p w14:paraId="6F63F40F">
      <w:pPr>
        <w:pStyle w:val="275"/>
        <w:rPr>
          <w:highlight w:val="none"/>
        </w:rPr>
      </w:pPr>
      <w:bookmarkStart w:id="2" w:name="_Hlk125980827"/>
      <w:r>
        <w:rPr>
          <w:rFonts w:hint="eastAsia"/>
          <w:highlight w:val="none"/>
          <w:lang w:val="en-US" w:eastAsia="zh-CN"/>
        </w:rPr>
        <w:t>制冷机房运行状态</w:t>
      </w:r>
      <w:r>
        <w:rPr>
          <w:highlight w:val="none"/>
        </w:rPr>
        <w:t>评价标准</w:t>
      </w:r>
      <w:bookmarkEnd w:id="2"/>
    </w:p>
    <w:p w14:paraId="1B10C865">
      <w:pPr>
        <w:keepNext w:val="0"/>
        <w:keepLines w:val="0"/>
        <w:widowControl/>
        <w:suppressLineNumbers w:val="0"/>
        <w:jc w:val="center"/>
        <w:rPr>
          <w:rFonts w:eastAsia="宋体"/>
          <w:b/>
          <w:bCs/>
          <w:sz w:val="32"/>
          <w:szCs w:val="32"/>
          <w:highlight w:val="none"/>
        </w:rPr>
      </w:pPr>
      <w:bookmarkStart w:id="3" w:name="_Hlk125980842"/>
      <w:r>
        <w:rPr>
          <w:rFonts w:eastAsia="宋体"/>
          <w:b/>
          <w:bCs/>
          <w:sz w:val="32"/>
          <w:szCs w:val="32"/>
          <w:highlight w:val="none"/>
        </w:rPr>
        <w:t xml:space="preserve">Assessment standard for </w:t>
      </w:r>
      <w:r>
        <w:rPr>
          <w:rFonts w:hint="default" w:eastAsia="宋体"/>
          <w:b/>
          <w:bCs/>
          <w:sz w:val="32"/>
          <w:szCs w:val="32"/>
          <w:highlight w:val="none"/>
          <w:lang w:val="en-US" w:eastAsia="zh-CN"/>
        </w:rPr>
        <w:t>operating status</w:t>
      </w:r>
      <w:r>
        <w:rPr>
          <w:rFonts w:hint="eastAsia" w:eastAsia="宋体"/>
          <w:b/>
          <w:bCs/>
          <w:sz w:val="32"/>
          <w:szCs w:val="32"/>
          <w:highlight w:val="none"/>
          <w:lang w:val="en-US" w:eastAsia="zh-CN"/>
        </w:rPr>
        <w:t xml:space="preserve"> of </w:t>
      </w:r>
      <w:r>
        <w:rPr>
          <w:rFonts w:hint="default" w:eastAsia="宋体"/>
          <w:b/>
          <w:bCs/>
          <w:sz w:val="32"/>
          <w:szCs w:val="32"/>
          <w:highlight w:val="none"/>
          <w:lang w:val="en-US" w:eastAsia="zh-CN"/>
        </w:rPr>
        <w:t>refrigerating station</w:t>
      </w:r>
    </w:p>
    <w:bookmarkEnd w:id="3"/>
    <w:p w14:paraId="6F58E2D1">
      <w:pPr>
        <w:pStyle w:val="275"/>
        <w:rPr>
          <w:rFonts w:eastAsia="宋体"/>
          <w:sz w:val="32"/>
          <w:szCs w:val="32"/>
          <w:highlight w:val="none"/>
        </w:rPr>
      </w:pPr>
      <w:r>
        <w:rPr>
          <w:rFonts w:eastAsia="宋体"/>
          <w:sz w:val="32"/>
          <w:szCs w:val="32"/>
          <w:highlight w:val="none"/>
        </w:rPr>
        <w:t>（</w:t>
      </w:r>
      <w:r>
        <w:rPr>
          <w:rFonts w:hint="eastAsia" w:eastAsia="宋体"/>
          <w:sz w:val="32"/>
          <w:szCs w:val="32"/>
          <w:highlight w:val="none"/>
          <w:lang w:val="en-US" w:eastAsia="zh-CN"/>
        </w:rPr>
        <w:t>征求意见</w:t>
      </w:r>
      <w:r>
        <w:rPr>
          <w:rFonts w:eastAsia="宋体"/>
          <w:sz w:val="32"/>
          <w:szCs w:val="32"/>
          <w:highlight w:val="none"/>
        </w:rPr>
        <w:t>稿）</w:t>
      </w:r>
    </w:p>
    <w:p w14:paraId="0C5794B9">
      <w:pPr>
        <w:pStyle w:val="275"/>
        <w:rPr>
          <w:rFonts w:eastAsia="宋体"/>
          <w:highlight w:val="none"/>
        </w:rPr>
      </w:pPr>
    </w:p>
    <w:p w14:paraId="0EF2AE7D">
      <w:pPr>
        <w:pStyle w:val="274"/>
        <w:spacing w:line="360" w:lineRule="auto"/>
        <w:rPr>
          <w:rFonts w:eastAsia="宋体" w:cs="Times New Roman"/>
          <w:highlight w:val="none"/>
        </w:rPr>
      </w:pPr>
    </w:p>
    <w:p w14:paraId="6A885823">
      <w:pPr>
        <w:pStyle w:val="274"/>
        <w:spacing w:line="360" w:lineRule="auto"/>
        <w:rPr>
          <w:rFonts w:eastAsia="宋体" w:cs="Times New Roman"/>
          <w:highlight w:val="none"/>
        </w:rPr>
      </w:pPr>
    </w:p>
    <w:p w14:paraId="48F48EC9">
      <w:pPr>
        <w:pStyle w:val="274"/>
        <w:spacing w:line="360" w:lineRule="auto"/>
        <w:jc w:val="both"/>
        <w:rPr>
          <w:rFonts w:eastAsia="宋体" w:cs="Times New Roman"/>
          <w:highlight w:val="none"/>
        </w:rPr>
      </w:pPr>
    </w:p>
    <w:p w14:paraId="2E053B61">
      <w:pPr>
        <w:pStyle w:val="274"/>
        <w:spacing w:line="360" w:lineRule="auto"/>
        <w:rPr>
          <w:rFonts w:eastAsia="宋体" w:cs="Times New Roman"/>
          <w:highlight w:val="none"/>
        </w:rPr>
      </w:pPr>
      <w:r>
        <w:rPr>
          <w:rFonts w:hint="eastAsia" w:asciiTheme="minorEastAsia" w:hAnsiTheme="minorEastAsia"/>
          <w:b/>
          <w:bCs/>
          <w:color w:val="0000FF"/>
          <w:sz w:val="24"/>
          <w:szCs w:val="24"/>
        </w:rPr>
        <w:t>在提交反馈意见时，请将您知道的相关专利连同支持性文件一并附上</w:t>
      </w:r>
    </w:p>
    <w:p w14:paraId="3CD54599">
      <w:pPr>
        <w:pStyle w:val="274"/>
        <w:spacing w:line="360" w:lineRule="auto"/>
        <w:rPr>
          <w:rFonts w:eastAsia="宋体" w:cs="Times New Roman"/>
          <w:highlight w:val="none"/>
        </w:rPr>
      </w:pPr>
    </w:p>
    <w:p w14:paraId="3A85B2BE">
      <w:pPr>
        <w:pStyle w:val="274"/>
        <w:spacing w:line="360" w:lineRule="auto"/>
        <w:rPr>
          <w:rFonts w:eastAsia="宋体" w:cs="Times New Roman"/>
          <w:highlight w:val="none"/>
        </w:rPr>
      </w:pPr>
    </w:p>
    <w:p w14:paraId="2410162B">
      <w:pPr>
        <w:pStyle w:val="274"/>
        <w:spacing w:line="360" w:lineRule="auto"/>
        <w:rPr>
          <w:rFonts w:eastAsia="宋体" w:cs="Times New Roman"/>
          <w:highlight w:val="none"/>
        </w:rPr>
      </w:pPr>
    </w:p>
    <w:p w14:paraId="68FDC6B4">
      <w:pPr>
        <w:pStyle w:val="274"/>
        <w:spacing w:line="360" w:lineRule="auto"/>
        <w:rPr>
          <w:rFonts w:eastAsia="宋体" w:cs="Times New Roman"/>
          <w:highlight w:val="none"/>
        </w:rPr>
      </w:pPr>
    </w:p>
    <w:p w14:paraId="2B39733B">
      <w:pPr>
        <w:rPr>
          <w:b/>
          <w:bCs/>
          <w:sz w:val="52"/>
          <w:szCs w:val="84"/>
          <w:highlight w:val="none"/>
        </w:rPr>
      </w:pPr>
    </w:p>
    <w:p w14:paraId="5B42E50E">
      <w:pPr>
        <w:rPr>
          <w:b/>
          <w:bCs/>
          <w:sz w:val="52"/>
          <w:szCs w:val="84"/>
          <w:highlight w:val="none"/>
        </w:rPr>
      </w:pPr>
    </w:p>
    <w:p w14:paraId="160614D0">
      <w:pPr>
        <w:pStyle w:val="274"/>
        <w:rPr>
          <w:rFonts w:eastAsia="微软雅黑" w:cs="Times New Roman"/>
          <w:bCs/>
          <w:kern w:val="44"/>
          <w:sz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eastAsia="宋体" w:cs="Times New Roman"/>
          <w:sz w:val="24"/>
          <w:szCs w:val="24"/>
          <w:highlight w:val="none"/>
        </w:rPr>
        <w:t>****出版社</w:t>
      </w:r>
    </w:p>
    <w:p w14:paraId="09EF78B3">
      <w:pPr>
        <w:spacing w:line="360" w:lineRule="auto"/>
        <w:rPr>
          <w:sz w:val="28"/>
          <w:szCs w:val="22"/>
          <w:highlight w:val="none"/>
        </w:rPr>
      </w:pPr>
    </w:p>
    <w:p w14:paraId="6C4857DB">
      <w:pPr>
        <w:spacing w:line="360" w:lineRule="auto"/>
        <w:jc w:val="center"/>
        <w:rPr>
          <w:sz w:val="28"/>
          <w:szCs w:val="22"/>
          <w:highlight w:val="none"/>
        </w:rPr>
      </w:pPr>
    </w:p>
    <w:p w14:paraId="52B4DB9F">
      <w:pPr>
        <w:spacing w:line="360" w:lineRule="auto"/>
        <w:jc w:val="center"/>
        <w:rPr>
          <w:sz w:val="28"/>
          <w:szCs w:val="22"/>
          <w:highlight w:val="none"/>
        </w:rPr>
      </w:pPr>
      <w:r>
        <w:rPr>
          <w:sz w:val="28"/>
          <w:szCs w:val="22"/>
          <w:highlight w:val="none"/>
        </w:rPr>
        <w:t>中国工程建设标准化协会标准</w:t>
      </w:r>
    </w:p>
    <w:p w14:paraId="64AA8A53">
      <w:pPr>
        <w:spacing w:line="360" w:lineRule="auto"/>
        <w:jc w:val="center"/>
        <w:rPr>
          <w:sz w:val="28"/>
          <w:szCs w:val="28"/>
          <w:highlight w:val="none"/>
        </w:rPr>
      </w:pPr>
    </w:p>
    <w:p w14:paraId="1835E9A6">
      <w:pPr>
        <w:pStyle w:val="275"/>
        <w:rPr>
          <w:highlight w:val="none"/>
        </w:rPr>
      </w:pPr>
      <w:r>
        <w:rPr>
          <w:rFonts w:hint="eastAsia"/>
          <w:highlight w:val="none"/>
          <w:lang w:val="en-US" w:eastAsia="zh-CN"/>
        </w:rPr>
        <w:t>制冷机房运行状态</w:t>
      </w:r>
      <w:r>
        <w:rPr>
          <w:highlight w:val="none"/>
        </w:rPr>
        <w:t>评价标准</w:t>
      </w:r>
    </w:p>
    <w:p w14:paraId="2DC0BC99">
      <w:pPr>
        <w:pStyle w:val="275"/>
        <w:rPr>
          <w:rFonts w:eastAsia="宋体"/>
          <w:b/>
          <w:bCs/>
          <w:sz w:val="32"/>
          <w:szCs w:val="32"/>
          <w:highlight w:val="none"/>
        </w:rPr>
      </w:pPr>
      <w:r>
        <w:rPr>
          <w:rFonts w:eastAsia="宋体"/>
          <w:b/>
          <w:bCs/>
          <w:sz w:val="32"/>
          <w:szCs w:val="32"/>
          <w:highlight w:val="none"/>
        </w:rPr>
        <w:t>Assessment standa</w:t>
      </w:r>
      <w:r>
        <w:rPr>
          <w:rFonts w:hint="default" w:eastAsia="宋体"/>
          <w:b/>
          <w:bCs/>
          <w:sz w:val="32"/>
          <w:szCs w:val="32"/>
          <w:highlight w:val="none"/>
          <w:lang w:val="en-US" w:eastAsia="zh-CN"/>
        </w:rPr>
        <w:t>rd for operating status</w:t>
      </w:r>
      <w:r>
        <w:rPr>
          <w:rFonts w:hint="eastAsia" w:eastAsia="宋体"/>
          <w:b/>
          <w:bCs/>
          <w:sz w:val="32"/>
          <w:szCs w:val="32"/>
          <w:highlight w:val="none"/>
          <w:lang w:val="en-US" w:eastAsia="zh-CN"/>
        </w:rPr>
        <w:t xml:space="preserve"> of </w:t>
      </w:r>
      <w:r>
        <w:rPr>
          <w:rFonts w:hint="default" w:eastAsia="宋体"/>
          <w:b/>
          <w:bCs/>
          <w:sz w:val="32"/>
          <w:szCs w:val="32"/>
          <w:highlight w:val="none"/>
          <w:lang w:val="en-US" w:eastAsia="zh-CN"/>
        </w:rPr>
        <w:t>refrigerating station</w:t>
      </w:r>
    </w:p>
    <w:p w14:paraId="3EA5EB39">
      <w:pPr>
        <w:spacing w:line="360" w:lineRule="auto"/>
        <w:jc w:val="center"/>
        <w:rPr>
          <w:sz w:val="24"/>
          <w:szCs w:val="22"/>
          <w:highlight w:val="none"/>
        </w:rPr>
      </w:pPr>
    </w:p>
    <w:p w14:paraId="3FB2A760">
      <w:pPr>
        <w:spacing w:line="360" w:lineRule="auto"/>
        <w:jc w:val="center"/>
        <w:rPr>
          <w:b/>
          <w:sz w:val="24"/>
          <w:highlight w:val="none"/>
        </w:rPr>
      </w:pPr>
      <w:r>
        <w:rPr>
          <w:b/>
          <w:sz w:val="24"/>
          <w:highlight w:val="none"/>
        </w:rPr>
        <w:t>T/CECS *** -20XX</w:t>
      </w:r>
    </w:p>
    <w:p w14:paraId="7DB8FB98">
      <w:pPr>
        <w:spacing w:line="360" w:lineRule="auto"/>
        <w:jc w:val="center"/>
        <w:rPr>
          <w:b/>
          <w:sz w:val="24"/>
          <w:szCs w:val="22"/>
          <w:highlight w:val="none"/>
        </w:rPr>
      </w:pPr>
    </w:p>
    <w:p w14:paraId="4E17C1FE">
      <w:pPr>
        <w:spacing w:line="360" w:lineRule="auto"/>
        <w:ind w:firstLine="2880" w:firstLineChars="1200"/>
        <w:rPr>
          <w:sz w:val="24"/>
          <w:szCs w:val="22"/>
          <w:highlight w:val="none"/>
        </w:rPr>
      </w:pPr>
    </w:p>
    <w:p w14:paraId="16FA9494">
      <w:pPr>
        <w:spacing w:line="360" w:lineRule="auto"/>
        <w:ind w:firstLine="2880" w:firstLineChars="1200"/>
        <w:rPr>
          <w:sz w:val="24"/>
          <w:szCs w:val="22"/>
          <w:highlight w:val="none"/>
        </w:rPr>
      </w:pPr>
    </w:p>
    <w:p w14:paraId="78E1B86F">
      <w:pPr>
        <w:spacing w:line="360" w:lineRule="auto"/>
        <w:ind w:firstLine="2880" w:firstLineChars="1200"/>
        <w:rPr>
          <w:sz w:val="24"/>
          <w:szCs w:val="22"/>
          <w:highlight w:val="none"/>
        </w:rPr>
      </w:pPr>
    </w:p>
    <w:p w14:paraId="4C7B1BCA">
      <w:pPr>
        <w:spacing w:line="360" w:lineRule="auto"/>
        <w:rPr>
          <w:sz w:val="24"/>
          <w:szCs w:val="22"/>
          <w:highlight w:val="none"/>
        </w:rPr>
      </w:pPr>
    </w:p>
    <w:p w14:paraId="65393E63">
      <w:pPr>
        <w:spacing w:line="360" w:lineRule="auto"/>
        <w:jc w:val="center"/>
        <w:rPr>
          <w:sz w:val="28"/>
          <w:szCs w:val="28"/>
          <w:highlight w:val="none"/>
        </w:rPr>
      </w:pPr>
      <w:r>
        <w:rPr>
          <w:sz w:val="28"/>
          <w:szCs w:val="28"/>
          <w:highlight w:val="none"/>
        </w:rPr>
        <w:t>主编单位：建科环能科技有限公司</w:t>
      </w:r>
    </w:p>
    <w:p w14:paraId="1F5DA31E">
      <w:pPr>
        <w:spacing w:line="360" w:lineRule="auto"/>
        <w:jc w:val="center"/>
        <w:rPr>
          <w:sz w:val="28"/>
          <w:szCs w:val="28"/>
          <w:highlight w:val="none"/>
        </w:rPr>
      </w:pPr>
      <w:r>
        <w:rPr>
          <w:sz w:val="28"/>
          <w:szCs w:val="28"/>
          <w:highlight w:val="none"/>
        </w:rPr>
        <w:t>批准单位：中国工程建设标准化协会</w:t>
      </w:r>
    </w:p>
    <w:p w14:paraId="3CB77A2A">
      <w:pPr>
        <w:spacing w:line="360" w:lineRule="auto"/>
        <w:jc w:val="center"/>
        <w:rPr>
          <w:sz w:val="28"/>
          <w:szCs w:val="28"/>
          <w:highlight w:val="none"/>
        </w:rPr>
      </w:pPr>
      <w:r>
        <w:rPr>
          <w:sz w:val="28"/>
          <w:szCs w:val="28"/>
          <w:highlight w:val="none"/>
        </w:rPr>
        <w:t>施行日期：20XX年××月××日</w:t>
      </w:r>
    </w:p>
    <w:p w14:paraId="7913576F">
      <w:pPr>
        <w:spacing w:line="360" w:lineRule="auto"/>
        <w:jc w:val="center"/>
        <w:rPr>
          <w:sz w:val="24"/>
          <w:szCs w:val="22"/>
          <w:highlight w:val="none"/>
        </w:rPr>
      </w:pPr>
    </w:p>
    <w:p w14:paraId="4BDF733E">
      <w:pPr>
        <w:spacing w:line="360" w:lineRule="auto"/>
        <w:jc w:val="center"/>
        <w:rPr>
          <w:sz w:val="24"/>
          <w:szCs w:val="22"/>
          <w:highlight w:val="none"/>
        </w:rPr>
      </w:pPr>
    </w:p>
    <w:p w14:paraId="10F39AF7">
      <w:pPr>
        <w:spacing w:line="360" w:lineRule="auto"/>
        <w:jc w:val="center"/>
        <w:rPr>
          <w:sz w:val="24"/>
          <w:szCs w:val="22"/>
          <w:highlight w:val="none"/>
        </w:rPr>
      </w:pPr>
    </w:p>
    <w:p w14:paraId="059DCADA">
      <w:pPr>
        <w:spacing w:line="360" w:lineRule="auto"/>
        <w:jc w:val="center"/>
        <w:rPr>
          <w:sz w:val="24"/>
          <w:szCs w:val="22"/>
          <w:highlight w:val="none"/>
        </w:rPr>
      </w:pPr>
    </w:p>
    <w:p w14:paraId="7C8C3652">
      <w:pPr>
        <w:spacing w:line="360" w:lineRule="auto"/>
        <w:jc w:val="center"/>
        <w:rPr>
          <w:sz w:val="24"/>
          <w:szCs w:val="22"/>
          <w:highlight w:val="none"/>
        </w:rPr>
      </w:pPr>
    </w:p>
    <w:p w14:paraId="7011B964">
      <w:pPr>
        <w:spacing w:line="360" w:lineRule="auto"/>
        <w:jc w:val="center"/>
        <w:rPr>
          <w:sz w:val="24"/>
          <w:szCs w:val="22"/>
          <w:highlight w:val="none"/>
        </w:rPr>
      </w:pPr>
    </w:p>
    <w:p w14:paraId="2B955FEA">
      <w:pPr>
        <w:spacing w:line="360" w:lineRule="auto"/>
        <w:jc w:val="center"/>
        <w:rPr>
          <w:sz w:val="24"/>
          <w:highlight w:val="none"/>
        </w:rPr>
      </w:pPr>
      <w:r>
        <w:rPr>
          <w:sz w:val="24"/>
          <w:highlight w:val="none"/>
        </w:rPr>
        <w:t>XXXX出版社</w:t>
      </w:r>
    </w:p>
    <w:p w14:paraId="2525DA85">
      <w:pPr>
        <w:widowControl/>
        <w:adjustRightInd w:val="0"/>
        <w:snapToGrid w:val="0"/>
        <w:spacing w:line="360" w:lineRule="auto"/>
        <w:jc w:val="center"/>
        <w:rPr>
          <w:b/>
          <w:kern w:val="44"/>
          <w:sz w:val="24"/>
          <w:highlight w:val="none"/>
        </w:rPr>
      </w:pPr>
      <w:r>
        <w:rPr>
          <w:sz w:val="24"/>
          <w:highlight w:val="none"/>
        </w:rPr>
        <w:t>202</w:t>
      </w:r>
      <w:r>
        <w:rPr>
          <w:rFonts w:hint="eastAsia"/>
          <w:sz w:val="24"/>
          <w:highlight w:val="none"/>
          <w:lang w:val="en-US" w:eastAsia="zh-CN"/>
        </w:rPr>
        <w:t>4</w:t>
      </w:r>
      <w:r>
        <w:rPr>
          <w:sz w:val="24"/>
          <w:highlight w:val="none"/>
        </w:rPr>
        <w:t xml:space="preserve"> 北京</w:t>
      </w:r>
    </w:p>
    <w:bookmarkEnd w:id="0"/>
    <w:p w14:paraId="2C5BB437">
      <w:pPr>
        <w:rPr>
          <w:highlight w:val="none"/>
        </w:rPr>
      </w:pPr>
    </w:p>
    <w:p w14:paraId="240BBE8E">
      <w:pPr>
        <w:rPr>
          <w:highlight w:val="none"/>
        </w:rPr>
      </w:pPr>
    </w:p>
    <w:p w14:paraId="7F41EE74">
      <w:pPr>
        <w:tabs>
          <w:tab w:val="center" w:pos="4677"/>
        </w:tabs>
        <w:rPr>
          <w:highlight w:val="none"/>
        </w:rPr>
        <w:sectPr>
          <w:headerReference r:id="rId3" w:type="default"/>
          <w:footerReference r:id="rId4" w:type="default"/>
          <w:footerReference r:id="rId5" w:type="even"/>
          <w:pgSz w:w="11907" w:h="16839"/>
          <w:pgMar w:top="1418" w:right="1134" w:bottom="1134" w:left="1418" w:header="1418" w:footer="851" w:gutter="0"/>
          <w:pgBorders>
            <w:top w:val="none" w:sz="0" w:space="0"/>
            <w:left w:val="none" w:sz="0" w:space="0"/>
            <w:bottom w:val="none" w:sz="0" w:space="0"/>
            <w:right w:val="none" w:sz="0" w:space="0"/>
          </w:pgBorders>
          <w:pgNumType w:fmt="upperRoman" w:start="1"/>
          <w:cols w:space="425" w:num="1"/>
          <w:docGrid w:type="lines" w:linePitch="312" w:charSpace="0"/>
        </w:sectPr>
      </w:pPr>
    </w:p>
    <w:p w14:paraId="5EB14083">
      <w:pPr>
        <w:pStyle w:val="55"/>
        <w:rPr>
          <w:rFonts w:ascii="Times New Roman" w:eastAsia="宋体"/>
          <w:b/>
          <w:bCs/>
          <w:sz w:val="28"/>
          <w:szCs w:val="28"/>
          <w:highlight w:val="none"/>
        </w:rPr>
      </w:pPr>
      <w:bookmarkStart w:id="4" w:name="_Toc6514241"/>
      <w:bookmarkStart w:id="5" w:name="_Toc25422998"/>
      <w:bookmarkStart w:id="6" w:name="_Toc237062517"/>
      <w:bookmarkStart w:id="7" w:name="_Toc26812404"/>
      <w:bookmarkStart w:id="8" w:name="_Toc9363499"/>
      <w:bookmarkStart w:id="9" w:name="_Toc125993538"/>
      <w:bookmarkStart w:id="10" w:name="_Toc4047"/>
      <w:r>
        <w:rPr>
          <w:rFonts w:ascii="Times New Roman" w:eastAsia="宋体"/>
          <w:b/>
          <w:bCs/>
          <w:sz w:val="28"/>
          <w:szCs w:val="28"/>
          <w:highlight w:val="none"/>
        </w:rPr>
        <w:t xml:space="preserve">前 </w:t>
      </w:r>
      <w:bookmarkEnd w:id="4"/>
      <w:bookmarkEnd w:id="5"/>
      <w:bookmarkEnd w:id="6"/>
      <w:bookmarkEnd w:id="7"/>
      <w:bookmarkEnd w:id="8"/>
      <w:r>
        <w:rPr>
          <w:rFonts w:ascii="Times New Roman" w:eastAsia="宋体"/>
          <w:b/>
          <w:bCs/>
          <w:sz w:val="28"/>
          <w:szCs w:val="28"/>
          <w:highlight w:val="none"/>
        </w:rPr>
        <w:t>言</w:t>
      </w:r>
      <w:bookmarkEnd w:id="9"/>
      <w:bookmarkEnd w:id="10"/>
    </w:p>
    <w:p w14:paraId="35A47E1C">
      <w:pPr>
        <w:pStyle w:val="57"/>
        <w:spacing w:line="360" w:lineRule="auto"/>
        <w:ind w:firstLine="480"/>
        <w:rPr>
          <w:rFonts w:ascii="Times New Roman"/>
          <w:sz w:val="24"/>
          <w:szCs w:val="24"/>
          <w:highlight w:val="none"/>
        </w:rPr>
      </w:pPr>
      <w:r>
        <w:rPr>
          <w:rFonts w:ascii="Times New Roman"/>
          <w:sz w:val="24"/>
          <w:szCs w:val="24"/>
          <w:highlight w:val="none"/>
        </w:rPr>
        <w:t>根据中国工程建设标准化协会《关于印发&lt;202</w:t>
      </w:r>
      <w:r>
        <w:rPr>
          <w:rFonts w:hint="eastAsia" w:ascii="Times New Roman"/>
          <w:sz w:val="24"/>
          <w:szCs w:val="24"/>
          <w:highlight w:val="none"/>
          <w:lang w:val="en-US" w:eastAsia="zh-CN"/>
        </w:rPr>
        <w:t>2</w:t>
      </w:r>
      <w:r>
        <w:rPr>
          <w:rFonts w:ascii="Times New Roman"/>
          <w:sz w:val="24"/>
          <w:szCs w:val="24"/>
          <w:highlight w:val="none"/>
        </w:rPr>
        <w:t>年第</w:t>
      </w:r>
      <w:r>
        <w:rPr>
          <w:rFonts w:hint="eastAsia" w:ascii="Times New Roman"/>
          <w:sz w:val="24"/>
          <w:szCs w:val="24"/>
          <w:highlight w:val="none"/>
          <w:lang w:val="en-US" w:eastAsia="zh-CN"/>
        </w:rPr>
        <w:t>二</w:t>
      </w:r>
      <w:r>
        <w:rPr>
          <w:rFonts w:ascii="Times New Roman"/>
          <w:sz w:val="24"/>
          <w:szCs w:val="24"/>
          <w:highlight w:val="none"/>
        </w:rPr>
        <w:t>批协会标准制订、修订计划&gt;的通知》（建标协字 [202</w:t>
      </w:r>
      <w:r>
        <w:rPr>
          <w:rFonts w:hint="eastAsia" w:ascii="Times New Roman"/>
          <w:sz w:val="24"/>
          <w:szCs w:val="24"/>
          <w:highlight w:val="none"/>
          <w:lang w:val="en-US" w:eastAsia="zh-CN"/>
        </w:rPr>
        <w:t>2</w:t>
      </w:r>
      <w:r>
        <w:rPr>
          <w:rFonts w:ascii="Times New Roman"/>
          <w:sz w:val="24"/>
          <w:szCs w:val="24"/>
          <w:highlight w:val="none"/>
        </w:rPr>
        <w:t>]</w:t>
      </w:r>
      <w:r>
        <w:rPr>
          <w:rFonts w:hint="eastAsia" w:ascii="Times New Roman"/>
          <w:sz w:val="24"/>
          <w:szCs w:val="24"/>
          <w:highlight w:val="none"/>
          <w:lang w:val="en-US" w:eastAsia="zh-CN"/>
        </w:rPr>
        <w:t>40</w:t>
      </w:r>
      <w:r>
        <w:rPr>
          <w:rFonts w:ascii="Times New Roman"/>
          <w:sz w:val="24"/>
          <w:szCs w:val="24"/>
          <w:highlight w:val="none"/>
        </w:rPr>
        <w:t>号）的要求，编制组经深入调查研究，认真总结实践经验，参考国内外先进标准，并在广泛征求意见的基础上，制定</w:t>
      </w:r>
      <w:r>
        <w:rPr>
          <w:rFonts w:hint="eastAsia" w:ascii="Times New Roman"/>
          <w:sz w:val="24"/>
          <w:szCs w:val="24"/>
          <w:highlight w:val="none"/>
          <w:lang w:eastAsia="zh-CN"/>
        </w:rPr>
        <w:t>本标准</w:t>
      </w:r>
      <w:r>
        <w:rPr>
          <w:rFonts w:ascii="Times New Roman"/>
          <w:sz w:val="24"/>
          <w:szCs w:val="24"/>
          <w:highlight w:val="none"/>
        </w:rPr>
        <w:t>。</w:t>
      </w:r>
    </w:p>
    <w:p w14:paraId="7D30E1F4">
      <w:pPr>
        <w:pStyle w:val="57"/>
        <w:spacing w:line="360" w:lineRule="auto"/>
        <w:ind w:firstLine="480"/>
        <w:rPr>
          <w:rFonts w:hint="eastAsia" w:ascii="Times New Roman"/>
          <w:sz w:val="24"/>
          <w:szCs w:val="24"/>
          <w:highlight w:val="none"/>
          <w:lang w:val="en-US" w:eastAsia="zh-CN"/>
        </w:rPr>
      </w:pPr>
      <w:r>
        <w:rPr>
          <w:rFonts w:ascii="Times New Roman"/>
          <w:sz w:val="24"/>
          <w:szCs w:val="24"/>
          <w:highlight w:val="none"/>
        </w:rPr>
        <w:t>本标准共分</w:t>
      </w:r>
      <w:r>
        <w:rPr>
          <w:rFonts w:hint="eastAsia" w:ascii="Times New Roman"/>
          <w:sz w:val="24"/>
          <w:szCs w:val="24"/>
          <w:highlight w:val="none"/>
          <w:lang w:val="en-US" w:eastAsia="zh-CN"/>
        </w:rPr>
        <w:t>7</w:t>
      </w:r>
      <w:r>
        <w:rPr>
          <w:rFonts w:ascii="Times New Roman"/>
          <w:sz w:val="24"/>
          <w:szCs w:val="24"/>
          <w:highlight w:val="none"/>
        </w:rPr>
        <w:t>章，主要内容包括：总则、术语、基本规定、</w:t>
      </w:r>
      <w:r>
        <w:rPr>
          <w:rFonts w:hint="eastAsia" w:ascii="Times New Roman"/>
          <w:sz w:val="24"/>
          <w:szCs w:val="24"/>
          <w:highlight w:val="none"/>
          <w:lang w:val="en-US" w:eastAsia="zh-CN"/>
        </w:rPr>
        <w:t>安全性评价</w:t>
      </w:r>
      <w:r>
        <w:rPr>
          <w:rFonts w:ascii="Times New Roman"/>
          <w:sz w:val="24"/>
          <w:szCs w:val="24"/>
          <w:highlight w:val="none"/>
        </w:rPr>
        <w:t>、</w:t>
      </w:r>
      <w:r>
        <w:rPr>
          <w:rFonts w:hint="eastAsia" w:ascii="Times New Roman"/>
          <w:sz w:val="24"/>
          <w:szCs w:val="24"/>
          <w:highlight w:val="none"/>
          <w:lang w:val="en-US" w:eastAsia="zh-CN"/>
        </w:rPr>
        <w:t>功能性评价、节能性评价和总体评价。</w:t>
      </w:r>
    </w:p>
    <w:p w14:paraId="034B3311">
      <w:pPr>
        <w:pStyle w:val="57"/>
        <w:spacing w:line="360" w:lineRule="auto"/>
        <w:ind w:firstLine="480"/>
        <w:rPr>
          <w:rFonts w:ascii="Times New Roman"/>
          <w:sz w:val="24"/>
          <w:szCs w:val="24"/>
          <w:highlight w:val="none"/>
        </w:rPr>
      </w:pPr>
      <w:r>
        <w:rPr>
          <w:rFonts w:ascii="Times New Roman"/>
          <w:sz w:val="24"/>
          <w:szCs w:val="24"/>
          <w:highlight w:val="none"/>
        </w:rPr>
        <w:t>本标准的某些内容可能直接或间接涉及专利，本标准的发布机构不承担识别这些专利的责任。</w:t>
      </w:r>
    </w:p>
    <w:p w14:paraId="2E21BC95">
      <w:pPr>
        <w:pStyle w:val="57"/>
        <w:spacing w:line="360" w:lineRule="auto"/>
        <w:ind w:firstLine="480"/>
        <w:rPr>
          <w:rFonts w:ascii="Times New Roman"/>
          <w:sz w:val="24"/>
          <w:szCs w:val="24"/>
          <w:highlight w:val="none"/>
        </w:rPr>
      </w:pPr>
      <w:r>
        <w:rPr>
          <w:rFonts w:ascii="Times New Roman"/>
          <w:sz w:val="24"/>
          <w:szCs w:val="24"/>
          <w:highlight w:val="none"/>
        </w:rPr>
        <w:t>本标准由中国工程建设标准化协会建筑环境与节能专业委员会归口管理，由建科环能科技有限公司负责具体技术内容解释。执行过程中，如有意见或建议，请反馈给建科环能科技有限公司（地址：北京市朝阳区北三环东路30号中国建筑科学研究院 环能院403，邮编：100013，邮箱：</w:t>
      </w:r>
      <w:r>
        <w:rPr>
          <w:highlight w:val="none"/>
        </w:rPr>
        <w:fldChar w:fldCharType="begin"/>
      </w:r>
      <w:r>
        <w:rPr>
          <w:highlight w:val="none"/>
        </w:rPr>
        <w:instrText xml:space="preserve"> HYPERLINK "mailto:lihuai@chinaibee.com" </w:instrText>
      </w:r>
      <w:r>
        <w:rPr>
          <w:highlight w:val="none"/>
        </w:rPr>
        <w:fldChar w:fldCharType="separate"/>
      </w:r>
      <w:r>
        <w:rPr>
          <w:rStyle w:val="41"/>
          <w:sz w:val="24"/>
          <w:szCs w:val="24"/>
          <w:highlight w:val="none"/>
        </w:rPr>
        <w:t>lihuai@chinaibee.com</w:t>
      </w:r>
      <w:r>
        <w:rPr>
          <w:rStyle w:val="41"/>
          <w:sz w:val="24"/>
          <w:szCs w:val="24"/>
          <w:highlight w:val="none"/>
        </w:rPr>
        <w:fldChar w:fldCharType="end"/>
      </w:r>
      <w:r>
        <w:rPr>
          <w:rFonts w:ascii="Times New Roman"/>
          <w:sz w:val="24"/>
          <w:szCs w:val="24"/>
          <w:highlight w:val="none"/>
        </w:rPr>
        <w:t>）。</w:t>
      </w:r>
    </w:p>
    <w:tbl>
      <w:tblPr>
        <w:tblStyle w:val="29"/>
        <w:tblpPr w:leftFromText="180" w:rightFromText="180" w:vertAnchor="text" w:tblpX="-39" w:tblpY="1"/>
        <w:tblOverlap w:val="never"/>
        <w:tblW w:w="949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80"/>
        <w:gridCol w:w="7513"/>
      </w:tblGrid>
      <w:tr w14:paraId="38281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1980" w:type="dxa"/>
          </w:tcPr>
          <w:p w14:paraId="66B9ED6A">
            <w:pPr>
              <w:spacing w:line="400" w:lineRule="exact"/>
              <w:ind w:left="-115" w:leftChars="-55" w:firstLine="426" w:firstLineChars="202"/>
              <w:jc w:val="distribute"/>
              <w:rPr>
                <w:b/>
                <w:highlight w:val="none"/>
              </w:rPr>
            </w:pPr>
            <w:r>
              <w:rPr>
                <w:b/>
                <w:highlight w:val="none"/>
              </w:rPr>
              <w:t>主编单位</w:t>
            </w:r>
            <w:r>
              <w:rPr>
                <w:rFonts w:hint="eastAsia"/>
                <w:b/>
                <w:highlight w:val="none"/>
              </w:rPr>
              <w:t>：</w:t>
            </w:r>
          </w:p>
        </w:tc>
        <w:tc>
          <w:tcPr>
            <w:tcW w:w="7513" w:type="dxa"/>
          </w:tcPr>
          <w:p w14:paraId="06556EE2">
            <w:pPr>
              <w:spacing w:line="400" w:lineRule="exact"/>
              <w:ind w:firstLine="105" w:firstLineChars="50"/>
              <w:rPr>
                <w:szCs w:val="21"/>
                <w:highlight w:val="none"/>
              </w:rPr>
            </w:pPr>
          </w:p>
        </w:tc>
      </w:tr>
      <w:tr w14:paraId="1EDDF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3" w:hRule="atLeast"/>
        </w:trPr>
        <w:tc>
          <w:tcPr>
            <w:tcW w:w="1980" w:type="dxa"/>
          </w:tcPr>
          <w:p w14:paraId="0EB819D2">
            <w:pPr>
              <w:spacing w:line="400" w:lineRule="exact"/>
              <w:ind w:left="-115" w:leftChars="-55" w:firstLine="426" w:firstLineChars="202"/>
              <w:jc w:val="distribute"/>
              <w:rPr>
                <w:b/>
                <w:highlight w:val="none"/>
              </w:rPr>
            </w:pPr>
            <w:r>
              <w:rPr>
                <w:rFonts w:hint="eastAsia"/>
                <w:b/>
                <w:highlight w:val="none"/>
              </w:rPr>
              <w:t>参编单位：</w:t>
            </w:r>
          </w:p>
        </w:tc>
        <w:tc>
          <w:tcPr>
            <w:tcW w:w="7513" w:type="dxa"/>
          </w:tcPr>
          <w:tbl>
            <w:tblPr>
              <w:tblStyle w:val="28"/>
              <w:tblW w:w="3690" w:type="dxa"/>
              <w:tblInd w:w="0" w:type="dxa"/>
              <w:tblLayout w:type="autofit"/>
              <w:tblCellMar>
                <w:top w:w="0" w:type="dxa"/>
                <w:left w:w="108" w:type="dxa"/>
                <w:bottom w:w="0" w:type="dxa"/>
                <w:right w:w="108" w:type="dxa"/>
              </w:tblCellMar>
            </w:tblPr>
            <w:tblGrid>
              <w:gridCol w:w="3690"/>
            </w:tblGrid>
            <w:tr w14:paraId="148A143A">
              <w:tblPrEx>
                <w:tblCellMar>
                  <w:top w:w="0" w:type="dxa"/>
                  <w:left w:w="108" w:type="dxa"/>
                  <w:bottom w:w="0" w:type="dxa"/>
                  <w:right w:w="108" w:type="dxa"/>
                </w:tblCellMar>
              </w:tblPrEx>
              <w:trPr>
                <w:trHeight w:val="340" w:hRule="atLeast"/>
              </w:trPr>
              <w:tc>
                <w:tcPr>
                  <w:tcW w:w="3690" w:type="dxa"/>
                  <w:shd w:val="clear" w:color="auto" w:fill="auto"/>
                  <w:vAlign w:val="center"/>
                </w:tcPr>
                <w:p w14:paraId="5CA08039">
                  <w:pPr>
                    <w:widowControl/>
                    <w:jc w:val="left"/>
                    <w:rPr>
                      <w:rFonts w:ascii="宋体" w:hAnsi="宋体" w:cs="宋体"/>
                      <w:color w:val="000000"/>
                      <w:kern w:val="0"/>
                      <w:szCs w:val="21"/>
                      <w:highlight w:val="none"/>
                    </w:rPr>
                  </w:pPr>
                </w:p>
              </w:tc>
            </w:tr>
            <w:tr w14:paraId="530514B1">
              <w:tblPrEx>
                <w:tblCellMar>
                  <w:top w:w="0" w:type="dxa"/>
                  <w:left w:w="108" w:type="dxa"/>
                  <w:bottom w:w="0" w:type="dxa"/>
                  <w:right w:w="108" w:type="dxa"/>
                </w:tblCellMar>
              </w:tblPrEx>
              <w:trPr>
                <w:trHeight w:val="340" w:hRule="atLeast"/>
              </w:trPr>
              <w:tc>
                <w:tcPr>
                  <w:tcW w:w="3690" w:type="dxa"/>
                  <w:shd w:val="clear" w:color="auto" w:fill="auto"/>
                  <w:vAlign w:val="center"/>
                </w:tcPr>
                <w:p w14:paraId="53FA52F3">
                  <w:pPr>
                    <w:widowControl/>
                    <w:jc w:val="left"/>
                    <w:rPr>
                      <w:rFonts w:ascii="宋体" w:hAnsi="宋体" w:cs="宋体"/>
                      <w:color w:val="000000"/>
                      <w:kern w:val="0"/>
                      <w:szCs w:val="21"/>
                      <w:highlight w:val="none"/>
                    </w:rPr>
                  </w:pPr>
                </w:p>
              </w:tc>
            </w:tr>
            <w:tr w14:paraId="60ABCC93">
              <w:tblPrEx>
                <w:tblCellMar>
                  <w:top w:w="0" w:type="dxa"/>
                  <w:left w:w="108" w:type="dxa"/>
                  <w:bottom w:w="0" w:type="dxa"/>
                  <w:right w:w="108" w:type="dxa"/>
                </w:tblCellMar>
              </w:tblPrEx>
              <w:trPr>
                <w:trHeight w:val="340" w:hRule="atLeast"/>
              </w:trPr>
              <w:tc>
                <w:tcPr>
                  <w:tcW w:w="3690" w:type="dxa"/>
                  <w:shd w:val="clear" w:color="auto" w:fill="auto"/>
                  <w:vAlign w:val="center"/>
                </w:tcPr>
                <w:p w14:paraId="36BE5E92">
                  <w:pPr>
                    <w:widowControl/>
                    <w:jc w:val="left"/>
                    <w:rPr>
                      <w:rFonts w:ascii="宋体" w:hAnsi="宋体" w:cs="宋体"/>
                      <w:color w:val="000000"/>
                      <w:kern w:val="0"/>
                      <w:szCs w:val="21"/>
                      <w:highlight w:val="none"/>
                    </w:rPr>
                  </w:pPr>
                </w:p>
              </w:tc>
            </w:tr>
          </w:tbl>
          <w:p w14:paraId="772AF0ED">
            <w:pPr>
              <w:spacing w:line="400" w:lineRule="exact"/>
              <w:rPr>
                <w:highlight w:val="none"/>
              </w:rPr>
            </w:pPr>
          </w:p>
        </w:tc>
      </w:tr>
      <w:tr w14:paraId="01088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3" w:hRule="atLeast"/>
        </w:trPr>
        <w:tc>
          <w:tcPr>
            <w:tcW w:w="1980" w:type="dxa"/>
          </w:tcPr>
          <w:p w14:paraId="50523A02">
            <w:pPr>
              <w:spacing w:line="400" w:lineRule="exact"/>
              <w:ind w:left="-115" w:leftChars="-55" w:firstLine="426" w:firstLineChars="202"/>
              <w:jc w:val="distribute"/>
              <w:rPr>
                <w:highlight w:val="none"/>
              </w:rPr>
            </w:pPr>
            <w:r>
              <w:rPr>
                <w:b/>
                <w:highlight w:val="none"/>
              </w:rPr>
              <w:t>主要起草人：</w:t>
            </w:r>
            <w:r>
              <w:rPr>
                <w:highlight w:val="none"/>
              </w:rPr>
              <w:t xml:space="preserve"> </w:t>
            </w:r>
          </w:p>
        </w:tc>
        <w:tc>
          <w:tcPr>
            <w:tcW w:w="7513" w:type="dxa"/>
          </w:tcPr>
          <w:tbl>
            <w:tblPr>
              <w:tblStyle w:val="2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57"/>
              <w:gridCol w:w="1457"/>
              <w:gridCol w:w="1457"/>
              <w:gridCol w:w="1458"/>
              <w:gridCol w:w="1458"/>
            </w:tblGrid>
            <w:tr w14:paraId="4CD9B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57" w:type="dxa"/>
                  <w:vAlign w:val="center"/>
                </w:tcPr>
                <w:p w14:paraId="7D2DFE19">
                  <w:pPr>
                    <w:spacing w:line="400" w:lineRule="exact"/>
                    <w:rPr>
                      <w:rFonts w:ascii="宋体" w:hAnsi="宋体" w:cs="宋体"/>
                      <w:kern w:val="0"/>
                      <w:szCs w:val="21"/>
                      <w:highlight w:val="none"/>
                    </w:rPr>
                  </w:pPr>
                </w:p>
              </w:tc>
              <w:tc>
                <w:tcPr>
                  <w:tcW w:w="1457" w:type="dxa"/>
                  <w:vAlign w:val="center"/>
                </w:tcPr>
                <w:p w14:paraId="7F9C61C3">
                  <w:pPr>
                    <w:spacing w:line="400" w:lineRule="exact"/>
                    <w:rPr>
                      <w:rFonts w:ascii="宋体" w:hAnsi="宋体" w:cs="宋体"/>
                      <w:kern w:val="0"/>
                      <w:szCs w:val="21"/>
                      <w:highlight w:val="none"/>
                    </w:rPr>
                  </w:pPr>
                </w:p>
              </w:tc>
              <w:tc>
                <w:tcPr>
                  <w:tcW w:w="1457" w:type="dxa"/>
                  <w:vAlign w:val="center"/>
                </w:tcPr>
                <w:p w14:paraId="233B8A76">
                  <w:pPr>
                    <w:spacing w:line="400" w:lineRule="exact"/>
                    <w:rPr>
                      <w:rFonts w:ascii="宋体" w:hAnsi="宋体" w:cs="宋体"/>
                      <w:kern w:val="0"/>
                      <w:szCs w:val="21"/>
                      <w:highlight w:val="none"/>
                    </w:rPr>
                  </w:pPr>
                </w:p>
              </w:tc>
              <w:tc>
                <w:tcPr>
                  <w:tcW w:w="1458" w:type="dxa"/>
                  <w:vAlign w:val="center"/>
                </w:tcPr>
                <w:p w14:paraId="19A80D25">
                  <w:pPr>
                    <w:spacing w:line="400" w:lineRule="exact"/>
                    <w:rPr>
                      <w:rFonts w:ascii="宋体" w:hAnsi="宋体" w:cs="宋体"/>
                      <w:kern w:val="0"/>
                      <w:szCs w:val="21"/>
                      <w:highlight w:val="none"/>
                    </w:rPr>
                  </w:pPr>
                </w:p>
              </w:tc>
              <w:tc>
                <w:tcPr>
                  <w:tcW w:w="1458" w:type="dxa"/>
                  <w:vAlign w:val="center"/>
                </w:tcPr>
                <w:p w14:paraId="6DC16DF3">
                  <w:pPr>
                    <w:spacing w:line="400" w:lineRule="exact"/>
                    <w:rPr>
                      <w:rFonts w:ascii="宋体" w:hAnsi="宋体" w:cs="宋体"/>
                      <w:kern w:val="0"/>
                      <w:szCs w:val="21"/>
                      <w:highlight w:val="none"/>
                    </w:rPr>
                  </w:pPr>
                </w:p>
              </w:tc>
            </w:tr>
            <w:tr w14:paraId="03056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1457" w:type="dxa"/>
                  <w:vAlign w:val="center"/>
                </w:tcPr>
                <w:p w14:paraId="4728BB6E">
                  <w:pPr>
                    <w:spacing w:line="400" w:lineRule="exact"/>
                    <w:rPr>
                      <w:rFonts w:ascii="宋体" w:hAnsi="宋体" w:cs="宋体"/>
                      <w:kern w:val="0"/>
                      <w:szCs w:val="21"/>
                      <w:highlight w:val="none"/>
                    </w:rPr>
                  </w:pPr>
                </w:p>
              </w:tc>
              <w:tc>
                <w:tcPr>
                  <w:tcW w:w="1457" w:type="dxa"/>
                  <w:vAlign w:val="center"/>
                </w:tcPr>
                <w:p w14:paraId="1E66690D">
                  <w:pPr>
                    <w:spacing w:line="400" w:lineRule="exact"/>
                    <w:rPr>
                      <w:rFonts w:ascii="宋体" w:hAnsi="宋体" w:cs="宋体"/>
                      <w:kern w:val="0"/>
                      <w:szCs w:val="21"/>
                      <w:highlight w:val="none"/>
                    </w:rPr>
                  </w:pPr>
                </w:p>
              </w:tc>
              <w:tc>
                <w:tcPr>
                  <w:tcW w:w="1457" w:type="dxa"/>
                  <w:vAlign w:val="center"/>
                </w:tcPr>
                <w:p w14:paraId="254AA703">
                  <w:pPr>
                    <w:spacing w:line="400" w:lineRule="exact"/>
                    <w:rPr>
                      <w:rFonts w:ascii="宋体" w:hAnsi="宋体" w:cs="宋体"/>
                      <w:kern w:val="0"/>
                      <w:szCs w:val="21"/>
                      <w:highlight w:val="none"/>
                    </w:rPr>
                  </w:pPr>
                </w:p>
              </w:tc>
              <w:tc>
                <w:tcPr>
                  <w:tcW w:w="1458" w:type="dxa"/>
                  <w:vAlign w:val="center"/>
                </w:tcPr>
                <w:p w14:paraId="0205FF67">
                  <w:pPr>
                    <w:spacing w:line="400" w:lineRule="exact"/>
                    <w:rPr>
                      <w:rFonts w:ascii="宋体" w:hAnsi="宋体" w:cs="宋体"/>
                      <w:kern w:val="0"/>
                      <w:szCs w:val="21"/>
                      <w:highlight w:val="none"/>
                    </w:rPr>
                  </w:pPr>
                </w:p>
              </w:tc>
              <w:tc>
                <w:tcPr>
                  <w:tcW w:w="1458" w:type="dxa"/>
                  <w:vAlign w:val="center"/>
                </w:tcPr>
                <w:p w14:paraId="5BA76732">
                  <w:pPr>
                    <w:spacing w:line="400" w:lineRule="exact"/>
                    <w:rPr>
                      <w:rFonts w:ascii="宋体" w:hAnsi="宋体" w:cs="宋体"/>
                      <w:kern w:val="0"/>
                      <w:szCs w:val="21"/>
                      <w:highlight w:val="none"/>
                    </w:rPr>
                  </w:pPr>
                </w:p>
              </w:tc>
            </w:tr>
          </w:tbl>
          <w:p w14:paraId="74B0C51B">
            <w:pPr>
              <w:tabs>
                <w:tab w:val="left" w:pos="1670"/>
              </w:tabs>
              <w:rPr>
                <w:rFonts w:ascii="宋体" w:hAnsi="宋体" w:cs="宋体"/>
                <w:szCs w:val="21"/>
                <w:highlight w:val="none"/>
              </w:rPr>
            </w:pPr>
          </w:p>
        </w:tc>
      </w:tr>
      <w:tr w14:paraId="5A9E24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980" w:type="dxa"/>
          </w:tcPr>
          <w:p w14:paraId="5D0507E8">
            <w:pPr>
              <w:spacing w:line="400" w:lineRule="exact"/>
              <w:ind w:left="-115" w:leftChars="-55" w:firstLine="426" w:firstLineChars="202"/>
              <w:jc w:val="distribute"/>
              <w:rPr>
                <w:b/>
                <w:highlight w:val="none"/>
              </w:rPr>
            </w:pPr>
            <w:r>
              <w:rPr>
                <w:b/>
                <w:highlight w:val="none"/>
              </w:rPr>
              <w:t>主要审查人：</w:t>
            </w:r>
          </w:p>
        </w:tc>
        <w:tc>
          <w:tcPr>
            <w:tcW w:w="7513" w:type="dxa"/>
          </w:tcPr>
          <w:tbl>
            <w:tblPr>
              <w:tblStyle w:val="29"/>
              <w:tblW w:w="72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57"/>
              <w:gridCol w:w="1457"/>
              <w:gridCol w:w="1457"/>
              <w:gridCol w:w="1457"/>
              <w:gridCol w:w="1437"/>
            </w:tblGrid>
            <w:tr w14:paraId="54DB41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 w:hRule="atLeast"/>
              </w:trPr>
              <w:tc>
                <w:tcPr>
                  <w:tcW w:w="1457" w:type="dxa"/>
                  <w:vAlign w:val="center"/>
                </w:tcPr>
                <w:p w14:paraId="0757D5DD">
                  <w:pPr>
                    <w:spacing w:line="400" w:lineRule="exact"/>
                    <w:rPr>
                      <w:rFonts w:ascii="宋体" w:hAnsi="宋体" w:cs="宋体"/>
                      <w:kern w:val="0"/>
                      <w:szCs w:val="21"/>
                      <w:highlight w:val="none"/>
                    </w:rPr>
                  </w:pPr>
                </w:p>
              </w:tc>
              <w:tc>
                <w:tcPr>
                  <w:tcW w:w="1457" w:type="dxa"/>
                  <w:vAlign w:val="center"/>
                </w:tcPr>
                <w:p w14:paraId="49C50D0A">
                  <w:pPr>
                    <w:spacing w:line="400" w:lineRule="exact"/>
                    <w:rPr>
                      <w:rFonts w:ascii="宋体" w:hAnsi="宋体" w:cs="宋体"/>
                      <w:kern w:val="0"/>
                      <w:szCs w:val="21"/>
                      <w:highlight w:val="none"/>
                    </w:rPr>
                  </w:pPr>
                </w:p>
              </w:tc>
              <w:tc>
                <w:tcPr>
                  <w:tcW w:w="1457" w:type="dxa"/>
                </w:tcPr>
                <w:p w14:paraId="5889DE7B">
                  <w:pPr>
                    <w:spacing w:line="400" w:lineRule="exact"/>
                    <w:rPr>
                      <w:rFonts w:ascii="宋体" w:hAnsi="宋体" w:cs="宋体"/>
                      <w:kern w:val="0"/>
                      <w:szCs w:val="21"/>
                      <w:highlight w:val="none"/>
                    </w:rPr>
                  </w:pPr>
                </w:p>
              </w:tc>
              <w:tc>
                <w:tcPr>
                  <w:tcW w:w="1457" w:type="dxa"/>
                </w:tcPr>
                <w:p w14:paraId="6AA8F0D3">
                  <w:pPr>
                    <w:spacing w:line="400" w:lineRule="exact"/>
                    <w:rPr>
                      <w:rFonts w:ascii="宋体" w:hAnsi="宋体" w:cs="宋体"/>
                      <w:kern w:val="0"/>
                      <w:szCs w:val="21"/>
                      <w:highlight w:val="none"/>
                    </w:rPr>
                  </w:pPr>
                </w:p>
              </w:tc>
              <w:tc>
                <w:tcPr>
                  <w:tcW w:w="1437" w:type="dxa"/>
                </w:tcPr>
                <w:p w14:paraId="5E84472A">
                  <w:pPr>
                    <w:spacing w:line="400" w:lineRule="exact"/>
                    <w:rPr>
                      <w:rFonts w:ascii="宋体" w:hAnsi="宋体" w:cs="宋体"/>
                      <w:kern w:val="0"/>
                      <w:szCs w:val="21"/>
                      <w:highlight w:val="none"/>
                    </w:rPr>
                  </w:pPr>
                </w:p>
              </w:tc>
            </w:tr>
            <w:tr w14:paraId="357A0E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7" w:hRule="atLeast"/>
              </w:trPr>
              <w:tc>
                <w:tcPr>
                  <w:tcW w:w="1457" w:type="dxa"/>
                  <w:vAlign w:val="center"/>
                </w:tcPr>
                <w:p w14:paraId="712A92AF">
                  <w:pPr>
                    <w:spacing w:line="400" w:lineRule="exact"/>
                    <w:rPr>
                      <w:rFonts w:ascii="宋体" w:hAnsi="宋体" w:cs="宋体"/>
                      <w:kern w:val="0"/>
                      <w:szCs w:val="21"/>
                      <w:highlight w:val="none"/>
                    </w:rPr>
                  </w:pPr>
                </w:p>
              </w:tc>
              <w:tc>
                <w:tcPr>
                  <w:tcW w:w="1457" w:type="dxa"/>
                  <w:vAlign w:val="center"/>
                </w:tcPr>
                <w:p w14:paraId="4669E48C">
                  <w:pPr>
                    <w:spacing w:line="400" w:lineRule="exact"/>
                    <w:rPr>
                      <w:rFonts w:ascii="宋体" w:hAnsi="宋体" w:cs="宋体"/>
                      <w:kern w:val="0"/>
                      <w:szCs w:val="21"/>
                      <w:highlight w:val="none"/>
                    </w:rPr>
                  </w:pPr>
                </w:p>
              </w:tc>
              <w:tc>
                <w:tcPr>
                  <w:tcW w:w="1457" w:type="dxa"/>
                </w:tcPr>
                <w:p w14:paraId="2CE9D6F5">
                  <w:pPr>
                    <w:spacing w:line="400" w:lineRule="exact"/>
                    <w:rPr>
                      <w:rFonts w:ascii="宋体" w:hAnsi="宋体" w:cs="宋体"/>
                      <w:kern w:val="0"/>
                      <w:szCs w:val="21"/>
                      <w:highlight w:val="none"/>
                    </w:rPr>
                  </w:pPr>
                </w:p>
              </w:tc>
              <w:tc>
                <w:tcPr>
                  <w:tcW w:w="1457" w:type="dxa"/>
                </w:tcPr>
                <w:p w14:paraId="1F56A7C2">
                  <w:pPr>
                    <w:spacing w:line="400" w:lineRule="exact"/>
                    <w:rPr>
                      <w:rFonts w:ascii="宋体" w:hAnsi="宋体" w:cs="宋体"/>
                      <w:kern w:val="0"/>
                      <w:szCs w:val="21"/>
                      <w:highlight w:val="none"/>
                    </w:rPr>
                  </w:pPr>
                </w:p>
              </w:tc>
              <w:tc>
                <w:tcPr>
                  <w:tcW w:w="1437" w:type="dxa"/>
                </w:tcPr>
                <w:p w14:paraId="576BE4A1">
                  <w:pPr>
                    <w:spacing w:line="400" w:lineRule="exact"/>
                    <w:rPr>
                      <w:rFonts w:ascii="宋体" w:hAnsi="宋体" w:cs="宋体"/>
                      <w:kern w:val="0"/>
                      <w:szCs w:val="21"/>
                      <w:highlight w:val="none"/>
                    </w:rPr>
                  </w:pPr>
                </w:p>
              </w:tc>
            </w:tr>
          </w:tbl>
          <w:p w14:paraId="795A58A6">
            <w:pPr>
              <w:spacing w:line="400" w:lineRule="exact"/>
              <w:rPr>
                <w:szCs w:val="21"/>
                <w:highlight w:val="none"/>
              </w:rPr>
            </w:pPr>
          </w:p>
        </w:tc>
      </w:tr>
    </w:tbl>
    <w:p w14:paraId="7AC248C1">
      <w:pPr>
        <w:pStyle w:val="57"/>
        <w:spacing w:line="360" w:lineRule="auto"/>
        <w:ind w:firstLine="480"/>
        <w:rPr>
          <w:rFonts w:ascii="Times New Roman"/>
          <w:sz w:val="24"/>
          <w:szCs w:val="24"/>
          <w:highlight w:val="none"/>
        </w:rPr>
      </w:pPr>
    </w:p>
    <w:p w14:paraId="72A23217">
      <w:pPr>
        <w:rPr>
          <w:highlight w:val="none"/>
        </w:rPr>
      </w:pPr>
    </w:p>
    <w:p w14:paraId="4E2AD6DB">
      <w:pPr>
        <w:rPr>
          <w:highlight w:val="none"/>
        </w:rPr>
      </w:pPr>
    </w:p>
    <w:p w14:paraId="2E13A588">
      <w:pPr>
        <w:widowControl/>
        <w:jc w:val="left"/>
        <w:rPr>
          <w:highlight w:val="none"/>
        </w:rPr>
      </w:pPr>
      <w:r>
        <w:rPr>
          <w:highlight w:val="none"/>
        </w:rPr>
        <w:br w:type="page"/>
      </w:r>
    </w:p>
    <w:bookmarkEnd w:id="1"/>
    <w:p w14:paraId="443645EA">
      <w:pPr>
        <w:pStyle w:val="21"/>
        <w:tabs>
          <w:tab w:val="right" w:leader="dot" w:pos="8952"/>
        </w:tabs>
        <w:spacing w:before="156" w:beforeLines="50" w:after="468" w:afterLines="150"/>
        <w:jc w:val="center"/>
        <w:rPr>
          <w:rFonts w:eastAsia="黑体"/>
          <w:sz w:val="28"/>
          <w:szCs w:val="28"/>
          <w:highlight w:val="none"/>
        </w:rPr>
      </w:pPr>
      <w:bookmarkStart w:id="11" w:name="SectionMark2"/>
      <w:r>
        <w:rPr>
          <w:rFonts w:eastAsia="黑体"/>
          <w:kern w:val="0"/>
          <w:sz w:val="28"/>
          <w:szCs w:val="28"/>
          <w:highlight w:val="none"/>
        </w:rPr>
        <w:t>目  次</w:t>
      </w:r>
    </w:p>
    <w:p w14:paraId="6FA093C6">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sz w:val="24"/>
          <w:szCs w:val="24"/>
          <w:highlight w:val="none"/>
        </w:rPr>
      </w:pPr>
      <w:r>
        <w:rPr>
          <w:sz w:val="24"/>
          <w:highlight w:val="none"/>
        </w:rPr>
        <w:fldChar w:fldCharType="begin"/>
      </w:r>
      <w:r>
        <w:rPr>
          <w:sz w:val="24"/>
          <w:highlight w:val="none"/>
        </w:rPr>
        <w:instrText xml:space="preserve"> TOC \o "1-3" \h \z \u </w:instrText>
      </w:r>
      <w:r>
        <w:rPr>
          <w:sz w:val="24"/>
          <w:highlight w:val="none"/>
        </w:rPr>
        <w:fldChar w:fldCharType="separate"/>
      </w: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_Toc27647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kern w:val="0"/>
          <w:sz w:val="24"/>
          <w:szCs w:val="24"/>
          <w:highlight w:val="none"/>
        </w:rPr>
        <w:t>1 总则</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_Toc27647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1</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6EAF7F92">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_Toc12438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kern w:val="0"/>
          <w:sz w:val="24"/>
          <w:szCs w:val="24"/>
          <w:highlight w:val="none"/>
        </w:rPr>
        <w:t>2 术语</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_Toc12438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2</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723C9B99">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_Toc25167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kern w:val="0"/>
          <w:sz w:val="24"/>
          <w:szCs w:val="24"/>
          <w:highlight w:val="none"/>
        </w:rPr>
        <w:t>3</w:t>
      </w:r>
      <w:r>
        <w:rPr>
          <w:rFonts w:hint="default" w:ascii="Times New Roman" w:hAnsi="Times New Roman" w:eastAsia="宋体" w:cs="Times New Roman"/>
          <w:b w:val="0"/>
          <w:bCs/>
          <w:kern w:val="0"/>
          <w:sz w:val="24"/>
          <w:szCs w:val="24"/>
          <w:highlight w:val="none"/>
          <w:lang w:val="en-US" w:eastAsia="zh-CN"/>
        </w:rPr>
        <w:t xml:space="preserve"> </w:t>
      </w:r>
      <w:r>
        <w:rPr>
          <w:rFonts w:hint="default" w:ascii="Times New Roman" w:hAnsi="Times New Roman" w:eastAsia="宋体" w:cs="Times New Roman"/>
          <w:b w:val="0"/>
          <w:bCs/>
          <w:kern w:val="0"/>
          <w:sz w:val="24"/>
          <w:szCs w:val="24"/>
          <w:highlight w:val="none"/>
        </w:rPr>
        <w:t xml:space="preserve"> 基本规定</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_Toc25167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3</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40466460">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_Toc28120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kern w:val="0"/>
          <w:sz w:val="24"/>
          <w:szCs w:val="24"/>
          <w:highlight w:val="none"/>
        </w:rPr>
        <w:t xml:space="preserve">4 </w:t>
      </w:r>
      <w:r>
        <w:rPr>
          <w:rFonts w:hint="default" w:ascii="Times New Roman" w:hAnsi="Times New Roman" w:eastAsia="宋体" w:cs="Times New Roman"/>
          <w:b w:val="0"/>
          <w:bCs/>
          <w:kern w:val="0"/>
          <w:sz w:val="24"/>
          <w:szCs w:val="24"/>
          <w:highlight w:val="none"/>
          <w:lang w:val="en-US" w:eastAsia="zh-CN"/>
        </w:rPr>
        <w:t>安全性评价</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_Toc28120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4</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1A16E6D0">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_Toc19340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kern w:val="0"/>
          <w:sz w:val="24"/>
          <w:szCs w:val="24"/>
          <w:highlight w:val="none"/>
        </w:rPr>
        <w:t xml:space="preserve">5 </w:t>
      </w:r>
      <w:r>
        <w:rPr>
          <w:rFonts w:hint="default" w:ascii="Times New Roman" w:hAnsi="Times New Roman" w:eastAsia="宋体" w:cs="Times New Roman"/>
          <w:b w:val="0"/>
          <w:bCs/>
          <w:kern w:val="0"/>
          <w:sz w:val="24"/>
          <w:szCs w:val="24"/>
          <w:highlight w:val="none"/>
          <w:lang w:val="en-US" w:eastAsia="zh-CN"/>
        </w:rPr>
        <w:t>功能性评价</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_Toc19340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6</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16190F66">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_Toc18998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kern w:val="0"/>
          <w:sz w:val="24"/>
          <w:szCs w:val="24"/>
          <w:highlight w:val="none"/>
        </w:rPr>
        <w:t xml:space="preserve">6 </w:t>
      </w:r>
      <w:r>
        <w:rPr>
          <w:rFonts w:hint="default" w:ascii="Times New Roman" w:hAnsi="Times New Roman" w:eastAsia="宋体" w:cs="Times New Roman"/>
          <w:b w:val="0"/>
          <w:bCs/>
          <w:kern w:val="0"/>
          <w:sz w:val="24"/>
          <w:szCs w:val="24"/>
          <w:highlight w:val="none"/>
          <w:lang w:val="en-US" w:eastAsia="zh-CN"/>
        </w:rPr>
        <w:t>节能性评价</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_Toc18998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8</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726F5F5D">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_Toc31960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kern w:val="0"/>
          <w:sz w:val="24"/>
          <w:szCs w:val="24"/>
          <w:highlight w:val="none"/>
        </w:rPr>
        <w:t xml:space="preserve">7 </w:t>
      </w:r>
      <w:r>
        <w:rPr>
          <w:rFonts w:hint="default" w:ascii="Times New Roman" w:hAnsi="Times New Roman" w:eastAsia="宋体" w:cs="Times New Roman"/>
          <w:b w:val="0"/>
          <w:bCs/>
          <w:kern w:val="0"/>
          <w:sz w:val="24"/>
          <w:szCs w:val="24"/>
          <w:highlight w:val="none"/>
          <w:lang w:val="en-US" w:eastAsia="zh-CN"/>
        </w:rPr>
        <w:t>总体评价</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_Toc31960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11</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182B7DD0">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rFonts w:hint="default" w:ascii="Times New Roman" w:hAnsi="Times New Roman" w:eastAsia="宋体" w:cs="Times New Roman"/>
          <w:b w:val="0"/>
          <w:bCs/>
          <w:sz w:val="24"/>
          <w:szCs w:val="24"/>
          <w:highlight w:val="none"/>
        </w:rPr>
      </w:pP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_Toc14142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sz w:val="24"/>
          <w:szCs w:val="24"/>
          <w:highlight w:val="none"/>
        </w:rPr>
        <w:t>用词说明</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_Toc14142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14</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7E60103B">
      <w:pPr>
        <w:pStyle w:val="21"/>
        <w:keepNext w:val="0"/>
        <w:keepLines w:val="0"/>
        <w:pageBreakBefore w:val="0"/>
        <w:widowControl w:val="0"/>
        <w:tabs>
          <w:tab w:val="right" w:leader="dot" w:pos="9355"/>
        </w:tabs>
        <w:kinsoku/>
        <w:wordWrap/>
        <w:overflowPunct/>
        <w:topLinePunct w:val="0"/>
        <w:autoSpaceDE/>
        <w:autoSpaceDN/>
        <w:bidi w:val="0"/>
        <w:adjustRightInd/>
        <w:snapToGrid w:val="0"/>
        <w:spacing w:line="360" w:lineRule="auto"/>
        <w:textAlignment w:val="auto"/>
        <w:rPr>
          <w:highlight w:val="none"/>
        </w:rPr>
      </w:pPr>
      <w:r>
        <w:rPr>
          <w:rFonts w:hint="default" w:ascii="Times New Roman" w:hAnsi="Times New Roman" w:eastAsia="宋体" w:cs="Times New Roman"/>
          <w:b w:val="0"/>
          <w:bCs/>
          <w:sz w:val="24"/>
          <w:szCs w:val="24"/>
          <w:highlight w:val="none"/>
          <w:lang w:val="zh-CN"/>
        </w:rPr>
        <w:fldChar w:fldCharType="begin"/>
      </w:r>
      <w:r>
        <w:rPr>
          <w:rFonts w:hint="default" w:ascii="Times New Roman" w:hAnsi="Times New Roman" w:eastAsia="宋体" w:cs="Times New Roman"/>
          <w:b w:val="0"/>
          <w:bCs/>
          <w:sz w:val="24"/>
          <w:szCs w:val="24"/>
          <w:highlight w:val="none"/>
          <w:lang w:val="zh-CN"/>
        </w:rPr>
        <w:instrText xml:space="preserve"> HYPERLINK \l _Toc13980 </w:instrText>
      </w:r>
      <w:r>
        <w:rPr>
          <w:rFonts w:hint="default" w:ascii="Times New Roman" w:hAnsi="Times New Roman" w:eastAsia="宋体" w:cs="Times New Roman"/>
          <w:b w:val="0"/>
          <w:bCs/>
          <w:sz w:val="24"/>
          <w:szCs w:val="24"/>
          <w:highlight w:val="none"/>
          <w:lang w:val="zh-CN"/>
        </w:rPr>
        <w:fldChar w:fldCharType="separate"/>
      </w:r>
      <w:r>
        <w:rPr>
          <w:rFonts w:hint="default" w:ascii="Times New Roman" w:hAnsi="Times New Roman" w:eastAsia="宋体" w:cs="Times New Roman"/>
          <w:b w:val="0"/>
          <w:bCs/>
          <w:sz w:val="24"/>
          <w:szCs w:val="24"/>
          <w:highlight w:val="none"/>
        </w:rPr>
        <w:t>引用标准名录</w:t>
      </w:r>
      <w:r>
        <w:rPr>
          <w:rFonts w:hint="default" w:ascii="Times New Roman" w:hAnsi="Times New Roman" w:eastAsia="宋体" w:cs="Times New Roman"/>
          <w:b w:val="0"/>
          <w:bCs/>
          <w:sz w:val="24"/>
          <w:szCs w:val="24"/>
          <w:highlight w:val="none"/>
        </w:rPr>
        <w:tab/>
      </w:r>
      <w:r>
        <w:rPr>
          <w:rFonts w:hint="default" w:ascii="Times New Roman" w:hAnsi="Times New Roman" w:eastAsia="宋体" w:cs="Times New Roman"/>
          <w:b w:val="0"/>
          <w:bCs/>
          <w:sz w:val="24"/>
          <w:szCs w:val="24"/>
          <w:highlight w:val="none"/>
        </w:rPr>
        <w:fldChar w:fldCharType="begin"/>
      </w:r>
      <w:r>
        <w:rPr>
          <w:rFonts w:hint="default" w:ascii="Times New Roman" w:hAnsi="Times New Roman" w:eastAsia="宋体" w:cs="Times New Roman"/>
          <w:b w:val="0"/>
          <w:bCs/>
          <w:sz w:val="24"/>
          <w:szCs w:val="24"/>
          <w:highlight w:val="none"/>
        </w:rPr>
        <w:instrText xml:space="preserve"> PAGEREF _Toc13980 \h </w:instrText>
      </w:r>
      <w:r>
        <w:rPr>
          <w:rFonts w:hint="default" w:ascii="Times New Roman" w:hAnsi="Times New Roman" w:eastAsia="宋体" w:cs="Times New Roman"/>
          <w:b w:val="0"/>
          <w:bCs/>
          <w:sz w:val="24"/>
          <w:szCs w:val="24"/>
          <w:highlight w:val="none"/>
        </w:rPr>
        <w:fldChar w:fldCharType="separate"/>
      </w:r>
      <w:r>
        <w:rPr>
          <w:rFonts w:hint="default" w:ascii="Times New Roman" w:hAnsi="Times New Roman" w:eastAsia="宋体" w:cs="Times New Roman"/>
          <w:b w:val="0"/>
          <w:bCs/>
          <w:sz w:val="24"/>
          <w:szCs w:val="24"/>
          <w:highlight w:val="none"/>
        </w:rPr>
        <w:t>15</w:t>
      </w:r>
      <w:r>
        <w:rPr>
          <w:rFonts w:hint="default" w:ascii="Times New Roman" w:hAnsi="Times New Roman" w:eastAsia="宋体" w:cs="Times New Roman"/>
          <w:b w:val="0"/>
          <w:bCs/>
          <w:sz w:val="24"/>
          <w:szCs w:val="24"/>
          <w:highlight w:val="none"/>
        </w:rPr>
        <w:fldChar w:fldCharType="end"/>
      </w:r>
      <w:r>
        <w:rPr>
          <w:rFonts w:hint="default" w:ascii="Times New Roman" w:hAnsi="Times New Roman" w:eastAsia="宋体" w:cs="Times New Roman"/>
          <w:b w:val="0"/>
          <w:bCs/>
          <w:sz w:val="24"/>
          <w:szCs w:val="24"/>
          <w:highlight w:val="none"/>
          <w:lang w:val="zh-CN"/>
        </w:rPr>
        <w:fldChar w:fldCharType="end"/>
      </w:r>
    </w:p>
    <w:p w14:paraId="7CA0FEAD">
      <w:pPr>
        <w:spacing w:line="360" w:lineRule="auto"/>
        <w:rPr>
          <w:rStyle w:val="41"/>
          <w:highlight w:val="none"/>
        </w:rPr>
      </w:pPr>
      <w:r>
        <w:rPr>
          <w:b/>
          <w:bCs/>
          <w:sz w:val="24"/>
          <w:highlight w:val="none"/>
          <w:lang w:val="zh-CN"/>
        </w:rPr>
        <w:fldChar w:fldCharType="end"/>
      </w:r>
      <w:bookmarkStart w:id="43" w:name="_GoBack"/>
      <w:bookmarkEnd w:id="43"/>
      <w:r>
        <w:rPr>
          <w:bCs/>
          <w:kern w:val="0"/>
          <w:sz w:val="24"/>
          <w:highlight w:val="none"/>
        </w:rPr>
        <w:t>附：条文说明</w:t>
      </w:r>
    </w:p>
    <w:p w14:paraId="3C6A7C52">
      <w:pPr>
        <w:rPr>
          <w:highlight w:val="none"/>
        </w:rPr>
      </w:pPr>
      <w:r>
        <w:rPr>
          <w:highlight w:val="none"/>
        </w:rPr>
        <w:br w:type="page"/>
      </w:r>
    </w:p>
    <w:p w14:paraId="632E55B7">
      <w:pPr>
        <w:pStyle w:val="21"/>
        <w:tabs>
          <w:tab w:val="right" w:leader="dot" w:pos="8952"/>
        </w:tabs>
        <w:spacing w:before="156" w:beforeLines="50" w:after="468" w:afterLines="150"/>
        <w:jc w:val="center"/>
        <w:rPr>
          <w:rFonts w:eastAsia="黑体"/>
          <w:sz w:val="28"/>
          <w:szCs w:val="28"/>
          <w:highlight w:val="none"/>
        </w:rPr>
      </w:pPr>
      <w:r>
        <w:rPr>
          <w:rFonts w:eastAsia="黑体"/>
          <w:kern w:val="0"/>
          <w:sz w:val="28"/>
          <w:szCs w:val="28"/>
          <w:highlight w:val="none"/>
        </w:rPr>
        <w:t>Contents</w:t>
      </w:r>
    </w:p>
    <w:sdt>
      <w:sdtPr>
        <w:rPr>
          <w:rFonts w:ascii="Times New Roman" w:hAnsi="Times New Roman" w:eastAsia="宋体" w:cs="Times New Roman"/>
          <w:color w:val="auto"/>
          <w:kern w:val="2"/>
          <w:sz w:val="21"/>
          <w:szCs w:val="24"/>
          <w:highlight w:val="none"/>
          <w:lang w:val="zh-CN"/>
        </w:rPr>
        <w:id w:val="2109533723"/>
        <w:docPartObj>
          <w:docPartGallery w:val="Table of Contents"/>
          <w:docPartUnique/>
        </w:docPartObj>
      </w:sdtPr>
      <w:sdtEndPr>
        <w:rPr>
          <w:rFonts w:ascii="Times New Roman" w:hAnsi="Times New Roman" w:eastAsia="宋体" w:cs="Times New Roman"/>
          <w:b/>
          <w:bCs/>
          <w:color w:val="auto"/>
          <w:kern w:val="2"/>
          <w:sz w:val="21"/>
          <w:szCs w:val="24"/>
          <w:highlight w:val="none"/>
          <w:lang w:val="zh-CN"/>
        </w:rPr>
      </w:sdtEndPr>
      <w:sdtContent>
        <w:p w14:paraId="04694E5F">
          <w:pPr>
            <w:pStyle w:val="21"/>
            <w:tabs>
              <w:tab w:val="left" w:pos="420"/>
              <w:tab w:val="right" w:leader="dot" w:pos="9345"/>
            </w:tabs>
            <w:spacing w:line="360" w:lineRule="auto"/>
          </w:pPr>
        </w:p>
        <w:sdt>
          <w:sdtPr>
            <w:rPr>
              <w:rFonts w:ascii="Times New Roman" w:hAnsi="Times New Roman" w:eastAsia="宋体" w:cs="Times New Roman"/>
              <w:color w:val="auto"/>
              <w:kern w:val="2"/>
              <w:sz w:val="21"/>
              <w:szCs w:val="24"/>
              <w:highlight w:val="none"/>
              <w:lang w:val="zh-CN"/>
            </w:rPr>
            <w:id w:val="-12768466"/>
            <w:docPartObj>
              <w:docPartGallery w:val="Table of Contents"/>
              <w:docPartUnique/>
            </w:docPartObj>
          </w:sdtPr>
          <w:sdtEndPr>
            <w:rPr>
              <w:rFonts w:ascii="Times New Roman" w:hAnsi="Times New Roman" w:eastAsia="宋体" w:cs="Times New Roman"/>
              <w:b/>
              <w:bCs/>
              <w:color w:val="auto"/>
              <w:kern w:val="2"/>
              <w:sz w:val="21"/>
              <w:szCs w:val="24"/>
              <w:highlight w:val="none"/>
              <w:lang w:val="zh-CN"/>
            </w:rPr>
          </w:sdtEndPr>
          <w:sdtContent>
            <w:p w14:paraId="38DC9630">
              <w:pPr>
                <w:pStyle w:val="162"/>
                <w:spacing w:before="0" w:line="360" w:lineRule="auto"/>
                <w:rPr>
                  <w:rFonts w:ascii="Times New Roman" w:hAnsi="Times New Roman" w:cs="Times New Roman"/>
                  <w:sz w:val="24"/>
                  <w:szCs w:val="24"/>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TOC \o "1-3" \h \z \u </w:instrText>
              </w:r>
              <w:r>
                <w:rPr>
                  <w:rFonts w:ascii="Times New Roman" w:hAnsi="Times New Roman" w:cs="Times New Roman"/>
                  <w:highlight w:val="none"/>
                </w:rPr>
                <w:fldChar w:fldCharType="separate"/>
              </w:r>
            </w:p>
            <w:p w14:paraId="785CEB19">
              <w:pPr>
                <w:pStyle w:val="21"/>
                <w:tabs>
                  <w:tab w:val="left" w:pos="420"/>
                  <w:tab w:val="right" w:leader="dot" w:pos="9345"/>
                </w:tabs>
                <w:spacing w:line="360" w:lineRule="auto"/>
                <w:rPr>
                  <w:rStyle w:val="41"/>
                  <w:sz w:val="24"/>
                  <w:highlight w:val="none"/>
                </w:rPr>
              </w:pPr>
              <w:r>
                <w:rPr>
                  <w:highlight w:val="none"/>
                </w:rPr>
                <w:fldChar w:fldCharType="begin"/>
              </w:r>
              <w:r>
                <w:rPr>
                  <w:highlight w:val="none"/>
                </w:rPr>
                <w:instrText xml:space="preserve"> HYPERLINK \l "_Toc9363500" </w:instrText>
              </w:r>
              <w:r>
                <w:rPr>
                  <w:highlight w:val="none"/>
                </w:rPr>
                <w:fldChar w:fldCharType="separate"/>
              </w:r>
              <w:r>
                <w:rPr>
                  <w:rStyle w:val="41"/>
                  <w:sz w:val="24"/>
                  <w:highlight w:val="none"/>
                </w:rPr>
                <w:t>1</w:t>
              </w:r>
              <w:r>
                <w:rPr>
                  <w:rStyle w:val="41"/>
                  <w:sz w:val="24"/>
                  <w:highlight w:val="none"/>
                </w:rPr>
                <w:tab/>
              </w:r>
              <w:r>
                <w:rPr>
                  <w:rStyle w:val="41"/>
                  <w:sz w:val="24"/>
                  <w:highlight w:val="none"/>
                </w:rPr>
                <w:t>General Provisions</w:t>
              </w:r>
              <w:r>
                <w:rPr>
                  <w:rStyle w:val="41"/>
                  <w:sz w:val="24"/>
                  <w:highlight w:val="none"/>
                </w:rPr>
                <w:tab/>
              </w:r>
              <w:r>
                <w:rPr>
                  <w:rStyle w:val="41"/>
                  <w:sz w:val="24"/>
                  <w:highlight w:val="none"/>
                </w:rPr>
                <w:t>1</w:t>
              </w:r>
              <w:r>
                <w:rPr>
                  <w:rStyle w:val="41"/>
                  <w:sz w:val="24"/>
                  <w:highlight w:val="none"/>
                </w:rPr>
                <w:fldChar w:fldCharType="end"/>
              </w:r>
            </w:p>
            <w:p w14:paraId="73171834">
              <w:pPr>
                <w:pStyle w:val="21"/>
                <w:tabs>
                  <w:tab w:val="left" w:pos="420"/>
                  <w:tab w:val="right" w:leader="dot" w:pos="9345"/>
                </w:tabs>
                <w:spacing w:line="360" w:lineRule="auto"/>
                <w:rPr>
                  <w:rStyle w:val="41"/>
                  <w:sz w:val="24"/>
                  <w:highlight w:val="none"/>
                </w:rPr>
              </w:pPr>
              <w:r>
                <w:rPr>
                  <w:rStyle w:val="41"/>
                  <w:sz w:val="24"/>
                  <w:highlight w:val="none"/>
                </w:rPr>
                <w:fldChar w:fldCharType="begin"/>
              </w:r>
              <w:r>
                <w:rPr>
                  <w:rStyle w:val="41"/>
                  <w:sz w:val="24"/>
                  <w:highlight w:val="none"/>
                </w:rPr>
                <w:instrText xml:space="preserve"> HYPERLINK \l "_Toc9363501" </w:instrText>
              </w:r>
              <w:r>
                <w:rPr>
                  <w:rStyle w:val="41"/>
                  <w:sz w:val="24"/>
                  <w:highlight w:val="none"/>
                </w:rPr>
                <w:fldChar w:fldCharType="separate"/>
              </w:r>
              <w:r>
                <w:rPr>
                  <w:rStyle w:val="41"/>
                  <w:sz w:val="24"/>
                  <w:highlight w:val="none"/>
                </w:rPr>
                <w:t>2</w:t>
              </w:r>
              <w:r>
                <w:rPr>
                  <w:rStyle w:val="41"/>
                  <w:sz w:val="24"/>
                  <w:highlight w:val="none"/>
                </w:rPr>
                <w:tab/>
              </w:r>
              <w:r>
                <w:rPr>
                  <w:rStyle w:val="41"/>
                  <w:sz w:val="24"/>
                  <w:highlight w:val="none"/>
                </w:rPr>
                <w:t>Terms</w:t>
              </w:r>
              <w:r>
                <w:rPr>
                  <w:rStyle w:val="41"/>
                  <w:sz w:val="24"/>
                  <w:highlight w:val="none"/>
                </w:rPr>
                <w:tab/>
              </w:r>
              <w:r>
                <w:rPr>
                  <w:rStyle w:val="41"/>
                  <w:sz w:val="24"/>
                  <w:highlight w:val="none"/>
                </w:rPr>
                <w:t>2</w:t>
              </w:r>
              <w:r>
                <w:rPr>
                  <w:rStyle w:val="41"/>
                  <w:sz w:val="24"/>
                  <w:highlight w:val="none"/>
                </w:rPr>
                <w:fldChar w:fldCharType="end"/>
              </w:r>
            </w:p>
            <w:p w14:paraId="514C7C37">
              <w:pPr>
                <w:pStyle w:val="21"/>
                <w:tabs>
                  <w:tab w:val="left" w:pos="420"/>
                  <w:tab w:val="right" w:leader="dot" w:pos="9345"/>
                </w:tabs>
                <w:spacing w:line="360" w:lineRule="auto"/>
                <w:rPr>
                  <w:rStyle w:val="41"/>
                  <w:sz w:val="24"/>
                  <w:highlight w:val="none"/>
                </w:rPr>
              </w:pPr>
              <w:r>
                <w:rPr>
                  <w:rStyle w:val="41"/>
                  <w:sz w:val="24"/>
                  <w:highlight w:val="none"/>
                </w:rPr>
                <w:fldChar w:fldCharType="begin"/>
              </w:r>
              <w:r>
                <w:rPr>
                  <w:rStyle w:val="41"/>
                  <w:sz w:val="24"/>
                  <w:highlight w:val="none"/>
                </w:rPr>
                <w:instrText xml:space="preserve"> HYPERLINK \l "_Toc9363502" </w:instrText>
              </w:r>
              <w:r>
                <w:rPr>
                  <w:rStyle w:val="41"/>
                  <w:sz w:val="24"/>
                  <w:highlight w:val="none"/>
                </w:rPr>
                <w:fldChar w:fldCharType="separate"/>
              </w:r>
              <w:r>
                <w:rPr>
                  <w:rStyle w:val="41"/>
                  <w:sz w:val="24"/>
                  <w:highlight w:val="none"/>
                </w:rPr>
                <w:t>3</w:t>
              </w:r>
              <w:r>
                <w:rPr>
                  <w:rStyle w:val="41"/>
                  <w:sz w:val="24"/>
                  <w:highlight w:val="none"/>
                </w:rPr>
                <w:tab/>
              </w:r>
              <w:r>
                <w:rPr>
                  <w:rStyle w:val="41"/>
                  <w:sz w:val="24"/>
                  <w:highlight w:val="none"/>
                </w:rPr>
                <w:t>Basic Requirements</w:t>
              </w:r>
              <w:r>
                <w:rPr>
                  <w:rStyle w:val="41"/>
                  <w:sz w:val="24"/>
                  <w:highlight w:val="none"/>
                </w:rPr>
                <w:tab/>
              </w:r>
              <w:r>
                <w:rPr>
                  <w:rStyle w:val="41"/>
                  <w:rFonts w:hint="eastAsia"/>
                  <w:sz w:val="24"/>
                  <w:highlight w:val="none"/>
                  <w:lang w:val="en-US" w:eastAsia="zh-CN"/>
                </w:rPr>
                <w:t>3</w:t>
              </w:r>
              <w:r>
                <w:rPr>
                  <w:rStyle w:val="41"/>
                  <w:sz w:val="24"/>
                  <w:highlight w:val="none"/>
                </w:rPr>
                <w:fldChar w:fldCharType="end"/>
              </w:r>
            </w:p>
            <w:p w14:paraId="65A37C56">
              <w:pPr>
                <w:pStyle w:val="21"/>
                <w:tabs>
                  <w:tab w:val="left" w:pos="420"/>
                  <w:tab w:val="right" w:leader="dot" w:pos="9345"/>
                </w:tabs>
                <w:spacing w:line="360" w:lineRule="auto"/>
                <w:rPr>
                  <w:rStyle w:val="41"/>
                  <w:sz w:val="24"/>
                  <w:highlight w:val="none"/>
                </w:rPr>
              </w:pPr>
              <w:r>
                <w:rPr>
                  <w:rStyle w:val="41"/>
                  <w:sz w:val="24"/>
                  <w:highlight w:val="none"/>
                </w:rPr>
                <w:fldChar w:fldCharType="begin"/>
              </w:r>
              <w:r>
                <w:rPr>
                  <w:rStyle w:val="41"/>
                  <w:sz w:val="24"/>
                  <w:highlight w:val="none"/>
                </w:rPr>
                <w:instrText xml:space="preserve"> HYPERLINK \l "_Toc9363507" </w:instrText>
              </w:r>
              <w:r>
                <w:rPr>
                  <w:rStyle w:val="41"/>
                  <w:sz w:val="24"/>
                  <w:highlight w:val="none"/>
                </w:rPr>
                <w:fldChar w:fldCharType="separate"/>
              </w:r>
              <w:r>
                <w:rPr>
                  <w:rStyle w:val="41"/>
                  <w:sz w:val="24"/>
                  <w:highlight w:val="none"/>
                </w:rPr>
                <w:t>4</w:t>
              </w:r>
              <w:r>
                <w:rPr>
                  <w:rStyle w:val="41"/>
                  <w:rFonts w:hint="eastAsia"/>
                  <w:sz w:val="24"/>
                  <w:highlight w:val="none"/>
                  <w:lang w:val="en-US" w:eastAsia="zh-CN"/>
                </w:rPr>
                <w:t xml:space="preserve">  </w:t>
              </w:r>
              <w:r>
                <w:rPr>
                  <w:rStyle w:val="41"/>
                  <w:sz w:val="24"/>
                  <w:highlight w:val="none"/>
                </w:rPr>
                <w:t xml:space="preserve"> </w:t>
              </w:r>
              <w:r>
                <w:rPr>
                  <w:rStyle w:val="41"/>
                  <w:rFonts w:hint="eastAsia"/>
                  <w:sz w:val="24"/>
                  <w:highlight w:val="none"/>
                  <w:lang w:val="en-US" w:eastAsia="zh-CN"/>
                </w:rPr>
                <w:t xml:space="preserve">  </w:t>
              </w:r>
              <w:r>
                <w:rPr>
                  <w:rStyle w:val="41"/>
                  <w:sz w:val="24"/>
                  <w:highlight w:val="none"/>
                </w:rPr>
                <w:t>Assessment</w:t>
              </w:r>
              <w:r>
                <w:rPr>
                  <w:rStyle w:val="41"/>
                  <w:rFonts w:hint="eastAsia"/>
                  <w:sz w:val="24"/>
                  <w:highlight w:val="none"/>
                  <w:lang w:val="en-US" w:eastAsia="zh-CN"/>
                </w:rPr>
                <w:t xml:space="preserve"> on Safety</w:t>
              </w:r>
              <w:r>
                <w:rPr>
                  <w:rStyle w:val="41"/>
                  <w:sz w:val="24"/>
                  <w:highlight w:val="none"/>
                </w:rPr>
                <w:tab/>
              </w:r>
              <w:r>
                <w:rPr>
                  <w:rStyle w:val="41"/>
                  <w:rFonts w:hint="eastAsia"/>
                  <w:sz w:val="24"/>
                  <w:highlight w:val="none"/>
                  <w:lang w:val="en-US" w:eastAsia="zh-CN"/>
                </w:rPr>
                <w:t>4</w:t>
              </w:r>
              <w:r>
                <w:rPr>
                  <w:rStyle w:val="41"/>
                  <w:sz w:val="24"/>
                  <w:highlight w:val="none"/>
                </w:rPr>
                <w:fldChar w:fldCharType="end"/>
              </w:r>
            </w:p>
            <w:p w14:paraId="53DEE008">
              <w:pPr>
                <w:pStyle w:val="21"/>
                <w:tabs>
                  <w:tab w:val="left" w:pos="420"/>
                  <w:tab w:val="right" w:leader="dot" w:pos="9345"/>
                </w:tabs>
                <w:spacing w:line="360" w:lineRule="auto"/>
                <w:rPr>
                  <w:rStyle w:val="41"/>
                  <w:sz w:val="24"/>
                  <w:highlight w:val="none"/>
                </w:rPr>
              </w:pPr>
              <w:r>
                <w:rPr>
                  <w:rStyle w:val="41"/>
                  <w:sz w:val="24"/>
                  <w:highlight w:val="none"/>
                </w:rPr>
                <w:fldChar w:fldCharType="begin"/>
              </w:r>
              <w:r>
                <w:rPr>
                  <w:rStyle w:val="41"/>
                  <w:sz w:val="24"/>
                  <w:highlight w:val="none"/>
                </w:rPr>
                <w:instrText xml:space="preserve"> HYPERLINK \l "_Toc9363508" </w:instrText>
              </w:r>
              <w:r>
                <w:rPr>
                  <w:rStyle w:val="41"/>
                  <w:sz w:val="24"/>
                  <w:highlight w:val="none"/>
                </w:rPr>
                <w:fldChar w:fldCharType="separate"/>
              </w:r>
              <w:r>
                <w:rPr>
                  <w:rStyle w:val="41"/>
                  <w:sz w:val="24"/>
                  <w:highlight w:val="none"/>
                </w:rPr>
                <w:t xml:space="preserve">5 </w:t>
              </w:r>
              <w:r>
                <w:rPr>
                  <w:rStyle w:val="41"/>
                  <w:rFonts w:hint="eastAsia"/>
                  <w:sz w:val="24"/>
                  <w:highlight w:val="none"/>
                  <w:lang w:val="en-US" w:eastAsia="zh-CN"/>
                </w:rPr>
                <w:t xml:space="preserve">    </w:t>
              </w:r>
              <w:r>
                <w:rPr>
                  <w:rStyle w:val="41"/>
                  <w:sz w:val="24"/>
                  <w:highlight w:val="none"/>
                </w:rPr>
                <w:t>Assessment</w:t>
              </w:r>
              <w:r>
                <w:rPr>
                  <w:rStyle w:val="41"/>
                  <w:rFonts w:hint="eastAsia"/>
                  <w:sz w:val="24"/>
                  <w:highlight w:val="none"/>
                  <w:lang w:val="en-US" w:eastAsia="zh-CN"/>
                </w:rPr>
                <w:t xml:space="preserve"> on </w:t>
              </w:r>
              <w:r>
                <w:rPr>
                  <w:rStyle w:val="41"/>
                  <w:sz w:val="24"/>
                  <w:highlight w:val="none"/>
                </w:rPr>
                <w:t>FunctionalityIntelligent Sub-system of Heating Plant</w:t>
              </w:r>
              <w:r>
                <w:rPr>
                  <w:rStyle w:val="41"/>
                  <w:sz w:val="24"/>
                  <w:highlight w:val="none"/>
                </w:rPr>
                <w:tab/>
              </w:r>
              <w:r>
                <w:rPr>
                  <w:rStyle w:val="41"/>
                  <w:rFonts w:hint="eastAsia"/>
                  <w:sz w:val="24"/>
                  <w:highlight w:val="none"/>
                  <w:lang w:val="en-US" w:eastAsia="zh-CN"/>
                </w:rPr>
                <w:t>6</w:t>
              </w:r>
              <w:r>
                <w:rPr>
                  <w:rStyle w:val="41"/>
                  <w:sz w:val="24"/>
                  <w:highlight w:val="none"/>
                </w:rPr>
                <w:fldChar w:fldCharType="end"/>
              </w:r>
            </w:p>
            <w:p w14:paraId="0B1EDF7E">
              <w:pPr>
                <w:pStyle w:val="21"/>
                <w:tabs>
                  <w:tab w:val="left" w:pos="420"/>
                  <w:tab w:val="right" w:leader="dot" w:pos="9345"/>
                </w:tabs>
                <w:spacing w:line="360" w:lineRule="auto"/>
                <w:rPr>
                  <w:rStyle w:val="41"/>
                  <w:rFonts w:hint="default" w:eastAsia="宋体"/>
                  <w:sz w:val="24"/>
                  <w:highlight w:val="none"/>
                  <w:lang w:val="en-US" w:eastAsia="zh-CN"/>
                </w:rPr>
              </w:pPr>
              <w:r>
                <w:rPr>
                  <w:rStyle w:val="41"/>
                  <w:sz w:val="24"/>
                  <w:highlight w:val="none"/>
                </w:rPr>
                <w:fldChar w:fldCharType="begin"/>
              </w:r>
              <w:r>
                <w:rPr>
                  <w:rStyle w:val="41"/>
                  <w:sz w:val="24"/>
                  <w:highlight w:val="none"/>
                </w:rPr>
                <w:instrText xml:space="preserve"> HYPERLINK \l "_Toc9363508" </w:instrText>
              </w:r>
              <w:r>
                <w:rPr>
                  <w:rStyle w:val="41"/>
                  <w:sz w:val="24"/>
                  <w:highlight w:val="none"/>
                </w:rPr>
                <w:fldChar w:fldCharType="separate"/>
              </w:r>
              <w:r>
                <w:rPr>
                  <w:rStyle w:val="41"/>
                  <w:sz w:val="24"/>
                  <w:highlight w:val="none"/>
                </w:rPr>
                <w:t xml:space="preserve">6 </w:t>
              </w:r>
              <w:r>
                <w:rPr>
                  <w:rStyle w:val="41"/>
                  <w:rFonts w:hint="eastAsia"/>
                  <w:sz w:val="24"/>
                  <w:highlight w:val="none"/>
                  <w:lang w:val="en-US" w:eastAsia="zh-CN"/>
                </w:rPr>
                <w:t xml:space="preserve">    </w:t>
              </w:r>
              <w:r>
                <w:rPr>
                  <w:rStyle w:val="41"/>
                  <w:sz w:val="24"/>
                  <w:highlight w:val="none"/>
                </w:rPr>
                <w:t>Assessment</w:t>
              </w:r>
              <w:r>
                <w:rPr>
                  <w:rStyle w:val="41"/>
                  <w:rFonts w:hint="eastAsia"/>
                  <w:sz w:val="24"/>
                  <w:highlight w:val="none"/>
                  <w:lang w:val="en-US" w:eastAsia="zh-CN"/>
                </w:rPr>
                <w:t xml:space="preserve"> on </w:t>
              </w:r>
              <w:r>
                <w:rPr>
                  <w:rStyle w:val="41"/>
                  <w:rFonts w:hint="default"/>
                  <w:sz w:val="24"/>
                  <w:highlight w:val="none"/>
                  <w:lang w:val="en-US" w:eastAsia="zh-CN"/>
                </w:rPr>
                <w:t xml:space="preserve">Energy </w:t>
              </w:r>
              <w:r>
                <w:rPr>
                  <w:rStyle w:val="41"/>
                  <w:rFonts w:hint="eastAsia"/>
                  <w:sz w:val="24"/>
                  <w:highlight w:val="none"/>
                  <w:lang w:val="en-US" w:eastAsia="zh-CN"/>
                </w:rPr>
                <w:t>S</w:t>
              </w:r>
              <w:r>
                <w:rPr>
                  <w:rStyle w:val="41"/>
                  <w:rFonts w:hint="default"/>
                  <w:sz w:val="24"/>
                  <w:highlight w:val="none"/>
                  <w:lang w:val="en-US" w:eastAsia="zh-CN"/>
                </w:rPr>
                <w:t>aving</w:t>
              </w:r>
              <w:r>
                <w:rPr>
                  <w:rStyle w:val="41"/>
                  <w:sz w:val="24"/>
                  <w:highlight w:val="none"/>
                </w:rPr>
                <w:tab/>
              </w:r>
              <w:r>
                <w:rPr>
                  <w:rStyle w:val="41"/>
                  <w:rFonts w:hint="eastAsia"/>
                  <w:sz w:val="24"/>
                  <w:highlight w:val="none"/>
                  <w:lang w:val="en-US" w:eastAsia="zh-CN"/>
                </w:rPr>
                <w:t>8</w:t>
              </w:r>
            </w:p>
            <w:p w14:paraId="01455133">
              <w:pPr>
                <w:pStyle w:val="21"/>
                <w:tabs>
                  <w:tab w:val="left" w:pos="420"/>
                  <w:tab w:val="right" w:leader="dot" w:pos="9345"/>
                </w:tabs>
                <w:spacing w:line="360" w:lineRule="auto"/>
                <w:rPr>
                  <w:rStyle w:val="41"/>
                  <w:sz w:val="24"/>
                  <w:highlight w:val="none"/>
                </w:rPr>
              </w:pPr>
              <w:r>
                <w:rPr>
                  <w:rStyle w:val="41"/>
                  <w:sz w:val="24"/>
                  <w:highlight w:val="none"/>
                </w:rPr>
                <w:fldChar w:fldCharType="end"/>
              </w:r>
              <w:r>
                <w:rPr>
                  <w:rStyle w:val="41"/>
                  <w:sz w:val="24"/>
                  <w:highlight w:val="none"/>
                </w:rPr>
                <w:fldChar w:fldCharType="begin"/>
              </w:r>
              <w:r>
                <w:rPr>
                  <w:rStyle w:val="41"/>
                  <w:sz w:val="24"/>
                  <w:highlight w:val="none"/>
                </w:rPr>
                <w:instrText xml:space="preserve"> HYPERLINK \l "_Toc9363509" </w:instrText>
              </w:r>
              <w:r>
                <w:rPr>
                  <w:rStyle w:val="41"/>
                  <w:sz w:val="24"/>
                  <w:highlight w:val="none"/>
                </w:rPr>
                <w:fldChar w:fldCharType="separate"/>
              </w:r>
              <w:r>
                <w:rPr>
                  <w:rStyle w:val="41"/>
                  <w:sz w:val="24"/>
                  <w:highlight w:val="none"/>
                </w:rPr>
                <w:t xml:space="preserve">7 </w:t>
              </w:r>
              <w:r>
                <w:rPr>
                  <w:rStyle w:val="41"/>
                  <w:rFonts w:hint="eastAsia"/>
                  <w:sz w:val="24"/>
                  <w:highlight w:val="none"/>
                  <w:lang w:val="en-US" w:eastAsia="zh-CN"/>
                </w:rPr>
                <w:t xml:space="preserve">    </w:t>
              </w:r>
              <w:r>
                <w:rPr>
                  <w:rStyle w:val="41"/>
                  <w:sz w:val="24"/>
                  <w:highlight w:val="none"/>
                </w:rPr>
                <w:t>General</w:t>
              </w:r>
              <w:r>
                <w:rPr>
                  <w:rStyle w:val="41"/>
                  <w:rFonts w:hint="eastAsia"/>
                  <w:sz w:val="24"/>
                  <w:highlight w:val="none"/>
                  <w:lang w:val="en-US" w:eastAsia="zh-CN"/>
                </w:rPr>
                <w:t xml:space="preserve"> </w:t>
              </w:r>
              <w:r>
                <w:rPr>
                  <w:rStyle w:val="41"/>
                  <w:sz w:val="24"/>
                  <w:highlight w:val="none"/>
                </w:rPr>
                <w:t>Assessment</w:t>
              </w:r>
              <w:r>
                <w:rPr>
                  <w:rStyle w:val="41"/>
                  <w:sz w:val="24"/>
                  <w:highlight w:val="none"/>
                </w:rPr>
                <w:tab/>
              </w:r>
              <w:r>
                <w:rPr>
                  <w:rStyle w:val="41"/>
                  <w:sz w:val="24"/>
                  <w:highlight w:val="none"/>
                </w:rPr>
                <w:t>1</w:t>
              </w:r>
              <w:r>
                <w:rPr>
                  <w:rStyle w:val="41"/>
                  <w:rFonts w:hint="eastAsia"/>
                  <w:sz w:val="24"/>
                  <w:highlight w:val="none"/>
                  <w:lang w:val="en-US" w:eastAsia="zh-CN"/>
                </w:rPr>
                <w:t>1</w:t>
              </w:r>
              <w:r>
                <w:rPr>
                  <w:rStyle w:val="41"/>
                  <w:sz w:val="24"/>
                  <w:highlight w:val="none"/>
                </w:rPr>
                <w:fldChar w:fldCharType="end"/>
              </w:r>
            </w:p>
            <w:p w14:paraId="2485929E">
              <w:pPr>
                <w:pStyle w:val="21"/>
                <w:tabs>
                  <w:tab w:val="left" w:pos="420"/>
                  <w:tab w:val="right" w:leader="dot" w:pos="9345"/>
                </w:tabs>
                <w:spacing w:line="360" w:lineRule="auto"/>
                <w:rPr>
                  <w:rStyle w:val="41"/>
                  <w:sz w:val="24"/>
                  <w:highlight w:val="none"/>
                </w:rPr>
              </w:pPr>
              <w:r>
                <w:rPr>
                  <w:rStyle w:val="41"/>
                  <w:sz w:val="24"/>
                  <w:highlight w:val="none"/>
                </w:rPr>
                <w:fldChar w:fldCharType="begin"/>
              </w:r>
              <w:r>
                <w:rPr>
                  <w:rStyle w:val="41"/>
                  <w:sz w:val="24"/>
                  <w:highlight w:val="none"/>
                </w:rPr>
                <w:instrText xml:space="preserve"> HYPERLINK \l "_Toc9363518" </w:instrText>
              </w:r>
              <w:r>
                <w:rPr>
                  <w:rStyle w:val="41"/>
                  <w:sz w:val="24"/>
                  <w:highlight w:val="none"/>
                </w:rPr>
                <w:fldChar w:fldCharType="separate"/>
              </w:r>
              <w:r>
                <w:rPr>
                  <w:rStyle w:val="41"/>
                  <w:sz w:val="24"/>
                  <w:highlight w:val="none"/>
                </w:rPr>
                <w:t xml:space="preserve">Explanation of Wording </w:t>
              </w:r>
              <w:r>
                <w:rPr>
                  <w:rStyle w:val="41"/>
                  <w:sz w:val="24"/>
                  <w:highlight w:val="none"/>
                </w:rPr>
                <w:tab/>
              </w:r>
              <w:r>
                <w:rPr>
                  <w:rStyle w:val="41"/>
                  <w:sz w:val="24"/>
                  <w:highlight w:val="none"/>
                </w:rPr>
                <w:t>1</w:t>
              </w:r>
              <w:r>
                <w:rPr>
                  <w:rStyle w:val="41"/>
                  <w:rFonts w:hint="eastAsia"/>
                  <w:sz w:val="24"/>
                  <w:highlight w:val="none"/>
                  <w:lang w:val="en-US" w:eastAsia="zh-CN"/>
                </w:rPr>
                <w:t>4</w:t>
              </w:r>
              <w:r>
                <w:rPr>
                  <w:rStyle w:val="41"/>
                  <w:sz w:val="24"/>
                  <w:highlight w:val="none"/>
                </w:rPr>
                <w:fldChar w:fldCharType="end"/>
              </w:r>
            </w:p>
            <w:p w14:paraId="2E7F88DA">
              <w:pPr>
                <w:pStyle w:val="21"/>
                <w:tabs>
                  <w:tab w:val="left" w:pos="420"/>
                  <w:tab w:val="right" w:leader="dot" w:pos="9345"/>
                </w:tabs>
                <w:spacing w:line="360" w:lineRule="auto"/>
                <w:rPr>
                  <w:rStyle w:val="41"/>
                  <w:rFonts w:hint="eastAsia" w:eastAsia="宋体"/>
                  <w:sz w:val="24"/>
                  <w:highlight w:val="none"/>
                  <w:lang w:val="en-US" w:eastAsia="zh-CN"/>
                </w:rPr>
              </w:pPr>
              <w:r>
                <w:rPr>
                  <w:rStyle w:val="41"/>
                  <w:sz w:val="24"/>
                  <w:highlight w:val="none"/>
                </w:rPr>
                <w:fldChar w:fldCharType="begin"/>
              </w:r>
              <w:r>
                <w:rPr>
                  <w:rStyle w:val="41"/>
                  <w:sz w:val="24"/>
                  <w:highlight w:val="none"/>
                </w:rPr>
                <w:instrText xml:space="preserve"> HYPERLINK \l "_Toc9363519" </w:instrText>
              </w:r>
              <w:r>
                <w:rPr>
                  <w:rStyle w:val="41"/>
                  <w:sz w:val="24"/>
                  <w:highlight w:val="none"/>
                </w:rPr>
                <w:fldChar w:fldCharType="separate"/>
              </w:r>
              <w:r>
                <w:rPr>
                  <w:rStyle w:val="41"/>
                  <w:sz w:val="24"/>
                  <w:highlight w:val="none"/>
                </w:rPr>
                <w:t>List of Quoted Standards</w:t>
              </w:r>
              <w:r>
                <w:rPr>
                  <w:rStyle w:val="41"/>
                  <w:sz w:val="24"/>
                  <w:highlight w:val="none"/>
                </w:rPr>
                <w:tab/>
              </w:r>
              <w:r>
                <w:rPr>
                  <w:rStyle w:val="41"/>
                  <w:sz w:val="24"/>
                  <w:highlight w:val="none"/>
                </w:rPr>
                <w:t>1</w:t>
              </w:r>
              <w:r>
                <w:rPr>
                  <w:rStyle w:val="41"/>
                  <w:sz w:val="24"/>
                  <w:highlight w:val="none"/>
                </w:rPr>
                <w:fldChar w:fldCharType="end"/>
              </w:r>
              <w:r>
                <w:rPr>
                  <w:rStyle w:val="41"/>
                  <w:rFonts w:hint="eastAsia"/>
                  <w:sz w:val="24"/>
                  <w:highlight w:val="none"/>
                  <w:lang w:val="en-US" w:eastAsia="zh-CN"/>
                </w:rPr>
                <w:t>5</w:t>
              </w:r>
            </w:p>
            <w:p w14:paraId="2713FEFD">
              <w:pPr>
                <w:pStyle w:val="21"/>
                <w:tabs>
                  <w:tab w:val="left" w:pos="420"/>
                  <w:tab w:val="right" w:leader="dot" w:pos="9345"/>
                </w:tabs>
                <w:spacing w:line="360" w:lineRule="auto"/>
                <w:rPr>
                  <w:rStyle w:val="41"/>
                  <w:rFonts w:hint="default" w:eastAsia="宋体"/>
                  <w:sz w:val="24"/>
                  <w:highlight w:val="none"/>
                  <w:lang w:val="en-US" w:eastAsia="zh-CN"/>
                </w:rPr>
              </w:pPr>
              <w:r>
                <w:rPr>
                  <w:rStyle w:val="41"/>
                  <w:sz w:val="24"/>
                  <w:highlight w:val="none"/>
                </w:rPr>
                <w:t>Addition: Explanation of Provisions…………………………………………………………….</w:t>
              </w:r>
              <w:r>
                <w:rPr>
                  <w:rStyle w:val="41"/>
                  <w:rFonts w:hint="eastAsia"/>
                  <w:sz w:val="24"/>
                  <w:highlight w:val="none"/>
                  <w:lang w:val="en-US" w:eastAsia="zh-CN"/>
                </w:rPr>
                <w:t>16</w:t>
              </w:r>
            </w:p>
            <w:p w14:paraId="070E96A8">
              <w:pPr>
                <w:rPr>
                  <w:rStyle w:val="41"/>
                  <w:szCs w:val="21"/>
                  <w:highlight w:val="none"/>
                </w:rPr>
              </w:pPr>
              <w:r>
                <w:rPr>
                  <w:b/>
                  <w:bCs/>
                  <w:highlight w:val="none"/>
                  <w:lang w:val="zh-CN"/>
                </w:rPr>
                <w:fldChar w:fldCharType="end"/>
              </w:r>
            </w:p>
          </w:sdtContent>
        </w:sdt>
        <w:p w14:paraId="0081F1F5">
          <w:pPr>
            <w:pStyle w:val="162"/>
            <w:spacing w:before="0" w:line="360" w:lineRule="auto"/>
            <w:rPr>
              <w:rFonts w:ascii="Times New Roman" w:hAnsi="Times New Roman" w:cs="Times New Roman"/>
              <w:highlight w:val="none"/>
            </w:rPr>
          </w:pPr>
        </w:p>
        <w:p w14:paraId="5C396FB5">
          <w:pPr>
            <w:rPr>
              <w:rStyle w:val="41"/>
              <w:szCs w:val="21"/>
              <w:highlight w:val="none"/>
            </w:rPr>
          </w:pPr>
        </w:p>
      </w:sdtContent>
    </w:sdt>
    <w:p w14:paraId="0F56DAE0">
      <w:pPr>
        <w:widowControl/>
        <w:jc w:val="left"/>
        <w:rPr>
          <w:sz w:val="36"/>
          <w:szCs w:val="36"/>
          <w:highlight w:val="none"/>
        </w:rPr>
        <w:sectPr>
          <w:footerReference r:id="rId7" w:type="default"/>
          <w:headerReference r:id="rId6" w:type="even"/>
          <w:footerReference r:id="rId8" w:type="even"/>
          <w:pgSz w:w="11907" w:h="16839"/>
          <w:pgMar w:top="1418" w:right="1134" w:bottom="1134" w:left="1418" w:header="1418" w:footer="851" w:gutter="0"/>
          <w:pgBorders>
            <w:top w:val="none" w:sz="0" w:space="0"/>
            <w:left w:val="none" w:sz="0" w:space="0"/>
            <w:bottom w:val="none" w:sz="0" w:space="0"/>
            <w:right w:val="none" w:sz="0" w:space="0"/>
          </w:pgBorders>
          <w:pgNumType w:fmt="upperRoman" w:start="1"/>
          <w:cols w:space="425" w:num="1"/>
          <w:docGrid w:type="lines" w:linePitch="312" w:charSpace="0"/>
        </w:sectPr>
      </w:pPr>
      <w:r>
        <w:rPr>
          <w:rStyle w:val="41"/>
          <w:szCs w:val="21"/>
          <w:highlight w:val="none"/>
        </w:rPr>
        <w:br w:type="page"/>
      </w:r>
    </w:p>
    <w:bookmarkEnd w:id="11"/>
    <w:p w14:paraId="07FD6315">
      <w:pPr>
        <w:spacing w:after="240"/>
        <w:jc w:val="center"/>
        <w:outlineLvl w:val="0"/>
        <w:rPr>
          <w:rFonts w:eastAsia="黑体"/>
          <w:bCs/>
          <w:kern w:val="0"/>
          <w:sz w:val="28"/>
          <w:highlight w:val="none"/>
        </w:rPr>
      </w:pPr>
      <w:bookmarkStart w:id="12" w:name="_Toc26812405"/>
      <w:bookmarkStart w:id="13" w:name="_Toc8845892"/>
      <w:bookmarkStart w:id="14" w:name="_Toc531617905"/>
      <w:bookmarkStart w:id="15" w:name="_Toc27647"/>
      <w:bookmarkStart w:id="16" w:name="_Hlk125982296"/>
      <w:bookmarkStart w:id="17" w:name="SectionMark4"/>
      <w:r>
        <w:rPr>
          <w:rFonts w:eastAsia="黑体"/>
          <w:bCs/>
          <w:kern w:val="0"/>
          <w:sz w:val="28"/>
          <w:highlight w:val="none"/>
        </w:rPr>
        <w:t>1 总</w:t>
      </w:r>
      <w:bookmarkEnd w:id="12"/>
      <w:bookmarkEnd w:id="13"/>
      <w:bookmarkEnd w:id="14"/>
      <w:r>
        <w:rPr>
          <w:rFonts w:eastAsia="黑体"/>
          <w:bCs/>
          <w:kern w:val="0"/>
          <w:sz w:val="28"/>
          <w:highlight w:val="none"/>
        </w:rPr>
        <w:t>则</w:t>
      </w:r>
      <w:bookmarkEnd w:id="15"/>
    </w:p>
    <w:bookmarkEnd w:id="16"/>
    <w:p w14:paraId="4B78EED0">
      <w:pPr>
        <w:spacing w:line="540" w:lineRule="exact"/>
        <w:rPr>
          <w:rFonts w:eastAsia="华文楷体"/>
          <w:color w:val="000000" w:themeColor="text1"/>
          <w:sz w:val="24"/>
          <w:szCs w:val="32"/>
          <w:highlight w:val="none"/>
          <w14:textFill>
            <w14:solidFill>
              <w14:schemeClr w14:val="tx1"/>
            </w14:solidFill>
          </w14:textFill>
        </w:rPr>
      </w:pPr>
      <w:r>
        <w:rPr>
          <w:b/>
          <w:bCs/>
          <w:color w:val="000000" w:themeColor="text1"/>
          <w:sz w:val="24"/>
          <w:szCs w:val="21"/>
          <w:highlight w:val="none"/>
          <w14:textFill>
            <w14:solidFill>
              <w14:schemeClr w14:val="tx1"/>
            </w14:solidFill>
          </w14:textFill>
        </w:rPr>
        <w:t>1.0.1</w:t>
      </w:r>
      <w:r>
        <w:rPr>
          <w:color w:val="000000" w:themeColor="text1"/>
          <w:sz w:val="24"/>
          <w:szCs w:val="21"/>
          <w:highlight w:val="none"/>
          <w14:textFill>
            <w14:solidFill>
              <w14:schemeClr w14:val="tx1"/>
            </w14:solidFill>
          </w14:textFill>
        </w:rPr>
        <w:t>为</w:t>
      </w:r>
      <w:r>
        <w:rPr>
          <w:rFonts w:hint="eastAsia"/>
          <w:color w:val="000000" w:themeColor="text1"/>
          <w:sz w:val="24"/>
          <w:szCs w:val="21"/>
          <w:highlight w:val="none"/>
          <w:lang w:val="en-US" w:eastAsia="zh-CN"/>
          <w14:textFill>
            <w14:solidFill>
              <w14:schemeClr w14:val="tx1"/>
            </w14:solidFill>
          </w14:textFill>
        </w:rPr>
        <w:t>规范制冷机房运行状态评价，提高制冷机房运行管理水平，提高制冷机房运行管理人员的积极性，</w:t>
      </w:r>
      <w:r>
        <w:rPr>
          <w:color w:val="000000" w:themeColor="text1"/>
          <w:sz w:val="24"/>
          <w:szCs w:val="21"/>
          <w:highlight w:val="none"/>
          <w14:textFill>
            <w14:solidFill>
              <w14:schemeClr w14:val="tx1"/>
            </w14:solidFill>
          </w14:textFill>
        </w:rPr>
        <w:t>制定本标准。</w:t>
      </w:r>
    </w:p>
    <w:p w14:paraId="1ECF22DE">
      <w:pPr>
        <w:spacing w:line="540" w:lineRule="exact"/>
        <w:rPr>
          <w:rFonts w:hint="eastAsia"/>
          <w:color w:val="000000" w:themeColor="text1"/>
          <w:sz w:val="24"/>
          <w:szCs w:val="21"/>
          <w:highlight w:val="none"/>
          <w:lang w:val="en-US" w:eastAsia="zh-CN"/>
          <w14:textFill>
            <w14:solidFill>
              <w14:schemeClr w14:val="tx1"/>
            </w14:solidFill>
          </w14:textFill>
        </w:rPr>
      </w:pPr>
      <w:r>
        <w:rPr>
          <w:b/>
          <w:bCs/>
          <w:color w:val="000000" w:themeColor="text1"/>
          <w:sz w:val="24"/>
          <w:szCs w:val="21"/>
          <w:highlight w:val="none"/>
          <w14:textFill>
            <w14:solidFill>
              <w14:schemeClr w14:val="tx1"/>
            </w14:solidFill>
          </w14:textFill>
        </w:rPr>
        <w:t>1.0.2</w:t>
      </w:r>
      <w:r>
        <w:rPr>
          <w:color w:val="000000" w:themeColor="text1"/>
          <w:sz w:val="24"/>
          <w:szCs w:val="21"/>
          <w:highlight w:val="none"/>
          <w14:textFill>
            <w14:solidFill>
              <w14:schemeClr w14:val="tx1"/>
            </w14:solidFill>
          </w14:textFill>
        </w:rPr>
        <w:t>本标准</w:t>
      </w:r>
      <w:r>
        <w:rPr>
          <w:rFonts w:hint="eastAsia"/>
          <w:color w:val="000000" w:themeColor="text1"/>
          <w:sz w:val="24"/>
          <w:szCs w:val="21"/>
          <w:highlight w:val="none"/>
          <w14:textFill>
            <w14:solidFill>
              <w14:schemeClr w14:val="tx1"/>
            </w14:solidFill>
          </w14:textFill>
        </w:rPr>
        <w:t>适用于</w:t>
      </w:r>
      <w:r>
        <w:rPr>
          <w:rFonts w:hint="eastAsia"/>
          <w:color w:val="000000" w:themeColor="text1"/>
          <w:sz w:val="24"/>
          <w:szCs w:val="21"/>
          <w:highlight w:val="none"/>
          <w:lang w:val="en-US" w:eastAsia="zh-CN"/>
          <w14:textFill>
            <w14:solidFill>
              <w14:schemeClr w14:val="tx1"/>
            </w14:solidFill>
          </w14:textFill>
        </w:rPr>
        <w:t>采用电制冷机的制冷机房的运行状态评价。</w:t>
      </w:r>
    </w:p>
    <w:p w14:paraId="0238FCBB">
      <w:pPr>
        <w:spacing w:line="540" w:lineRule="exact"/>
        <w:rPr>
          <w:rFonts w:hint="eastAsia"/>
          <w:color w:val="000000" w:themeColor="text1"/>
          <w:sz w:val="24"/>
          <w:szCs w:val="21"/>
          <w:highlight w:val="none"/>
          <w:lang w:val="en-US" w:eastAsia="zh-CN"/>
          <w14:textFill>
            <w14:solidFill>
              <w14:schemeClr w14:val="tx1"/>
            </w14:solidFill>
          </w14:textFill>
        </w:rPr>
      </w:pPr>
      <w:r>
        <w:rPr>
          <w:rFonts w:hint="eastAsia"/>
          <w:b/>
          <w:bCs/>
          <w:color w:val="000000" w:themeColor="text1"/>
          <w:sz w:val="24"/>
          <w:szCs w:val="21"/>
          <w:highlight w:val="none"/>
          <w:lang w:val="en-US" w:eastAsia="zh-CN"/>
          <w14:textFill>
            <w14:solidFill>
              <w14:schemeClr w14:val="tx1"/>
            </w14:solidFill>
          </w14:textFill>
        </w:rPr>
        <w:t>1.0.3</w:t>
      </w:r>
      <w:r>
        <w:rPr>
          <w:rFonts w:hint="eastAsia"/>
          <w:color w:val="000000" w:themeColor="text1"/>
          <w:sz w:val="24"/>
          <w:szCs w:val="21"/>
          <w:highlight w:val="none"/>
          <w:lang w:val="en-US" w:eastAsia="zh-CN"/>
          <w14:textFill>
            <w14:solidFill>
              <w14:schemeClr w14:val="tx1"/>
            </w14:solidFill>
          </w14:textFill>
        </w:rPr>
        <w:t xml:space="preserve"> 制冷机房运行状态评价可由运行管理人员进行，也可由第三方进行。</w:t>
      </w:r>
    </w:p>
    <w:p w14:paraId="33F41AB3">
      <w:pPr>
        <w:spacing w:line="540" w:lineRule="exact"/>
        <w:rPr>
          <w:rFonts w:hint="default"/>
          <w:color w:val="000000" w:themeColor="text1"/>
          <w:sz w:val="24"/>
          <w:szCs w:val="21"/>
          <w:highlight w:val="none"/>
          <w:lang w:val="en-US" w:eastAsia="zh-CN"/>
          <w14:textFill>
            <w14:solidFill>
              <w14:schemeClr w14:val="tx1"/>
            </w14:solidFill>
          </w14:textFill>
        </w:rPr>
      </w:pPr>
      <w:r>
        <w:rPr>
          <w:rFonts w:hint="eastAsia"/>
          <w:b/>
          <w:bCs/>
          <w:color w:val="000000" w:themeColor="text1"/>
          <w:sz w:val="24"/>
          <w:szCs w:val="21"/>
          <w:highlight w:val="none"/>
          <w:lang w:val="en-US" w:eastAsia="zh-CN"/>
          <w14:textFill>
            <w14:solidFill>
              <w14:schemeClr w14:val="tx1"/>
            </w14:solidFill>
          </w14:textFill>
        </w:rPr>
        <w:t xml:space="preserve">1.0.4 </w:t>
      </w:r>
      <w:r>
        <w:rPr>
          <w:rFonts w:hint="eastAsia"/>
          <w:color w:val="000000" w:themeColor="text1"/>
          <w:sz w:val="24"/>
          <w:szCs w:val="21"/>
          <w:highlight w:val="none"/>
          <w:lang w:val="en-US" w:eastAsia="zh-CN"/>
          <w14:textFill>
            <w14:solidFill>
              <w14:schemeClr w14:val="tx1"/>
            </w14:solidFill>
          </w14:textFill>
        </w:rPr>
        <w:t>制冷机房运行状态评价可用于同一制冷机房在不同时间的运行状态对比，也可用于不同制冷机房之间的运行状态对比，评价结果反映了制冷机房的运行管理水平。</w:t>
      </w:r>
    </w:p>
    <w:p w14:paraId="1ABAD8EC">
      <w:pPr>
        <w:spacing w:line="540" w:lineRule="exact"/>
        <w:rPr>
          <w:sz w:val="24"/>
          <w:szCs w:val="21"/>
          <w:highlight w:val="none"/>
        </w:rPr>
      </w:pPr>
      <w:r>
        <w:rPr>
          <w:b/>
          <w:bCs/>
          <w:color w:val="000000" w:themeColor="text1"/>
          <w:sz w:val="24"/>
          <w:szCs w:val="21"/>
          <w:highlight w:val="none"/>
          <w14:textFill>
            <w14:solidFill>
              <w14:schemeClr w14:val="tx1"/>
            </w14:solidFill>
          </w14:textFill>
        </w:rPr>
        <w:t>1.0.</w:t>
      </w:r>
      <w:r>
        <w:rPr>
          <w:rFonts w:hint="eastAsia"/>
          <w:b/>
          <w:bCs/>
          <w:color w:val="000000" w:themeColor="text1"/>
          <w:sz w:val="24"/>
          <w:szCs w:val="21"/>
          <w:highlight w:val="none"/>
          <w:lang w:val="en-US" w:eastAsia="zh-CN"/>
          <w14:textFill>
            <w14:solidFill>
              <w14:schemeClr w14:val="tx1"/>
            </w14:solidFill>
          </w14:textFill>
        </w:rPr>
        <w:t>5</w:t>
      </w:r>
      <w:r>
        <w:rPr>
          <w:b/>
          <w:bCs/>
          <w:sz w:val="24"/>
          <w:szCs w:val="21"/>
          <w:highlight w:val="none"/>
        </w:rPr>
        <w:t xml:space="preserve"> </w:t>
      </w:r>
      <w:r>
        <w:rPr>
          <w:rFonts w:hint="eastAsia"/>
          <w:sz w:val="24"/>
          <w:szCs w:val="21"/>
          <w:highlight w:val="none"/>
          <w:lang w:val="en-US" w:eastAsia="zh-CN"/>
        </w:rPr>
        <w:t>制冷机房运行评价</w:t>
      </w:r>
      <w:r>
        <w:rPr>
          <w:sz w:val="24"/>
          <w:szCs w:val="21"/>
          <w:highlight w:val="none"/>
        </w:rPr>
        <w:t>除应符合本标准外，尚应符合国家现行有关标准和现行中国工程建设标准化协会有关标准的规定。</w:t>
      </w:r>
    </w:p>
    <w:p w14:paraId="38071316">
      <w:pPr>
        <w:spacing w:line="360" w:lineRule="auto"/>
        <w:rPr>
          <w:szCs w:val="21"/>
          <w:highlight w:val="none"/>
        </w:rPr>
      </w:pPr>
    </w:p>
    <w:p w14:paraId="7A0772FA">
      <w:pPr>
        <w:pStyle w:val="57"/>
        <w:spacing w:line="540" w:lineRule="exact"/>
        <w:ind w:firstLine="0" w:firstLineChars="0"/>
        <w:rPr>
          <w:rFonts w:hint="default" w:ascii="Times New Roman" w:cs="Times New Roman"/>
          <w:bCs/>
          <w:sz w:val="24"/>
          <w:szCs w:val="21"/>
          <w:highlight w:val="none"/>
          <w:lang w:val="en-US" w:eastAsia="zh-CN"/>
        </w:rPr>
      </w:pPr>
    </w:p>
    <w:p w14:paraId="3B921977">
      <w:pPr>
        <w:spacing w:line="360" w:lineRule="auto"/>
        <w:rPr>
          <w:szCs w:val="21"/>
          <w:highlight w:val="none"/>
        </w:rPr>
        <w:sectPr>
          <w:headerReference r:id="rId9" w:type="first"/>
          <w:footerReference r:id="rId10" w:type="first"/>
          <w:pgSz w:w="11907" w:h="16839"/>
          <w:pgMar w:top="1418" w:right="1512" w:bottom="1134" w:left="1418" w:header="1418" w:footer="851" w:gutter="0"/>
          <w:pgBorders>
            <w:top w:val="none" w:sz="0" w:space="0"/>
            <w:left w:val="none" w:sz="0" w:space="0"/>
            <w:bottom w:val="none" w:sz="0" w:space="0"/>
            <w:right w:val="none" w:sz="0" w:space="0"/>
          </w:pgBorders>
          <w:pgNumType w:start="1"/>
          <w:cols w:space="425" w:num="1"/>
          <w:titlePg/>
          <w:docGrid w:type="lines" w:linePitch="312" w:charSpace="0"/>
        </w:sectPr>
      </w:pPr>
    </w:p>
    <w:p w14:paraId="0019FFB4">
      <w:pPr>
        <w:spacing w:after="240"/>
        <w:jc w:val="center"/>
        <w:outlineLvl w:val="0"/>
        <w:rPr>
          <w:rFonts w:eastAsia="黑体"/>
          <w:bCs/>
          <w:kern w:val="0"/>
          <w:sz w:val="28"/>
          <w:highlight w:val="none"/>
        </w:rPr>
      </w:pPr>
      <w:bookmarkStart w:id="18" w:name="_Toc26812406"/>
      <w:bookmarkStart w:id="19" w:name="_Toc531617906"/>
      <w:bookmarkStart w:id="20" w:name="_Toc519294145"/>
      <w:bookmarkStart w:id="21" w:name="_Toc8845893"/>
      <w:bookmarkStart w:id="22" w:name="_Toc12438"/>
      <w:r>
        <w:rPr>
          <w:rFonts w:eastAsia="黑体"/>
          <w:bCs/>
          <w:kern w:val="0"/>
          <w:sz w:val="28"/>
          <w:highlight w:val="none"/>
        </w:rPr>
        <w:t>2 术</w:t>
      </w:r>
      <w:bookmarkEnd w:id="18"/>
      <w:bookmarkEnd w:id="19"/>
      <w:bookmarkEnd w:id="20"/>
      <w:bookmarkEnd w:id="21"/>
      <w:r>
        <w:rPr>
          <w:rFonts w:eastAsia="黑体"/>
          <w:bCs/>
          <w:kern w:val="0"/>
          <w:sz w:val="28"/>
          <w:highlight w:val="none"/>
        </w:rPr>
        <w:t>语</w:t>
      </w:r>
      <w:bookmarkEnd w:id="22"/>
    </w:p>
    <w:p w14:paraId="2647BBEF">
      <w:pPr>
        <w:pStyle w:val="57"/>
        <w:keepNext w:val="0"/>
        <w:keepLines w:val="0"/>
        <w:pageBreakBefore w:val="0"/>
        <w:kinsoku/>
        <w:wordWrap/>
        <w:overflowPunct/>
        <w:topLinePunct w:val="0"/>
        <w:bidi w:val="0"/>
        <w:snapToGrid w:val="0"/>
        <w:spacing w:line="360" w:lineRule="auto"/>
        <w:ind w:firstLine="0" w:firstLineChars="0"/>
        <w:jc w:val="left"/>
        <w:textAlignment w:val="auto"/>
        <w:rPr>
          <w:rFonts w:hint="default" w:ascii="Times New Roman" w:hAnsi="Times New Roman" w:cs="Times New Roman"/>
          <w:b/>
          <w:kern w:val="0"/>
          <w:sz w:val="24"/>
          <w:szCs w:val="21"/>
          <w:highlight w:val="none"/>
        </w:rPr>
      </w:pPr>
      <w:r>
        <w:rPr>
          <w:rFonts w:hint="eastAsia" w:ascii="Times New Roman"/>
          <w:b/>
          <w:kern w:val="0"/>
          <w:sz w:val="24"/>
          <w:szCs w:val="21"/>
          <w:highlight w:val="none"/>
        </w:rPr>
        <w:t>2</w:t>
      </w:r>
      <w:r>
        <w:rPr>
          <w:rFonts w:ascii="Times New Roman"/>
          <w:b/>
          <w:kern w:val="0"/>
          <w:sz w:val="24"/>
          <w:szCs w:val="21"/>
          <w:highlight w:val="none"/>
        </w:rPr>
        <w:t xml:space="preserve">.0.1 </w:t>
      </w:r>
      <w:r>
        <w:rPr>
          <w:rFonts w:hint="default" w:ascii="Times New Roman" w:hAnsi="Times New Roman" w:cs="Times New Roman"/>
          <w:b/>
          <w:kern w:val="0"/>
          <w:sz w:val="24"/>
          <w:szCs w:val="21"/>
          <w:highlight w:val="none"/>
          <w:lang w:val="en-US" w:eastAsia="zh-CN"/>
        </w:rPr>
        <w:t>制冷机房运行状态评价</w:t>
      </w:r>
      <w:r>
        <w:rPr>
          <w:rFonts w:hint="default" w:ascii="Times New Roman" w:hAnsi="Times New Roman" w:cs="Times New Roman"/>
          <w:b/>
          <w:kern w:val="0"/>
          <w:sz w:val="24"/>
          <w:szCs w:val="21"/>
          <w:highlight w:val="none"/>
        </w:rPr>
        <w:t xml:space="preserve"> </w:t>
      </w:r>
      <w:r>
        <w:rPr>
          <w:rFonts w:hint="eastAsia" w:ascii="Times New Roman" w:eastAsia="黑体" w:cs="Times New Roman"/>
          <w:kern w:val="0"/>
          <w:sz w:val="24"/>
          <w:szCs w:val="21"/>
          <w:highlight w:val="none"/>
          <w:lang w:val="en-US" w:eastAsia="zh-CN"/>
        </w:rPr>
        <w:t>a</w:t>
      </w:r>
      <w:r>
        <w:rPr>
          <w:rFonts w:hint="default" w:ascii="Times New Roman" w:hAnsi="Times New Roman" w:eastAsia="黑体" w:cs="Times New Roman"/>
          <w:kern w:val="0"/>
          <w:sz w:val="24"/>
          <w:szCs w:val="21"/>
          <w:highlight w:val="none"/>
        </w:rPr>
        <w:t xml:space="preserve">ssessment </w:t>
      </w:r>
      <w:r>
        <w:rPr>
          <w:rFonts w:hint="eastAsia" w:ascii="Times New Roman" w:eastAsia="黑体" w:cs="Times New Roman"/>
          <w:kern w:val="0"/>
          <w:sz w:val="24"/>
          <w:szCs w:val="21"/>
          <w:highlight w:val="none"/>
          <w:lang w:val="en-US" w:eastAsia="zh-CN"/>
        </w:rPr>
        <w:t>on</w:t>
      </w:r>
      <w:r>
        <w:rPr>
          <w:rFonts w:hint="default" w:ascii="Times New Roman" w:hAnsi="Times New Roman" w:eastAsia="黑体" w:cs="Times New Roman"/>
          <w:kern w:val="0"/>
          <w:sz w:val="24"/>
          <w:szCs w:val="21"/>
          <w:highlight w:val="none"/>
          <w:lang w:val="en-US" w:eastAsia="zh-CN"/>
        </w:rPr>
        <w:t xml:space="preserve"> operating status of refrigerating station</w:t>
      </w:r>
    </w:p>
    <w:p w14:paraId="10026AFF">
      <w:pPr>
        <w:pStyle w:val="57"/>
        <w:keepNext w:val="0"/>
        <w:keepLines w:val="0"/>
        <w:pageBreakBefore w:val="0"/>
        <w:widowControl/>
        <w:kinsoku/>
        <w:wordWrap/>
        <w:overflowPunct/>
        <w:topLinePunct w:val="0"/>
        <w:autoSpaceDE w:val="0"/>
        <w:autoSpaceDN w:val="0"/>
        <w:bidi w:val="0"/>
        <w:adjustRightInd/>
        <w:snapToGrid w:val="0"/>
        <w:spacing w:line="360" w:lineRule="auto"/>
        <w:ind w:firstLine="480" w:firstLineChars="200"/>
        <w:textAlignment w:val="auto"/>
        <w:rPr>
          <w:rFonts w:hint="eastAsia" w:ascii="Times New Roman" w:cs="Times New Roman"/>
          <w:kern w:val="2"/>
          <w:sz w:val="24"/>
          <w:szCs w:val="21"/>
          <w:highlight w:val="none"/>
          <w:lang w:val="en-US" w:eastAsia="zh-CN"/>
        </w:rPr>
      </w:pPr>
      <w:r>
        <w:rPr>
          <w:rFonts w:hint="eastAsia" w:ascii="Times New Roman" w:cs="Times New Roman"/>
          <w:kern w:val="2"/>
          <w:sz w:val="24"/>
          <w:szCs w:val="21"/>
          <w:highlight w:val="none"/>
          <w:lang w:val="en-US" w:eastAsia="zh-CN"/>
        </w:rPr>
        <w:t>基于监测的制冷机房运行状态参数对制冷机房运行情况进行评价。</w:t>
      </w:r>
    </w:p>
    <w:p w14:paraId="5AC14D6C">
      <w:pPr>
        <w:keepNext w:val="0"/>
        <w:keepLines w:val="0"/>
        <w:pageBreakBefore w:val="0"/>
        <w:kinsoku/>
        <w:wordWrap/>
        <w:overflowPunct/>
        <w:topLinePunct w:val="0"/>
        <w:bidi w:val="0"/>
        <w:adjustRightInd w:val="0"/>
        <w:snapToGrid w:val="0"/>
        <w:spacing w:line="360" w:lineRule="auto"/>
        <w:ind w:firstLine="0" w:firstLineChars="0"/>
        <w:jc w:val="left"/>
        <w:textAlignment w:val="auto"/>
        <w:rPr>
          <w:rFonts w:hint="eastAsia"/>
          <w:b w:val="0"/>
          <w:bCs/>
          <w:sz w:val="24"/>
          <w:szCs w:val="21"/>
          <w:highlight w:val="none"/>
          <w:lang w:val="en-US" w:eastAsia="zh-CN"/>
        </w:rPr>
      </w:pPr>
      <w:r>
        <w:rPr>
          <w:rFonts w:hint="eastAsia"/>
          <w:b w:val="0"/>
          <w:bCs/>
          <w:sz w:val="24"/>
          <w:szCs w:val="21"/>
          <w:highlight w:val="none"/>
          <w:lang w:val="en-US" w:eastAsia="zh-CN"/>
        </w:rPr>
        <w:t>【条文说明】</w:t>
      </w:r>
    </w:p>
    <w:p w14:paraId="01D33FE1">
      <w:pPr>
        <w:pStyle w:val="57"/>
        <w:keepNext w:val="0"/>
        <w:keepLines w:val="0"/>
        <w:pageBreakBefore w:val="0"/>
        <w:kinsoku/>
        <w:wordWrap/>
        <w:overflowPunct/>
        <w:topLinePunct w:val="0"/>
        <w:bidi w:val="0"/>
        <w:snapToGrid w:val="0"/>
        <w:spacing w:line="360" w:lineRule="auto"/>
        <w:ind w:firstLine="480"/>
        <w:textAlignment w:val="auto"/>
        <w:rPr>
          <w:rFonts w:hint="default" w:ascii="Times New Roman" w:hAnsi="Times New Roman" w:cs="Times New Roman"/>
          <w:kern w:val="2"/>
          <w:sz w:val="24"/>
          <w:szCs w:val="21"/>
          <w:highlight w:val="none"/>
        </w:rPr>
      </w:pPr>
      <w:r>
        <w:rPr>
          <w:rFonts w:hint="default" w:ascii="楷体" w:hAnsi="楷体" w:eastAsia="楷体" w:cs="楷体"/>
          <w:b w:val="0"/>
          <w:bCs/>
          <w:sz w:val="24"/>
          <w:szCs w:val="21"/>
          <w:highlight w:val="none"/>
          <w:lang w:val="en-US" w:eastAsia="zh-CN"/>
        </w:rPr>
        <w:t>制冷机房运行状态评价</w:t>
      </w:r>
      <w:r>
        <w:rPr>
          <w:rFonts w:hint="eastAsia" w:ascii="楷体" w:hAnsi="楷体" w:eastAsia="楷体" w:cs="楷体"/>
          <w:b w:val="0"/>
          <w:bCs/>
          <w:sz w:val="24"/>
          <w:szCs w:val="21"/>
          <w:highlight w:val="none"/>
          <w:lang w:val="en-US" w:eastAsia="zh-CN"/>
        </w:rPr>
        <w:t>与能效评价不同。制冷机房运行状态评价基于监测的运行状态参数进行评价，制冷机房能效评价则基于运行效果进行评价。</w:t>
      </w:r>
      <w:r>
        <w:rPr>
          <w:rFonts w:hint="default" w:ascii="Times New Roman" w:hAnsi="Times New Roman" w:cs="Times New Roman"/>
          <w:kern w:val="2"/>
          <w:sz w:val="24"/>
          <w:szCs w:val="21"/>
          <w:highlight w:val="none"/>
        </w:rPr>
        <w:t xml:space="preserve"> </w:t>
      </w:r>
    </w:p>
    <w:p w14:paraId="22E468BE">
      <w:pPr>
        <w:pStyle w:val="57"/>
        <w:spacing w:line="540" w:lineRule="exact"/>
        <w:ind w:firstLine="0" w:firstLineChars="0"/>
        <w:jc w:val="left"/>
        <w:rPr>
          <w:rFonts w:hint="default" w:ascii="Times New Roman" w:hAnsi="Times New Roman" w:eastAsia="黑体" w:cs="Times New Roman"/>
          <w:kern w:val="0"/>
          <w:sz w:val="24"/>
          <w:szCs w:val="21"/>
          <w:highlight w:val="none"/>
        </w:rPr>
      </w:pPr>
      <w:r>
        <w:rPr>
          <w:rFonts w:hint="default" w:ascii="Times New Roman" w:hAnsi="Times New Roman" w:cs="Times New Roman"/>
          <w:b/>
          <w:sz w:val="24"/>
          <w:szCs w:val="21"/>
          <w:highlight w:val="none"/>
        </w:rPr>
        <w:t xml:space="preserve">2.0.2 </w:t>
      </w:r>
      <w:r>
        <w:rPr>
          <w:rFonts w:hint="default" w:ascii="Times New Roman" w:hAnsi="Times New Roman" w:cs="Times New Roman"/>
          <w:b/>
          <w:kern w:val="0"/>
          <w:sz w:val="24"/>
          <w:szCs w:val="21"/>
          <w:highlight w:val="none"/>
          <w:lang w:val="en-US" w:eastAsia="zh-CN"/>
        </w:rPr>
        <w:t>制冷机房运行状态</w:t>
      </w:r>
      <w:r>
        <w:rPr>
          <w:rFonts w:hint="default" w:ascii="Times New Roman" w:hAnsi="Times New Roman" w:cs="Times New Roman"/>
          <w:b/>
          <w:sz w:val="24"/>
          <w:szCs w:val="21"/>
          <w:highlight w:val="none"/>
          <w:lang w:val="en-US" w:eastAsia="zh-CN"/>
        </w:rPr>
        <w:t>即时评价</w:t>
      </w:r>
      <w:r>
        <w:rPr>
          <w:rFonts w:hint="default" w:ascii="Times New Roman" w:hAnsi="Times New Roman" w:eastAsia="黑体" w:cs="Times New Roman"/>
          <w:b/>
          <w:bCs/>
          <w:kern w:val="2"/>
          <w:sz w:val="24"/>
          <w:szCs w:val="21"/>
          <w:highlight w:val="none"/>
        </w:rPr>
        <w:t xml:space="preserve"> </w:t>
      </w:r>
      <w:r>
        <w:rPr>
          <w:rFonts w:hint="default" w:ascii="Times New Roman" w:hAnsi="Times New Roman" w:eastAsia="黑体" w:cs="Times New Roman"/>
          <w:kern w:val="0"/>
          <w:sz w:val="24"/>
          <w:szCs w:val="21"/>
          <w:highlight w:val="none"/>
        </w:rPr>
        <w:t>immediate</w:t>
      </w:r>
      <w:r>
        <w:rPr>
          <w:rFonts w:hint="eastAsia" w:ascii="Times New Roman" w:hAnsi="Times New Roman" w:eastAsia="黑体" w:cs="Times New Roman"/>
          <w:kern w:val="0"/>
          <w:sz w:val="24"/>
          <w:szCs w:val="21"/>
          <w:highlight w:val="none"/>
          <w:lang w:val="en-US" w:eastAsia="zh-CN"/>
        </w:rPr>
        <w:t xml:space="preserve"> a</w:t>
      </w:r>
      <w:r>
        <w:rPr>
          <w:rFonts w:hint="default" w:ascii="Times New Roman" w:hAnsi="Times New Roman" w:eastAsia="黑体" w:cs="Times New Roman"/>
          <w:kern w:val="0"/>
          <w:sz w:val="24"/>
          <w:szCs w:val="21"/>
          <w:highlight w:val="none"/>
        </w:rPr>
        <w:t>ssessment</w:t>
      </w:r>
      <w:r>
        <w:rPr>
          <w:rFonts w:hint="eastAsia" w:ascii="Times New Roman" w:eastAsia="黑体" w:cs="Times New Roman"/>
          <w:kern w:val="0"/>
          <w:sz w:val="24"/>
          <w:szCs w:val="21"/>
          <w:highlight w:val="none"/>
          <w:lang w:val="en-US" w:eastAsia="zh-CN"/>
        </w:rPr>
        <w:t xml:space="preserve"> on</w:t>
      </w:r>
      <w:r>
        <w:rPr>
          <w:rFonts w:hint="default" w:ascii="Times New Roman" w:hAnsi="Times New Roman" w:eastAsia="黑体" w:cs="Times New Roman"/>
          <w:kern w:val="0"/>
          <w:sz w:val="24"/>
          <w:szCs w:val="21"/>
          <w:highlight w:val="none"/>
          <w:lang w:val="en-US" w:eastAsia="zh-CN"/>
        </w:rPr>
        <w:t xml:space="preserve"> operating status of refrigerating station</w:t>
      </w:r>
    </w:p>
    <w:p w14:paraId="7C3AD805">
      <w:pPr>
        <w:pStyle w:val="57"/>
        <w:spacing w:line="540" w:lineRule="exact"/>
        <w:ind w:firstLine="480"/>
        <w:rPr>
          <w:rFonts w:hint="default" w:ascii="Times New Roman" w:hAnsi="Times New Roman" w:cs="Times New Roman"/>
          <w:kern w:val="2"/>
          <w:sz w:val="24"/>
          <w:szCs w:val="21"/>
          <w:highlight w:val="none"/>
        </w:rPr>
      </w:pPr>
      <w:r>
        <w:rPr>
          <w:rFonts w:hint="eastAsia" w:ascii="Times New Roman" w:cs="Times New Roman"/>
          <w:kern w:val="2"/>
          <w:sz w:val="24"/>
          <w:szCs w:val="21"/>
          <w:highlight w:val="none"/>
          <w:lang w:val="en-US" w:eastAsia="zh-CN"/>
        </w:rPr>
        <w:t>基于某一时刻的运行数据进行制冷机房运行状态评价。</w:t>
      </w:r>
    </w:p>
    <w:p w14:paraId="5689FDC2">
      <w:pPr>
        <w:pStyle w:val="57"/>
        <w:spacing w:line="540" w:lineRule="exact"/>
        <w:ind w:firstLine="0" w:firstLineChars="0"/>
        <w:rPr>
          <w:rFonts w:hint="default" w:ascii="Times New Roman" w:hAnsi="Times New Roman" w:cs="Times New Roman"/>
          <w:bCs/>
          <w:sz w:val="24"/>
          <w:szCs w:val="21"/>
          <w:highlight w:val="none"/>
        </w:rPr>
      </w:pPr>
      <w:r>
        <w:rPr>
          <w:rFonts w:hint="default" w:ascii="Times New Roman" w:hAnsi="Times New Roman" w:cs="Times New Roman"/>
          <w:b/>
          <w:sz w:val="24"/>
          <w:szCs w:val="21"/>
          <w:highlight w:val="none"/>
        </w:rPr>
        <w:t xml:space="preserve">2.0.3 </w:t>
      </w:r>
      <w:r>
        <w:rPr>
          <w:rFonts w:hint="default" w:ascii="Times New Roman" w:hAnsi="Times New Roman" w:cs="Times New Roman"/>
          <w:b/>
          <w:kern w:val="0"/>
          <w:sz w:val="24"/>
          <w:szCs w:val="21"/>
          <w:highlight w:val="none"/>
          <w:lang w:val="en-US" w:eastAsia="zh-CN"/>
        </w:rPr>
        <w:t>制冷机房运行状态</w:t>
      </w:r>
      <w:r>
        <w:rPr>
          <w:rFonts w:hint="eastAsia" w:ascii="Times New Roman" w:cs="Times New Roman"/>
          <w:b/>
          <w:sz w:val="24"/>
          <w:szCs w:val="21"/>
          <w:highlight w:val="none"/>
          <w:lang w:val="en-US" w:eastAsia="zh-CN"/>
        </w:rPr>
        <w:t>时段</w:t>
      </w:r>
      <w:r>
        <w:rPr>
          <w:rFonts w:hint="default" w:ascii="Times New Roman" w:hAnsi="Times New Roman" w:cs="Times New Roman"/>
          <w:b/>
          <w:sz w:val="24"/>
          <w:szCs w:val="21"/>
          <w:highlight w:val="none"/>
          <w:lang w:val="en-US" w:eastAsia="zh-CN"/>
        </w:rPr>
        <w:t>评价</w:t>
      </w:r>
      <w:r>
        <w:rPr>
          <w:rFonts w:hint="default" w:ascii="Times New Roman" w:hAnsi="Times New Roman" w:cs="Times New Roman"/>
          <w:b/>
          <w:sz w:val="24"/>
          <w:szCs w:val="21"/>
          <w:highlight w:val="none"/>
        </w:rPr>
        <w:t xml:space="preserve"> </w:t>
      </w:r>
      <w:r>
        <w:rPr>
          <w:rFonts w:hint="eastAsia" w:ascii="Times New Roman" w:eastAsia="黑体" w:cs="Times New Roman"/>
          <w:kern w:val="0"/>
          <w:sz w:val="24"/>
          <w:szCs w:val="21"/>
          <w:highlight w:val="none"/>
          <w:lang w:val="en-US" w:eastAsia="zh-CN"/>
        </w:rPr>
        <w:t>periodic</w:t>
      </w:r>
      <w:r>
        <w:rPr>
          <w:rFonts w:hint="eastAsia" w:ascii="Times New Roman" w:hAnsi="Times New Roman" w:eastAsia="黑体" w:cs="Times New Roman"/>
          <w:kern w:val="0"/>
          <w:sz w:val="24"/>
          <w:szCs w:val="21"/>
          <w:highlight w:val="none"/>
          <w:lang w:val="en-US" w:eastAsia="zh-CN"/>
        </w:rPr>
        <w:t xml:space="preserve"> a</w:t>
      </w:r>
      <w:r>
        <w:rPr>
          <w:rFonts w:hint="default" w:ascii="Times New Roman" w:hAnsi="Times New Roman" w:eastAsia="黑体" w:cs="Times New Roman"/>
          <w:kern w:val="0"/>
          <w:sz w:val="24"/>
          <w:szCs w:val="21"/>
          <w:highlight w:val="none"/>
        </w:rPr>
        <w:t>ssessment</w:t>
      </w:r>
      <w:r>
        <w:rPr>
          <w:rFonts w:hint="eastAsia" w:ascii="Times New Roman" w:eastAsia="黑体" w:cs="Times New Roman"/>
          <w:kern w:val="0"/>
          <w:sz w:val="24"/>
          <w:szCs w:val="21"/>
          <w:highlight w:val="none"/>
          <w:lang w:val="en-US" w:eastAsia="zh-CN"/>
        </w:rPr>
        <w:t xml:space="preserve"> on</w:t>
      </w:r>
      <w:r>
        <w:rPr>
          <w:rFonts w:hint="default" w:ascii="Times New Roman" w:hAnsi="Times New Roman" w:eastAsia="黑体" w:cs="Times New Roman"/>
          <w:kern w:val="0"/>
          <w:sz w:val="24"/>
          <w:szCs w:val="21"/>
          <w:highlight w:val="none"/>
          <w:lang w:val="en-US" w:eastAsia="zh-CN"/>
        </w:rPr>
        <w:t xml:space="preserve"> operating status of refrigerating station</w:t>
      </w:r>
    </w:p>
    <w:p w14:paraId="047999B4">
      <w:pPr>
        <w:pStyle w:val="57"/>
        <w:spacing w:line="540" w:lineRule="exact"/>
        <w:ind w:firstLine="0" w:firstLineChars="0"/>
        <w:rPr>
          <w:rFonts w:hint="eastAsia" w:ascii="Times New Roman" w:cs="Times New Roman"/>
          <w:bCs/>
          <w:sz w:val="24"/>
          <w:szCs w:val="21"/>
          <w:highlight w:val="none"/>
          <w:lang w:val="en-US" w:eastAsia="zh-CN"/>
        </w:rPr>
      </w:pPr>
      <w:r>
        <w:rPr>
          <w:rFonts w:hint="default" w:ascii="Times New Roman" w:hAnsi="Times New Roman" w:cs="Times New Roman"/>
          <w:bCs/>
          <w:sz w:val="24"/>
          <w:szCs w:val="21"/>
          <w:highlight w:val="none"/>
        </w:rPr>
        <w:tab/>
      </w:r>
      <w:r>
        <w:rPr>
          <w:rFonts w:hint="eastAsia" w:ascii="Times New Roman" w:cs="Times New Roman"/>
          <w:bCs/>
          <w:sz w:val="24"/>
          <w:szCs w:val="21"/>
          <w:highlight w:val="none"/>
          <w:lang w:val="en-US" w:eastAsia="zh-CN"/>
        </w:rPr>
        <w:t>基于一段时间的运行数据进行制冷机房运行状态评价。</w:t>
      </w:r>
    </w:p>
    <w:p w14:paraId="3A1F17C4">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left"/>
        <w:textAlignment w:val="auto"/>
        <w:rPr>
          <w:rFonts w:hint="eastAsia"/>
          <w:b w:val="0"/>
          <w:bCs/>
          <w:sz w:val="24"/>
          <w:szCs w:val="21"/>
          <w:highlight w:val="none"/>
          <w:lang w:val="en-US" w:eastAsia="zh-CN"/>
        </w:rPr>
      </w:pPr>
      <w:r>
        <w:rPr>
          <w:rFonts w:hint="eastAsia"/>
          <w:b w:val="0"/>
          <w:bCs/>
          <w:sz w:val="24"/>
          <w:szCs w:val="21"/>
          <w:highlight w:val="none"/>
          <w:lang w:val="en-US" w:eastAsia="zh-CN"/>
        </w:rPr>
        <w:t>【条文说明】</w:t>
      </w:r>
    </w:p>
    <w:p w14:paraId="16314C87">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left"/>
        <w:textAlignment w:val="auto"/>
        <w:rPr>
          <w:rFonts w:hint="eastAsia" w:ascii="楷体" w:hAnsi="楷体" w:eastAsia="楷体" w:cs="楷体"/>
          <w:b w:val="0"/>
          <w:bCs/>
          <w:sz w:val="24"/>
          <w:szCs w:val="21"/>
          <w:highlight w:val="none"/>
          <w:lang w:val="en-US" w:eastAsia="zh-CN"/>
        </w:rPr>
      </w:pPr>
      <w:r>
        <w:rPr>
          <w:rFonts w:hint="eastAsia" w:ascii="楷体" w:hAnsi="楷体" w:eastAsia="楷体" w:cs="楷体"/>
          <w:b w:val="0"/>
          <w:bCs/>
          <w:sz w:val="24"/>
          <w:szCs w:val="21"/>
          <w:highlight w:val="none"/>
          <w:lang w:val="en-US" w:eastAsia="zh-CN"/>
        </w:rPr>
        <w:t>即时评价能够比较迅速地反映制冷机房运行状态，但由于某些参数难以即时计算，因而即时评价可能略有偏颇。时段评价能够较准确地反映制冷机房运行状态，但及时性稍差。用户可根据即时评价结果及时调整运行操作，根据时段评价结果对制冷机房进行维护、维修或调适。</w:t>
      </w:r>
    </w:p>
    <w:p w14:paraId="18F8D064">
      <w:pPr>
        <w:pStyle w:val="57"/>
        <w:spacing w:line="540" w:lineRule="exact"/>
        <w:ind w:firstLine="480"/>
        <w:rPr>
          <w:rFonts w:ascii="Times New Roman"/>
          <w:kern w:val="2"/>
          <w:sz w:val="24"/>
          <w:szCs w:val="21"/>
          <w:highlight w:val="none"/>
        </w:rPr>
      </w:pPr>
    </w:p>
    <w:p w14:paraId="06B00B3A">
      <w:pPr>
        <w:pStyle w:val="57"/>
        <w:spacing w:line="360" w:lineRule="auto"/>
        <w:ind w:firstLine="0" w:firstLineChars="0"/>
        <w:rPr>
          <w:rFonts w:ascii="Times New Roman"/>
          <w:szCs w:val="21"/>
          <w:highlight w:val="none"/>
        </w:rPr>
        <w:sectPr>
          <w:pgSz w:w="11907" w:h="16839"/>
          <w:pgMar w:top="1418" w:right="1512" w:bottom="1134" w:left="1418" w:header="1418" w:footer="851" w:gutter="0"/>
          <w:pgBorders>
            <w:top w:val="none" w:sz="0" w:space="0"/>
            <w:left w:val="none" w:sz="0" w:space="0"/>
            <w:bottom w:val="none" w:sz="0" w:space="0"/>
            <w:right w:val="none" w:sz="0" w:space="0"/>
          </w:pgBorders>
          <w:cols w:space="425" w:num="1"/>
          <w:titlePg/>
          <w:docGrid w:type="lines" w:linePitch="312" w:charSpace="0"/>
        </w:sectPr>
      </w:pPr>
    </w:p>
    <w:p w14:paraId="40BF7548">
      <w:pPr>
        <w:spacing w:after="240"/>
        <w:jc w:val="center"/>
        <w:outlineLvl w:val="0"/>
        <w:rPr>
          <w:rFonts w:eastAsia="黑体"/>
          <w:bCs/>
          <w:kern w:val="0"/>
          <w:sz w:val="28"/>
          <w:szCs w:val="28"/>
          <w:highlight w:val="none"/>
        </w:rPr>
      </w:pPr>
      <w:bookmarkStart w:id="23" w:name="_Toc8845894"/>
      <w:bookmarkStart w:id="24" w:name="_Toc26812407"/>
      <w:bookmarkStart w:id="25" w:name="_Toc25167"/>
      <w:bookmarkStart w:id="26" w:name="_Hlk125983769"/>
      <w:bookmarkStart w:id="27" w:name="_Hlk125982700"/>
      <w:bookmarkStart w:id="28" w:name="_Toc237062520"/>
      <w:r>
        <w:rPr>
          <w:rFonts w:eastAsia="黑体"/>
          <w:bCs/>
          <w:kern w:val="0"/>
          <w:sz w:val="28"/>
          <w:szCs w:val="28"/>
          <w:highlight w:val="none"/>
        </w:rPr>
        <w:t>3</w:t>
      </w:r>
      <w:r>
        <w:rPr>
          <w:rFonts w:hint="eastAsia" w:eastAsia="黑体"/>
          <w:bCs/>
          <w:kern w:val="0"/>
          <w:sz w:val="28"/>
          <w:szCs w:val="28"/>
          <w:highlight w:val="none"/>
          <w:lang w:val="en-US" w:eastAsia="zh-CN"/>
        </w:rPr>
        <w:t xml:space="preserve"> </w:t>
      </w:r>
      <w:bookmarkEnd w:id="23"/>
      <w:bookmarkEnd w:id="24"/>
      <w:bookmarkStart w:id="29" w:name="_Toc502410587"/>
      <w:r>
        <w:rPr>
          <w:rFonts w:eastAsia="黑体"/>
          <w:bCs/>
          <w:kern w:val="0"/>
          <w:sz w:val="28"/>
          <w:szCs w:val="28"/>
          <w:highlight w:val="none"/>
        </w:rPr>
        <w:t>基本规定</w:t>
      </w:r>
      <w:bookmarkEnd w:id="25"/>
    </w:p>
    <w:bookmarkEnd w:id="26"/>
    <w:bookmarkEnd w:id="27"/>
    <w:p w14:paraId="2FFC7B78">
      <w:pPr>
        <w:keepNext w:val="0"/>
        <w:keepLines w:val="0"/>
        <w:pageBreakBefore w:val="0"/>
        <w:kinsoku/>
        <w:wordWrap/>
        <w:overflowPunct/>
        <w:topLinePunct w:val="0"/>
        <w:bidi w:val="0"/>
        <w:adjustRightInd w:val="0"/>
        <w:snapToGrid w:val="0"/>
        <w:spacing w:line="360" w:lineRule="auto"/>
        <w:jc w:val="left"/>
        <w:textAlignment w:val="auto"/>
        <w:rPr>
          <w:rFonts w:hint="eastAsia" w:ascii="Times New Roman"/>
          <w:b w:val="0"/>
          <w:bCs/>
          <w:sz w:val="24"/>
          <w:szCs w:val="21"/>
          <w:highlight w:val="none"/>
          <w:lang w:val="en-US" w:eastAsia="zh-CN"/>
        </w:rPr>
      </w:pPr>
      <w:bookmarkStart w:id="30" w:name="_Toc6514253"/>
      <w:r>
        <w:rPr>
          <w:b/>
          <w:color w:val="000000" w:themeColor="text1"/>
          <w:kern w:val="0"/>
          <w:sz w:val="24"/>
          <w:szCs w:val="21"/>
          <w:highlight w:val="none"/>
          <w14:textFill>
            <w14:solidFill>
              <w14:schemeClr w14:val="tx1"/>
            </w14:solidFill>
          </w14:textFill>
        </w:rPr>
        <w:t>3.</w:t>
      </w:r>
      <w:r>
        <w:rPr>
          <w:rFonts w:hint="eastAsia"/>
          <w:b/>
          <w:color w:val="000000" w:themeColor="text1"/>
          <w:kern w:val="0"/>
          <w:sz w:val="24"/>
          <w:szCs w:val="21"/>
          <w:highlight w:val="none"/>
          <w:lang w:val="en-US" w:eastAsia="zh-CN"/>
          <w14:textFill>
            <w14:solidFill>
              <w14:schemeClr w14:val="tx1"/>
            </w14:solidFill>
          </w14:textFill>
        </w:rPr>
        <w:t>0</w:t>
      </w:r>
      <w:r>
        <w:rPr>
          <w:b/>
          <w:color w:val="000000" w:themeColor="text1"/>
          <w:kern w:val="0"/>
          <w:sz w:val="24"/>
          <w:szCs w:val="21"/>
          <w:highlight w:val="none"/>
          <w14:textFill>
            <w14:solidFill>
              <w14:schemeClr w14:val="tx1"/>
            </w14:solidFill>
          </w14:textFill>
        </w:rPr>
        <w:t xml:space="preserve">.1 </w:t>
      </w:r>
      <w:r>
        <w:rPr>
          <w:rFonts w:hint="eastAsia"/>
          <w:b/>
          <w:color w:val="000000" w:themeColor="text1"/>
          <w:kern w:val="0"/>
          <w:sz w:val="24"/>
          <w:szCs w:val="21"/>
          <w:highlight w:val="none"/>
          <w:lang w:val="en-US" w:eastAsia="zh-CN"/>
          <w14:textFill>
            <w14:solidFill>
              <w14:schemeClr w14:val="tx1"/>
            </w14:solidFill>
          </w14:textFill>
        </w:rPr>
        <w:t xml:space="preserve">   </w:t>
      </w:r>
      <w:r>
        <w:rPr>
          <w:rFonts w:hint="eastAsia" w:ascii="Times New Roman"/>
          <w:b/>
          <w:sz w:val="24"/>
          <w:szCs w:val="21"/>
          <w:highlight w:val="none"/>
          <w:lang w:val="en-US" w:eastAsia="zh-CN"/>
        </w:rPr>
        <w:t xml:space="preserve"> </w:t>
      </w:r>
      <w:r>
        <w:rPr>
          <w:rFonts w:hint="eastAsia" w:ascii="Times New Roman"/>
          <w:b w:val="0"/>
          <w:bCs/>
          <w:sz w:val="24"/>
          <w:szCs w:val="21"/>
          <w:highlight w:val="none"/>
          <w:lang w:val="en-US" w:eastAsia="zh-CN"/>
        </w:rPr>
        <w:t>制冷机房运行状态评价应依据正确的运行数据进行。</w:t>
      </w:r>
    </w:p>
    <w:p w14:paraId="4ACDB88F">
      <w:pPr>
        <w:keepNext w:val="0"/>
        <w:keepLines w:val="0"/>
        <w:pageBreakBefore w:val="0"/>
        <w:kinsoku/>
        <w:wordWrap/>
        <w:overflowPunct/>
        <w:topLinePunct w:val="0"/>
        <w:bidi w:val="0"/>
        <w:adjustRightInd w:val="0"/>
        <w:snapToGrid w:val="0"/>
        <w:spacing w:line="360" w:lineRule="auto"/>
        <w:jc w:val="left"/>
        <w:textAlignment w:val="auto"/>
        <w:rPr>
          <w:rFonts w:hint="eastAsia"/>
          <w:b w:val="0"/>
          <w:bCs/>
          <w:sz w:val="24"/>
          <w:szCs w:val="21"/>
          <w:highlight w:val="none"/>
          <w:lang w:val="en-US" w:eastAsia="zh-CN"/>
        </w:rPr>
      </w:pPr>
      <w:r>
        <w:rPr>
          <w:rFonts w:hint="eastAsia"/>
          <w:b w:val="0"/>
          <w:bCs/>
          <w:sz w:val="24"/>
          <w:szCs w:val="21"/>
          <w:highlight w:val="none"/>
          <w:lang w:val="en-US" w:eastAsia="zh-CN"/>
        </w:rPr>
        <w:t>【条文说明】</w:t>
      </w:r>
    </w:p>
    <w:p w14:paraId="13B1EA6F">
      <w:pPr>
        <w:keepNext w:val="0"/>
        <w:keepLines w:val="0"/>
        <w:pageBreakBefore w:val="0"/>
        <w:kinsoku/>
        <w:wordWrap/>
        <w:overflowPunct/>
        <w:topLinePunct w:val="0"/>
        <w:bidi w:val="0"/>
        <w:adjustRightInd w:val="0"/>
        <w:snapToGrid w:val="0"/>
        <w:spacing w:line="360" w:lineRule="auto"/>
        <w:jc w:val="left"/>
        <w:textAlignment w:val="auto"/>
        <w:rPr>
          <w:rFonts w:hint="eastAsia" w:ascii="楷体" w:hAnsi="楷体" w:eastAsia="楷体" w:cs="楷体"/>
          <w:b w:val="0"/>
          <w:bCs/>
          <w:sz w:val="24"/>
          <w:szCs w:val="21"/>
          <w:highlight w:val="none"/>
          <w:lang w:val="en-US" w:eastAsia="zh-CN"/>
        </w:rPr>
      </w:pPr>
      <w:r>
        <w:rPr>
          <w:rFonts w:hint="eastAsia" w:ascii="楷体" w:hAnsi="楷体" w:eastAsia="楷体" w:cs="楷体"/>
          <w:b w:val="0"/>
          <w:bCs/>
          <w:sz w:val="24"/>
          <w:szCs w:val="21"/>
          <w:highlight w:val="none"/>
          <w:lang w:val="en-US" w:eastAsia="zh-CN"/>
        </w:rPr>
        <w:t>“正确的运行数据”指经过数据清洗，从原始运行数据中剔除了异常数据，能够正确反映制冷机房运行状态的数据。</w:t>
      </w:r>
    </w:p>
    <w:p w14:paraId="070E9B70">
      <w:pPr>
        <w:keepNext w:val="0"/>
        <w:keepLines w:val="0"/>
        <w:pageBreakBefore w:val="0"/>
        <w:kinsoku/>
        <w:wordWrap/>
        <w:overflowPunct/>
        <w:topLinePunct w:val="0"/>
        <w:bidi w:val="0"/>
        <w:adjustRightInd w:val="0"/>
        <w:snapToGrid w:val="0"/>
        <w:spacing w:line="360" w:lineRule="auto"/>
        <w:jc w:val="left"/>
        <w:textAlignment w:val="auto"/>
        <w:rPr>
          <w:rFonts w:hint="eastAsia"/>
          <w:b w:val="0"/>
          <w:bCs/>
          <w:kern w:val="0"/>
          <w:sz w:val="24"/>
          <w:szCs w:val="21"/>
          <w:highlight w:val="none"/>
          <w:lang w:val="en-US" w:eastAsia="zh-CN"/>
        </w:rPr>
      </w:pPr>
      <w:r>
        <w:rPr>
          <w:b/>
          <w:color w:val="000000" w:themeColor="text1"/>
          <w:kern w:val="0"/>
          <w:sz w:val="24"/>
          <w:szCs w:val="21"/>
          <w:highlight w:val="none"/>
          <w14:textFill>
            <w14:solidFill>
              <w14:schemeClr w14:val="tx1"/>
            </w14:solidFill>
          </w14:textFill>
        </w:rPr>
        <w:t>3.</w:t>
      </w:r>
      <w:r>
        <w:rPr>
          <w:rFonts w:hint="eastAsia"/>
          <w:b/>
          <w:color w:val="000000" w:themeColor="text1"/>
          <w:kern w:val="0"/>
          <w:sz w:val="24"/>
          <w:szCs w:val="21"/>
          <w:highlight w:val="none"/>
          <w:lang w:val="en-US" w:eastAsia="zh-CN"/>
          <w14:textFill>
            <w14:solidFill>
              <w14:schemeClr w14:val="tx1"/>
            </w14:solidFill>
          </w14:textFill>
        </w:rPr>
        <w:t>0</w:t>
      </w:r>
      <w:r>
        <w:rPr>
          <w:b/>
          <w:color w:val="000000" w:themeColor="text1"/>
          <w:kern w:val="0"/>
          <w:sz w:val="24"/>
          <w:szCs w:val="21"/>
          <w:highlight w:val="none"/>
          <w14:textFill>
            <w14:solidFill>
              <w14:schemeClr w14:val="tx1"/>
            </w14:solidFill>
          </w14:textFill>
        </w:rPr>
        <w:t>.2</w:t>
      </w:r>
      <w:r>
        <w:rPr>
          <w:b/>
          <w:kern w:val="0"/>
          <w:sz w:val="24"/>
          <w:szCs w:val="21"/>
          <w:highlight w:val="none"/>
        </w:rPr>
        <w:t xml:space="preserve"> </w:t>
      </w:r>
      <w:r>
        <w:rPr>
          <w:rFonts w:hint="eastAsia"/>
          <w:b/>
          <w:kern w:val="0"/>
          <w:sz w:val="24"/>
          <w:szCs w:val="21"/>
          <w:highlight w:val="none"/>
          <w:lang w:val="en-US" w:eastAsia="zh-CN"/>
        </w:rPr>
        <w:t xml:space="preserve">    </w:t>
      </w:r>
      <w:r>
        <w:rPr>
          <w:rFonts w:hint="eastAsia"/>
          <w:b w:val="0"/>
          <w:bCs/>
          <w:kern w:val="0"/>
          <w:sz w:val="24"/>
          <w:szCs w:val="21"/>
          <w:highlight w:val="none"/>
          <w:lang w:val="en-US" w:eastAsia="zh-CN"/>
        </w:rPr>
        <w:t>根据评价内容，</w:t>
      </w:r>
      <w:r>
        <w:rPr>
          <w:rFonts w:hint="eastAsia"/>
          <w:b w:val="0"/>
          <w:bCs/>
          <w:color w:val="000000" w:themeColor="text1"/>
          <w:kern w:val="0"/>
          <w:sz w:val="24"/>
          <w:szCs w:val="21"/>
          <w:highlight w:val="none"/>
          <w:lang w:val="en-US" w:eastAsia="zh-CN"/>
          <w14:textFill>
            <w14:solidFill>
              <w14:schemeClr w14:val="tx1"/>
            </w14:solidFill>
          </w14:textFill>
        </w:rPr>
        <w:t>制冷机房运行状态评价应分为安全性评价、功能性评价、节能性评价和总体评价。总体评价应基于安全性评价、功能性评价和节能性评价进行。</w:t>
      </w:r>
    </w:p>
    <w:p w14:paraId="2A1A2510">
      <w:pPr>
        <w:keepNext w:val="0"/>
        <w:keepLines w:val="0"/>
        <w:pageBreakBefore w:val="0"/>
        <w:kinsoku/>
        <w:wordWrap/>
        <w:overflowPunct/>
        <w:topLinePunct w:val="0"/>
        <w:bidi w:val="0"/>
        <w:adjustRightInd w:val="0"/>
        <w:snapToGrid w:val="0"/>
        <w:spacing w:line="360" w:lineRule="auto"/>
        <w:jc w:val="left"/>
        <w:textAlignment w:val="auto"/>
        <w:rPr>
          <w:rFonts w:hint="eastAsia"/>
          <w:b w:val="0"/>
          <w:bCs/>
          <w:sz w:val="24"/>
          <w:szCs w:val="21"/>
          <w:highlight w:val="none"/>
          <w:lang w:val="en-US" w:eastAsia="zh-CN"/>
        </w:rPr>
      </w:pPr>
      <w:r>
        <w:rPr>
          <w:rFonts w:hint="eastAsia"/>
          <w:b w:val="0"/>
          <w:bCs/>
          <w:sz w:val="24"/>
          <w:szCs w:val="21"/>
          <w:highlight w:val="none"/>
          <w:lang w:val="en-US" w:eastAsia="zh-CN"/>
        </w:rPr>
        <w:t>【条文说明】</w:t>
      </w:r>
    </w:p>
    <w:p w14:paraId="07B5BCF9">
      <w:pPr>
        <w:keepNext w:val="0"/>
        <w:keepLines w:val="0"/>
        <w:pageBreakBefore w:val="0"/>
        <w:kinsoku/>
        <w:wordWrap/>
        <w:overflowPunct/>
        <w:topLinePunct w:val="0"/>
        <w:bidi w:val="0"/>
        <w:adjustRightInd w:val="0"/>
        <w:snapToGrid w:val="0"/>
        <w:spacing w:line="360" w:lineRule="auto"/>
        <w:jc w:val="left"/>
        <w:textAlignment w:val="auto"/>
        <w:rPr>
          <w:rFonts w:hint="eastAsia" w:ascii="楷体" w:hAnsi="楷体" w:eastAsia="楷体" w:cs="楷体"/>
          <w:b w:val="0"/>
          <w:bCs/>
          <w:sz w:val="24"/>
          <w:szCs w:val="21"/>
          <w:highlight w:val="none"/>
          <w:lang w:val="en-US" w:eastAsia="zh-CN"/>
        </w:rPr>
      </w:pPr>
      <w:r>
        <w:rPr>
          <w:rFonts w:hint="eastAsia" w:ascii="楷体" w:hAnsi="楷体" w:eastAsia="楷体" w:cs="楷体"/>
          <w:b w:val="0"/>
          <w:bCs/>
          <w:sz w:val="24"/>
          <w:szCs w:val="21"/>
          <w:highlight w:val="none"/>
          <w:lang w:val="en-US" w:eastAsia="zh-CN"/>
        </w:rPr>
        <w:t>对于制冷机房运行状态评价，还有一个维度是折损性，反映了运行过程中对设备寿命的保护。考虑到折损性指标与节能性指标有一部分重合，在界限上与安全性有时不易区分清楚，故将折损性合并到节能性和安全性，不再单独将其作为制冷机房运行状态评价的一个方面。</w:t>
      </w:r>
    </w:p>
    <w:p w14:paraId="772D8219">
      <w:pPr>
        <w:keepNext w:val="0"/>
        <w:keepLines w:val="0"/>
        <w:pageBreakBefore w:val="0"/>
        <w:kinsoku/>
        <w:wordWrap/>
        <w:overflowPunct/>
        <w:topLinePunct w:val="0"/>
        <w:bidi w:val="0"/>
        <w:adjustRightInd w:val="0"/>
        <w:snapToGrid w:val="0"/>
        <w:spacing w:line="360" w:lineRule="auto"/>
        <w:jc w:val="left"/>
        <w:textAlignment w:val="auto"/>
        <w:rPr>
          <w:rFonts w:hint="eastAsia"/>
          <w:bCs/>
          <w:kern w:val="0"/>
          <w:sz w:val="24"/>
          <w:szCs w:val="21"/>
          <w:highlight w:val="none"/>
          <w:lang w:val="en-US" w:eastAsia="zh-CN"/>
        </w:rPr>
      </w:pPr>
      <w:r>
        <w:rPr>
          <w:b/>
          <w:color w:val="000000" w:themeColor="text1"/>
          <w:kern w:val="0"/>
          <w:sz w:val="24"/>
          <w:szCs w:val="21"/>
          <w:highlight w:val="none"/>
          <w14:textFill>
            <w14:solidFill>
              <w14:schemeClr w14:val="tx1"/>
            </w14:solidFill>
          </w14:textFill>
        </w:rPr>
        <w:t>3.</w:t>
      </w:r>
      <w:r>
        <w:rPr>
          <w:rFonts w:hint="eastAsia"/>
          <w:b/>
          <w:color w:val="000000" w:themeColor="text1"/>
          <w:kern w:val="0"/>
          <w:sz w:val="24"/>
          <w:szCs w:val="21"/>
          <w:highlight w:val="none"/>
          <w:lang w:val="en-US" w:eastAsia="zh-CN"/>
          <w14:textFill>
            <w14:solidFill>
              <w14:schemeClr w14:val="tx1"/>
            </w14:solidFill>
          </w14:textFill>
        </w:rPr>
        <w:t>0</w:t>
      </w:r>
      <w:r>
        <w:rPr>
          <w:b/>
          <w:color w:val="000000" w:themeColor="text1"/>
          <w:kern w:val="0"/>
          <w:sz w:val="24"/>
          <w:szCs w:val="21"/>
          <w:highlight w:val="none"/>
          <w14:textFill>
            <w14:solidFill>
              <w14:schemeClr w14:val="tx1"/>
            </w14:solidFill>
          </w14:textFill>
        </w:rPr>
        <w:t>.</w:t>
      </w:r>
      <w:r>
        <w:rPr>
          <w:rFonts w:hint="eastAsia"/>
          <w:b/>
          <w:color w:val="000000" w:themeColor="text1"/>
          <w:kern w:val="0"/>
          <w:sz w:val="24"/>
          <w:szCs w:val="21"/>
          <w:highlight w:val="none"/>
          <w:lang w:val="en-US" w:eastAsia="zh-CN"/>
          <w14:textFill>
            <w14:solidFill>
              <w14:schemeClr w14:val="tx1"/>
            </w14:solidFill>
          </w14:textFill>
        </w:rPr>
        <w:t>3</w:t>
      </w:r>
      <w:r>
        <w:rPr>
          <w:b/>
          <w:kern w:val="0"/>
          <w:sz w:val="24"/>
          <w:szCs w:val="21"/>
          <w:highlight w:val="none"/>
        </w:rPr>
        <w:t xml:space="preserve"> </w:t>
      </w:r>
      <w:r>
        <w:rPr>
          <w:rFonts w:hint="eastAsia"/>
          <w:b/>
          <w:kern w:val="0"/>
          <w:sz w:val="24"/>
          <w:szCs w:val="21"/>
          <w:highlight w:val="none"/>
          <w:lang w:val="en-US" w:eastAsia="zh-CN"/>
        </w:rPr>
        <w:t xml:space="preserve">   </w:t>
      </w:r>
      <w:r>
        <w:rPr>
          <w:rFonts w:hint="eastAsia"/>
          <w:bCs/>
          <w:color w:val="000000" w:themeColor="text1"/>
          <w:kern w:val="0"/>
          <w:sz w:val="24"/>
          <w:szCs w:val="21"/>
          <w:highlight w:val="none"/>
          <w:lang w:val="en-US" w:eastAsia="zh-CN"/>
          <w14:textFill>
            <w14:solidFill>
              <w14:schemeClr w14:val="tx1"/>
            </w14:solidFill>
          </w14:textFill>
        </w:rPr>
        <w:t>根据评价所针对的时间段，制冷机房运行状态评价应分为</w:t>
      </w:r>
      <w:r>
        <w:rPr>
          <w:rFonts w:hint="eastAsia"/>
          <w:b w:val="0"/>
          <w:bCs/>
          <w:kern w:val="0"/>
          <w:sz w:val="24"/>
          <w:szCs w:val="21"/>
          <w:highlight w:val="none"/>
          <w:lang w:val="en-US" w:eastAsia="zh-CN"/>
        </w:rPr>
        <w:t>即时评价和时段评价</w:t>
      </w:r>
      <w:r>
        <w:rPr>
          <w:rFonts w:hint="eastAsia"/>
          <w:bCs/>
          <w:kern w:val="0"/>
          <w:sz w:val="24"/>
          <w:szCs w:val="21"/>
          <w:highlight w:val="none"/>
          <w:lang w:val="en-US" w:eastAsia="zh-CN"/>
        </w:rPr>
        <w:t>。</w:t>
      </w:r>
    </w:p>
    <w:p w14:paraId="20A58F49">
      <w:pPr>
        <w:keepNext w:val="0"/>
        <w:keepLines w:val="0"/>
        <w:pageBreakBefore w:val="0"/>
        <w:kinsoku/>
        <w:wordWrap/>
        <w:overflowPunct/>
        <w:topLinePunct w:val="0"/>
        <w:bidi w:val="0"/>
        <w:adjustRightInd w:val="0"/>
        <w:snapToGrid w:val="0"/>
        <w:spacing w:line="360" w:lineRule="auto"/>
        <w:jc w:val="left"/>
        <w:textAlignment w:val="auto"/>
        <w:rPr>
          <w:rFonts w:hint="eastAsia"/>
          <w:b w:val="0"/>
          <w:bCs/>
          <w:sz w:val="24"/>
          <w:szCs w:val="21"/>
          <w:highlight w:val="none"/>
          <w:lang w:val="en-US" w:eastAsia="zh-CN"/>
        </w:rPr>
      </w:pPr>
      <w:r>
        <w:rPr>
          <w:rFonts w:hint="eastAsia"/>
          <w:b w:val="0"/>
          <w:bCs/>
          <w:sz w:val="24"/>
          <w:szCs w:val="21"/>
          <w:highlight w:val="none"/>
          <w:lang w:val="en-US" w:eastAsia="zh-CN"/>
        </w:rPr>
        <w:t>【条文说明】</w:t>
      </w:r>
    </w:p>
    <w:p w14:paraId="60D3D7D8">
      <w:pPr>
        <w:keepNext w:val="0"/>
        <w:keepLines w:val="0"/>
        <w:pageBreakBefore w:val="0"/>
        <w:kinsoku/>
        <w:wordWrap/>
        <w:overflowPunct/>
        <w:topLinePunct w:val="0"/>
        <w:bidi w:val="0"/>
        <w:adjustRightInd w:val="0"/>
        <w:snapToGrid w:val="0"/>
        <w:spacing w:line="360" w:lineRule="auto"/>
        <w:jc w:val="left"/>
        <w:textAlignment w:val="auto"/>
        <w:rPr>
          <w:rFonts w:hint="eastAsia" w:ascii="楷体" w:hAnsi="楷体" w:eastAsia="楷体" w:cs="楷体"/>
          <w:b w:val="0"/>
          <w:bCs/>
          <w:sz w:val="24"/>
          <w:szCs w:val="21"/>
          <w:highlight w:val="none"/>
          <w:lang w:val="en-US" w:eastAsia="zh-CN"/>
        </w:rPr>
      </w:pPr>
      <w:r>
        <w:rPr>
          <w:rFonts w:hint="eastAsia" w:ascii="楷体" w:hAnsi="楷体" w:eastAsia="楷体" w:cs="楷体"/>
          <w:b w:val="0"/>
          <w:bCs/>
          <w:sz w:val="24"/>
          <w:szCs w:val="21"/>
          <w:highlight w:val="none"/>
          <w:lang w:val="en-US" w:eastAsia="zh-CN"/>
        </w:rPr>
        <w:t>“时段评价”所针对的时间段可以根据制冷机房具体运行情况确定。对于每天在规定时间段运行的制冷机房，可将每天的运行时间段作为评价时间段；对于按照班次运行的制冷机房，可将班次时间作为评价时间段；对于运行状态受外界影响因素（如气候或负荷）影响较大的制冷机房，可根据气候或负荷情况确定评价时间段；在制冷机房进行了维护、维修或调适作业后，可将作业前后时间段分别作为评价时间段。而且，上述提到的评价时间段可以同时存在，并不互相排斥。</w:t>
      </w:r>
    </w:p>
    <w:p w14:paraId="62FC7656">
      <w:pPr>
        <w:keepNext w:val="0"/>
        <w:keepLines w:val="0"/>
        <w:pageBreakBefore w:val="0"/>
        <w:kinsoku/>
        <w:wordWrap/>
        <w:overflowPunct/>
        <w:topLinePunct w:val="0"/>
        <w:bidi w:val="0"/>
        <w:adjustRightInd w:val="0"/>
        <w:snapToGrid w:val="0"/>
        <w:spacing w:line="360" w:lineRule="auto"/>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ascii="Times New Roman"/>
          <w:b/>
          <w:color w:val="000000" w:themeColor="text1"/>
          <w:sz w:val="24"/>
          <w:szCs w:val="21"/>
          <w:highlight w:val="none"/>
          <w14:textFill>
            <w14:solidFill>
              <w14:schemeClr w14:val="tx1"/>
            </w14:solidFill>
          </w14:textFill>
        </w:rPr>
        <w:t>3.</w:t>
      </w:r>
      <w:r>
        <w:rPr>
          <w:rFonts w:hint="eastAsia" w:ascii="Times New Roman"/>
          <w:b/>
          <w:color w:val="000000" w:themeColor="text1"/>
          <w:sz w:val="24"/>
          <w:szCs w:val="21"/>
          <w:highlight w:val="none"/>
          <w:lang w:val="en-US" w:eastAsia="zh-CN"/>
          <w14:textFill>
            <w14:solidFill>
              <w14:schemeClr w14:val="tx1"/>
            </w14:solidFill>
          </w14:textFill>
        </w:rPr>
        <w:t>0</w:t>
      </w:r>
      <w:r>
        <w:rPr>
          <w:rFonts w:ascii="Times New Roman"/>
          <w:b/>
          <w:color w:val="000000" w:themeColor="text1"/>
          <w:sz w:val="24"/>
          <w:szCs w:val="21"/>
          <w:highlight w:val="none"/>
          <w14:textFill>
            <w14:solidFill>
              <w14:schemeClr w14:val="tx1"/>
            </w14:solidFill>
          </w14:textFill>
        </w:rPr>
        <w:t>.</w:t>
      </w:r>
      <w:r>
        <w:rPr>
          <w:rFonts w:hint="eastAsia"/>
          <w:b/>
          <w:color w:val="000000" w:themeColor="text1"/>
          <w:sz w:val="24"/>
          <w:szCs w:val="21"/>
          <w:highlight w:val="none"/>
          <w:lang w:val="en-US" w:eastAsia="zh-CN"/>
          <w14:textFill>
            <w14:solidFill>
              <w14:schemeClr w14:val="tx1"/>
            </w14:solidFill>
          </w14:textFill>
        </w:rPr>
        <w:t>4</w:t>
      </w:r>
      <w:r>
        <w:rPr>
          <w:rFonts w:ascii="Times New Roman"/>
          <w:b/>
          <w:sz w:val="24"/>
          <w:szCs w:val="21"/>
          <w:highlight w:val="none"/>
        </w:rPr>
        <w:t xml:space="preserve"> </w:t>
      </w:r>
      <w:r>
        <w:rPr>
          <w:rFonts w:hint="eastAsia" w:ascii="Times New Roman"/>
          <w:b/>
          <w:sz w:val="24"/>
          <w:szCs w:val="21"/>
          <w:highlight w:val="none"/>
          <w:lang w:val="en-US" w:eastAsia="zh-CN"/>
        </w:rPr>
        <w:t xml:space="preserve">  </w:t>
      </w:r>
      <w:r>
        <w:rPr>
          <w:rFonts w:hint="eastAsia"/>
          <w:b/>
          <w:sz w:val="24"/>
          <w:szCs w:val="21"/>
          <w:highlight w:val="none"/>
          <w:lang w:val="en-US" w:eastAsia="zh-CN"/>
        </w:rPr>
        <w:t xml:space="preserve"> </w:t>
      </w:r>
      <w:r>
        <w:rPr>
          <w:rFonts w:hint="eastAsia"/>
          <w:b w:val="0"/>
          <w:bCs/>
          <w:sz w:val="24"/>
          <w:szCs w:val="21"/>
          <w:highlight w:val="none"/>
          <w:lang w:val="en-US" w:eastAsia="zh-CN"/>
        </w:rPr>
        <w:t>制冷机房运行状态评价应</w:t>
      </w:r>
      <w:r>
        <w:rPr>
          <w:rFonts w:hint="eastAsia"/>
          <w:b w:val="0"/>
          <w:bCs/>
          <w:color w:val="000000" w:themeColor="text1"/>
          <w:kern w:val="0"/>
          <w:sz w:val="24"/>
          <w:szCs w:val="21"/>
          <w:highlight w:val="none"/>
          <w:lang w:val="en-US" w:eastAsia="zh-CN"/>
          <w14:textFill>
            <w14:solidFill>
              <w14:schemeClr w14:val="tx1"/>
            </w14:solidFill>
          </w14:textFill>
        </w:rPr>
        <w:t>采用百分制。100分表示运行状态极好，不需干预；70分~100分表示运行状态较好，可暂不干预；40~70分表示运行状态较差，需干预；0~40分表示运行情况极差，需立即干预。</w:t>
      </w:r>
    </w:p>
    <w:bookmarkEnd w:id="30"/>
    <w:p w14:paraId="30AA42A7">
      <w:pPr>
        <w:spacing w:line="360" w:lineRule="auto"/>
        <w:rPr>
          <w:bCs/>
          <w:color w:val="000000" w:themeColor="text1"/>
          <w:kern w:val="0"/>
          <w:sz w:val="24"/>
          <w:szCs w:val="21"/>
          <w:highlight w:val="none"/>
          <w14:textFill>
            <w14:solidFill>
              <w14:schemeClr w14:val="tx1"/>
            </w14:solidFill>
          </w14:textFill>
        </w:rPr>
      </w:pPr>
    </w:p>
    <w:p w14:paraId="71133834">
      <w:pPr>
        <w:spacing w:line="360" w:lineRule="auto"/>
        <w:rPr>
          <w:sz w:val="24"/>
          <w:szCs w:val="32"/>
          <w:highlight w:val="none"/>
        </w:rPr>
      </w:pPr>
    </w:p>
    <w:p w14:paraId="60B43013">
      <w:pPr>
        <w:spacing w:line="360" w:lineRule="auto"/>
        <w:rPr>
          <w:bCs/>
          <w:color w:val="000000" w:themeColor="text1"/>
          <w:kern w:val="0"/>
          <w:sz w:val="24"/>
          <w:szCs w:val="21"/>
          <w:highlight w:val="none"/>
          <w14:textFill>
            <w14:solidFill>
              <w14:schemeClr w14:val="tx1"/>
            </w14:solidFill>
          </w14:textFill>
        </w:rPr>
        <w:sectPr>
          <w:pgSz w:w="11907" w:h="16839"/>
          <w:pgMar w:top="1418" w:right="1512" w:bottom="1134" w:left="1418" w:header="1418" w:footer="851" w:gutter="0"/>
          <w:pgBorders>
            <w:top w:val="none" w:sz="0" w:space="0"/>
            <w:left w:val="none" w:sz="0" w:space="0"/>
            <w:bottom w:val="none" w:sz="0" w:space="0"/>
            <w:right w:val="none" w:sz="0" w:space="0"/>
          </w:pgBorders>
          <w:cols w:space="425" w:num="1"/>
          <w:docGrid w:type="lines" w:linePitch="312" w:charSpace="0"/>
        </w:sectPr>
      </w:pPr>
    </w:p>
    <w:bookmarkEnd w:id="29"/>
    <w:p w14:paraId="148FDB29">
      <w:pPr>
        <w:spacing w:after="240"/>
        <w:jc w:val="center"/>
        <w:outlineLvl w:val="0"/>
        <w:rPr>
          <w:rFonts w:hint="default" w:eastAsia="黑体"/>
          <w:bCs/>
          <w:kern w:val="0"/>
          <w:sz w:val="28"/>
          <w:highlight w:val="none"/>
          <w:lang w:val="en-US" w:eastAsia="zh-CN"/>
        </w:rPr>
      </w:pPr>
      <w:bookmarkStart w:id="31" w:name="_Toc28120"/>
      <w:bookmarkStart w:id="32" w:name="_Hlk125983930"/>
      <w:bookmarkStart w:id="33" w:name="_Toc26812408"/>
      <w:bookmarkStart w:id="34" w:name="_Toc8845895"/>
      <w:r>
        <w:rPr>
          <w:rFonts w:eastAsia="黑体"/>
          <w:bCs/>
          <w:kern w:val="0"/>
          <w:sz w:val="28"/>
          <w:highlight w:val="none"/>
        </w:rPr>
        <w:t xml:space="preserve">4 </w:t>
      </w:r>
      <w:r>
        <w:rPr>
          <w:rFonts w:hint="eastAsia" w:eastAsia="黑体"/>
          <w:bCs/>
          <w:kern w:val="0"/>
          <w:sz w:val="28"/>
          <w:highlight w:val="none"/>
          <w:lang w:val="en-US" w:eastAsia="zh-CN"/>
        </w:rPr>
        <w:t>安全性评价</w:t>
      </w:r>
      <w:bookmarkEnd w:id="31"/>
    </w:p>
    <w:bookmarkEnd w:id="32"/>
    <w:p w14:paraId="612BE9A2">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jc w:val="center"/>
        <w:textAlignment w:val="auto"/>
        <w:outlineLvl w:val="1"/>
        <w:rPr>
          <w:rFonts w:hint="default" w:eastAsia="宋体"/>
          <w:b/>
          <w:color w:val="000000" w:themeColor="text1"/>
          <w:kern w:val="0"/>
          <w:sz w:val="24"/>
          <w:szCs w:val="21"/>
          <w:highlight w:val="none"/>
          <w:lang w:val="en-US" w:eastAsia="zh-CN"/>
          <w14:textFill>
            <w14:solidFill>
              <w14:schemeClr w14:val="tx1"/>
            </w14:solidFill>
          </w14:textFill>
        </w:rPr>
      </w:pPr>
      <w:r>
        <w:rPr>
          <w:rFonts w:hint="eastAsia"/>
          <w:b/>
          <w:color w:val="000000" w:themeColor="text1"/>
          <w:kern w:val="0"/>
          <w:sz w:val="24"/>
          <w:szCs w:val="21"/>
          <w:highlight w:val="none"/>
          <w:lang w:val="en-US" w:eastAsia="zh-CN"/>
          <w14:textFill>
            <w14:solidFill>
              <w14:schemeClr w14:val="tx1"/>
            </w14:solidFill>
          </w14:textFill>
        </w:rPr>
        <w:t xml:space="preserve">4.1  </w:t>
      </w:r>
      <w:r>
        <w:rPr>
          <w:rFonts w:hint="eastAsia" w:ascii="黑体" w:hAnsi="黑体" w:eastAsia="黑体" w:cs="黑体"/>
          <w:b w:val="0"/>
          <w:bCs/>
          <w:color w:val="000000" w:themeColor="text1"/>
          <w:kern w:val="0"/>
          <w:sz w:val="24"/>
          <w:szCs w:val="21"/>
          <w:highlight w:val="none"/>
          <w:lang w:val="en-US" w:eastAsia="zh-CN"/>
          <w14:textFill>
            <w14:solidFill>
              <w14:schemeClr w14:val="tx1"/>
            </w14:solidFill>
          </w14:textFill>
        </w:rPr>
        <w:t>即时评价</w:t>
      </w:r>
    </w:p>
    <w:p w14:paraId="27CDC176">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Times New Roman"/>
          <w:b w:val="0"/>
          <w:bCs/>
          <w:sz w:val="24"/>
          <w:szCs w:val="21"/>
          <w:highlight w:val="none"/>
          <w:lang w:val="en-US" w:eastAsia="zh-CN"/>
        </w:rPr>
      </w:pPr>
      <w:r>
        <w:rPr>
          <w:b/>
          <w:color w:val="000000" w:themeColor="text1"/>
          <w:kern w:val="0"/>
          <w:sz w:val="24"/>
          <w:szCs w:val="21"/>
          <w:highlight w:val="none"/>
          <w14:textFill>
            <w14:solidFill>
              <w14:schemeClr w14:val="tx1"/>
            </w14:solidFill>
          </w14:textFill>
        </w:rPr>
        <w:t>4.</w:t>
      </w:r>
      <w:r>
        <w:rPr>
          <w:rFonts w:hint="eastAsia"/>
          <w:b/>
          <w:color w:val="000000" w:themeColor="text1"/>
          <w:kern w:val="0"/>
          <w:sz w:val="24"/>
          <w:szCs w:val="21"/>
          <w:highlight w:val="none"/>
          <w:lang w:val="en-US" w:eastAsia="zh-CN"/>
          <w14:textFill>
            <w14:solidFill>
              <w14:schemeClr w14:val="tx1"/>
            </w14:solidFill>
          </w14:textFill>
        </w:rPr>
        <w:t>1</w:t>
      </w:r>
      <w:r>
        <w:rPr>
          <w:b/>
          <w:color w:val="000000" w:themeColor="text1"/>
          <w:kern w:val="0"/>
          <w:sz w:val="24"/>
          <w:szCs w:val="21"/>
          <w:highlight w:val="none"/>
          <w14:textFill>
            <w14:solidFill>
              <w14:schemeClr w14:val="tx1"/>
            </w14:solidFill>
          </w14:textFill>
        </w:rPr>
        <w:t xml:space="preserve">.1  </w:t>
      </w:r>
      <w:r>
        <w:rPr>
          <w:rFonts w:hint="eastAsia"/>
          <w:b/>
          <w:color w:val="000000" w:themeColor="text1"/>
          <w:kern w:val="0"/>
          <w:sz w:val="24"/>
          <w:szCs w:val="21"/>
          <w:highlight w:val="none"/>
          <w:lang w:val="en-US" w:eastAsia="zh-CN"/>
          <w14:textFill>
            <w14:solidFill>
              <w14:schemeClr w14:val="tx1"/>
            </w14:solidFill>
          </w14:textFill>
        </w:rPr>
        <w:t xml:space="preserve">  </w:t>
      </w:r>
      <w:r>
        <w:rPr>
          <w:rFonts w:hint="eastAsia" w:ascii="Times New Roman"/>
          <w:b w:val="0"/>
          <w:bCs/>
          <w:sz w:val="24"/>
          <w:szCs w:val="21"/>
          <w:highlight w:val="none"/>
          <w:lang w:val="en-US" w:eastAsia="zh-CN"/>
        </w:rPr>
        <w:t>除设备自带的</w:t>
      </w:r>
      <w:r>
        <w:rPr>
          <w:rFonts w:hint="eastAsia"/>
          <w:b w:val="0"/>
          <w:bCs/>
          <w:sz w:val="24"/>
          <w:szCs w:val="21"/>
          <w:highlight w:val="none"/>
          <w:lang w:val="en-US" w:eastAsia="zh-CN"/>
        </w:rPr>
        <w:t>告警</w:t>
      </w:r>
      <w:r>
        <w:rPr>
          <w:rFonts w:hint="eastAsia" w:ascii="Times New Roman"/>
          <w:b w:val="0"/>
          <w:bCs/>
          <w:sz w:val="24"/>
          <w:szCs w:val="21"/>
          <w:highlight w:val="none"/>
          <w:lang w:val="en-US" w:eastAsia="zh-CN"/>
        </w:rPr>
        <w:t>和保护停机功能外，在</w:t>
      </w:r>
      <w:r>
        <w:rPr>
          <w:rFonts w:hint="eastAsia"/>
          <w:b w:val="0"/>
          <w:bCs/>
          <w:sz w:val="24"/>
          <w:szCs w:val="21"/>
          <w:highlight w:val="none"/>
          <w:lang w:val="en-US" w:eastAsia="zh-CN"/>
        </w:rPr>
        <w:t>制冷机房</w:t>
      </w:r>
      <w:r>
        <w:rPr>
          <w:rFonts w:hint="eastAsia" w:ascii="Times New Roman"/>
          <w:b w:val="0"/>
          <w:bCs/>
          <w:sz w:val="24"/>
          <w:szCs w:val="21"/>
          <w:highlight w:val="none"/>
          <w:lang w:val="en-US" w:eastAsia="zh-CN"/>
        </w:rPr>
        <w:t>系统中应设置表4.</w:t>
      </w:r>
      <w:r>
        <w:rPr>
          <w:rFonts w:hint="eastAsia"/>
          <w:b w:val="0"/>
          <w:bCs/>
          <w:sz w:val="24"/>
          <w:szCs w:val="21"/>
          <w:highlight w:val="none"/>
          <w:lang w:val="en-US" w:eastAsia="zh-CN"/>
        </w:rPr>
        <w:t>1</w:t>
      </w:r>
      <w:r>
        <w:rPr>
          <w:rFonts w:hint="eastAsia" w:ascii="Times New Roman"/>
          <w:b w:val="0"/>
          <w:bCs/>
          <w:sz w:val="24"/>
          <w:szCs w:val="21"/>
          <w:highlight w:val="none"/>
          <w:lang w:val="en-US" w:eastAsia="zh-CN"/>
        </w:rPr>
        <w:t>.1所列</w:t>
      </w:r>
      <w:r>
        <w:rPr>
          <w:rFonts w:hint="eastAsia"/>
          <w:b w:val="0"/>
          <w:bCs/>
          <w:sz w:val="24"/>
          <w:szCs w:val="21"/>
          <w:highlight w:val="none"/>
          <w:lang w:val="en-US" w:eastAsia="zh-CN"/>
        </w:rPr>
        <w:t>的安全监测项目，根据所监测参数的阈值范围进行即时告警或即时保护停机。</w:t>
      </w:r>
    </w:p>
    <w:p w14:paraId="26C110B3">
      <w:pPr>
        <w:spacing w:line="360" w:lineRule="auto"/>
        <w:jc w:val="center"/>
        <w:rPr>
          <w:rFonts w:hint="default" w:eastAsia="宋体"/>
          <w:b w:val="0"/>
          <w:bCs w:val="0"/>
          <w:highlight w:val="none"/>
          <w:lang w:val="en-US" w:eastAsia="zh-CN"/>
        </w:rPr>
      </w:pPr>
      <w:r>
        <w:rPr>
          <w:b w:val="0"/>
          <w:bCs w:val="0"/>
          <w:highlight w:val="none"/>
        </w:rPr>
        <w:t>表4.</w:t>
      </w:r>
      <w:r>
        <w:rPr>
          <w:rFonts w:hint="eastAsia"/>
          <w:b w:val="0"/>
          <w:bCs w:val="0"/>
          <w:highlight w:val="none"/>
          <w:lang w:val="en-US" w:eastAsia="zh-CN"/>
        </w:rPr>
        <w:t>1</w:t>
      </w:r>
      <w:r>
        <w:rPr>
          <w:b w:val="0"/>
          <w:bCs w:val="0"/>
          <w:highlight w:val="none"/>
        </w:rPr>
        <w:t xml:space="preserve">.1 </w:t>
      </w:r>
      <w:r>
        <w:rPr>
          <w:rFonts w:hint="eastAsia"/>
          <w:b w:val="0"/>
          <w:bCs w:val="0"/>
          <w:highlight w:val="none"/>
          <w:lang w:val="en-US" w:eastAsia="zh-CN"/>
        </w:rPr>
        <w:t xml:space="preserve"> 制冷机房系统安全监测要求</w:t>
      </w:r>
    </w:p>
    <w:tbl>
      <w:tblPr>
        <w:tblStyle w:val="28"/>
        <w:tblW w:w="8712" w:type="dxa"/>
        <w:tblInd w:w="126" w:type="dxa"/>
        <w:tblLayout w:type="fixed"/>
        <w:tblCellMar>
          <w:top w:w="0" w:type="dxa"/>
          <w:left w:w="108" w:type="dxa"/>
          <w:bottom w:w="0" w:type="dxa"/>
          <w:right w:w="108" w:type="dxa"/>
        </w:tblCellMar>
      </w:tblPr>
      <w:tblGrid>
        <w:gridCol w:w="660"/>
        <w:gridCol w:w="1692"/>
        <w:gridCol w:w="1080"/>
        <w:gridCol w:w="2225"/>
        <w:gridCol w:w="1527"/>
        <w:gridCol w:w="1528"/>
      </w:tblGrid>
      <w:tr w14:paraId="1D8C2E1F">
        <w:trPr>
          <w:trHeight w:val="320" w:hRule="atLeast"/>
          <w:tblHeader/>
        </w:trPr>
        <w:tc>
          <w:tcPr>
            <w:tcW w:w="66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292D64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序号</w:t>
            </w:r>
          </w:p>
        </w:tc>
        <w:tc>
          <w:tcPr>
            <w:tcW w:w="1692" w:type="dxa"/>
            <w:tcBorders>
              <w:top w:val="single" w:color="auto" w:sz="6" w:space="0"/>
              <w:left w:val="single" w:color="auto" w:sz="6" w:space="0"/>
              <w:bottom w:val="single" w:color="auto" w:sz="6" w:space="0"/>
              <w:right w:val="single" w:color="auto" w:sz="6" w:space="0"/>
            </w:tcBorders>
            <w:shd w:val="clear" w:color="auto" w:fill="auto"/>
            <w:noWrap/>
            <w:vAlign w:val="center"/>
          </w:tcPr>
          <w:p w14:paraId="4FCB27B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安全监测项目</w:t>
            </w:r>
          </w:p>
        </w:tc>
        <w:tc>
          <w:tcPr>
            <w:tcW w:w="10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3106D942">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监测参数</w:t>
            </w:r>
          </w:p>
        </w:tc>
        <w:tc>
          <w:tcPr>
            <w:tcW w:w="2225"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95FFDD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监测位置</w:t>
            </w:r>
          </w:p>
        </w:tc>
        <w:tc>
          <w:tcPr>
            <w:tcW w:w="152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237C5A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即时告警条件</w:t>
            </w:r>
          </w:p>
        </w:tc>
        <w:tc>
          <w:tcPr>
            <w:tcW w:w="152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634F602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保护停机条件</w:t>
            </w:r>
          </w:p>
        </w:tc>
      </w:tr>
      <w:tr w14:paraId="16A35206">
        <w:tblPrEx>
          <w:tblCellMar>
            <w:top w:w="0" w:type="dxa"/>
            <w:left w:w="108" w:type="dxa"/>
            <w:bottom w:w="0" w:type="dxa"/>
            <w:right w:w="108" w:type="dxa"/>
          </w:tblCellMar>
        </w:tblPrEx>
        <w:trPr>
          <w:trHeight w:val="285" w:hRule="atLeast"/>
        </w:trPr>
        <w:tc>
          <w:tcPr>
            <w:tcW w:w="66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9D0C749">
            <w:pPr>
              <w:keepNext w:val="0"/>
              <w:keepLines w:val="0"/>
              <w:pageBreakBefore w:val="0"/>
              <w:widowControl/>
              <w:numPr>
                <w:ilvl w:val="0"/>
                <w:numId w:val="13"/>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1692"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03C5CF0">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水温是否过低</w:t>
            </w:r>
          </w:p>
        </w:tc>
        <w:tc>
          <w:tcPr>
            <w:tcW w:w="10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9B7DFE0">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水温</w:t>
            </w:r>
          </w:p>
        </w:tc>
        <w:tc>
          <w:tcPr>
            <w:tcW w:w="2225"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A65136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制冷机组冷冻水出口</w:t>
            </w:r>
          </w:p>
        </w:tc>
        <w:tc>
          <w:tcPr>
            <w:tcW w:w="152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B21418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2~4℃</w:t>
            </w:r>
          </w:p>
        </w:tc>
        <w:tc>
          <w:tcPr>
            <w:tcW w:w="152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39D0EF44">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＜2℃</w:t>
            </w:r>
          </w:p>
        </w:tc>
      </w:tr>
      <w:tr w14:paraId="7C406283">
        <w:tblPrEx>
          <w:tblCellMar>
            <w:top w:w="0" w:type="dxa"/>
            <w:left w:w="108" w:type="dxa"/>
            <w:bottom w:w="0" w:type="dxa"/>
            <w:right w:w="108" w:type="dxa"/>
          </w:tblCellMar>
        </w:tblPrEx>
        <w:trPr>
          <w:trHeight w:val="280" w:hRule="atLeast"/>
        </w:trPr>
        <w:tc>
          <w:tcPr>
            <w:tcW w:w="660" w:type="dxa"/>
            <w:tcBorders>
              <w:top w:val="single" w:color="auto" w:sz="6" w:space="0"/>
              <w:left w:val="single" w:color="auto" w:sz="6" w:space="0"/>
              <w:bottom w:val="single" w:color="auto" w:sz="6" w:space="0"/>
              <w:right w:val="single" w:color="auto" w:sz="6" w:space="0"/>
            </w:tcBorders>
            <w:vAlign w:val="center"/>
          </w:tcPr>
          <w:p w14:paraId="3BA21F39">
            <w:pPr>
              <w:keepNext w:val="0"/>
              <w:keepLines w:val="0"/>
              <w:pageBreakBefore w:val="0"/>
              <w:widowControl/>
              <w:numPr>
                <w:ilvl w:val="0"/>
                <w:numId w:val="13"/>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1692"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BD647D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水压是否过高</w:t>
            </w:r>
          </w:p>
        </w:tc>
        <w:tc>
          <w:tcPr>
            <w:tcW w:w="10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3218666F">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水压</w:t>
            </w:r>
          </w:p>
        </w:tc>
        <w:tc>
          <w:tcPr>
            <w:tcW w:w="2225" w:type="dxa"/>
            <w:tcBorders>
              <w:top w:val="single" w:color="auto" w:sz="6" w:space="0"/>
              <w:left w:val="single" w:color="auto" w:sz="6" w:space="0"/>
              <w:bottom w:val="single" w:color="auto" w:sz="6" w:space="0"/>
              <w:right w:val="single" w:color="auto" w:sz="6" w:space="0"/>
            </w:tcBorders>
            <w:shd w:val="clear" w:color="auto" w:fill="auto"/>
            <w:noWrap/>
            <w:vAlign w:val="center"/>
          </w:tcPr>
          <w:p w14:paraId="30CBC9A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水泵出口</w:t>
            </w:r>
          </w:p>
        </w:tc>
        <w:tc>
          <w:tcPr>
            <w:tcW w:w="152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1D34AD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高于设计承压值的120%</w:t>
            </w:r>
          </w:p>
        </w:tc>
        <w:tc>
          <w:tcPr>
            <w:tcW w:w="152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61C1F9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高于设计承压值的150%</w:t>
            </w:r>
          </w:p>
        </w:tc>
      </w:tr>
      <w:tr w14:paraId="53F08799">
        <w:tblPrEx>
          <w:tblCellMar>
            <w:top w:w="0" w:type="dxa"/>
            <w:left w:w="108" w:type="dxa"/>
            <w:bottom w:w="0" w:type="dxa"/>
            <w:right w:w="108" w:type="dxa"/>
          </w:tblCellMar>
        </w:tblPrEx>
        <w:trPr>
          <w:trHeight w:val="280" w:hRule="atLeast"/>
        </w:trPr>
        <w:tc>
          <w:tcPr>
            <w:tcW w:w="66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A0B1863">
            <w:pPr>
              <w:keepNext w:val="0"/>
              <w:keepLines w:val="0"/>
              <w:pageBreakBefore w:val="0"/>
              <w:widowControl/>
              <w:numPr>
                <w:ilvl w:val="0"/>
                <w:numId w:val="13"/>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1692"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1E9D66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水压是否过低</w:t>
            </w:r>
          </w:p>
        </w:tc>
        <w:tc>
          <w:tcPr>
            <w:tcW w:w="10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E664BA6">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水压</w:t>
            </w:r>
          </w:p>
        </w:tc>
        <w:tc>
          <w:tcPr>
            <w:tcW w:w="2225"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30ADA2B">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rPr>
            </w:pPr>
            <w:r>
              <w:rPr>
                <w:rFonts w:hint="eastAsia"/>
                <w:b w:val="0"/>
                <w:bCs w:val="0"/>
                <w:color w:val="000000"/>
                <w:kern w:val="0"/>
                <w:szCs w:val="21"/>
                <w:highlight w:val="none"/>
                <w:lang w:val="en-US" w:eastAsia="zh-CN"/>
              </w:rPr>
              <w:t>水泵进口</w:t>
            </w:r>
          </w:p>
        </w:tc>
        <w:tc>
          <w:tcPr>
            <w:tcW w:w="152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1BBA267">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低于水泵最小吸程的80%</w:t>
            </w:r>
          </w:p>
        </w:tc>
        <w:tc>
          <w:tcPr>
            <w:tcW w:w="152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4FF7461B">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低于水泵最小吸程的60%</w:t>
            </w:r>
          </w:p>
        </w:tc>
      </w:tr>
      <w:tr w14:paraId="46D5CAAB">
        <w:tblPrEx>
          <w:tblCellMar>
            <w:top w:w="0" w:type="dxa"/>
            <w:left w:w="108" w:type="dxa"/>
            <w:bottom w:w="0" w:type="dxa"/>
            <w:right w:w="108" w:type="dxa"/>
          </w:tblCellMar>
        </w:tblPrEx>
        <w:trPr>
          <w:trHeight w:val="280" w:hRule="atLeast"/>
        </w:trPr>
        <w:tc>
          <w:tcPr>
            <w:tcW w:w="66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64D40CB1">
            <w:pPr>
              <w:keepNext w:val="0"/>
              <w:keepLines w:val="0"/>
              <w:pageBreakBefore w:val="0"/>
              <w:widowControl/>
              <w:numPr>
                <w:ilvl w:val="0"/>
                <w:numId w:val="13"/>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1692" w:type="dxa"/>
            <w:tcBorders>
              <w:top w:val="single" w:color="auto" w:sz="6" w:space="0"/>
              <w:left w:val="single" w:color="auto" w:sz="6" w:space="0"/>
              <w:bottom w:val="single" w:color="auto" w:sz="6" w:space="0"/>
              <w:right w:val="single" w:color="auto" w:sz="6" w:space="0"/>
            </w:tcBorders>
            <w:shd w:val="clear" w:color="auto" w:fill="auto"/>
            <w:noWrap/>
            <w:vAlign w:val="center"/>
          </w:tcPr>
          <w:p w14:paraId="60E659D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电流是否过大</w:t>
            </w:r>
          </w:p>
        </w:tc>
        <w:tc>
          <w:tcPr>
            <w:tcW w:w="10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69AF04AF">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电流</w:t>
            </w:r>
          </w:p>
        </w:tc>
        <w:tc>
          <w:tcPr>
            <w:tcW w:w="2225"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FFB674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各设备供电线路</w:t>
            </w:r>
          </w:p>
        </w:tc>
        <w:tc>
          <w:tcPr>
            <w:tcW w:w="152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DE73EB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高于额定值的120%</w:t>
            </w:r>
          </w:p>
        </w:tc>
        <w:tc>
          <w:tcPr>
            <w:tcW w:w="152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6C67F15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高于额定值的150%</w:t>
            </w:r>
          </w:p>
        </w:tc>
      </w:tr>
      <w:tr w14:paraId="4E6ECA9A">
        <w:tblPrEx>
          <w:tblCellMar>
            <w:top w:w="0" w:type="dxa"/>
            <w:left w:w="108" w:type="dxa"/>
            <w:bottom w:w="0" w:type="dxa"/>
            <w:right w:w="108" w:type="dxa"/>
          </w:tblCellMar>
        </w:tblPrEx>
        <w:trPr>
          <w:trHeight w:val="280" w:hRule="atLeast"/>
        </w:trPr>
        <w:tc>
          <w:tcPr>
            <w:tcW w:w="66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F9CEC42">
            <w:pPr>
              <w:keepNext w:val="0"/>
              <w:keepLines w:val="0"/>
              <w:pageBreakBefore w:val="0"/>
              <w:widowControl/>
              <w:numPr>
                <w:ilvl w:val="0"/>
                <w:numId w:val="13"/>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1692" w:type="dxa"/>
            <w:tcBorders>
              <w:top w:val="single" w:color="auto" w:sz="6" w:space="0"/>
              <w:left w:val="single" w:color="auto" w:sz="6" w:space="0"/>
              <w:bottom w:val="single" w:color="auto" w:sz="6" w:space="0"/>
              <w:right w:val="single" w:color="auto" w:sz="6" w:space="0"/>
            </w:tcBorders>
            <w:shd w:val="clear" w:color="auto" w:fill="auto"/>
            <w:noWrap/>
            <w:vAlign w:val="center"/>
          </w:tcPr>
          <w:p w14:paraId="13561166">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是否漏电</w:t>
            </w:r>
          </w:p>
        </w:tc>
        <w:tc>
          <w:tcPr>
            <w:tcW w:w="10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DF3D79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漏电电流</w:t>
            </w:r>
          </w:p>
        </w:tc>
        <w:tc>
          <w:tcPr>
            <w:tcW w:w="2225"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FEF981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各配电箱</w:t>
            </w:r>
          </w:p>
        </w:tc>
        <w:tc>
          <w:tcPr>
            <w:tcW w:w="152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57D283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eastAsia="zh-CN"/>
              </w:rPr>
            </w:pPr>
            <w:r>
              <w:rPr>
                <w:rFonts w:hint="eastAsia"/>
                <w:b w:val="0"/>
                <w:bCs w:val="0"/>
                <w:color w:val="000000"/>
                <w:kern w:val="0"/>
                <w:szCs w:val="21"/>
                <w:highlight w:val="none"/>
                <w:lang w:eastAsia="zh-CN"/>
              </w:rPr>
              <w:t>——</w:t>
            </w:r>
          </w:p>
        </w:tc>
        <w:tc>
          <w:tcPr>
            <w:tcW w:w="152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3A6876F4">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发生漏电</w:t>
            </w:r>
          </w:p>
        </w:tc>
      </w:tr>
    </w:tbl>
    <w:p w14:paraId="639D44B3">
      <w:pPr>
        <w:keepNext w:val="0"/>
        <w:keepLines w:val="0"/>
        <w:pageBreakBefore w:val="0"/>
        <w:widowControl w:val="0"/>
        <w:kinsoku/>
        <w:wordWrap/>
        <w:overflowPunct/>
        <w:topLinePunct w:val="0"/>
        <w:autoSpaceDE/>
        <w:autoSpaceDN/>
        <w:bidi w:val="0"/>
        <w:adjustRightInd w:val="0"/>
        <w:snapToGrid w:val="0"/>
        <w:spacing w:before="157" w:beforeLines="50" w:line="360" w:lineRule="auto"/>
        <w:jc w:val="left"/>
        <w:textAlignment w:val="auto"/>
        <w:rPr>
          <w:rFonts w:hint="eastAsia"/>
          <w:b w:val="0"/>
          <w:bCs/>
          <w:sz w:val="24"/>
          <w:szCs w:val="21"/>
          <w:highlight w:val="none"/>
          <w:lang w:val="en-US" w:eastAsia="zh-CN"/>
        </w:rPr>
      </w:pPr>
      <w:r>
        <w:rPr>
          <w:rFonts w:hint="eastAsia"/>
          <w:b w:val="0"/>
          <w:bCs/>
          <w:sz w:val="24"/>
          <w:szCs w:val="21"/>
          <w:highlight w:val="none"/>
          <w:lang w:val="en-US" w:eastAsia="zh-CN"/>
        </w:rPr>
        <w:t>【条文说明】</w:t>
      </w:r>
    </w:p>
    <w:p w14:paraId="57B73C8E">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楷体" w:hAnsi="楷体" w:eastAsia="楷体" w:cs="楷体"/>
          <w:b w:val="0"/>
          <w:bCs/>
          <w:sz w:val="24"/>
          <w:szCs w:val="21"/>
          <w:highlight w:val="none"/>
          <w:lang w:val="en-US" w:eastAsia="zh-CN"/>
        </w:rPr>
      </w:pPr>
      <w:r>
        <w:rPr>
          <w:rFonts w:hint="eastAsia" w:ascii="楷体" w:hAnsi="楷体" w:eastAsia="楷体" w:cs="楷体"/>
          <w:b w:val="0"/>
          <w:bCs/>
          <w:sz w:val="24"/>
          <w:szCs w:val="21"/>
          <w:highlight w:val="none"/>
          <w:lang w:val="en-US" w:eastAsia="zh-CN"/>
        </w:rPr>
        <w:t>如果表4.1.1所列告警项目在设备自身安全性告警项目中已经存在，制冷机房系统可不再设置。水温是否过低监测是为了防止水结冰，水压是否过高监测是为了防止水管漏水或损坏，水压是否过低监测是为了防止水管进气，电流是否过大监测是为了防止设备发热和损坏，是否漏电是为了防止发生触电事故。</w:t>
      </w:r>
    </w:p>
    <w:p w14:paraId="2169C97D">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楷体" w:hAnsi="楷体" w:eastAsia="楷体" w:cs="楷体"/>
          <w:b w:val="0"/>
          <w:bCs/>
          <w:sz w:val="24"/>
          <w:szCs w:val="21"/>
          <w:highlight w:val="none"/>
          <w:lang w:val="en-US" w:eastAsia="zh-CN"/>
        </w:rPr>
      </w:pPr>
    </w:p>
    <w:p w14:paraId="734A762D">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b/>
          <w:bCs w:val="0"/>
          <w:color w:val="000000" w:themeColor="text1"/>
          <w:kern w:val="0"/>
          <w:sz w:val="24"/>
          <w:szCs w:val="21"/>
          <w:highlight w:val="none"/>
          <w14:textFill>
            <w14:solidFill>
              <w14:schemeClr w14:val="tx1"/>
            </w14:solidFill>
          </w14:textFill>
        </w:rPr>
        <w:t>4.</w:t>
      </w:r>
      <w:r>
        <w:rPr>
          <w:rFonts w:hint="eastAsia"/>
          <w:b/>
          <w:bCs w:val="0"/>
          <w:color w:val="000000" w:themeColor="text1"/>
          <w:kern w:val="0"/>
          <w:sz w:val="24"/>
          <w:szCs w:val="21"/>
          <w:highlight w:val="none"/>
          <w:lang w:val="en-US" w:eastAsia="zh-CN"/>
          <w14:textFill>
            <w14:solidFill>
              <w14:schemeClr w14:val="tx1"/>
            </w14:solidFill>
          </w14:textFill>
        </w:rPr>
        <w:t>1</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2</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即时安全性评价得分应按下式计算：</w:t>
      </w:r>
    </w:p>
    <w:p w14:paraId="087AE095">
      <w:pPr>
        <w:keepNext w:val="0"/>
        <w:keepLines w:val="0"/>
        <w:pageBreakBefore w:val="0"/>
        <w:widowControl w:val="0"/>
        <w:kinsoku/>
        <w:wordWrap/>
        <w:overflowPunct/>
        <w:topLinePunct w:val="0"/>
        <w:autoSpaceDE/>
        <w:autoSpaceDN/>
        <w:bidi w:val="0"/>
        <w:adjustRightInd/>
        <w:snapToGrid w:val="0"/>
        <w:spacing w:line="360" w:lineRule="auto"/>
        <w:ind w:left="420" w:leftChars="200"/>
        <w:jc w:val="righ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position w:val="-10"/>
          <w:sz w:val="24"/>
          <w:szCs w:val="21"/>
          <w:highlight w:val="none"/>
          <w:lang w:val="en-US" w:eastAsia="zh-CN"/>
          <w14:textFill>
            <w14:solidFill>
              <w14:schemeClr w14:val="tx1"/>
            </w14:solidFill>
          </w14:textFill>
        </w:rPr>
        <w:object>
          <v:shape id="_x0000_i1025" o:spt="75" type="#_x0000_t75" style="height:17pt;width:106pt;" o:ole="t" filled="f" o:preferrelative="t" stroked="f" coordsize="21600,21600">
            <v:path/>
            <v:fill on="f" focussize="0,0"/>
            <v:stroke on="f"/>
            <v:imagedata r:id="rId16" o:title=""/>
            <o:lock v:ext="edit" aspectratio="t"/>
            <w10:wrap type="none"/>
            <w10:anchorlock/>
          </v:shape>
          <o:OLEObject Type="Embed" ProgID="Equation.KSEE3" ShapeID="_x0000_i1025" DrawAspect="Content" ObjectID="_1468075725" r:id="rId15">
            <o:LockedField>false</o:LockedField>
          </o:OLEObject>
        </w:object>
      </w:r>
      <w:r>
        <w:rPr>
          <w:rFonts w:hint="eastAsia"/>
          <w:b w:val="0"/>
          <w:bCs/>
          <w:color w:val="000000" w:themeColor="text1"/>
          <w:kern w:val="0"/>
          <w:sz w:val="24"/>
          <w:szCs w:val="21"/>
          <w:highlight w:val="none"/>
          <w:lang w:val="en-US" w:eastAsia="zh-CN"/>
          <w14:textFill>
            <w14:solidFill>
              <w14:schemeClr w14:val="tx1"/>
            </w14:solidFill>
          </w14:textFill>
        </w:rPr>
        <w:t xml:space="preserve">                                        （4.1.2）</w:t>
      </w:r>
    </w:p>
    <w:p w14:paraId="2EE8CACF">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p>
    <w:p w14:paraId="3F4C7687">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i</w:t>
      </w:r>
      <w:r>
        <w:rPr>
          <w:rFonts w:hint="eastAsia"/>
          <w:b w:val="0"/>
          <w:bCs/>
          <w:color w:val="000000" w:themeColor="text1"/>
          <w:kern w:val="0"/>
          <w:sz w:val="24"/>
          <w:szCs w:val="21"/>
          <w:highlight w:val="none"/>
          <w:lang w:val="en-US" w:eastAsia="zh-CN"/>
          <w14:textFill>
            <w14:solidFill>
              <w14:schemeClr w14:val="tx1"/>
            </w14:solidFill>
          </w14:textFill>
        </w:rPr>
        <w:t>——即时安全性评价得分，最低分为0分。如果出现紧急停机或进入保护停机阈值但未发生保护停机，即时安全性评分为0分；</w:t>
      </w:r>
    </w:p>
    <w:p w14:paraId="342FF8E5">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A——起评分，如果出现保护停机，则起评分为70分，否则，起评分为100分；</w:t>
      </w:r>
    </w:p>
    <w:p w14:paraId="315089B8">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B——告警数量，所述告警包括设备自身安全性告警和表4.1.1中所列项目的告警。</w:t>
      </w:r>
    </w:p>
    <w:p w14:paraId="3FA9EB9D">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C——未按表4.1.1设置的安全监测项目的数量</w:t>
      </w:r>
    </w:p>
    <w:p w14:paraId="17642F50">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4A54233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当出现</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个应列未列的告警保护项时，评分在</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7</w:t>
      </w:r>
      <w:r>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0分以下，应干预。</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所以，意味着可以容忍两个告警存在，不能容忍3个告警存在。出现保护性停机，评分为70分，应干预，</w:t>
      </w:r>
    </w:p>
    <w:p w14:paraId="1419220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出现紧急停机</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或应当保护性停机而未停机</w:t>
      </w:r>
      <w:r>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，表示系统已经受到了损害</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或极大可能受到损害</w:t>
      </w:r>
      <w:r>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，因而评分为0</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w:t>
      </w:r>
    </w:p>
    <w:p w14:paraId="1D23053B">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jc w:val="center"/>
        <w:textAlignment w:val="auto"/>
        <w:outlineLvl w:val="1"/>
        <w:rPr>
          <w:rFonts w:hint="default"/>
          <w:b/>
          <w:color w:val="000000" w:themeColor="text1"/>
          <w:kern w:val="0"/>
          <w:sz w:val="24"/>
          <w:szCs w:val="21"/>
          <w:highlight w:val="none"/>
          <w:lang w:val="en-US" w:eastAsia="zh-CN"/>
          <w14:textFill>
            <w14:solidFill>
              <w14:schemeClr w14:val="tx1"/>
            </w14:solidFill>
          </w14:textFill>
        </w:rPr>
      </w:pPr>
      <w:r>
        <w:rPr>
          <w:rFonts w:hint="eastAsia"/>
          <w:b/>
          <w:color w:val="000000" w:themeColor="text1"/>
          <w:kern w:val="0"/>
          <w:sz w:val="24"/>
          <w:szCs w:val="21"/>
          <w:highlight w:val="none"/>
          <w:lang w:val="en-US" w:eastAsia="zh-CN"/>
          <w14:textFill>
            <w14:solidFill>
              <w14:schemeClr w14:val="tx1"/>
            </w14:solidFill>
          </w14:textFill>
        </w:rPr>
        <w:t xml:space="preserve">4.2  </w:t>
      </w:r>
      <w:r>
        <w:rPr>
          <w:rFonts w:hint="eastAsia" w:ascii="黑体" w:hAnsi="黑体" w:eastAsia="黑体" w:cs="黑体"/>
          <w:b w:val="0"/>
          <w:bCs/>
          <w:color w:val="000000" w:themeColor="text1"/>
          <w:kern w:val="0"/>
          <w:sz w:val="24"/>
          <w:szCs w:val="21"/>
          <w:highlight w:val="none"/>
          <w:lang w:val="en-US" w:eastAsia="zh-CN"/>
          <w14:textFill>
            <w14:solidFill>
              <w14:schemeClr w14:val="tx1"/>
            </w14:solidFill>
          </w14:textFill>
        </w:rPr>
        <w:t>时段评价</w:t>
      </w:r>
    </w:p>
    <w:p w14:paraId="4D5C3AA7">
      <w:pPr>
        <w:keepNext w:val="0"/>
        <w:keepLines w:val="0"/>
        <w:pageBreakBefore w:val="0"/>
        <w:widowControl w:val="0"/>
        <w:kinsoku/>
        <w:wordWrap/>
        <w:overflowPunct/>
        <w:topLinePunct w:val="0"/>
        <w:autoSpaceDE/>
        <w:autoSpaceDN/>
        <w:bidi w:val="0"/>
        <w:adjustRightInd/>
        <w:snapToGrid w:val="0"/>
        <w:spacing w:line="360" w:lineRule="auto"/>
        <w:ind w:left="0" w:leftChars="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b/>
          <w:color w:val="000000" w:themeColor="text1"/>
          <w:kern w:val="0"/>
          <w:sz w:val="24"/>
          <w:szCs w:val="21"/>
          <w:highlight w:val="none"/>
          <w14:textFill>
            <w14:solidFill>
              <w14:schemeClr w14:val="tx1"/>
            </w14:solidFill>
          </w14:textFill>
        </w:rPr>
        <w:t>4.</w:t>
      </w:r>
      <w:r>
        <w:rPr>
          <w:rFonts w:hint="eastAsia"/>
          <w:b/>
          <w:color w:val="000000" w:themeColor="text1"/>
          <w:kern w:val="0"/>
          <w:sz w:val="24"/>
          <w:szCs w:val="21"/>
          <w:highlight w:val="none"/>
          <w:lang w:val="en-US" w:eastAsia="zh-CN"/>
          <w14:textFill>
            <w14:solidFill>
              <w14:schemeClr w14:val="tx1"/>
            </w14:solidFill>
          </w14:textFill>
        </w:rPr>
        <w:t>2</w:t>
      </w:r>
      <w:r>
        <w:rPr>
          <w:b/>
          <w:color w:val="000000" w:themeColor="text1"/>
          <w:kern w:val="0"/>
          <w:sz w:val="24"/>
          <w:szCs w:val="21"/>
          <w:highlight w:val="none"/>
          <w14:textFill>
            <w14:solidFill>
              <w14:schemeClr w14:val="tx1"/>
            </w14:solidFill>
          </w14:textFill>
        </w:rPr>
        <w:t xml:space="preserve">.1  </w:t>
      </w:r>
      <w:r>
        <w:rPr>
          <w:rFonts w:hint="eastAsia"/>
          <w:b/>
          <w:color w:val="000000" w:themeColor="text1"/>
          <w:kern w:val="0"/>
          <w:sz w:val="24"/>
          <w:szCs w:val="21"/>
          <w:highlight w:val="none"/>
          <w:lang w:val="en-US" w:eastAsia="zh-CN"/>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在评价时段内</w:t>
      </w:r>
      <w:r>
        <w:rPr>
          <w:rFonts w:hint="eastAsia"/>
          <w:b/>
          <w:color w:val="000000" w:themeColor="text1"/>
          <w:kern w:val="0"/>
          <w:sz w:val="24"/>
          <w:szCs w:val="21"/>
          <w:highlight w:val="none"/>
          <w:lang w:val="en-US" w:eastAsia="zh-CN"/>
          <w14:textFill>
            <w14:solidFill>
              <w14:schemeClr w14:val="tx1"/>
            </w14:solidFill>
          </w14:textFill>
        </w:rPr>
        <w:t>，</w:t>
      </w:r>
      <w:r>
        <w:rPr>
          <w:rFonts w:hint="eastAsia"/>
          <w:b w:val="0"/>
          <w:bCs/>
          <w:color w:val="000000" w:themeColor="text1"/>
          <w:kern w:val="0"/>
          <w:sz w:val="24"/>
          <w:szCs w:val="21"/>
          <w:highlight w:val="none"/>
          <w:lang w:val="en-US" w:eastAsia="zh-CN"/>
          <w14:textFill>
            <w14:solidFill>
              <w14:schemeClr w14:val="tx1"/>
            </w14:solidFill>
          </w14:textFill>
        </w:rPr>
        <w:t>某一即时告警的数量达到3次或以上时，该告警应为时段告警。</w:t>
      </w:r>
    </w:p>
    <w:p w14:paraId="66FCF4D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1BACB4A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在时段评价中，有条件对告警进行确认。为使评价更加准确，对即时告警进行确认，只有成为时段告警才参与评价。</w:t>
      </w:r>
    </w:p>
    <w:p w14:paraId="0EA688A3">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b w:val="0"/>
          <w:bCs/>
          <w:sz w:val="24"/>
          <w:szCs w:val="21"/>
          <w:highlight w:val="none"/>
          <w:lang w:val="en-US" w:eastAsia="zh-CN"/>
        </w:rPr>
      </w:pPr>
      <w:r>
        <w:rPr>
          <w:b/>
          <w:color w:val="000000" w:themeColor="text1"/>
          <w:kern w:val="0"/>
          <w:sz w:val="24"/>
          <w:szCs w:val="21"/>
          <w:highlight w:val="none"/>
          <w14:textFill>
            <w14:solidFill>
              <w14:schemeClr w14:val="tx1"/>
            </w14:solidFill>
          </w14:textFill>
        </w:rPr>
        <w:t>4.</w:t>
      </w:r>
      <w:r>
        <w:rPr>
          <w:rFonts w:hint="eastAsia"/>
          <w:b/>
          <w:color w:val="000000" w:themeColor="text1"/>
          <w:kern w:val="0"/>
          <w:sz w:val="24"/>
          <w:szCs w:val="21"/>
          <w:highlight w:val="none"/>
          <w:lang w:val="en-US" w:eastAsia="zh-CN"/>
          <w14:textFill>
            <w14:solidFill>
              <w14:schemeClr w14:val="tx1"/>
            </w14:solidFill>
          </w14:textFill>
        </w:rPr>
        <w:t>2</w:t>
      </w:r>
      <w:r>
        <w:rPr>
          <w:b/>
          <w:color w:val="000000" w:themeColor="text1"/>
          <w:kern w:val="0"/>
          <w:sz w:val="24"/>
          <w:szCs w:val="21"/>
          <w:highlight w:val="none"/>
          <w14:textFill>
            <w14:solidFill>
              <w14:schemeClr w14:val="tx1"/>
            </w14:solidFill>
          </w14:textFill>
        </w:rPr>
        <w:t>.</w:t>
      </w:r>
      <w:r>
        <w:rPr>
          <w:rFonts w:hint="eastAsia"/>
          <w:b/>
          <w:color w:val="000000" w:themeColor="text1"/>
          <w:kern w:val="0"/>
          <w:sz w:val="24"/>
          <w:szCs w:val="21"/>
          <w:highlight w:val="none"/>
          <w:lang w:val="en-US" w:eastAsia="zh-CN"/>
          <w14:textFill>
            <w14:solidFill>
              <w14:schemeClr w14:val="tx1"/>
            </w14:solidFill>
          </w14:textFill>
        </w:rPr>
        <w:t>2</w:t>
      </w:r>
      <w:r>
        <w:rPr>
          <w:b/>
          <w:color w:val="000000" w:themeColor="text1"/>
          <w:kern w:val="0"/>
          <w:sz w:val="24"/>
          <w:szCs w:val="21"/>
          <w:highlight w:val="none"/>
          <w14:textFill>
            <w14:solidFill>
              <w14:schemeClr w14:val="tx1"/>
            </w14:solidFill>
          </w14:textFill>
        </w:rPr>
        <w:t xml:space="preserve">  </w:t>
      </w:r>
      <w:r>
        <w:rPr>
          <w:rFonts w:hint="eastAsia"/>
          <w:b/>
          <w:color w:val="000000" w:themeColor="text1"/>
          <w:kern w:val="0"/>
          <w:sz w:val="24"/>
          <w:szCs w:val="21"/>
          <w:highlight w:val="none"/>
          <w:lang w:val="en-US" w:eastAsia="zh-CN"/>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在评价时段内</w:t>
      </w:r>
      <w:r>
        <w:rPr>
          <w:rFonts w:hint="eastAsia"/>
          <w:b/>
          <w:color w:val="000000" w:themeColor="text1"/>
          <w:kern w:val="0"/>
          <w:sz w:val="24"/>
          <w:szCs w:val="21"/>
          <w:highlight w:val="none"/>
          <w:lang w:val="en-US" w:eastAsia="zh-CN"/>
          <w14:textFill>
            <w14:solidFill>
              <w14:schemeClr w14:val="tx1"/>
            </w14:solidFill>
          </w14:textFill>
        </w:rPr>
        <w:t>，</w:t>
      </w:r>
      <w:r>
        <w:rPr>
          <w:rFonts w:hint="eastAsia"/>
          <w:b w:val="0"/>
          <w:bCs/>
          <w:sz w:val="24"/>
          <w:szCs w:val="21"/>
          <w:highlight w:val="none"/>
          <w:lang w:val="en-US" w:eastAsia="zh-CN"/>
        </w:rPr>
        <w:t>当制冷机组、水泵和冷却塔的启停频次高于表4.2.2所规定的限值时，应发出时段告警。</w:t>
      </w:r>
    </w:p>
    <w:p w14:paraId="7DC40162">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eastAsia="宋体"/>
          <w:b w:val="0"/>
          <w:bCs w:val="0"/>
          <w:highlight w:val="none"/>
          <w:lang w:val="en-US" w:eastAsia="zh-CN"/>
        </w:rPr>
      </w:pPr>
      <w:r>
        <w:rPr>
          <w:b w:val="0"/>
          <w:bCs w:val="0"/>
          <w:highlight w:val="none"/>
        </w:rPr>
        <w:t>表4.</w:t>
      </w:r>
      <w:r>
        <w:rPr>
          <w:rFonts w:hint="eastAsia"/>
          <w:b w:val="0"/>
          <w:bCs w:val="0"/>
          <w:highlight w:val="none"/>
          <w:lang w:val="en-US" w:eastAsia="zh-CN"/>
        </w:rPr>
        <w:t>2</w:t>
      </w:r>
      <w:r>
        <w:rPr>
          <w:b w:val="0"/>
          <w:bCs w:val="0"/>
          <w:highlight w:val="none"/>
        </w:rPr>
        <w:t>.</w:t>
      </w:r>
      <w:r>
        <w:rPr>
          <w:rFonts w:hint="eastAsia"/>
          <w:b w:val="0"/>
          <w:bCs w:val="0"/>
          <w:highlight w:val="none"/>
          <w:lang w:val="en-US" w:eastAsia="zh-CN"/>
        </w:rPr>
        <w:t>2</w:t>
      </w:r>
      <w:r>
        <w:rPr>
          <w:b w:val="0"/>
          <w:bCs w:val="0"/>
          <w:highlight w:val="none"/>
        </w:rPr>
        <w:t xml:space="preserve"> </w:t>
      </w:r>
      <w:r>
        <w:rPr>
          <w:rFonts w:hint="eastAsia"/>
          <w:b w:val="0"/>
          <w:bCs w:val="0"/>
          <w:highlight w:val="none"/>
          <w:lang w:val="en-US" w:eastAsia="zh-CN"/>
        </w:rPr>
        <w:t xml:space="preserve"> 单台设备启停频次告警限值</w:t>
      </w:r>
    </w:p>
    <w:tbl>
      <w:tblPr>
        <w:tblStyle w:val="28"/>
        <w:tblW w:w="6409" w:type="dxa"/>
        <w:jc w:val="center"/>
        <w:tblLayout w:type="fixed"/>
        <w:tblCellMar>
          <w:top w:w="0" w:type="dxa"/>
          <w:left w:w="108" w:type="dxa"/>
          <w:bottom w:w="0" w:type="dxa"/>
          <w:right w:w="108" w:type="dxa"/>
        </w:tblCellMar>
      </w:tblPr>
      <w:tblGrid>
        <w:gridCol w:w="678"/>
        <w:gridCol w:w="2487"/>
        <w:gridCol w:w="3244"/>
      </w:tblGrid>
      <w:tr w14:paraId="1D031906">
        <w:tblPrEx>
          <w:tblCellMar>
            <w:top w:w="0" w:type="dxa"/>
            <w:left w:w="108" w:type="dxa"/>
            <w:bottom w:w="0" w:type="dxa"/>
            <w:right w:w="108" w:type="dxa"/>
          </w:tblCellMar>
        </w:tblPrEx>
        <w:trPr>
          <w:trHeight w:val="320" w:hRule="atLeast"/>
          <w:tblHeader/>
          <w:jc w:val="center"/>
        </w:trPr>
        <w:tc>
          <w:tcPr>
            <w:tcW w:w="67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54F8F62">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序号</w:t>
            </w:r>
          </w:p>
        </w:tc>
        <w:tc>
          <w:tcPr>
            <w:tcW w:w="248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B9F4FC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设备名称</w:t>
            </w:r>
          </w:p>
        </w:tc>
        <w:tc>
          <w:tcPr>
            <w:tcW w:w="3244"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0A56277">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启停频次告警限值</w:t>
            </w:r>
          </w:p>
        </w:tc>
      </w:tr>
      <w:tr w14:paraId="2583ED89">
        <w:tblPrEx>
          <w:tblCellMar>
            <w:top w:w="0" w:type="dxa"/>
            <w:left w:w="108" w:type="dxa"/>
            <w:bottom w:w="0" w:type="dxa"/>
            <w:right w:w="108" w:type="dxa"/>
          </w:tblCellMar>
        </w:tblPrEx>
        <w:trPr>
          <w:trHeight w:val="285" w:hRule="atLeast"/>
          <w:jc w:val="center"/>
        </w:trPr>
        <w:tc>
          <w:tcPr>
            <w:tcW w:w="67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307A09BA">
            <w:pPr>
              <w:keepNext w:val="0"/>
              <w:keepLines w:val="0"/>
              <w:pageBreakBefore w:val="0"/>
              <w:widowControl/>
              <w:numPr>
                <w:ilvl w:val="0"/>
                <w:numId w:val="14"/>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48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8A9167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制冷机组</w:t>
            </w:r>
          </w:p>
        </w:tc>
        <w:tc>
          <w:tcPr>
            <w:tcW w:w="3244"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C6A22D7">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启动次数6次/h</w:t>
            </w:r>
          </w:p>
        </w:tc>
      </w:tr>
      <w:tr w14:paraId="003E5C3A">
        <w:tblPrEx>
          <w:tblCellMar>
            <w:top w:w="0" w:type="dxa"/>
            <w:left w:w="108" w:type="dxa"/>
            <w:bottom w:w="0" w:type="dxa"/>
            <w:right w:w="108" w:type="dxa"/>
          </w:tblCellMar>
        </w:tblPrEx>
        <w:trPr>
          <w:trHeight w:val="280" w:hRule="atLeast"/>
          <w:jc w:val="center"/>
        </w:trPr>
        <w:tc>
          <w:tcPr>
            <w:tcW w:w="678" w:type="dxa"/>
            <w:tcBorders>
              <w:top w:val="single" w:color="auto" w:sz="6" w:space="0"/>
              <w:left w:val="single" w:color="auto" w:sz="6" w:space="0"/>
              <w:bottom w:val="single" w:color="auto" w:sz="6" w:space="0"/>
              <w:right w:val="single" w:color="auto" w:sz="6" w:space="0"/>
            </w:tcBorders>
            <w:vAlign w:val="center"/>
          </w:tcPr>
          <w:p w14:paraId="74DF7CC3">
            <w:pPr>
              <w:keepNext w:val="0"/>
              <w:keepLines w:val="0"/>
              <w:pageBreakBefore w:val="0"/>
              <w:widowControl/>
              <w:numPr>
                <w:ilvl w:val="0"/>
                <w:numId w:val="14"/>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48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B71DBA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水泵</w:t>
            </w:r>
          </w:p>
        </w:tc>
        <w:tc>
          <w:tcPr>
            <w:tcW w:w="3244"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92AE96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启动次数12次/h</w:t>
            </w:r>
          </w:p>
        </w:tc>
      </w:tr>
      <w:tr w14:paraId="7527AC05">
        <w:tblPrEx>
          <w:tblCellMar>
            <w:top w:w="0" w:type="dxa"/>
            <w:left w:w="108" w:type="dxa"/>
            <w:bottom w:w="0" w:type="dxa"/>
            <w:right w:w="108" w:type="dxa"/>
          </w:tblCellMar>
        </w:tblPrEx>
        <w:trPr>
          <w:trHeight w:val="280" w:hRule="atLeast"/>
          <w:jc w:val="center"/>
        </w:trPr>
        <w:tc>
          <w:tcPr>
            <w:tcW w:w="67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422B5F45">
            <w:pPr>
              <w:keepNext w:val="0"/>
              <w:keepLines w:val="0"/>
              <w:pageBreakBefore w:val="0"/>
              <w:widowControl/>
              <w:numPr>
                <w:ilvl w:val="0"/>
                <w:numId w:val="14"/>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48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009338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冷却塔</w:t>
            </w:r>
          </w:p>
        </w:tc>
        <w:tc>
          <w:tcPr>
            <w:tcW w:w="3244" w:type="dxa"/>
            <w:tcBorders>
              <w:top w:val="single" w:color="auto" w:sz="6" w:space="0"/>
              <w:left w:val="single" w:color="auto" w:sz="6" w:space="0"/>
              <w:bottom w:val="single" w:color="auto" w:sz="6" w:space="0"/>
              <w:right w:val="single" w:color="auto" w:sz="6" w:space="0"/>
            </w:tcBorders>
            <w:shd w:val="clear" w:color="auto" w:fill="auto"/>
            <w:noWrap/>
            <w:vAlign w:val="center"/>
          </w:tcPr>
          <w:p w14:paraId="1E447EA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启动次数24次/h</w:t>
            </w:r>
          </w:p>
        </w:tc>
      </w:tr>
    </w:tbl>
    <w:p w14:paraId="688CB11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p>
    <w:p w14:paraId="46CBB7D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7E3671D9">
      <w:pPr>
        <w:keepNext w:val="0"/>
        <w:keepLines w:val="0"/>
        <w:pageBreakBefore w:val="0"/>
        <w:widowControl w:val="0"/>
        <w:kinsoku/>
        <w:wordWrap/>
        <w:overflowPunct/>
        <w:topLinePunct w:val="0"/>
        <w:autoSpaceDE/>
        <w:autoSpaceDN/>
        <w:bidi w:val="0"/>
        <w:adjustRightInd/>
        <w:snapToGrid w:val="0"/>
        <w:spacing w:line="360" w:lineRule="auto"/>
        <w:textAlignment w:val="auto"/>
        <w:rPr>
          <w:b/>
          <w:bCs w:val="0"/>
          <w:color w:val="000000" w:themeColor="text1"/>
          <w:kern w:val="0"/>
          <w:sz w:val="24"/>
          <w:szCs w:val="21"/>
          <w:highlight w:val="none"/>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表4.2.2所列告警，难以在即时告警中实现，因而在时段评价中才对此告警进行判断。</w:t>
      </w:r>
    </w:p>
    <w:p w14:paraId="361F3F53">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default" w:eastAsia="宋体"/>
          <w:b/>
          <w:color w:val="000000" w:themeColor="text1"/>
          <w:kern w:val="0"/>
          <w:sz w:val="24"/>
          <w:szCs w:val="21"/>
          <w:highlight w:val="none"/>
          <w:lang w:val="en-US" w:eastAsia="zh-CN"/>
          <w14:textFill>
            <w14:solidFill>
              <w14:schemeClr w14:val="tx1"/>
            </w14:solidFill>
          </w14:textFill>
        </w:rPr>
      </w:pPr>
      <w:r>
        <w:rPr>
          <w:b/>
          <w:color w:val="000000" w:themeColor="text1"/>
          <w:kern w:val="0"/>
          <w:sz w:val="24"/>
          <w:szCs w:val="21"/>
          <w:highlight w:val="none"/>
          <w14:textFill>
            <w14:solidFill>
              <w14:schemeClr w14:val="tx1"/>
            </w14:solidFill>
          </w14:textFill>
        </w:rPr>
        <w:t>4.</w:t>
      </w:r>
      <w:r>
        <w:rPr>
          <w:rFonts w:hint="eastAsia"/>
          <w:b/>
          <w:color w:val="000000" w:themeColor="text1"/>
          <w:kern w:val="0"/>
          <w:sz w:val="24"/>
          <w:szCs w:val="21"/>
          <w:highlight w:val="none"/>
          <w:lang w:val="en-US" w:eastAsia="zh-CN"/>
          <w14:textFill>
            <w14:solidFill>
              <w14:schemeClr w14:val="tx1"/>
            </w14:solidFill>
          </w14:textFill>
        </w:rPr>
        <w:t>2</w:t>
      </w:r>
      <w:r>
        <w:rPr>
          <w:b/>
          <w:color w:val="000000" w:themeColor="text1"/>
          <w:kern w:val="0"/>
          <w:sz w:val="24"/>
          <w:szCs w:val="21"/>
          <w:highlight w:val="none"/>
          <w14:textFill>
            <w14:solidFill>
              <w14:schemeClr w14:val="tx1"/>
            </w14:solidFill>
          </w14:textFill>
        </w:rPr>
        <w:t>.</w:t>
      </w:r>
      <w:r>
        <w:rPr>
          <w:rFonts w:hint="eastAsia"/>
          <w:b/>
          <w:color w:val="000000" w:themeColor="text1"/>
          <w:kern w:val="0"/>
          <w:sz w:val="24"/>
          <w:szCs w:val="21"/>
          <w:highlight w:val="none"/>
          <w:lang w:val="en-US" w:eastAsia="zh-CN"/>
          <w14:textFill>
            <w14:solidFill>
              <w14:schemeClr w14:val="tx1"/>
            </w14:solidFill>
          </w14:textFill>
        </w:rPr>
        <w:t>3</w:t>
      </w:r>
      <w:r>
        <w:rPr>
          <w:b/>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当按照《</w:t>
      </w:r>
      <w:r>
        <w:rPr>
          <w:rFonts w:hint="default"/>
          <w:b w:val="0"/>
          <w:bCs/>
          <w:color w:val="000000" w:themeColor="text1"/>
          <w:kern w:val="0"/>
          <w:sz w:val="24"/>
          <w:szCs w:val="21"/>
          <w:highlight w:val="none"/>
          <w:lang w:val="en-US" w:eastAsia="zh-CN"/>
          <w14:textFill>
            <w14:solidFill>
              <w14:schemeClr w14:val="tx1"/>
            </w14:solidFill>
          </w14:textFill>
        </w:rPr>
        <w:t>空调系统水质维护技术规程</w:t>
      </w:r>
      <w:r>
        <w:rPr>
          <w:rFonts w:hint="eastAsia"/>
          <w:b w:val="0"/>
          <w:bCs/>
          <w:color w:val="000000" w:themeColor="text1"/>
          <w:kern w:val="0"/>
          <w:sz w:val="24"/>
          <w:szCs w:val="21"/>
          <w:highlight w:val="none"/>
          <w:lang w:val="en-US" w:eastAsia="zh-CN"/>
          <w14:textFill>
            <w14:solidFill>
              <w14:schemeClr w14:val="tx1"/>
            </w14:solidFill>
          </w14:textFill>
        </w:rPr>
        <w:t>》</w:t>
      </w:r>
      <w:r>
        <w:rPr>
          <w:rFonts w:hint="default"/>
          <w:b w:val="0"/>
          <w:bCs/>
          <w:color w:val="000000" w:themeColor="text1"/>
          <w:kern w:val="0"/>
          <w:sz w:val="24"/>
          <w:szCs w:val="21"/>
          <w:highlight w:val="none"/>
          <w:lang w:val="en-US" w:eastAsia="zh-CN"/>
          <w14:textFill>
            <w14:solidFill>
              <w14:schemeClr w14:val="tx1"/>
            </w14:solidFill>
          </w14:textFill>
        </w:rPr>
        <w:t>T/CECS 881</w:t>
      </w:r>
      <w:r>
        <w:rPr>
          <w:rFonts w:hint="eastAsia"/>
          <w:b w:val="0"/>
          <w:bCs/>
          <w:color w:val="000000" w:themeColor="text1"/>
          <w:kern w:val="0"/>
          <w:sz w:val="24"/>
          <w:szCs w:val="21"/>
          <w:highlight w:val="none"/>
          <w:lang w:val="en-US" w:eastAsia="zh-CN"/>
          <w14:textFill>
            <w14:solidFill>
              <w14:schemeClr w14:val="tx1"/>
            </w14:solidFill>
          </w14:textFill>
        </w:rPr>
        <w:t>的规定对制冷机房冷却水和冷冻水水质进行在线监测时，如在评价时段内该监测参数不满足国家现行标准</w:t>
      </w:r>
      <w:r>
        <w:rPr>
          <w:rFonts w:hint="eastAsia"/>
          <w:b w:val="0"/>
          <w:bCs/>
          <w:color w:val="000000" w:themeColor="text1"/>
          <w:kern w:val="0"/>
          <w:sz w:val="24"/>
          <w:szCs w:val="21"/>
          <w:highlight w:val="none"/>
          <w:lang w:eastAsia="zh-CN"/>
          <w14:textFill>
            <w14:solidFill>
              <w14:schemeClr w14:val="tx1"/>
            </w14:solidFill>
          </w14:textFill>
        </w:rPr>
        <w:t>《</w:t>
      </w:r>
      <w:r>
        <w:rPr>
          <w:rFonts w:hint="default"/>
          <w:b w:val="0"/>
          <w:bCs/>
          <w:color w:val="000000" w:themeColor="text1"/>
          <w:kern w:val="0"/>
          <w:sz w:val="24"/>
          <w:szCs w:val="21"/>
          <w:highlight w:val="none"/>
          <w14:textFill>
            <w14:solidFill>
              <w14:schemeClr w14:val="tx1"/>
            </w14:solidFill>
          </w14:textFill>
        </w:rPr>
        <w:t>采暖空调系统水质</w:t>
      </w:r>
      <w:r>
        <w:rPr>
          <w:rFonts w:hint="eastAsia"/>
          <w:b w:val="0"/>
          <w:bCs/>
          <w:color w:val="000000" w:themeColor="text1"/>
          <w:kern w:val="0"/>
          <w:sz w:val="24"/>
          <w:szCs w:val="21"/>
          <w:highlight w:val="none"/>
          <w:lang w:eastAsia="zh-CN"/>
          <w14:textFill>
            <w14:solidFill>
              <w14:schemeClr w14:val="tx1"/>
            </w14:solidFill>
          </w14:textFill>
        </w:rPr>
        <w:t>》</w:t>
      </w:r>
      <w:r>
        <w:rPr>
          <w:rFonts w:hint="default"/>
          <w:b w:val="0"/>
          <w:bCs/>
          <w:color w:val="000000" w:themeColor="text1"/>
          <w:kern w:val="0"/>
          <w:sz w:val="24"/>
          <w:szCs w:val="21"/>
          <w:highlight w:val="none"/>
          <w14:textFill>
            <w14:solidFill>
              <w14:schemeClr w14:val="tx1"/>
            </w14:solidFill>
          </w14:textFill>
        </w:rPr>
        <w:t>GB/T</w:t>
      </w:r>
      <w:r>
        <w:rPr>
          <w:rFonts w:hint="eastAsia"/>
          <w:b w:val="0"/>
          <w:bCs/>
          <w:color w:val="000000" w:themeColor="text1"/>
          <w:kern w:val="0"/>
          <w:sz w:val="24"/>
          <w:szCs w:val="21"/>
          <w:highlight w:val="none"/>
          <w:lang w:val="en-US" w:eastAsia="zh-CN"/>
          <w14:textFill>
            <w14:solidFill>
              <w14:schemeClr w14:val="tx1"/>
            </w14:solidFill>
          </w14:textFill>
        </w:rPr>
        <w:t xml:space="preserve">  </w:t>
      </w:r>
      <w:r>
        <w:rPr>
          <w:rFonts w:hint="default"/>
          <w:b w:val="0"/>
          <w:bCs/>
          <w:color w:val="000000" w:themeColor="text1"/>
          <w:kern w:val="0"/>
          <w:sz w:val="24"/>
          <w:szCs w:val="21"/>
          <w:highlight w:val="none"/>
          <w14:textFill>
            <w14:solidFill>
              <w14:schemeClr w14:val="tx1"/>
            </w14:solidFill>
          </w14:textFill>
        </w:rPr>
        <w:t>29044</w:t>
      </w:r>
      <w:r>
        <w:rPr>
          <w:rFonts w:hint="eastAsia"/>
          <w:b w:val="0"/>
          <w:bCs/>
          <w:color w:val="000000" w:themeColor="text1"/>
          <w:kern w:val="0"/>
          <w:sz w:val="24"/>
          <w:szCs w:val="21"/>
          <w:highlight w:val="none"/>
          <w:lang w:val="en-US" w:eastAsia="zh-CN"/>
          <w14:textFill>
            <w14:solidFill>
              <w14:schemeClr w14:val="tx1"/>
            </w14:solidFill>
          </w14:textFill>
        </w:rPr>
        <w:t>和</w:t>
      </w:r>
      <w:r>
        <w:rPr>
          <w:rFonts w:hint="eastAsia"/>
          <w:b w:val="0"/>
          <w:bCs/>
          <w:color w:val="000000" w:themeColor="text1"/>
          <w:kern w:val="0"/>
          <w:sz w:val="24"/>
          <w:szCs w:val="21"/>
          <w:highlight w:val="none"/>
          <w:lang w:eastAsia="zh-CN"/>
          <w14:textFill>
            <w14:solidFill>
              <w14:schemeClr w14:val="tx1"/>
            </w14:solidFill>
          </w14:textFill>
        </w:rPr>
        <w:t>《</w:t>
      </w:r>
      <w:r>
        <w:rPr>
          <w:rFonts w:hint="default"/>
          <w:b w:val="0"/>
          <w:bCs/>
          <w:color w:val="000000" w:themeColor="text1"/>
          <w:kern w:val="0"/>
          <w:sz w:val="24"/>
          <w:szCs w:val="21"/>
          <w:highlight w:val="none"/>
          <w14:textFill>
            <w14:solidFill>
              <w14:schemeClr w14:val="tx1"/>
            </w14:solidFill>
          </w14:textFill>
        </w:rPr>
        <w:t>空调系统水质维护技术规程</w:t>
      </w:r>
      <w:r>
        <w:rPr>
          <w:rFonts w:hint="eastAsia"/>
          <w:b w:val="0"/>
          <w:bCs/>
          <w:color w:val="000000" w:themeColor="text1"/>
          <w:kern w:val="0"/>
          <w:sz w:val="24"/>
          <w:szCs w:val="21"/>
          <w:highlight w:val="none"/>
          <w:lang w:eastAsia="zh-CN"/>
          <w14:textFill>
            <w14:solidFill>
              <w14:schemeClr w14:val="tx1"/>
            </w14:solidFill>
          </w14:textFill>
        </w:rPr>
        <w:t>》</w:t>
      </w:r>
      <w:r>
        <w:rPr>
          <w:rFonts w:hint="default"/>
          <w:b w:val="0"/>
          <w:bCs/>
          <w:color w:val="000000" w:themeColor="text1"/>
          <w:kern w:val="0"/>
          <w:sz w:val="24"/>
          <w:szCs w:val="21"/>
          <w:highlight w:val="none"/>
          <w14:textFill>
            <w14:solidFill>
              <w14:schemeClr w14:val="tx1"/>
            </w14:solidFill>
          </w14:textFill>
        </w:rPr>
        <w:t>T/CECS</w:t>
      </w:r>
      <w:r>
        <w:rPr>
          <w:rFonts w:hint="eastAsia"/>
          <w:b w:val="0"/>
          <w:bCs/>
          <w:color w:val="000000" w:themeColor="text1"/>
          <w:kern w:val="0"/>
          <w:sz w:val="24"/>
          <w:szCs w:val="21"/>
          <w:highlight w:val="none"/>
          <w:lang w:val="en-US" w:eastAsia="zh-CN"/>
          <w14:textFill>
            <w14:solidFill>
              <w14:schemeClr w14:val="tx1"/>
            </w14:solidFill>
          </w14:textFill>
        </w:rPr>
        <w:t xml:space="preserve">  </w:t>
      </w:r>
      <w:r>
        <w:rPr>
          <w:rFonts w:hint="default"/>
          <w:b w:val="0"/>
          <w:bCs/>
          <w:color w:val="000000" w:themeColor="text1"/>
          <w:kern w:val="0"/>
          <w:sz w:val="24"/>
          <w:szCs w:val="21"/>
          <w:highlight w:val="none"/>
          <w14:textFill>
            <w14:solidFill>
              <w14:schemeClr w14:val="tx1"/>
            </w14:solidFill>
          </w14:textFill>
        </w:rPr>
        <w:t>881</w:t>
      </w:r>
      <w:r>
        <w:rPr>
          <w:rFonts w:hint="eastAsia"/>
          <w:b w:val="0"/>
          <w:bCs/>
          <w:color w:val="000000" w:themeColor="text1"/>
          <w:kern w:val="0"/>
          <w:sz w:val="24"/>
          <w:szCs w:val="21"/>
          <w:highlight w:val="none"/>
          <w:lang w:val="en-US" w:eastAsia="zh-CN"/>
          <w14:textFill>
            <w14:solidFill>
              <w14:schemeClr w14:val="tx1"/>
            </w14:solidFill>
          </w14:textFill>
        </w:rPr>
        <w:t>的要求的时间比例达到10%或以上，应发出时段告警。</w:t>
      </w:r>
    </w:p>
    <w:p w14:paraId="44423F16">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b/>
          <w:bCs w:val="0"/>
          <w:color w:val="000000" w:themeColor="text1"/>
          <w:kern w:val="0"/>
          <w:sz w:val="24"/>
          <w:szCs w:val="21"/>
          <w:highlight w:val="none"/>
          <w14:textFill>
            <w14:solidFill>
              <w14:schemeClr w14:val="tx1"/>
            </w14:solidFill>
          </w14:textFill>
        </w:rPr>
        <w:t>4.</w:t>
      </w:r>
      <w:r>
        <w:rPr>
          <w:rFonts w:hint="eastAsia"/>
          <w:b/>
          <w:bCs w:val="0"/>
          <w:color w:val="000000" w:themeColor="text1"/>
          <w:kern w:val="0"/>
          <w:sz w:val="24"/>
          <w:szCs w:val="21"/>
          <w:highlight w:val="none"/>
          <w:lang w:val="en-US" w:eastAsia="zh-CN"/>
          <w14:textFill>
            <w14:solidFill>
              <w14:schemeClr w14:val="tx1"/>
            </w14:solidFill>
          </w14:textFill>
        </w:rPr>
        <w:t>2</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4</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时段安全性评价得分应按下式计算：</w:t>
      </w:r>
    </w:p>
    <w:p w14:paraId="34480323">
      <w:pPr>
        <w:keepNext w:val="0"/>
        <w:keepLines w:val="0"/>
        <w:pageBreakBefore w:val="0"/>
        <w:widowControl w:val="0"/>
        <w:kinsoku/>
        <w:wordWrap/>
        <w:overflowPunct/>
        <w:topLinePunct w:val="0"/>
        <w:autoSpaceDE/>
        <w:autoSpaceDN/>
        <w:bidi w:val="0"/>
        <w:adjustRightInd/>
        <w:snapToGrid w:val="0"/>
        <w:spacing w:line="360" w:lineRule="auto"/>
        <w:ind w:left="420" w:leftChars="200"/>
        <w:jc w:val="righ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position w:val="-14"/>
          <w:sz w:val="24"/>
          <w:szCs w:val="21"/>
          <w:highlight w:val="none"/>
          <w:lang w:val="en-US" w:eastAsia="zh-CN"/>
          <w14:textFill>
            <w14:solidFill>
              <w14:schemeClr w14:val="tx1"/>
            </w14:solidFill>
          </w14:textFill>
        </w:rPr>
        <w:object>
          <v:shape id="_x0000_i1026" o:spt="75" type="#_x0000_t75" style="height:19pt;width:142pt;" o:ole="t" filled="f" o:preferrelative="t" stroked="f" coordsize="21600,21600">
            <v:path/>
            <v:fill on="f" focussize="0,0"/>
            <v:stroke on="f"/>
            <v:imagedata r:id="rId18" o:title=""/>
            <o:lock v:ext="edit" aspectratio="t"/>
            <w10:wrap type="none"/>
            <w10:anchorlock/>
          </v:shape>
          <o:OLEObject Type="Embed" ProgID="Equation.KSEE3" ShapeID="_x0000_i1026" DrawAspect="Content" ObjectID="_1468075726" r:id="rId17">
            <o:LockedField>false</o:LockedField>
          </o:OLEObject>
        </w:object>
      </w:r>
      <w:r>
        <w:rPr>
          <w:rFonts w:hint="eastAsia"/>
          <w:b w:val="0"/>
          <w:bCs/>
          <w:color w:val="000000" w:themeColor="text1"/>
          <w:kern w:val="0"/>
          <w:sz w:val="24"/>
          <w:szCs w:val="21"/>
          <w:highlight w:val="none"/>
          <w:lang w:val="en-US" w:eastAsia="zh-CN"/>
          <w14:textFill>
            <w14:solidFill>
              <w14:schemeClr w14:val="tx1"/>
            </w14:solidFill>
          </w14:textFill>
        </w:rPr>
        <w:t xml:space="preserve">                                        （4.2.4）</w:t>
      </w:r>
    </w:p>
    <w:p w14:paraId="488DDF11">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p>
    <w:p w14:paraId="17E7B5C1">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i</w:t>
      </w:r>
      <w:r>
        <w:rPr>
          <w:rFonts w:hint="eastAsia"/>
          <w:b w:val="0"/>
          <w:bCs/>
          <w:color w:val="000000" w:themeColor="text1"/>
          <w:kern w:val="0"/>
          <w:sz w:val="24"/>
          <w:szCs w:val="21"/>
          <w:highlight w:val="none"/>
          <w:lang w:val="en-US" w:eastAsia="zh-CN"/>
          <w14:textFill>
            <w14:solidFill>
              <w14:schemeClr w14:val="tx1"/>
            </w14:solidFill>
          </w14:textFill>
        </w:rPr>
        <w:t>——时段安全性评价得分，最低分为0分。如果出现紧急停机或进入保护停机阈值但未发生保护停机，即时安全性评分为0分；</w:t>
      </w:r>
    </w:p>
    <w:p w14:paraId="03117AEE">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A</w:t>
      </w:r>
      <w:r>
        <w:rPr>
          <w:rFonts w:hint="eastAsia"/>
          <w:b w:val="0"/>
          <w:bCs/>
          <w:color w:val="000000" w:themeColor="text1"/>
          <w:kern w:val="0"/>
          <w:sz w:val="24"/>
          <w:szCs w:val="21"/>
          <w:highlight w:val="none"/>
          <w:lang w:val="en-US" w:eastAsia="zh-CN"/>
          <w14:textFill>
            <w14:solidFill>
              <w14:schemeClr w14:val="tx1"/>
            </w14:solidFill>
          </w14:textFill>
        </w:rPr>
        <w:t>——起评分，如果出现保护停机，则起评分为70分，否则，起评分为100分；</w:t>
      </w:r>
    </w:p>
    <w:p w14:paraId="05E16DEE">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B</w:t>
      </w:r>
      <w:r>
        <w:rPr>
          <w:rFonts w:hint="eastAsia"/>
          <w:b w:val="0"/>
          <w:bCs/>
          <w:color w:val="000000" w:themeColor="text1"/>
          <w:kern w:val="0"/>
          <w:sz w:val="24"/>
          <w:szCs w:val="21"/>
          <w:highlight w:val="none"/>
          <w:lang w:val="en-US" w:eastAsia="zh-CN"/>
          <w14:textFill>
            <w14:solidFill>
              <w14:schemeClr w14:val="tx1"/>
            </w14:solidFill>
          </w14:textFill>
        </w:rPr>
        <w:t>——时段告警数量</w:t>
      </w:r>
    </w:p>
    <w:p w14:paraId="12C5F6CD">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C</w:t>
      </w:r>
      <w:r>
        <w:rPr>
          <w:rFonts w:hint="eastAsia"/>
          <w:b w:val="0"/>
          <w:bCs/>
          <w:color w:val="000000" w:themeColor="text1"/>
          <w:kern w:val="0"/>
          <w:sz w:val="24"/>
          <w:szCs w:val="21"/>
          <w:highlight w:val="none"/>
          <w:lang w:val="en-US" w:eastAsia="zh-CN"/>
          <w14:textFill>
            <w14:solidFill>
              <w14:schemeClr w14:val="tx1"/>
            </w14:solidFill>
          </w14:textFill>
        </w:rPr>
        <w:t>——未按表4.1.1设置的安全监测项目的数量</w:t>
      </w:r>
    </w:p>
    <w:p w14:paraId="06A8CDA8">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D</w:t>
      </w:r>
      <w:r>
        <w:rPr>
          <w:rFonts w:hint="eastAsia"/>
          <w:b w:val="0"/>
          <w:bCs/>
          <w:color w:val="000000" w:themeColor="text1"/>
          <w:kern w:val="0"/>
          <w:sz w:val="24"/>
          <w:szCs w:val="21"/>
          <w:highlight w:val="none"/>
          <w:lang w:val="en-US" w:eastAsia="zh-CN"/>
          <w14:textFill>
            <w14:solidFill>
              <w14:schemeClr w14:val="tx1"/>
            </w14:solidFill>
          </w14:textFill>
        </w:rPr>
        <w:t>——未进行启停频率监测的制冷机组、水泵和冷却塔的数量</w:t>
      </w:r>
    </w:p>
    <w:p w14:paraId="41DE87BB">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3649A40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式（4.2.</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）与式（4.1.2）相比，增加了对“未进行启停频率监测的设备”的扣分。两式的思路</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是</w:t>
      </w:r>
      <w:r>
        <w:rPr>
          <w:rFonts w:hint="eastAsia"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一样的。</w:t>
      </w:r>
    </w:p>
    <w:p w14:paraId="66F61B96">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ascii="楷体" w:hAnsi="楷体" w:eastAsia="楷体" w:cs="楷体"/>
          <w:b w:val="0"/>
          <w:bCs/>
          <w:sz w:val="24"/>
          <w:szCs w:val="21"/>
          <w:highlight w:val="none"/>
          <w:lang w:val="en-US" w:eastAsia="zh-CN"/>
        </w:rPr>
      </w:pPr>
    </w:p>
    <w:p w14:paraId="0B6C0A63">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sectPr>
          <w:footerReference r:id="rId11" w:type="default"/>
          <w:pgSz w:w="11907" w:h="16839"/>
          <w:pgMar w:top="1418" w:right="1512" w:bottom="1134" w:left="1418" w:header="1418" w:footer="851" w:gutter="0"/>
          <w:pgBorders>
            <w:top w:val="none" w:sz="0" w:space="0"/>
            <w:left w:val="none" w:sz="0" w:space="0"/>
            <w:bottom w:val="none" w:sz="0" w:space="0"/>
            <w:right w:val="none" w:sz="0" w:space="0"/>
          </w:pgBorders>
          <w:cols w:space="425" w:num="1"/>
          <w:titlePg/>
          <w:docGrid w:type="lines" w:linePitch="312" w:charSpace="0"/>
        </w:sectPr>
      </w:pPr>
    </w:p>
    <w:p w14:paraId="3A79F6B5">
      <w:pPr>
        <w:spacing w:after="240"/>
        <w:jc w:val="center"/>
        <w:outlineLvl w:val="0"/>
        <w:rPr>
          <w:rFonts w:hint="default" w:eastAsia="黑体"/>
          <w:bCs/>
          <w:kern w:val="0"/>
          <w:sz w:val="28"/>
          <w:szCs w:val="28"/>
          <w:highlight w:val="none"/>
          <w:lang w:val="en-US" w:eastAsia="zh-CN"/>
        </w:rPr>
      </w:pPr>
      <w:bookmarkStart w:id="35" w:name="_Toc19340"/>
      <w:bookmarkStart w:id="36" w:name="_Hlk125984085"/>
      <w:r>
        <w:rPr>
          <w:rFonts w:eastAsia="黑体"/>
          <w:bCs/>
          <w:kern w:val="0"/>
          <w:sz w:val="28"/>
          <w:szCs w:val="28"/>
          <w:highlight w:val="none"/>
        </w:rPr>
        <w:t xml:space="preserve">5 </w:t>
      </w:r>
      <w:r>
        <w:rPr>
          <w:rFonts w:hint="eastAsia" w:eastAsia="黑体"/>
          <w:bCs/>
          <w:kern w:val="0"/>
          <w:sz w:val="28"/>
          <w:szCs w:val="28"/>
          <w:highlight w:val="none"/>
          <w:lang w:val="en-US" w:eastAsia="zh-CN"/>
        </w:rPr>
        <w:t>功能性评价</w:t>
      </w:r>
      <w:bookmarkEnd w:id="35"/>
    </w:p>
    <w:bookmarkEnd w:id="36"/>
    <w:p w14:paraId="6615657C">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jc w:val="center"/>
        <w:textAlignment w:val="auto"/>
        <w:outlineLvl w:val="1"/>
        <w:rPr>
          <w:rFonts w:hint="default" w:eastAsia="宋体"/>
          <w:b/>
          <w:color w:val="000000" w:themeColor="text1"/>
          <w:kern w:val="0"/>
          <w:sz w:val="24"/>
          <w:szCs w:val="21"/>
          <w:highlight w:val="none"/>
          <w:lang w:val="en-US" w:eastAsia="zh-CN"/>
          <w14:textFill>
            <w14:solidFill>
              <w14:schemeClr w14:val="tx1"/>
            </w14:solidFill>
          </w14:textFill>
        </w:rPr>
      </w:pPr>
      <w:r>
        <w:rPr>
          <w:rFonts w:hint="eastAsia"/>
          <w:b/>
          <w:color w:val="000000" w:themeColor="text1"/>
          <w:kern w:val="0"/>
          <w:sz w:val="24"/>
          <w:szCs w:val="21"/>
          <w:highlight w:val="none"/>
          <w:lang w:val="en-US" w:eastAsia="zh-CN"/>
          <w14:textFill>
            <w14:solidFill>
              <w14:schemeClr w14:val="tx1"/>
            </w14:solidFill>
          </w14:textFill>
        </w:rPr>
        <w:t xml:space="preserve">5.1  </w:t>
      </w:r>
      <w:r>
        <w:rPr>
          <w:rFonts w:hint="eastAsia" w:ascii="黑体" w:hAnsi="黑体" w:eastAsia="黑体" w:cs="黑体"/>
          <w:b w:val="0"/>
          <w:bCs/>
          <w:color w:val="000000" w:themeColor="text1"/>
          <w:kern w:val="0"/>
          <w:sz w:val="24"/>
          <w:szCs w:val="21"/>
          <w:highlight w:val="none"/>
          <w:lang w:val="en-US" w:eastAsia="zh-CN"/>
          <w14:textFill>
            <w14:solidFill>
              <w14:schemeClr w14:val="tx1"/>
            </w14:solidFill>
          </w14:textFill>
        </w:rPr>
        <w:t>即时评价</w:t>
      </w:r>
    </w:p>
    <w:p w14:paraId="5D78DF8D">
      <w:pPr>
        <w:spacing w:line="360" w:lineRule="auto"/>
        <w:jc w:val="left"/>
        <w:rPr>
          <w:rFonts w:hint="eastAsia" w:ascii="Times New Roman"/>
          <w:b w:val="0"/>
          <w:bCs/>
          <w:sz w:val="24"/>
          <w:szCs w:val="21"/>
          <w:highlight w:val="none"/>
          <w:lang w:val="en-US" w:eastAsia="zh-CN"/>
        </w:rPr>
      </w:pPr>
      <w:r>
        <w:rPr>
          <w:rFonts w:hint="eastAsia"/>
          <w:b/>
          <w:bCs w:val="0"/>
          <w:sz w:val="24"/>
          <w:szCs w:val="21"/>
          <w:highlight w:val="none"/>
          <w:lang w:val="en-US" w:eastAsia="zh-CN"/>
        </w:rPr>
        <w:t>5.1.1</w:t>
      </w:r>
      <w:r>
        <w:rPr>
          <w:rFonts w:hint="eastAsia"/>
          <w:b w:val="0"/>
          <w:bCs/>
          <w:sz w:val="24"/>
          <w:szCs w:val="21"/>
          <w:highlight w:val="none"/>
          <w:lang w:val="en-US" w:eastAsia="zh-CN"/>
        </w:rPr>
        <w:t xml:space="preserve">  </w:t>
      </w:r>
      <w:r>
        <w:rPr>
          <w:rFonts w:hint="eastAsia" w:ascii="Times New Roman"/>
          <w:b w:val="0"/>
          <w:bCs/>
          <w:sz w:val="24"/>
          <w:szCs w:val="21"/>
          <w:highlight w:val="none"/>
          <w:lang w:val="en-US" w:eastAsia="zh-CN"/>
        </w:rPr>
        <w:t>应</w:t>
      </w:r>
      <w:r>
        <w:rPr>
          <w:rFonts w:hint="eastAsia"/>
          <w:b w:val="0"/>
          <w:bCs/>
          <w:sz w:val="24"/>
          <w:szCs w:val="21"/>
          <w:highlight w:val="none"/>
          <w:lang w:val="en-US" w:eastAsia="zh-CN"/>
        </w:rPr>
        <w:t>对</w:t>
      </w:r>
      <w:r>
        <w:rPr>
          <w:rFonts w:hint="eastAsia" w:ascii="Times New Roman"/>
          <w:b w:val="0"/>
          <w:bCs/>
          <w:sz w:val="24"/>
          <w:szCs w:val="21"/>
          <w:highlight w:val="none"/>
          <w:lang w:val="en-US" w:eastAsia="zh-CN"/>
        </w:rPr>
        <w:t>表</w:t>
      </w:r>
      <w:r>
        <w:rPr>
          <w:rFonts w:hint="eastAsia"/>
          <w:b w:val="0"/>
          <w:bCs/>
          <w:sz w:val="24"/>
          <w:szCs w:val="21"/>
          <w:highlight w:val="none"/>
          <w:lang w:val="en-US" w:eastAsia="zh-CN"/>
        </w:rPr>
        <w:t>5</w:t>
      </w:r>
      <w:r>
        <w:rPr>
          <w:rFonts w:hint="eastAsia" w:ascii="Times New Roman"/>
          <w:b w:val="0"/>
          <w:bCs/>
          <w:sz w:val="24"/>
          <w:szCs w:val="21"/>
          <w:highlight w:val="none"/>
          <w:lang w:val="en-US" w:eastAsia="zh-CN"/>
        </w:rPr>
        <w:t>.</w:t>
      </w:r>
      <w:r>
        <w:rPr>
          <w:rFonts w:hint="eastAsia"/>
          <w:b w:val="0"/>
          <w:bCs/>
          <w:sz w:val="24"/>
          <w:szCs w:val="21"/>
          <w:highlight w:val="none"/>
          <w:lang w:val="en-US" w:eastAsia="zh-CN"/>
        </w:rPr>
        <w:t>1</w:t>
      </w:r>
      <w:r>
        <w:rPr>
          <w:rFonts w:hint="eastAsia" w:ascii="Times New Roman"/>
          <w:b w:val="0"/>
          <w:bCs/>
          <w:sz w:val="24"/>
          <w:szCs w:val="21"/>
          <w:highlight w:val="none"/>
          <w:lang w:val="en-US" w:eastAsia="zh-CN"/>
        </w:rPr>
        <w:t>.1所列</w:t>
      </w:r>
      <w:r>
        <w:rPr>
          <w:rFonts w:hint="eastAsia"/>
          <w:b w:val="0"/>
          <w:bCs/>
          <w:sz w:val="24"/>
          <w:szCs w:val="21"/>
          <w:highlight w:val="none"/>
          <w:lang w:val="en-US" w:eastAsia="zh-CN"/>
        </w:rPr>
        <w:t>的制冷机房功能项进行监测，根据监测参数的值进行即时告警或严重告警。</w:t>
      </w:r>
    </w:p>
    <w:p w14:paraId="56CFE0B0">
      <w:pPr>
        <w:spacing w:line="360" w:lineRule="auto"/>
        <w:jc w:val="center"/>
        <w:rPr>
          <w:rFonts w:hint="default" w:eastAsia="宋体"/>
          <w:b w:val="0"/>
          <w:bCs w:val="0"/>
          <w:highlight w:val="none"/>
          <w:lang w:val="en-US" w:eastAsia="zh-CN"/>
        </w:rPr>
      </w:pPr>
      <w:r>
        <w:rPr>
          <w:b w:val="0"/>
          <w:bCs w:val="0"/>
          <w:highlight w:val="none"/>
        </w:rPr>
        <w:t>表</w:t>
      </w:r>
      <w:r>
        <w:rPr>
          <w:rFonts w:hint="eastAsia"/>
          <w:b w:val="0"/>
          <w:bCs w:val="0"/>
          <w:highlight w:val="none"/>
          <w:lang w:val="en-US" w:eastAsia="zh-CN"/>
        </w:rPr>
        <w:t>5</w:t>
      </w:r>
      <w:r>
        <w:rPr>
          <w:b w:val="0"/>
          <w:bCs w:val="0"/>
          <w:highlight w:val="none"/>
        </w:rPr>
        <w:t>.</w:t>
      </w:r>
      <w:r>
        <w:rPr>
          <w:rFonts w:hint="eastAsia"/>
          <w:b w:val="0"/>
          <w:bCs w:val="0"/>
          <w:highlight w:val="none"/>
          <w:lang w:val="en-US" w:eastAsia="zh-CN"/>
        </w:rPr>
        <w:t>1</w:t>
      </w:r>
      <w:r>
        <w:rPr>
          <w:b w:val="0"/>
          <w:bCs w:val="0"/>
          <w:highlight w:val="none"/>
        </w:rPr>
        <w:t xml:space="preserve">.1 </w:t>
      </w:r>
      <w:r>
        <w:rPr>
          <w:rFonts w:hint="eastAsia"/>
          <w:b w:val="0"/>
          <w:bCs w:val="0"/>
          <w:highlight w:val="none"/>
          <w:lang w:val="en-US" w:eastAsia="zh-CN"/>
        </w:rPr>
        <w:t xml:space="preserve"> 制冷机房功能项监测要求</w:t>
      </w:r>
    </w:p>
    <w:tbl>
      <w:tblPr>
        <w:tblStyle w:val="28"/>
        <w:tblW w:w="8955" w:type="dxa"/>
        <w:tblInd w:w="115" w:type="dxa"/>
        <w:tblLayout w:type="fixed"/>
        <w:tblCellMar>
          <w:top w:w="0" w:type="dxa"/>
          <w:left w:w="108" w:type="dxa"/>
          <w:bottom w:w="0" w:type="dxa"/>
          <w:right w:w="108" w:type="dxa"/>
        </w:tblCellMar>
      </w:tblPr>
      <w:tblGrid>
        <w:gridCol w:w="698"/>
        <w:gridCol w:w="1757"/>
        <w:gridCol w:w="1390"/>
        <w:gridCol w:w="1480"/>
        <w:gridCol w:w="1680"/>
        <w:gridCol w:w="1950"/>
      </w:tblGrid>
      <w:tr w14:paraId="634B391C">
        <w:tblPrEx>
          <w:tblCellMar>
            <w:top w:w="0" w:type="dxa"/>
            <w:left w:w="108" w:type="dxa"/>
            <w:bottom w:w="0" w:type="dxa"/>
            <w:right w:w="108" w:type="dxa"/>
          </w:tblCellMar>
        </w:tblPrEx>
        <w:trPr>
          <w:trHeight w:val="320" w:hRule="atLeast"/>
          <w:tblHeader/>
        </w:trPr>
        <w:tc>
          <w:tcPr>
            <w:tcW w:w="69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C16FD1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序号</w:t>
            </w:r>
          </w:p>
        </w:tc>
        <w:tc>
          <w:tcPr>
            <w:tcW w:w="175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3BAAFE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制冷机房功能项</w:t>
            </w:r>
          </w:p>
        </w:tc>
        <w:tc>
          <w:tcPr>
            <w:tcW w:w="139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61EEA86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监测参数</w:t>
            </w:r>
          </w:p>
        </w:tc>
        <w:tc>
          <w:tcPr>
            <w:tcW w:w="14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88D07C0">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监测位置</w:t>
            </w:r>
          </w:p>
        </w:tc>
        <w:tc>
          <w:tcPr>
            <w:tcW w:w="16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CF58B82">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即时告警条件</w:t>
            </w:r>
          </w:p>
        </w:tc>
        <w:tc>
          <w:tcPr>
            <w:tcW w:w="195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FBFD8F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即时严重告警条件</w:t>
            </w:r>
          </w:p>
        </w:tc>
      </w:tr>
      <w:tr w14:paraId="736AB1AE">
        <w:tblPrEx>
          <w:tblCellMar>
            <w:top w:w="0" w:type="dxa"/>
            <w:left w:w="108" w:type="dxa"/>
            <w:bottom w:w="0" w:type="dxa"/>
            <w:right w:w="108" w:type="dxa"/>
          </w:tblCellMar>
        </w:tblPrEx>
        <w:trPr>
          <w:trHeight w:val="285" w:hRule="atLeast"/>
        </w:trPr>
        <w:tc>
          <w:tcPr>
            <w:tcW w:w="69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41055C1">
            <w:pPr>
              <w:keepNext w:val="0"/>
              <w:keepLines w:val="0"/>
              <w:pageBreakBefore w:val="0"/>
              <w:widowControl/>
              <w:numPr>
                <w:ilvl w:val="0"/>
                <w:numId w:val="15"/>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175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13C866F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color w:val="000000"/>
                <w:kern w:val="0"/>
                <w:szCs w:val="21"/>
                <w:highlight w:val="none"/>
                <w:lang w:val="en-US" w:eastAsia="zh-CN"/>
              </w:rPr>
              <w:t>冷冻水供水温度过高</w:t>
            </w:r>
          </w:p>
        </w:tc>
        <w:tc>
          <w:tcPr>
            <w:tcW w:w="139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56A47F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冷冻水供水温度</w:t>
            </w:r>
          </w:p>
          <w:p w14:paraId="0C73C01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p>
        </w:tc>
        <w:tc>
          <w:tcPr>
            <w:tcW w:w="14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37D2C6E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color w:val="000000"/>
                <w:kern w:val="0"/>
                <w:szCs w:val="21"/>
                <w:highlight w:val="none"/>
                <w:lang w:val="en-US" w:eastAsia="zh-CN"/>
              </w:rPr>
              <w:t>分水器</w:t>
            </w:r>
          </w:p>
        </w:tc>
        <w:tc>
          <w:tcPr>
            <w:tcW w:w="16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4836327B">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cs="Times New Roman"/>
                <w:b w:val="0"/>
                <w:bCs w:val="0"/>
                <w:color w:val="000000"/>
                <w:kern w:val="0"/>
                <w:sz w:val="21"/>
                <w:szCs w:val="21"/>
                <w:highlight w:val="none"/>
                <w:lang w:val="en-US" w:eastAsia="zh-CN" w:bidi="ar-SA"/>
              </w:rPr>
            </w:pPr>
            <w:r>
              <w:rPr>
                <w:rFonts w:hint="eastAsia" w:cs="Times New Roman"/>
                <w:b w:val="0"/>
                <w:bCs w:val="0"/>
                <w:color w:val="000000"/>
                <w:kern w:val="0"/>
                <w:sz w:val="21"/>
                <w:szCs w:val="21"/>
                <w:highlight w:val="none"/>
                <w:lang w:val="en-US" w:eastAsia="zh-CN" w:bidi="ar-SA"/>
              </w:rPr>
              <w:t>高于设定温度范围超过0.5℃</w:t>
            </w:r>
          </w:p>
        </w:tc>
        <w:tc>
          <w:tcPr>
            <w:tcW w:w="195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93A8DF2">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Times New Roman" w:hAnsi="Times New Roman" w:eastAsia="宋体" w:cs="Times New Roman"/>
                <w:b w:val="0"/>
                <w:bCs w:val="0"/>
                <w:color w:val="000000"/>
                <w:kern w:val="0"/>
                <w:sz w:val="21"/>
                <w:szCs w:val="21"/>
                <w:highlight w:val="none"/>
                <w:lang w:val="en-US" w:eastAsia="zh-CN" w:bidi="ar-SA"/>
              </w:rPr>
            </w:pPr>
            <w:r>
              <w:rPr>
                <w:rFonts w:hint="eastAsia" w:cs="Times New Roman"/>
                <w:b w:val="0"/>
                <w:bCs w:val="0"/>
                <w:color w:val="000000"/>
                <w:kern w:val="0"/>
                <w:sz w:val="21"/>
                <w:szCs w:val="21"/>
                <w:highlight w:val="none"/>
                <w:lang w:val="en-US" w:eastAsia="zh-CN" w:bidi="ar-SA"/>
              </w:rPr>
              <w:t>高于设定温度范围超过1.5℃</w:t>
            </w:r>
          </w:p>
        </w:tc>
      </w:tr>
      <w:tr w14:paraId="4B24579F">
        <w:tblPrEx>
          <w:tblCellMar>
            <w:top w:w="0" w:type="dxa"/>
            <w:left w:w="108" w:type="dxa"/>
            <w:bottom w:w="0" w:type="dxa"/>
            <w:right w:w="108" w:type="dxa"/>
          </w:tblCellMar>
        </w:tblPrEx>
        <w:trPr>
          <w:trHeight w:val="280" w:hRule="atLeast"/>
        </w:trPr>
        <w:tc>
          <w:tcPr>
            <w:tcW w:w="698" w:type="dxa"/>
            <w:tcBorders>
              <w:top w:val="single" w:color="auto" w:sz="6" w:space="0"/>
              <w:left w:val="single" w:color="auto" w:sz="6" w:space="0"/>
              <w:bottom w:val="single" w:color="auto" w:sz="6" w:space="0"/>
              <w:right w:val="single" w:color="auto" w:sz="6" w:space="0"/>
            </w:tcBorders>
            <w:vAlign w:val="center"/>
          </w:tcPr>
          <w:p w14:paraId="188D4CDE">
            <w:pPr>
              <w:keepNext w:val="0"/>
              <w:keepLines w:val="0"/>
              <w:pageBreakBefore w:val="0"/>
              <w:widowControl/>
              <w:numPr>
                <w:ilvl w:val="0"/>
                <w:numId w:val="15"/>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175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43D6516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冷冻水流量控制参数是否过高</w:t>
            </w:r>
          </w:p>
        </w:tc>
        <w:tc>
          <w:tcPr>
            <w:tcW w:w="139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4D78411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color w:val="000000"/>
                <w:kern w:val="0"/>
                <w:szCs w:val="21"/>
                <w:highlight w:val="none"/>
                <w:lang w:val="en-US" w:eastAsia="zh-CN"/>
              </w:rPr>
              <w:t>冷冻水泵控制目标参数</w:t>
            </w:r>
          </w:p>
        </w:tc>
        <w:tc>
          <w:tcPr>
            <w:tcW w:w="14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98CE3D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cs="Times New Roman"/>
                <w:b w:val="0"/>
                <w:bCs w:val="0"/>
                <w:color w:val="000000"/>
                <w:kern w:val="0"/>
                <w:sz w:val="21"/>
                <w:szCs w:val="21"/>
                <w:highlight w:val="none"/>
                <w:lang w:val="en-US" w:eastAsia="zh-CN" w:bidi="ar-SA"/>
              </w:rPr>
              <w:t>分集水器，总管流量，具体位置</w:t>
            </w:r>
          </w:p>
        </w:tc>
        <w:tc>
          <w:tcPr>
            <w:tcW w:w="16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02D256B">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cs="Times New Roman"/>
                <w:b w:val="0"/>
                <w:bCs w:val="0"/>
                <w:color w:val="000000"/>
                <w:kern w:val="0"/>
                <w:sz w:val="21"/>
                <w:szCs w:val="21"/>
                <w:highlight w:val="none"/>
                <w:lang w:val="en-US" w:eastAsia="zh-CN" w:bidi="ar-SA"/>
              </w:rPr>
              <w:t>高于设定阈值超过10%</w:t>
            </w:r>
          </w:p>
        </w:tc>
        <w:tc>
          <w:tcPr>
            <w:tcW w:w="195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0D9F323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cs="Times New Roman"/>
                <w:b w:val="0"/>
                <w:bCs w:val="0"/>
                <w:color w:val="000000"/>
                <w:kern w:val="0"/>
                <w:sz w:val="21"/>
                <w:szCs w:val="21"/>
                <w:highlight w:val="none"/>
                <w:lang w:val="en-US" w:eastAsia="zh-CN" w:bidi="ar-SA"/>
              </w:rPr>
              <w:t>高于设定阈值超过30%</w:t>
            </w:r>
          </w:p>
        </w:tc>
      </w:tr>
      <w:tr w14:paraId="1524C95B">
        <w:tblPrEx>
          <w:tblCellMar>
            <w:top w:w="0" w:type="dxa"/>
            <w:left w:w="108" w:type="dxa"/>
            <w:bottom w:w="0" w:type="dxa"/>
            <w:right w:w="108" w:type="dxa"/>
          </w:tblCellMar>
        </w:tblPrEx>
        <w:trPr>
          <w:trHeight w:val="280" w:hRule="atLeast"/>
        </w:trPr>
        <w:tc>
          <w:tcPr>
            <w:tcW w:w="698" w:type="dxa"/>
            <w:tcBorders>
              <w:top w:val="single" w:color="auto" w:sz="6" w:space="0"/>
              <w:left w:val="single" w:color="auto" w:sz="6" w:space="0"/>
              <w:bottom w:val="single" w:color="auto" w:sz="6" w:space="0"/>
              <w:right w:val="single" w:color="auto" w:sz="6" w:space="0"/>
            </w:tcBorders>
            <w:shd w:val="clear" w:color="auto" w:fill="auto"/>
            <w:noWrap/>
            <w:vAlign w:val="center"/>
          </w:tcPr>
          <w:p w14:paraId="4AF52801">
            <w:pPr>
              <w:keepNext w:val="0"/>
              <w:keepLines w:val="0"/>
              <w:pageBreakBefore w:val="0"/>
              <w:widowControl/>
              <w:numPr>
                <w:ilvl w:val="0"/>
                <w:numId w:val="15"/>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1757"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C463E70">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color w:val="000000"/>
                <w:kern w:val="0"/>
                <w:szCs w:val="21"/>
                <w:highlight w:val="none"/>
                <w:lang w:val="en-US" w:eastAsia="zh-CN"/>
              </w:rPr>
              <w:t>制冷机房对外通信功能是否正常</w:t>
            </w:r>
          </w:p>
        </w:tc>
        <w:tc>
          <w:tcPr>
            <w:tcW w:w="139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24C3FE02">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制冷机房对外通信状态</w:t>
            </w:r>
          </w:p>
        </w:tc>
        <w:tc>
          <w:tcPr>
            <w:tcW w:w="14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5CF2D9C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对外通信端口</w:t>
            </w:r>
          </w:p>
        </w:tc>
        <w:tc>
          <w:tcPr>
            <w:tcW w:w="168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70C0174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不能通信</w:t>
            </w:r>
          </w:p>
        </w:tc>
        <w:tc>
          <w:tcPr>
            <w:tcW w:w="1950" w:type="dxa"/>
            <w:tcBorders>
              <w:top w:val="single" w:color="auto" w:sz="6" w:space="0"/>
              <w:left w:val="single" w:color="auto" w:sz="6" w:space="0"/>
              <w:bottom w:val="single" w:color="auto" w:sz="6" w:space="0"/>
              <w:right w:val="single" w:color="auto" w:sz="6" w:space="0"/>
            </w:tcBorders>
            <w:shd w:val="clear" w:color="auto" w:fill="auto"/>
            <w:noWrap/>
            <w:vAlign w:val="center"/>
          </w:tcPr>
          <w:p w14:paraId="17B4CD84">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w:t>
            </w:r>
          </w:p>
        </w:tc>
      </w:tr>
    </w:tbl>
    <w:p w14:paraId="1E014812">
      <w:pPr>
        <w:keepNext w:val="0"/>
        <w:keepLines w:val="0"/>
        <w:pageBreakBefore w:val="0"/>
        <w:widowControl w:val="0"/>
        <w:kinsoku/>
        <w:wordWrap/>
        <w:overflowPunct/>
        <w:topLinePunct w:val="0"/>
        <w:autoSpaceDE/>
        <w:autoSpaceDN/>
        <w:bidi w:val="0"/>
        <w:adjustRightInd/>
        <w:snapToGrid w:val="0"/>
        <w:spacing w:before="157" w:beforeLines="50"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0AE6252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b/>
          <w:bCs w:val="0"/>
          <w:color w:val="000000" w:themeColor="text1"/>
          <w:kern w:val="0"/>
          <w:sz w:val="24"/>
          <w:szCs w:val="21"/>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从外部看，制冷机房的功能就是对外提供温度和流量满足要求的冷冻水，并能够和外部通信</w:t>
      </w:r>
      <w:r>
        <w:rPr>
          <w:rFonts w:hint="eastAsia" w:ascii="Times New Roman" w:hAnsi="Times New Roman" w:eastAsia="楷体" w:cs="Times New Roman"/>
          <w:b w:val="0"/>
          <w:bCs/>
          <w:color w:val="000000" w:themeColor="text1"/>
          <w:kern w:val="0"/>
          <w:sz w:val="24"/>
          <w:szCs w:val="24"/>
          <w:highlight w:val="none"/>
          <w:lang w:val="en-US" w:eastAsia="zh-CN"/>
          <w14:textFill>
            <w14:solidFill>
              <w14:schemeClr w14:val="tx1"/>
            </w14:solidFill>
          </w14:textFill>
        </w:rPr>
        <w:t>。</w:t>
      </w: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冷冻水流量控制方式有很多种，譬如流量控制、压差控制及温差控制等。在不同的控制方式下，冷冻水流量控制参数不同。</w:t>
      </w:r>
    </w:p>
    <w:p w14:paraId="0FB855CD">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bCs w:val="0"/>
          <w:color w:val="000000" w:themeColor="text1"/>
          <w:kern w:val="0"/>
          <w:sz w:val="24"/>
          <w:szCs w:val="21"/>
          <w:highlight w:val="none"/>
          <w:lang w:val="en-US" w:eastAsia="zh-CN"/>
          <w14:textFill>
            <w14:solidFill>
              <w14:schemeClr w14:val="tx1"/>
            </w14:solidFill>
          </w14:textFill>
        </w:rPr>
        <w:t>5</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1</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2</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即时功能性评价得分应按下式计算：</w:t>
      </w:r>
    </w:p>
    <w:p w14:paraId="65B9A816">
      <w:pPr>
        <w:keepNext w:val="0"/>
        <w:keepLines w:val="0"/>
        <w:pageBreakBefore w:val="0"/>
        <w:widowControl w:val="0"/>
        <w:kinsoku/>
        <w:wordWrap/>
        <w:overflowPunct/>
        <w:topLinePunct w:val="0"/>
        <w:autoSpaceDE/>
        <w:autoSpaceDN/>
        <w:bidi w:val="0"/>
        <w:adjustRightInd/>
        <w:snapToGrid w:val="0"/>
        <w:spacing w:line="360" w:lineRule="auto"/>
        <w:ind w:left="420" w:leftChars="200"/>
        <w:jc w:val="righ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position w:val="-10"/>
          <w:sz w:val="24"/>
          <w:szCs w:val="21"/>
          <w:highlight w:val="none"/>
          <w:lang w:val="en-US" w:eastAsia="zh-CN"/>
          <w14:textFill>
            <w14:solidFill>
              <w14:schemeClr w14:val="tx1"/>
            </w14:solidFill>
          </w14:textFill>
        </w:rPr>
        <w:object>
          <v:shape id="_x0000_i1027" o:spt="75" type="#_x0000_t75" style="height:17pt;width:204pt;" o:ole="t" filled="f" o:preferrelative="t" stroked="f" coordsize="21600,21600">
            <v:path/>
            <v:fill on="f" focussize="0,0"/>
            <v:stroke on="f"/>
            <v:imagedata r:id="rId20" o:title=""/>
            <o:lock v:ext="edit" aspectratio="t"/>
            <w10:wrap type="none"/>
            <w10:anchorlock/>
          </v:shape>
          <o:OLEObject Type="Embed" ProgID="Equation.KSEE3" ShapeID="_x0000_i1027" DrawAspect="Content" ObjectID="_1468075727" r:id="rId19">
            <o:LockedField>false</o:LockedField>
          </o:OLEObject>
        </w:object>
      </w:r>
      <w:r>
        <w:rPr>
          <w:rFonts w:hint="eastAsia"/>
          <w:b w:val="0"/>
          <w:bCs/>
          <w:color w:val="000000" w:themeColor="text1"/>
          <w:kern w:val="0"/>
          <w:sz w:val="24"/>
          <w:szCs w:val="21"/>
          <w:highlight w:val="none"/>
          <w:lang w:val="en-US" w:eastAsia="zh-CN"/>
          <w14:textFill>
            <w14:solidFill>
              <w14:schemeClr w14:val="tx1"/>
            </w14:solidFill>
          </w14:textFill>
        </w:rPr>
        <w:t xml:space="preserve">                                        （5.1.2）</w:t>
      </w:r>
    </w:p>
    <w:p w14:paraId="7D14C54A">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p>
    <w:p w14:paraId="75AFE5CC">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i</w:t>
      </w:r>
      <w:r>
        <w:rPr>
          <w:rFonts w:hint="eastAsia"/>
          <w:b w:val="0"/>
          <w:bCs/>
          <w:color w:val="000000" w:themeColor="text1"/>
          <w:kern w:val="0"/>
          <w:sz w:val="24"/>
          <w:szCs w:val="21"/>
          <w:highlight w:val="none"/>
          <w:lang w:val="en-US" w:eastAsia="zh-CN"/>
          <w14:textFill>
            <w14:solidFill>
              <w14:schemeClr w14:val="tx1"/>
            </w14:solidFill>
          </w14:textFill>
        </w:rPr>
        <w:t>——即时功能性评价得分，最低分为0分；</w:t>
      </w:r>
    </w:p>
    <w:p w14:paraId="210E6355">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A——起评分，为100分；</w:t>
      </w:r>
    </w:p>
    <w:p w14:paraId="19866271">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B——表5.1.1中第1项和第2项出现即时告警的数量；</w:t>
      </w:r>
    </w:p>
    <w:p w14:paraId="45E86964">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C——表5.1.1中第1项和第2项出现即时严重告警的数量；</w:t>
      </w:r>
    </w:p>
    <w:p w14:paraId="522A10C3">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D——表5.1.1中第3项是否出现即时告警，“是”取100，“否”或无值取0。</w:t>
      </w:r>
    </w:p>
    <w:p w14:paraId="1EF4C553">
      <w:pPr>
        <w:keepNext w:val="0"/>
        <w:keepLines w:val="0"/>
        <w:pageBreakBefore w:val="0"/>
        <w:widowControl w:val="0"/>
        <w:kinsoku/>
        <w:wordWrap/>
        <w:overflowPunct/>
        <w:topLinePunct w:val="0"/>
        <w:autoSpaceDE/>
        <w:autoSpaceDN/>
        <w:bidi w:val="0"/>
        <w:adjustRightInd/>
        <w:snapToGrid w:val="0"/>
        <w:spacing w:before="157" w:beforeLines="50"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5F1AD736">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b/>
          <w:bCs w:val="0"/>
          <w:color w:val="000000" w:themeColor="text1"/>
          <w:kern w:val="0"/>
          <w:sz w:val="24"/>
          <w:szCs w:val="21"/>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对外提供满足要求的冷冻水和外部通信，是制冷机房两个独立的功能，因而对两者的评分采用加权平均的方式得到制冷机房功能性评分，权重分别为80%和20%。对于“对外提供满足要求的冷冻水”这个功能，其包括温度和流量两个因素，缺一不可，因而采用扣分的评分机制。</w:t>
      </w:r>
    </w:p>
    <w:p w14:paraId="7CAEED8E">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bCs w:val="0"/>
          <w:color w:val="000000" w:themeColor="text1"/>
          <w:kern w:val="0"/>
          <w:sz w:val="24"/>
          <w:szCs w:val="21"/>
          <w:highlight w:val="none"/>
          <w:lang w:val="en-US" w:eastAsia="zh-CN"/>
          <w14:textFill>
            <w14:solidFill>
              <w14:schemeClr w14:val="tx1"/>
            </w14:solidFill>
          </w14:textFill>
        </w:rPr>
        <w:t xml:space="preserve">5.1.3  </w:t>
      </w:r>
      <w:r>
        <w:rPr>
          <w:rFonts w:hint="eastAsia"/>
          <w:b w:val="0"/>
          <w:bCs/>
          <w:color w:val="000000" w:themeColor="text1"/>
          <w:kern w:val="0"/>
          <w:sz w:val="24"/>
          <w:szCs w:val="21"/>
          <w:highlight w:val="none"/>
          <w:lang w:val="en-US" w:eastAsia="zh-CN"/>
          <w14:textFill>
            <w14:solidFill>
              <w14:schemeClr w14:val="tx1"/>
            </w14:solidFill>
          </w14:textFill>
        </w:rPr>
        <w:t>如未监测表5.1.1所列的制冷机房第1项和第2项功能项，则即时功能性评价得分为0分。</w:t>
      </w:r>
    </w:p>
    <w:p w14:paraId="3CC212A6">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jc w:val="center"/>
        <w:textAlignment w:val="auto"/>
        <w:outlineLvl w:val="1"/>
        <w:rPr>
          <w:rFonts w:hint="default"/>
          <w:b/>
          <w:color w:val="000000" w:themeColor="text1"/>
          <w:kern w:val="0"/>
          <w:sz w:val="24"/>
          <w:szCs w:val="21"/>
          <w:highlight w:val="none"/>
          <w:lang w:val="en-US" w:eastAsia="zh-CN"/>
          <w14:textFill>
            <w14:solidFill>
              <w14:schemeClr w14:val="tx1"/>
            </w14:solidFill>
          </w14:textFill>
        </w:rPr>
      </w:pPr>
      <w:r>
        <w:rPr>
          <w:rFonts w:hint="eastAsia"/>
          <w:b/>
          <w:color w:val="000000" w:themeColor="text1"/>
          <w:kern w:val="0"/>
          <w:sz w:val="24"/>
          <w:szCs w:val="21"/>
          <w:highlight w:val="none"/>
          <w:lang w:val="en-US" w:eastAsia="zh-CN"/>
          <w14:textFill>
            <w14:solidFill>
              <w14:schemeClr w14:val="tx1"/>
            </w14:solidFill>
          </w14:textFill>
        </w:rPr>
        <w:t xml:space="preserve">5.2  </w:t>
      </w:r>
      <w:r>
        <w:rPr>
          <w:rFonts w:hint="eastAsia" w:ascii="黑体" w:hAnsi="黑体" w:eastAsia="黑体" w:cs="黑体"/>
          <w:b w:val="0"/>
          <w:bCs/>
          <w:color w:val="000000" w:themeColor="text1"/>
          <w:kern w:val="0"/>
          <w:sz w:val="24"/>
          <w:szCs w:val="21"/>
          <w:highlight w:val="none"/>
          <w:lang w:val="en-US" w:eastAsia="zh-CN"/>
          <w14:textFill>
            <w14:solidFill>
              <w14:schemeClr w14:val="tx1"/>
            </w14:solidFill>
          </w14:textFill>
        </w:rPr>
        <w:t>时段评价</w:t>
      </w:r>
    </w:p>
    <w:p w14:paraId="49E33771">
      <w:pPr>
        <w:keepNext w:val="0"/>
        <w:keepLines w:val="0"/>
        <w:pageBreakBefore w:val="0"/>
        <w:widowControl w:val="0"/>
        <w:kinsoku/>
        <w:wordWrap/>
        <w:overflowPunct/>
        <w:topLinePunct w:val="0"/>
        <w:autoSpaceDE/>
        <w:autoSpaceDN/>
        <w:bidi w:val="0"/>
        <w:adjustRightInd/>
        <w:snapToGrid w:val="0"/>
        <w:spacing w:line="360" w:lineRule="auto"/>
        <w:ind w:left="0" w:leftChars="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color w:val="000000" w:themeColor="text1"/>
          <w:kern w:val="0"/>
          <w:sz w:val="24"/>
          <w:szCs w:val="21"/>
          <w:highlight w:val="none"/>
          <w:lang w:val="en-US" w:eastAsia="zh-CN"/>
          <w14:textFill>
            <w14:solidFill>
              <w14:schemeClr w14:val="tx1"/>
            </w14:solidFill>
          </w14:textFill>
        </w:rPr>
        <w:t>5</w:t>
      </w:r>
      <w:r>
        <w:rPr>
          <w:b/>
          <w:color w:val="000000" w:themeColor="text1"/>
          <w:kern w:val="0"/>
          <w:sz w:val="24"/>
          <w:szCs w:val="21"/>
          <w:highlight w:val="none"/>
          <w14:textFill>
            <w14:solidFill>
              <w14:schemeClr w14:val="tx1"/>
            </w14:solidFill>
          </w14:textFill>
        </w:rPr>
        <w:t>.</w:t>
      </w:r>
      <w:r>
        <w:rPr>
          <w:rFonts w:hint="eastAsia"/>
          <w:b/>
          <w:color w:val="000000" w:themeColor="text1"/>
          <w:kern w:val="0"/>
          <w:sz w:val="24"/>
          <w:szCs w:val="21"/>
          <w:highlight w:val="none"/>
          <w:lang w:val="en-US" w:eastAsia="zh-CN"/>
          <w14:textFill>
            <w14:solidFill>
              <w14:schemeClr w14:val="tx1"/>
            </w14:solidFill>
          </w14:textFill>
        </w:rPr>
        <w:t>2</w:t>
      </w:r>
      <w:r>
        <w:rPr>
          <w:b/>
          <w:color w:val="000000" w:themeColor="text1"/>
          <w:kern w:val="0"/>
          <w:sz w:val="24"/>
          <w:szCs w:val="21"/>
          <w:highlight w:val="none"/>
          <w14:textFill>
            <w14:solidFill>
              <w14:schemeClr w14:val="tx1"/>
            </w14:solidFill>
          </w14:textFill>
        </w:rPr>
        <w:t xml:space="preserve">.1  </w:t>
      </w:r>
      <w:r>
        <w:rPr>
          <w:rFonts w:hint="eastAsia"/>
          <w:b/>
          <w:color w:val="000000" w:themeColor="text1"/>
          <w:kern w:val="0"/>
          <w:sz w:val="24"/>
          <w:szCs w:val="21"/>
          <w:highlight w:val="none"/>
          <w:lang w:val="en-US" w:eastAsia="zh-CN"/>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在评价时段内</w:t>
      </w:r>
      <w:r>
        <w:rPr>
          <w:rFonts w:hint="eastAsia"/>
          <w:b/>
          <w:color w:val="000000" w:themeColor="text1"/>
          <w:kern w:val="0"/>
          <w:sz w:val="24"/>
          <w:szCs w:val="21"/>
          <w:highlight w:val="none"/>
          <w:lang w:val="en-US" w:eastAsia="zh-CN"/>
          <w14:textFill>
            <w14:solidFill>
              <w14:schemeClr w14:val="tx1"/>
            </w14:solidFill>
          </w14:textFill>
        </w:rPr>
        <w:t>，</w:t>
      </w:r>
      <w:r>
        <w:rPr>
          <w:rFonts w:hint="eastAsia"/>
          <w:b w:val="0"/>
          <w:bCs/>
          <w:color w:val="000000" w:themeColor="text1"/>
          <w:kern w:val="0"/>
          <w:sz w:val="24"/>
          <w:szCs w:val="21"/>
          <w:highlight w:val="none"/>
          <w:lang w:val="en-US" w:eastAsia="zh-CN"/>
          <w14:textFill>
            <w14:solidFill>
              <w14:schemeClr w14:val="tx1"/>
            </w14:solidFill>
          </w14:textFill>
        </w:rPr>
        <w:t>某一即时告警时间长度占比超过10%时，该告警应为时段告警。</w:t>
      </w:r>
    </w:p>
    <w:p w14:paraId="5A8E28AF">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4456BE5E">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在本条中，确认时段告警的方式与4.2.1条不同，原因在于制冷机房对于功能性不满足要求的容忍度比安全性要大。</w:t>
      </w:r>
    </w:p>
    <w:p w14:paraId="45FFCEFD">
      <w:pPr>
        <w:keepNext w:val="0"/>
        <w:keepLines w:val="0"/>
        <w:pageBreakBefore w:val="0"/>
        <w:widowControl w:val="0"/>
        <w:kinsoku/>
        <w:wordWrap/>
        <w:overflowPunct/>
        <w:topLinePunct w:val="0"/>
        <w:autoSpaceDE/>
        <w:autoSpaceDN/>
        <w:bidi w:val="0"/>
        <w:adjustRightInd/>
        <w:snapToGrid w:val="0"/>
        <w:spacing w:before="157" w:beforeLines="50" w:line="360" w:lineRule="auto"/>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bCs w:val="0"/>
          <w:color w:val="000000" w:themeColor="text1"/>
          <w:kern w:val="0"/>
          <w:sz w:val="24"/>
          <w:szCs w:val="21"/>
          <w:highlight w:val="none"/>
          <w:lang w:val="en-US" w:eastAsia="zh-CN"/>
          <w14:textFill>
            <w14:solidFill>
              <w14:schemeClr w14:val="tx1"/>
            </w14:solidFill>
          </w14:textFill>
        </w:rPr>
        <w:t>5</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2</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2</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时段功能性评价得分应按下式计算：</w:t>
      </w:r>
    </w:p>
    <w:p w14:paraId="35AD378C">
      <w:pPr>
        <w:keepNext w:val="0"/>
        <w:keepLines w:val="0"/>
        <w:pageBreakBefore w:val="0"/>
        <w:widowControl w:val="0"/>
        <w:kinsoku/>
        <w:wordWrap/>
        <w:overflowPunct/>
        <w:topLinePunct w:val="0"/>
        <w:autoSpaceDE/>
        <w:autoSpaceDN/>
        <w:bidi w:val="0"/>
        <w:adjustRightInd/>
        <w:snapToGrid w:val="0"/>
        <w:spacing w:line="360" w:lineRule="auto"/>
        <w:ind w:left="420" w:leftChars="200"/>
        <w:jc w:val="righ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position w:val="-10"/>
          <w:sz w:val="24"/>
          <w:szCs w:val="21"/>
          <w:highlight w:val="none"/>
          <w:lang w:val="en-US" w:eastAsia="zh-CN"/>
          <w14:textFill>
            <w14:solidFill>
              <w14:schemeClr w14:val="tx1"/>
            </w14:solidFill>
          </w14:textFill>
        </w:rPr>
        <w:object>
          <v:shape id="_x0000_i1028" o:spt="75" type="#_x0000_t75" style="height:17pt;width:204pt;" o:ole="t" filled="f" o:preferrelative="t" stroked="f" coordsize="21600,21600">
            <v:path/>
            <v:fill on="f" focussize="0,0"/>
            <v:stroke on="f"/>
            <v:imagedata r:id="rId20" o:title=""/>
            <o:lock v:ext="edit" aspectratio="t"/>
            <w10:wrap type="none"/>
            <w10:anchorlock/>
          </v:shape>
          <o:OLEObject Type="Embed" ProgID="Equation.KSEE3" ShapeID="_x0000_i1028" DrawAspect="Content" ObjectID="_1468075728" r:id="rId21">
            <o:LockedField>false</o:LockedField>
          </o:OLEObject>
        </w:object>
      </w:r>
      <w:r>
        <w:rPr>
          <w:rFonts w:hint="eastAsia"/>
          <w:b w:val="0"/>
          <w:bCs/>
          <w:color w:val="000000" w:themeColor="text1"/>
          <w:kern w:val="0"/>
          <w:sz w:val="24"/>
          <w:szCs w:val="21"/>
          <w:highlight w:val="none"/>
          <w:lang w:val="en-US" w:eastAsia="zh-CN"/>
          <w14:textFill>
            <w14:solidFill>
              <w14:schemeClr w14:val="tx1"/>
            </w14:solidFill>
          </w14:textFill>
        </w:rPr>
        <w:t xml:space="preserve">                                        （5.2.2）</w:t>
      </w:r>
    </w:p>
    <w:p w14:paraId="4B62ECD2">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p>
    <w:p w14:paraId="4843E5CF">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i</w:t>
      </w:r>
      <w:r>
        <w:rPr>
          <w:rFonts w:hint="eastAsia"/>
          <w:b w:val="0"/>
          <w:bCs/>
          <w:color w:val="000000" w:themeColor="text1"/>
          <w:kern w:val="0"/>
          <w:sz w:val="24"/>
          <w:szCs w:val="21"/>
          <w:highlight w:val="none"/>
          <w:lang w:val="en-US" w:eastAsia="zh-CN"/>
          <w14:textFill>
            <w14:solidFill>
              <w14:schemeClr w14:val="tx1"/>
            </w14:solidFill>
          </w14:textFill>
        </w:rPr>
        <w:t>——时段功能性评价得分，最低分为0分；</w:t>
      </w:r>
    </w:p>
    <w:p w14:paraId="67C0E9F0">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A——起评分，为100分；</w:t>
      </w:r>
    </w:p>
    <w:p w14:paraId="09678831">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B——表5.1.1中第1项和第2项功能项出现时段告警的数量；</w:t>
      </w:r>
    </w:p>
    <w:p w14:paraId="3FCE777F">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C——表5.1.1中第1项和第2项功能项出现时段有效严重告警的数量；</w:t>
      </w:r>
    </w:p>
    <w:p w14:paraId="288254A5">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D——表5.1.1中第3项功能项是否出现时段告警，“是”取100，“否”或无值取0。</w:t>
      </w:r>
    </w:p>
    <w:p w14:paraId="19806819">
      <w:pPr>
        <w:spacing w:line="360" w:lineRule="auto"/>
        <w:rPr>
          <w:rFonts w:hint="default"/>
          <w:b/>
          <w:color w:val="000000" w:themeColor="text1"/>
          <w:kern w:val="0"/>
          <w:sz w:val="24"/>
          <w:szCs w:val="21"/>
          <w:highlight w:val="none"/>
          <w:lang w:val="en-US" w:eastAsia="zh-CN"/>
          <w14:textFill>
            <w14:solidFill>
              <w14:schemeClr w14:val="tx1"/>
            </w14:solidFill>
          </w14:textFill>
        </w:rPr>
      </w:pPr>
      <w:r>
        <w:rPr>
          <w:rFonts w:hint="eastAsia"/>
          <w:b/>
          <w:bCs w:val="0"/>
          <w:color w:val="000000" w:themeColor="text1"/>
          <w:kern w:val="0"/>
          <w:sz w:val="24"/>
          <w:szCs w:val="21"/>
          <w:highlight w:val="none"/>
          <w:lang w:val="en-US" w:eastAsia="zh-CN"/>
          <w14:textFill>
            <w14:solidFill>
              <w14:schemeClr w14:val="tx1"/>
            </w14:solidFill>
          </w14:textFill>
        </w:rPr>
        <w:t xml:space="preserve">5.2.3  </w:t>
      </w:r>
      <w:r>
        <w:rPr>
          <w:rFonts w:hint="eastAsia"/>
          <w:b w:val="0"/>
          <w:bCs/>
          <w:color w:val="000000" w:themeColor="text1"/>
          <w:kern w:val="0"/>
          <w:sz w:val="24"/>
          <w:szCs w:val="21"/>
          <w:highlight w:val="none"/>
          <w:lang w:val="en-US" w:eastAsia="zh-CN"/>
          <w14:textFill>
            <w14:solidFill>
              <w14:schemeClr w14:val="tx1"/>
            </w14:solidFill>
          </w14:textFill>
        </w:rPr>
        <w:t>如未监测表5.1.1所列的制冷机房第1项和第2项功能项，则即时功能性评价得分应为0分</w:t>
      </w:r>
    </w:p>
    <w:p w14:paraId="46CE73A5">
      <w:pPr>
        <w:spacing w:line="360" w:lineRule="auto"/>
        <w:jc w:val="center"/>
        <w:rPr>
          <w:b/>
          <w:bCs/>
          <w:highlight w:val="none"/>
        </w:rPr>
      </w:pPr>
    </w:p>
    <w:p w14:paraId="08C071F4">
      <w:pPr>
        <w:adjustRightInd w:val="0"/>
        <w:snapToGrid w:val="0"/>
        <w:rPr>
          <w:rFonts w:eastAsia="华文楷体"/>
          <w:color w:val="000000" w:themeColor="text1"/>
          <w:sz w:val="24"/>
          <w:szCs w:val="32"/>
          <w:highlight w:val="none"/>
          <w14:textFill>
            <w14:solidFill>
              <w14:schemeClr w14:val="tx1"/>
            </w14:solidFill>
          </w14:textFill>
        </w:rPr>
        <w:sectPr>
          <w:footerReference r:id="rId12" w:type="default"/>
          <w:pgSz w:w="11907" w:h="16839"/>
          <w:pgMar w:top="1134" w:right="1418" w:bottom="1418" w:left="1512" w:header="1418" w:footer="851" w:gutter="0"/>
          <w:pgBorders>
            <w:top w:val="none" w:sz="0" w:space="0"/>
            <w:left w:val="none" w:sz="0" w:space="0"/>
            <w:bottom w:val="none" w:sz="0" w:space="0"/>
            <w:right w:val="none" w:sz="0" w:space="0"/>
          </w:pgBorders>
          <w:cols w:space="425" w:num="1"/>
          <w:titlePg/>
          <w:docGrid w:type="lines" w:linePitch="312" w:charSpace="0"/>
        </w:sectPr>
      </w:pPr>
    </w:p>
    <w:p w14:paraId="5CD2F10D">
      <w:pPr>
        <w:spacing w:after="240"/>
        <w:jc w:val="center"/>
        <w:outlineLvl w:val="0"/>
        <w:rPr>
          <w:rFonts w:hint="default" w:eastAsia="黑体"/>
          <w:bCs/>
          <w:kern w:val="0"/>
          <w:sz w:val="28"/>
          <w:highlight w:val="none"/>
          <w:lang w:val="en-US" w:eastAsia="zh-CN"/>
        </w:rPr>
      </w:pPr>
      <w:bookmarkStart w:id="37" w:name="_Toc18998"/>
      <w:bookmarkStart w:id="38" w:name="_Hlk125984156"/>
      <w:r>
        <w:rPr>
          <w:rFonts w:eastAsia="黑体"/>
          <w:bCs/>
          <w:kern w:val="0"/>
          <w:sz w:val="28"/>
          <w:highlight w:val="none"/>
        </w:rPr>
        <w:t xml:space="preserve">6 </w:t>
      </w:r>
      <w:r>
        <w:rPr>
          <w:rFonts w:hint="eastAsia" w:eastAsia="黑体"/>
          <w:bCs/>
          <w:kern w:val="0"/>
          <w:sz w:val="28"/>
          <w:highlight w:val="none"/>
          <w:lang w:val="en-US" w:eastAsia="zh-CN"/>
        </w:rPr>
        <w:t>节能性评价</w:t>
      </w:r>
      <w:bookmarkEnd w:id="37"/>
    </w:p>
    <w:bookmarkEnd w:id="38"/>
    <w:p w14:paraId="407C7444">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jc w:val="center"/>
        <w:textAlignment w:val="auto"/>
        <w:outlineLvl w:val="1"/>
        <w:rPr>
          <w:rFonts w:hint="default" w:eastAsia="宋体"/>
          <w:b/>
          <w:color w:val="000000" w:themeColor="text1"/>
          <w:kern w:val="0"/>
          <w:sz w:val="24"/>
          <w:szCs w:val="21"/>
          <w:highlight w:val="none"/>
          <w:lang w:val="en-US" w:eastAsia="zh-CN"/>
          <w14:textFill>
            <w14:solidFill>
              <w14:schemeClr w14:val="tx1"/>
            </w14:solidFill>
          </w14:textFill>
        </w:rPr>
      </w:pPr>
      <w:r>
        <w:rPr>
          <w:rFonts w:hint="eastAsia"/>
          <w:b/>
          <w:color w:val="000000" w:themeColor="text1"/>
          <w:kern w:val="0"/>
          <w:sz w:val="24"/>
          <w:szCs w:val="21"/>
          <w:highlight w:val="none"/>
          <w:lang w:val="en-US" w:eastAsia="zh-CN"/>
          <w14:textFill>
            <w14:solidFill>
              <w14:schemeClr w14:val="tx1"/>
            </w14:solidFill>
          </w14:textFill>
        </w:rPr>
        <w:t xml:space="preserve">6.1  </w:t>
      </w:r>
      <w:r>
        <w:rPr>
          <w:rFonts w:hint="eastAsia" w:ascii="黑体" w:hAnsi="黑体" w:eastAsia="黑体" w:cs="黑体"/>
          <w:b w:val="0"/>
          <w:bCs/>
          <w:color w:val="000000" w:themeColor="text1"/>
          <w:kern w:val="0"/>
          <w:sz w:val="24"/>
          <w:szCs w:val="21"/>
          <w:highlight w:val="none"/>
          <w:lang w:val="en-US" w:eastAsia="zh-CN"/>
          <w14:textFill>
            <w14:solidFill>
              <w14:schemeClr w14:val="tx1"/>
            </w14:solidFill>
          </w14:textFill>
        </w:rPr>
        <w:t>即时评价</w:t>
      </w:r>
    </w:p>
    <w:p w14:paraId="039EC4DE">
      <w:pPr>
        <w:spacing w:line="360" w:lineRule="auto"/>
        <w:rPr>
          <w:rFonts w:hint="eastAsia"/>
          <w:b w:val="0"/>
          <w:bCs/>
          <w:sz w:val="24"/>
          <w:szCs w:val="21"/>
          <w:highlight w:val="none"/>
          <w:lang w:val="en-US" w:eastAsia="zh-CN"/>
        </w:rPr>
      </w:pPr>
      <w:r>
        <w:rPr>
          <w:b/>
          <w:color w:val="000000" w:themeColor="text1"/>
          <w:kern w:val="0"/>
          <w:sz w:val="24"/>
          <w:szCs w:val="21"/>
          <w:highlight w:val="none"/>
          <w14:textFill>
            <w14:solidFill>
              <w14:schemeClr w14:val="tx1"/>
            </w14:solidFill>
          </w14:textFill>
        </w:rPr>
        <w:t>6.</w:t>
      </w:r>
      <w:r>
        <w:rPr>
          <w:rFonts w:hint="eastAsia"/>
          <w:b/>
          <w:color w:val="000000" w:themeColor="text1"/>
          <w:kern w:val="0"/>
          <w:sz w:val="24"/>
          <w:szCs w:val="21"/>
          <w:highlight w:val="none"/>
          <w:lang w:val="en-US" w:eastAsia="zh-CN"/>
          <w14:textFill>
            <w14:solidFill>
              <w14:schemeClr w14:val="tx1"/>
            </w14:solidFill>
          </w14:textFill>
        </w:rPr>
        <w:t>1</w:t>
      </w:r>
      <w:r>
        <w:rPr>
          <w:b/>
          <w:color w:val="000000" w:themeColor="text1"/>
          <w:kern w:val="0"/>
          <w:sz w:val="24"/>
          <w:szCs w:val="21"/>
          <w:highlight w:val="none"/>
          <w14:textFill>
            <w14:solidFill>
              <w14:schemeClr w14:val="tx1"/>
            </w14:solidFill>
          </w14:textFill>
        </w:rPr>
        <w:t>.1</w:t>
      </w:r>
      <w:r>
        <w:rPr>
          <w:rFonts w:eastAsia="黑体"/>
          <w:sz w:val="24"/>
          <w:szCs w:val="32"/>
          <w:highlight w:val="none"/>
        </w:rPr>
        <w:t xml:space="preserve">  </w:t>
      </w:r>
      <w:r>
        <w:rPr>
          <w:rFonts w:hint="eastAsia" w:ascii="Times New Roman"/>
          <w:b w:val="0"/>
          <w:bCs/>
          <w:sz w:val="24"/>
          <w:szCs w:val="21"/>
          <w:highlight w:val="none"/>
          <w:lang w:val="en-US" w:eastAsia="zh-CN"/>
        </w:rPr>
        <w:t>应</w:t>
      </w:r>
      <w:r>
        <w:rPr>
          <w:rFonts w:hint="eastAsia"/>
          <w:b w:val="0"/>
          <w:bCs/>
          <w:sz w:val="24"/>
          <w:szCs w:val="21"/>
          <w:highlight w:val="none"/>
          <w:lang w:val="en-US" w:eastAsia="zh-CN"/>
        </w:rPr>
        <w:t>对</w:t>
      </w:r>
      <w:r>
        <w:rPr>
          <w:rFonts w:hint="eastAsia" w:ascii="Times New Roman"/>
          <w:b w:val="0"/>
          <w:bCs/>
          <w:sz w:val="24"/>
          <w:szCs w:val="21"/>
          <w:highlight w:val="none"/>
          <w:lang w:val="en-US" w:eastAsia="zh-CN"/>
        </w:rPr>
        <w:t>表</w:t>
      </w:r>
      <w:r>
        <w:rPr>
          <w:rFonts w:hint="eastAsia"/>
          <w:b w:val="0"/>
          <w:bCs/>
          <w:sz w:val="24"/>
          <w:szCs w:val="21"/>
          <w:highlight w:val="none"/>
          <w:lang w:val="en-US" w:eastAsia="zh-CN"/>
        </w:rPr>
        <w:t>6</w:t>
      </w:r>
      <w:r>
        <w:rPr>
          <w:rFonts w:hint="eastAsia" w:ascii="Times New Roman"/>
          <w:b w:val="0"/>
          <w:bCs/>
          <w:sz w:val="24"/>
          <w:szCs w:val="21"/>
          <w:highlight w:val="none"/>
          <w:lang w:val="en-US" w:eastAsia="zh-CN"/>
        </w:rPr>
        <w:t>.</w:t>
      </w:r>
      <w:r>
        <w:rPr>
          <w:rFonts w:hint="eastAsia"/>
          <w:b w:val="0"/>
          <w:bCs/>
          <w:sz w:val="24"/>
          <w:szCs w:val="21"/>
          <w:highlight w:val="none"/>
          <w:lang w:val="en-US" w:eastAsia="zh-CN"/>
        </w:rPr>
        <w:t>1</w:t>
      </w:r>
      <w:r>
        <w:rPr>
          <w:rFonts w:hint="eastAsia" w:ascii="Times New Roman"/>
          <w:b w:val="0"/>
          <w:bCs/>
          <w:sz w:val="24"/>
          <w:szCs w:val="21"/>
          <w:highlight w:val="none"/>
          <w:lang w:val="en-US" w:eastAsia="zh-CN"/>
        </w:rPr>
        <w:t>.1所列</w:t>
      </w:r>
      <w:r>
        <w:rPr>
          <w:rFonts w:hint="eastAsia"/>
          <w:b w:val="0"/>
          <w:bCs/>
          <w:sz w:val="24"/>
          <w:szCs w:val="21"/>
          <w:highlight w:val="none"/>
          <w:lang w:val="en-US" w:eastAsia="zh-CN"/>
        </w:rPr>
        <w:t>的制冷机房节能状态评价项进行监测或计算，根据所监测参数的值进行即时一般告警或即时严重告警。</w:t>
      </w:r>
    </w:p>
    <w:p w14:paraId="035F7E50">
      <w:pPr>
        <w:spacing w:line="360" w:lineRule="auto"/>
        <w:jc w:val="center"/>
        <w:rPr>
          <w:rFonts w:hint="default" w:eastAsia="宋体"/>
          <w:b w:val="0"/>
          <w:bCs w:val="0"/>
          <w:highlight w:val="none"/>
          <w:lang w:val="en-US" w:eastAsia="zh-CN"/>
        </w:rPr>
      </w:pPr>
      <w:bookmarkStart w:id="39" w:name="_Hlk125984249"/>
      <w:r>
        <w:rPr>
          <w:b w:val="0"/>
          <w:bCs w:val="0"/>
          <w:highlight w:val="none"/>
        </w:rPr>
        <w:t>表</w:t>
      </w:r>
      <w:r>
        <w:rPr>
          <w:rFonts w:hint="eastAsia"/>
          <w:b w:val="0"/>
          <w:bCs w:val="0"/>
          <w:highlight w:val="none"/>
          <w:lang w:val="en-US" w:eastAsia="zh-CN"/>
        </w:rPr>
        <w:t>6</w:t>
      </w:r>
      <w:r>
        <w:rPr>
          <w:b w:val="0"/>
          <w:bCs w:val="0"/>
          <w:highlight w:val="none"/>
        </w:rPr>
        <w:t>.</w:t>
      </w:r>
      <w:r>
        <w:rPr>
          <w:rFonts w:hint="eastAsia"/>
          <w:b w:val="0"/>
          <w:bCs w:val="0"/>
          <w:highlight w:val="none"/>
          <w:lang w:val="en-US" w:eastAsia="zh-CN"/>
        </w:rPr>
        <w:t>1</w:t>
      </w:r>
      <w:r>
        <w:rPr>
          <w:b w:val="0"/>
          <w:bCs w:val="0"/>
          <w:highlight w:val="none"/>
        </w:rPr>
        <w:t xml:space="preserve">.1 </w:t>
      </w:r>
      <w:r>
        <w:rPr>
          <w:rFonts w:hint="eastAsia"/>
          <w:b w:val="0"/>
          <w:bCs w:val="0"/>
          <w:highlight w:val="none"/>
          <w:lang w:val="en-US" w:eastAsia="zh-CN"/>
        </w:rPr>
        <w:t xml:space="preserve"> 制冷机房即时节能状态评价项即时告警条件</w:t>
      </w:r>
    </w:p>
    <w:tbl>
      <w:tblPr>
        <w:tblStyle w:val="28"/>
        <w:tblW w:w="9142" w:type="dxa"/>
        <w:tblInd w:w="13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42"/>
        <w:gridCol w:w="2324"/>
        <w:gridCol w:w="1898"/>
        <w:gridCol w:w="1554"/>
        <w:gridCol w:w="1555"/>
        <w:gridCol w:w="1069"/>
      </w:tblGrid>
      <w:tr w14:paraId="0E626C6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0" w:hRule="atLeast"/>
          <w:tblHeader/>
        </w:trPr>
        <w:tc>
          <w:tcPr>
            <w:tcW w:w="742" w:type="dxa"/>
            <w:tcBorders>
              <w:tl2br w:val="nil"/>
              <w:tr2bl w:val="nil"/>
            </w:tcBorders>
            <w:shd w:val="clear" w:color="auto" w:fill="auto"/>
            <w:noWrap/>
            <w:vAlign w:val="center"/>
          </w:tcPr>
          <w:p w14:paraId="60173C1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序号</w:t>
            </w:r>
          </w:p>
        </w:tc>
        <w:tc>
          <w:tcPr>
            <w:tcW w:w="2324" w:type="dxa"/>
            <w:tcBorders>
              <w:tl2br w:val="nil"/>
              <w:tr2bl w:val="nil"/>
            </w:tcBorders>
            <w:shd w:val="clear" w:color="auto" w:fill="auto"/>
            <w:noWrap/>
            <w:vAlign w:val="center"/>
          </w:tcPr>
          <w:p w14:paraId="5F7A194C">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制冷机房节能运行状态评价项</w:t>
            </w:r>
          </w:p>
        </w:tc>
        <w:tc>
          <w:tcPr>
            <w:tcW w:w="1898" w:type="dxa"/>
            <w:tcBorders>
              <w:tl2br w:val="nil"/>
              <w:tr2bl w:val="nil"/>
            </w:tcBorders>
            <w:shd w:val="clear" w:color="auto" w:fill="auto"/>
            <w:noWrap/>
            <w:vAlign w:val="center"/>
          </w:tcPr>
          <w:p w14:paraId="1E30173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监测参数</w:t>
            </w:r>
          </w:p>
        </w:tc>
        <w:tc>
          <w:tcPr>
            <w:tcW w:w="1554" w:type="dxa"/>
            <w:tcBorders>
              <w:tl2br w:val="nil"/>
              <w:tr2bl w:val="nil"/>
            </w:tcBorders>
            <w:shd w:val="clear" w:color="auto" w:fill="auto"/>
            <w:noWrap/>
            <w:vAlign w:val="center"/>
          </w:tcPr>
          <w:p w14:paraId="5E3D3C4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即时一般告警条件</w:t>
            </w:r>
          </w:p>
        </w:tc>
        <w:tc>
          <w:tcPr>
            <w:tcW w:w="1555" w:type="dxa"/>
            <w:tcBorders>
              <w:tl2br w:val="nil"/>
              <w:tr2bl w:val="nil"/>
            </w:tcBorders>
            <w:shd w:val="clear" w:color="auto" w:fill="auto"/>
            <w:noWrap/>
            <w:vAlign w:val="center"/>
          </w:tcPr>
          <w:p w14:paraId="4839D8A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即时严重告警条件</w:t>
            </w:r>
          </w:p>
        </w:tc>
        <w:tc>
          <w:tcPr>
            <w:tcW w:w="1069" w:type="dxa"/>
            <w:tcBorders>
              <w:tl2br w:val="nil"/>
              <w:tr2bl w:val="nil"/>
            </w:tcBorders>
            <w:shd w:val="clear" w:color="auto" w:fill="auto"/>
            <w:noWrap/>
            <w:vAlign w:val="center"/>
          </w:tcPr>
          <w:p w14:paraId="708DDAE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所属类别</w:t>
            </w:r>
          </w:p>
        </w:tc>
      </w:tr>
      <w:tr w14:paraId="5B0371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5B212372">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62BC756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冷水机组冷冻水出口至分水器温升是否过大</w:t>
            </w:r>
          </w:p>
        </w:tc>
        <w:tc>
          <w:tcPr>
            <w:tcW w:w="1898" w:type="dxa"/>
            <w:tcBorders>
              <w:tl2br w:val="nil"/>
              <w:tr2bl w:val="nil"/>
            </w:tcBorders>
            <w:shd w:val="clear" w:color="auto" w:fill="auto"/>
            <w:noWrap/>
            <w:vAlign w:val="center"/>
          </w:tcPr>
          <w:p w14:paraId="31724D5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冷水机组冷冻水出口至分水器温升</w:t>
            </w:r>
          </w:p>
        </w:tc>
        <w:tc>
          <w:tcPr>
            <w:tcW w:w="1554" w:type="dxa"/>
            <w:tcBorders>
              <w:tl2br w:val="nil"/>
              <w:tr2bl w:val="nil"/>
            </w:tcBorders>
            <w:shd w:val="clear" w:color="auto" w:fill="auto"/>
            <w:noWrap/>
            <w:vAlign w:val="center"/>
          </w:tcPr>
          <w:p w14:paraId="039EE01B">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大于0.2℃</w:t>
            </w:r>
          </w:p>
        </w:tc>
        <w:tc>
          <w:tcPr>
            <w:tcW w:w="1555" w:type="dxa"/>
            <w:tcBorders>
              <w:tl2br w:val="nil"/>
              <w:tr2bl w:val="nil"/>
            </w:tcBorders>
            <w:shd w:val="clear" w:color="auto" w:fill="auto"/>
            <w:noWrap/>
            <w:vAlign w:val="center"/>
          </w:tcPr>
          <w:p w14:paraId="07B91DBF">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大于0.5℃</w:t>
            </w:r>
          </w:p>
        </w:tc>
        <w:tc>
          <w:tcPr>
            <w:tcW w:w="1069" w:type="dxa"/>
            <w:tcBorders>
              <w:tl2br w:val="nil"/>
              <w:tr2bl w:val="nil"/>
            </w:tcBorders>
            <w:shd w:val="clear" w:color="auto" w:fill="auto"/>
            <w:noWrap/>
            <w:vAlign w:val="center"/>
          </w:tcPr>
          <w:p w14:paraId="01CE6FF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损失过大</w:t>
            </w:r>
          </w:p>
        </w:tc>
      </w:tr>
      <w:tr w14:paraId="6E3DEA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429ACA64">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45DCDBA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集水器至冷水机组冷冻水入口温升是否过大</w:t>
            </w:r>
          </w:p>
        </w:tc>
        <w:tc>
          <w:tcPr>
            <w:tcW w:w="1898" w:type="dxa"/>
            <w:tcBorders>
              <w:tl2br w:val="nil"/>
              <w:tr2bl w:val="nil"/>
            </w:tcBorders>
            <w:shd w:val="clear" w:color="auto" w:fill="auto"/>
            <w:noWrap/>
            <w:vAlign w:val="center"/>
          </w:tcPr>
          <w:p w14:paraId="54AB4FD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集水器至冷水机组冷冻水入口温升</w:t>
            </w:r>
          </w:p>
        </w:tc>
        <w:tc>
          <w:tcPr>
            <w:tcW w:w="1554" w:type="dxa"/>
            <w:tcBorders>
              <w:tl2br w:val="nil"/>
              <w:tr2bl w:val="nil"/>
            </w:tcBorders>
            <w:shd w:val="clear" w:color="auto" w:fill="auto"/>
            <w:noWrap/>
            <w:vAlign w:val="center"/>
          </w:tcPr>
          <w:p w14:paraId="2FDD9EA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大于0.2℃</w:t>
            </w:r>
          </w:p>
        </w:tc>
        <w:tc>
          <w:tcPr>
            <w:tcW w:w="1555" w:type="dxa"/>
            <w:tcBorders>
              <w:tl2br w:val="nil"/>
              <w:tr2bl w:val="nil"/>
            </w:tcBorders>
            <w:shd w:val="clear" w:color="auto" w:fill="auto"/>
            <w:noWrap/>
            <w:vAlign w:val="center"/>
          </w:tcPr>
          <w:p w14:paraId="72864ED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大于0.5℃</w:t>
            </w:r>
          </w:p>
        </w:tc>
        <w:tc>
          <w:tcPr>
            <w:tcW w:w="1069" w:type="dxa"/>
            <w:tcBorders>
              <w:tl2br w:val="nil"/>
              <w:tr2bl w:val="nil"/>
            </w:tcBorders>
            <w:shd w:val="clear" w:color="auto" w:fill="auto"/>
            <w:noWrap/>
            <w:vAlign w:val="center"/>
          </w:tcPr>
          <w:p w14:paraId="586F2C6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损失过大</w:t>
            </w:r>
          </w:p>
        </w:tc>
      </w:tr>
      <w:tr w14:paraId="79E024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2218764C">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4EB7987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冷冻水过滤器堵塞</w:t>
            </w:r>
          </w:p>
        </w:tc>
        <w:tc>
          <w:tcPr>
            <w:tcW w:w="1898" w:type="dxa"/>
            <w:tcBorders>
              <w:tl2br w:val="nil"/>
              <w:tr2bl w:val="nil"/>
            </w:tcBorders>
            <w:shd w:val="clear" w:color="auto" w:fill="auto"/>
            <w:noWrap/>
            <w:vAlign w:val="center"/>
          </w:tcPr>
          <w:p w14:paraId="7B980A96">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冷冻水过滤器阻力</w:t>
            </w:r>
          </w:p>
        </w:tc>
        <w:tc>
          <w:tcPr>
            <w:tcW w:w="1554" w:type="dxa"/>
            <w:tcBorders>
              <w:tl2br w:val="nil"/>
              <w:tr2bl w:val="nil"/>
            </w:tcBorders>
            <w:shd w:val="clear" w:color="auto" w:fill="auto"/>
            <w:noWrap/>
            <w:vAlign w:val="center"/>
          </w:tcPr>
          <w:p w14:paraId="2840734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大于初始阻力20%或大于0.5mH</w:t>
            </w:r>
            <w:r>
              <w:rPr>
                <w:rFonts w:hint="eastAsia"/>
                <w:b w:val="0"/>
                <w:bCs w:val="0"/>
                <w:color w:val="000000"/>
                <w:kern w:val="0"/>
                <w:szCs w:val="21"/>
                <w:highlight w:val="none"/>
                <w:vertAlign w:val="subscript"/>
                <w:lang w:val="en-US" w:eastAsia="zh-CN"/>
              </w:rPr>
              <w:t>2</w:t>
            </w:r>
            <w:r>
              <w:rPr>
                <w:rFonts w:hint="eastAsia"/>
                <w:b w:val="0"/>
                <w:bCs w:val="0"/>
                <w:color w:val="000000"/>
                <w:kern w:val="0"/>
                <w:szCs w:val="21"/>
                <w:highlight w:val="none"/>
                <w:lang w:val="en-US" w:eastAsia="zh-CN"/>
              </w:rPr>
              <w:t>O</w:t>
            </w:r>
          </w:p>
        </w:tc>
        <w:tc>
          <w:tcPr>
            <w:tcW w:w="1555" w:type="dxa"/>
            <w:tcBorders>
              <w:tl2br w:val="nil"/>
              <w:tr2bl w:val="nil"/>
            </w:tcBorders>
            <w:shd w:val="clear" w:color="auto" w:fill="auto"/>
            <w:noWrap/>
            <w:vAlign w:val="center"/>
          </w:tcPr>
          <w:p w14:paraId="7972B57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大于初始阻力50%或大于1.5mH</w:t>
            </w:r>
            <w:r>
              <w:rPr>
                <w:rFonts w:hint="eastAsia"/>
                <w:b w:val="0"/>
                <w:bCs w:val="0"/>
                <w:color w:val="000000"/>
                <w:kern w:val="0"/>
                <w:szCs w:val="21"/>
                <w:highlight w:val="none"/>
                <w:vertAlign w:val="subscript"/>
                <w:lang w:val="en-US" w:eastAsia="zh-CN"/>
              </w:rPr>
              <w:t>2</w:t>
            </w:r>
            <w:r>
              <w:rPr>
                <w:rFonts w:hint="eastAsia"/>
                <w:b w:val="0"/>
                <w:bCs w:val="0"/>
                <w:color w:val="000000"/>
                <w:kern w:val="0"/>
                <w:szCs w:val="21"/>
                <w:highlight w:val="none"/>
                <w:lang w:val="en-US" w:eastAsia="zh-CN"/>
              </w:rPr>
              <w:t>O</w:t>
            </w:r>
          </w:p>
        </w:tc>
        <w:tc>
          <w:tcPr>
            <w:tcW w:w="1069" w:type="dxa"/>
            <w:tcBorders>
              <w:tl2br w:val="nil"/>
              <w:tr2bl w:val="nil"/>
            </w:tcBorders>
            <w:shd w:val="clear" w:color="auto" w:fill="auto"/>
            <w:noWrap/>
            <w:vAlign w:val="center"/>
          </w:tcPr>
          <w:p w14:paraId="11829D8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阻力过大</w:t>
            </w:r>
          </w:p>
        </w:tc>
      </w:tr>
      <w:tr w14:paraId="4E5921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477D3826">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7E55DAA2">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冷却水过滤器堵塞</w:t>
            </w:r>
          </w:p>
        </w:tc>
        <w:tc>
          <w:tcPr>
            <w:tcW w:w="1898" w:type="dxa"/>
            <w:tcBorders>
              <w:tl2br w:val="nil"/>
              <w:tr2bl w:val="nil"/>
            </w:tcBorders>
            <w:shd w:val="clear" w:color="auto" w:fill="auto"/>
            <w:noWrap/>
            <w:vAlign w:val="center"/>
          </w:tcPr>
          <w:p w14:paraId="78223E6C">
            <w:pPr>
              <w:rPr>
                <w:rFonts w:hint="default"/>
                <w:highlight w:val="none"/>
                <w:lang w:val="en-US"/>
              </w:rPr>
            </w:pPr>
            <w:r>
              <w:rPr>
                <w:rFonts w:hint="eastAsia"/>
                <w:b w:val="0"/>
                <w:bCs w:val="0"/>
                <w:color w:val="000000"/>
                <w:kern w:val="0"/>
                <w:szCs w:val="21"/>
                <w:highlight w:val="none"/>
                <w:lang w:val="en-US" w:eastAsia="zh-CN"/>
              </w:rPr>
              <w:t>冷却水过滤器阻力</w:t>
            </w:r>
          </w:p>
          <w:p w14:paraId="0E44630F">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eastAsia"/>
                <w:b w:val="0"/>
                <w:bCs w:val="0"/>
                <w:color w:val="000000"/>
                <w:kern w:val="0"/>
                <w:szCs w:val="21"/>
                <w:highlight w:val="none"/>
                <w:lang w:val="en-US" w:eastAsia="zh-CN"/>
              </w:rPr>
            </w:pPr>
          </w:p>
        </w:tc>
        <w:tc>
          <w:tcPr>
            <w:tcW w:w="1554" w:type="dxa"/>
            <w:tcBorders>
              <w:tl2br w:val="nil"/>
              <w:tr2bl w:val="nil"/>
            </w:tcBorders>
            <w:shd w:val="clear" w:color="auto" w:fill="auto"/>
            <w:noWrap/>
            <w:vAlign w:val="center"/>
          </w:tcPr>
          <w:p w14:paraId="4D92226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大于初始阻力20%或大于0.5mH</w:t>
            </w:r>
            <w:r>
              <w:rPr>
                <w:rFonts w:hint="eastAsia"/>
                <w:b w:val="0"/>
                <w:bCs w:val="0"/>
                <w:color w:val="000000"/>
                <w:kern w:val="0"/>
                <w:szCs w:val="21"/>
                <w:highlight w:val="none"/>
                <w:vertAlign w:val="subscript"/>
                <w:lang w:val="en-US" w:eastAsia="zh-CN"/>
              </w:rPr>
              <w:t>2</w:t>
            </w:r>
            <w:r>
              <w:rPr>
                <w:rFonts w:hint="eastAsia"/>
                <w:b w:val="0"/>
                <w:bCs w:val="0"/>
                <w:color w:val="000000"/>
                <w:kern w:val="0"/>
                <w:szCs w:val="21"/>
                <w:highlight w:val="none"/>
                <w:lang w:val="en-US" w:eastAsia="zh-CN"/>
              </w:rPr>
              <w:t>O</w:t>
            </w:r>
          </w:p>
        </w:tc>
        <w:tc>
          <w:tcPr>
            <w:tcW w:w="1555" w:type="dxa"/>
            <w:tcBorders>
              <w:tl2br w:val="nil"/>
              <w:tr2bl w:val="nil"/>
            </w:tcBorders>
            <w:shd w:val="clear" w:color="auto" w:fill="auto"/>
            <w:noWrap/>
            <w:vAlign w:val="center"/>
          </w:tcPr>
          <w:p w14:paraId="407FD44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大于初始阻力50%或大于1.5mH</w:t>
            </w:r>
            <w:r>
              <w:rPr>
                <w:rFonts w:hint="eastAsia"/>
                <w:b w:val="0"/>
                <w:bCs w:val="0"/>
                <w:color w:val="000000"/>
                <w:kern w:val="0"/>
                <w:szCs w:val="21"/>
                <w:highlight w:val="none"/>
                <w:vertAlign w:val="subscript"/>
                <w:lang w:val="en-US" w:eastAsia="zh-CN"/>
              </w:rPr>
              <w:t>2</w:t>
            </w:r>
            <w:r>
              <w:rPr>
                <w:rFonts w:hint="eastAsia"/>
                <w:b w:val="0"/>
                <w:bCs w:val="0"/>
                <w:color w:val="000000"/>
                <w:kern w:val="0"/>
                <w:szCs w:val="21"/>
                <w:highlight w:val="none"/>
                <w:lang w:val="en-US" w:eastAsia="zh-CN"/>
              </w:rPr>
              <w:t>O</w:t>
            </w:r>
          </w:p>
        </w:tc>
        <w:tc>
          <w:tcPr>
            <w:tcW w:w="1069" w:type="dxa"/>
            <w:tcBorders>
              <w:tl2br w:val="nil"/>
              <w:tr2bl w:val="nil"/>
            </w:tcBorders>
            <w:shd w:val="clear" w:color="auto" w:fill="auto"/>
            <w:noWrap/>
            <w:vAlign w:val="center"/>
          </w:tcPr>
          <w:p w14:paraId="68DC4E72">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阻力过大</w:t>
            </w:r>
          </w:p>
        </w:tc>
      </w:tr>
      <w:tr w14:paraId="5D3154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5AA087B1">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5EC8560F">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冷冻水供水温度过低</w:t>
            </w:r>
          </w:p>
        </w:tc>
        <w:tc>
          <w:tcPr>
            <w:tcW w:w="1898" w:type="dxa"/>
            <w:tcBorders>
              <w:tl2br w:val="nil"/>
              <w:tr2bl w:val="nil"/>
            </w:tcBorders>
            <w:shd w:val="clear" w:color="auto" w:fill="auto"/>
            <w:noWrap/>
            <w:vAlign w:val="center"/>
          </w:tcPr>
          <w:p w14:paraId="1C4936C5">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冷水机组冷冻水出口温度</w:t>
            </w:r>
          </w:p>
        </w:tc>
        <w:tc>
          <w:tcPr>
            <w:tcW w:w="1554" w:type="dxa"/>
            <w:tcBorders>
              <w:tl2br w:val="nil"/>
              <w:tr2bl w:val="nil"/>
            </w:tcBorders>
            <w:shd w:val="clear" w:color="auto" w:fill="auto"/>
            <w:noWrap/>
            <w:vAlign w:val="center"/>
          </w:tcPr>
          <w:p w14:paraId="4D83CAD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 xml:space="preserve">低于设定温度范围超过0.5℃  </w:t>
            </w:r>
          </w:p>
        </w:tc>
        <w:tc>
          <w:tcPr>
            <w:tcW w:w="1555" w:type="dxa"/>
            <w:tcBorders>
              <w:tl2br w:val="nil"/>
              <w:tr2bl w:val="nil"/>
            </w:tcBorders>
            <w:shd w:val="clear" w:color="auto" w:fill="auto"/>
            <w:noWrap/>
            <w:vAlign w:val="center"/>
          </w:tcPr>
          <w:p w14:paraId="3969DD0F">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低于设定温度范围超过1.5℃</w:t>
            </w:r>
          </w:p>
        </w:tc>
        <w:tc>
          <w:tcPr>
            <w:tcW w:w="1069" w:type="dxa"/>
            <w:tcBorders>
              <w:tl2br w:val="nil"/>
              <w:tr2bl w:val="nil"/>
            </w:tcBorders>
            <w:shd w:val="clear" w:color="auto" w:fill="auto"/>
            <w:noWrap/>
            <w:vAlign w:val="center"/>
          </w:tcPr>
          <w:p w14:paraId="01CB231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过量供给</w:t>
            </w:r>
          </w:p>
        </w:tc>
      </w:tr>
      <w:tr w14:paraId="6F820B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7D2DD218">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25ABA4C9">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冷冻水供回水温差过小</w:t>
            </w:r>
          </w:p>
        </w:tc>
        <w:tc>
          <w:tcPr>
            <w:tcW w:w="1898" w:type="dxa"/>
            <w:tcBorders>
              <w:tl2br w:val="nil"/>
              <w:tr2bl w:val="nil"/>
            </w:tcBorders>
            <w:shd w:val="clear" w:color="auto" w:fill="auto"/>
            <w:noWrap/>
            <w:vAlign w:val="center"/>
          </w:tcPr>
          <w:p w14:paraId="62A9E26B">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center"/>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冷冻水供回水温差</w:t>
            </w:r>
          </w:p>
        </w:tc>
        <w:tc>
          <w:tcPr>
            <w:tcW w:w="1554" w:type="dxa"/>
            <w:tcBorders>
              <w:tl2br w:val="nil"/>
              <w:tr2bl w:val="nil"/>
            </w:tcBorders>
            <w:shd w:val="clear" w:color="auto" w:fill="auto"/>
            <w:noWrap/>
            <w:vAlign w:val="center"/>
          </w:tcPr>
          <w:p w14:paraId="419B0E8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小于设计值的80%</w:t>
            </w:r>
          </w:p>
        </w:tc>
        <w:tc>
          <w:tcPr>
            <w:tcW w:w="1555" w:type="dxa"/>
            <w:tcBorders>
              <w:tl2br w:val="nil"/>
              <w:tr2bl w:val="nil"/>
            </w:tcBorders>
            <w:shd w:val="clear" w:color="auto" w:fill="auto"/>
            <w:noWrap/>
            <w:vAlign w:val="center"/>
          </w:tcPr>
          <w:p w14:paraId="5117089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小于设计值的60%</w:t>
            </w:r>
          </w:p>
        </w:tc>
        <w:tc>
          <w:tcPr>
            <w:tcW w:w="1069" w:type="dxa"/>
            <w:tcBorders>
              <w:tl2br w:val="nil"/>
              <w:tr2bl w:val="nil"/>
            </w:tcBorders>
            <w:shd w:val="clear" w:color="auto" w:fill="auto"/>
            <w:noWrap/>
            <w:vAlign w:val="center"/>
          </w:tcPr>
          <w:p w14:paraId="7BA610C2">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过量供给</w:t>
            </w:r>
          </w:p>
        </w:tc>
      </w:tr>
      <w:tr w14:paraId="711EF4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1F1584E2">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1F067341">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冷却水供回水温差过小</w:t>
            </w:r>
          </w:p>
        </w:tc>
        <w:tc>
          <w:tcPr>
            <w:tcW w:w="1898" w:type="dxa"/>
            <w:tcBorders>
              <w:tl2br w:val="nil"/>
              <w:tr2bl w:val="nil"/>
            </w:tcBorders>
            <w:shd w:val="clear" w:color="auto" w:fill="auto"/>
            <w:noWrap/>
            <w:vAlign w:val="center"/>
          </w:tcPr>
          <w:p w14:paraId="6FAF5CE4">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冷却水供回水温差</w:t>
            </w:r>
          </w:p>
        </w:tc>
        <w:tc>
          <w:tcPr>
            <w:tcW w:w="1554" w:type="dxa"/>
            <w:tcBorders>
              <w:tl2br w:val="nil"/>
              <w:tr2bl w:val="nil"/>
            </w:tcBorders>
            <w:shd w:val="clear" w:color="auto" w:fill="auto"/>
            <w:noWrap/>
            <w:vAlign w:val="center"/>
          </w:tcPr>
          <w:p w14:paraId="5C498970">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小于设计值的80%</w:t>
            </w:r>
          </w:p>
        </w:tc>
        <w:tc>
          <w:tcPr>
            <w:tcW w:w="1555" w:type="dxa"/>
            <w:tcBorders>
              <w:tl2br w:val="nil"/>
              <w:tr2bl w:val="nil"/>
            </w:tcBorders>
            <w:shd w:val="clear" w:color="auto" w:fill="auto"/>
            <w:noWrap/>
            <w:vAlign w:val="center"/>
          </w:tcPr>
          <w:p w14:paraId="24FA1FC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小于设计值的60%</w:t>
            </w:r>
          </w:p>
        </w:tc>
        <w:tc>
          <w:tcPr>
            <w:tcW w:w="1069" w:type="dxa"/>
            <w:tcBorders>
              <w:tl2br w:val="nil"/>
              <w:tr2bl w:val="nil"/>
            </w:tcBorders>
            <w:shd w:val="clear" w:color="auto" w:fill="auto"/>
            <w:noWrap/>
            <w:vAlign w:val="center"/>
          </w:tcPr>
          <w:p w14:paraId="222DC63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过量供给</w:t>
            </w:r>
          </w:p>
        </w:tc>
      </w:tr>
      <w:tr w14:paraId="14E31A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2802942F">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152B98A7">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并联回水支路温度不一致</w:t>
            </w:r>
          </w:p>
        </w:tc>
        <w:tc>
          <w:tcPr>
            <w:tcW w:w="1898" w:type="dxa"/>
            <w:tcBorders>
              <w:tl2br w:val="nil"/>
              <w:tr2bl w:val="nil"/>
            </w:tcBorders>
            <w:shd w:val="clear" w:color="auto" w:fill="auto"/>
            <w:noWrap/>
            <w:vAlign w:val="center"/>
          </w:tcPr>
          <w:p w14:paraId="1856DE8E">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并联回水支路温度间的最大差值</w:t>
            </w:r>
          </w:p>
        </w:tc>
        <w:tc>
          <w:tcPr>
            <w:tcW w:w="1554" w:type="dxa"/>
            <w:tcBorders>
              <w:tl2br w:val="nil"/>
              <w:tr2bl w:val="nil"/>
            </w:tcBorders>
            <w:shd w:val="clear" w:color="auto" w:fill="auto"/>
            <w:noWrap/>
            <w:vAlign w:val="center"/>
          </w:tcPr>
          <w:p w14:paraId="7131EF0F">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大于0.5℃</w:t>
            </w:r>
          </w:p>
        </w:tc>
        <w:tc>
          <w:tcPr>
            <w:tcW w:w="1555" w:type="dxa"/>
            <w:tcBorders>
              <w:tl2br w:val="nil"/>
              <w:tr2bl w:val="nil"/>
            </w:tcBorders>
            <w:shd w:val="clear" w:color="auto" w:fill="auto"/>
            <w:noWrap/>
            <w:vAlign w:val="center"/>
          </w:tcPr>
          <w:p w14:paraId="45442DAB">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大于1.0℃</w:t>
            </w:r>
          </w:p>
        </w:tc>
        <w:tc>
          <w:tcPr>
            <w:tcW w:w="1069" w:type="dxa"/>
            <w:tcBorders>
              <w:tl2br w:val="nil"/>
              <w:tr2bl w:val="nil"/>
            </w:tcBorders>
            <w:shd w:val="clear" w:color="auto" w:fill="auto"/>
            <w:noWrap/>
            <w:vAlign w:val="center"/>
          </w:tcPr>
          <w:p w14:paraId="0D96A724">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不平衡</w:t>
            </w:r>
          </w:p>
        </w:tc>
      </w:tr>
      <w:tr w14:paraId="129646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496E8462">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3187887F">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并联冷机出水温度不一致</w:t>
            </w:r>
          </w:p>
        </w:tc>
        <w:tc>
          <w:tcPr>
            <w:tcW w:w="1898" w:type="dxa"/>
            <w:tcBorders>
              <w:tl2br w:val="nil"/>
              <w:tr2bl w:val="nil"/>
            </w:tcBorders>
            <w:shd w:val="clear" w:color="auto" w:fill="auto"/>
            <w:noWrap/>
            <w:vAlign w:val="center"/>
          </w:tcPr>
          <w:p w14:paraId="7F78C896">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并联冷水机组出水温度间的最大差值</w:t>
            </w:r>
          </w:p>
        </w:tc>
        <w:tc>
          <w:tcPr>
            <w:tcW w:w="1554" w:type="dxa"/>
            <w:tcBorders>
              <w:tl2br w:val="nil"/>
              <w:tr2bl w:val="nil"/>
            </w:tcBorders>
            <w:shd w:val="clear" w:color="auto" w:fill="auto"/>
            <w:noWrap/>
            <w:vAlign w:val="center"/>
          </w:tcPr>
          <w:p w14:paraId="2515B946">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大于0.5℃</w:t>
            </w:r>
          </w:p>
        </w:tc>
        <w:tc>
          <w:tcPr>
            <w:tcW w:w="1555" w:type="dxa"/>
            <w:tcBorders>
              <w:tl2br w:val="nil"/>
              <w:tr2bl w:val="nil"/>
            </w:tcBorders>
            <w:shd w:val="clear" w:color="auto" w:fill="auto"/>
            <w:noWrap/>
            <w:vAlign w:val="center"/>
          </w:tcPr>
          <w:p w14:paraId="00F09CEF">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大于1.0℃</w:t>
            </w:r>
          </w:p>
        </w:tc>
        <w:tc>
          <w:tcPr>
            <w:tcW w:w="1069" w:type="dxa"/>
            <w:tcBorders>
              <w:tl2br w:val="nil"/>
              <w:tr2bl w:val="nil"/>
            </w:tcBorders>
            <w:shd w:val="clear" w:color="auto" w:fill="auto"/>
            <w:noWrap/>
            <w:vAlign w:val="center"/>
          </w:tcPr>
          <w:p w14:paraId="2630B6A7">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不平衡</w:t>
            </w:r>
          </w:p>
        </w:tc>
      </w:tr>
      <w:tr w14:paraId="4EADA8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58282515">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151AEBBC">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并联冷却塔出水温度不一致</w:t>
            </w:r>
          </w:p>
        </w:tc>
        <w:tc>
          <w:tcPr>
            <w:tcW w:w="1898" w:type="dxa"/>
            <w:tcBorders>
              <w:tl2br w:val="nil"/>
              <w:tr2bl w:val="nil"/>
            </w:tcBorders>
            <w:shd w:val="clear" w:color="auto" w:fill="auto"/>
            <w:noWrap/>
            <w:vAlign w:val="center"/>
          </w:tcPr>
          <w:p w14:paraId="7E69DCC7">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并联冷却塔出水温度间的最大差值</w:t>
            </w:r>
          </w:p>
        </w:tc>
        <w:tc>
          <w:tcPr>
            <w:tcW w:w="1554" w:type="dxa"/>
            <w:tcBorders>
              <w:tl2br w:val="nil"/>
              <w:tr2bl w:val="nil"/>
            </w:tcBorders>
            <w:shd w:val="clear" w:color="auto" w:fill="auto"/>
            <w:noWrap/>
            <w:vAlign w:val="center"/>
          </w:tcPr>
          <w:p w14:paraId="2B108354">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大于0.5℃</w:t>
            </w:r>
          </w:p>
        </w:tc>
        <w:tc>
          <w:tcPr>
            <w:tcW w:w="1555" w:type="dxa"/>
            <w:tcBorders>
              <w:tl2br w:val="nil"/>
              <w:tr2bl w:val="nil"/>
            </w:tcBorders>
            <w:shd w:val="clear" w:color="auto" w:fill="auto"/>
            <w:noWrap/>
            <w:vAlign w:val="center"/>
          </w:tcPr>
          <w:p w14:paraId="49983F9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大于1.0℃</w:t>
            </w:r>
          </w:p>
        </w:tc>
        <w:tc>
          <w:tcPr>
            <w:tcW w:w="1069" w:type="dxa"/>
            <w:tcBorders>
              <w:tl2br w:val="nil"/>
              <w:tr2bl w:val="nil"/>
            </w:tcBorders>
            <w:shd w:val="clear" w:color="auto" w:fill="auto"/>
            <w:noWrap/>
            <w:vAlign w:val="center"/>
          </w:tcPr>
          <w:p w14:paraId="0EB2CB8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不平衡</w:t>
            </w:r>
          </w:p>
        </w:tc>
      </w:tr>
      <w:tr w14:paraId="5D5102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072857BF">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0BB7D09C">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制冷机组负荷率未在高效负荷率区间</w:t>
            </w:r>
          </w:p>
        </w:tc>
        <w:tc>
          <w:tcPr>
            <w:tcW w:w="1898" w:type="dxa"/>
            <w:tcBorders>
              <w:tl2br w:val="nil"/>
              <w:tr2bl w:val="nil"/>
            </w:tcBorders>
            <w:shd w:val="clear" w:color="auto" w:fill="auto"/>
            <w:noWrap/>
            <w:vAlign w:val="center"/>
          </w:tcPr>
          <w:p w14:paraId="39203A06">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both"/>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制冷机组负荷率</w:t>
            </w:r>
          </w:p>
        </w:tc>
        <w:tc>
          <w:tcPr>
            <w:tcW w:w="1554" w:type="dxa"/>
            <w:tcBorders>
              <w:tl2br w:val="nil"/>
              <w:tr2bl w:val="nil"/>
            </w:tcBorders>
            <w:shd w:val="clear" w:color="auto" w:fill="auto"/>
            <w:noWrap/>
            <w:vAlign w:val="center"/>
          </w:tcPr>
          <w:p w14:paraId="755EC4A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处于次高效区</w:t>
            </w:r>
          </w:p>
        </w:tc>
        <w:tc>
          <w:tcPr>
            <w:tcW w:w="1555" w:type="dxa"/>
            <w:tcBorders>
              <w:tl2br w:val="nil"/>
              <w:tr2bl w:val="nil"/>
            </w:tcBorders>
            <w:shd w:val="clear" w:color="auto" w:fill="auto"/>
            <w:noWrap/>
            <w:vAlign w:val="center"/>
          </w:tcPr>
          <w:p w14:paraId="3C0A21C7">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处于低效区</w:t>
            </w:r>
          </w:p>
        </w:tc>
        <w:tc>
          <w:tcPr>
            <w:tcW w:w="1069" w:type="dxa"/>
            <w:tcBorders>
              <w:tl2br w:val="nil"/>
              <w:tr2bl w:val="nil"/>
            </w:tcBorders>
            <w:shd w:val="clear" w:color="auto" w:fill="auto"/>
            <w:noWrap/>
            <w:vAlign w:val="center"/>
          </w:tcPr>
          <w:p w14:paraId="384081BF">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效率过低</w:t>
            </w:r>
          </w:p>
        </w:tc>
      </w:tr>
      <w:tr w14:paraId="2EF1C4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12F5B3E4">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5C0B2ECC">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水泵未在高效区</w:t>
            </w:r>
          </w:p>
        </w:tc>
        <w:tc>
          <w:tcPr>
            <w:tcW w:w="1898" w:type="dxa"/>
            <w:tcBorders>
              <w:tl2br w:val="nil"/>
              <w:tr2bl w:val="nil"/>
            </w:tcBorders>
            <w:shd w:val="clear" w:color="auto" w:fill="auto"/>
            <w:noWrap/>
            <w:vAlign w:val="center"/>
          </w:tcPr>
          <w:p w14:paraId="60732194">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水泵频率和流量（或扬程）</w:t>
            </w:r>
          </w:p>
        </w:tc>
        <w:tc>
          <w:tcPr>
            <w:tcW w:w="1554" w:type="dxa"/>
            <w:tcBorders>
              <w:tl2br w:val="nil"/>
              <w:tr2bl w:val="nil"/>
            </w:tcBorders>
            <w:shd w:val="clear" w:color="auto" w:fill="auto"/>
            <w:noWrap/>
            <w:vAlign w:val="center"/>
          </w:tcPr>
          <w:p w14:paraId="2BA265B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低于额定效率的80%</w:t>
            </w:r>
          </w:p>
        </w:tc>
        <w:tc>
          <w:tcPr>
            <w:tcW w:w="1555" w:type="dxa"/>
            <w:tcBorders>
              <w:tl2br w:val="nil"/>
              <w:tr2bl w:val="nil"/>
            </w:tcBorders>
            <w:shd w:val="clear" w:color="auto" w:fill="auto"/>
            <w:noWrap/>
            <w:vAlign w:val="center"/>
          </w:tcPr>
          <w:p w14:paraId="684D256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低于额定效率的60%</w:t>
            </w:r>
          </w:p>
        </w:tc>
        <w:tc>
          <w:tcPr>
            <w:tcW w:w="1069" w:type="dxa"/>
            <w:tcBorders>
              <w:tl2br w:val="nil"/>
              <w:tr2bl w:val="nil"/>
            </w:tcBorders>
            <w:shd w:val="clear" w:color="auto" w:fill="auto"/>
            <w:noWrap/>
            <w:vAlign w:val="center"/>
          </w:tcPr>
          <w:p w14:paraId="6D655DFA">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效率过低</w:t>
            </w:r>
          </w:p>
        </w:tc>
      </w:tr>
      <w:tr w14:paraId="5CDAAA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44EAE8DE">
            <w:pPr>
              <w:keepNext w:val="0"/>
              <w:keepLines w:val="0"/>
              <w:pageBreakBefore w:val="0"/>
              <w:widowControl/>
              <w:numPr>
                <w:ilvl w:val="0"/>
                <w:numId w:val="16"/>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6C2E01BD">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冷却塔水量过小</w:t>
            </w:r>
          </w:p>
        </w:tc>
        <w:tc>
          <w:tcPr>
            <w:tcW w:w="1898" w:type="dxa"/>
            <w:tcBorders>
              <w:tl2br w:val="nil"/>
              <w:tr2bl w:val="nil"/>
            </w:tcBorders>
            <w:shd w:val="clear" w:color="auto" w:fill="auto"/>
            <w:noWrap/>
            <w:vAlign w:val="center"/>
          </w:tcPr>
          <w:p w14:paraId="66F7D5C4">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冷却塔水量</w:t>
            </w:r>
          </w:p>
        </w:tc>
        <w:tc>
          <w:tcPr>
            <w:tcW w:w="1554" w:type="dxa"/>
            <w:tcBorders>
              <w:tl2br w:val="nil"/>
              <w:tr2bl w:val="nil"/>
            </w:tcBorders>
            <w:shd w:val="clear" w:color="auto" w:fill="auto"/>
            <w:noWrap/>
            <w:vAlign w:val="center"/>
          </w:tcPr>
          <w:p w14:paraId="33D829A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低于最小水量</w:t>
            </w:r>
          </w:p>
        </w:tc>
        <w:tc>
          <w:tcPr>
            <w:tcW w:w="1555" w:type="dxa"/>
            <w:tcBorders>
              <w:tl2br w:val="nil"/>
              <w:tr2bl w:val="nil"/>
            </w:tcBorders>
            <w:shd w:val="clear" w:color="auto" w:fill="auto"/>
            <w:noWrap/>
            <w:vAlign w:val="center"/>
          </w:tcPr>
          <w:p w14:paraId="0DDB828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低于最小水量的80%</w:t>
            </w:r>
          </w:p>
        </w:tc>
        <w:tc>
          <w:tcPr>
            <w:tcW w:w="1069" w:type="dxa"/>
            <w:tcBorders>
              <w:tl2br w:val="nil"/>
              <w:tr2bl w:val="nil"/>
            </w:tcBorders>
            <w:shd w:val="clear" w:color="auto" w:fill="auto"/>
            <w:noWrap/>
            <w:vAlign w:val="center"/>
          </w:tcPr>
          <w:p w14:paraId="4FCD12B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效率过低</w:t>
            </w:r>
          </w:p>
        </w:tc>
      </w:tr>
    </w:tbl>
    <w:p w14:paraId="01E13BD1">
      <w:pPr>
        <w:keepNext w:val="0"/>
        <w:keepLines w:val="0"/>
        <w:pageBreakBefore w:val="0"/>
        <w:widowControl w:val="0"/>
        <w:kinsoku/>
        <w:wordWrap/>
        <w:overflowPunct/>
        <w:topLinePunct w:val="0"/>
        <w:autoSpaceDE/>
        <w:autoSpaceDN/>
        <w:bidi w:val="0"/>
        <w:adjustRightInd/>
        <w:snapToGrid w:val="0"/>
        <w:spacing w:before="157" w:beforeLines="50"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7F360790">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eastAsia="楷体" w:cs="Times New Roman"/>
          <w:b w:val="0"/>
          <w:bCs/>
          <w:color w:val="000000" w:themeColor="text1"/>
          <w:kern w:val="0"/>
          <w:sz w:val="24"/>
          <w:szCs w:val="24"/>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节能运行状态监测项，分为损失过大、阻力过大、过量供给、不平衡、效果过低5个大类，其中，“阻力过大”包括流动阻力过大和传热热阻过大。表6.1.1中所列项是能够进行即时判断的项。表6.1.1中给出的告警条件，某些需要根据系统和设备具体特性确定。</w:t>
      </w:r>
    </w:p>
    <w:p w14:paraId="7FF3804C">
      <w:pPr>
        <w:keepNext w:val="0"/>
        <w:keepLines w:val="0"/>
        <w:pageBreakBefore w:val="0"/>
        <w:widowControl w:val="0"/>
        <w:kinsoku/>
        <w:wordWrap/>
        <w:overflowPunct/>
        <w:topLinePunct w:val="0"/>
        <w:autoSpaceDE/>
        <w:autoSpaceDN/>
        <w:bidi w:val="0"/>
        <w:adjustRightInd/>
        <w:snapToGrid w:val="0"/>
        <w:spacing w:before="157" w:beforeLines="50" w:line="360" w:lineRule="auto"/>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bCs w:val="0"/>
          <w:color w:val="000000" w:themeColor="text1"/>
          <w:kern w:val="0"/>
          <w:sz w:val="24"/>
          <w:szCs w:val="21"/>
          <w:highlight w:val="none"/>
          <w:lang w:val="en-US" w:eastAsia="zh-CN"/>
          <w14:textFill>
            <w14:solidFill>
              <w14:schemeClr w14:val="tx1"/>
            </w14:solidFill>
          </w14:textFill>
        </w:rPr>
        <w:t>6</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1</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2</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即时节能性评价得分应按下式计算：</w:t>
      </w:r>
    </w:p>
    <w:p w14:paraId="17BF031F">
      <w:pPr>
        <w:keepNext w:val="0"/>
        <w:keepLines w:val="0"/>
        <w:pageBreakBefore w:val="0"/>
        <w:widowControl w:val="0"/>
        <w:kinsoku/>
        <w:wordWrap/>
        <w:overflowPunct/>
        <w:topLinePunct w:val="0"/>
        <w:autoSpaceDE/>
        <w:autoSpaceDN/>
        <w:bidi w:val="0"/>
        <w:adjustRightInd/>
        <w:snapToGrid w:val="0"/>
        <w:spacing w:line="360" w:lineRule="auto"/>
        <w:ind w:left="420" w:leftChars="200"/>
        <w:jc w:val="righ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position w:val="-28"/>
          <w:sz w:val="24"/>
          <w:szCs w:val="21"/>
          <w:highlight w:val="none"/>
          <w:lang w:val="en-US" w:eastAsia="zh-CN"/>
          <w14:textFill>
            <w14:solidFill>
              <w14:schemeClr w14:val="tx1"/>
            </w14:solidFill>
          </w14:textFill>
        </w:rPr>
        <w:object>
          <v:shape id="_x0000_i1029" o:spt="75" type="#_x0000_t75" style="height:34pt;width:87pt;" o:ole="t" filled="f" o:preferrelative="t" stroked="f" coordsize="21600,21600">
            <v:path/>
            <v:fill on="f" focussize="0,0"/>
            <v:stroke on="f"/>
            <v:imagedata r:id="rId23" o:title=""/>
            <o:lock v:ext="edit" aspectratio="t"/>
            <w10:wrap type="none"/>
            <w10:anchorlock/>
          </v:shape>
          <o:OLEObject Type="Embed" ProgID="Equation.KSEE3" ShapeID="_x0000_i1029" DrawAspect="Content" ObjectID="_1468075729" r:id="rId22">
            <o:LockedField>false</o:LockedField>
          </o:OLEObject>
        </w:object>
      </w:r>
      <w:r>
        <w:rPr>
          <w:rFonts w:hint="eastAsia"/>
          <w:b w:val="0"/>
          <w:bCs/>
          <w:color w:val="000000" w:themeColor="text1"/>
          <w:kern w:val="0"/>
          <w:sz w:val="24"/>
          <w:szCs w:val="21"/>
          <w:highlight w:val="none"/>
          <w:lang w:val="en-US" w:eastAsia="zh-CN"/>
          <w14:textFill>
            <w14:solidFill>
              <w14:schemeClr w14:val="tx1"/>
            </w14:solidFill>
          </w14:textFill>
        </w:rPr>
        <w:t xml:space="preserve">                                        （6.1.2）</w:t>
      </w:r>
    </w:p>
    <w:p w14:paraId="2905B4E1">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p>
    <w:p w14:paraId="1B0CAB9A">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i</w:t>
      </w:r>
      <w:r>
        <w:rPr>
          <w:rFonts w:hint="eastAsia"/>
          <w:b w:val="0"/>
          <w:bCs/>
          <w:color w:val="000000" w:themeColor="text1"/>
          <w:kern w:val="0"/>
          <w:sz w:val="24"/>
          <w:szCs w:val="21"/>
          <w:highlight w:val="none"/>
          <w:lang w:val="en-US" w:eastAsia="zh-CN"/>
          <w14:textFill>
            <w14:solidFill>
              <w14:schemeClr w14:val="tx1"/>
            </w14:solidFill>
          </w14:textFill>
        </w:rPr>
        <w:t>——即时节能性评价得分；</w:t>
      </w:r>
    </w:p>
    <w:p w14:paraId="77517985">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A</w:t>
      </w:r>
      <w:r>
        <w:rPr>
          <w:rFonts w:hint="eastAsia"/>
          <w:b w:val="0"/>
          <w:bCs/>
          <w:color w:val="000000" w:themeColor="text1"/>
          <w:kern w:val="0"/>
          <w:sz w:val="24"/>
          <w:szCs w:val="21"/>
          <w:highlight w:val="none"/>
          <w:lang w:val="en-US" w:eastAsia="zh-CN"/>
          <w14:textFill>
            <w14:solidFill>
              <w14:schemeClr w14:val="tx1"/>
            </w14:solidFill>
          </w14:textFill>
        </w:rPr>
        <w:t>——即时节能性评价起评分，A=100</w:t>
      </w:r>
    </w:p>
    <w:p w14:paraId="2820E642">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B</w:t>
      </w:r>
      <w:r>
        <w:rPr>
          <w:rFonts w:hint="eastAsia"/>
          <w:b w:val="0"/>
          <w:bCs/>
          <w:color w:val="000000" w:themeColor="text1"/>
          <w:kern w:val="0"/>
          <w:sz w:val="24"/>
          <w:szCs w:val="21"/>
          <w:highlight w:val="none"/>
          <w:lang w:val="en-US" w:eastAsia="zh-CN"/>
          <w14:textFill>
            <w14:solidFill>
              <w14:schemeClr w14:val="tx1"/>
            </w14:solidFill>
          </w14:textFill>
        </w:rPr>
        <w:t>——表6.1.1中所列各评价项得分，如未告警得100分，如发生即时一般告警得70分，如发生即时严重告警得40分，如未监测得40分；</w:t>
      </w:r>
    </w:p>
    <w:p w14:paraId="3D140347">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n</w:t>
      </w:r>
      <w:r>
        <w:rPr>
          <w:rFonts w:hint="eastAsia"/>
          <w:b w:val="0"/>
          <w:bCs/>
          <w:color w:val="000000" w:themeColor="text1"/>
          <w:kern w:val="0"/>
          <w:sz w:val="24"/>
          <w:szCs w:val="21"/>
          <w:highlight w:val="none"/>
          <w:lang w:val="en-US" w:eastAsia="zh-CN"/>
          <w14:textFill>
            <w14:solidFill>
              <w14:schemeClr w14:val="tx1"/>
            </w14:solidFill>
          </w14:textFill>
        </w:rPr>
        <w:t>——评价项的数量。</w:t>
      </w:r>
    </w:p>
    <w:p w14:paraId="2ED2F6B0">
      <w:pPr>
        <w:keepNext w:val="0"/>
        <w:keepLines w:val="0"/>
        <w:pageBreakBefore w:val="0"/>
        <w:widowControl w:val="0"/>
        <w:kinsoku/>
        <w:wordWrap/>
        <w:overflowPunct/>
        <w:topLinePunct w:val="0"/>
        <w:autoSpaceDE/>
        <w:autoSpaceDN/>
        <w:bidi w:val="0"/>
        <w:adjustRightInd/>
        <w:snapToGrid w:val="0"/>
        <w:spacing w:before="157" w:beforeLines="50"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3CEFACAD">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eastAsia="楷体" w:cs="Times New Roman"/>
          <w:b w:val="0"/>
          <w:bCs/>
          <w:color w:val="000000" w:themeColor="text1"/>
          <w:kern w:val="0"/>
          <w:sz w:val="24"/>
          <w:szCs w:val="24"/>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节能运行状态监测项反映了节能运行状态的各个方面，各个方面综合起来反映了节能运行总的情况，某一方面的不足不会对节能效果有根本性的否决，所以采用加权平均的方式计算节能性评分。</w:t>
      </w:r>
    </w:p>
    <w:p w14:paraId="077BC48A">
      <w:pPr>
        <w:keepNext w:val="0"/>
        <w:keepLines w:val="0"/>
        <w:pageBreakBefore w:val="0"/>
        <w:widowControl w:val="0"/>
        <w:kinsoku/>
        <w:wordWrap/>
        <w:overflowPunct/>
        <w:topLinePunct w:val="0"/>
        <w:autoSpaceDE/>
        <w:autoSpaceDN/>
        <w:bidi w:val="0"/>
        <w:adjustRightInd/>
        <w:snapToGrid w:val="0"/>
        <w:spacing w:before="157" w:beforeLines="50" w:after="157" w:afterLines="50" w:line="360" w:lineRule="auto"/>
        <w:jc w:val="center"/>
        <w:textAlignment w:val="auto"/>
        <w:outlineLvl w:val="1"/>
        <w:rPr>
          <w:rFonts w:hint="default"/>
          <w:b/>
          <w:color w:val="000000" w:themeColor="text1"/>
          <w:kern w:val="0"/>
          <w:sz w:val="24"/>
          <w:szCs w:val="21"/>
          <w:highlight w:val="none"/>
          <w:lang w:val="en-US" w:eastAsia="zh-CN"/>
          <w14:textFill>
            <w14:solidFill>
              <w14:schemeClr w14:val="tx1"/>
            </w14:solidFill>
          </w14:textFill>
        </w:rPr>
      </w:pPr>
      <w:r>
        <w:rPr>
          <w:rFonts w:hint="eastAsia"/>
          <w:b/>
          <w:color w:val="000000" w:themeColor="text1"/>
          <w:kern w:val="0"/>
          <w:sz w:val="24"/>
          <w:szCs w:val="21"/>
          <w:highlight w:val="none"/>
          <w:lang w:val="en-US" w:eastAsia="zh-CN"/>
          <w14:textFill>
            <w14:solidFill>
              <w14:schemeClr w14:val="tx1"/>
            </w14:solidFill>
          </w14:textFill>
        </w:rPr>
        <w:t xml:space="preserve">6.2  </w:t>
      </w:r>
      <w:r>
        <w:rPr>
          <w:rFonts w:hint="eastAsia" w:ascii="黑体" w:hAnsi="黑体" w:eastAsia="黑体" w:cs="黑体"/>
          <w:b w:val="0"/>
          <w:bCs/>
          <w:color w:val="000000" w:themeColor="text1"/>
          <w:kern w:val="0"/>
          <w:sz w:val="24"/>
          <w:szCs w:val="21"/>
          <w:highlight w:val="none"/>
          <w:lang w:val="en-US" w:eastAsia="zh-CN"/>
          <w14:textFill>
            <w14:solidFill>
              <w14:schemeClr w14:val="tx1"/>
            </w14:solidFill>
          </w14:textFill>
        </w:rPr>
        <w:t>时段评价</w:t>
      </w:r>
    </w:p>
    <w:p w14:paraId="70818E87">
      <w:pPr>
        <w:keepNext w:val="0"/>
        <w:keepLines w:val="0"/>
        <w:pageBreakBefore w:val="0"/>
        <w:widowControl w:val="0"/>
        <w:kinsoku/>
        <w:wordWrap/>
        <w:overflowPunct/>
        <w:topLinePunct w:val="0"/>
        <w:autoSpaceDE/>
        <w:autoSpaceDN/>
        <w:bidi w:val="0"/>
        <w:adjustRightInd/>
        <w:snapToGrid w:val="0"/>
        <w:spacing w:line="360" w:lineRule="auto"/>
        <w:ind w:left="0" w:leftChars="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color w:val="000000" w:themeColor="text1"/>
          <w:kern w:val="0"/>
          <w:sz w:val="24"/>
          <w:szCs w:val="21"/>
          <w:highlight w:val="none"/>
          <w:lang w:val="en-US" w:eastAsia="zh-CN"/>
          <w14:textFill>
            <w14:solidFill>
              <w14:schemeClr w14:val="tx1"/>
            </w14:solidFill>
          </w14:textFill>
        </w:rPr>
        <w:t>6</w:t>
      </w:r>
      <w:r>
        <w:rPr>
          <w:b/>
          <w:color w:val="000000" w:themeColor="text1"/>
          <w:kern w:val="0"/>
          <w:sz w:val="24"/>
          <w:szCs w:val="21"/>
          <w:highlight w:val="none"/>
          <w14:textFill>
            <w14:solidFill>
              <w14:schemeClr w14:val="tx1"/>
            </w14:solidFill>
          </w14:textFill>
        </w:rPr>
        <w:t>.</w:t>
      </w:r>
      <w:r>
        <w:rPr>
          <w:rFonts w:hint="eastAsia"/>
          <w:b/>
          <w:color w:val="000000" w:themeColor="text1"/>
          <w:kern w:val="0"/>
          <w:sz w:val="24"/>
          <w:szCs w:val="21"/>
          <w:highlight w:val="none"/>
          <w:lang w:val="en-US" w:eastAsia="zh-CN"/>
          <w14:textFill>
            <w14:solidFill>
              <w14:schemeClr w14:val="tx1"/>
            </w14:solidFill>
          </w14:textFill>
        </w:rPr>
        <w:t>2</w:t>
      </w:r>
      <w:r>
        <w:rPr>
          <w:b/>
          <w:color w:val="000000" w:themeColor="text1"/>
          <w:kern w:val="0"/>
          <w:sz w:val="24"/>
          <w:szCs w:val="21"/>
          <w:highlight w:val="none"/>
          <w14:textFill>
            <w14:solidFill>
              <w14:schemeClr w14:val="tx1"/>
            </w14:solidFill>
          </w14:textFill>
        </w:rPr>
        <w:t xml:space="preserve">.1  </w:t>
      </w:r>
      <w:r>
        <w:rPr>
          <w:rFonts w:hint="eastAsia"/>
          <w:b/>
          <w:color w:val="000000" w:themeColor="text1"/>
          <w:kern w:val="0"/>
          <w:sz w:val="24"/>
          <w:szCs w:val="21"/>
          <w:highlight w:val="none"/>
          <w:lang w:val="en-US" w:eastAsia="zh-CN"/>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在评价时段内</w:t>
      </w:r>
      <w:r>
        <w:rPr>
          <w:rFonts w:hint="eastAsia"/>
          <w:b/>
          <w:color w:val="000000" w:themeColor="text1"/>
          <w:kern w:val="0"/>
          <w:sz w:val="24"/>
          <w:szCs w:val="21"/>
          <w:highlight w:val="none"/>
          <w:lang w:val="en-US" w:eastAsia="zh-CN"/>
          <w14:textFill>
            <w14:solidFill>
              <w14:schemeClr w14:val="tx1"/>
            </w14:solidFill>
          </w14:textFill>
        </w:rPr>
        <w:t>，</w:t>
      </w:r>
      <w:r>
        <w:rPr>
          <w:rFonts w:hint="eastAsia"/>
          <w:b w:val="0"/>
          <w:bCs/>
          <w:color w:val="000000" w:themeColor="text1"/>
          <w:kern w:val="0"/>
          <w:sz w:val="24"/>
          <w:szCs w:val="21"/>
          <w:highlight w:val="none"/>
          <w:lang w:val="en-US" w:eastAsia="zh-CN"/>
          <w14:textFill>
            <w14:solidFill>
              <w14:schemeClr w14:val="tx1"/>
            </w14:solidFill>
          </w14:textFill>
        </w:rPr>
        <w:t>某一即时告警时间长度占比超过10%时，该告警应为时段告警。</w:t>
      </w:r>
    </w:p>
    <w:p w14:paraId="197DA70A">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202F124C">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在本条中，确认时段告警的方式与5.2.1条相同，与4.2.1条不同，原因在于制冷机房对于节能性不满足要求具有较大的容忍度，和功能性比较类似。</w:t>
      </w:r>
    </w:p>
    <w:p w14:paraId="365033EC">
      <w:pPr>
        <w:keepNext w:val="0"/>
        <w:keepLines w:val="0"/>
        <w:pageBreakBefore w:val="0"/>
        <w:widowControl w:val="0"/>
        <w:kinsoku/>
        <w:wordWrap/>
        <w:overflowPunct/>
        <w:topLinePunct w:val="0"/>
        <w:autoSpaceDE/>
        <w:autoSpaceDN/>
        <w:bidi w:val="0"/>
        <w:adjustRightInd/>
        <w:snapToGrid w:val="0"/>
        <w:spacing w:line="360" w:lineRule="auto"/>
        <w:ind w:left="0" w:leftChars="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p>
    <w:p w14:paraId="30DF7F66">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b w:val="0"/>
          <w:bCs/>
          <w:sz w:val="24"/>
          <w:szCs w:val="21"/>
          <w:highlight w:val="none"/>
          <w:lang w:val="en-US" w:eastAsia="zh-CN"/>
        </w:rPr>
      </w:pPr>
      <w:r>
        <w:rPr>
          <w:rFonts w:hint="eastAsia"/>
          <w:b/>
          <w:color w:val="000000" w:themeColor="text1"/>
          <w:kern w:val="0"/>
          <w:sz w:val="24"/>
          <w:szCs w:val="21"/>
          <w:highlight w:val="none"/>
          <w:lang w:val="en-US" w:eastAsia="zh-CN"/>
          <w14:textFill>
            <w14:solidFill>
              <w14:schemeClr w14:val="tx1"/>
            </w14:solidFill>
          </w14:textFill>
        </w:rPr>
        <w:t>6</w:t>
      </w:r>
      <w:r>
        <w:rPr>
          <w:b/>
          <w:color w:val="000000" w:themeColor="text1"/>
          <w:kern w:val="0"/>
          <w:sz w:val="24"/>
          <w:szCs w:val="21"/>
          <w:highlight w:val="none"/>
          <w14:textFill>
            <w14:solidFill>
              <w14:schemeClr w14:val="tx1"/>
            </w14:solidFill>
          </w14:textFill>
        </w:rPr>
        <w:t>.</w:t>
      </w:r>
      <w:r>
        <w:rPr>
          <w:rFonts w:hint="eastAsia"/>
          <w:b/>
          <w:color w:val="000000" w:themeColor="text1"/>
          <w:kern w:val="0"/>
          <w:sz w:val="24"/>
          <w:szCs w:val="21"/>
          <w:highlight w:val="none"/>
          <w:lang w:val="en-US" w:eastAsia="zh-CN"/>
          <w14:textFill>
            <w14:solidFill>
              <w14:schemeClr w14:val="tx1"/>
            </w14:solidFill>
          </w14:textFill>
        </w:rPr>
        <w:t>2</w:t>
      </w:r>
      <w:r>
        <w:rPr>
          <w:b/>
          <w:color w:val="000000" w:themeColor="text1"/>
          <w:kern w:val="0"/>
          <w:sz w:val="24"/>
          <w:szCs w:val="21"/>
          <w:highlight w:val="none"/>
          <w14:textFill>
            <w14:solidFill>
              <w14:schemeClr w14:val="tx1"/>
            </w14:solidFill>
          </w14:textFill>
        </w:rPr>
        <w:t>.</w:t>
      </w:r>
      <w:r>
        <w:rPr>
          <w:rFonts w:hint="eastAsia"/>
          <w:b/>
          <w:color w:val="000000" w:themeColor="text1"/>
          <w:kern w:val="0"/>
          <w:sz w:val="24"/>
          <w:szCs w:val="21"/>
          <w:highlight w:val="none"/>
          <w:lang w:val="en-US" w:eastAsia="zh-CN"/>
          <w14:textFill>
            <w14:solidFill>
              <w14:schemeClr w14:val="tx1"/>
            </w14:solidFill>
          </w14:textFill>
        </w:rPr>
        <w:t>2</w:t>
      </w:r>
      <w:r>
        <w:rPr>
          <w:b/>
          <w:color w:val="000000" w:themeColor="text1"/>
          <w:kern w:val="0"/>
          <w:sz w:val="24"/>
          <w:szCs w:val="21"/>
          <w:highlight w:val="none"/>
          <w14:textFill>
            <w14:solidFill>
              <w14:schemeClr w14:val="tx1"/>
            </w14:solidFill>
          </w14:textFill>
        </w:rPr>
        <w:t xml:space="preserve">  </w:t>
      </w:r>
      <w:r>
        <w:rPr>
          <w:rFonts w:hint="eastAsia"/>
          <w:b/>
          <w:color w:val="000000" w:themeColor="text1"/>
          <w:kern w:val="0"/>
          <w:sz w:val="24"/>
          <w:szCs w:val="21"/>
          <w:highlight w:val="none"/>
          <w:lang w:val="en-US" w:eastAsia="zh-CN"/>
          <w14:textFill>
            <w14:solidFill>
              <w14:schemeClr w14:val="tx1"/>
            </w14:solidFill>
          </w14:textFill>
        </w:rPr>
        <w:t xml:space="preserve">  </w:t>
      </w:r>
      <w:r>
        <w:rPr>
          <w:rFonts w:hint="eastAsia" w:ascii="Times New Roman"/>
          <w:b w:val="0"/>
          <w:bCs/>
          <w:sz w:val="24"/>
          <w:szCs w:val="21"/>
          <w:highlight w:val="none"/>
          <w:lang w:val="en-US" w:eastAsia="zh-CN"/>
        </w:rPr>
        <w:t>应</w:t>
      </w:r>
      <w:r>
        <w:rPr>
          <w:rFonts w:hint="eastAsia"/>
          <w:b w:val="0"/>
          <w:bCs/>
          <w:color w:val="000000" w:themeColor="text1"/>
          <w:kern w:val="0"/>
          <w:sz w:val="24"/>
          <w:szCs w:val="21"/>
          <w:highlight w:val="none"/>
          <w:lang w:val="en-US" w:eastAsia="zh-CN"/>
          <w14:textFill>
            <w14:solidFill>
              <w14:schemeClr w14:val="tx1"/>
            </w14:solidFill>
          </w14:textFill>
        </w:rPr>
        <w:t>在时段评价所对应的时间段内，</w:t>
      </w:r>
      <w:r>
        <w:rPr>
          <w:rFonts w:hint="eastAsia"/>
          <w:b w:val="0"/>
          <w:bCs/>
          <w:sz w:val="24"/>
          <w:szCs w:val="21"/>
          <w:highlight w:val="none"/>
          <w:lang w:val="en-US" w:eastAsia="zh-CN"/>
        </w:rPr>
        <w:t>对</w:t>
      </w:r>
      <w:r>
        <w:rPr>
          <w:rFonts w:hint="eastAsia" w:ascii="Times New Roman"/>
          <w:b w:val="0"/>
          <w:bCs/>
          <w:sz w:val="24"/>
          <w:szCs w:val="21"/>
          <w:highlight w:val="none"/>
          <w:lang w:val="en-US" w:eastAsia="zh-CN"/>
        </w:rPr>
        <w:t>表</w:t>
      </w:r>
      <w:r>
        <w:rPr>
          <w:rFonts w:hint="eastAsia"/>
          <w:b w:val="0"/>
          <w:bCs/>
          <w:sz w:val="24"/>
          <w:szCs w:val="21"/>
          <w:highlight w:val="none"/>
          <w:lang w:val="en-US" w:eastAsia="zh-CN"/>
        </w:rPr>
        <w:t>6</w:t>
      </w:r>
      <w:r>
        <w:rPr>
          <w:rFonts w:hint="eastAsia" w:ascii="Times New Roman"/>
          <w:b w:val="0"/>
          <w:bCs/>
          <w:sz w:val="24"/>
          <w:szCs w:val="21"/>
          <w:highlight w:val="none"/>
          <w:lang w:val="en-US" w:eastAsia="zh-CN"/>
        </w:rPr>
        <w:t>.</w:t>
      </w:r>
      <w:r>
        <w:rPr>
          <w:rFonts w:hint="eastAsia"/>
          <w:b w:val="0"/>
          <w:bCs/>
          <w:sz w:val="24"/>
          <w:szCs w:val="21"/>
          <w:highlight w:val="none"/>
          <w:lang w:val="en-US" w:eastAsia="zh-CN"/>
        </w:rPr>
        <w:t>2</w:t>
      </w:r>
      <w:r>
        <w:rPr>
          <w:rFonts w:hint="eastAsia" w:ascii="Times New Roman"/>
          <w:b w:val="0"/>
          <w:bCs/>
          <w:sz w:val="24"/>
          <w:szCs w:val="21"/>
          <w:highlight w:val="none"/>
          <w:lang w:val="en-US" w:eastAsia="zh-CN"/>
        </w:rPr>
        <w:t>.</w:t>
      </w:r>
      <w:r>
        <w:rPr>
          <w:rFonts w:hint="eastAsia"/>
          <w:b w:val="0"/>
          <w:bCs/>
          <w:sz w:val="24"/>
          <w:szCs w:val="21"/>
          <w:highlight w:val="none"/>
          <w:lang w:val="en-US" w:eastAsia="zh-CN"/>
        </w:rPr>
        <w:t>2</w:t>
      </w:r>
      <w:r>
        <w:rPr>
          <w:rFonts w:hint="eastAsia" w:ascii="Times New Roman"/>
          <w:b w:val="0"/>
          <w:bCs/>
          <w:sz w:val="24"/>
          <w:szCs w:val="21"/>
          <w:highlight w:val="none"/>
          <w:lang w:val="en-US" w:eastAsia="zh-CN"/>
        </w:rPr>
        <w:t>所列</w:t>
      </w:r>
      <w:r>
        <w:rPr>
          <w:rFonts w:hint="eastAsia"/>
          <w:b w:val="0"/>
          <w:bCs/>
          <w:sz w:val="24"/>
          <w:szCs w:val="21"/>
          <w:highlight w:val="none"/>
          <w:lang w:val="en-US" w:eastAsia="zh-CN"/>
        </w:rPr>
        <w:t>的制冷机房节能状态评价项进行监测或计算，根据所监测参数的值进行即时告警或即时严重告警。</w:t>
      </w:r>
    </w:p>
    <w:p w14:paraId="6D5E5259">
      <w:pPr>
        <w:spacing w:line="360" w:lineRule="auto"/>
        <w:jc w:val="center"/>
        <w:rPr>
          <w:rFonts w:hint="default" w:eastAsia="宋体"/>
          <w:b w:val="0"/>
          <w:bCs w:val="0"/>
          <w:highlight w:val="none"/>
          <w:lang w:val="en-US" w:eastAsia="zh-CN"/>
        </w:rPr>
      </w:pPr>
      <w:r>
        <w:rPr>
          <w:b w:val="0"/>
          <w:bCs w:val="0"/>
          <w:highlight w:val="none"/>
        </w:rPr>
        <w:t>表</w:t>
      </w:r>
      <w:r>
        <w:rPr>
          <w:rFonts w:hint="eastAsia"/>
          <w:b w:val="0"/>
          <w:bCs w:val="0"/>
          <w:highlight w:val="none"/>
          <w:lang w:val="en-US" w:eastAsia="zh-CN"/>
        </w:rPr>
        <w:t>6</w:t>
      </w:r>
      <w:r>
        <w:rPr>
          <w:b w:val="0"/>
          <w:bCs w:val="0"/>
          <w:highlight w:val="none"/>
        </w:rPr>
        <w:t>.</w:t>
      </w:r>
      <w:r>
        <w:rPr>
          <w:rFonts w:hint="eastAsia"/>
          <w:b w:val="0"/>
          <w:bCs w:val="0"/>
          <w:highlight w:val="none"/>
          <w:lang w:val="en-US" w:eastAsia="zh-CN"/>
        </w:rPr>
        <w:t>2</w:t>
      </w:r>
      <w:r>
        <w:rPr>
          <w:b w:val="0"/>
          <w:bCs w:val="0"/>
          <w:highlight w:val="none"/>
        </w:rPr>
        <w:t>.</w:t>
      </w:r>
      <w:r>
        <w:rPr>
          <w:rFonts w:hint="eastAsia"/>
          <w:b w:val="0"/>
          <w:bCs w:val="0"/>
          <w:highlight w:val="none"/>
          <w:lang w:val="en-US" w:eastAsia="zh-CN"/>
        </w:rPr>
        <w:t>2</w:t>
      </w:r>
      <w:r>
        <w:rPr>
          <w:b w:val="0"/>
          <w:bCs w:val="0"/>
          <w:highlight w:val="none"/>
        </w:rPr>
        <w:t xml:space="preserve"> </w:t>
      </w:r>
      <w:r>
        <w:rPr>
          <w:rFonts w:hint="eastAsia"/>
          <w:b w:val="0"/>
          <w:bCs w:val="0"/>
          <w:highlight w:val="none"/>
          <w:lang w:val="en-US" w:eastAsia="zh-CN"/>
        </w:rPr>
        <w:t xml:space="preserve"> </w:t>
      </w:r>
      <w:r>
        <w:rPr>
          <w:b w:val="0"/>
          <w:bCs w:val="0"/>
          <w:highlight w:val="none"/>
        </w:rPr>
        <w:t xml:space="preserve"> </w:t>
      </w:r>
      <w:r>
        <w:rPr>
          <w:rFonts w:hint="eastAsia"/>
          <w:b w:val="0"/>
          <w:bCs w:val="0"/>
          <w:highlight w:val="none"/>
          <w:lang w:val="en-US" w:eastAsia="zh-CN"/>
        </w:rPr>
        <w:t xml:space="preserve"> 制冷机房时段节能状态评价项告警条件要求</w:t>
      </w:r>
    </w:p>
    <w:tbl>
      <w:tblPr>
        <w:tblStyle w:val="28"/>
        <w:tblW w:w="9142" w:type="dxa"/>
        <w:tblInd w:w="132"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42"/>
        <w:gridCol w:w="2324"/>
        <w:gridCol w:w="1898"/>
        <w:gridCol w:w="1554"/>
        <w:gridCol w:w="1555"/>
        <w:gridCol w:w="1069"/>
      </w:tblGrid>
      <w:tr w14:paraId="24C573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0" w:hRule="atLeast"/>
          <w:tblHeader/>
        </w:trPr>
        <w:tc>
          <w:tcPr>
            <w:tcW w:w="742" w:type="dxa"/>
            <w:tcBorders>
              <w:tl2br w:val="nil"/>
              <w:tr2bl w:val="nil"/>
            </w:tcBorders>
            <w:shd w:val="clear" w:color="auto" w:fill="auto"/>
            <w:noWrap/>
            <w:vAlign w:val="center"/>
          </w:tcPr>
          <w:p w14:paraId="47447962">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序号</w:t>
            </w:r>
          </w:p>
        </w:tc>
        <w:tc>
          <w:tcPr>
            <w:tcW w:w="2324" w:type="dxa"/>
            <w:tcBorders>
              <w:tl2br w:val="nil"/>
              <w:tr2bl w:val="nil"/>
            </w:tcBorders>
            <w:shd w:val="clear" w:color="auto" w:fill="auto"/>
            <w:noWrap/>
            <w:vAlign w:val="center"/>
          </w:tcPr>
          <w:p w14:paraId="7C1814C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制冷机房节能运行状态评价项</w:t>
            </w:r>
          </w:p>
        </w:tc>
        <w:tc>
          <w:tcPr>
            <w:tcW w:w="1898" w:type="dxa"/>
            <w:tcBorders>
              <w:tl2br w:val="nil"/>
              <w:tr2bl w:val="nil"/>
            </w:tcBorders>
            <w:shd w:val="clear" w:color="auto" w:fill="auto"/>
            <w:noWrap/>
            <w:vAlign w:val="center"/>
          </w:tcPr>
          <w:p w14:paraId="50A3773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状态参数</w:t>
            </w:r>
          </w:p>
        </w:tc>
        <w:tc>
          <w:tcPr>
            <w:tcW w:w="1554" w:type="dxa"/>
            <w:tcBorders>
              <w:tl2br w:val="nil"/>
              <w:tr2bl w:val="nil"/>
            </w:tcBorders>
            <w:shd w:val="clear" w:color="auto" w:fill="auto"/>
            <w:noWrap/>
            <w:vAlign w:val="center"/>
          </w:tcPr>
          <w:p w14:paraId="0380F27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一般告警条件</w:t>
            </w:r>
          </w:p>
        </w:tc>
        <w:tc>
          <w:tcPr>
            <w:tcW w:w="1555" w:type="dxa"/>
            <w:tcBorders>
              <w:tl2br w:val="nil"/>
              <w:tr2bl w:val="nil"/>
            </w:tcBorders>
            <w:shd w:val="clear" w:color="auto" w:fill="auto"/>
            <w:noWrap/>
            <w:vAlign w:val="center"/>
          </w:tcPr>
          <w:p w14:paraId="61B5A0F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严重告警条件</w:t>
            </w:r>
          </w:p>
        </w:tc>
        <w:tc>
          <w:tcPr>
            <w:tcW w:w="1069" w:type="dxa"/>
            <w:tcBorders>
              <w:tl2br w:val="nil"/>
              <w:tr2bl w:val="nil"/>
            </w:tcBorders>
            <w:shd w:val="clear" w:color="auto" w:fill="auto"/>
            <w:noWrap/>
            <w:vAlign w:val="center"/>
          </w:tcPr>
          <w:p w14:paraId="4F62E5A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所属类别</w:t>
            </w:r>
          </w:p>
        </w:tc>
      </w:tr>
      <w:tr w14:paraId="0F7D86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742" w:type="dxa"/>
            <w:tcBorders>
              <w:tl2br w:val="nil"/>
              <w:tr2bl w:val="nil"/>
            </w:tcBorders>
            <w:shd w:val="clear" w:color="auto" w:fill="auto"/>
            <w:noWrap/>
            <w:vAlign w:val="center"/>
          </w:tcPr>
          <w:p w14:paraId="751A2476">
            <w:pPr>
              <w:keepNext w:val="0"/>
              <w:keepLines w:val="0"/>
              <w:pageBreakBefore w:val="0"/>
              <w:widowControl/>
              <w:numPr>
                <w:ilvl w:val="0"/>
                <w:numId w:val="17"/>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4C6EB1C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冷冻水补水量是否过大</w:t>
            </w:r>
          </w:p>
        </w:tc>
        <w:tc>
          <w:tcPr>
            <w:tcW w:w="1898" w:type="dxa"/>
            <w:tcBorders>
              <w:tl2br w:val="nil"/>
              <w:tr2bl w:val="nil"/>
            </w:tcBorders>
            <w:shd w:val="clear" w:color="auto" w:fill="auto"/>
            <w:noWrap/>
            <w:vAlign w:val="center"/>
          </w:tcPr>
          <w:p w14:paraId="3D300AC6">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冷冻水补水量</w:t>
            </w:r>
          </w:p>
        </w:tc>
        <w:tc>
          <w:tcPr>
            <w:tcW w:w="1554" w:type="dxa"/>
            <w:tcBorders>
              <w:tl2br w:val="nil"/>
              <w:tr2bl w:val="nil"/>
            </w:tcBorders>
            <w:shd w:val="clear" w:color="auto" w:fill="auto"/>
            <w:noWrap/>
            <w:vAlign w:val="center"/>
          </w:tcPr>
          <w:p w14:paraId="4285DF04">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大于设计标准20%</w:t>
            </w:r>
          </w:p>
        </w:tc>
        <w:tc>
          <w:tcPr>
            <w:tcW w:w="1555" w:type="dxa"/>
            <w:tcBorders>
              <w:tl2br w:val="nil"/>
              <w:tr2bl w:val="nil"/>
            </w:tcBorders>
            <w:shd w:val="clear" w:color="auto" w:fill="auto"/>
            <w:noWrap/>
            <w:vAlign w:val="center"/>
          </w:tcPr>
          <w:p w14:paraId="0132068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大于设计标准50%</w:t>
            </w:r>
          </w:p>
        </w:tc>
        <w:tc>
          <w:tcPr>
            <w:tcW w:w="1069" w:type="dxa"/>
            <w:tcBorders>
              <w:tl2br w:val="nil"/>
              <w:tr2bl w:val="nil"/>
            </w:tcBorders>
            <w:shd w:val="clear" w:color="auto" w:fill="auto"/>
            <w:noWrap/>
            <w:vAlign w:val="center"/>
          </w:tcPr>
          <w:p w14:paraId="79F7829D">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损失过大</w:t>
            </w:r>
          </w:p>
        </w:tc>
      </w:tr>
      <w:tr w14:paraId="0909EE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vAlign w:val="center"/>
          </w:tcPr>
          <w:p w14:paraId="70883423">
            <w:pPr>
              <w:keepNext w:val="0"/>
              <w:keepLines w:val="0"/>
              <w:pageBreakBefore w:val="0"/>
              <w:widowControl/>
              <w:numPr>
                <w:ilvl w:val="0"/>
                <w:numId w:val="17"/>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1E85C5FB">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冷却水补水量是否过大</w:t>
            </w:r>
          </w:p>
        </w:tc>
        <w:tc>
          <w:tcPr>
            <w:tcW w:w="1898" w:type="dxa"/>
            <w:tcBorders>
              <w:tl2br w:val="nil"/>
              <w:tr2bl w:val="nil"/>
            </w:tcBorders>
            <w:shd w:val="clear" w:color="auto" w:fill="auto"/>
            <w:noWrap/>
            <w:vAlign w:val="center"/>
          </w:tcPr>
          <w:p w14:paraId="1C51E9F1">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冷却水补水量</w:t>
            </w:r>
          </w:p>
        </w:tc>
        <w:tc>
          <w:tcPr>
            <w:tcW w:w="1554" w:type="dxa"/>
            <w:tcBorders>
              <w:tl2br w:val="nil"/>
              <w:tr2bl w:val="nil"/>
            </w:tcBorders>
            <w:shd w:val="clear" w:color="auto" w:fill="auto"/>
            <w:noWrap/>
            <w:vAlign w:val="center"/>
          </w:tcPr>
          <w:p w14:paraId="078027D8">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大于设计标准20%</w:t>
            </w:r>
          </w:p>
        </w:tc>
        <w:tc>
          <w:tcPr>
            <w:tcW w:w="1555" w:type="dxa"/>
            <w:tcBorders>
              <w:tl2br w:val="nil"/>
              <w:tr2bl w:val="nil"/>
            </w:tcBorders>
            <w:shd w:val="clear" w:color="auto" w:fill="auto"/>
            <w:noWrap/>
            <w:vAlign w:val="center"/>
          </w:tcPr>
          <w:p w14:paraId="38BD5C9E">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eastAsia="宋体"/>
                <w:b w:val="0"/>
                <w:bCs w:val="0"/>
                <w:color w:val="000000"/>
                <w:kern w:val="0"/>
                <w:szCs w:val="21"/>
                <w:highlight w:val="none"/>
                <w:lang w:val="en-US" w:eastAsia="zh-CN"/>
              </w:rPr>
            </w:pPr>
            <w:r>
              <w:rPr>
                <w:rFonts w:hint="eastAsia"/>
                <w:b w:val="0"/>
                <w:bCs w:val="0"/>
                <w:color w:val="000000"/>
                <w:kern w:val="0"/>
                <w:szCs w:val="21"/>
                <w:highlight w:val="none"/>
                <w:lang w:val="en-US" w:eastAsia="zh-CN"/>
              </w:rPr>
              <w:t>大于设计值50%</w:t>
            </w:r>
          </w:p>
        </w:tc>
        <w:tc>
          <w:tcPr>
            <w:tcW w:w="1069" w:type="dxa"/>
            <w:tcBorders>
              <w:tl2br w:val="nil"/>
              <w:tr2bl w:val="nil"/>
            </w:tcBorders>
            <w:shd w:val="clear" w:color="auto" w:fill="auto"/>
            <w:noWrap/>
            <w:vAlign w:val="center"/>
          </w:tcPr>
          <w:p w14:paraId="7D70CD3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损失过大</w:t>
            </w:r>
          </w:p>
        </w:tc>
      </w:tr>
      <w:tr w14:paraId="4E8394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7B6A578C">
            <w:pPr>
              <w:keepNext w:val="0"/>
              <w:keepLines w:val="0"/>
              <w:pageBreakBefore w:val="0"/>
              <w:widowControl/>
              <w:numPr>
                <w:ilvl w:val="0"/>
                <w:numId w:val="17"/>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41BE742C">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制冷机组蒸发器换热效能是否偏低</w:t>
            </w:r>
          </w:p>
        </w:tc>
        <w:tc>
          <w:tcPr>
            <w:tcW w:w="1898" w:type="dxa"/>
            <w:tcBorders>
              <w:tl2br w:val="nil"/>
              <w:tr2bl w:val="nil"/>
            </w:tcBorders>
            <w:shd w:val="clear" w:color="auto" w:fill="auto"/>
            <w:noWrap/>
            <w:vAlign w:val="center"/>
          </w:tcPr>
          <w:p w14:paraId="331A60FC">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制冷机组蒸发器换热效能</w:t>
            </w:r>
          </w:p>
        </w:tc>
        <w:tc>
          <w:tcPr>
            <w:tcW w:w="1554" w:type="dxa"/>
            <w:tcBorders>
              <w:tl2br w:val="nil"/>
              <w:tr2bl w:val="nil"/>
            </w:tcBorders>
            <w:shd w:val="clear" w:color="auto" w:fill="auto"/>
            <w:noWrap/>
            <w:vAlign w:val="center"/>
          </w:tcPr>
          <w:p w14:paraId="202CC75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低于初始值的80%</w:t>
            </w:r>
          </w:p>
        </w:tc>
        <w:tc>
          <w:tcPr>
            <w:tcW w:w="1555" w:type="dxa"/>
            <w:tcBorders>
              <w:tl2br w:val="nil"/>
              <w:tr2bl w:val="nil"/>
            </w:tcBorders>
            <w:shd w:val="clear" w:color="auto" w:fill="auto"/>
            <w:noWrap/>
            <w:vAlign w:val="center"/>
          </w:tcPr>
          <w:p w14:paraId="6380E23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低于初始值的60%</w:t>
            </w:r>
          </w:p>
        </w:tc>
        <w:tc>
          <w:tcPr>
            <w:tcW w:w="1069" w:type="dxa"/>
            <w:tcBorders>
              <w:tl2br w:val="nil"/>
              <w:tr2bl w:val="nil"/>
            </w:tcBorders>
            <w:shd w:val="clear" w:color="auto" w:fill="auto"/>
            <w:noWrap/>
            <w:vAlign w:val="center"/>
          </w:tcPr>
          <w:p w14:paraId="33878C35">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阻力过大</w:t>
            </w:r>
          </w:p>
        </w:tc>
      </w:tr>
      <w:tr w14:paraId="487305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3BFA2871">
            <w:pPr>
              <w:keepNext w:val="0"/>
              <w:keepLines w:val="0"/>
              <w:pageBreakBefore w:val="0"/>
              <w:widowControl/>
              <w:numPr>
                <w:ilvl w:val="0"/>
                <w:numId w:val="17"/>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03EAB67E">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制冷机组冷凝器换热效能是否偏低</w:t>
            </w:r>
          </w:p>
        </w:tc>
        <w:tc>
          <w:tcPr>
            <w:tcW w:w="1898" w:type="dxa"/>
            <w:tcBorders>
              <w:tl2br w:val="nil"/>
              <w:tr2bl w:val="nil"/>
            </w:tcBorders>
            <w:shd w:val="clear" w:color="auto" w:fill="auto"/>
            <w:noWrap/>
            <w:vAlign w:val="center"/>
          </w:tcPr>
          <w:p w14:paraId="0D143C10">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制冷机组冷凝器换热效能</w:t>
            </w:r>
          </w:p>
        </w:tc>
        <w:tc>
          <w:tcPr>
            <w:tcW w:w="1554" w:type="dxa"/>
            <w:tcBorders>
              <w:tl2br w:val="nil"/>
              <w:tr2bl w:val="nil"/>
            </w:tcBorders>
            <w:shd w:val="clear" w:color="auto" w:fill="auto"/>
            <w:noWrap/>
            <w:vAlign w:val="center"/>
          </w:tcPr>
          <w:p w14:paraId="1DAFA546">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低于初始值的80%</w:t>
            </w:r>
          </w:p>
        </w:tc>
        <w:tc>
          <w:tcPr>
            <w:tcW w:w="1555" w:type="dxa"/>
            <w:tcBorders>
              <w:tl2br w:val="nil"/>
              <w:tr2bl w:val="nil"/>
            </w:tcBorders>
            <w:shd w:val="clear" w:color="auto" w:fill="auto"/>
            <w:noWrap/>
            <w:vAlign w:val="center"/>
          </w:tcPr>
          <w:p w14:paraId="0F2675B3">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ascii="Times New Roman" w:hAnsi="Times New Roman" w:eastAsia="宋体" w:cs="Times New Roman"/>
                <w:b w:val="0"/>
                <w:bCs w:val="0"/>
                <w:color w:val="000000"/>
                <w:kern w:val="0"/>
                <w:sz w:val="21"/>
                <w:szCs w:val="21"/>
                <w:highlight w:val="none"/>
                <w:lang w:val="en-US" w:eastAsia="zh-CN" w:bidi="ar-SA"/>
              </w:rPr>
            </w:pPr>
            <w:r>
              <w:rPr>
                <w:rFonts w:hint="eastAsia"/>
                <w:b w:val="0"/>
                <w:bCs w:val="0"/>
                <w:color w:val="000000"/>
                <w:kern w:val="0"/>
                <w:szCs w:val="21"/>
                <w:highlight w:val="none"/>
                <w:lang w:val="en-US" w:eastAsia="zh-CN"/>
              </w:rPr>
              <w:t>低于初始值的60%</w:t>
            </w:r>
          </w:p>
        </w:tc>
        <w:tc>
          <w:tcPr>
            <w:tcW w:w="1069" w:type="dxa"/>
            <w:tcBorders>
              <w:tl2br w:val="nil"/>
              <w:tr2bl w:val="nil"/>
            </w:tcBorders>
            <w:shd w:val="clear" w:color="auto" w:fill="auto"/>
            <w:noWrap/>
            <w:vAlign w:val="center"/>
          </w:tcPr>
          <w:p w14:paraId="0B2FE174">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eastAsia"/>
                <w:b w:val="0"/>
                <w:bCs w:val="0"/>
                <w:color w:val="000000"/>
                <w:kern w:val="0"/>
                <w:szCs w:val="21"/>
                <w:highlight w:val="none"/>
                <w:lang w:val="en-US" w:eastAsia="zh-CN"/>
              </w:rPr>
            </w:pPr>
            <w:r>
              <w:rPr>
                <w:rFonts w:hint="eastAsia"/>
                <w:b w:val="0"/>
                <w:bCs w:val="0"/>
                <w:color w:val="000000"/>
                <w:kern w:val="0"/>
                <w:szCs w:val="21"/>
                <w:highlight w:val="none"/>
                <w:lang w:val="en-US" w:eastAsia="zh-CN"/>
              </w:rPr>
              <w:t>阻力过大</w:t>
            </w:r>
          </w:p>
        </w:tc>
      </w:tr>
      <w:tr w14:paraId="558312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742" w:type="dxa"/>
            <w:tcBorders>
              <w:tl2br w:val="nil"/>
              <w:tr2bl w:val="nil"/>
            </w:tcBorders>
            <w:shd w:val="clear" w:color="auto" w:fill="auto"/>
            <w:noWrap/>
            <w:vAlign w:val="center"/>
          </w:tcPr>
          <w:p w14:paraId="1E15AAE0">
            <w:pPr>
              <w:keepNext w:val="0"/>
              <w:keepLines w:val="0"/>
              <w:pageBreakBefore w:val="0"/>
              <w:widowControl/>
              <w:numPr>
                <w:ilvl w:val="0"/>
                <w:numId w:val="17"/>
              </w:numPr>
              <w:kinsoku/>
              <w:wordWrap/>
              <w:overflowPunct/>
              <w:topLinePunct w:val="0"/>
              <w:autoSpaceDE/>
              <w:autoSpaceDN/>
              <w:bidi w:val="0"/>
              <w:adjustRightInd w:val="0"/>
              <w:snapToGrid w:val="0"/>
              <w:spacing w:line="360" w:lineRule="auto"/>
              <w:ind w:left="425" w:leftChars="0" w:hanging="425" w:firstLineChars="0"/>
              <w:jc w:val="left"/>
              <w:textAlignment w:val="auto"/>
              <w:rPr>
                <w:b w:val="0"/>
                <w:bCs w:val="0"/>
                <w:color w:val="000000"/>
                <w:kern w:val="0"/>
                <w:szCs w:val="21"/>
                <w:highlight w:val="none"/>
              </w:rPr>
            </w:pPr>
          </w:p>
        </w:tc>
        <w:tc>
          <w:tcPr>
            <w:tcW w:w="2324" w:type="dxa"/>
            <w:tcBorders>
              <w:tl2br w:val="nil"/>
              <w:tr2bl w:val="nil"/>
            </w:tcBorders>
            <w:shd w:val="clear" w:color="auto" w:fill="auto"/>
            <w:noWrap/>
            <w:vAlign w:val="center"/>
          </w:tcPr>
          <w:p w14:paraId="074D676A">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冷却塔换热效能是否偏低</w:t>
            </w:r>
          </w:p>
        </w:tc>
        <w:tc>
          <w:tcPr>
            <w:tcW w:w="1898" w:type="dxa"/>
            <w:tcBorders>
              <w:tl2br w:val="nil"/>
              <w:tr2bl w:val="nil"/>
            </w:tcBorders>
            <w:shd w:val="clear" w:color="auto" w:fill="auto"/>
            <w:noWrap/>
            <w:vAlign w:val="center"/>
          </w:tcPr>
          <w:p w14:paraId="6C8E5DB3">
            <w:pPr>
              <w:keepNext w:val="0"/>
              <w:keepLines w:val="0"/>
              <w:pageBreakBefore w:val="0"/>
              <w:widowControl/>
              <w:kinsoku/>
              <w:wordWrap/>
              <w:overflowPunct/>
              <w:topLinePunct w:val="0"/>
              <w:autoSpaceDE/>
              <w:autoSpaceDN/>
              <w:bidi w:val="0"/>
              <w:adjustRightInd w:val="0"/>
              <w:snapToGrid w:val="0"/>
              <w:spacing w:line="360" w:lineRule="auto"/>
              <w:ind w:firstLine="0" w:firstLineChars="0"/>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冷却塔换热效能</w:t>
            </w:r>
          </w:p>
        </w:tc>
        <w:tc>
          <w:tcPr>
            <w:tcW w:w="1554" w:type="dxa"/>
            <w:tcBorders>
              <w:tl2br w:val="nil"/>
              <w:tr2bl w:val="nil"/>
            </w:tcBorders>
            <w:shd w:val="clear" w:color="auto" w:fill="auto"/>
            <w:noWrap/>
            <w:vAlign w:val="center"/>
          </w:tcPr>
          <w:p w14:paraId="262DE969">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低于初始值的80%</w:t>
            </w:r>
          </w:p>
        </w:tc>
        <w:tc>
          <w:tcPr>
            <w:tcW w:w="1555" w:type="dxa"/>
            <w:tcBorders>
              <w:tl2br w:val="nil"/>
              <w:tr2bl w:val="nil"/>
            </w:tcBorders>
            <w:shd w:val="clear" w:color="auto" w:fill="auto"/>
            <w:noWrap/>
            <w:vAlign w:val="center"/>
          </w:tcPr>
          <w:p w14:paraId="5DD3AED0">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低于初始值的60%</w:t>
            </w:r>
          </w:p>
        </w:tc>
        <w:tc>
          <w:tcPr>
            <w:tcW w:w="1069" w:type="dxa"/>
            <w:tcBorders>
              <w:tl2br w:val="nil"/>
              <w:tr2bl w:val="nil"/>
            </w:tcBorders>
            <w:shd w:val="clear" w:color="auto" w:fill="auto"/>
            <w:noWrap/>
            <w:vAlign w:val="center"/>
          </w:tcPr>
          <w:p w14:paraId="1F443B2B">
            <w:pPr>
              <w:keepNext w:val="0"/>
              <w:keepLines w:val="0"/>
              <w:pageBreakBefore w:val="0"/>
              <w:widowControl/>
              <w:kinsoku/>
              <w:wordWrap/>
              <w:overflowPunct/>
              <w:topLinePunct w:val="0"/>
              <w:autoSpaceDE/>
              <w:autoSpaceDN/>
              <w:bidi w:val="0"/>
              <w:adjustRightInd w:val="0"/>
              <w:snapToGrid w:val="0"/>
              <w:spacing w:line="360" w:lineRule="auto"/>
              <w:jc w:val="left"/>
              <w:textAlignment w:val="auto"/>
              <w:rPr>
                <w:rFonts w:hint="default"/>
                <w:b w:val="0"/>
                <w:bCs w:val="0"/>
                <w:color w:val="000000"/>
                <w:kern w:val="0"/>
                <w:szCs w:val="21"/>
                <w:highlight w:val="none"/>
                <w:lang w:val="en-US" w:eastAsia="zh-CN"/>
              </w:rPr>
            </w:pPr>
            <w:r>
              <w:rPr>
                <w:rFonts w:hint="eastAsia"/>
                <w:b w:val="0"/>
                <w:bCs w:val="0"/>
                <w:color w:val="000000"/>
                <w:kern w:val="0"/>
                <w:szCs w:val="21"/>
                <w:highlight w:val="none"/>
                <w:lang w:val="en-US" w:eastAsia="zh-CN"/>
              </w:rPr>
              <w:t>阻力过大</w:t>
            </w:r>
          </w:p>
        </w:tc>
      </w:tr>
    </w:tbl>
    <w:p w14:paraId="6CEF4A32">
      <w:pPr>
        <w:tabs>
          <w:tab w:val="left" w:pos="2936"/>
        </w:tabs>
        <w:bidi w:val="0"/>
        <w:jc w:val="left"/>
        <w:rPr>
          <w:rFonts w:hint="eastAsia" w:ascii="Times New Roman" w:hAnsi="Times New Roman" w:eastAsia="宋体" w:cs="Times New Roman"/>
          <w:kern w:val="2"/>
          <w:sz w:val="21"/>
          <w:szCs w:val="24"/>
          <w:highlight w:val="none"/>
          <w:lang w:val="en-US" w:eastAsia="zh-CN" w:bidi="ar-SA"/>
        </w:rPr>
      </w:pPr>
    </w:p>
    <w:p w14:paraId="6A07B215">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4E18347F">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eastAsia="楷体" w:cs="Times New Roman"/>
          <w:b w:val="0"/>
          <w:bCs/>
          <w:color w:val="000000" w:themeColor="text1"/>
          <w:kern w:val="0"/>
          <w:sz w:val="24"/>
          <w:szCs w:val="24"/>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表6.2.2所列评价项，难以即时判断，因而在时段评价中才对此告警进行判断。</w:t>
      </w:r>
    </w:p>
    <w:p w14:paraId="1654ED76">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eastAsia="楷体" w:cs="Times New Roman"/>
          <w:b w:val="0"/>
          <w:bCs/>
          <w:color w:val="000000" w:themeColor="text1"/>
          <w:kern w:val="0"/>
          <w:sz w:val="24"/>
          <w:szCs w:val="24"/>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制冷机组蒸发器换热效能=冷冻水进出口温差/（冷冻水进口温度-蒸发温度）；</w:t>
      </w:r>
    </w:p>
    <w:p w14:paraId="63DA7859">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eastAsia" w:eastAsia="楷体" w:cs="Times New Roman"/>
          <w:b w:val="0"/>
          <w:bCs/>
          <w:color w:val="000000" w:themeColor="text1"/>
          <w:kern w:val="0"/>
          <w:sz w:val="24"/>
          <w:szCs w:val="24"/>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制冷机组冷凝器换热效能=冷却水进出口温差/（冷凝温度-冷冻水进口温度）；</w:t>
      </w:r>
    </w:p>
    <w:p w14:paraId="0E809BC3">
      <w:pPr>
        <w:keepNext w:val="0"/>
        <w:keepLines w:val="0"/>
        <w:pageBreakBefore w:val="0"/>
        <w:widowControl w:val="0"/>
        <w:kinsoku/>
        <w:wordWrap/>
        <w:overflowPunct/>
        <w:topLinePunct w:val="0"/>
        <w:autoSpaceDE/>
        <w:autoSpaceDN/>
        <w:bidi w:val="0"/>
        <w:adjustRightInd/>
        <w:snapToGrid w:val="0"/>
        <w:spacing w:line="360" w:lineRule="auto"/>
        <w:jc w:val="left"/>
        <w:textAlignment w:val="auto"/>
        <w:rPr>
          <w:rFonts w:hint="default" w:eastAsia="楷体" w:cs="Times New Roman"/>
          <w:b w:val="0"/>
          <w:bCs/>
          <w:color w:val="000000" w:themeColor="text1"/>
          <w:kern w:val="0"/>
          <w:sz w:val="24"/>
          <w:szCs w:val="24"/>
          <w:highlight w:val="none"/>
          <w:lang w:val="en-US" w:eastAsia="zh-CN"/>
          <w14:textFill>
            <w14:solidFill>
              <w14:schemeClr w14:val="tx1"/>
            </w14:solidFill>
          </w14:textFill>
        </w:rPr>
      </w:pPr>
      <w:r>
        <w:rPr>
          <w:rFonts w:hint="eastAsia" w:eastAsia="楷体" w:cs="Times New Roman"/>
          <w:b w:val="0"/>
          <w:bCs/>
          <w:color w:val="000000" w:themeColor="text1"/>
          <w:kern w:val="0"/>
          <w:sz w:val="24"/>
          <w:szCs w:val="24"/>
          <w:highlight w:val="none"/>
          <w:lang w:val="en-US" w:eastAsia="zh-CN"/>
          <w14:textFill>
            <w14:solidFill>
              <w14:schemeClr w14:val="tx1"/>
            </w14:solidFill>
          </w14:textFill>
        </w:rPr>
        <w:t>冷却塔换热效能=冷却水进出口温差/（冷却水进口温度-湿球温度）。</w:t>
      </w:r>
    </w:p>
    <w:p w14:paraId="7046D4DA">
      <w:pPr>
        <w:keepNext w:val="0"/>
        <w:keepLines w:val="0"/>
        <w:pageBreakBefore w:val="0"/>
        <w:widowControl w:val="0"/>
        <w:kinsoku/>
        <w:wordWrap/>
        <w:overflowPunct/>
        <w:topLinePunct w:val="0"/>
        <w:autoSpaceDE/>
        <w:autoSpaceDN/>
        <w:bidi w:val="0"/>
        <w:adjustRightInd/>
        <w:snapToGrid w:val="0"/>
        <w:spacing w:before="157" w:beforeLines="50" w:line="360" w:lineRule="auto"/>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bCs w:val="0"/>
          <w:color w:val="000000" w:themeColor="text1"/>
          <w:kern w:val="0"/>
          <w:sz w:val="24"/>
          <w:szCs w:val="21"/>
          <w:highlight w:val="none"/>
          <w:lang w:val="en-US" w:eastAsia="zh-CN"/>
          <w14:textFill>
            <w14:solidFill>
              <w14:schemeClr w14:val="tx1"/>
            </w14:solidFill>
          </w14:textFill>
        </w:rPr>
        <w:t>6</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2</w:t>
      </w:r>
      <w:r>
        <w:rPr>
          <w:b/>
          <w:bCs w:val="0"/>
          <w:color w:val="000000" w:themeColor="text1"/>
          <w:kern w:val="0"/>
          <w:sz w:val="24"/>
          <w:szCs w:val="21"/>
          <w:highlight w:val="none"/>
          <w14:textFill>
            <w14:solidFill>
              <w14:schemeClr w14:val="tx1"/>
            </w14:solidFill>
          </w14:textFill>
        </w:rPr>
        <w:t>.</w:t>
      </w:r>
      <w:r>
        <w:rPr>
          <w:rFonts w:hint="eastAsia"/>
          <w:b/>
          <w:bCs w:val="0"/>
          <w:color w:val="000000" w:themeColor="text1"/>
          <w:kern w:val="0"/>
          <w:sz w:val="24"/>
          <w:szCs w:val="21"/>
          <w:highlight w:val="none"/>
          <w:lang w:val="en-US" w:eastAsia="zh-CN"/>
          <w14:textFill>
            <w14:solidFill>
              <w14:schemeClr w14:val="tx1"/>
            </w14:solidFill>
          </w14:textFill>
        </w:rPr>
        <w:t>3</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时段节能性评价得分应按下式计算：</w:t>
      </w:r>
    </w:p>
    <w:p w14:paraId="3F303CD3">
      <w:pPr>
        <w:keepNext w:val="0"/>
        <w:keepLines w:val="0"/>
        <w:pageBreakBefore w:val="0"/>
        <w:widowControl w:val="0"/>
        <w:kinsoku/>
        <w:wordWrap/>
        <w:overflowPunct/>
        <w:topLinePunct w:val="0"/>
        <w:autoSpaceDE/>
        <w:autoSpaceDN/>
        <w:bidi w:val="0"/>
        <w:adjustRightInd/>
        <w:snapToGrid w:val="0"/>
        <w:spacing w:line="360" w:lineRule="auto"/>
        <w:ind w:left="420" w:leftChars="200"/>
        <w:jc w:val="righ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position w:val="-28"/>
          <w:sz w:val="24"/>
          <w:szCs w:val="21"/>
          <w:highlight w:val="none"/>
          <w:lang w:val="en-US" w:eastAsia="zh-CN"/>
          <w14:textFill>
            <w14:solidFill>
              <w14:schemeClr w14:val="tx1"/>
            </w14:solidFill>
          </w14:textFill>
        </w:rPr>
        <w:object>
          <v:shape id="_x0000_i1030" o:spt="75" type="#_x0000_t75" style="height:34pt;width:78pt;" o:ole="t" filled="f" o:preferrelative="t" stroked="f" coordsize="21600,21600">
            <v:path/>
            <v:fill on="f" focussize="0,0"/>
            <v:stroke on="f"/>
            <v:imagedata r:id="rId25" o:title=""/>
            <o:lock v:ext="edit" aspectratio="t"/>
            <w10:wrap type="none"/>
            <w10:anchorlock/>
          </v:shape>
          <o:OLEObject Type="Embed" ProgID="Equation.KSEE3" ShapeID="_x0000_i1030" DrawAspect="Content" ObjectID="_1468075730" r:id="rId24">
            <o:LockedField>false</o:LockedField>
          </o:OLEObject>
        </w:object>
      </w:r>
      <w:r>
        <w:rPr>
          <w:rFonts w:hint="eastAsia"/>
          <w:b w:val="0"/>
          <w:bCs/>
          <w:color w:val="000000" w:themeColor="text1"/>
          <w:kern w:val="0"/>
          <w:sz w:val="24"/>
          <w:szCs w:val="21"/>
          <w:highlight w:val="none"/>
          <w:lang w:val="en-US" w:eastAsia="zh-CN"/>
          <w14:textFill>
            <w14:solidFill>
              <w14:schemeClr w14:val="tx1"/>
            </w14:solidFill>
          </w14:textFill>
        </w:rPr>
        <w:t xml:space="preserve">                                        （6.1.2）</w:t>
      </w:r>
    </w:p>
    <w:p w14:paraId="7E3E8C47">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p>
    <w:p w14:paraId="03A9E0A6">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i</w:t>
      </w:r>
      <w:r>
        <w:rPr>
          <w:rFonts w:hint="eastAsia"/>
          <w:b w:val="0"/>
          <w:bCs/>
          <w:color w:val="000000" w:themeColor="text1"/>
          <w:kern w:val="0"/>
          <w:sz w:val="24"/>
          <w:szCs w:val="21"/>
          <w:highlight w:val="none"/>
          <w:lang w:val="en-US" w:eastAsia="zh-CN"/>
          <w14:textFill>
            <w14:solidFill>
              <w14:schemeClr w14:val="tx1"/>
            </w14:solidFill>
          </w14:textFill>
        </w:rPr>
        <w:t>——时段功能性评价得分；</w:t>
      </w:r>
    </w:p>
    <w:p w14:paraId="40E68133">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A——表6.1.1和表6.2.2中所列各评价项得分，如未告警得100分，如发生一般时段告警得70分，如发生严重时段告警得40分，如未监测得40分；</w:t>
      </w:r>
    </w:p>
    <w:p w14:paraId="043BD66A">
      <w:pPr>
        <w:keepNext w:val="0"/>
        <w:keepLines w:val="0"/>
        <w:pageBreakBefore w:val="0"/>
        <w:widowControl w:val="0"/>
        <w:kinsoku/>
        <w:wordWrap/>
        <w:overflowPunct/>
        <w:topLinePunct w:val="0"/>
        <w:autoSpaceDE/>
        <w:autoSpaceDN/>
        <w:bidi w:val="0"/>
        <w:adjustRightInd/>
        <w:snapToGrid w:val="0"/>
        <w:spacing w:line="360" w:lineRule="auto"/>
        <w:ind w:left="420" w:leftChars="200"/>
        <w:jc w:val="left"/>
        <w:textAlignment w:val="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n</w:t>
      </w:r>
      <w:r>
        <w:rPr>
          <w:rFonts w:hint="eastAsia"/>
          <w:b w:val="0"/>
          <w:bCs/>
          <w:color w:val="000000" w:themeColor="text1"/>
          <w:kern w:val="0"/>
          <w:sz w:val="24"/>
          <w:szCs w:val="21"/>
          <w:highlight w:val="none"/>
          <w:lang w:val="en-US" w:eastAsia="zh-CN"/>
          <w14:textFill>
            <w14:solidFill>
              <w14:schemeClr w14:val="tx1"/>
            </w14:solidFill>
          </w14:textFill>
        </w:rPr>
        <w:t>——评价项的数量。</w:t>
      </w:r>
    </w:p>
    <w:p w14:paraId="1907D246">
      <w:pPr>
        <w:rPr>
          <w:highlight w:val="none"/>
        </w:rPr>
      </w:pPr>
    </w:p>
    <w:p w14:paraId="7D6B1B58">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p>
    <w:p w14:paraId="0D7D4332">
      <w:pPr>
        <w:rPr>
          <w:rFonts w:eastAsia="黑体"/>
          <w:bCs/>
          <w:kern w:val="0"/>
          <w:sz w:val="28"/>
          <w:highlight w:val="none"/>
        </w:rPr>
      </w:pPr>
      <w:r>
        <w:rPr>
          <w:rFonts w:eastAsia="黑体"/>
          <w:bCs/>
          <w:kern w:val="0"/>
          <w:sz w:val="28"/>
          <w:highlight w:val="none"/>
        </w:rPr>
        <w:br w:type="page"/>
      </w:r>
    </w:p>
    <w:p w14:paraId="44EE2D23">
      <w:pPr>
        <w:spacing w:after="240"/>
        <w:jc w:val="center"/>
        <w:outlineLvl w:val="0"/>
        <w:rPr>
          <w:rFonts w:hint="default" w:eastAsia="黑体"/>
          <w:bCs/>
          <w:kern w:val="0"/>
          <w:sz w:val="28"/>
          <w:highlight w:val="none"/>
          <w:lang w:val="en-US" w:eastAsia="zh-CN"/>
        </w:rPr>
      </w:pPr>
      <w:bookmarkStart w:id="40" w:name="_Toc31960"/>
      <w:r>
        <w:rPr>
          <w:rFonts w:eastAsia="黑体"/>
          <w:bCs/>
          <w:kern w:val="0"/>
          <w:sz w:val="28"/>
          <w:highlight w:val="none"/>
        </w:rPr>
        <w:t xml:space="preserve">7 </w:t>
      </w:r>
      <w:r>
        <w:rPr>
          <w:rFonts w:hint="eastAsia" w:eastAsia="黑体"/>
          <w:bCs/>
          <w:kern w:val="0"/>
          <w:sz w:val="28"/>
          <w:highlight w:val="none"/>
          <w:lang w:val="en-US" w:eastAsia="zh-CN"/>
        </w:rPr>
        <w:t>总体评价</w:t>
      </w:r>
      <w:bookmarkEnd w:id="40"/>
    </w:p>
    <w:bookmarkEnd w:id="39"/>
    <w:p w14:paraId="1A212815">
      <w:pPr>
        <w:spacing w:line="360" w:lineRule="auto"/>
        <w:rPr>
          <w:rFonts w:hint="eastAsia"/>
          <w:b w:val="0"/>
          <w:bCs/>
          <w:color w:val="000000" w:themeColor="text1"/>
          <w:kern w:val="0"/>
          <w:sz w:val="24"/>
          <w:szCs w:val="21"/>
          <w:highlight w:val="none"/>
          <w:lang w:val="en-US" w:eastAsia="zh-CN"/>
          <w14:textFill>
            <w14:solidFill>
              <w14:schemeClr w14:val="tx1"/>
            </w14:solidFill>
          </w14:textFill>
        </w:rPr>
      </w:pPr>
      <w:r>
        <w:rPr>
          <w:b/>
          <w:bCs w:val="0"/>
          <w:color w:val="000000" w:themeColor="text1"/>
          <w:kern w:val="0"/>
          <w:sz w:val="24"/>
          <w:szCs w:val="21"/>
          <w:highlight w:val="none"/>
          <w14:textFill>
            <w14:solidFill>
              <w14:schemeClr w14:val="tx1"/>
            </w14:solidFill>
          </w14:textFill>
        </w:rPr>
        <w:t xml:space="preserve">7.0.1 </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制冷机房运行状态总体评价分为即时评价和时段评价。</w:t>
      </w:r>
    </w:p>
    <w:p w14:paraId="1F58F754">
      <w:pPr>
        <w:spacing w:line="360" w:lineRule="auto"/>
        <w:rPr>
          <w:rFonts w:hint="eastAsia"/>
          <w:b w:val="0"/>
          <w:bCs/>
          <w:color w:val="000000" w:themeColor="text1"/>
          <w:kern w:val="0"/>
          <w:sz w:val="24"/>
          <w:szCs w:val="21"/>
          <w:highlight w:val="none"/>
          <w:lang w:val="en-US" w:eastAsia="zh-CN"/>
          <w14:textFill>
            <w14:solidFill>
              <w14:schemeClr w14:val="tx1"/>
            </w14:solidFill>
          </w14:textFill>
        </w:rPr>
      </w:pPr>
      <w:r>
        <w:rPr>
          <w:b/>
          <w:bCs w:val="0"/>
          <w:color w:val="000000" w:themeColor="text1"/>
          <w:kern w:val="0"/>
          <w:sz w:val="24"/>
          <w:szCs w:val="21"/>
          <w:highlight w:val="none"/>
          <w14:textFill>
            <w14:solidFill>
              <w14:schemeClr w14:val="tx1"/>
            </w14:solidFill>
          </w14:textFill>
        </w:rPr>
        <w:t xml:space="preserve">7.0.2 </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制冷机房运行状态总体即时评价应基于即时安全性、即时功能性和即时节能性评价的评分进行。</w:t>
      </w:r>
      <w:r>
        <w:rPr>
          <w:b w:val="0"/>
          <w:bCs/>
          <w:color w:val="000000" w:themeColor="text1"/>
          <w:kern w:val="0"/>
          <w:sz w:val="24"/>
          <w:szCs w:val="21"/>
          <w:highlight w:val="none"/>
          <w14:textFill>
            <w14:solidFill>
              <w14:schemeClr w14:val="tx1"/>
            </w14:solidFill>
          </w14:textFill>
        </w:rPr>
        <w:t xml:space="preserve"> </w:t>
      </w:r>
      <w:r>
        <w:rPr>
          <w:rFonts w:hint="eastAsia"/>
          <w:b w:val="0"/>
          <w:bCs/>
          <w:color w:val="000000" w:themeColor="text1"/>
          <w:kern w:val="0"/>
          <w:sz w:val="24"/>
          <w:szCs w:val="21"/>
          <w:highlight w:val="none"/>
          <w:lang w:val="en-US" w:eastAsia="zh-CN"/>
          <w14:textFill>
            <w14:solidFill>
              <w14:schemeClr w14:val="tx1"/>
            </w14:solidFill>
          </w14:textFill>
        </w:rPr>
        <w:t>制冷机房运行状态总体时段评价应基于时段安全性、时段功能性和时段节能性评价的评分进行。</w:t>
      </w:r>
    </w:p>
    <w:p w14:paraId="3D9E5522">
      <w:pPr>
        <w:spacing w:line="360" w:lineRule="auto"/>
        <w:rPr>
          <w:rFonts w:hint="default"/>
          <w:b w:val="0"/>
          <w:bCs/>
          <w:color w:val="000000" w:themeColor="text1"/>
          <w:kern w:val="0"/>
          <w:sz w:val="24"/>
          <w:szCs w:val="21"/>
          <w:highlight w:val="none"/>
          <w:lang w:val="en-US" w:eastAsia="zh-CN"/>
          <w14:textFill>
            <w14:solidFill>
              <w14:schemeClr w14:val="tx1"/>
            </w14:solidFill>
          </w14:textFill>
        </w:rPr>
      </w:pPr>
      <w:r>
        <w:rPr>
          <w:rFonts w:hint="eastAsia"/>
          <w:b/>
          <w:bCs w:val="0"/>
          <w:color w:val="000000" w:themeColor="text1"/>
          <w:kern w:val="0"/>
          <w:sz w:val="24"/>
          <w:szCs w:val="21"/>
          <w:highlight w:val="none"/>
          <w:lang w:val="en-US" w:eastAsia="zh-CN"/>
          <w14:textFill>
            <w14:solidFill>
              <w14:schemeClr w14:val="tx1"/>
            </w14:solidFill>
          </w14:textFill>
        </w:rPr>
        <w:t xml:space="preserve">7.0.3  </w:t>
      </w:r>
      <w:r>
        <w:rPr>
          <w:rFonts w:hint="eastAsia"/>
          <w:b w:val="0"/>
          <w:bCs/>
          <w:color w:val="000000" w:themeColor="text1"/>
          <w:kern w:val="0"/>
          <w:sz w:val="24"/>
          <w:szCs w:val="21"/>
          <w:highlight w:val="none"/>
          <w:lang w:val="en-US" w:eastAsia="zh-CN"/>
          <w14:textFill>
            <w14:solidFill>
              <w14:schemeClr w14:val="tx1"/>
            </w14:solidFill>
          </w14:textFill>
        </w:rPr>
        <w:t>制冷机房运行状态总体评价应按下列公式进行计算：</w:t>
      </w:r>
    </w:p>
    <w:p w14:paraId="61AFF6FA">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1. 计算安全性评价得分在100~70分、70~40分及40~0分三个区间内的扣分值</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1</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及</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p>
    <w:p w14:paraId="5079A5F5">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0" w:leftChars="0"/>
        <w:jc w:val="right"/>
        <w:textAlignment w:val="auto"/>
        <w:rPr>
          <w:rFonts w:hint="default" w:eastAsia="宋体"/>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w:t>
      </w: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1" o:spt="75" type="#_x0000_t75" style="height:18.15pt;width:115.05pt;" o:ole="t" filled="f" o:preferrelative="t" stroked="f" coordsize="21600,21600">
            <v:path/>
            <v:fill on="f" focussize="0,0"/>
            <v:stroke on="f"/>
            <v:imagedata r:id="rId27" o:title=""/>
            <o:lock v:ext="edit" aspectratio="t"/>
            <w10:wrap type="none"/>
            <w10:anchorlock/>
          </v:shape>
          <o:OLEObject Type="Embed" ProgID="Equation.KSEE3" ShapeID="_x0000_i1031" DrawAspect="Content" ObjectID="_1468075731" r:id="rId26">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w:t>
      </w:r>
      <w:r>
        <w:rPr>
          <w:rFonts w:hint="eastAsia"/>
          <w:b w:val="0"/>
          <w:bCs/>
          <w:color w:val="000000" w:themeColor="text1"/>
          <w:kern w:val="0"/>
          <w:position w:val="-12"/>
          <w:sz w:val="24"/>
          <w:szCs w:val="21"/>
          <w:highlight w:val="none"/>
          <w:lang w:eastAsia="zh-CN"/>
          <w14:textFill>
            <w14:solidFill>
              <w14:schemeClr w14:val="tx1"/>
            </w14:solidFill>
          </w14:textFill>
        </w:rPr>
        <w:t>（</w:t>
      </w:r>
      <w:r>
        <w:rPr>
          <w:rFonts w:hint="eastAsia"/>
          <w:b w:val="0"/>
          <w:bCs/>
          <w:color w:val="000000" w:themeColor="text1"/>
          <w:kern w:val="0"/>
          <w:position w:val="-12"/>
          <w:sz w:val="24"/>
          <w:szCs w:val="21"/>
          <w:highlight w:val="none"/>
          <w:lang w:val="en-US" w:eastAsia="zh-CN"/>
          <w14:textFill>
            <w14:solidFill>
              <w14:schemeClr w14:val="tx1"/>
            </w14:solidFill>
          </w14:textFill>
        </w:rPr>
        <w:t>7.0.2-1）</w:t>
      </w:r>
    </w:p>
    <w:p w14:paraId="6F221AA1">
      <w:pPr>
        <w:keepNext w:val="0"/>
        <w:keepLines w:val="0"/>
        <w:pageBreakBefore w:val="0"/>
        <w:widowControl w:val="0"/>
        <w:kinsoku/>
        <w:wordWrap/>
        <w:overflowPunct/>
        <w:topLinePunct w:val="0"/>
        <w:autoSpaceDE/>
        <w:autoSpaceDN/>
        <w:bidi w:val="0"/>
        <w:adjustRightInd/>
        <w:snapToGrid/>
        <w:spacing w:line="360" w:lineRule="auto"/>
        <w:ind w:left="0" w:leftChars="0"/>
        <w:jc w:val="right"/>
        <w:textAlignment w:val="auto"/>
        <w:rPr>
          <w:rFonts w:hint="default" w:eastAsia="宋体"/>
          <w:b w:val="0"/>
          <w:bCs/>
          <w:color w:val="000000" w:themeColor="text1"/>
          <w:kern w:val="0"/>
          <w:sz w:val="24"/>
          <w:szCs w:val="21"/>
          <w:highlight w:val="none"/>
          <w:lang w:val="en-US"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2" o:spt="75" type="#_x0000_t75" style="height:18pt;width:105pt;" o:ole="t" filled="f" o:preferrelative="t" stroked="f" coordsize="21600,21600">
            <v:path/>
            <v:fill on="f" focussize="0,0"/>
            <v:stroke on="f"/>
            <v:imagedata r:id="rId29" o:title=""/>
            <o:lock v:ext="edit" aspectratio="t"/>
            <w10:wrap type="none"/>
            <w10:anchorlock/>
          </v:shape>
          <o:OLEObject Type="Embed" ProgID="Equation.KSEE3" ShapeID="_x0000_i1032" DrawAspect="Content" ObjectID="_1468075732" r:id="rId28">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（7.0.2-2）</w:t>
      </w:r>
    </w:p>
    <w:p w14:paraId="36F4FFF1">
      <w:pPr>
        <w:keepNext w:val="0"/>
        <w:keepLines w:val="0"/>
        <w:pageBreakBefore w:val="0"/>
        <w:widowControl w:val="0"/>
        <w:kinsoku/>
        <w:wordWrap/>
        <w:overflowPunct/>
        <w:topLinePunct w:val="0"/>
        <w:autoSpaceDE/>
        <w:autoSpaceDN/>
        <w:bidi w:val="0"/>
        <w:adjustRightInd/>
        <w:snapToGrid/>
        <w:spacing w:line="360" w:lineRule="auto"/>
        <w:ind w:left="0" w:leftChars="0"/>
        <w:jc w:val="right"/>
        <w:textAlignment w:val="auto"/>
        <w:rPr>
          <w:rFonts w:hint="eastAsia"/>
          <w:b w:val="0"/>
          <w:bCs/>
          <w:color w:val="000000" w:themeColor="text1"/>
          <w:kern w:val="0"/>
          <w:position w:val="-12"/>
          <w:sz w:val="24"/>
          <w:szCs w:val="21"/>
          <w:highlight w:val="none"/>
          <w:lang w:val="en-US"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3" o:spt="75" type="#_x0000_t75" style="height:18pt;width:107pt;" o:ole="t" filled="f" o:preferrelative="t" stroked="f" coordsize="21600,21600">
            <v:path/>
            <v:fill on="f" focussize="0,0"/>
            <v:stroke on="f"/>
            <v:imagedata r:id="rId31" o:title=""/>
            <o:lock v:ext="edit" aspectratio="t"/>
            <w10:wrap type="none"/>
            <w10:anchorlock/>
          </v:shape>
          <o:OLEObject Type="Embed" ProgID="Equation.KSEE3" ShapeID="_x0000_i1033" DrawAspect="Content" ObjectID="_1468075733" r:id="rId30">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（7.0.2-3）</w:t>
      </w:r>
    </w:p>
    <w:p w14:paraId="03D5629E">
      <w:pPr>
        <w:keepNext w:val="0"/>
        <w:keepLines w:val="0"/>
        <w:pageBreakBefore w:val="0"/>
        <w:widowControl w:val="0"/>
        <w:kinsoku/>
        <w:wordWrap/>
        <w:overflowPunct/>
        <w:topLinePunct w:val="0"/>
        <w:autoSpaceDE/>
        <w:autoSpaceDN/>
        <w:bidi w:val="0"/>
        <w:adjustRightInd/>
        <w:snapToGrid/>
        <w:spacing w:line="360" w:lineRule="auto"/>
        <w:ind w:left="0" w:leftChars="0"/>
        <w:jc w:val="left"/>
        <w:textAlignment w:val="auto"/>
        <w:rPr>
          <w:rFonts w:hint="default"/>
          <w:b w:val="0"/>
          <w:bCs/>
          <w:color w:val="000000" w:themeColor="text1"/>
          <w:kern w:val="0"/>
          <w:position w:val="-12"/>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0</w:t>
      </w:r>
      <w:r>
        <w:rPr>
          <w:rFonts w:hint="eastAsia"/>
          <w:b w:val="0"/>
          <w:bCs/>
          <w:color w:val="000000" w:themeColor="text1"/>
          <w:kern w:val="0"/>
          <w:sz w:val="24"/>
          <w:szCs w:val="21"/>
          <w:highlight w:val="none"/>
          <w:lang w:val="en-US" w:eastAsia="zh-CN"/>
          <w14:textFill>
            <w14:solidFill>
              <w14:schemeClr w14:val="tx1"/>
            </w14:solidFill>
          </w14:textFill>
        </w:rPr>
        <w:t>为安全性评价得分。</w:t>
      </w:r>
    </w:p>
    <w:p w14:paraId="4B779C15">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2. 计算功能性评价得分在100~70分、70~40分及40~0分三个区间内的扣分值</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1</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及</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p>
    <w:p w14:paraId="0E596942">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0" w:leftChars="0"/>
        <w:jc w:val="right"/>
        <w:textAlignment w:val="auto"/>
        <w:rPr>
          <w:rFonts w:hint="default" w:eastAsia="宋体"/>
          <w:b w:val="0"/>
          <w:bCs/>
          <w:color w:val="000000" w:themeColor="text1"/>
          <w:kern w:val="0"/>
          <w:position w:val="-12"/>
          <w:sz w:val="24"/>
          <w:szCs w:val="21"/>
          <w:highlight w:val="none"/>
          <w:lang w:val="en-US"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4" o:spt="75" type="#_x0000_t75" style="height:18pt;width:113pt;" o:ole="t" filled="f" o:preferrelative="t" stroked="f" coordsize="21600,21600">
            <v:path/>
            <v:fill on="f" focussize="0,0"/>
            <v:stroke on="f"/>
            <v:imagedata r:id="rId33" o:title=""/>
            <o:lock v:ext="edit" aspectratio="t"/>
            <w10:wrap type="none"/>
            <w10:anchorlock/>
          </v:shape>
          <o:OLEObject Type="Embed" ProgID="Equation.KSEE3" ShapeID="_x0000_i1034" DrawAspect="Content" ObjectID="_1468075734" r:id="rId32">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（7.0.2-4）</w:t>
      </w:r>
    </w:p>
    <w:p w14:paraId="407BF9AD">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0" w:leftChars="0"/>
        <w:jc w:val="right"/>
        <w:textAlignment w:val="auto"/>
        <w:rPr>
          <w:rFonts w:hint="eastAsia" w:eastAsia="宋体"/>
          <w:b w:val="0"/>
          <w:bCs/>
          <w:color w:val="000000" w:themeColor="text1"/>
          <w:kern w:val="0"/>
          <w:position w:val="-12"/>
          <w:sz w:val="24"/>
          <w:szCs w:val="21"/>
          <w:highlight w:val="none"/>
          <w:lang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5" o:spt="75" type="#_x0000_t75" style="height:18pt;width:108pt;" o:ole="t" filled="f" o:preferrelative="t" stroked="f" coordsize="21600,21600">
            <v:path/>
            <v:fill on="f" focussize="0,0"/>
            <v:stroke on="f"/>
            <v:imagedata r:id="rId35" o:title=""/>
            <o:lock v:ext="edit" aspectratio="t"/>
            <w10:wrap type="none"/>
            <w10:anchorlock/>
          </v:shape>
          <o:OLEObject Type="Embed" ProgID="Equation.KSEE3" ShapeID="_x0000_i1035" DrawAspect="Content" ObjectID="_1468075735" r:id="rId34">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（7.0.2-5）</w:t>
      </w:r>
    </w:p>
    <w:p w14:paraId="3B3A5502">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0" w:leftChars="0"/>
        <w:jc w:val="right"/>
        <w:textAlignment w:val="auto"/>
        <w:rPr>
          <w:rFonts w:hint="eastAsia"/>
          <w:b w:val="0"/>
          <w:bCs/>
          <w:color w:val="000000" w:themeColor="text1"/>
          <w:kern w:val="0"/>
          <w:position w:val="-12"/>
          <w:sz w:val="24"/>
          <w:szCs w:val="21"/>
          <w:highlight w:val="none"/>
          <w:lang w:val="en-US"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6" o:spt="75" type="#_x0000_t75" style="height:18pt;width:103pt;" o:ole="t" filled="f" o:preferrelative="t" stroked="f" coordsize="21600,21600">
            <v:path/>
            <v:fill on="f" focussize="0,0"/>
            <v:stroke on="f"/>
            <v:imagedata r:id="rId37" o:title=""/>
            <o:lock v:ext="edit" aspectratio="t"/>
            <w10:wrap type="none"/>
            <w10:anchorlock/>
          </v:shape>
          <o:OLEObject Type="Embed" ProgID="Equation.KSEE3" ShapeID="_x0000_i1036" DrawAspect="Content" ObjectID="_1468075736" r:id="rId36">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（7.0.2-6）</w:t>
      </w:r>
    </w:p>
    <w:p w14:paraId="646FD746">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0" w:leftChars="0"/>
        <w:jc w:val="left"/>
        <w:textAlignment w:val="auto"/>
        <w:rPr>
          <w:rFonts w:hint="eastAsia"/>
          <w:b w:val="0"/>
          <w:bCs/>
          <w:color w:val="000000" w:themeColor="text1"/>
          <w:kern w:val="0"/>
          <w:position w:val="-12"/>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0</w:t>
      </w:r>
      <w:r>
        <w:rPr>
          <w:rFonts w:hint="eastAsia"/>
          <w:b w:val="0"/>
          <w:bCs/>
          <w:color w:val="000000" w:themeColor="text1"/>
          <w:kern w:val="0"/>
          <w:sz w:val="24"/>
          <w:szCs w:val="21"/>
          <w:highlight w:val="none"/>
          <w:lang w:val="en-US" w:eastAsia="zh-CN"/>
          <w14:textFill>
            <w14:solidFill>
              <w14:schemeClr w14:val="tx1"/>
            </w14:solidFill>
          </w14:textFill>
        </w:rPr>
        <w:t>为安全性评价得分。</w:t>
      </w:r>
    </w:p>
    <w:p w14:paraId="31A1DB55">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3. 计算节能性评价得分在100~70分、70~40分及40~0分三个区间内的扣分值</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1</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及</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p>
    <w:p w14:paraId="67AAFA2B">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0" w:leftChars="0"/>
        <w:jc w:val="right"/>
        <w:textAlignment w:val="auto"/>
        <w:rPr>
          <w:rFonts w:hint="default" w:eastAsia="宋体"/>
          <w:b w:val="0"/>
          <w:bCs/>
          <w:color w:val="000000" w:themeColor="text1"/>
          <w:kern w:val="0"/>
          <w:position w:val="-12"/>
          <w:sz w:val="24"/>
          <w:szCs w:val="21"/>
          <w:highlight w:val="none"/>
          <w:lang w:val="en-US"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7" o:spt="75" type="#_x0000_t75" style="height:18pt;width:114.95pt;" o:ole="t" filled="f" o:preferrelative="t" stroked="f" coordsize="21600,21600">
            <v:path/>
            <v:fill on="f" focussize="0,0"/>
            <v:stroke on="f"/>
            <v:imagedata r:id="rId39" o:title=""/>
            <o:lock v:ext="edit" aspectratio="t"/>
            <w10:wrap type="none"/>
            <w10:anchorlock/>
          </v:shape>
          <o:OLEObject Type="Embed" ProgID="Equation.KSEE3" ShapeID="_x0000_i1037" DrawAspect="Content" ObjectID="_1468075737" r:id="rId38">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（7.0.2-7）</w:t>
      </w:r>
    </w:p>
    <w:p w14:paraId="06620CCE">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0" w:leftChars="0"/>
        <w:jc w:val="right"/>
        <w:textAlignment w:val="auto"/>
        <w:rPr>
          <w:rFonts w:hint="eastAsia" w:eastAsia="宋体"/>
          <w:b w:val="0"/>
          <w:bCs/>
          <w:color w:val="000000" w:themeColor="text1"/>
          <w:kern w:val="0"/>
          <w:position w:val="-12"/>
          <w:sz w:val="24"/>
          <w:szCs w:val="21"/>
          <w:highlight w:val="none"/>
          <w:lang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8" o:spt="75" type="#_x0000_t75" style="height:18pt;width:105pt;" o:ole="t" filled="f" o:preferrelative="t" stroked="f" coordsize="21600,21600">
            <v:path/>
            <v:fill on="f" focussize="0,0"/>
            <v:stroke on="f"/>
            <v:imagedata r:id="rId41" o:title=""/>
            <o:lock v:ext="edit" aspectratio="t"/>
            <w10:wrap type="none"/>
            <w10:anchorlock/>
          </v:shape>
          <o:OLEObject Type="Embed" ProgID="Equation.KSEE3" ShapeID="_x0000_i1038" DrawAspect="Content" ObjectID="_1468075738" r:id="rId40">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（7.0.2-8）</w:t>
      </w:r>
    </w:p>
    <w:p w14:paraId="45FE7DE7">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0" w:leftChars="0"/>
        <w:jc w:val="right"/>
        <w:textAlignment w:val="auto"/>
        <w:rPr>
          <w:rFonts w:hint="eastAsia" w:eastAsia="宋体"/>
          <w:b w:val="0"/>
          <w:bCs/>
          <w:color w:val="000000" w:themeColor="text1"/>
          <w:kern w:val="0"/>
          <w:position w:val="-12"/>
          <w:sz w:val="24"/>
          <w:szCs w:val="21"/>
          <w:highlight w:val="none"/>
          <w:lang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39" o:spt="75" type="#_x0000_t75" style="height:18pt;width:112pt;" o:ole="t" filled="f" o:preferrelative="t" stroked="f" coordsize="21600,21600">
            <v:path/>
            <v:fill on="f" focussize="0,0"/>
            <v:stroke on="f"/>
            <v:imagedata r:id="rId43" o:title=""/>
            <o:lock v:ext="edit" aspectratio="t"/>
            <w10:wrap type="none"/>
            <w10:anchorlock/>
          </v:shape>
          <o:OLEObject Type="Embed" ProgID="Equation.KSEE3" ShapeID="_x0000_i1039" DrawAspect="Content" ObjectID="_1468075739" r:id="rId42">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（7.0.2-9）</w:t>
      </w:r>
    </w:p>
    <w:p w14:paraId="20782564">
      <w:pPr>
        <w:keepNext w:val="0"/>
        <w:keepLines w:val="0"/>
        <w:pageBreakBefore w:val="0"/>
        <w:widowControl w:val="0"/>
        <w:kinsoku/>
        <w:wordWrap/>
        <w:overflowPunct/>
        <w:topLinePunct w:val="0"/>
        <w:autoSpaceDE/>
        <w:autoSpaceDN/>
        <w:bidi w:val="0"/>
        <w:adjustRightInd/>
        <w:snapToGrid/>
        <w:spacing w:line="360" w:lineRule="auto"/>
        <w:ind w:left="0" w:leftChars="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0</w:t>
      </w:r>
      <w:r>
        <w:rPr>
          <w:rFonts w:hint="eastAsia"/>
          <w:b w:val="0"/>
          <w:bCs/>
          <w:color w:val="000000" w:themeColor="text1"/>
          <w:kern w:val="0"/>
          <w:sz w:val="24"/>
          <w:szCs w:val="21"/>
          <w:highlight w:val="none"/>
          <w:lang w:val="en-US" w:eastAsia="zh-CN"/>
          <w14:textFill>
            <w14:solidFill>
              <w14:schemeClr w14:val="tx1"/>
            </w14:solidFill>
          </w14:textFill>
        </w:rPr>
        <w:t>为安全性评价得分。</w:t>
      </w:r>
    </w:p>
    <w:p w14:paraId="0C3BE5FE">
      <w:pPr>
        <w:keepNext w:val="0"/>
        <w:keepLines w:val="0"/>
        <w:pageBreakBefore w:val="0"/>
        <w:widowControl w:val="0"/>
        <w:kinsoku/>
        <w:wordWrap/>
        <w:overflowPunct/>
        <w:topLinePunct w:val="0"/>
        <w:autoSpaceDE/>
        <w:autoSpaceDN/>
        <w:bidi w:val="0"/>
        <w:adjustRightInd/>
        <w:snapToGrid/>
        <w:spacing w:line="360" w:lineRule="auto"/>
        <w:ind w:left="420" w:leftChars="200"/>
        <w:jc w:val="left"/>
        <w:textAlignment w:val="auto"/>
        <w:rPr>
          <w:rFonts w:hint="default" w:eastAsia="宋体"/>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4. 计算总体评价得分在100~70分区间内的扣分值</w:t>
      </w:r>
      <w:r>
        <w:rPr>
          <w:rFonts w:hint="eastAsia"/>
          <w:b w:val="0"/>
          <w:bCs/>
          <w:i/>
          <w:iCs/>
          <w:color w:val="000000" w:themeColor="text1"/>
          <w:kern w:val="0"/>
          <w:sz w:val="24"/>
          <w:szCs w:val="21"/>
          <w:highlight w:val="none"/>
          <w:lang w:val="en-US" w:eastAsia="zh-CN"/>
          <w14:textFill>
            <w14:solidFill>
              <w14:schemeClr w14:val="tx1"/>
            </w14:solidFill>
          </w14:textFill>
        </w:rPr>
        <w:t>G</w:t>
      </w:r>
      <w:r>
        <w:rPr>
          <w:rFonts w:hint="eastAsia"/>
          <w:b w:val="0"/>
          <w:bCs/>
          <w:color w:val="000000" w:themeColor="text1"/>
          <w:kern w:val="0"/>
          <w:sz w:val="24"/>
          <w:szCs w:val="21"/>
          <w:highlight w:val="none"/>
          <w:vertAlign w:val="subscript"/>
          <w:lang w:val="en-US" w:eastAsia="zh-CN"/>
          <w14:textFill>
            <w14:solidFill>
              <w14:schemeClr w14:val="tx1"/>
            </w14:solidFill>
          </w14:textFill>
        </w:rPr>
        <w:t>1</w:t>
      </w:r>
      <w:r>
        <w:rPr>
          <w:rFonts w:hint="eastAsia"/>
          <w:b w:val="0"/>
          <w:bCs/>
          <w:color w:val="000000" w:themeColor="text1"/>
          <w:kern w:val="0"/>
          <w:sz w:val="24"/>
          <w:szCs w:val="21"/>
          <w:highlight w:val="none"/>
          <w:lang w:val="en-US" w:eastAsia="zh-CN"/>
          <w14:textFill>
            <w14:solidFill>
              <w14:schemeClr w14:val="tx1"/>
            </w14:solidFill>
          </w14:textFill>
        </w:rPr>
        <w:t>，</w:t>
      </w:r>
    </w:p>
    <w:p w14:paraId="4D6D9AE6">
      <w:pPr>
        <w:keepNext w:val="0"/>
        <w:keepLines w:val="0"/>
        <w:pageBreakBefore w:val="0"/>
        <w:widowControl w:val="0"/>
        <w:tabs>
          <w:tab w:val="left" w:pos="744"/>
        </w:tabs>
        <w:kinsoku/>
        <w:wordWrap/>
        <w:overflowPunct/>
        <w:topLinePunct w:val="0"/>
        <w:autoSpaceDE/>
        <w:autoSpaceDN/>
        <w:bidi w:val="0"/>
        <w:adjustRightInd/>
        <w:snapToGrid/>
        <w:spacing w:line="360" w:lineRule="auto"/>
        <w:ind w:left="420" w:leftChars="200"/>
        <w:jc w:val="right"/>
        <w:textAlignment w:val="auto"/>
        <w:rPr>
          <w:rFonts w:hint="eastAsia" w:eastAsia="宋体"/>
          <w:b w:val="0"/>
          <w:bCs/>
          <w:color w:val="000000" w:themeColor="text1"/>
          <w:kern w:val="0"/>
          <w:sz w:val="24"/>
          <w:szCs w:val="21"/>
          <w:highlight w:val="none"/>
          <w:lang w:eastAsia="zh-CN"/>
          <w14:textFill>
            <w14:solidFill>
              <w14:schemeClr w14:val="tx1"/>
            </w14:solidFill>
          </w14:textFill>
        </w:rPr>
      </w:pPr>
      <w:r>
        <w:rPr>
          <w:rFonts w:hint="eastAsia" w:eastAsia="宋体"/>
          <w:b w:val="0"/>
          <w:bCs/>
          <w:color w:val="000000" w:themeColor="text1"/>
          <w:kern w:val="0"/>
          <w:position w:val="-24"/>
          <w:sz w:val="24"/>
          <w:szCs w:val="21"/>
          <w:highlight w:val="none"/>
          <w:lang w:eastAsia="zh-CN"/>
          <w14:textFill>
            <w14:solidFill>
              <w14:schemeClr w14:val="tx1"/>
            </w14:solidFill>
          </w14:textFill>
        </w:rPr>
        <w:object>
          <v:shape id="_x0000_i1040" o:spt="75" type="#_x0000_t75" style="height:31pt;width:106pt;" o:ole="t" filled="f" o:preferrelative="t" stroked="f" coordsize="21600,21600">
            <v:path/>
            <v:fill on="f" focussize="0,0"/>
            <v:stroke on="f"/>
            <v:imagedata r:id="rId45" o:title=""/>
            <o:lock v:ext="edit" aspectratio="t"/>
            <w10:wrap type="none"/>
            <w10:anchorlock/>
          </v:shape>
          <o:OLEObject Type="Embed" ProgID="Equation.KSEE3" ShapeID="_x0000_i1040" DrawAspect="Content" ObjectID="_1468075740" r:id="rId44">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（7.0.2-10）</w:t>
      </w:r>
    </w:p>
    <w:p w14:paraId="47E248EF">
      <w:pPr>
        <w:keepNext w:val="0"/>
        <w:keepLines w:val="0"/>
        <w:pageBreakBefore w:val="0"/>
        <w:widowControl w:val="0"/>
        <w:kinsoku/>
        <w:wordWrap/>
        <w:overflowPunct/>
        <w:topLinePunct w:val="0"/>
        <w:autoSpaceDE/>
        <w:autoSpaceDN/>
        <w:bidi w:val="0"/>
        <w:adjustRightInd/>
        <w:snapToGrid/>
        <w:spacing w:line="360" w:lineRule="auto"/>
        <w:ind w:left="420" w:leftChars="200"/>
        <w:jc w:val="left"/>
        <w:textAlignment w:val="auto"/>
        <w:rPr>
          <w:rFonts w:hint="default" w:eastAsia="宋体"/>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5. 计算总体评价得分在70~40分区间内的扣分值</w:t>
      </w:r>
      <w:r>
        <w:rPr>
          <w:rFonts w:hint="eastAsia"/>
          <w:b w:val="0"/>
          <w:bCs/>
          <w:i/>
          <w:iCs/>
          <w:color w:val="000000" w:themeColor="text1"/>
          <w:kern w:val="0"/>
          <w:sz w:val="24"/>
          <w:szCs w:val="21"/>
          <w:highlight w:val="none"/>
          <w:lang w:val="en-US" w:eastAsia="zh-CN"/>
          <w14:textFill>
            <w14:solidFill>
              <w14:schemeClr w14:val="tx1"/>
            </w14:solidFill>
          </w14:textFill>
        </w:rPr>
        <w:t>G</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w:t>
      </w:r>
    </w:p>
    <w:p w14:paraId="535870C2">
      <w:pPr>
        <w:keepNext w:val="0"/>
        <w:keepLines w:val="0"/>
        <w:pageBreakBefore w:val="0"/>
        <w:widowControl w:val="0"/>
        <w:kinsoku/>
        <w:wordWrap/>
        <w:overflowPunct/>
        <w:topLinePunct w:val="0"/>
        <w:autoSpaceDE/>
        <w:autoSpaceDN/>
        <w:bidi w:val="0"/>
        <w:adjustRightInd/>
        <w:snapToGrid/>
        <w:spacing w:line="360" w:lineRule="auto"/>
        <w:ind w:left="420" w:leftChars="200"/>
        <w:jc w:val="right"/>
        <w:textAlignment w:val="auto"/>
        <w:rPr>
          <w:rFonts w:hint="eastAsia" w:eastAsia="宋体"/>
          <w:b w:val="0"/>
          <w:bCs/>
          <w:color w:val="000000" w:themeColor="text1"/>
          <w:kern w:val="0"/>
          <w:sz w:val="24"/>
          <w:szCs w:val="21"/>
          <w:highlight w:val="none"/>
          <w:lang w:eastAsia="zh-CN"/>
          <w14:textFill>
            <w14:solidFill>
              <w14:schemeClr w14:val="tx1"/>
            </w14:solidFill>
          </w14:textFill>
        </w:rPr>
      </w:pPr>
      <w:r>
        <w:rPr>
          <w:rFonts w:hint="eastAsia" w:eastAsia="宋体"/>
          <w:b w:val="0"/>
          <w:bCs/>
          <w:color w:val="000000" w:themeColor="text1"/>
          <w:kern w:val="0"/>
          <w:position w:val="-24"/>
          <w:sz w:val="24"/>
          <w:szCs w:val="21"/>
          <w:highlight w:val="none"/>
          <w:lang w:eastAsia="zh-CN"/>
          <w14:textFill>
            <w14:solidFill>
              <w14:schemeClr w14:val="tx1"/>
            </w14:solidFill>
          </w14:textFill>
        </w:rPr>
        <w:object>
          <v:shape id="_x0000_i1041" o:spt="75" type="#_x0000_t75" style="height:31pt;width:87pt;" o:ole="t" filled="f" o:preferrelative="t" stroked="f" coordsize="21600,21600">
            <v:path/>
            <v:fill on="f" focussize="0,0"/>
            <v:stroke on="f"/>
            <v:imagedata r:id="rId47" o:title=""/>
            <o:lock v:ext="edit" aspectratio="t"/>
            <w10:wrap type="none"/>
            <w10:anchorlock/>
          </v:shape>
          <o:OLEObject Type="Embed" ProgID="Equation.KSEE3" ShapeID="_x0000_i1041" DrawAspect="Content" ObjectID="_1468075741" r:id="rId46">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（7.0.2-11）</w:t>
      </w:r>
    </w:p>
    <w:p w14:paraId="4DDBDBE4">
      <w:pPr>
        <w:keepNext w:val="0"/>
        <w:keepLines w:val="0"/>
        <w:pageBreakBefore w:val="0"/>
        <w:widowControl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p>
    <w:p w14:paraId="49DF4AE9">
      <w:pPr>
        <w:keepNext w:val="0"/>
        <w:keepLines w:val="0"/>
        <w:pageBreakBefore w:val="0"/>
        <w:widowControl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U</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和</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中的最大值，</w:t>
      </w:r>
    </w:p>
    <w:p w14:paraId="5D306CE0">
      <w:pPr>
        <w:keepNext w:val="0"/>
        <w:keepLines w:val="0"/>
        <w:pageBreakBefore w:val="0"/>
        <w:widowControl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M</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和</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中的次大值，</w:t>
      </w:r>
    </w:p>
    <w:p w14:paraId="48CA7FF5">
      <w:pPr>
        <w:keepNext w:val="0"/>
        <w:keepLines w:val="0"/>
        <w:pageBreakBefore w:val="0"/>
        <w:widowControl w:val="0"/>
        <w:kinsoku/>
        <w:wordWrap/>
        <w:overflowPunct/>
        <w:topLinePunct w:val="0"/>
        <w:autoSpaceDE/>
        <w:autoSpaceDN/>
        <w:bidi w:val="0"/>
        <w:adjustRightInd/>
        <w:snapToGrid/>
        <w:spacing w:line="360" w:lineRule="auto"/>
        <w:ind w:left="420" w:leftChars="200" w:firstLine="480" w:firstLineChars="200"/>
        <w:jc w:val="left"/>
        <w:textAlignment w:val="auto"/>
        <w:rPr>
          <w:rFonts w:hint="default" w:eastAsia="宋体"/>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L</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和</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2</w:t>
      </w:r>
      <w:r>
        <w:rPr>
          <w:rFonts w:hint="eastAsia"/>
          <w:b w:val="0"/>
          <w:bCs/>
          <w:color w:val="000000" w:themeColor="text1"/>
          <w:kern w:val="0"/>
          <w:sz w:val="24"/>
          <w:szCs w:val="21"/>
          <w:highlight w:val="none"/>
          <w:lang w:val="en-US" w:eastAsia="zh-CN"/>
          <w14:textFill>
            <w14:solidFill>
              <w14:schemeClr w14:val="tx1"/>
            </w14:solidFill>
          </w14:textFill>
        </w:rPr>
        <w:t>中的最小值</w:t>
      </w:r>
    </w:p>
    <w:p w14:paraId="68432FFC">
      <w:pPr>
        <w:keepNext w:val="0"/>
        <w:keepLines w:val="0"/>
        <w:pageBreakBefore w:val="0"/>
        <w:widowControl w:val="0"/>
        <w:kinsoku/>
        <w:wordWrap/>
        <w:overflowPunct/>
        <w:topLinePunct w:val="0"/>
        <w:autoSpaceDE/>
        <w:autoSpaceDN/>
        <w:bidi w:val="0"/>
        <w:adjustRightInd/>
        <w:snapToGrid/>
        <w:spacing w:line="360" w:lineRule="auto"/>
        <w:ind w:left="420" w:leftChars="200"/>
        <w:jc w:val="left"/>
        <w:textAlignment w:val="auto"/>
        <w:rPr>
          <w:rFonts w:hint="default" w:eastAsia="宋体"/>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6. 计算总体评价得分在40~0分区间内的扣分值</w:t>
      </w:r>
      <w:r>
        <w:rPr>
          <w:rFonts w:hint="eastAsia"/>
          <w:b w:val="0"/>
          <w:bCs/>
          <w:i/>
          <w:iCs/>
          <w:color w:val="000000" w:themeColor="text1"/>
          <w:kern w:val="0"/>
          <w:sz w:val="24"/>
          <w:szCs w:val="21"/>
          <w:highlight w:val="none"/>
          <w:lang w:val="en-US" w:eastAsia="zh-CN"/>
          <w14:textFill>
            <w14:solidFill>
              <w14:schemeClr w14:val="tx1"/>
            </w14:solidFill>
          </w14:textFill>
        </w:rPr>
        <w:t>G</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p>
    <w:p w14:paraId="5EE3B678">
      <w:pPr>
        <w:keepNext w:val="0"/>
        <w:keepLines w:val="0"/>
        <w:pageBreakBefore w:val="0"/>
        <w:widowControl w:val="0"/>
        <w:kinsoku/>
        <w:wordWrap/>
        <w:overflowPunct/>
        <w:topLinePunct w:val="0"/>
        <w:autoSpaceDE/>
        <w:autoSpaceDN/>
        <w:bidi w:val="0"/>
        <w:adjustRightInd/>
        <w:snapToGrid/>
        <w:spacing w:line="360" w:lineRule="auto"/>
        <w:ind w:left="420" w:leftChars="200"/>
        <w:jc w:val="right"/>
        <w:textAlignment w:val="auto"/>
        <w:rPr>
          <w:rFonts w:hint="eastAsia" w:eastAsia="宋体"/>
          <w:b w:val="0"/>
          <w:bCs/>
          <w:color w:val="000000" w:themeColor="text1"/>
          <w:kern w:val="0"/>
          <w:sz w:val="24"/>
          <w:szCs w:val="21"/>
          <w:highlight w:val="none"/>
          <w:lang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 xml:space="preserve"> </w:t>
      </w:r>
      <w:r>
        <w:rPr>
          <w:rFonts w:hint="eastAsia"/>
          <w:b w:val="0"/>
          <w:bCs/>
          <w:color w:val="000000" w:themeColor="text1"/>
          <w:kern w:val="0"/>
          <w:sz w:val="24"/>
          <w:szCs w:val="21"/>
          <w:highlight w:val="none"/>
          <w:lang w:eastAsia="zh-CN"/>
          <w14:textFill>
            <w14:solidFill>
              <w14:schemeClr w14:val="tx1"/>
            </w14:solidFill>
          </w14:textFill>
        </w:rPr>
        <w:tab/>
      </w: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42" o:spt="75" type="#_x0000_t75" style="height:18pt;width:40pt;" o:ole="t" filled="f" o:preferrelative="t" stroked="f" coordsize="21600,21600">
            <v:path/>
            <v:fill on="f" focussize="0,0"/>
            <v:stroke on="f"/>
            <v:imagedata r:id="rId49" o:title=""/>
            <o:lock v:ext="edit" aspectratio="t"/>
            <w10:wrap type="none"/>
            <w10:anchorlock/>
          </v:shape>
          <o:OLEObject Type="Embed" ProgID="Equation.KSEE3" ShapeID="_x0000_i1042" DrawAspect="Content" ObjectID="_1468075742" r:id="rId48">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（7.0.2-12）</w:t>
      </w:r>
    </w:p>
    <w:p w14:paraId="36BFB9EF">
      <w:pPr>
        <w:keepNext w:val="0"/>
        <w:keepLines w:val="0"/>
        <w:pageBreakBefore w:val="0"/>
        <w:widowControl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color w:val="000000" w:themeColor="text1"/>
          <w:kern w:val="0"/>
          <w:sz w:val="24"/>
          <w:szCs w:val="21"/>
          <w:highlight w:val="none"/>
          <w:lang w:val="en-US" w:eastAsia="zh-CN"/>
          <w14:textFill>
            <w14:solidFill>
              <w14:schemeClr w14:val="tx1"/>
            </w14:solidFill>
          </w14:textFill>
        </w:rPr>
        <w:t>式中，</w:t>
      </w:r>
    </w:p>
    <w:p w14:paraId="14C11483">
      <w:pPr>
        <w:keepNext w:val="0"/>
        <w:keepLines w:val="0"/>
        <w:pageBreakBefore w:val="0"/>
        <w:widowControl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U</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和</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中的最大值，</w:t>
      </w:r>
    </w:p>
    <w:p w14:paraId="2C587FE5">
      <w:pPr>
        <w:keepNext w:val="0"/>
        <w:keepLines w:val="0"/>
        <w:pageBreakBefore w:val="0"/>
        <w:widowControl w:val="0"/>
        <w:kinsoku/>
        <w:wordWrap/>
        <w:overflowPunct/>
        <w:topLinePunct w:val="0"/>
        <w:autoSpaceDE/>
        <w:autoSpaceDN/>
        <w:bidi w:val="0"/>
        <w:adjustRightInd/>
        <w:snapToGrid/>
        <w:spacing w:line="360" w:lineRule="auto"/>
        <w:ind w:left="420" w:leftChars="200" w:firstLine="480" w:firstLineChars="200"/>
        <w:jc w:val="left"/>
        <w:textAlignment w:val="auto"/>
        <w:rPr>
          <w:rFonts w:hint="eastAsia"/>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M</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和</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中的次大值，</w:t>
      </w:r>
    </w:p>
    <w:p w14:paraId="2929D427">
      <w:pPr>
        <w:keepNext w:val="0"/>
        <w:keepLines w:val="0"/>
        <w:pageBreakBefore w:val="0"/>
        <w:widowControl w:val="0"/>
        <w:kinsoku/>
        <w:wordWrap/>
        <w:overflowPunct/>
        <w:topLinePunct w:val="0"/>
        <w:autoSpaceDE/>
        <w:autoSpaceDN/>
        <w:bidi w:val="0"/>
        <w:adjustRightInd/>
        <w:snapToGrid/>
        <w:spacing w:line="360" w:lineRule="auto"/>
        <w:ind w:left="420" w:leftChars="200" w:firstLine="480" w:firstLineChars="200"/>
        <w:jc w:val="left"/>
        <w:textAlignment w:val="auto"/>
        <w:rPr>
          <w:rFonts w:hint="default" w:eastAsia="宋体"/>
          <w:b w:val="0"/>
          <w:bCs/>
          <w:color w:val="000000" w:themeColor="text1"/>
          <w:kern w:val="0"/>
          <w:sz w:val="24"/>
          <w:szCs w:val="21"/>
          <w:highlight w:val="none"/>
          <w:lang w:val="en-US" w:eastAsia="zh-CN"/>
          <w14:textFill>
            <w14:solidFill>
              <w14:schemeClr w14:val="tx1"/>
            </w14:solidFill>
          </w14:textFill>
        </w:rPr>
      </w:pPr>
      <w:r>
        <w:rPr>
          <w:rFonts w:hint="eastAsia"/>
          <w:b w:val="0"/>
          <w:bCs/>
          <w:i/>
          <w:iCs/>
          <w:color w:val="000000" w:themeColor="text1"/>
          <w:kern w:val="0"/>
          <w:sz w:val="24"/>
          <w:szCs w:val="21"/>
          <w:highlight w:val="none"/>
          <w:lang w:val="en-US" w:eastAsia="zh-CN"/>
          <w14:textFill>
            <w14:solidFill>
              <w14:schemeClr w14:val="tx1"/>
            </w14:solidFill>
          </w14:textFill>
        </w:rPr>
        <w:t>L</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S</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w:t>
      </w:r>
      <w:r>
        <w:rPr>
          <w:rFonts w:hint="eastAsia"/>
          <w:b w:val="0"/>
          <w:bCs/>
          <w:i/>
          <w:iCs/>
          <w:color w:val="000000" w:themeColor="text1"/>
          <w:kern w:val="0"/>
          <w:sz w:val="24"/>
          <w:szCs w:val="21"/>
          <w:highlight w:val="none"/>
          <w:lang w:val="en-US" w:eastAsia="zh-CN"/>
          <w14:textFill>
            <w14:solidFill>
              <w14:schemeClr w14:val="tx1"/>
            </w14:solidFill>
          </w14:textFill>
        </w:rPr>
        <w:t>F</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和</w:t>
      </w:r>
      <w:r>
        <w:rPr>
          <w:rFonts w:hint="eastAsia"/>
          <w:b w:val="0"/>
          <w:bCs/>
          <w:i/>
          <w:iCs/>
          <w:color w:val="000000" w:themeColor="text1"/>
          <w:kern w:val="0"/>
          <w:sz w:val="24"/>
          <w:szCs w:val="21"/>
          <w:highlight w:val="none"/>
          <w:lang w:val="en-US" w:eastAsia="zh-CN"/>
          <w14:textFill>
            <w14:solidFill>
              <w14:schemeClr w14:val="tx1"/>
            </w14:solidFill>
          </w14:textFill>
        </w:rPr>
        <w:t>E</w:t>
      </w:r>
      <w:r>
        <w:rPr>
          <w:rFonts w:hint="eastAsia"/>
          <w:b w:val="0"/>
          <w:bCs/>
          <w:color w:val="000000" w:themeColor="text1"/>
          <w:kern w:val="0"/>
          <w:sz w:val="24"/>
          <w:szCs w:val="21"/>
          <w:highlight w:val="none"/>
          <w:vertAlign w:val="subscript"/>
          <w:lang w:val="en-US" w:eastAsia="zh-CN"/>
          <w14:textFill>
            <w14:solidFill>
              <w14:schemeClr w14:val="tx1"/>
            </w14:solidFill>
          </w14:textFill>
        </w:rPr>
        <w:t>3</w:t>
      </w:r>
      <w:r>
        <w:rPr>
          <w:rFonts w:hint="eastAsia"/>
          <w:b w:val="0"/>
          <w:bCs/>
          <w:color w:val="000000" w:themeColor="text1"/>
          <w:kern w:val="0"/>
          <w:sz w:val="24"/>
          <w:szCs w:val="21"/>
          <w:highlight w:val="none"/>
          <w:lang w:val="en-US" w:eastAsia="zh-CN"/>
          <w14:textFill>
            <w14:solidFill>
              <w14:schemeClr w14:val="tx1"/>
            </w14:solidFill>
          </w14:textFill>
        </w:rPr>
        <w:t>中的最小值</w:t>
      </w:r>
    </w:p>
    <w:p w14:paraId="6E07A4F0">
      <w:pPr>
        <w:keepNext w:val="0"/>
        <w:keepLines w:val="0"/>
        <w:pageBreakBefore w:val="0"/>
        <w:widowControl w:val="0"/>
        <w:tabs>
          <w:tab w:val="center" w:pos="4758"/>
          <w:tab w:val="left" w:pos="6472"/>
        </w:tabs>
        <w:kinsoku/>
        <w:wordWrap/>
        <w:overflowPunct/>
        <w:topLinePunct w:val="0"/>
        <w:autoSpaceDE/>
        <w:autoSpaceDN/>
        <w:bidi w:val="0"/>
        <w:adjustRightInd/>
        <w:snapToGrid/>
        <w:spacing w:line="360" w:lineRule="auto"/>
        <w:ind w:left="420" w:leftChars="200"/>
        <w:jc w:val="left"/>
        <w:textAlignment w:val="auto"/>
        <w:rPr>
          <w:rFonts w:hint="eastAsia"/>
          <w:b w:val="0"/>
          <w:bCs/>
          <w:i w:val="0"/>
          <w:iCs w:val="0"/>
          <w:color w:val="000000" w:themeColor="text1"/>
          <w:kern w:val="0"/>
          <w:sz w:val="24"/>
          <w:szCs w:val="21"/>
          <w:highlight w:val="none"/>
          <w:lang w:val="en-US" w:eastAsia="zh-CN"/>
          <w14:textFill>
            <w14:solidFill>
              <w14:schemeClr w14:val="tx1"/>
            </w14:solidFill>
          </w14:textFill>
        </w:rPr>
      </w:pPr>
      <w:r>
        <w:rPr>
          <w:rFonts w:hint="eastAsia"/>
          <w:b w:val="0"/>
          <w:bCs/>
          <w:i w:val="0"/>
          <w:iCs w:val="0"/>
          <w:color w:val="000000" w:themeColor="text1"/>
          <w:kern w:val="0"/>
          <w:sz w:val="24"/>
          <w:szCs w:val="21"/>
          <w:highlight w:val="none"/>
          <w:lang w:val="en-US" w:eastAsia="zh-CN"/>
          <w14:textFill>
            <w14:solidFill>
              <w14:schemeClr w14:val="tx1"/>
            </w14:solidFill>
          </w14:textFill>
        </w:rPr>
        <w:t>7.计算总体评价得分：</w:t>
      </w:r>
    </w:p>
    <w:p w14:paraId="06C0F84E">
      <w:pPr>
        <w:keepNext w:val="0"/>
        <w:keepLines w:val="0"/>
        <w:pageBreakBefore w:val="0"/>
        <w:widowControl w:val="0"/>
        <w:kinsoku/>
        <w:wordWrap/>
        <w:overflowPunct/>
        <w:topLinePunct w:val="0"/>
        <w:autoSpaceDE/>
        <w:autoSpaceDN/>
        <w:bidi w:val="0"/>
        <w:adjustRightInd/>
        <w:snapToGrid/>
        <w:spacing w:line="360" w:lineRule="auto"/>
        <w:ind w:left="420" w:leftChars="200"/>
        <w:jc w:val="right"/>
        <w:textAlignment w:val="auto"/>
        <w:rPr>
          <w:rFonts w:hint="eastAsia" w:eastAsia="宋体"/>
          <w:b w:val="0"/>
          <w:bCs/>
          <w:color w:val="000000" w:themeColor="text1"/>
          <w:kern w:val="0"/>
          <w:sz w:val="24"/>
          <w:szCs w:val="21"/>
          <w:highlight w:val="none"/>
          <w:lang w:eastAsia="zh-CN"/>
          <w14:textFill>
            <w14:solidFill>
              <w14:schemeClr w14:val="tx1"/>
            </w14:solidFill>
          </w14:textFill>
        </w:rPr>
      </w:pPr>
      <w:r>
        <w:rPr>
          <w:rFonts w:hint="eastAsia" w:eastAsia="宋体"/>
          <w:b w:val="0"/>
          <w:bCs/>
          <w:color w:val="000000" w:themeColor="text1"/>
          <w:kern w:val="0"/>
          <w:position w:val="-12"/>
          <w:sz w:val="24"/>
          <w:szCs w:val="21"/>
          <w:highlight w:val="none"/>
          <w:lang w:eastAsia="zh-CN"/>
          <w14:textFill>
            <w14:solidFill>
              <w14:schemeClr w14:val="tx1"/>
            </w14:solidFill>
          </w14:textFill>
        </w:rPr>
        <w:object>
          <v:shape id="_x0000_i1043" o:spt="75" type="#_x0000_t75" style="height:18pt;width:109pt;" o:ole="t" filled="f" o:preferrelative="t" stroked="f" coordsize="21600,21600">
            <v:path/>
            <v:fill on="f" focussize="0,0"/>
            <v:stroke on="f"/>
            <v:imagedata r:id="rId51" o:title=""/>
            <o:lock v:ext="edit" aspectratio="t"/>
            <w10:wrap type="none"/>
            <w10:anchorlock/>
          </v:shape>
          <o:OLEObject Type="Embed" ProgID="Equation.KSEE3" ShapeID="_x0000_i1043" DrawAspect="Content" ObjectID="_1468075743" r:id="rId50">
            <o:LockedField>false</o:LockedField>
          </o:OLEObject>
        </w:object>
      </w:r>
      <w:r>
        <w:rPr>
          <w:rFonts w:hint="eastAsia"/>
          <w:b w:val="0"/>
          <w:bCs/>
          <w:color w:val="000000" w:themeColor="text1"/>
          <w:kern w:val="0"/>
          <w:position w:val="-12"/>
          <w:sz w:val="24"/>
          <w:szCs w:val="21"/>
          <w:highlight w:val="none"/>
          <w:lang w:val="en-US" w:eastAsia="zh-CN"/>
          <w14:textFill>
            <w14:solidFill>
              <w14:schemeClr w14:val="tx1"/>
            </w14:solidFill>
          </w14:textFill>
        </w:rPr>
        <w:t xml:space="preserve">                             （7.0.2-13）</w:t>
      </w:r>
    </w:p>
    <w:p w14:paraId="585E61F9">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b w:val="0"/>
          <w:bCs/>
          <w:color w:val="000000" w:themeColor="text1"/>
          <w:kern w:val="0"/>
          <w:sz w:val="24"/>
          <w:szCs w:val="24"/>
          <w:highlight w:val="none"/>
          <w:lang w:val="en-US" w:eastAsia="zh-CN"/>
          <w14:textFill>
            <w14:solidFill>
              <w14:schemeClr w14:val="tx1"/>
            </w14:solidFill>
          </w14:textFill>
        </w:rPr>
      </w:pPr>
      <w:r>
        <w:rPr>
          <w:rFonts w:hint="eastAsia"/>
          <w:b w:val="0"/>
          <w:bCs/>
          <w:color w:val="000000" w:themeColor="text1"/>
          <w:kern w:val="0"/>
          <w:sz w:val="24"/>
          <w:szCs w:val="24"/>
          <w:highlight w:val="none"/>
          <w:lang w:val="en-US" w:eastAsia="zh-CN"/>
          <w14:textFill>
            <w14:solidFill>
              <w14:schemeClr w14:val="tx1"/>
            </w14:solidFill>
          </w14:textFill>
        </w:rPr>
        <w:t>【条文说明】</w:t>
      </w:r>
    </w:p>
    <w:p w14:paraId="23D54130">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楷体" w:cs="Times New Roman"/>
          <w:sz w:val="24"/>
          <w:szCs w:val="24"/>
          <w:highlight w:val="none"/>
          <w:lang w:val="en-US" w:eastAsia="zh-CN"/>
        </w:rPr>
      </w:pPr>
      <w:r>
        <w:rPr>
          <w:rFonts w:hint="eastAsia" w:eastAsia="楷体" w:cs="Times New Roman"/>
          <w:sz w:val="24"/>
          <w:szCs w:val="24"/>
          <w:highlight w:val="none"/>
          <w:lang w:val="en-US" w:eastAsia="zh-CN"/>
        </w:rPr>
        <w:t>本</w:t>
      </w:r>
      <w:r>
        <w:rPr>
          <w:rFonts w:hint="eastAsia" w:ascii="Times New Roman" w:hAnsi="Times New Roman" w:eastAsia="楷体" w:cs="Times New Roman"/>
          <w:sz w:val="24"/>
          <w:szCs w:val="24"/>
          <w:highlight w:val="none"/>
          <w:lang w:val="en-US" w:eastAsia="zh-CN"/>
        </w:rPr>
        <w:t>条计算</w:t>
      </w:r>
      <w:r>
        <w:rPr>
          <w:rFonts w:hint="eastAsia" w:eastAsia="楷体" w:cs="Times New Roman"/>
          <w:sz w:val="24"/>
          <w:szCs w:val="24"/>
          <w:highlight w:val="none"/>
          <w:lang w:val="en-US" w:eastAsia="zh-CN"/>
        </w:rPr>
        <w:t>过程中</w:t>
      </w:r>
      <w:r>
        <w:rPr>
          <w:rFonts w:hint="eastAsia" w:ascii="Times New Roman" w:hAnsi="Times New Roman" w:eastAsia="楷体" w:cs="Times New Roman"/>
          <w:sz w:val="24"/>
          <w:szCs w:val="24"/>
          <w:highlight w:val="none"/>
          <w:lang w:val="en-US" w:eastAsia="zh-CN"/>
        </w:rPr>
        <w:t>用到</w:t>
      </w:r>
      <w:r>
        <w:rPr>
          <w:rFonts w:hint="eastAsia" w:eastAsia="楷体" w:cs="Times New Roman"/>
          <w:sz w:val="24"/>
          <w:szCs w:val="24"/>
          <w:highlight w:val="none"/>
          <w:lang w:val="en-US" w:eastAsia="zh-CN"/>
        </w:rPr>
        <w:t>量见图1的解释。</w:t>
      </w:r>
    </w:p>
    <w:p w14:paraId="574FE43A">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center"/>
        <w:textAlignment w:val="auto"/>
      </w:pPr>
      <w:r>
        <w:drawing>
          <wp:inline distT="0" distB="0" distL="114300" distR="114300">
            <wp:extent cx="2220595" cy="1742440"/>
            <wp:effectExtent l="0" t="0" r="0" b="10160"/>
            <wp:docPr id="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4"/>
                    <pic:cNvPicPr>
                      <a:picLocks noChangeAspect="1"/>
                    </pic:cNvPicPr>
                  </pic:nvPicPr>
                  <pic:blipFill>
                    <a:blip r:embed="rId52"/>
                    <a:srcRect l="44549" t="11348" r="24529" b="24237"/>
                    <a:stretch>
                      <a:fillRect/>
                    </a:stretch>
                  </pic:blipFill>
                  <pic:spPr>
                    <a:xfrm>
                      <a:off x="0" y="0"/>
                      <a:ext cx="2220595" cy="1742440"/>
                    </a:xfrm>
                    <a:prstGeom prst="rect">
                      <a:avLst/>
                    </a:prstGeom>
                    <a:noFill/>
                    <a:ln>
                      <a:noFill/>
                    </a:ln>
                  </pic:spPr>
                </pic:pic>
              </a:graphicData>
            </a:graphic>
          </wp:inline>
        </w:drawing>
      </w:r>
    </w:p>
    <w:p w14:paraId="23AA0E40">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center"/>
        <w:textAlignment w:val="auto"/>
        <w:rPr>
          <w:rFonts w:hint="default" w:ascii="Times New Roman" w:hAnsi="Times New Roman" w:eastAsia="楷体" w:cs="Times New Roman"/>
          <w:sz w:val="21"/>
          <w:szCs w:val="21"/>
          <w:highlight w:val="none"/>
          <w:lang w:val="en-US" w:eastAsia="zh-CN"/>
        </w:rPr>
      </w:pPr>
      <w:r>
        <w:rPr>
          <w:rFonts w:hint="eastAsia" w:ascii="Times New Roman" w:hAnsi="Times New Roman" w:eastAsia="楷体" w:cs="Times New Roman"/>
          <w:sz w:val="21"/>
          <w:szCs w:val="21"/>
          <w:highlight w:val="none"/>
          <w:lang w:val="en-US" w:eastAsia="zh-CN"/>
        </w:rPr>
        <w:t>图1  7.0.3条计算中用到的量</w:t>
      </w:r>
      <w:r>
        <w:rPr>
          <w:rFonts w:hint="eastAsia" w:eastAsia="楷体" w:cs="Times New Roman"/>
          <w:sz w:val="21"/>
          <w:szCs w:val="21"/>
          <w:highlight w:val="none"/>
          <w:lang w:val="en-US" w:eastAsia="zh-CN"/>
        </w:rPr>
        <w:t>的示意</w:t>
      </w:r>
    </w:p>
    <w:p w14:paraId="5DAD082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eastAsia="楷体" w:cs="Times New Roman"/>
          <w:sz w:val="24"/>
          <w:szCs w:val="24"/>
          <w:highlight w:val="none"/>
          <w:lang w:val="en-US" w:eastAsia="zh-CN"/>
        </w:rPr>
      </w:pPr>
      <w:r>
        <w:rPr>
          <w:rFonts w:hint="eastAsia" w:eastAsia="楷体" w:cs="Times New Roman"/>
          <w:sz w:val="24"/>
          <w:szCs w:val="24"/>
          <w:highlight w:val="none"/>
          <w:lang w:val="en-US" w:eastAsia="zh-CN"/>
        </w:rPr>
        <w:t>在本条中，</w:t>
      </w:r>
      <w:r>
        <w:rPr>
          <w:rFonts w:hint="default" w:ascii="Times New Roman" w:hAnsi="Times New Roman" w:eastAsia="楷体" w:cs="Times New Roman"/>
          <w:sz w:val="24"/>
          <w:szCs w:val="24"/>
          <w:highlight w:val="none"/>
        </w:rPr>
        <w:t>将</w:t>
      </w:r>
      <w:r>
        <w:rPr>
          <w:rFonts w:hint="eastAsia" w:eastAsia="楷体" w:cs="Times New Roman"/>
          <w:sz w:val="24"/>
          <w:szCs w:val="24"/>
          <w:highlight w:val="none"/>
          <w:lang w:val="en-US" w:eastAsia="zh-CN"/>
        </w:rPr>
        <w:t>分</w:t>
      </w:r>
      <w:r>
        <w:rPr>
          <w:rFonts w:hint="default" w:ascii="Times New Roman" w:hAnsi="Times New Roman" w:eastAsia="楷体" w:cs="Times New Roman"/>
          <w:sz w:val="24"/>
          <w:szCs w:val="24"/>
          <w:highlight w:val="none"/>
        </w:rPr>
        <w:t>项得分进行综合得到</w:t>
      </w:r>
      <w:r>
        <w:rPr>
          <w:rFonts w:hint="eastAsia" w:eastAsia="楷体" w:cs="Times New Roman"/>
          <w:sz w:val="24"/>
          <w:szCs w:val="24"/>
          <w:highlight w:val="none"/>
          <w:lang w:val="en-US" w:eastAsia="zh-CN"/>
        </w:rPr>
        <w:t>总</w:t>
      </w:r>
      <w:r>
        <w:rPr>
          <w:rFonts w:hint="default" w:ascii="Times New Roman" w:hAnsi="Times New Roman" w:eastAsia="楷体" w:cs="Times New Roman"/>
          <w:sz w:val="24"/>
          <w:szCs w:val="24"/>
          <w:highlight w:val="none"/>
        </w:rPr>
        <w:t>体得分。</w:t>
      </w:r>
      <w:r>
        <w:rPr>
          <w:rFonts w:hint="eastAsia" w:eastAsia="楷体" w:cs="Times New Roman"/>
          <w:sz w:val="24"/>
          <w:szCs w:val="24"/>
          <w:highlight w:val="none"/>
          <w:lang w:eastAsia="zh-CN"/>
        </w:rPr>
        <w:t>总体</w:t>
      </w:r>
      <w:r>
        <w:rPr>
          <w:rFonts w:hint="default" w:ascii="Times New Roman" w:hAnsi="Times New Roman" w:eastAsia="楷体" w:cs="Times New Roman"/>
          <w:sz w:val="24"/>
          <w:szCs w:val="24"/>
          <w:highlight w:val="none"/>
        </w:rPr>
        <w:t>得分既要能体现</w:t>
      </w:r>
      <w:r>
        <w:rPr>
          <w:rFonts w:hint="eastAsia" w:eastAsia="楷体" w:cs="Times New Roman"/>
          <w:sz w:val="24"/>
          <w:szCs w:val="24"/>
          <w:highlight w:val="none"/>
          <w:lang w:eastAsia="zh-CN"/>
        </w:rPr>
        <w:t>分项</w:t>
      </w:r>
      <w:r>
        <w:rPr>
          <w:rFonts w:hint="default" w:ascii="Times New Roman" w:hAnsi="Times New Roman" w:eastAsia="楷体" w:cs="Times New Roman"/>
          <w:sz w:val="24"/>
          <w:szCs w:val="24"/>
          <w:highlight w:val="none"/>
        </w:rPr>
        <w:t>得分整体情况，也要对</w:t>
      </w:r>
      <w:r>
        <w:rPr>
          <w:rFonts w:hint="eastAsia" w:eastAsia="楷体" w:cs="Times New Roman"/>
          <w:sz w:val="24"/>
          <w:szCs w:val="24"/>
          <w:highlight w:val="none"/>
          <w:lang w:eastAsia="zh-CN"/>
        </w:rPr>
        <w:t>分项</w:t>
      </w:r>
      <w:r>
        <w:rPr>
          <w:rFonts w:hint="default" w:ascii="Times New Roman" w:hAnsi="Times New Roman" w:eastAsia="楷体" w:cs="Times New Roman"/>
          <w:sz w:val="24"/>
          <w:szCs w:val="24"/>
          <w:highlight w:val="none"/>
        </w:rPr>
        <w:t>中极端情况有所反映。</w:t>
      </w:r>
      <w:r>
        <w:rPr>
          <w:rFonts w:hint="eastAsia" w:eastAsia="楷体" w:cs="Times New Roman"/>
          <w:sz w:val="24"/>
          <w:szCs w:val="24"/>
          <w:highlight w:val="none"/>
          <w:lang w:val="en-US" w:eastAsia="zh-CN"/>
        </w:rPr>
        <w:t>本条提供的计算方法基于如下考虑</w:t>
      </w:r>
      <w:r>
        <w:rPr>
          <w:rFonts w:hint="default" w:ascii="Times New Roman" w:hAnsi="Times New Roman" w:eastAsia="楷体" w:cs="Times New Roman"/>
          <w:sz w:val="24"/>
          <w:szCs w:val="24"/>
          <w:highlight w:val="none"/>
        </w:rPr>
        <w:t>：</w:t>
      </w:r>
    </w:p>
    <w:p w14:paraId="29685535">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楷体" w:cs="Times New Roman"/>
          <w:sz w:val="24"/>
          <w:szCs w:val="24"/>
          <w:highlight w:val="none"/>
        </w:rPr>
      </w:pPr>
      <w:r>
        <w:rPr>
          <w:rFonts w:hint="default" w:ascii="Times New Roman" w:hAnsi="Times New Roman" w:eastAsia="楷体" w:cs="Times New Roman"/>
          <w:sz w:val="24"/>
          <w:szCs w:val="24"/>
          <w:highlight w:val="none"/>
        </w:rPr>
        <w:t>（1）当所有</w:t>
      </w:r>
      <w:r>
        <w:rPr>
          <w:rFonts w:hint="eastAsia" w:eastAsia="楷体" w:cs="Times New Roman"/>
          <w:sz w:val="24"/>
          <w:szCs w:val="24"/>
          <w:highlight w:val="none"/>
          <w:lang w:eastAsia="zh-CN"/>
        </w:rPr>
        <w:t>分项</w:t>
      </w:r>
      <w:r>
        <w:rPr>
          <w:rFonts w:hint="default" w:ascii="Times New Roman" w:hAnsi="Times New Roman" w:eastAsia="楷体" w:cs="Times New Roman"/>
          <w:sz w:val="24"/>
          <w:szCs w:val="24"/>
          <w:highlight w:val="none"/>
        </w:rPr>
        <w:t>分数都高于</w:t>
      </w:r>
      <w:r>
        <w:rPr>
          <w:rFonts w:hint="eastAsia" w:eastAsia="楷体" w:cs="Times New Roman"/>
          <w:sz w:val="24"/>
          <w:szCs w:val="24"/>
          <w:highlight w:val="none"/>
          <w:lang w:eastAsia="zh-CN"/>
        </w:rPr>
        <w:t>70</w:t>
      </w:r>
      <w:r>
        <w:rPr>
          <w:rFonts w:hint="default" w:ascii="Times New Roman" w:hAnsi="Times New Roman" w:eastAsia="楷体" w:cs="Times New Roman"/>
          <w:sz w:val="24"/>
          <w:szCs w:val="24"/>
          <w:highlight w:val="none"/>
        </w:rPr>
        <w:t>分时，整体得分应高于</w:t>
      </w:r>
      <w:r>
        <w:rPr>
          <w:rFonts w:hint="eastAsia" w:eastAsia="楷体" w:cs="Times New Roman"/>
          <w:sz w:val="24"/>
          <w:szCs w:val="24"/>
          <w:highlight w:val="none"/>
          <w:lang w:eastAsia="zh-CN"/>
        </w:rPr>
        <w:t>70</w:t>
      </w:r>
      <w:r>
        <w:rPr>
          <w:rFonts w:hint="default" w:ascii="Times New Roman" w:hAnsi="Times New Roman" w:eastAsia="楷体" w:cs="Times New Roman"/>
          <w:sz w:val="24"/>
          <w:szCs w:val="24"/>
          <w:highlight w:val="none"/>
        </w:rPr>
        <w:t>分；</w:t>
      </w:r>
    </w:p>
    <w:p w14:paraId="6395648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楷体" w:cs="Times New Roman"/>
          <w:sz w:val="24"/>
          <w:szCs w:val="24"/>
          <w:highlight w:val="none"/>
        </w:rPr>
      </w:pPr>
      <w:r>
        <w:rPr>
          <w:rFonts w:hint="default" w:ascii="Times New Roman" w:hAnsi="Times New Roman" w:eastAsia="楷体" w:cs="Times New Roman"/>
          <w:sz w:val="24"/>
          <w:szCs w:val="24"/>
          <w:highlight w:val="none"/>
        </w:rPr>
        <w:t>（2）当所有</w:t>
      </w:r>
      <w:r>
        <w:rPr>
          <w:rFonts w:hint="eastAsia" w:eastAsia="楷体" w:cs="Times New Roman"/>
          <w:sz w:val="24"/>
          <w:szCs w:val="24"/>
          <w:highlight w:val="none"/>
          <w:lang w:eastAsia="zh-CN"/>
        </w:rPr>
        <w:t>分项</w:t>
      </w:r>
      <w:r>
        <w:rPr>
          <w:rFonts w:hint="default" w:ascii="Times New Roman" w:hAnsi="Times New Roman" w:eastAsia="楷体" w:cs="Times New Roman"/>
          <w:sz w:val="24"/>
          <w:szCs w:val="24"/>
          <w:highlight w:val="none"/>
        </w:rPr>
        <w:t>分数都高于</w:t>
      </w:r>
      <w:r>
        <w:rPr>
          <w:rFonts w:hint="eastAsia" w:eastAsia="楷体" w:cs="Times New Roman"/>
          <w:sz w:val="24"/>
          <w:szCs w:val="24"/>
          <w:highlight w:val="none"/>
          <w:lang w:eastAsia="zh-CN"/>
        </w:rPr>
        <w:t>40</w:t>
      </w:r>
      <w:r>
        <w:rPr>
          <w:rFonts w:hint="default" w:ascii="Times New Roman" w:hAnsi="Times New Roman" w:eastAsia="楷体" w:cs="Times New Roman"/>
          <w:sz w:val="24"/>
          <w:szCs w:val="24"/>
          <w:highlight w:val="none"/>
        </w:rPr>
        <w:t>分时，整体得分应高于</w:t>
      </w:r>
      <w:r>
        <w:rPr>
          <w:rFonts w:hint="eastAsia" w:eastAsia="楷体" w:cs="Times New Roman"/>
          <w:sz w:val="24"/>
          <w:szCs w:val="24"/>
          <w:highlight w:val="none"/>
          <w:lang w:eastAsia="zh-CN"/>
        </w:rPr>
        <w:t>40</w:t>
      </w:r>
      <w:r>
        <w:rPr>
          <w:rFonts w:hint="default" w:ascii="Times New Roman" w:hAnsi="Times New Roman" w:eastAsia="楷体" w:cs="Times New Roman"/>
          <w:sz w:val="24"/>
          <w:szCs w:val="24"/>
          <w:highlight w:val="none"/>
        </w:rPr>
        <w:t>分；</w:t>
      </w:r>
    </w:p>
    <w:p w14:paraId="0C9EBDD8">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楷体" w:cs="Times New Roman"/>
          <w:sz w:val="24"/>
          <w:szCs w:val="24"/>
          <w:highlight w:val="none"/>
        </w:rPr>
      </w:pPr>
      <w:r>
        <w:rPr>
          <w:rFonts w:hint="default" w:ascii="Times New Roman" w:hAnsi="Times New Roman" w:eastAsia="楷体" w:cs="Times New Roman"/>
          <w:sz w:val="24"/>
          <w:szCs w:val="24"/>
          <w:highlight w:val="none"/>
        </w:rPr>
        <w:t>（3）当有</w:t>
      </w:r>
      <w:r>
        <w:rPr>
          <w:rFonts w:hint="eastAsia" w:eastAsia="楷体" w:cs="Times New Roman"/>
          <w:sz w:val="24"/>
          <w:szCs w:val="24"/>
          <w:highlight w:val="none"/>
          <w:lang w:eastAsia="zh-CN"/>
        </w:rPr>
        <w:t>分项</w:t>
      </w:r>
      <w:r>
        <w:rPr>
          <w:rFonts w:hint="default" w:ascii="Times New Roman" w:hAnsi="Times New Roman" w:eastAsia="楷体" w:cs="Times New Roman"/>
          <w:sz w:val="24"/>
          <w:szCs w:val="24"/>
          <w:highlight w:val="none"/>
        </w:rPr>
        <w:t>分数</w:t>
      </w:r>
      <w:r>
        <w:rPr>
          <w:rFonts w:hint="eastAsia" w:eastAsia="楷体" w:cs="Times New Roman"/>
          <w:sz w:val="24"/>
          <w:szCs w:val="24"/>
          <w:highlight w:val="none"/>
          <w:lang w:val="en-US" w:eastAsia="zh-CN"/>
        </w:rPr>
        <w:t>低于70分</w:t>
      </w:r>
      <w:r>
        <w:rPr>
          <w:rFonts w:hint="default" w:ascii="Times New Roman" w:hAnsi="Times New Roman" w:eastAsia="楷体" w:cs="Times New Roman"/>
          <w:sz w:val="24"/>
          <w:szCs w:val="24"/>
          <w:highlight w:val="none"/>
        </w:rPr>
        <w:t>时，</w:t>
      </w:r>
      <w:r>
        <w:rPr>
          <w:rFonts w:hint="eastAsia" w:eastAsia="楷体" w:cs="Times New Roman"/>
          <w:sz w:val="24"/>
          <w:szCs w:val="24"/>
          <w:highlight w:val="none"/>
          <w:lang w:val="en-US" w:eastAsia="zh-CN"/>
        </w:rPr>
        <w:t>其应得到特别关注</w:t>
      </w:r>
      <w:r>
        <w:rPr>
          <w:rFonts w:hint="default" w:ascii="Times New Roman" w:hAnsi="Times New Roman" w:eastAsia="楷体" w:cs="Times New Roman"/>
          <w:sz w:val="24"/>
          <w:szCs w:val="24"/>
          <w:highlight w:val="none"/>
        </w:rPr>
        <w:t>；</w:t>
      </w:r>
    </w:p>
    <w:p w14:paraId="77D8E2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楷体" w:cs="Times New Roman"/>
          <w:sz w:val="21"/>
          <w:szCs w:val="21"/>
          <w:highlight w:val="none"/>
        </w:rPr>
      </w:pPr>
      <w:r>
        <w:rPr>
          <w:rFonts w:hint="default" w:ascii="Times New Roman" w:hAnsi="Times New Roman" w:eastAsia="楷体" w:cs="Times New Roman"/>
          <w:sz w:val="24"/>
          <w:szCs w:val="24"/>
          <w:highlight w:val="none"/>
        </w:rPr>
        <w:t>（4）当有</w:t>
      </w:r>
      <w:r>
        <w:rPr>
          <w:rFonts w:hint="eastAsia" w:eastAsia="楷体" w:cs="Times New Roman"/>
          <w:sz w:val="24"/>
          <w:szCs w:val="24"/>
          <w:highlight w:val="none"/>
          <w:lang w:eastAsia="zh-CN"/>
        </w:rPr>
        <w:t>分项</w:t>
      </w:r>
      <w:r>
        <w:rPr>
          <w:rFonts w:hint="default" w:ascii="Times New Roman" w:hAnsi="Times New Roman" w:eastAsia="楷体" w:cs="Times New Roman"/>
          <w:sz w:val="24"/>
          <w:szCs w:val="24"/>
          <w:highlight w:val="none"/>
        </w:rPr>
        <w:t>分数</w:t>
      </w:r>
      <w:r>
        <w:rPr>
          <w:rFonts w:hint="eastAsia" w:eastAsia="楷体" w:cs="Times New Roman"/>
          <w:sz w:val="24"/>
          <w:szCs w:val="24"/>
          <w:highlight w:val="none"/>
          <w:lang w:val="en-US" w:eastAsia="zh-CN"/>
        </w:rPr>
        <w:t>低于40</w:t>
      </w:r>
      <w:r>
        <w:rPr>
          <w:rFonts w:hint="default" w:ascii="Times New Roman" w:hAnsi="Times New Roman" w:eastAsia="楷体" w:cs="Times New Roman"/>
          <w:sz w:val="24"/>
          <w:szCs w:val="24"/>
          <w:highlight w:val="none"/>
        </w:rPr>
        <w:t>分</w:t>
      </w:r>
      <w:r>
        <w:rPr>
          <w:rFonts w:hint="eastAsia" w:eastAsia="楷体" w:cs="Times New Roman"/>
          <w:sz w:val="24"/>
          <w:szCs w:val="24"/>
          <w:highlight w:val="none"/>
          <w:lang w:val="en-US" w:eastAsia="zh-CN"/>
        </w:rPr>
        <w:t>时</w:t>
      </w:r>
      <w:r>
        <w:rPr>
          <w:rFonts w:hint="default" w:ascii="Times New Roman" w:hAnsi="Times New Roman" w:eastAsia="楷体" w:cs="Times New Roman"/>
          <w:sz w:val="24"/>
          <w:szCs w:val="24"/>
          <w:highlight w:val="none"/>
        </w:rPr>
        <w:t>，</w:t>
      </w:r>
      <w:r>
        <w:rPr>
          <w:rFonts w:hint="eastAsia" w:eastAsia="楷体" w:cs="Times New Roman"/>
          <w:sz w:val="24"/>
          <w:szCs w:val="24"/>
          <w:highlight w:val="none"/>
          <w:lang w:val="en-US" w:eastAsia="zh-CN"/>
        </w:rPr>
        <w:t>其应得到更加进一步的关注</w:t>
      </w:r>
      <w:r>
        <w:rPr>
          <w:rFonts w:hint="default" w:ascii="Times New Roman" w:hAnsi="Times New Roman" w:eastAsia="楷体" w:cs="Times New Roman"/>
          <w:sz w:val="24"/>
          <w:szCs w:val="24"/>
          <w:highlight w:val="none"/>
        </w:rPr>
        <w:t>。</w:t>
      </w:r>
    </w:p>
    <w:p w14:paraId="75C7EFC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eastAsia="宋体" w:cs="Times New Roman"/>
          <w:sz w:val="21"/>
          <w:szCs w:val="21"/>
          <w:highlight w:val="none"/>
        </w:rPr>
      </w:pPr>
    </w:p>
    <w:bookmarkEnd w:id="17"/>
    <w:bookmarkEnd w:id="28"/>
    <w:bookmarkEnd w:id="33"/>
    <w:bookmarkEnd w:id="34"/>
    <w:p w14:paraId="6FFB5F44">
      <w:pPr>
        <w:rPr>
          <w:rFonts w:ascii="Times New Roman" w:eastAsia="宋体"/>
          <w:sz w:val="28"/>
          <w:szCs w:val="28"/>
          <w:highlight w:val="none"/>
        </w:rPr>
      </w:pPr>
      <w:bookmarkStart w:id="41" w:name="_Toc14142"/>
      <w:r>
        <w:rPr>
          <w:rFonts w:ascii="Times New Roman" w:eastAsia="宋体"/>
          <w:sz w:val="28"/>
          <w:szCs w:val="28"/>
          <w:highlight w:val="none"/>
        </w:rPr>
        <w:br w:type="page"/>
      </w:r>
    </w:p>
    <w:p w14:paraId="46C8F4DC">
      <w:pPr>
        <w:pStyle w:val="55"/>
        <w:widowControl w:val="0"/>
        <w:shd w:val="clear" w:color="auto" w:fill="FFFFFF"/>
        <w:tabs>
          <w:tab w:val="clear" w:pos="360"/>
        </w:tabs>
        <w:spacing w:before="468" w:beforeLines="150" w:after="468" w:afterLines="150" w:line="700" w:lineRule="exact"/>
        <w:ind w:left="604"/>
        <w:rPr>
          <w:rFonts w:ascii="Times New Roman" w:eastAsia="宋体"/>
          <w:sz w:val="28"/>
          <w:szCs w:val="28"/>
          <w:highlight w:val="none"/>
        </w:rPr>
      </w:pPr>
      <w:r>
        <w:rPr>
          <w:rFonts w:ascii="Times New Roman" w:eastAsia="宋体"/>
          <w:sz w:val="28"/>
          <w:szCs w:val="28"/>
          <w:highlight w:val="none"/>
        </w:rPr>
        <w:t>用词说明</w:t>
      </w:r>
      <w:bookmarkEnd w:id="41"/>
    </w:p>
    <w:p w14:paraId="71233078">
      <w:pPr>
        <w:numPr>
          <w:ilvl w:val="255"/>
          <w:numId w:val="0"/>
        </w:numPr>
        <w:spacing w:line="360" w:lineRule="auto"/>
        <w:rPr>
          <w:rFonts w:eastAsia="新宋体"/>
          <w:bCs/>
          <w:sz w:val="24"/>
          <w:highlight w:val="none"/>
        </w:rPr>
      </w:pPr>
      <w:r>
        <w:rPr>
          <w:rFonts w:hint="eastAsia" w:eastAsia="新宋体"/>
          <w:bCs/>
          <w:sz w:val="24"/>
          <w:highlight w:val="none"/>
        </w:rPr>
        <w:t>为便于在执行</w:t>
      </w:r>
      <w:r>
        <w:rPr>
          <w:rFonts w:hint="eastAsia" w:eastAsia="新宋体"/>
          <w:bCs/>
          <w:sz w:val="24"/>
          <w:highlight w:val="none"/>
          <w:lang w:eastAsia="zh-CN"/>
        </w:rPr>
        <w:t>本标准</w:t>
      </w:r>
      <w:r>
        <w:rPr>
          <w:rFonts w:hint="eastAsia" w:eastAsia="新宋体"/>
          <w:bCs/>
          <w:sz w:val="24"/>
          <w:highlight w:val="none"/>
        </w:rPr>
        <w:t>条款时区别对待，对要求严格程度不同的用词说明如下：</w:t>
      </w:r>
    </w:p>
    <w:p w14:paraId="22CEE822">
      <w:pPr>
        <w:numPr>
          <w:ilvl w:val="255"/>
          <w:numId w:val="0"/>
        </w:numPr>
        <w:spacing w:line="360" w:lineRule="auto"/>
        <w:rPr>
          <w:rFonts w:eastAsia="新宋体"/>
          <w:bCs/>
          <w:sz w:val="24"/>
          <w:highlight w:val="none"/>
        </w:rPr>
      </w:pPr>
      <w:r>
        <w:rPr>
          <w:rFonts w:hint="eastAsia" w:eastAsia="新宋体"/>
          <w:bCs/>
          <w:sz w:val="24"/>
          <w:highlight w:val="none"/>
        </w:rPr>
        <w:t>1 表示很严格，非这样做不可的：</w:t>
      </w:r>
    </w:p>
    <w:p w14:paraId="399D91A5">
      <w:pPr>
        <w:numPr>
          <w:ilvl w:val="255"/>
          <w:numId w:val="0"/>
        </w:numPr>
        <w:spacing w:line="360" w:lineRule="auto"/>
        <w:rPr>
          <w:rFonts w:eastAsia="新宋体"/>
          <w:bCs/>
          <w:sz w:val="24"/>
          <w:highlight w:val="none"/>
        </w:rPr>
      </w:pPr>
      <w:r>
        <w:rPr>
          <w:rFonts w:hint="eastAsia" w:eastAsia="新宋体"/>
          <w:bCs/>
          <w:sz w:val="24"/>
          <w:highlight w:val="none"/>
        </w:rPr>
        <w:t xml:space="preserve">   正面词采用“必须”，反面词采用“严禁”；</w:t>
      </w:r>
    </w:p>
    <w:p w14:paraId="4A75EB9E">
      <w:pPr>
        <w:numPr>
          <w:ilvl w:val="255"/>
          <w:numId w:val="0"/>
        </w:numPr>
        <w:spacing w:line="360" w:lineRule="auto"/>
        <w:rPr>
          <w:rFonts w:eastAsia="新宋体"/>
          <w:bCs/>
          <w:sz w:val="24"/>
          <w:highlight w:val="none"/>
        </w:rPr>
      </w:pPr>
      <w:r>
        <w:rPr>
          <w:rFonts w:hint="eastAsia" w:eastAsia="新宋体"/>
          <w:bCs/>
          <w:sz w:val="24"/>
          <w:highlight w:val="none"/>
        </w:rPr>
        <w:t>2 表示严格，在正常情况下均应这样做的：</w:t>
      </w:r>
    </w:p>
    <w:p w14:paraId="1DDFFE2C">
      <w:pPr>
        <w:numPr>
          <w:ilvl w:val="255"/>
          <w:numId w:val="0"/>
        </w:numPr>
        <w:spacing w:line="360" w:lineRule="auto"/>
        <w:rPr>
          <w:rFonts w:eastAsia="新宋体"/>
          <w:bCs/>
          <w:sz w:val="24"/>
          <w:highlight w:val="none"/>
        </w:rPr>
      </w:pPr>
      <w:r>
        <w:rPr>
          <w:rFonts w:hint="eastAsia" w:eastAsia="新宋体"/>
          <w:bCs/>
          <w:sz w:val="24"/>
          <w:highlight w:val="none"/>
        </w:rPr>
        <w:t xml:space="preserve">   正面词采用“应”，反面词采用“不应”或“不得”；</w:t>
      </w:r>
    </w:p>
    <w:p w14:paraId="3C5FD282">
      <w:pPr>
        <w:numPr>
          <w:ilvl w:val="255"/>
          <w:numId w:val="0"/>
        </w:numPr>
        <w:spacing w:line="360" w:lineRule="auto"/>
        <w:rPr>
          <w:rFonts w:eastAsia="新宋体"/>
          <w:bCs/>
          <w:sz w:val="24"/>
          <w:highlight w:val="none"/>
        </w:rPr>
      </w:pPr>
      <w:r>
        <w:rPr>
          <w:rFonts w:hint="eastAsia" w:eastAsia="新宋体"/>
          <w:bCs/>
          <w:sz w:val="24"/>
          <w:highlight w:val="none"/>
        </w:rPr>
        <w:t>3 表示允许稍有选择，在条件许可时首先应这样做的：</w:t>
      </w:r>
    </w:p>
    <w:p w14:paraId="0344B4C6">
      <w:pPr>
        <w:numPr>
          <w:ilvl w:val="255"/>
          <w:numId w:val="0"/>
        </w:numPr>
        <w:spacing w:line="360" w:lineRule="auto"/>
        <w:rPr>
          <w:rFonts w:eastAsia="新宋体"/>
          <w:bCs/>
          <w:sz w:val="24"/>
          <w:highlight w:val="none"/>
        </w:rPr>
      </w:pPr>
      <w:r>
        <w:rPr>
          <w:rFonts w:hint="eastAsia" w:eastAsia="新宋体"/>
          <w:bCs/>
          <w:sz w:val="24"/>
          <w:highlight w:val="none"/>
        </w:rPr>
        <w:t xml:space="preserve">   正面词采用“宜”，反面词采用“不宜”；</w:t>
      </w:r>
    </w:p>
    <w:p w14:paraId="412FEA71">
      <w:pPr>
        <w:numPr>
          <w:ilvl w:val="255"/>
          <w:numId w:val="0"/>
        </w:numPr>
        <w:spacing w:line="360" w:lineRule="auto"/>
        <w:rPr>
          <w:rFonts w:eastAsia="新宋体"/>
          <w:bCs/>
          <w:sz w:val="24"/>
          <w:highlight w:val="none"/>
        </w:rPr>
      </w:pPr>
      <w:r>
        <w:rPr>
          <w:rFonts w:hint="eastAsia" w:eastAsia="新宋体"/>
          <w:bCs/>
          <w:sz w:val="24"/>
          <w:highlight w:val="none"/>
        </w:rPr>
        <w:t>4 表示有选择，在一定条件下可以这样做的，采用“可”。</w:t>
      </w:r>
    </w:p>
    <w:p w14:paraId="6D65CA21">
      <w:pPr>
        <w:numPr>
          <w:ilvl w:val="255"/>
          <w:numId w:val="0"/>
        </w:numPr>
        <w:rPr>
          <w:highlight w:val="none"/>
        </w:rPr>
      </w:pPr>
    </w:p>
    <w:p w14:paraId="454BDD05">
      <w:pPr>
        <w:numPr>
          <w:ilvl w:val="255"/>
          <w:numId w:val="0"/>
        </w:numPr>
        <w:rPr>
          <w:highlight w:val="none"/>
        </w:rPr>
        <w:sectPr>
          <w:pgSz w:w="11907" w:h="16839"/>
          <w:pgMar w:top="1418" w:right="1512" w:bottom="1134" w:left="1418" w:header="1418" w:footer="851" w:gutter="0"/>
          <w:pgBorders>
            <w:top w:val="none" w:sz="0" w:space="0"/>
            <w:left w:val="none" w:sz="0" w:space="0"/>
            <w:bottom w:val="none" w:sz="0" w:space="0"/>
            <w:right w:val="none" w:sz="0" w:space="0"/>
          </w:pgBorders>
          <w:cols w:space="425" w:num="1"/>
          <w:titlePg/>
          <w:docGrid w:type="lines" w:linePitch="312" w:charSpace="0"/>
        </w:sectPr>
      </w:pPr>
    </w:p>
    <w:p w14:paraId="29C31119">
      <w:pPr>
        <w:pStyle w:val="55"/>
        <w:widowControl w:val="0"/>
        <w:shd w:val="clear" w:color="auto" w:fill="FFFFFF"/>
        <w:tabs>
          <w:tab w:val="clear" w:pos="360"/>
        </w:tabs>
        <w:spacing w:before="468" w:beforeLines="150" w:after="468" w:afterLines="150" w:line="700" w:lineRule="exact"/>
        <w:ind w:left="604"/>
        <w:rPr>
          <w:rFonts w:ascii="Times New Roman" w:eastAsia="宋体"/>
          <w:sz w:val="28"/>
          <w:szCs w:val="28"/>
          <w:highlight w:val="none"/>
        </w:rPr>
      </w:pPr>
      <w:bookmarkStart w:id="42" w:name="_Toc13980"/>
      <w:r>
        <w:rPr>
          <w:rFonts w:ascii="Times New Roman" w:eastAsia="宋体"/>
          <w:sz w:val="28"/>
          <w:szCs w:val="28"/>
          <w:highlight w:val="none"/>
        </w:rPr>
        <w:t>引用标准名录</w:t>
      </w:r>
      <w:bookmarkEnd w:id="42"/>
    </w:p>
    <w:p w14:paraId="7E957CAC">
      <w:pPr>
        <w:widowControl/>
        <w:tabs>
          <w:tab w:val="left" w:pos="312"/>
        </w:tabs>
        <w:adjustRightInd w:val="0"/>
        <w:snapToGrid w:val="0"/>
        <w:spacing w:line="360" w:lineRule="auto"/>
        <w:ind w:firstLine="480" w:firstLineChars="200"/>
        <w:jc w:val="left"/>
        <w:rPr>
          <w:bCs/>
          <w:sz w:val="24"/>
          <w:highlight w:val="none"/>
        </w:rPr>
      </w:pPr>
      <w:r>
        <w:rPr>
          <w:bCs/>
          <w:sz w:val="24"/>
          <w:highlight w:val="none"/>
        </w:rPr>
        <w:t>本标准引用下列标准。其中，注日期的，仅该日期对应的版本适用</w:t>
      </w:r>
      <w:r>
        <w:rPr>
          <w:rFonts w:hint="eastAsia"/>
          <w:bCs/>
          <w:sz w:val="24"/>
          <w:highlight w:val="none"/>
          <w:lang w:eastAsia="zh-CN"/>
        </w:rPr>
        <w:t>本标准</w:t>
      </w:r>
      <w:r>
        <w:rPr>
          <w:bCs/>
          <w:sz w:val="24"/>
          <w:highlight w:val="none"/>
        </w:rPr>
        <w:t>；不注日期的，其最新版适用于</w:t>
      </w:r>
      <w:r>
        <w:rPr>
          <w:rFonts w:hint="eastAsia"/>
          <w:bCs/>
          <w:sz w:val="24"/>
          <w:highlight w:val="none"/>
          <w:lang w:eastAsia="zh-CN"/>
        </w:rPr>
        <w:t>本标准</w:t>
      </w:r>
      <w:r>
        <w:rPr>
          <w:bCs/>
          <w:sz w:val="24"/>
          <w:highlight w:val="none"/>
        </w:rPr>
        <w:t>。</w:t>
      </w:r>
    </w:p>
    <w:p w14:paraId="1915ECA3">
      <w:pPr>
        <w:pStyle w:val="155"/>
        <w:widowControl/>
        <w:numPr>
          <w:ilvl w:val="0"/>
          <w:numId w:val="18"/>
        </w:numPr>
        <w:spacing w:line="360" w:lineRule="auto"/>
        <w:ind w:left="0" w:firstLine="420"/>
        <w:jc w:val="left"/>
        <w:rPr>
          <w:rFonts w:hint="default" w:ascii="Times New Roman" w:hAnsi="Times New Roman" w:eastAsia="宋体" w:cs="Times New Roman"/>
          <w:snapToGrid w:val="0"/>
          <w:kern w:val="0"/>
          <w:szCs w:val="21"/>
          <w:lang w:val="en-US" w:eastAsia="zh-CN"/>
        </w:rPr>
      </w:pPr>
      <w:r>
        <w:rPr>
          <w:rFonts w:hint="eastAsia" w:ascii="Times New Roman" w:hAnsi="Times New Roman" w:eastAsia="宋体" w:cs="Times New Roman"/>
          <w:snapToGrid w:val="0"/>
          <w:kern w:val="0"/>
          <w:szCs w:val="21"/>
          <w:lang w:eastAsia="zh-CN"/>
        </w:rPr>
        <w:t>《</w:t>
      </w:r>
      <w:r>
        <w:rPr>
          <w:rFonts w:hint="default" w:ascii="Times New Roman" w:hAnsi="Times New Roman" w:eastAsia="宋体" w:cs="Times New Roman"/>
          <w:snapToGrid w:val="0"/>
          <w:kern w:val="0"/>
          <w:szCs w:val="21"/>
        </w:rPr>
        <w:t>采暖空调系统水质</w:t>
      </w:r>
      <w:r>
        <w:rPr>
          <w:rFonts w:hint="eastAsia" w:ascii="Times New Roman" w:hAnsi="Times New Roman" w:eastAsia="宋体" w:cs="Times New Roman"/>
          <w:snapToGrid w:val="0"/>
          <w:kern w:val="0"/>
          <w:szCs w:val="21"/>
          <w:lang w:eastAsia="zh-CN"/>
        </w:rPr>
        <w:t>》</w:t>
      </w:r>
      <w:r>
        <w:rPr>
          <w:rFonts w:hint="default" w:ascii="Times New Roman" w:hAnsi="Times New Roman" w:eastAsia="宋体" w:cs="Times New Roman"/>
          <w:snapToGrid w:val="0"/>
          <w:kern w:val="0"/>
          <w:szCs w:val="21"/>
        </w:rPr>
        <w:t>GB/T 29044</w:t>
      </w:r>
    </w:p>
    <w:p w14:paraId="1323CFE7">
      <w:pPr>
        <w:pStyle w:val="155"/>
        <w:widowControl/>
        <w:numPr>
          <w:ilvl w:val="0"/>
          <w:numId w:val="18"/>
        </w:numPr>
        <w:spacing w:line="360" w:lineRule="auto"/>
        <w:ind w:left="0" w:firstLine="420"/>
        <w:jc w:val="left"/>
        <w:rPr>
          <w:rFonts w:hint="default" w:ascii="Times New Roman" w:hAnsi="Times New Roman" w:eastAsia="宋体" w:cs="Times New Roman"/>
          <w:snapToGrid w:val="0"/>
          <w:kern w:val="0"/>
          <w:szCs w:val="21"/>
        </w:rPr>
      </w:pPr>
      <w:r>
        <w:rPr>
          <w:rFonts w:hint="eastAsia" w:ascii="Times New Roman" w:hAnsi="Times New Roman" w:eastAsia="宋体" w:cs="Times New Roman"/>
          <w:snapToGrid w:val="0"/>
          <w:kern w:val="0"/>
          <w:szCs w:val="21"/>
          <w:lang w:eastAsia="zh-CN"/>
        </w:rPr>
        <w:t>《</w:t>
      </w:r>
      <w:r>
        <w:rPr>
          <w:rFonts w:hint="default" w:ascii="Times New Roman" w:hAnsi="Times New Roman" w:eastAsia="宋体" w:cs="Times New Roman"/>
          <w:snapToGrid w:val="0"/>
          <w:kern w:val="0"/>
          <w:szCs w:val="21"/>
        </w:rPr>
        <w:t>空调系统水质维护技术规程</w:t>
      </w:r>
      <w:r>
        <w:rPr>
          <w:rFonts w:hint="eastAsia" w:ascii="Times New Roman" w:hAnsi="Times New Roman" w:eastAsia="宋体" w:cs="Times New Roman"/>
          <w:snapToGrid w:val="0"/>
          <w:kern w:val="0"/>
          <w:szCs w:val="21"/>
          <w:lang w:eastAsia="zh-CN"/>
        </w:rPr>
        <w:t>》</w:t>
      </w:r>
      <w:r>
        <w:rPr>
          <w:rFonts w:hint="default" w:ascii="Times New Roman" w:hAnsi="Times New Roman" w:eastAsia="宋体" w:cs="Times New Roman"/>
          <w:snapToGrid w:val="0"/>
          <w:kern w:val="0"/>
          <w:szCs w:val="21"/>
        </w:rPr>
        <w:t>T/CECS 881</w:t>
      </w:r>
    </w:p>
    <w:p w14:paraId="699DA28E">
      <w:pPr>
        <w:widowControl/>
        <w:tabs>
          <w:tab w:val="left" w:pos="312"/>
        </w:tabs>
        <w:adjustRightInd w:val="0"/>
        <w:snapToGrid w:val="0"/>
        <w:spacing w:line="360" w:lineRule="auto"/>
        <w:ind w:firstLine="480" w:firstLineChars="200"/>
        <w:jc w:val="left"/>
        <w:rPr>
          <w:bCs/>
          <w:sz w:val="24"/>
          <w:highlight w:val="none"/>
        </w:rPr>
      </w:pPr>
    </w:p>
    <w:p w14:paraId="0608D3A6">
      <w:pPr>
        <w:numPr>
          <w:ilvl w:val="255"/>
          <w:numId w:val="0"/>
        </w:numPr>
        <w:rPr>
          <w:highlight w:val="none"/>
        </w:rPr>
      </w:pPr>
    </w:p>
    <w:p w14:paraId="0D2A0F56">
      <w:pPr>
        <w:numPr>
          <w:ilvl w:val="255"/>
          <w:numId w:val="0"/>
        </w:numPr>
        <w:rPr>
          <w:highlight w:val="none"/>
        </w:rPr>
      </w:pPr>
    </w:p>
    <w:p w14:paraId="5AD6D60E">
      <w:pPr>
        <w:numPr>
          <w:ilvl w:val="255"/>
          <w:numId w:val="0"/>
        </w:numPr>
        <w:rPr>
          <w:highlight w:val="none"/>
        </w:rPr>
      </w:pPr>
    </w:p>
    <w:p w14:paraId="3D716494">
      <w:pPr>
        <w:numPr>
          <w:ilvl w:val="255"/>
          <w:numId w:val="0"/>
        </w:numPr>
        <w:rPr>
          <w:highlight w:val="none"/>
        </w:rPr>
      </w:pPr>
    </w:p>
    <w:p w14:paraId="05267166">
      <w:pPr>
        <w:numPr>
          <w:ilvl w:val="255"/>
          <w:numId w:val="0"/>
        </w:numPr>
        <w:rPr>
          <w:highlight w:val="none"/>
        </w:rPr>
      </w:pPr>
    </w:p>
    <w:p w14:paraId="0E45C2CA">
      <w:pPr>
        <w:numPr>
          <w:ilvl w:val="255"/>
          <w:numId w:val="0"/>
        </w:numPr>
        <w:rPr>
          <w:highlight w:val="none"/>
        </w:rPr>
      </w:pPr>
    </w:p>
    <w:p w14:paraId="03C4621E">
      <w:pPr>
        <w:numPr>
          <w:ilvl w:val="255"/>
          <w:numId w:val="0"/>
        </w:numPr>
        <w:rPr>
          <w:highlight w:val="none"/>
        </w:rPr>
      </w:pPr>
    </w:p>
    <w:p w14:paraId="744C8EEB">
      <w:pPr>
        <w:numPr>
          <w:ilvl w:val="255"/>
          <w:numId w:val="0"/>
        </w:numPr>
        <w:rPr>
          <w:highlight w:val="none"/>
        </w:rPr>
      </w:pPr>
    </w:p>
    <w:p w14:paraId="7CF7C43E">
      <w:pPr>
        <w:numPr>
          <w:ilvl w:val="255"/>
          <w:numId w:val="0"/>
        </w:numPr>
        <w:rPr>
          <w:highlight w:val="none"/>
        </w:rPr>
      </w:pPr>
    </w:p>
    <w:p w14:paraId="39CD6ED7">
      <w:pPr>
        <w:numPr>
          <w:ilvl w:val="255"/>
          <w:numId w:val="0"/>
        </w:numPr>
        <w:rPr>
          <w:highlight w:val="none"/>
        </w:rPr>
      </w:pPr>
    </w:p>
    <w:p w14:paraId="190BE2DE">
      <w:pPr>
        <w:numPr>
          <w:ilvl w:val="255"/>
          <w:numId w:val="0"/>
        </w:numPr>
        <w:rPr>
          <w:highlight w:val="none"/>
        </w:rPr>
      </w:pPr>
    </w:p>
    <w:p w14:paraId="0AB3E624">
      <w:pPr>
        <w:numPr>
          <w:ilvl w:val="255"/>
          <w:numId w:val="0"/>
        </w:numPr>
        <w:rPr>
          <w:highlight w:val="none"/>
        </w:rPr>
      </w:pPr>
    </w:p>
    <w:p w14:paraId="52F8A8C4">
      <w:pPr>
        <w:numPr>
          <w:ilvl w:val="255"/>
          <w:numId w:val="0"/>
        </w:numPr>
        <w:rPr>
          <w:highlight w:val="none"/>
        </w:rPr>
      </w:pPr>
    </w:p>
    <w:p w14:paraId="63187350">
      <w:pPr>
        <w:numPr>
          <w:ilvl w:val="255"/>
          <w:numId w:val="0"/>
        </w:numPr>
        <w:rPr>
          <w:highlight w:val="none"/>
        </w:rPr>
      </w:pPr>
    </w:p>
    <w:p w14:paraId="5696EFBB">
      <w:pPr>
        <w:numPr>
          <w:ilvl w:val="255"/>
          <w:numId w:val="0"/>
        </w:numPr>
        <w:rPr>
          <w:highlight w:val="none"/>
        </w:rPr>
      </w:pPr>
    </w:p>
    <w:p w14:paraId="4F2DA0B2">
      <w:pPr>
        <w:numPr>
          <w:ilvl w:val="255"/>
          <w:numId w:val="0"/>
        </w:numPr>
        <w:rPr>
          <w:highlight w:val="none"/>
        </w:rPr>
      </w:pPr>
    </w:p>
    <w:p w14:paraId="5F204110">
      <w:pPr>
        <w:numPr>
          <w:ilvl w:val="255"/>
          <w:numId w:val="0"/>
        </w:numPr>
        <w:rPr>
          <w:highlight w:val="none"/>
        </w:rPr>
      </w:pPr>
    </w:p>
    <w:p w14:paraId="0DD5AAD4">
      <w:pPr>
        <w:numPr>
          <w:ilvl w:val="255"/>
          <w:numId w:val="0"/>
        </w:numPr>
        <w:rPr>
          <w:highlight w:val="none"/>
        </w:rPr>
      </w:pPr>
    </w:p>
    <w:p w14:paraId="2B92D05B">
      <w:pPr>
        <w:numPr>
          <w:ilvl w:val="255"/>
          <w:numId w:val="0"/>
        </w:numPr>
        <w:rPr>
          <w:highlight w:val="none"/>
        </w:rPr>
      </w:pPr>
    </w:p>
    <w:p w14:paraId="1F1DD8AC">
      <w:pPr>
        <w:numPr>
          <w:ilvl w:val="255"/>
          <w:numId w:val="0"/>
        </w:numPr>
        <w:rPr>
          <w:highlight w:val="none"/>
        </w:rPr>
      </w:pPr>
    </w:p>
    <w:p w14:paraId="37DE1CB5">
      <w:pPr>
        <w:numPr>
          <w:ilvl w:val="255"/>
          <w:numId w:val="0"/>
        </w:numPr>
        <w:rPr>
          <w:highlight w:val="none"/>
        </w:rPr>
      </w:pPr>
    </w:p>
    <w:p w14:paraId="1DC3073D">
      <w:pPr>
        <w:numPr>
          <w:ilvl w:val="255"/>
          <w:numId w:val="0"/>
        </w:numPr>
        <w:rPr>
          <w:highlight w:val="none"/>
        </w:rPr>
      </w:pPr>
    </w:p>
    <w:p w14:paraId="6FDB23FB">
      <w:pPr>
        <w:spacing w:line="360" w:lineRule="auto"/>
        <w:rPr>
          <w:b/>
          <w:sz w:val="28"/>
          <w:szCs w:val="28"/>
          <w:highlight w:val="none"/>
        </w:rPr>
      </w:pPr>
    </w:p>
    <w:sectPr>
      <w:pgSz w:w="11907" w:h="16839"/>
      <w:pgMar w:top="1418" w:right="1512" w:bottom="1134" w:left="1418" w:header="1418" w:footer="851" w:gutter="0"/>
      <w:pgBorders>
        <w:top w:val="none" w:sz="0" w:space="0"/>
        <w:left w:val="none" w:sz="0" w:space="0"/>
        <w:bottom w:val="none" w:sz="0" w:space="0"/>
        <w:right w:val="none" w:sz="0" w:space="0"/>
      </w:pgBorders>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roman"/>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Calibri Light">
    <w:panose1 w:val="020F0302020204030204"/>
    <w:charset w:val="00"/>
    <w:family w:val="swiss"/>
    <w:pitch w:val="default"/>
    <w:sig w:usb0="E4002EFF" w:usb1="C000247B" w:usb2="00000009" w:usb3="00000000" w:csb0="200001FF"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608B86">
    <w:pPr>
      <w:pStyle w:val="19"/>
      <w:jc w:val="center"/>
    </w:pPr>
  </w:p>
  <w:p w14:paraId="07E2AF64">
    <w:pPr>
      <w:pStyle w:val="51"/>
      <w:rPr>
        <w:rStyle w:val="3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5934509"/>
    </w:sdtPr>
    <w:sdtContent>
      <w:p w14:paraId="5188F2B6">
        <w:pPr>
          <w:pStyle w:val="19"/>
          <w:jc w:val="center"/>
        </w:pPr>
        <w:r>
          <w:t>1</w:t>
        </w:r>
      </w:p>
    </w:sdtContent>
  </w:sdt>
  <w:p w14:paraId="4C77A4DC">
    <w:pPr>
      <w:pStyle w:val="50"/>
      <w:rPr>
        <w:rStyle w:val="3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49309815"/>
    </w:sdtPr>
    <w:sdtContent>
      <w:p w14:paraId="75846863">
        <w:pPr>
          <w:pStyle w:val="19"/>
          <w:jc w:val="center"/>
        </w:pPr>
        <w:r>
          <w:fldChar w:fldCharType="begin"/>
        </w:r>
        <w:r>
          <w:instrText xml:space="preserve">PAGE   \* MERGEFORMAT</w:instrText>
        </w:r>
        <w:r>
          <w:fldChar w:fldCharType="separate"/>
        </w:r>
        <w:r>
          <w:rPr>
            <w:lang w:val="zh-CN"/>
          </w:rPr>
          <w:t>6</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61040405"/>
    </w:sdtPr>
    <w:sdtContent>
      <w:p w14:paraId="3D047A71">
        <w:pPr>
          <w:pStyle w:val="19"/>
          <w:jc w:val="center"/>
        </w:pPr>
        <w:r>
          <w:t>4</w:t>
        </w:r>
      </w:p>
    </w:sdtContent>
  </w:sdt>
  <w:p w14:paraId="492C489E">
    <w:pPr>
      <w:pStyle w:val="50"/>
      <w:rPr>
        <w:rStyle w:val="3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6668060"/>
    </w:sdtPr>
    <w:sdtContent>
      <w:p w14:paraId="7F976E33">
        <w:pPr>
          <w:pStyle w:val="19"/>
          <w:jc w:val="center"/>
        </w:pPr>
        <w:r>
          <w:fldChar w:fldCharType="begin"/>
        </w:r>
        <w:r>
          <w:instrText xml:space="preserve">PAGE   \* MERGEFORMAT</w:instrText>
        </w:r>
        <w:r>
          <w:fldChar w:fldCharType="separate"/>
        </w:r>
        <w:r>
          <w:rPr>
            <w:lang w:val="zh-CN"/>
          </w:rPr>
          <w:t>1</w:t>
        </w:r>
        <w:r>
          <w:fldChar w:fldCharType="end"/>
        </w:r>
      </w:p>
    </w:sdtContent>
  </w:sdt>
  <w:p w14:paraId="7FFD8E96">
    <w:pPr>
      <w:pStyle w:val="19"/>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45339974"/>
    </w:sdtPr>
    <w:sdtContent>
      <w:p w14:paraId="1365F586">
        <w:pPr>
          <w:pStyle w:val="19"/>
          <w:jc w:val="center"/>
        </w:pPr>
        <w:r>
          <w:fldChar w:fldCharType="begin"/>
        </w:r>
        <w:r>
          <w:instrText xml:space="preserve">PAGE   \* MERGEFORMAT</w:instrText>
        </w:r>
        <w:r>
          <w:fldChar w:fldCharType="separate"/>
        </w:r>
        <w:r>
          <w:rPr>
            <w:lang w:val="zh-CN"/>
          </w:rPr>
          <w:t>31</w:t>
        </w:r>
        <w:r>
          <w:fldChar w:fldCharType="end"/>
        </w:r>
      </w:p>
    </w:sdtContent>
  </w:sdt>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3782"/>
    </w:sdtPr>
    <w:sdtContent>
      <w:p w14:paraId="6CAC5B1C">
        <w:pPr>
          <w:pStyle w:val="19"/>
          <w:jc w:val="center"/>
        </w:pPr>
        <w:r>
          <w:fldChar w:fldCharType="begin"/>
        </w:r>
        <w:r>
          <w:instrText xml:space="preserve">PAGE   \* MERGEFORMAT</w:instrText>
        </w:r>
        <w:r>
          <w:fldChar w:fldCharType="separate"/>
        </w:r>
        <w:r>
          <w:rPr>
            <w:lang w:val="zh-CN"/>
          </w:rPr>
          <w:t>31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AC06F6">
    <w:pPr>
      <w:pStyle w:val="2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3BC8D7">
    <w:pPr>
      <w:pStyle w:val="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CDF14">
    <w:pPr>
      <w:pStyle w:val="2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51DE23"/>
    <w:multiLevelType w:val="singleLevel"/>
    <w:tmpl w:val="9851DE23"/>
    <w:lvl w:ilvl="0" w:tentative="0">
      <w:start w:val="1"/>
      <w:numFmt w:val="decimal"/>
      <w:lvlText w:val="%1"/>
      <w:lvlJc w:val="left"/>
      <w:pPr>
        <w:tabs>
          <w:tab w:val="left" w:pos="420"/>
        </w:tabs>
        <w:ind w:left="425" w:leftChars="0" w:hanging="425" w:firstLineChars="0"/>
      </w:pPr>
      <w:rPr>
        <w:rFonts w:hint="default"/>
      </w:rPr>
    </w:lvl>
  </w:abstractNum>
  <w:abstractNum w:abstractNumId="1">
    <w:nsid w:val="C9FC90B2"/>
    <w:multiLevelType w:val="singleLevel"/>
    <w:tmpl w:val="C9FC90B2"/>
    <w:lvl w:ilvl="0" w:tentative="0">
      <w:start w:val="1"/>
      <w:numFmt w:val="decimal"/>
      <w:lvlText w:val="%1"/>
      <w:lvlJc w:val="left"/>
      <w:pPr>
        <w:tabs>
          <w:tab w:val="left" w:pos="420"/>
        </w:tabs>
        <w:ind w:left="425" w:leftChars="0" w:hanging="425" w:firstLineChars="0"/>
      </w:pPr>
      <w:rPr>
        <w:rFonts w:hint="default"/>
      </w:rPr>
    </w:lvl>
  </w:abstractNum>
  <w:abstractNum w:abstractNumId="2">
    <w:nsid w:val="DDA6A284"/>
    <w:multiLevelType w:val="singleLevel"/>
    <w:tmpl w:val="DDA6A284"/>
    <w:lvl w:ilvl="0" w:tentative="0">
      <w:start w:val="1"/>
      <w:numFmt w:val="decimal"/>
      <w:lvlText w:val="%1"/>
      <w:lvlJc w:val="left"/>
      <w:pPr>
        <w:tabs>
          <w:tab w:val="left" w:pos="420"/>
        </w:tabs>
        <w:ind w:left="425" w:leftChars="0" w:hanging="425" w:firstLineChars="0"/>
      </w:pPr>
      <w:rPr>
        <w:rFonts w:hint="default"/>
      </w:rPr>
    </w:lvl>
  </w:abstractNum>
  <w:abstractNum w:abstractNumId="3">
    <w:nsid w:val="FA699C2B"/>
    <w:multiLevelType w:val="singleLevel"/>
    <w:tmpl w:val="FA699C2B"/>
    <w:lvl w:ilvl="0" w:tentative="0">
      <w:start w:val="1"/>
      <w:numFmt w:val="decimal"/>
      <w:lvlText w:val="%1"/>
      <w:lvlJc w:val="left"/>
      <w:pPr>
        <w:tabs>
          <w:tab w:val="left" w:pos="420"/>
        </w:tabs>
        <w:ind w:left="425" w:leftChars="0" w:hanging="425" w:firstLineChars="0"/>
      </w:pPr>
      <w:rPr>
        <w:rFonts w:hint="default"/>
      </w:rPr>
    </w:lvl>
  </w:abstractNum>
  <w:abstractNum w:abstractNumId="4">
    <w:nsid w:val="02BA1510"/>
    <w:multiLevelType w:val="singleLevel"/>
    <w:tmpl w:val="02BA1510"/>
    <w:lvl w:ilvl="0" w:tentative="0">
      <w:start w:val="1"/>
      <w:numFmt w:val="decimal"/>
      <w:lvlText w:val="%1"/>
      <w:lvlJc w:val="left"/>
      <w:pPr>
        <w:tabs>
          <w:tab w:val="left" w:pos="420"/>
        </w:tabs>
        <w:ind w:left="425" w:leftChars="0" w:hanging="425" w:firstLineChars="0"/>
      </w:pPr>
      <w:rPr>
        <w:rFonts w:hint="default"/>
      </w:rPr>
    </w:lvl>
  </w:abstractNum>
  <w:abstractNum w:abstractNumId="5">
    <w:nsid w:val="040A15CD"/>
    <w:multiLevelType w:val="multilevel"/>
    <w:tmpl w:val="040A15CD"/>
    <w:lvl w:ilvl="0" w:tentative="0">
      <w:start w:val="1"/>
      <w:numFmt w:val="none"/>
      <w:suff w:val="nothing"/>
      <w:lvlText w:val="　"/>
      <w:lvlJc w:val="left"/>
      <w:pPr>
        <w:ind w:left="0" w:firstLine="0"/>
      </w:pPr>
      <w:rPr>
        <w:rFonts w:hint="eastAsia" w:ascii="黑体" w:hAnsi="Times New Roman" w:eastAsia="黑体"/>
        <w:b w:val="0"/>
        <w:i w:val="0"/>
        <w:sz w:val="21"/>
      </w:rPr>
    </w:lvl>
    <w:lvl w:ilvl="1" w:tentative="0">
      <w:start w:val="1"/>
      <w:numFmt w:val="decimal"/>
      <w:isLgl/>
      <w:suff w:val="nothing"/>
      <w:lvlText w:val="%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3"/>
      <w:suff w:val="nothing"/>
      <w:lvlText w:val="%1%2.%3　"/>
      <w:lvlJc w:val="left"/>
      <w:pPr>
        <w:ind w:left="0" w:firstLine="0"/>
      </w:pPr>
      <w:rPr>
        <w:rFonts w:hint="eastAsia" w:ascii="黑体" w:hAnsi="Times New Roman" w:eastAsia="黑体"/>
        <w:b w:val="0"/>
        <w:i w:val="0"/>
        <w:sz w:val="21"/>
      </w:rPr>
    </w:lvl>
    <w:lvl w:ilvl="3" w:tentative="0">
      <w:start w:val="1"/>
      <w:numFmt w:val="decimal"/>
      <w:pStyle w:val="61"/>
      <w:suff w:val="nothing"/>
      <w:lvlText w:val="%1%2.%3.%4　"/>
      <w:lvlJc w:val="left"/>
      <w:pPr>
        <w:ind w:left="0" w:firstLine="0"/>
      </w:pPr>
      <w:rPr>
        <w:rFonts w:hint="eastAsia" w:ascii="黑体" w:hAnsi="Times New Roman" w:eastAsia="黑体"/>
        <w:b w:val="0"/>
        <w:i w:val="0"/>
        <w:sz w:val="21"/>
      </w:rPr>
    </w:lvl>
    <w:lvl w:ilvl="4" w:tentative="0">
      <w:start w:val="1"/>
      <w:numFmt w:val="decimal"/>
      <w:pStyle w:val="101"/>
      <w:suff w:val="nothing"/>
      <w:lvlText w:val="%1%2.%3.%4.%5　"/>
      <w:lvlJc w:val="left"/>
      <w:pPr>
        <w:ind w:left="0" w:firstLine="0"/>
      </w:pPr>
      <w:rPr>
        <w:rFonts w:hint="eastAsia" w:ascii="黑体" w:hAnsi="Times New Roman" w:eastAsia="黑体"/>
        <w:b w:val="0"/>
        <w:i w:val="0"/>
        <w:sz w:val="21"/>
      </w:rPr>
    </w:lvl>
    <w:lvl w:ilvl="5" w:tentative="0">
      <w:start w:val="1"/>
      <w:numFmt w:val="decimal"/>
      <w:pStyle w:val="106"/>
      <w:suff w:val="nothing"/>
      <w:lvlText w:val="%1%2.%3.%4.%5.%6　"/>
      <w:lvlJc w:val="left"/>
      <w:pPr>
        <w:ind w:left="0" w:firstLine="0"/>
      </w:pPr>
      <w:rPr>
        <w:rFonts w:hint="eastAsia" w:ascii="黑体" w:hAnsi="Times New Roman" w:eastAsia="黑体"/>
        <w:b w:val="0"/>
        <w:i w:val="0"/>
        <w:sz w:val="21"/>
      </w:rPr>
    </w:lvl>
    <w:lvl w:ilvl="6" w:tentative="0">
      <w:start w:val="1"/>
      <w:numFmt w:val="decimal"/>
      <w:pStyle w:val="11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6">
    <w:nsid w:val="0AE367E9"/>
    <w:multiLevelType w:val="multilevel"/>
    <w:tmpl w:val="0AE367E9"/>
    <w:lvl w:ilvl="0" w:tentative="0">
      <w:start w:val="1"/>
      <w:numFmt w:val="none"/>
      <w:pStyle w:val="103"/>
      <w:lvlText w:val="%1示例"/>
      <w:lvlJc w:val="left"/>
      <w:pPr>
        <w:tabs>
          <w:tab w:val="left" w:pos="1120"/>
        </w:tabs>
        <w:ind w:left="0" w:firstLine="400"/>
      </w:pPr>
      <w:rPr>
        <w:rFonts w:hint="eastAsia" w:ascii="宋体"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15E081A"/>
    <w:multiLevelType w:val="multilevel"/>
    <w:tmpl w:val="115E081A"/>
    <w:lvl w:ilvl="0" w:tentative="0">
      <w:start w:val="1"/>
      <w:numFmt w:val="decimal"/>
      <w:pStyle w:val="123"/>
      <w:suff w:val="nothing"/>
      <w:lvlText w:val="%1  "/>
      <w:lvlJc w:val="left"/>
      <w:rPr>
        <w:rFonts w:hint="eastAsia" w:ascii="黑体" w:eastAsia="黑体"/>
        <w:b w:val="0"/>
        <w:i w:val="0"/>
        <w:caps w:val="0"/>
        <w:smallCaps w:val="0"/>
        <w:strike w:val="0"/>
        <w:dstrike w:val="0"/>
        <w:vanish w:val="0"/>
        <w:color w:val="000000"/>
        <w:spacing w:val="0"/>
        <w:w w:val="100"/>
        <w:kern w:val="21"/>
        <w:position w:val="0"/>
        <w:sz w:val="21"/>
        <w:u w:val="none"/>
        <w:vertAlign w:val="baseline"/>
      </w:rPr>
    </w:lvl>
    <w:lvl w:ilvl="1" w:tentative="0">
      <w:start w:val="1"/>
      <w:numFmt w:val="decimal"/>
      <w:pStyle w:val="124"/>
      <w:suff w:val="nothing"/>
      <w:lvlText w:val="%1.%2  "/>
      <w:lvlJc w:val="left"/>
      <w:rPr>
        <w:rFonts w:hint="eastAsia" w:ascii="黑体" w:eastAsia="黑体"/>
        <w:b w:val="0"/>
        <w:i w:val="0"/>
        <w:caps w:val="0"/>
        <w:smallCaps w:val="0"/>
        <w:strike w:val="0"/>
        <w:dstrike w:val="0"/>
        <w:vanish w:val="0"/>
        <w:color w:val="000000"/>
        <w:spacing w:val="0"/>
        <w:w w:val="100"/>
        <w:kern w:val="21"/>
        <w:position w:val="0"/>
        <w:sz w:val="21"/>
        <w:u w:val="none"/>
        <w:vertAlign w:val="baseline"/>
      </w:rPr>
    </w:lvl>
    <w:lvl w:ilvl="2" w:tentative="0">
      <w:start w:val="1"/>
      <w:numFmt w:val="decimal"/>
      <w:suff w:val="nothing"/>
      <w:lvlText w:val="%1.%2.%3  "/>
      <w:lvlJc w:val="left"/>
      <w:rPr>
        <w:rFonts w:hint="eastAsia" w:ascii="黑体" w:eastAsia="黑体"/>
        <w:b w:val="0"/>
        <w:i w:val="0"/>
        <w:caps w:val="0"/>
        <w:smallCaps w:val="0"/>
        <w:strike w:val="0"/>
        <w:dstrike w:val="0"/>
        <w:vanish w:val="0"/>
        <w:color w:val="000000"/>
        <w:spacing w:val="0"/>
        <w:w w:val="100"/>
        <w:kern w:val="21"/>
        <w:position w:val="0"/>
        <w:sz w:val="21"/>
        <w:u w:val="none"/>
        <w:vertAlign w:val="baseline"/>
      </w:rPr>
    </w:lvl>
    <w:lvl w:ilvl="3" w:tentative="0">
      <w:start w:val="1"/>
      <w:numFmt w:val="decimal"/>
      <w:pStyle w:val="125"/>
      <w:suff w:val="nothing"/>
      <w:lvlText w:val="%1.%2.%3.%4  "/>
      <w:lvlJc w:val="left"/>
      <w:rPr>
        <w:rFonts w:hint="eastAsia" w:ascii="黑体" w:eastAsia="黑体"/>
        <w:b w:val="0"/>
        <w:i w:val="0"/>
        <w:caps w:val="0"/>
        <w:smallCaps w:val="0"/>
        <w:strike w:val="0"/>
        <w:dstrike w:val="0"/>
        <w:vanish w:val="0"/>
        <w:color w:val="000000"/>
        <w:spacing w:val="0"/>
        <w:w w:val="100"/>
        <w:kern w:val="21"/>
        <w:position w:val="0"/>
        <w:sz w:val="21"/>
        <w:u w:val="none"/>
        <w:vertAlign w:val="baseline"/>
      </w:rPr>
    </w:lvl>
    <w:lvl w:ilvl="4" w:tentative="0">
      <w:start w:val="1"/>
      <w:numFmt w:val="decimal"/>
      <w:pStyle w:val="126"/>
      <w:suff w:val="nothing"/>
      <w:lvlText w:val="%1.%2.%3.%4.%5  "/>
      <w:lvlJc w:val="left"/>
      <w:rPr>
        <w:rFonts w:hint="eastAsia" w:ascii="黑体" w:eastAsia="黑体"/>
        <w:b w:val="0"/>
        <w:i w:val="0"/>
        <w:caps w:val="0"/>
        <w:smallCaps w:val="0"/>
        <w:strike w:val="0"/>
        <w:dstrike w:val="0"/>
        <w:vanish w:val="0"/>
        <w:color w:val="000000"/>
        <w:spacing w:val="0"/>
        <w:w w:val="100"/>
        <w:kern w:val="21"/>
        <w:position w:val="0"/>
        <w:sz w:val="21"/>
        <w:u w:val="none"/>
        <w:vertAlign w:val="baseline"/>
      </w:rPr>
    </w:lvl>
    <w:lvl w:ilvl="5" w:tentative="0">
      <w:start w:val="1"/>
      <w:numFmt w:val="decimal"/>
      <w:pStyle w:val="127"/>
      <w:suff w:val="nothing"/>
      <w:lvlText w:val="%1.%2.%3.%4.%5.%6  "/>
      <w:lvlJc w:val="left"/>
      <w:rPr>
        <w:rFonts w:hint="eastAsia" w:ascii="黑体" w:eastAsia="黑体"/>
        <w:b w:val="0"/>
        <w:i w:val="0"/>
        <w:caps w:val="0"/>
        <w:smallCaps w:val="0"/>
        <w:strike w:val="0"/>
        <w:dstrike w:val="0"/>
        <w:vanish w:val="0"/>
        <w:color w:val="000000"/>
        <w:spacing w:val="0"/>
        <w:w w:val="100"/>
        <w:kern w:val="21"/>
        <w:position w:val="0"/>
        <w:sz w:val="21"/>
        <w:u w:val="none"/>
        <w:vertAlign w:val="baseline"/>
      </w:rPr>
    </w:lvl>
    <w:lvl w:ilvl="6" w:tentative="0">
      <w:start w:val="1"/>
      <w:numFmt w:val="lowerRoman"/>
      <w:lvlText w:val="(%7)"/>
      <w:lvlJc w:val="left"/>
      <w:pPr>
        <w:tabs>
          <w:tab w:val="left" w:pos="5528"/>
        </w:tabs>
        <w:ind w:left="5102" w:firstLine="0"/>
      </w:pPr>
    </w:lvl>
    <w:lvl w:ilvl="7" w:tentative="0">
      <w:start w:val="1"/>
      <w:numFmt w:val="lowerLetter"/>
      <w:lvlText w:val="(%8)"/>
      <w:lvlJc w:val="left"/>
      <w:pPr>
        <w:tabs>
          <w:tab w:val="left" w:pos="6378"/>
        </w:tabs>
        <w:ind w:left="5953" w:firstLine="0"/>
      </w:pPr>
    </w:lvl>
    <w:lvl w:ilvl="8" w:tentative="0">
      <w:start w:val="1"/>
      <w:numFmt w:val="lowerRoman"/>
      <w:lvlText w:val="(%9)"/>
      <w:lvlJc w:val="left"/>
      <w:pPr>
        <w:tabs>
          <w:tab w:val="left" w:pos="7228"/>
        </w:tabs>
        <w:ind w:left="6803" w:firstLine="0"/>
      </w:pPr>
    </w:lvl>
  </w:abstractNum>
  <w:abstractNum w:abstractNumId="8">
    <w:nsid w:val="1777615A"/>
    <w:multiLevelType w:val="multilevel"/>
    <w:tmpl w:val="1777615A"/>
    <w:lvl w:ilvl="0" w:tentative="0">
      <w:start w:val="1"/>
      <w:numFmt w:val="decimal"/>
      <w:lvlText w:val="%1"/>
      <w:lvlJc w:val="left"/>
      <w:pPr>
        <w:ind w:left="420" w:hanging="420"/>
      </w:pPr>
      <w:rPr>
        <w:rFonts w:hint="eastAsia" w:eastAsia="宋体"/>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3012116"/>
    <w:multiLevelType w:val="multilevel"/>
    <w:tmpl w:val="23012116"/>
    <w:lvl w:ilvl="0" w:tentative="0">
      <w:start w:val="1"/>
      <w:numFmt w:val="decimal"/>
      <w:pStyle w:val="128"/>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rPr>
        <w:rFonts w:hint="default"/>
      </w:r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0">
    <w:nsid w:val="407E65F9"/>
    <w:multiLevelType w:val="multilevel"/>
    <w:tmpl w:val="407E65F9"/>
    <w:lvl w:ilvl="0" w:tentative="0">
      <w:start w:val="1"/>
      <w:numFmt w:val="none"/>
      <w:pStyle w:val="86"/>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1">
    <w:nsid w:val="496E4D7B"/>
    <w:multiLevelType w:val="multilevel"/>
    <w:tmpl w:val="496E4D7B"/>
    <w:lvl w:ilvl="0" w:tentative="0">
      <w:start w:val="1"/>
      <w:numFmt w:val="none"/>
      <w:pStyle w:val="117"/>
      <w:lvlText w:val="%1注"/>
      <w:lvlJc w:val="left"/>
      <w:pPr>
        <w:tabs>
          <w:tab w:val="left" w:pos="900"/>
        </w:tabs>
        <w:ind w:left="900" w:hanging="50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2">
    <w:nsid w:val="557C2AF5"/>
    <w:multiLevelType w:val="multilevel"/>
    <w:tmpl w:val="557C2AF5"/>
    <w:lvl w:ilvl="0" w:tentative="0">
      <w:start w:val="1"/>
      <w:numFmt w:val="decimal"/>
      <w:pStyle w:val="115"/>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646260FA"/>
    <w:multiLevelType w:val="multilevel"/>
    <w:tmpl w:val="646260FA"/>
    <w:lvl w:ilvl="0" w:tentative="0">
      <w:start w:val="1"/>
      <w:numFmt w:val="decimal"/>
      <w:pStyle w:val="114"/>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74"/>
      <w:suff w:val="nothing"/>
      <w:lvlText w:val="附　录　%1"/>
      <w:lvlJc w:val="left"/>
      <w:pPr>
        <w:ind w:left="0" w:firstLine="0"/>
      </w:pPr>
      <w:rPr>
        <w:rFonts w:hint="eastAsia" w:ascii="黑体" w:hAnsi="Times New Roman" w:eastAsia="黑体"/>
        <w:b w:val="0"/>
        <w:i w:val="0"/>
        <w:sz w:val="21"/>
      </w:rPr>
    </w:lvl>
    <w:lvl w:ilvl="1" w:tentative="0">
      <w:start w:val="1"/>
      <w:numFmt w:val="decimal"/>
      <w:pStyle w:val="7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77"/>
      <w:suff w:val="nothing"/>
      <w:lvlText w:val="%1.%2.%3　"/>
      <w:lvlJc w:val="left"/>
      <w:pPr>
        <w:ind w:left="0" w:firstLine="0"/>
      </w:pPr>
      <w:rPr>
        <w:rFonts w:hint="eastAsia" w:ascii="黑体" w:hAnsi="Times New Roman" w:eastAsia="黑体"/>
        <w:b w:val="0"/>
        <w:i w:val="0"/>
        <w:sz w:val="21"/>
      </w:rPr>
    </w:lvl>
    <w:lvl w:ilvl="3" w:tentative="0">
      <w:start w:val="1"/>
      <w:numFmt w:val="decimal"/>
      <w:pStyle w:val="78"/>
      <w:suff w:val="nothing"/>
      <w:lvlText w:val="%1.%2.%3.%4　"/>
      <w:lvlJc w:val="left"/>
      <w:pPr>
        <w:ind w:left="0" w:firstLine="0"/>
      </w:pPr>
      <w:rPr>
        <w:rFonts w:hint="eastAsia" w:ascii="黑体" w:hAnsi="Times New Roman" w:eastAsia="黑体"/>
        <w:b w:val="0"/>
        <w:i w:val="0"/>
        <w:sz w:val="21"/>
      </w:rPr>
    </w:lvl>
    <w:lvl w:ilvl="4" w:tentative="0">
      <w:start w:val="1"/>
      <w:numFmt w:val="decimal"/>
      <w:pStyle w:val="79"/>
      <w:suff w:val="nothing"/>
      <w:lvlText w:val="%1.%2.%3.%4.%5　"/>
      <w:lvlJc w:val="left"/>
      <w:pPr>
        <w:ind w:left="0" w:firstLine="0"/>
      </w:pPr>
      <w:rPr>
        <w:rFonts w:hint="eastAsia" w:ascii="黑体" w:hAnsi="Times New Roman" w:eastAsia="黑体"/>
        <w:b w:val="0"/>
        <w:i w:val="0"/>
        <w:sz w:val="21"/>
      </w:rPr>
    </w:lvl>
    <w:lvl w:ilvl="5" w:tentative="0">
      <w:start w:val="1"/>
      <w:numFmt w:val="decimal"/>
      <w:pStyle w:val="80"/>
      <w:suff w:val="nothing"/>
      <w:lvlText w:val="%1.%2.%3.%4.%5.%6　"/>
      <w:lvlJc w:val="left"/>
      <w:pPr>
        <w:ind w:left="0" w:firstLine="0"/>
      </w:pPr>
      <w:rPr>
        <w:rFonts w:hint="eastAsia" w:ascii="黑体" w:hAnsi="Times New Roman" w:eastAsia="黑体"/>
        <w:b w:val="0"/>
        <w:i w:val="0"/>
        <w:sz w:val="21"/>
      </w:rPr>
    </w:lvl>
    <w:lvl w:ilvl="6" w:tentative="0">
      <w:start w:val="1"/>
      <w:numFmt w:val="decimal"/>
      <w:pStyle w:val="8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58"/>
      <w:suff w:val="nothing"/>
      <w:lvlText w:val="%1%2　"/>
      <w:lvlJc w:val="left"/>
      <w:pPr>
        <w:ind w:left="0" w:firstLine="0"/>
      </w:pPr>
      <w:rPr>
        <w:rFonts w:hint="eastAsia" w:ascii="黑体" w:hAnsi="Times New Roman" w:eastAsia="黑体"/>
        <w:b w:val="0"/>
        <w:i w:val="0"/>
        <w:sz w:val="21"/>
      </w:rPr>
    </w:lvl>
    <w:lvl w:ilvl="2" w:tentative="0">
      <w:start w:val="1"/>
      <w:numFmt w:val="decimal"/>
      <w:pStyle w:val="59"/>
      <w:suff w:val="nothing"/>
      <w:lvlText w:val="%1%2.%3　"/>
      <w:lvlJc w:val="left"/>
      <w:pPr>
        <w:ind w:left="0" w:firstLine="0"/>
      </w:pPr>
      <w:rPr>
        <w:rFonts w:hint="eastAsia" w:ascii="黑体" w:hAnsi="Times New Roman" w:eastAsia="黑体"/>
        <w:b w:val="0"/>
        <w:i w:val="0"/>
        <w:sz w:val="21"/>
      </w:rPr>
    </w:lvl>
    <w:lvl w:ilvl="3" w:tentative="0">
      <w:start w:val="1"/>
      <w:numFmt w:val="decimal"/>
      <w:pStyle w:val="60"/>
      <w:suff w:val="nothing"/>
      <w:lvlText w:val="%1%2.%3.%4　"/>
      <w:lvlJc w:val="left"/>
      <w:pPr>
        <w:ind w:left="0" w:firstLine="0"/>
      </w:pPr>
      <w:rPr>
        <w:rFonts w:hint="eastAsia" w:ascii="黑体" w:hAnsi="Times New Roman" w:eastAsia="黑体"/>
        <w:b w:val="0"/>
        <w:i w:val="0"/>
        <w:sz w:val="21"/>
      </w:rPr>
    </w:lvl>
    <w:lvl w:ilvl="4" w:tentative="0">
      <w:start w:val="1"/>
      <w:numFmt w:val="decimal"/>
      <w:pStyle w:val="100"/>
      <w:suff w:val="nothing"/>
      <w:lvlText w:val="%1%2.%3.%4.%5　"/>
      <w:lvlJc w:val="left"/>
      <w:pPr>
        <w:ind w:left="0" w:firstLine="0"/>
      </w:pPr>
      <w:rPr>
        <w:rFonts w:hint="eastAsia" w:ascii="黑体" w:hAnsi="Times New Roman" w:eastAsia="黑体"/>
        <w:b w:val="0"/>
        <w:i w:val="0"/>
        <w:sz w:val="21"/>
      </w:rPr>
    </w:lvl>
    <w:lvl w:ilvl="5" w:tentative="0">
      <w:start w:val="1"/>
      <w:numFmt w:val="decimal"/>
      <w:pStyle w:val="105"/>
      <w:suff w:val="nothing"/>
      <w:lvlText w:val="%1%2.%3.%4.%5.%6　"/>
      <w:lvlJc w:val="left"/>
      <w:pPr>
        <w:ind w:left="0" w:firstLine="0"/>
      </w:pPr>
      <w:rPr>
        <w:rFonts w:hint="eastAsia" w:ascii="黑体" w:hAnsi="Times New Roman" w:eastAsia="黑体"/>
        <w:b w:val="0"/>
        <w:i w:val="0"/>
        <w:sz w:val="21"/>
      </w:rPr>
    </w:lvl>
    <w:lvl w:ilvl="6" w:tentative="0">
      <w:start w:val="1"/>
      <w:numFmt w:val="decimal"/>
      <w:pStyle w:val="111"/>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6">
    <w:nsid w:val="6DBF04F4"/>
    <w:multiLevelType w:val="multilevel"/>
    <w:tmpl w:val="6DBF04F4"/>
    <w:lvl w:ilvl="0" w:tentative="0">
      <w:start w:val="1"/>
      <w:numFmt w:val="none"/>
      <w:pStyle w:val="116"/>
      <w:lvlText w:val="%1注："/>
      <w:lvlJc w:val="left"/>
      <w:pPr>
        <w:tabs>
          <w:tab w:val="left" w:pos="1140"/>
        </w:tabs>
        <w:ind w:left="840" w:hanging="420"/>
      </w:pPr>
      <w:rPr>
        <w:rFonts w:hint="eastAsia" w:ascii="宋体" w:hAnsi="Times New Roman" w:eastAsia="宋体"/>
        <w:b w:val="0"/>
        <w:i w:val="0"/>
        <w:sz w:val="18"/>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76933334"/>
    <w:multiLevelType w:val="multilevel"/>
    <w:tmpl w:val="76933334"/>
    <w:lvl w:ilvl="0" w:tentative="0">
      <w:start w:val="1"/>
      <w:numFmt w:val="none"/>
      <w:pStyle w:val="85"/>
      <w:lvlText w:val="%1——"/>
      <w:lvlJc w:val="left"/>
      <w:pPr>
        <w:tabs>
          <w:tab w:val="left" w:pos="1140"/>
        </w:tabs>
        <w:ind w:left="84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5"/>
  </w:num>
  <w:num w:numId="2">
    <w:abstractNumId w:val="5"/>
  </w:num>
  <w:num w:numId="3">
    <w:abstractNumId w:val="14"/>
  </w:num>
  <w:num w:numId="4">
    <w:abstractNumId w:val="17"/>
  </w:num>
  <w:num w:numId="5">
    <w:abstractNumId w:val="10"/>
  </w:num>
  <w:num w:numId="6">
    <w:abstractNumId w:val="6"/>
  </w:num>
  <w:num w:numId="7">
    <w:abstractNumId w:val="13"/>
  </w:num>
  <w:num w:numId="8">
    <w:abstractNumId w:val="12"/>
  </w:num>
  <w:num w:numId="9">
    <w:abstractNumId w:val="16"/>
  </w:num>
  <w:num w:numId="10">
    <w:abstractNumId w:val="11"/>
  </w:num>
  <w:num w:numId="11">
    <w:abstractNumId w:val="7"/>
  </w:num>
  <w:num w:numId="12">
    <w:abstractNumId w:val="9"/>
  </w:num>
  <w:num w:numId="13">
    <w:abstractNumId w:val="3"/>
  </w:num>
  <w:num w:numId="14">
    <w:abstractNumId w:val="1"/>
  </w:num>
  <w:num w:numId="15">
    <w:abstractNumId w:val="2"/>
  </w:num>
  <w:num w:numId="16">
    <w:abstractNumId w:val="0"/>
  </w:num>
  <w:num w:numId="17">
    <w:abstractNumId w:val="4"/>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trackRevisions w:val="1"/>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rM0MzY0MDExNTYxMTJU0lEKTi0uzszPAykwrAUATjLATiwAAAA="/>
    <w:docVar w:name="commondata" w:val="eyJoZGlkIjoiYWY2NDM2YWRhMTI0NmZkZGFjYzI0ZDE2ODBjOGRjM2EifQ=="/>
    <w:docVar w:name="KSO_WPS_MARK_KEY" w:val="c3260943-019f-4047-b177-cd9fe84c3363"/>
  </w:docVars>
  <w:rsids>
    <w:rsidRoot w:val="000F6094"/>
    <w:rsid w:val="00001B70"/>
    <w:rsid w:val="00002288"/>
    <w:rsid w:val="00002DC1"/>
    <w:rsid w:val="00002FAF"/>
    <w:rsid w:val="00003F4B"/>
    <w:rsid w:val="00004E87"/>
    <w:rsid w:val="00005ABB"/>
    <w:rsid w:val="0000627F"/>
    <w:rsid w:val="00007240"/>
    <w:rsid w:val="00007BC3"/>
    <w:rsid w:val="000116DF"/>
    <w:rsid w:val="00012711"/>
    <w:rsid w:val="00012A40"/>
    <w:rsid w:val="000137DC"/>
    <w:rsid w:val="00014AC6"/>
    <w:rsid w:val="00014B6B"/>
    <w:rsid w:val="00015C64"/>
    <w:rsid w:val="00016E8E"/>
    <w:rsid w:val="0002079F"/>
    <w:rsid w:val="00020E57"/>
    <w:rsid w:val="00022E0F"/>
    <w:rsid w:val="00023CCB"/>
    <w:rsid w:val="00024371"/>
    <w:rsid w:val="00024470"/>
    <w:rsid w:val="00024B00"/>
    <w:rsid w:val="00025A89"/>
    <w:rsid w:val="0002606F"/>
    <w:rsid w:val="000265A5"/>
    <w:rsid w:val="00027F62"/>
    <w:rsid w:val="00030508"/>
    <w:rsid w:val="00030F26"/>
    <w:rsid w:val="0003120E"/>
    <w:rsid w:val="00032EED"/>
    <w:rsid w:val="00032FC9"/>
    <w:rsid w:val="0003391B"/>
    <w:rsid w:val="00033A6E"/>
    <w:rsid w:val="000347CF"/>
    <w:rsid w:val="000357CA"/>
    <w:rsid w:val="000365A1"/>
    <w:rsid w:val="000367B3"/>
    <w:rsid w:val="00036813"/>
    <w:rsid w:val="000370CC"/>
    <w:rsid w:val="00037780"/>
    <w:rsid w:val="00037D64"/>
    <w:rsid w:val="000409D7"/>
    <w:rsid w:val="00040F15"/>
    <w:rsid w:val="00041713"/>
    <w:rsid w:val="00041847"/>
    <w:rsid w:val="0004206A"/>
    <w:rsid w:val="00042419"/>
    <w:rsid w:val="00043A8C"/>
    <w:rsid w:val="000459D6"/>
    <w:rsid w:val="0004627E"/>
    <w:rsid w:val="00047077"/>
    <w:rsid w:val="000475FE"/>
    <w:rsid w:val="00047757"/>
    <w:rsid w:val="00047F14"/>
    <w:rsid w:val="00050105"/>
    <w:rsid w:val="000513AC"/>
    <w:rsid w:val="00051DF2"/>
    <w:rsid w:val="000521E0"/>
    <w:rsid w:val="0005230B"/>
    <w:rsid w:val="00052AC1"/>
    <w:rsid w:val="0005360C"/>
    <w:rsid w:val="000538E0"/>
    <w:rsid w:val="00053905"/>
    <w:rsid w:val="0005448B"/>
    <w:rsid w:val="00056D4F"/>
    <w:rsid w:val="00057269"/>
    <w:rsid w:val="000577AC"/>
    <w:rsid w:val="000609A0"/>
    <w:rsid w:val="00062272"/>
    <w:rsid w:val="00062BBD"/>
    <w:rsid w:val="000636DB"/>
    <w:rsid w:val="00063A50"/>
    <w:rsid w:val="00063F4F"/>
    <w:rsid w:val="000640DE"/>
    <w:rsid w:val="000641CD"/>
    <w:rsid w:val="0006457B"/>
    <w:rsid w:val="00064BEE"/>
    <w:rsid w:val="00065787"/>
    <w:rsid w:val="000658CC"/>
    <w:rsid w:val="00065DE1"/>
    <w:rsid w:val="000660DB"/>
    <w:rsid w:val="00066933"/>
    <w:rsid w:val="00066B5D"/>
    <w:rsid w:val="00070057"/>
    <w:rsid w:val="0007033E"/>
    <w:rsid w:val="0007059B"/>
    <w:rsid w:val="00072FA2"/>
    <w:rsid w:val="0007382C"/>
    <w:rsid w:val="00073EBD"/>
    <w:rsid w:val="000743F7"/>
    <w:rsid w:val="00074CB9"/>
    <w:rsid w:val="00075E35"/>
    <w:rsid w:val="00076817"/>
    <w:rsid w:val="0007690B"/>
    <w:rsid w:val="00076962"/>
    <w:rsid w:val="00076E89"/>
    <w:rsid w:val="00077850"/>
    <w:rsid w:val="00077C28"/>
    <w:rsid w:val="00081121"/>
    <w:rsid w:val="0008122E"/>
    <w:rsid w:val="0008138B"/>
    <w:rsid w:val="00082941"/>
    <w:rsid w:val="00084138"/>
    <w:rsid w:val="00085A0C"/>
    <w:rsid w:val="000861F1"/>
    <w:rsid w:val="00086616"/>
    <w:rsid w:val="00087BB7"/>
    <w:rsid w:val="00087C92"/>
    <w:rsid w:val="000902C0"/>
    <w:rsid w:val="000919F2"/>
    <w:rsid w:val="000921B0"/>
    <w:rsid w:val="0009340B"/>
    <w:rsid w:val="00093417"/>
    <w:rsid w:val="00093427"/>
    <w:rsid w:val="00093CE2"/>
    <w:rsid w:val="00093DBA"/>
    <w:rsid w:val="00093F29"/>
    <w:rsid w:val="0009400D"/>
    <w:rsid w:val="000953D4"/>
    <w:rsid w:val="00095698"/>
    <w:rsid w:val="000959EC"/>
    <w:rsid w:val="00096083"/>
    <w:rsid w:val="00096885"/>
    <w:rsid w:val="00097262"/>
    <w:rsid w:val="0009751F"/>
    <w:rsid w:val="000A032F"/>
    <w:rsid w:val="000A0A35"/>
    <w:rsid w:val="000A26B0"/>
    <w:rsid w:val="000A2EA8"/>
    <w:rsid w:val="000A3DE2"/>
    <w:rsid w:val="000A53E4"/>
    <w:rsid w:val="000A6565"/>
    <w:rsid w:val="000B03E7"/>
    <w:rsid w:val="000B09CB"/>
    <w:rsid w:val="000B0A6A"/>
    <w:rsid w:val="000B0C02"/>
    <w:rsid w:val="000B0DB9"/>
    <w:rsid w:val="000B2300"/>
    <w:rsid w:val="000B258F"/>
    <w:rsid w:val="000B30C1"/>
    <w:rsid w:val="000B320B"/>
    <w:rsid w:val="000B350D"/>
    <w:rsid w:val="000B4365"/>
    <w:rsid w:val="000B4619"/>
    <w:rsid w:val="000B476C"/>
    <w:rsid w:val="000B4AED"/>
    <w:rsid w:val="000B5A59"/>
    <w:rsid w:val="000B5BBA"/>
    <w:rsid w:val="000B5F86"/>
    <w:rsid w:val="000B608A"/>
    <w:rsid w:val="000B686E"/>
    <w:rsid w:val="000B73C6"/>
    <w:rsid w:val="000B7CA6"/>
    <w:rsid w:val="000C00B7"/>
    <w:rsid w:val="000C05E7"/>
    <w:rsid w:val="000C1F81"/>
    <w:rsid w:val="000C294A"/>
    <w:rsid w:val="000C2AC1"/>
    <w:rsid w:val="000C2C7E"/>
    <w:rsid w:val="000C4748"/>
    <w:rsid w:val="000C490C"/>
    <w:rsid w:val="000C49C1"/>
    <w:rsid w:val="000C4CC4"/>
    <w:rsid w:val="000C4E5D"/>
    <w:rsid w:val="000C55EB"/>
    <w:rsid w:val="000C6252"/>
    <w:rsid w:val="000D068F"/>
    <w:rsid w:val="000D1AE3"/>
    <w:rsid w:val="000D2D7B"/>
    <w:rsid w:val="000D3B4F"/>
    <w:rsid w:val="000D536D"/>
    <w:rsid w:val="000D5607"/>
    <w:rsid w:val="000D5E2A"/>
    <w:rsid w:val="000D63F1"/>
    <w:rsid w:val="000D7919"/>
    <w:rsid w:val="000D7B13"/>
    <w:rsid w:val="000D7EBA"/>
    <w:rsid w:val="000D7FF5"/>
    <w:rsid w:val="000E00FF"/>
    <w:rsid w:val="000E02CD"/>
    <w:rsid w:val="000E05F2"/>
    <w:rsid w:val="000E2564"/>
    <w:rsid w:val="000E4104"/>
    <w:rsid w:val="000E4251"/>
    <w:rsid w:val="000E4A8C"/>
    <w:rsid w:val="000E4E6D"/>
    <w:rsid w:val="000E5072"/>
    <w:rsid w:val="000E628B"/>
    <w:rsid w:val="000E6717"/>
    <w:rsid w:val="000E6A4D"/>
    <w:rsid w:val="000E713F"/>
    <w:rsid w:val="000E7FB2"/>
    <w:rsid w:val="000F1DF7"/>
    <w:rsid w:val="000F1F5D"/>
    <w:rsid w:val="000F1FA2"/>
    <w:rsid w:val="000F28DA"/>
    <w:rsid w:val="000F3ECF"/>
    <w:rsid w:val="000F57DB"/>
    <w:rsid w:val="000F58F8"/>
    <w:rsid w:val="000F5E6B"/>
    <w:rsid w:val="000F6094"/>
    <w:rsid w:val="000F60D2"/>
    <w:rsid w:val="000F6E02"/>
    <w:rsid w:val="00100010"/>
    <w:rsid w:val="00100640"/>
    <w:rsid w:val="00100CEE"/>
    <w:rsid w:val="00101264"/>
    <w:rsid w:val="00101DC4"/>
    <w:rsid w:val="00101E2A"/>
    <w:rsid w:val="0010212F"/>
    <w:rsid w:val="0010214A"/>
    <w:rsid w:val="001028CE"/>
    <w:rsid w:val="00102DCE"/>
    <w:rsid w:val="00104AEC"/>
    <w:rsid w:val="001065AB"/>
    <w:rsid w:val="00106693"/>
    <w:rsid w:val="00106FEE"/>
    <w:rsid w:val="001073B7"/>
    <w:rsid w:val="001075CB"/>
    <w:rsid w:val="00107A9E"/>
    <w:rsid w:val="00107C43"/>
    <w:rsid w:val="0011003C"/>
    <w:rsid w:val="0011063F"/>
    <w:rsid w:val="0011115D"/>
    <w:rsid w:val="00111425"/>
    <w:rsid w:val="00111B1F"/>
    <w:rsid w:val="00113E92"/>
    <w:rsid w:val="0011428D"/>
    <w:rsid w:val="001145CA"/>
    <w:rsid w:val="0011472A"/>
    <w:rsid w:val="0011474C"/>
    <w:rsid w:val="00115664"/>
    <w:rsid w:val="00115A4C"/>
    <w:rsid w:val="00115CE4"/>
    <w:rsid w:val="00116074"/>
    <w:rsid w:val="001163D4"/>
    <w:rsid w:val="00117427"/>
    <w:rsid w:val="00117939"/>
    <w:rsid w:val="00120A69"/>
    <w:rsid w:val="00122341"/>
    <w:rsid w:val="001235B8"/>
    <w:rsid w:val="00124CA7"/>
    <w:rsid w:val="00127A71"/>
    <w:rsid w:val="00130C06"/>
    <w:rsid w:val="00131BD9"/>
    <w:rsid w:val="00131E7A"/>
    <w:rsid w:val="001322D3"/>
    <w:rsid w:val="00132378"/>
    <w:rsid w:val="00133506"/>
    <w:rsid w:val="00133512"/>
    <w:rsid w:val="00133668"/>
    <w:rsid w:val="00133F6F"/>
    <w:rsid w:val="001342F0"/>
    <w:rsid w:val="0013533C"/>
    <w:rsid w:val="00136857"/>
    <w:rsid w:val="00140B98"/>
    <w:rsid w:val="00140C59"/>
    <w:rsid w:val="001413F6"/>
    <w:rsid w:val="00141904"/>
    <w:rsid w:val="0014221B"/>
    <w:rsid w:val="00143E49"/>
    <w:rsid w:val="00143FC3"/>
    <w:rsid w:val="00144070"/>
    <w:rsid w:val="00144104"/>
    <w:rsid w:val="00145760"/>
    <w:rsid w:val="00146009"/>
    <w:rsid w:val="0014646D"/>
    <w:rsid w:val="0014763C"/>
    <w:rsid w:val="00147FB5"/>
    <w:rsid w:val="00150F8E"/>
    <w:rsid w:val="001517A5"/>
    <w:rsid w:val="001522E7"/>
    <w:rsid w:val="001539C3"/>
    <w:rsid w:val="00153DFF"/>
    <w:rsid w:val="00157AC0"/>
    <w:rsid w:val="00157CA4"/>
    <w:rsid w:val="001600E5"/>
    <w:rsid w:val="001609DE"/>
    <w:rsid w:val="001611D0"/>
    <w:rsid w:val="001612D9"/>
    <w:rsid w:val="001624F4"/>
    <w:rsid w:val="00162673"/>
    <w:rsid w:val="0016446C"/>
    <w:rsid w:val="00164716"/>
    <w:rsid w:val="00166942"/>
    <w:rsid w:val="00171452"/>
    <w:rsid w:val="00171695"/>
    <w:rsid w:val="00173306"/>
    <w:rsid w:val="0017380D"/>
    <w:rsid w:val="00173A33"/>
    <w:rsid w:val="001746F4"/>
    <w:rsid w:val="00174833"/>
    <w:rsid w:val="00175662"/>
    <w:rsid w:val="0017676C"/>
    <w:rsid w:val="00176A46"/>
    <w:rsid w:val="00176AA1"/>
    <w:rsid w:val="00176CD8"/>
    <w:rsid w:val="00180241"/>
    <w:rsid w:val="001809BD"/>
    <w:rsid w:val="00180A78"/>
    <w:rsid w:val="00181D01"/>
    <w:rsid w:val="00181EFD"/>
    <w:rsid w:val="0018345B"/>
    <w:rsid w:val="00183CF9"/>
    <w:rsid w:val="00183EF9"/>
    <w:rsid w:val="001847DD"/>
    <w:rsid w:val="0018482C"/>
    <w:rsid w:val="00185B11"/>
    <w:rsid w:val="00187E42"/>
    <w:rsid w:val="00190DA9"/>
    <w:rsid w:val="00191615"/>
    <w:rsid w:val="00192EF5"/>
    <w:rsid w:val="00193AD7"/>
    <w:rsid w:val="00194F94"/>
    <w:rsid w:val="00194FF0"/>
    <w:rsid w:val="001951B6"/>
    <w:rsid w:val="001956A6"/>
    <w:rsid w:val="00196606"/>
    <w:rsid w:val="00196BBE"/>
    <w:rsid w:val="00196D18"/>
    <w:rsid w:val="00196FF8"/>
    <w:rsid w:val="00197B84"/>
    <w:rsid w:val="001A0110"/>
    <w:rsid w:val="001A1318"/>
    <w:rsid w:val="001A2456"/>
    <w:rsid w:val="001A31BD"/>
    <w:rsid w:val="001A3606"/>
    <w:rsid w:val="001A4554"/>
    <w:rsid w:val="001A49D7"/>
    <w:rsid w:val="001A4B9F"/>
    <w:rsid w:val="001A5509"/>
    <w:rsid w:val="001A593F"/>
    <w:rsid w:val="001A71C0"/>
    <w:rsid w:val="001A78D7"/>
    <w:rsid w:val="001A7AE7"/>
    <w:rsid w:val="001A7FC5"/>
    <w:rsid w:val="001B06DB"/>
    <w:rsid w:val="001B1AC4"/>
    <w:rsid w:val="001B3B6E"/>
    <w:rsid w:val="001B40DA"/>
    <w:rsid w:val="001B5AC3"/>
    <w:rsid w:val="001B5E3A"/>
    <w:rsid w:val="001B6194"/>
    <w:rsid w:val="001B66B3"/>
    <w:rsid w:val="001B6CB2"/>
    <w:rsid w:val="001B756E"/>
    <w:rsid w:val="001C16CC"/>
    <w:rsid w:val="001C2850"/>
    <w:rsid w:val="001C3D73"/>
    <w:rsid w:val="001C50B8"/>
    <w:rsid w:val="001C5362"/>
    <w:rsid w:val="001C59B8"/>
    <w:rsid w:val="001C7A81"/>
    <w:rsid w:val="001C7B73"/>
    <w:rsid w:val="001D0B46"/>
    <w:rsid w:val="001D0C1B"/>
    <w:rsid w:val="001D0C37"/>
    <w:rsid w:val="001D0CF0"/>
    <w:rsid w:val="001D15A2"/>
    <w:rsid w:val="001D1991"/>
    <w:rsid w:val="001D3CAF"/>
    <w:rsid w:val="001D3FCD"/>
    <w:rsid w:val="001D59DE"/>
    <w:rsid w:val="001D5A05"/>
    <w:rsid w:val="001D5C77"/>
    <w:rsid w:val="001D6279"/>
    <w:rsid w:val="001D6F08"/>
    <w:rsid w:val="001E0CDB"/>
    <w:rsid w:val="001E1476"/>
    <w:rsid w:val="001E157A"/>
    <w:rsid w:val="001E163A"/>
    <w:rsid w:val="001E2329"/>
    <w:rsid w:val="001E3339"/>
    <w:rsid w:val="001E34C4"/>
    <w:rsid w:val="001E35C7"/>
    <w:rsid w:val="001E3AFF"/>
    <w:rsid w:val="001E5A77"/>
    <w:rsid w:val="001E5AF1"/>
    <w:rsid w:val="001E6C6D"/>
    <w:rsid w:val="001F151A"/>
    <w:rsid w:val="001F211E"/>
    <w:rsid w:val="001F32A2"/>
    <w:rsid w:val="001F4818"/>
    <w:rsid w:val="001F4F93"/>
    <w:rsid w:val="001F521C"/>
    <w:rsid w:val="001F6A7E"/>
    <w:rsid w:val="001F6B21"/>
    <w:rsid w:val="00200224"/>
    <w:rsid w:val="00201668"/>
    <w:rsid w:val="002019E9"/>
    <w:rsid w:val="0020233D"/>
    <w:rsid w:val="002025D3"/>
    <w:rsid w:val="002028BF"/>
    <w:rsid w:val="00202E44"/>
    <w:rsid w:val="00202F0F"/>
    <w:rsid w:val="002047C6"/>
    <w:rsid w:val="00204A18"/>
    <w:rsid w:val="002052E5"/>
    <w:rsid w:val="00205D9C"/>
    <w:rsid w:val="00205E6B"/>
    <w:rsid w:val="00205FF2"/>
    <w:rsid w:val="00206935"/>
    <w:rsid w:val="00206D9B"/>
    <w:rsid w:val="00206E92"/>
    <w:rsid w:val="00206FFA"/>
    <w:rsid w:val="00207109"/>
    <w:rsid w:val="00207140"/>
    <w:rsid w:val="0021127E"/>
    <w:rsid w:val="00211490"/>
    <w:rsid w:val="00212748"/>
    <w:rsid w:val="00213213"/>
    <w:rsid w:val="00213218"/>
    <w:rsid w:val="0021332C"/>
    <w:rsid w:val="00214A5C"/>
    <w:rsid w:val="002155FC"/>
    <w:rsid w:val="00217229"/>
    <w:rsid w:val="002203A8"/>
    <w:rsid w:val="00220728"/>
    <w:rsid w:val="002214D5"/>
    <w:rsid w:val="00221DA5"/>
    <w:rsid w:val="002223F2"/>
    <w:rsid w:val="002231C9"/>
    <w:rsid w:val="00224D73"/>
    <w:rsid w:val="002255B5"/>
    <w:rsid w:val="00226769"/>
    <w:rsid w:val="00226D16"/>
    <w:rsid w:val="00227CF2"/>
    <w:rsid w:val="00227E2D"/>
    <w:rsid w:val="0023059A"/>
    <w:rsid w:val="0023088D"/>
    <w:rsid w:val="00230A9F"/>
    <w:rsid w:val="00230E78"/>
    <w:rsid w:val="002330EB"/>
    <w:rsid w:val="002336CD"/>
    <w:rsid w:val="002339F5"/>
    <w:rsid w:val="002340D7"/>
    <w:rsid w:val="002340DD"/>
    <w:rsid w:val="00234D0B"/>
    <w:rsid w:val="00234EF3"/>
    <w:rsid w:val="0023552D"/>
    <w:rsid w:val="00235979"/>
    <w:rsid w:val="0023615B"/>
    <w:rsid w:val="0023628F"/>
    <w:rsid w:val="002377C1"/>
    <w:rsid w:val="0024063C"/>
    <w:rsid w:val="00240A84"/>
    <w:rsid w:val="002418FA"/>
    <w:rsid w:val="00243169"/>
    <w:rsid w:val="00244509"/>
    <w:rsid w:val="0024521E"/>
    <w:rsid w:val="002459C0"/>
    <w:rsid w:val="00245AF5"/>
    <w:rsid w:val="00245FBD"/>
    <w:rsid w:val="002472CB"/>
    <w:rsid w:val="00247871"/>
    <w:rsid w:val="00247992"/>
    <w:rsid w:val="00247E39"/>
    <w:rsid w:val="002509B3"/>
    <w:rsid w:val="00250AA8"/>
    <w:rsid w:val="00250E63"/>
    <w:rsid w:val="002510A6"/>
    <w:rsid w:val="0025154B"/>
    <w:rsid w:val="00251C16"/>
    <w:rsid w:val="00252360"/>
    <w:rsid w:val="00253356"/>
    <w:rsid w:val="00253963"/>
    <w:rsid w:val="00253C44"/>
    <w:rsid w:val="00253FBC"/>
    <w:rsid w:val="00254568"/>
    <w:rsid w:val="002552C8"/>
    <w:rsid w:val="002557E0"/>
    <w:rsid w:val="0025742C"/>
    <w:rsid w:val="002616A6"/>
    <w:rsid w:val="00262F71"/>
    <w:rsid w:val="00263738"/>
    <w:rsid w:val="00264BEB"/>
    <w:rsid w:val="00266023"/>
    <w:rsid w:val="00266920"/>
    <w:rsid w:val="00267090"/>
    <w:rsid w:val="002676D2"/>
    <w:rsid w:val="00270818"/>
    <w:rsid w:val="00271637"/>
    <w:rsid w:val="00271F14"/>
    <w:rsid w:val="002721A6"/>
    <w:rsid w:val="00272564"/>
    <w:rsid w:val="00272B13"/>
    <w:rsid w:val="0027324D"/>
    <w:rsid w:val="00275B6D"/>
    <w:rsid w:val="0027634D"/>
    <w:rsid w:val="00276E69"/>
    <w:rsid w:val="002776DA"/>
    <w:rsid w:val="00277C0A"/>
    <w:rsid w:val="002814AE"/>
    <w:rsid w:val="002815AC"/>
    <w:rsid w:val="00281652"/>
    <w:rsid w:val="00282879"/>
    <w:rsid w:val="00283EDE"/>
    <w:rsid w:val="00284CEA"/>
    <w:rsid w:val="00284F46"/>
    <w:rsid w:val="0028511A"/>
    <w:rsid w:val="002853CA"/>
    <w:rsid w:val="002853F7"/>
    <w:rsid w:val="00285E51"/>
    <w:rsid w:val="00286CFD"/>
    <w:rsid w:val="002903DE"/>
    <w:rsid w:val="0029064B"/>
    <w:rsid w:val="0029093A"/>
    <w:rsid w:val="00291F40"/>
    <w:rsid w:val="00292E02"/>
    <w:rsid w:val="00293F85"/>
    <w:rsid w:val="00294078"/>
    <w:rsid w:val="00294707"/>
    <w:rsid w:val="002953E9"/>
    <w:rsid w:val="00295E47"/>
    <w:rsid w:val="00295E61"/>
    <w:rsid w:val="002964F2"/>
    <w:rsid w:val="002969A9"/>
    <w:rsid w:val="00296F92"/>
    <w:rsid w:val="0029709B"/>
    <w:rsid w:val="002976E8"/>
    <w:rsid w:val="002A0EAB"/>
    <w:rsid w:val="002A1527"/>
    <w:rsid w:val="002A2CBA"/>
    <w:rsid w:val="002A3184"/>
    <w:rsid w:val="002A3519"/>
    <w:rsid w:val="002A4326"/>
    <w:rsid w:val="002A4CB1"/>
    <w:rsid w:val="002A56F7"/>
    <w:rsid w:val="002A5F54"/>
    <w:rsid w:val="002A73C4"/>
    <w:rsid w:val="002A75EF"/>
    <w:rsid w:val="002A7800"/>
    <w:rsid w:val="002B08EC"/>
    <w:rsid w:val="002B0EFD"/>
    <w:rsid w:val="002B1811"/>
    <w:rsid w:val="002B1DCE"/>
    <w:rsid w:val="002B225B"/>
    <w:rsid w:val="002B22CC"/>
    <w:rsid w:val="002B43D4"/>
    <w:rsid w:val="002B4C33"/>
    <w:rsid w:val="002B5638"/>
    <w:rsid w:val="002B5CFD"/>
    <w:rsid w:val="002B7E43"/>
    <w:rsid w:val="002B7F9A"/>
    <w:rsid w:val="002C07F8"/>
    <w:rsid w:val="002C0AA0"/>
    <w:rsid w:val="002C1925"/>
    <w:rsid w:val="002C19AC"/>
    <w:rsid w:val="002C1F6D"/>
    <w:rsid w:val="002C23E6"/>
    <w:rsid w:val="002C266A"/>
    <w:rsid w:val="002C39E7"/>
    <w:rsid w:val="002C424F"/>
    <w:rsid w:val="002C5D10"/>
    <w:rsid w:val="002C71D5"/>
    <w:rsid w:val="002C7388"/>
    <w:rsid w:val="002C78A2"/>
    <w:rsid w:val="002D04FA"/>
    <w:rsid w:val="002D0657"/>
    <w:rsid w:val="002D10C8"/>
    <w:rsid w:val="002D13E8"/>
    <w:rsid w:val="002D1B4A"/>
    <w:rsid w:val="002D1F28"/>
    <w:rsid w:val="002D23DC"/>
    <w:rsid w:val="002D2707"/>
    <w:rsid w:val="002D3971"/>
    <w:rsid w:val="002D3C85"/>
    <w:rsid w:val="002D424E"/>
    <w:rsid w:val="002D42FF"/>
    <w:rsid w:val="002D4BCF"/>
    <w:rsid w:val="002D5269"/>
    <w:rsid w:val="002D58ED"/>
    <w:rsid w:val="002D5ABE"/>
    <w:rsid w:val="002D76C3"/>
    <w:rsid w:val="002D7B67"/>
    <w:rsid w:val="002E190D"/>
    <w:rsid w:val="002E1CD7"/>
    <w:rsid w:val="002E1E63"/>
    <w:rsid w:val="002E2A6C"/>
    <w:rsid w:val="002E3C0F"/>
    <w:rsid w:val="002E4C1B"/>
    <w:rsid w:val="002E6C06"/>
    <w:rsid w:val="002F061F"/>
    <w:rsid w:val="002F0C02"/>
    <w:rsid w:val="002F21B2"/>
    <w:rsid w:val="002F23AC"/>
    <w:rsid w:val="002F2D53"/>
    <w:rsid w:val="002F3788"/>
    <w:rsid w:val="002F51CE"/>
    <w:rsid w:val="002F7386"/>
    <w:rsid w:val="00300487"/>
    <w:rsid w:val="00300496"/>
    <w:rsid w:val="00301AA2"/>
    <w:rsid w:val="003027BE"/>
    <w:rsid w:val="003034B4"/>
    <w:rsid w:val="00303637"/>
    <w:rsid w:val="003040AD"/>
    <w:rsid w:val="00304830"/>
    <w:rsid w:val="00304ABD"/>
    <w:rsid w:val="003060FF"/>
    <w:rsid w:val="00306F6B"/>
    <w:rsid w:val="003104FA"/>
    <w:rsid w:val="00310809"/>
    <w:rsid w:val="00311256"/>
    <w:rsid w:val="003118AC"/>
    <w:rsid w:val="003123C2"/>
    <w:rsid w:val="00312B17"/>
    <w:rsid w:val="003132E8"/>
    <w:rsid w:val="00313CD7"/>
    <w:rsid w:val="00314823"/>
    <w:rsid w:val="0031492C"/>
    <w:rsid w:val="00314D3E"/>
    <w:rsid w:val="00314E5D"/>
    <w:rsid w:val="00314F9E"/>
    <w:rsid w:val="0031563F"/>
    <w:rsid w:val="00315871"/>
    <w:rsid w:val="003169C6"/>
    <w:rsid w:val="00321DC0"/>
    <w:rsid w:val="0032323A"/>
    <w:rsid w:val="0032374C"/>
    <w:rsid w:val="0032377E"/>
    <w:rsid w:val="00323C9E"/>
    <w:rsid w:val="00324C81"/>
    <w:rsid w:val="00324F63"/>
    <w:rsid w:val="00325185"/>
    <w:rsid w:val="0032521A"/>
    <w:rsid w:val="00325D66"/>
    <w:rsid w:val="003264BB"/>
    <w:rsid w:val="003278E6"/>
    <w:rsid w:val="00327A00"/>
    <w:rsid w:val="0033064D"/>
    <w:rsid w:val="003314C5"/>
    <w:rsid w:val="00331869"/>
    <w:rsid w:val="0033196A"/>
    <w:rsid w:val="00331A01"/>
    <w:rsid w:val="00331B9A"/>
    <w:rsid w:val="0033210B"/>
    <w:rsid w:val="003326B3"/>
    <w:rsid w:val="00332C85"/>
    <w:rsid w:val="00333364"/>
    <w:rsid w:val="003333C7"/>
    <w:rsid w:val="00333E6F"/>
    <w:rsid w:val="00334156"/>
    <w:rsid w:val="00335E6A"/>
    <w:rsid w:val="00337899"/>
    <w:rsid w:val="00337F8F"/>
    <w:rsid w:val="00337F9D"/>
    <w:rsid w:val="003400A7"/>
    <w:rsid w:val="00342533"/>
    <w:rsid w:val="0034263E"/>
    <w:rsid w:val="003428C3"/>
    <w:rsid w:val="00342ADE"/>
    <w:rsid w:val="00343260"/>
    <w:rsid w:val="00343EDA"/>
    <w:rsid w:val="003444CB"/>
    <w:rsid w:val="0034474C"/>
    <w:rsid w:val="00346068"/>
    <w:rsid w:val="00346069"/>
    <w:rsid w:val="003504ED"/>
    <w:rsid w:val="00350B06"/>
    <w:rsid w:val="0035118D"/>
    <w:rsid w:val="00352B90"/>
    <w:rsid w:val="00352BEB"/>
    <w:rsid w:val="00353D54"/>
    <w:rsid w:val="0035531B"/>
    <w:rsid w:val="0035539E"/>
    <w:rsid w:val="003561AD"/>
    <w:rsid w:val="003572FD"/>
    <w:rsid w:val="00357462"/>
    <w:rsid w:val="00357DC5"/>
    <w:rsid w:val="00360ACB"/>
    <w:rsid w:val="003614A0"/>
    <w:rsid w:val="00362528"/>
    <w:rsid w:val="003639A0"/>
    <w:rsid w:val="00363A5E"/>
    <w:rsid w:val="00363D4D"/>
    <w:rsid w:val="00364391"/>
    <w:rsid w:val="003651D6"/>
    <w:rsid w:val="0036524F"/>
    <w:rsid w:val="003657F6"/>
    <w:rsid w:val="003669F7"/>
    <w:rsid w:val="00366D7C"/>
    <w:rsid w:val="00367445"/>
    <w:rsid w:val="00367BC1"/>
    <w:rsid w:val="00367F09"/>
    <w:rsid w:val="00367F90"/>
    <w:rsid w:val="0037266A"/>
    <w:rsid w:val="00373049"/>
    <w:rsid w:val="00373076"/>
    <w:rsid w:val="00373A91"/>
    <w:rsid w:val="00373E0B"/>
    <w:rsid w:val="00373E3F"/>
    <w:rsid w:val="00374381"/>
    <w:rsid w:val="00374904"/>
    <w:rsid w:val="00374AB1"/>
    <w:rsid w:val="00374F21"/>
    <w:rsid w:val="00374F92"/>
    <w:rsid w:val="003801B6"/>
    <w:rsid w:val="00380F4B"/>
    <w:rsid w:val="0038149D"/>
    <w:rsid w:val="00383C68"/>
    <w:rsid w:val="00383ED1"/>
    <w:rsid w:val="00384682"/>
    <w:rsid w:val="003855A4"/>
    <w:rsid w:val="00386A76"/>
    <w:rsid w:val="0038714C"/>
    <w:rsid w:val="00387AFE"/>
    <w:rsid w:val="00390312"/>
    <w:rsid w:val="00390C13"/>
    <w:rsid w:val="00390F08"/>
    <w:rsid w:val="0039142E"/>
    <w:rsid w:val="00392C0D"/>
    <w:rsid w:val="00392E96"/>
    <w:rsid w:val="00395302"/>
    <w:rsid w:val="003959A2"/>
    <w:rsid w:val="003959FD"/>
    <w:rsid w:val="00395CD4"/>
    <w:rsid w:val="003961A1"/>
    <w:rsid w:val="00397EBD"/>
    <w:rsid w:val="003A0964"/>
    <w:rsid w:val="003A0CE6"/>
    <w:rsid w:val="003A0E13"/>
    <w:rsid w:val="003A0E79"/>
    <w:rsid w:val="003A108D"/>
    <w:rsid w:val="003A1704"/>
    <w:rsid w:val="003A1A69"/>
    <w:rsid w:val="003A2D6B"/>
    <w:rsid w:val="003A2F19"/>
    <w:rsid w:val="003A3340"/>
    <w:rsid w:val="003A35EC"/>
    <w:rsid w:val="003A3C66"/>
    <w:rsid w:val="003A3DCD"/>
    <w:rsid w:val="003A41A7"/>
    <w:rsid w:val="003A434B"/>
    <w:rsid w:val="003A4991"/>
    <w:rsid w:val="003A4A4A"/>
    <w:rsid w:val="003A4A5F"/>
    <w:rsid w:val="003A57CB"/>
    <w:rsid w:val="003A6975"/>
    <w:rsid w:val="003A6A47"/>
    <w:rsid w:val="003B0876"/>
    <w:rsid w:val="003B0BDD"/>
    <w:rsid w:val="003B167F"/>
    <w:rsid w:val="003B215A"/>
    <w:rsid w:val="003B2695"/>
    <w:rsid w:val="003B2746"/>
    <w:rsid w:val="003B36AF"/>
    <w:rsid w:val="003B4E68"/>
    <w:rsid w:val="003B5A7A"/>
    <w:rsid w:val="003B5A80"/>
    <w:rsid w:val="003B774B"/>
    <w:rsid w:val="003C0166"/>
    <w:rsid w:val="003C1DA4"/>
    <w:rsid w:val="003C1E33"/>
    <w:rsid w:val="003C2107"/>
    <w:rsid w:val="003C287F"/>
    <w:rsid w:val="003C36C5"/>
    <w:rsid w:val="003C42E6"/>
    <w:rsid w:val="003C521C"/>
    <w:rsid w:val="003C65FE"/>
    <w:rsid w:val="003D121C"/>
    <w:rsid w:val="003D206D"/>
    <w:rsid w:val="003D23BB"/>
    <w:rsid w:val="003D2474"/>
    <w:rsid w:val="003D3523"/>
    <w:rsid w:val="003D35C7"/>
    <w:rsid w:val="003D3765"/>
    <w:rsid w:val="003D3A52"/>
    <w:rsid w:val="003D3B5A"/>
    <w:rsid w:val="003D4BF0"/>
    <w:rsid w:val="003D4CB8"/>
    <w:rsid w:val="003D5D27"/>
    <w:rsid w:val="003D67B3"/>
    <w:rsid w:val="003D6C78"/>
    <w:rsid w:val="003E01C9"/>
    <w:rsid w:val="003E077A"/>
    <w:rsid w:val="003E19C4"/>
    <w:rsid w:val="003E2E46"/>
    <w:rsid w:val="003E310C"/>
    <w:rsid w:val="003E44B8"/>
    <w:rsid w:val="003E549D"/>
    <w:rsid w:val="003E5F27"/>
    <w:rsid w:val="003E689D"/>
    <w:rsid w:val="003E691D"/>
    <w:rsid w:val="003E6DFB"/>
    <w:rsid w:val="003E7658"/>
    <w:rsid w:val="003F04CE"/>
    <w:rsid w:val="003F0F88"/>
    <w:rsid w:val="003F155C"/>
    <w:rsid w:val="003F1DDE"/>
    <w:rsid w:val="003F434D"/>
    <w:rsid w:val="003F480B"/>
    <w:rsid w:val="003F4F11"/>
    <w:rsid w:val="003F5624"/>
    <w:rsid w:val="003F6858"/>
    <w:rsid w:val="003F6A64"/>
    <w:rsid w:val="003F72A3"/>
    <w:rsid w:val="00400B4F"/>
    <w:rsid w:val="0040110F"/>
    <w:rsid w:val="00402057"/>
    <w:rsid w:val="00402B77"/>
    <w:rsid w:val="004034BF"/>
    <w:rsid w:val="00403642"/>
    <w:rsid w:val="00403B80"/>
    <w:rsid w:val="00403DB0"/>
    <w:rsid w:val="004043C4"/>
    <w:rsid w:val="00404AC3"/>
    <w:rsid w:val="0040514D"/>
    <w:rsid w:val="00405A1B"/>
    <w:rsid w:val="0040632D"/>
    <w:rsid w:val="00407B93"/>
    <w:rsid w:val="00410707"/>
    <w:rsid w:val="004121F1"/>
    <w:rsid w:val="00412A61"/>
    <w:rsid w:val="004134DB"/>
    <w:rsid w:val="0041375C"/>
    <w:rsid w:val="0041405C"/>
    <w:rsid w:val="004144BA"/>
    <w:rsid w:val="00414B36"/>
    <w:rsid w:val="004161E0"/>
    <w:rsid w:val="004167C8"/>
    <w:rsid w:val="0041692E"/>
    <w:rsid w:val="004169CA"/>
    <w:rsid w:val="00417714"/>
    <w:rsid w:val="00417E30"/>
    <w:rsid w:val="00417E7A"/>
    <w:rsid w:val="00417EB9"/>
    <w:rsid w:val="00420B76"/>
    <w:rsid w:val="00420B7C"/>
    <w:rsid w:val="00420C8D"/>
    <w:rsid w:val="00422E6C"/>
    <w:rsid w:val="0042370B"/>
    <w:rsid w:val="00423AA9"/>
    <w:rsid w:val="00424296"/>
    <w:rsid w:val="0042531B"/>
    <w:rsid w:val="00425364"/>
    <w:rsid w:val="004260BC"/>
    <w:rsid w:val="004267A8"/>
    <w:rsid w:val="00426BF2"/>
    <w:rsid w:val="00427929"/>
    <w:rsid w:val="00427CD4"/>
    <w:rsid w:val="00430CD9"/>
    <w:rsid w:val="00431FF5"/>
    <w:rsid w:val="004320D3"/>
    <w:rsid w:val="00432438"/>
    <w:rsid w:val="00432E71"/>
    <w:rsid w:val="00433342"/>
    <w:rsid w:val="00433ADD"/>
    <w:rsid w:val="00433F1C"/>
    <w:rsid w:val="00433FA4"/>
    <w:rsid w:val="00434CC0"/>
    <w:rsid w:val="00434F65"/>
    <w:rsid w:val="0043631B"/>
    <w:rsid w:val="00436E35"/>
    <w:rsid w:val="00437185"/>
    <w:rsid w:val="004373D7"/>
    <w:rsid w:val="00440144"/>
    <w:rsid w:val="00440641"/>
    <w:rsid w:val="00440E3D"/>
    <w:rsid w:val="00441AC9"/>
    <w:rsid w:val="00442D6F"/>
    <w:rsid w:val="00443DAB"/>
    <w:rsid w:val="0044437F"/>
    <w:rsid w:val="00445E79"/>
    <w:rsid w:val="00446062"/>
    <w:rsid w:val="0044691A"/>
    <w:rsid w:val="004474BF"/>
    <w:rsid w:val="00447AE4"/>
    <w:rsid w:val="00450467"/>
    <w:rsid w:val="00450A95"/>
    <w:rsid w:val="00450D87"/>
    <w:rsid w:val="00451055"/>
    <w:rsid w:val="004514B3"/>
    <w:rsid w:val="00452CE2"/>
    <w:rsid w:val="00452F92"/>
    <w:rsid w:val="00452FA1"/>
    <w:rsid w:val="0045355E"/>
    <w:rsid w:val="00453973"/>
    <w:rsid w:val="004547B8"/>
    <w:rsid w:val="004559A4"/>
    <w:rsid w:val="00456B4D"/>
    <w:rsid w:val="00457140"/>
    <w:rsid w:val="00460468"/>
    <w:rsid w:val="00460A13"/>
    <w:rsid w:val="00461A9C"/>
    <w:rsid w:val="00461AB9"/>
    <w:rsid w:val="00462F8D"/>
    <w:rsid w:val="00464281"/>
    <w:rsid w:val="004644BF"/>
    <w:rsid w:val="004644EC"/>
    <w:rsid w:val="004657C3"/>
    <w:rsid w:val="00466C05"/>
    <w:rsid w:val="00470721"/>
    <w:rsid w:val="0047072E"/>
    <w:rsid w:val="004710CD"/>
    <w:rsid w:val="00471ABE"/>
    <w:rsid w:val="00471D19"/>
    <w:rsid w:val="004727EC"/>
    <w:rsid w:val="004728AC"/>
    <w:rsid w:val="0047368E"/>
    <w:rsid w:val="00474317"/>
    <w:rsid w:val="00474956"/>
    <w:rsid w:val="00474B9E"/>
    <w:rsid w:val="00474E86"/>
    <w:rsid w:val="00474FC6"/>
    <w:rsid w:val="00477D6F"/>
    <w:rsid w:val="00477E06"/>
    <w:rsid w:val="00480C12"/>
    <w:rsid w:val="004815AE"/>
    <w:rsid w:val="0048176A"/>
    <w:rsid w:val="0048279A"/>
    <w:rsid w:val="00482C24"/>
    <w:rsid w:val="0048338D"/>
    <w:rsid w:val="00484437"/>
    <w:rsid w:val="00485A96"/>
    <w:rsid w:val="0048727A"/>
    <w:rsid w:val="00487645"/>
    <w:rsid w:val="00487B71"/>
    <w:rsid w:val="00490228"/>
    <w:rsid w:val="00490A3F"/>
    <w:rsid w:val="00490D51"/>
    <w:rsid w:val="004910A3"/>
    <w:rsid w:val="00491BAA"/>
    <w:rsid w:val="00491C08"/>
    <w:rsid w:val="0049201C"/>
    <w:rsid w:val="004920A3"/>
    <w:rsid w:val="004921F4"/>
    <w:rsid w:val="00492D07"/>
    <w:rsid w:val="00493782"/>
    <w:rsid w:val="004937D2"/>
    <w:rsid w:val="00493B49"/>
    <w:rsid w:val="00493C29"/>
    <w:rsid w:val="00495356"/>
    <w:rsid w:val="0049582E"/>
    <w:rsid w:val="004958A1"/>
    <w:rsid w:val="00495E07"/>
    <w:rsid w:val="004A16C6"/>
    <w:rsid w:val="004A1820"/>
    <w:rsid w:val="004A28EA"/>
    <w:rsid w:val="004A31AC"/>
    <w:rsid w:val="004A377B"/>
    <w:rsid w:val="004A491C"/>
    <w:rsid w:val="004A4E44"/>
    <w:rsid w:val="004A531C"/>
    <w:rsid w:val="004A55F3"/>
    <w:rsid w:val="004A69D2"/>
    <w:rsid w:val="004A6E16"/>
    <w:rsid w:val="004B0598"/>
    <w:rsid w:val="004B23A0"/>
    <w:rsid w:val="004B25A9"/>
    <w:rsid w:val="004B2F10"/>
    <w:rsid w:val="004B38B1"/>
    <w:rsid w:val="004B397D"/>
    <w:rsid w:val="004B3FDC"/>
    <w:rsid w:val="004B5048"/>
    <w:rsid w:val="004B6286"/>
    <w:rsid w:val="004B7551"/>
    <w:rsid w:val="004B7617"/>
    <w:rsid w:val="004B7BD0"/>
    <w:rsid w:val="004C1BCA"/>
    <w:rsid w:val="004C21D8"/>
    <w:rsid w:val="004C2A5C"/>
    <w:rsid w:val="004C320C"/>
    <w:rsid w:val="004C3363"/>
    <w:rsid w:val="004C4D29"/>
    <w:rsid w:val="004C5DFE"/>
    <w:rsid w:val="004D0359"/>
    <w:rsid w:val="004D06D3"/>
    <w:rsid w:val="004D0955"/>
    <w:rsid w:val="004D1034"/>
    <w:rsid w:val="004D1339"/>
    <w:rsid w:val="004D1870"/>
    <w:rsid w:val="004D274D"/>
    <w:rsid w:val="004D2916"/>
    <w:rsid w:val="004D2E1E"/>
    <w:rsid w:val="004D331E"/>
    <w:rsid w:val="004D3D08"/>
    <w:rsid w:val="004D4F87"/>
    <w:rsid w:val="004D50E2"/>
    <w:rsid w:val="004D5462"/>
    <w:rsid w:val="004D5D3F"/>
    <w:rsid w:val="004D5D6B"/>
    <w:rsid w:val="004D5FF5"/>
    <w:rsid w:val="004D6456"/>
    <w:rsid w:val="004D6B2A"/>
    <w:rsid w:val="004D6FF4"/>
    <w:rsid w:val="004D756E"/>
    <w:rsid w:val="004E0558"/>
    <w:rsid w:val="004E1A96"/>
    <w:rsid w:val="004E1CD3"/>
    <w:rsid w:val="004E1D31"/>
    <w:rsid w:val="004E26F9"/>
    <w:rsid w:val="004E2CEC"/>
    <w:rsid w:val="004E3C40"/>
    <w:rsid w:val="004E4082"/>
    <w:rsid w:val="004E47F4"/>
    <w:rsid w:val="004E49A8"/>
    <w:rsid w:val="004E5188"/>
    <w:rsid w:val="004E54A4"/>
    <w:rsid w:val="004E5679"/>
    <w:rsid w:val="004E5B51"/>
    <w:rsid w:val="004E6F7B"/>
    <w:rsid w:val="004E6FB4"/>
    <w:rsid w:val="004E7769"/>
    <w:rsid w:val="004E7B15"/>
    <w:rsid w:val="004E7BEF"/>
    <w:rsid w:val="004F1678"/>
    <w:rsid w:val="004F173F"/>
    <w:rsid w:val="004F174E"/>
    <w:rsid w:val="004F21D8"/>
    <w:rsid w:val="004F2507"/>
    <w:rsid w:val="004F2794"/>
    <w:rsid w:val="004F3403"/>
    <w:rsid w:val="004F42B5"/>
    <w:rsid w:val="004F4758"/>
    <w:rsid w:val="004F4D1C"/>
    <w:rsid w:val="004F5D63"/>
    <w:rsid w:val="004F5E82"/>
    <w:rsid w:val="004F6062"/>
    <w:rsid w:val="004F60C6"/>
    <w:rsid w:val="004F65D7"/>
    <w:rsid w:val="00500A62"/>
    <w:rsid w:val="00500D9E"/>
    <w:rsid w:val="00500E4C"/>
    <w:rsid w:val="00500F4F"/>
    <w:rsid w:val="0050147D"/>
    <w:rsid w:val="005016FC"/>
    <w:rsid w:val="00501C3E"/>
    <w:rsid w:val="005025D8"/>
    <w:rsid w:val="0050379C"/>
    <w:rsid w:val="00505F78"/>
    <w:rsid w:val="005072B9"/>
    <w:rsid w:val="0051157C"/>
    <w:rsid w:val="00512B27"/>
    <w:rsid w:val="00512F2F"/>
    <w:rsid w:val="005134B6"/>
    <w:rsid w:val="00515325"/>
    <w:rsid w:val="00515883"/>
    <w:rsid w:val="00515D4F"/>
    <w:rsid w:val="0052068C"/>
    <w:rsid w:val="005206C7"/>
    <w:rsid w:val="00520964"/>
    <w:rsid w:val="00521AE2"/>
    <w:rsid w:val="005222E2"/>
    <w:rsid w:val="00522D48"/>
    <w:rsid w:val="005234EF"/>
    <w:rsid w:val="00523DC5"/>
    <w:rsid w:val="00525DBE"/>
    <w:rsid w:val="00525F19"/>
    <w:rsid w:val="005267AC"/>
    <w:rsid w:val="00526C5A"/>
    <w:rsid w:val="00527355"/>
    <w:rsid w:val="005311CA"/>
    <w:rsid w:val="0053264D"/>
    <w:rsid w:val="005331BD"/>
    <w:rsid w:val="00533E7A"/>
    <w:rsid w:val="0053590F"/>
    <w:rsid w:val="005372F9"/>
    <w:rsid w:val="00537A0F"/>
    <w:rsid w:val="00540062"/>
    <w:rsid w:val="0054006B"/>
    <w:rsid w:val="0054086F"/>
    <w:rsid w:val="00540C1A"/>
    <w:rsid w:val="00540FF4"/>
    <w:rsid w:val="00542A0B"/>
    <w:rsid w:val="00542C8C"/>
    <w:rsid w:val="00543554"/>
    <w:rsid w:val="00545474"/>
    <w:rsid w:val="00545CFF"/>
    <w:rsid w:val="00545E42"/>
    <w:rsid w:val="00546B53"/>
    <w:rsid w:val="00546F21"/>
    <w:rsid w:val="0054715D"/>
    <w:rsid w:val="00550079"/>
    <w:rsid w:val="00550976"/>
    <w:rsid w:val="0055101E"/>
    <w:rsid w:val="005517F1"/>
    <w:rsid w:val="00551AF2"/>
    <w:rsid w:val="00551F59"/>
    <w:rsid w:val="00552BF6"/>
    <w:rsid w:val="00553257"/>
    <w:rsid w:val="005541B2"/>
    <w:rsid w:val="00554E1E"/>
    <w:rsid w:val="00555125"/>
    <w:rsid w:val="00555DBB"/>
    <w:rsid w:val="005567F2"/>
    <w:rsid w:val="00556C48"/>
    <w:rsid w:val="00557C7A"/>
    <w:rsid w:val="00557F62"/>
    <w:rsid w:val="005601D3"/>
    <w:rsid w:val="00561472"/>
    <w:rsid w:val="00561491"/>
    <w:rsid w:val="00561E33"/>
    <w:rsid w:val="005639D8"/>
    <w:rsid w:val="00563C1A"/>
    <w:rsid w:val="00564632"/>
    <w:rsid w:val="005648EE"/>
    <w:rsid w:val="0056509A"/>
    <w:rsid w:val="005651B5"/>
    <w:rsid w:val="00565E7E"/>
    <w:rsid w:val="00565E80"/>
    <w:rsid w:val="005660D0"/>
    <w:rsid w:val="005665FB"/>
    <w:rsid w:val="00566AE8"/>
    <w:rsid w:val="00566D5F"/>
    <w:rsid w:val="00566FD4"/>
    <w:rsid w:val="00567E78"/>
    <w:rsid w:val="005703C1"/>
    <w:rsid w:val="00570D2C"/>
    <w:rsid w:val="0057160B"/>
    <w:rsid w:val="005720A9"/>
    <w:rsid w:val="00572301"/>
    <w:rsid w:val="005724D0"/>
    <w:rsid w:val="005742E2"/>
    <w:rsid w:val="005748EF"/>
    <w:rsid w:val="00575146"/>
    <w:rsid w:val="00575439"/>
    <w:rsid w:val="00575C93"/>
    <w:rsid w:val="00576FF0"/>
    <w:rsid w:val="00577D88"/>
    <w:rsid w:val="00577F29"/>
    <w:rsid w:val="0058051B"/>
    <w:rsid w:val="00580676"/>
    <w:rsid w:val="00581EC5"/>
    <w:rsid w:val="005827EF"/>
    <w:rsid w:val="0058291D"/>
    <w:rsid w:val="00582951"/>
    <w:rsid w:val="00582FB1"/>
    <w:rsid w:val="0058356E"/>
    <w:rsid w:val="00583582"/>
    <w:rsid w:val="005837B0"/>
    <w:rsid w:val="005846D3"/>
    <w:rsid w:val="00584CBB"/>
    <w:rsid w:val="0058528C"/>
    <w:rsid w:val="00585A73"/>
    <w:rsid w:val="00585E90"/>
    <w:rsid w:val="005861A8"/>
    <w:rsid w:val="0059170A"/>
    <w:rsid w:val="0059384D"/>
    <w:rsid w:val="005940F5"/>
    <w:rsid w:val="0059434C"/>
    <w:rsid w:val="0059551E"/>
    <w:rsid w:val="00596078"/>
    <w:rsid w:val="005968CE"/>
    <w:rsid w:val="00597803"/>
    <w:rsid w:val="005979DC"/>
    <w:rsid w:val="00597C1F"/>
    <w:rsid w:val="005A059B"/>
    <w:rsid w:val="005A16AD"/>
    <w:rsid w:val="005A16CC"/>
    <w:rsid w:val="005A1A3A"/>
    <w:rsid w:val="005A24C6"/>
    <w:rsid w:val="005A390A"/>
    <w:rsid w:val="005A3997"/>
    <w:rsid w:val="005A3F35"/>
    <w:rsid w:val="005A40A3"/>
    <w:rsid w:val="005A410F"/>
    <w:rsid w:val="005A7FB3"/>
    <w:rsid w:val="005B0009"/>
    <w:rsid w:val="005B0467"/>
    <w:rsid w:val="005B08A7"/>
    <w:rsid w:val="005B3057"/>
    <w:rsid w:val="005B334A"/>
    <w:rsid w:val="005B43D2"/>
    <w:rsid w:val="005B6055"/>
    <w:rsid w:val="005B6D28"/>
    <w:rsid w:val="005B7E82"/>
    <w:rsid w:val="005C0293"/>
    <w:rsid w:val="005C0FC2"/>
    <w:rsid w:val="005C426E"/>
    <w:rsid w:val="005C4D2F"/>
    <w:rsid w:val="005C5412"/>
    <w:rsid w:val="005C5652"/>
    <w:rsid w:val="005C6526"/>
    <w:rsid w:val="005C6AD2"/>
    <w:rsid w:val="005C7018"/>
    <w:rsid w:val="005C7A39"/>
    <w:rsid w:val="005D02ED"/>
    <w:rsid w:val="005D04A5"/>
    <w:rsid w:val="005D05DD"/>
    <w:rsid w:val="005D0CE9"/>
    <w:rsid w:val="005D0E0A"/>
    <w:rsid w:val="005D1377"/>
    <w:rsid w:val="005D1A60"/>
    <w:rsid w:val="005D20F8"/>
    <w:rsid w:val="005D352E"/>
    <w:rsid w:val="005D3ABA"/>
    <w:rsid w:val="005D3EAD"/>
    <w:rsid w:val="005D421F"/>
    <w:rsid w:val="005D5AF7"/>
    <w:rsid w:val="005D64A5"/>
    <w:rsid w:val="005D7252"/>
    <w:rsid w:val="005E0042"/>
    <w:rsid w:val="005E093F"/>
    <w:rsid w:val="005E0D33"/>
    <w:rsid w:val="005E0D9F"/>
    <w:rsid w:val="005E2D0D"/>
    <w:rsid w:val="005E3516"/>
    <w:rsid w:val="005E357D"/>
    <w:rsid w:val="005E3B01"/>
    <w:rsid w:val="005E3FA6"/>
    <w:rsid w:val="005E410E"/>
    <w:rsid w:val="005E5187"/>
    <w:rsid w:val="005E71E7"/>
    <w:rsid w:val="005F0DFC"/>
    <w:rsid w:val="005F118D"/>
    <w:rsid w:val="005F2EA7"/>
    <w:rsid w:val="005F3017"/>
    <w:rsid w:val="005F31FF"/>
    <w:rsid w:val="005F3577"/>
    <w:rsid w:val="005F391D"/>
    <w:rsid w:val="005F46F6"/>
    <w:rsid w:val="005F4A6C"/>
    <w:rsid w:val="005F4C02"/>
    <w:rsid w:val="005F5D09"/>
    <w:rsid w:val="005F6625"/>
    <w:rsid w:val="005F6A93"/>
    <w:rsid w:val="005F7609"/>
    <w:rsid w:val="00600078"/>
    <w:rsid w:val="00600D96"/>
    <w:rsid w:val="006012CC"/>
    <w:rsid w:val="006014FE"/>
    <w:rsid w:val="00601B6C"/>
    <w:rsid w:val="00601DAF"/>
    <w:rsid w:val="00602158"/>
    <w:rsid w:val="0060292D"/>
    <w:rsid w:val="00603985"/>
    <w:rsid w:val="006039BF"/>
    <w:rsid w:val="00603A72"/>
    <w:rsid w:val="00603ECA"/>
    <w:rsid w:val="0060469B"/>
    <w:rsid w:val="00604B42"/>
    <w:rsid w:val="00604E16"/>
    <w:rsid w:val="00605311"/>
    <w:rsid w:val="00605532"/>
    <w:rsid w:val="0060581C"/>
    <w:rsid w:val="00605D59"/>
    <w:rsid w:val="00606715"/>
    <w:rsid w:val="0060773D"/>
    <w:rsid w:val="006100E0"/>
    <w:rsid w:val="0061066A"/>
    <w:rsid w:val="006112A5"/>
    <w:rsid w:val="0061383D"/>
    <w:rsid w:val="00613F85"/>
    <w:rsid w:val="00614004"/>
    <w:rsid w:val="0061437D"/>
    <w:rsid w:val="006157D7"/>
    <w:rsid w:val="00615E1F"/>
    <w:rsid w:val="0061648A"/>
    <w:rsid w:val="00616A27"/>
    <w:rsid w:val="00616D74"/>
    <w:rsid w:val="00617DC9"/>
    <w:rsid w:val="0062002C"/>
    <w:rsid w:val="00621563"/>
    <w:rsid w:val="00621C6F"/>
    <w:rsid w:val="0062233D"/>
    <w:rsid w:val="006230A9"/>
    <w:rsid w:val="00623B61"/>
    <w:rsid w:val="00623DA7"/>
    <w:rsid w:val="00624222"/>
    <w:rsid w:val="006270B8"/>
    <w:rsid w:val="006303EA"/>
    <w:rsid w:val="00630414"/>
    <w:rsid w:val="00630AD9"/>
    <w:rsid w:val="00630B4D"/>
    <w:rsid w:val="00630FA5"/>
    <w:rsid w:val="00631CA3"/>
    <w:rsid w:val="00634558"/>
    <w:rsid w:val="00634DD0"/>
    <w:rsid w:val="00635128"/>
    <w:rsid w:val="00636BAE"/>
    <w:rsid w:val="006379B2"/>
    <w:rsid w:val="006379FF"/>
    <w:rsid w:val="006400F8"/>
    <w:rsid w:val="006404E6"/>
    <w:rsid w:val="00640AE2"/>
    <w:rsid w:val="006411C1"/>
    <w:rsid w:val="00641DD1"/>
    <w:rsid w:val="00642232"/>
    <w:rsid w:val="006424B6"/>
    <w:rsid w:val="00643019"/>
    <w:rsid w:val="00643400"/>
    <w:rsid w:val="00643A4A"/>
    <w:rsid w:val="00643F67"/>
    <w:rsid w:val="006443F3"/>
    <w:rsid w:val="006446C9"/>
    <w:rsid w:val="00644808"/>
    <w:rsid w:val="00644DF4"/>
    <w:rsid w:val="00645DC1"/>
    <w:rsid w:val="00646AAA"/>
    <w:rsid w:val="00646E38"/>
    <w:rsid w:val="00647651"/>
    <w:rsid w:val="00650217"/>
    <w:rsid w:val="00650C0A"/>
    <w:rsid w:val="00652CBC"/>
    <w:rsid w:val="00652E88"/>
    <w:rsid w:val="00653BD0"/>
    <w:rsid w:val="006553BC"/>
    <w:rsid w:val="00655403"/>
    <w:rsid w:val="00656150"/>
    <w:rsid w:val="00656606"/>
    <w:rsid w:val="00656624"/>
    <w:rsid w:val="00657370"/>
    <w:rsid w:val="006603F2"/>
    <w:rsid w:val="0066055F"/>
    <w:rsid w:val="0066184C"/>
    <w:rsid w:val="00664DF4"/>
    <w:rsid w:val="00665644"/>
    <w:rsid w:val="00665D67"/>
    <w:rsid w:val="0066621B"/>
    <w:rsid w:val="0066664C"/>
    <w:rsid w:val="006670A3"/>
    <w:rsid w:val="00667252"/>
    <w:rsid w:val="006672E9"/>
    <w:rsid w:val="006677A6"/>
    <w:rsid w:val="00667805"/>
    <w:rsid w:val="00667BC1"/>
    <w:rsid w:val="006701C7"/>
    <w:rsid w:val="006705F5"/>
    <w:rsid w:val="00670A51"/>
    <w:rsid w:val="0067133A"/>
    <w:rsid w:val="00672726"/>
    <w:rsid w:val="0067281C"/>
    <w:rsid w:val="00672FA3"/>
    <w:rsid w:val="00673030"/>
    <w:rsid w:val="0067377B"/>
    <w:rsid w:val="006741AE"/>
    <w:rsid w:val="00674F43"/>
    <w:rsid w:val="00675129"/>
    <w:rsid w:val="0067572D"/>
    <w:rsid w:val="00675DF2"/>
    <w:rsid w:val="0067613D"/>
    <w:rsid w:val="00676CE7"/>
    <w:rsid w:val="006776A5"/>
    <w:rsid w:val="00680638"/>
    <w:rsid w:val="00682326"/>
    <w:rsid w:val="0068364A"/>
    <w:rsid w:val="00683957"/>
    <w:rsid w:val="0068653A"/>
    <w:rsid w:val="006866F9"/>
    <w:rsid w:val="00686C6A"/>
    <w:rsid w:val="006871C1"/>
    <w:rsid w:val="006875D3"/>
    <w:rsid w:val="00692A5B"/>
    <w:rsid w:val="006938E9"/>
    <w:rsid w:val="00693DC7"/>
    <w:rsid w:val="0069405C"/>
    <w:rsid w:val="006A0A55"/>
    <w:rsid w:val="006A109E"/>
    <w:rsid w:val="006A1229"/>
    <w:rsid w:val="006A15A2"/>
    <w:rsid w:val="006A1E3D"/>
    <w:rsid w:val="006A1F54"/>
    <w:rsid w:val="006A3A00"/>
    <w:rsid w:val="006A4FA2"/>
    <w:rsid w:val="006A6302"/>
    <w:rsid w:val="006B07BF"/>
    <w:rsid w:val="006B0C46"/>
    <w:rsid w:val="006B0C56"/>
    <w:rsid w:val="006B15D1"/>
    <w:rsid w:val="006B1D37"/>
    <w:rsid w:val="006B1FA9"/>
    <w:rsid w:val="006B308C"/>
    <w:rsid w:val="006B32AE"/>
    <w:rsid w:val="006B3603"/>
    <w:rsid w:val="006B67A5"/>
    <w:rsid w:val="006C021D"/>
    <w:rsid w:val="006C1F97"/>
    <w:rsid w:val="006C3102"/>
    <w:rsid w:val="006C348F"/>
    <w:rsid w:val="006C36E6"/>
    <w:rsid w:val="006C38E8"/>
    <w:rsid w:val="006C4150"/>
    <w:rsid w:val="006C4D27"/>
    <w:rsid w:val="006C4F43"/>
    <w:rsid w:val="006C5714"/>
    <w:rsid w:val="006C5DE6"/>
    <w:rsid w:val="006C6F29"/>
    <w:rsid w:val="006C7E7D"/>
    <w:rsid w:val="006D08B2"/>
    <w:rsid w:val="006D0B5F"/>
    <w:rsid w:val="006D2010"/>
    <w:rsid w:val="006D2088"/>
    <w:rsid w:val="006D219D"/>
    <w:rsid w:val="006D2691"/>
    <w:rsid w:val="006D2CF4"/>
    <w:rsid w:val="006D369C"/>
    <w:rsid w:val="006D4065"/>
    <w:rsid w:val="006D46C3"/>
    <w:rsid w:val="006D501E"/>
    <w:rsid w:val="006D51F3"/>
    <w:rsid w:val="006D565A"/>
    <w:rsid w:val="006D6624"/>
    <w:rsid w:val="006D6BD3"/>
    <w:rsid w:val="006D7168"/>
    <w:rsid w:val="006D777F"/>
    <w:rsid w:val="006E0A02"/>
    <w:rsid w:val="006E1C7D"/>
    <w:rsid w:val="006E26AF"/>
    <w:rsid w:val="006E4841"/>
    <w:rsid w:val="006E5707"/>
    <w:rsid w:val="006E5776"/>
    <w:rsid w:val="006E79CF"/>
    <w:rsid w:val="006F10E1"/>
    <w:rsid w:val="006F1698"/>
    <w:rsid w:val="006F1796"/>
    <w:rsid w:val="006F189C"/>
    <w:rsid w:val="006F1F2B"/>
    <w:rsid w:val="006F36E5"/>
    <w:rsid w:val="006F4631"/>
    <w:rsid w:val="006F5007"/>
    <w:rsid w:val="006F5A1A"/>
    <w:rsid w:val="006F6397"/>
    <w:rsid w:val="006F746C"/>
    <w:rsid w:val="0070008F"/>
    <w:rsid w:val="007016BD"/>
    <w:rsid w:val="007027CD"/>
    <w:rsid w:val="0070281A"/>
    <w:rsid w:val="00705645"/>
    <w:rsid w:val="0070585D"/>
    <w:rsid w:val="00705C17"/>
    <w:rsid w:val="00705F1C"/>
    <w:rsid w:val="0070706A"/>
    <w:rsid w:val="00707C10"/>
    <w:rsid w:val="00711D80"/>
    <w:rsid w:val="00712789"/>
    <w:rsid w:val="00713664"/>
    <w:rsid w:val="00713903"/>
    <w:rsid w:val="007144E8"/>
    <w:rsid w:val="007150C5"/>
    <w:rsid w:val="00715160"/>
    <w:rsid w:val="0071607F"/>
    <w:rsid w:val="00716803"/>
    <w:rsid w:val="007171E6"/>
    <w:rsid w:val="00717C59"/>
    <w:rsid w:val="00720FAA"/>
    <w:rsid w:val="00721140"/>
    <w:rsid w:val="00723148"/>
    <w:rsid w:val="00723846"/>
    <w:rsid w:val="007239CB"/>
    <w:rsid w:val="00723B3E"/>
    <w:rsid w:val="00724209"/>
    <w:rsid w:val="00724508"/>
    <w:rsid w:val="00725604"/>
    <w:rsid w:val="00725CF6"/>
    <w:rsid w:val="0072666E"/>
    <w:rsid w:val="007267D3"/>
    <w:rsid w:val="007269C6"/>
    <w:rsid w:val="00727030"/>
    <w:rsid w:val="00727048"/>
    <w:rsid w:val="00730645"/>
    <w:rsid w:val="00730E0A"/>
    <w:rsid w:val="007315E8"/>
    <w:rsid w:val="00731C1D"/>
    <w:rsid w:val="00731CB2"/>
    <w:rsid w:val="007328A8"/>
    <w:rsid w:val="00732B5C"/>
    <w:rsid w:val="00732D8C"/>
    <w:rsid w:val="007331F8"/>
    <w:rsid w:val="00733A77"/>
    <w:rsid w:val="00733F00"/>
    <w:rsid w:val="0073402B"/>
    <w:rsid w:val="00734548"/>
    <w:rsid w:val="00734726"/>
    <w:rsid w:val="00734941"/>
    <w:rsid w:val="00734BAB"/>
    <w:rsid w:val="0073632A"/>
    <w:rsid w:val="00737799"/>
    <w:rsid w:val="00737F44"/>
    <w:rsid w:val="00740CB5"/>
    <w:rsid w:val="00742903"/>
    <w:rsid w:val="00742904"/>
    <w:rsid w:val="007433DD"/>
    <w:rsid w:val="00743CB5"/>
    <w:rsid w:val="00743D94"/>
    <w:rsid w:val="00743E03"/>
    <w:rsid w:val="00743E25"/>
    <w:rsid w:val="00743EE6"/>
    <w:rsid w:val="007447C1"/>
    <w:rsid w:val="00744D82"/>
    <w:rsid w:val="00745586"/>
    <w:rsid w:val="0074590F"/>
    <w:rsid w:val="007468D2"/>
    <w:rsid w:val="00747C0C"/>
    <w:rsid w:val="00751C21"/>
    <w:rsid w:val="00752926"/>
    <w:rsid w:val="00753D9A"/>
    <w:rsid w:val="00755286"/>
    <w:rsid w:val="007557AE"/>
    <w:rsid w:val="00755BDF"/>
    <w:rsid w:val="007570E9"/>
    <w:rsid w:val="007575BF"/>
    <w:rsid w:val="0076006D"/>
    <w:rsid w:val="00760501"/>
    <w:rsid w:val="00760656"/>
    <w:rsid w:val="007606FF"/>
    <w:rsid w:val="00760A35"/>
    <w:rsid w:val="00760D38"/>
    <w:rsid w:val="0076240F"/>
    <w:rsid w:val="007634E8"/>
    <w:rsid w:val="007637BF"/>
    <w:rsid w:val="00764398"/>
    <w:rsid w:val="007653A3"/>
    <w:rsid w:val="0076550D"/>
    <w:rsid w:val="00765AA1"/>
    <w:rsid w:val="00765DC8"/>
    <w:rsid w:val="00765FB2"/>
    <w:rsid w:val="0076680F"/>
    <w:rsid w:val="007671E9"/>
    <w:rsid w:val="00767480"/>
    <w:rsid w:val="00767FA4"/>
    <w:rsid w:val="007702AA"/>
    <w:rsid w:val="0077085F"/>
    <w:rsid w:val="00771CB2"/>
    <w:rsid w:val="00772AB8"/>
    <w:rsid w:val="00772C11"/>
    <w:rsid w:val="007731AA"/>
    <w:rsid w:val="007732E1"/>
    <w:rsid w:val="00773E4C"/>
    <w:rsid w:val="007742DB"/>
    <w:rsid w:val="00774427"/>
    <w:rsid w:val="00774FF2"/>
    <w:rsid w:val="00776082"/>
    <w:rsid w:val="00776A7C"/>
    <w:rsid w:val="00781648"/>
    <w:rsid w:val="00781740"/>
    <w:rsid w:val="0078325F"/>
    <w:rsid w:val="007832AA"/>
    <w:rsid w:val="00783E12"/>
    <w:rsid w:val="007853A5"/>
    <w:rsid w:val="00786491"/>
    <w:rsid w:val="00786AD0"/>
    <w:rsid w:val="00787D42"/>
    <w:rsid w:val="00790516"/>
    <w:rsid w:val="00790797"/>
    <w:rsid w:val="00792067"/>
    <w:rsid w:val="0079281B"/>
    <w:rsid w:val="007946F6"/>
    <w:rsid w:val="00794EFB"/>
    <w:rsid w:val="007953B2"/>
    <w:rsid w:val="00795928"/>
    <w:rsid w:val="00795BAF"/>
    <w:rsid w:val="00796239"/>
    <w:rsid w:val="007965AA"/>
    <w:rsid w:val="0079729A"/>
    <w:rsid w:val="00797A6D"/>
    <w:rsid w:val="007A0632"/>
    <w:rsid w:val="007A0885"/>
    <w:rsid w:val="007A0B5D"/>
    <w:rsid w:val="007A1C3A"/>
    <w:rsid w:val="007A2BBF"/>
    <w:rsid w:val="007A3215"/>
    <w:rsid w:val="007A34C5"/>
    <w:rsid w:val="007A3EA8"/>
    <w:rsid w:val="007A42BA"/>
    <w:rsid w:val="007A43E0"/>
    <w:rsid w:val="007A5A7D"/>
    <w:rsid w:val="007A5B01"/>
    <w:rsid w:val="007A5E41"/>
    <w:rsid w:val="007A7DFF"/>
    <w:rsid w:val="007B04B7"/>
    <w:rsid w:val="007B04D0"/>
    <w:rsid w:val="007B06DC"/>
    <w:rsid w:val="007B08ED"/>
    <w:rsid w:val="007B0F83"/>
    <w:rsid w:val="007B1678"/>
    <w:rsid w:val="007B17CB"/>
    <w:rsid w:val="007B282B"/>
    <w:rsid w:val="007B2B5D"/>
    <w:rsid w:val="007B2CFD"/>
    <w:rsid w:val="007B48C3"/>
    <w:rsid w:val="007B51B0"/>
    <w:rsid w:val="007B5CD1"/>
    <w:rsid w:val="007B6178"/>
    <w:rsid w:val="007B6893"/>
    <w:rsid w:val="007B6914"/>
    <w:rsid w:val="007B6C4B"/>
    <w:rsid w:val="007B71E7"/>
    <w:rsid w:val="007B74FA"/>
    <w:rsid w:val="007C0295"/>
    <w:rsid w:val="007C0508"/>
    <w:rsid w:val="007C0BDF"/>
    <w:rsid w:val="007C1DA7"/>
    <w:rsid w:val="007C2623"/>
    <w:rsid w:val="007C41BD"/>
    <w:rsid w:val="007C440C"/>
    <w:rsid w:val="007C4CE0"/>
    <w:rsid w:val="007C53A0"/>
    <w:rsid w:val="007C71FD"/>
    <w:rsid w:val="007C7C74"/>
    <w:rsid w:val="007C7CBB"/>
    <w:rsid w:val="007D0456"/>
    <w:rsid w:val="007D0A07"/>
    <w:rsid w:val="007D0D50"/>
    <w:rsid w:val="007D145A"/>
    <w:rsid w:val="007D1D32"/>
    <w:rsid w:val="007D3280"/>
    <w:rsid w:val="007D3534"/>
    <w:rsid w:val="007D3C8E"/>
    <w:rsid w:val="007D4D38"/>
    <w:rsid w:val="007D56EB"/>
    <w:rsid w:val="007D5815"/>
    <w:rsid w:val="007D6851"/>
    <w:rsid w:val="007D78FC"/>
    <w:rsid w:val="007D7D74"/>
    <w:rsid w:val="007E05FA"/>
    <w:rsid w:val="007E11D1"/>
    <w:rsid w:val="007E11F0"/>
    <w:rsid w:val="007E208A"/>
    <w:rsid w:val="007E2479"/>
    <w:rsid w:val="007E278D"/>
    <w:rsid w:val="007E2CD8"/>
    <w:rsid w:val="007E2F0C"/>
    <w:rsid w:val="007E341F"/>
    <w:rsid w:val="007E394D"/>
    <w:rsid w:val="007E4353"/>
    <w:rsid w:val="007E5D15"/>
    <w:rsid w:val="007E6DDE"/>
    <w:rsid w:val="007E7E1E"/>
    <w:rsid w:val="007F18AC"/>
    <w:rsid w:val="007F1D59"/>
    <w:rsid w:val="007F2143"/>
    <w:rsid w:val="007F216C"/>
    <w:rsid w:val="007F2E25"/>
    <w:rsid w:val="007F57BC"/>
    <w:rsid w:val="007F5B64"/>
    <w:rsid w:val="007F6907"/>
    <w:rsid w:val="007F6C35"/>
    <w:rsid w:val="007F6F0A"/>
    <w:rsid w:val="007F6FB9"/>
    <w:rsid w:val="007F708F"/>
    <w:rsid w:val="007F7276"/>
    <w:rsid w:val="00802791"/>
    <w:rsid w:val="00802DCD"/>
    <w:rsid w:val="008033E9"/>
    <w:rsid w:val="00803492"/>
    <w:rsid w:val="00803F18"/>
    <w:rsid w:val="00806059"/>
    <w:rsid w:val="0080658C"/>
    <w:rsid w:val="00807224"/>
    <w:rsid w:val="0080770E"/>
    <w:rsid w:val="00807834"/>
    <w:rsid w:val="0081225A"/>
    <w:rsid w:val="00812A78"/>
    <w:rsid w:val="00813BA8"/>
    <w:rsid w:val="008147C0"/>
    <w:rsid w:val="00814E85"/>
    <w:rsid w:val="00815023"/>
    <w:rsid w:val="008153D8"/>
    <w:rsid w:val="008161FD"/>
    <w:rsid w:val="00816FEB"/>
    <w:rsid w:val="00817C7A"/>
    <w:rsid w:val="00820BAB"/>
    <w:rsid w:val="00821EC6"/>
    <w:rsid w:val="00825AE8"/>
    <w:rsid w:val="00826D3D"/>
    <w:rsid w:val="008278B3"/>
    <w:rsid w:val="0083055C"/>
    <w:rsid w:val="00833787"/>
    <w:rsid w:val="00833EEA"/>
    <w:rsid w:val="00833F12"/>
    <w:rsid w:val="00835493"/>
    <w:rsid w:val="008358E9"/>
    <w:rsid w:val="0083624F"/>
    <w:rsid w:val="00836BFC"/>
    <w:rsid w:val="00837B84"/>
    <w:rsid w:val="008407F7"/>
    <w:rsid w:val="008427FB"/>
    <w:rsid w:val="00842D34"/>
    <w:rsid w:val="00843116"/>
    <w:rsid w:val="00844364"/>
    <w:rsid w:val="008443BE"/>
    <w:rsid w:val="00844BA7"/>
    <w:rsid w:val="008458F2"/>
    <w:rsid w:val="00845DFB"/>
    <w:rsid w:val="00846590"/>
    <w:rsid w:val="00847980"/>
    <w:rsid w:val="00847D1E"/>
    <w:rsid w:val="00847D2F"/>
    <w:rsid w:val="00850BB9"/>
    <w:rsid w:val="00850FB1"/>
    <w:rsid w:val="0085118F"/>
    <w:rsid w:val="008512FC"/>
    <w:rsid w:val="00851453"/>
    <w:rsid w:val="00851968"/>
    <w:rsid w:val="00852A76"/>
    <w:rsid w:val="00853609"/>
    <w:rsid w:val="0085385A"/>
    <w:rsid w:val="00854611"/>
    <w:rsid w:val="00854735"/>
    <w:rsid w:val="00854C8B"/>
    <w:rsid w:val="008556EF"/>
    <w:rsid w:val="008572CA"/>
    <w:rsid w:val="008572E7"/>
    <w:rsid w:val="0085736D"/>
    <w:rsid w:val="0085740C"/>
    <w:rsid w:val="00857E5F"/>
    <w:rsid w:val="00860654"/>
    <w:rsid w:val="0086079F"/>
    <w:rsid w:val="00860920"/>
    <w:rsid w:val="00862B48"/>
    <w:rsid w:val="00865738"/>
    <w:rsid w:val="008661EC"/>
    <w:rsid w:val="008668FE"/>
    <w:rsid w:val="00866B5C"/>
    <w:rsid w:val="0087030D"/>
    <w:rsid w:val="00870570"/>
    <w:rsid w:val="008706C1"/>
    <w:rsid w:val="0087120E"/>
    <w:rsid w:val="00871A8A"/>
    <w:rsid w:val="00873240"/>
    <w:rsid w:val="008735EC"/>
    <w:rsid w:val="00873FB9"/>
    <w:rsid w:val="008740A7"/>
    <w:rsid w:val="00874D0E"/>
    <w:rsid w:val="00875E24"/>
    <w:rsid w:val="008766B7"/>
    <w:rsid w:val="00877EAC"/>
    <w:rsid w:val="00880B13"/>
    <w:rsid w:val="00881F64"/>
    <w:rsid w:val="0088205C"/>
    <w:rsid w:val="00882701"/>
    <w:rsid w:val="00882808"/>
    <w:rsid w:val="00882CA8"/>
    <w:rsid w:val="008840DB"/>
    <w:rsid w:val="0088456E"/>
    <w:rsid w:val="00885453"/>
    <w:rsid w:val="00885D58"/>
    <w:rsid w:val="00886492"/>
    <w:rsid w:val="0088737F"/>
    <w:rsid w:val="008900DA"/>
    <w:rsid w:val="008917B6"/>
    <w:rsid w:val="00891C7A"/>
    <w:rsid w:val="008921CA"/>
    <w:rsid w:val="00892603"/>
    <w:rsid w:val="00892636"/>
    <w:rsid w:val="00892B39"/>
    <w:rsid w:val="00893399"/>
    <w:rsid w:val="00895FC7"/>
    <w:rsid w:val="0089602B"/>
    <w:rsid w:val="00896823"/>
    <w:rsid w:val="00896BFD"/>
    <w:rsid w:val="008A0544"/>
    <w:rsid w:val="008A0ABB"/>
    <w:rsid w:val="008A0B6C"/>
    <w:rsid w:val="008A0F4A"/>
    <w:rsid w:val="008A1308"/>
    <w:rsid w:val="008A1D14"/>
    <w:rsid w:val="008A1EA7"/>
    <w:rsid w:val="008A27E2"/>
    <w:rsid w:val="008A3011"/>
    <w:rsid w:val="008A317B"/>
    <w:rsid w:val="008A41ED"/>
    <w:rsid w:val="008A4336"/>
    <w:rsid w:val="008A5B0D"/>
    <w:rsid w:val="008A60DB"/>
    <w:rsid w:val="008A78D6"/>
    <w:rsid w:val="008B0785"/>
    <w:rsid w:val="008B11DC"/>
    <w:rsid w:val="008B1AC1"/>
    <w:rsid w:val="008B24FD"/>
    <w:rsid w:val="008B2924"/>
    <w:rsid w:val="008B2959"/>
    <w:rsid w:val="008B2C21"/>
    <w:rsid w:val="008B3C9B"/>
    <w:rsid w:val="008B4ABA"/>
    <w:rsid w:val="008B51FD"/>
    <w:rsid w:val="008B5A1F"/>
    <w:rsid w:val="008B5A4F"/>
    <w:rsid w:val="008B5E6B"/>
    <w:rsid w:val="008B6B2E"/>
    <w:rsid w:val="008B6D8E"/>
    <w:rsid w:val="008B6F1B"/>
    <w:rsid w:val="008B736E"/>
    <w:rsid w:val="008B7B49"/>
    <w:rsid w:val="008C02AC"/>
    <w:rsid w:val="008C0347"/>
    <w:rsid w:val="008C05C8"/>
    <w:rsid w:val="008C0E87"/>
    <w:rsid w:val="008C19CA"/>
    <w:rsid w:val="008C1A15"/>
    <w:rsid w:val="008C38F5"/>
    <w:rsid w:val="008C39CA"/>
    <w:rsid w:val="008C40D2"/>
    <w:rsid w:val="008C4241"/>
    <w:rsid w:val="008C4CF5"/>
    <w:rsid w:val="008C4FF8"/>
    <w:rsid w:val="008C54CC"/>
    <w:rsid w:val="008C5677"/>
    <w:rsid w:val="008C56E5"/>
    <w:rsid w:val="008C5F24"/>
    <w:rsid w:val="008C7769"/>
    <w:rsid w:val="008C77BD"/>
    <w:rsid w:val="008C7911"/>
    <w:rsid w:val="008C7FE9"/>
    <w:rsid w:val="008D0294"/>
    <w:rsid w:val="008D0AB9"/>
    <w:rsid w:val="008D104D"/>
    <w:rsid w:val="008D1B37"/>
    <w:rsid w:val="008D1FC9"/>
    <w:rsid w:val="008D2C46"/>
    <w:rsid w:val="008D2EA9"/>
    <w:rsid w:val="008D3555"/>
    <w:rsid w:val="008D4AD6"/>
    <w:rsid w:val="008D508E"/>
    <w:rsid w:val="008D5885"/>
    <w:rsid w:val="008D5C99"/>
    <w:rsid w:val="008D66F3"/>
    <w:rsid w:val="008D72F9"/>
    <w:rsid w:val="008D74E9"/>
    <w:rsid w:val="008E107B"/>
    <w:rsid w:val="008E4A64"/>
    <w:rsid w:val="008E4CA0"/>
    <w:rsid w:val="008E658F"/>
    <w:rsid w:val="008E6783"/>
    <w:rsid w:val="008E7321"/>
    <w:rsid w:val="008E7446"/>
    <w:rsid w:val="008E77DC"/>
    <w:rsid w:val="008F08D7"/>
    <w:rsid w:val="008F0F89"/>
    <w:rsid w:val="008F14E3"/>
    <w:rsid w:val="008F241B"/>
    <w:rsid w:val="008F3DC8"/>
    <w:rsid w:val="008F3F2B"/>
    <w:rsid w:val="008F43A3"/>
    <w:rsid w:val="008F4B43"/>
    <w:rsid w:val="008F4F5D"/>
    <w:rsid w:val="008F65AD"/>
    <w:rsid w:val="008F6B58"/>
    <w:rsid w:val="008F6E61"/>
    <w:rsid w:val="008F716E"/>
    <w:rsid w:val="008F7BD7"/>
    <w:rsid w:val="008F7BDF"/>
    <w:rsid w:val="008F7C43"/>
    <w:rsid w:val="008F7F9A"/>
    <w:rsid w:val="00900871"/>
    <w:rsid w:val="009009B3"/>
    <w:rsid w:val="00901096"/>
    <w:rsid w:val="009022AF"/>
    <w:rsid w:val="00902412"/>
    <w:rsid w:val="00903018"/>
    <w:rsid w:val="00903C58"/>
    <w:rsid w:val="0090491A"/>
    <w:rsid w:val="0090499D"/>
    <w:rsid w:val="00904F64"/>
    <w:rsid w:val="009053DD"/>
    <w:rsid w:val="009056C5"/>
    <w:rsid w:val="0090598D"/>
    <w:rsid w:val="00906AEA"/>
    <w:rsid w:val="00906C37"/>
    <w:rsid w:val="009070E4"/>
    <w:rsid w:val="009102B3"/>
    <w:rsid w:val="0091087B"/>
    <w:rsid w:val="0091165D"/>
    <w:rsid w:val="00911964"/>
    <w:rsid w:val="00911BBF"/>
    <w:rsid w:val="009126C8"/>
    <w:rsid w:val="00912CD5"/>
    <w:rsid w:val="00912D46"/>
    <w:rsid w:val="009131CE"/>
    <w:rsid w:val="00914F81"/>
    <w:rsid w:val="00915903"/>
    <w:rsid w:val="0091625B"/>
    <w:rsid w:val="00916341"/>
    <w:rsid w:val="00916A38"/>
    <w:rsid w:val="0091781B"/>
    <w:rsid w:val="00920083"/>
    <w:rsid w:val="00920608"/>
    <w:rsid w:val="00920CEE"/>
    <w:rsid w:val="00921A1A"/>
    <w:rsid w:val="0092284E"/>
    <w:rsid w:val="009232F9"/>
    <w:rsid w:val="0092458D"/>
    <w:rsid w:val="00924B1E"/>
    <w:rsid w:val="00924B2B"/>
    <w:rsid w:val="009262E6"/>
    <w:rsid w:val="009263A3"/>
    <w:rsid w:val="00926DE6"/>
    <w:rsid w:val="00927092"/>
    <w:rsid w:val="00927376"/>
    <w:rsid w:val="00930FEF"/>
    <w:rsid w:val="00932BB9"/>
    <w:rsid w:val="00933244"/>
    <w:rsid w:val="009346D7"/>
    <w:rsid w:val="0093471C"/>
    <w:rsid w:val="00934E47"/>
    <w:rsid w:val="00935A69"/>
    <w:rsid w:val="00936207"/>
    <w:rsid w:val="009363E5"/>
    <w:rsid w:val="00936DB9"/>
    <w:rsid w:val="00937CA7"/>
    <w:rsid w:val="0094003B"/>
    <w:rsid w:val="00940A28"/>
    <w:rsid w:val="00940BF0"/>
    <w:rsid w:val="00940DBF"/>
    <w:rsid w:val="00941747"/>
    <w:rsid w:val="00941B64"/>
    <w:rsid w:val="00941B72"/>
    <w:rsid w:val="00941E07"/>
    <w:rsid w:val="00944CE1"/>
    <w:rsid w:val="0094559D"/>
    <w:rsid w:val="00945A0D"/>
    <w:rsid w:val="00945FA8"/>
    <w:rsid w:val="00946892"/>
    <w:rsid w:val="00946DE5"/>
    <w:rsid w:val="009474B3"/>
    <w:rsid w:val="00950928"/>
    <w:rsid w:val="00950EAA"/>
    <w:rsid w:val="00951103"/>
    <w:rsid w:val="00951732"/>
    <w:rsid w:val="00951CA4"/>
    <w:rsid w:val="00952050"/>
    <w:rsid w:val="00952102"/>
    <w:rsid w:val="00952EAC"/>
    <w:rsid w:val="00953602"/>
    <w:rsid w:val="00953892"/>
    <w:rsid w:val="00953B7F"/>
    <w:rsid w:val="0095418A"/>
    <w:rsid w:val="0095538E"/>
    <w:rsid w:val="009567E8"/>
    <w:rsid w:val="0095705F"/>
    <w:rsid w:val="0095717B"/>
    <w:rsid w:val="0096047B"/>
    <w:rsid w:val="00960CF5"/>
    <w:rsid w:val="00963086"/>
    <w:rsid w:val="00963E9A"/>
    <w:rsid w:val="0096400C"/>
    <w:rsid w:val="009644F5"/>
    <w:rsid w:val="0096530C"/>
    <w:rsid w:val="009658A6"/>
    <w:rsid w:val="00965DA8"/>
    <w:rsid w:val="00965FEB"/>
    <w:rsid w:val="0096700F"/>
    <w:rsid w:val="009700BB"/>
    <w:rsid w:val="009703F5"/>
    <w:rsid w:val="00970A70"/>
    <w:rsid w:val="0097381C"/>
    <w:rsid w:val="00973856"/>
    <w:rsid w:val="00973C58"/>
    <w:rsid w:val="00973EC8"/>
    <w:rsid w:val="0097615F"/>
    <w:rsid w:val="00976D8D"/>
    <w:rsid w:val="00977034"/>
    <w:rsid w:val="00977093"/>
    <w:rsid w:val="00977FD5"/>
    <w:rsid w:val="00980548"/>
    <w:rsid w:val="00980DAE"/>
    <w:rsid w:val="0098314A"/>
    <w:rsid w:val="009833FF"/>
    <w:rsid w:val="009836CA"/>
    <w:rsid w:val="009837BA"/>
    <w:rsid w:val="00983A11"/>
    <w:rsid w:val="00983E58"/>
    <w:rsid w:val="00984AE0"/>
    <w:rsid w:val="00985058"/>
    <w:rsid w:val="009857DB"/>
    <w:rsid w:val="00985A81"/>
    <w:rsid w:val="00985D3D"/>
    <w:rsid w:val="009862C2"/>
    <w:rsid w:val="009863DA"/>
    <w:rsid w:val="009869F6"/>
    <w:rsid w:val="00986B84"/>
    <w:rsid w:val="00986D2C"/>
    <w:rsid w:val="00991794"/>
    <w:rsid w:val="009921CD"/>
    <w:rsid w:val="0099224A"/>
    <w:rsid w:val="00992491"/>
    <w:rsid w:val="00993AF8"/>
    <w:rsid w:val="009946F4"/>
    <w:rsid w:val="009948E2"/>
    <w:rsid w:val="0099594A"/>
    <w:rsid w:val="009A1C84"/>
    <w:rsid w:val="009A2471"/>
    <w:rsid w:val="009A363A"/>
    <w:rsid w:val="009A382A"/>
    <w:rsid w:val="009A47C1"/>
    <w:rsid w:val="009A4F8C"/>
    <w:rsid w:val="009A65DC"/>
    <w:rsid w:val="009B026F"/>
    <w:rsid w:val="009B0D9C"/>
    <w:rsid w:val="009B1ED0"/>
    <w:rsid w:val="009B60A4"/>
    <w:rsid w:val="009B66CA"/>
    <w:rsid w:val="009B7178"/>
    <w:rsid w:val="009B7600"/>
    <w:rsid w:val="009C08BF"/>
    <w:rsid w:val="009C0932"/>
    <w:rsid w:val="009C09CC"/>
    <w:rsid w:val="009C0EF6"/>
    <w:rsid w:val="009C142D"/>
    <w:rsid w:val="009C202C"/>
    <w:rsid w:val="009C2B7A"/>
    <w:rsid w:val="009C2D9F"/>
    <w:rsid w:val="009C3A6B"/>
    <w:rsid w:val="009C52F0"/>
    <w:rsid w:val="009C5335"/>
    <w:rsid w:val="009C5567"/>
    <w:rsid w:val="009C58A2"/>
    <w:rsid w:val="009C59CC"/>
    <w:rsid w:val="009C653F"/>
    <w:rsid w:val="009C66ED"/>
    <w:rsid w:val="009C6886"/>
    <w:rsid w:val="009C6E3C"/>
    <w:rsid w:val="009C750C"/>
    <w:rsid w:val="009C79A1"/>
    <w:rsid w:val="009D19DB"/>
    <w:rsid w:val="009D202E"/>
    <w:rsid w:val="009D2272"/>
    <w:rsid w:val="009D25C1"/>
    <w:rsid w:val="009D2C18"/>
    <w:rsid w:val="009D2F83"/>
    <w:rsid w:val="009D38D2"/>
    <w:rsid w:val="009D46AE"/>
    <w:rsid w:val="009D4A12"/>
    <w:rsid w:val="009D4FF4"/>
    <w:rsid w:val="009D51ED"/>
    <w:rsid w:val="009D563F"/>
    <w:rsid w:val="009D5A5B"/>
    <w:rsid w:val="009D7234"/>
    <w:rsid w:val="009E07A5"/>
    <w:rsid w:val="009E0DDA"/>
    <w:rsid w:val="009E178A"/>
    <w:rsid w:val="009E1AAB"/>
    <w:rsid w:val="009E26F9"/>
    <w:rsid w:val="009E31F4"/>
    <w:rsid w:val="009E3913"/>
    <w:rsid w:val="009E3B1F"/>
    <w:rsid w:val="009E3C01"/>
    <w:rsid w:val="009E44CC"/>
    <w:rsid w:val="009E4E7F"/>
    <w:rsid w:val="009E57F7"/>
    <w:rsid w:val="009E5F4F"/>
    <w:rsid w:val="009E7152"/>
    <w:rsid w:val="009F0091"/>
    <w:rsid w:val="009F055C"/>
    <w:rsid w:val="009F0C60"/>
    <w:rsid w:val="009F0D61"/>
    <w:rsid w:val="009F1392"/>
    <w:rsid w:val="009F1956"/>
    <w:rsid w:val="009F1AED"/>
    <w:rsid w:val="009F1B03"/>
    <w:rsid w:val="009F2F5A"/>
    <w:rsid w:val="009F367E"/>
    <w:rsid w:val="009F4011"/>
    <w:rsid w:val="009F424D"/>
    <w:rsid w:val="009F46EA"/>
    <w:rsid w:val="009F4F51"/>
    <w:rsid w:val="009F586C"/>
    <w:rsid w:val="009F5E64"/>
    <w:rsid w:val="009F7019"/>
    <w:rsid w:val="009F70BC"/>
    <w:rsid w:val="00A0044A"/>
    <w:rsid w:val="00A0082B"/>
    <w:rsid w:val="00A00CFB"/>
    <w:rsid w:val="00A01407"/>
    <w:rsid w:val="00A014F9"/>
    <w:rsid w:val="00A01B84"/>
    <w:rsid w:val="00A03A19"/>
    <w:rsid w:val="00A03E6A"/>
    <w:rsid w:val="00A04D9D"/>
    <w:rsid w:val="00A053B3"/>
    <w:rsid w:val="00A058C6"/>
    <w:rsid w:val="00A079D6"/>
    <w:rsid w:val="00A07A44"/>
    <w:rsid w:val="00A07F26"/>
    <w:rsid w:val="00A1179D"/>
    <w:rsid w:val="00A11F6A"/>
    <w:rsid w:val="00A1338C"/>
    <w:rsid w:val="00A13FA3"/>
    <w:rsid w:val="00A15FA0"/>
    <w:rsid w:val="00A17C98"/>
    <w:rsid w:val="00A17DC1"/>
    <w:rsid w:val="00A22D46"/>
    <w:rsid w:val="00A241F5"/>
    <w:rsid w:val="00A24519"/>
    <w:rsid w:val="00A25048"/>
    <w:rsid w:val="00A26316"/>
    <w:rsid w:val="00A267DD"/>
    <w:rsid w:val="00A26B86"/>
    <w:rsid w:val="00A26C36"/>
    <w:rsid w:val="00A2739C"/>
    <w:rsid w:val="00A2779C"/>
    <w:rsid w:val="00A30B36"/>
    <w:rsid w:val="00A31040"/>
    <w:rsid w:val="00A3112A"/>
    <w:rsid w:val="00A31708"/>
    <w:rsid w:val="00A3196A"/>
    <w:rsid w:val="00A319DE"/>
    <w:rsid w:val="00A323FE"/>
    <w:rsid w:val="00A330BD"/>
    <w:rsid w:val="00A33C9C"/>
    <w:rsid w:val="00A33CEE"/>
    <w:rsid w:val="00A33DBB"/>
    <w:rsid w:val="00A34D0F"/>
    <w:rsid w:val="00A360D4"/>
    <w:rsid w:val="00A377F9"/>
    <w:rsid w:val="00A37E53"/>
    <w:rsid w:val="00A37E54"/>
    <w:rsid w:val="00A4109B"/>
    <w:rsid w:val="00A41912"/>
    <w:rsid w:val="00A41EB9"/>
    <w:rsid w:val="00A42096"/>
    <w:rsid w:val="00A42946"/>
    <w:rsid w:val="00A42B2B"/>
    <w:rsid w:val="00A4312B"/>
    <w:rsid w:val="00A43634"/>
    <w:rsid w:val="00A438E3"/>
    <w:rsid w:val="00A439B7"/>
    <w:rsid w:val="00A43B88"/>
    <w:rsid w:val="00A44143"/>
    <w:rsid w:val="00A47A68"/>
    <w:rsid w:val="00A500A5"/>
    <w:rsid w:val="00A50D47"/>
    <w:rsid w:val="00A5154E"/>
    <w:rsid w:val="00A516B8"/>
    <w:rsid w:val="00A5454C"/>
    <w:rsid w:val="00A54A63"/>
    <w:rsid w:val="00A55545"/>
    <w:rsid w:val="00A569F9"/>
    <w:rsid w:val="00A572E3"/>
    <w:rsid w:val="00A60114"/>
    <w:rsid w:val="00A6039F"/>
    <w:rsid w:val="00A607B9"/>
    <w:rsid w:val="00A60F97"/>
    <w:rsid w:val="00A61C17"/>
    <w:rsid w:val="00A61C2A"/>
    <w:rsid w:val="00A63202"/>
    <w:rsid w:val="00A6388E"/>
    <w:rsid w:val="00A63A0B"/>
    <w:rsid w:val="00A63BD8"/>
    <w:rsid w:val="00A651D2"/>
    <w:rsid w:val="00A65BBB"/>
    <w:rsid w:val="00A66097"/>
    <w:rsid w:val="00A66148"/>
    <w:rsid w:val="00A6624B"/>
    <w:rsid w:val="00A6631A"/>
    <w:rsid w:val="00A6686F"/>
    <w:rsid w:val="00A67369"/>
    <w:rsid w:val="00A675A2"/>
    <w:rsid w:val="00A67BBF"/>
    <w:rsid w:val="00A701B8"/>
    <w:rsid w:val="00A70655"/>
    <w:rsid w:val="00A7157F"/>
    <w:rsid w:val="00A721C9"/>
    <w:rsid w:val="00A72D10"/>
    <w:rsid w:val="00A72F9C"/>
    <w:rsid w:val="00A7316D"/>
    <w:rsid w:val="00A7332E"/>
    <w:rsid w:val="00A74F66"/>
    <w:rsid w:val="00A75472"/>
    <w:rsid w:val="00A7593A"/>
    <w:rsid w:val="00A75B6C"/>
    <w:rsid w:val="00A7612F"/>
    <w:rsid w:val="00A762EC"/>
    <w:rsid w:val="00A762F6"/>
    <w:rsid w:val="00A7699B"/>
    <w:rsid w:val="00A771F3"/>
    <w:rsid w:val="00A777CC"/>
    <w:rsid w:val="00A80742"/>
    <w:rsid w:val="00A80AA5"/>
    <w:rsid w:val="00A821F6"/>
    <w:rsid w:val="00A83692"/>
    <w:rsid w:val="00A84B76"/>
    <w:rsid w:val="00A85A48"/>
    <w:rsid w:val="00A85C8C"/>
    <w:rsid w:val="00A90102"/>
    <w:rsid w:val="00A92958"/>
    <w:rsid w:val="00A9312B"/>
    <w:rsid w:val="00A94029"/>
    <w:rsid w:val="00A94899"/>
    <w:rsid w:val="00A94BEE"/>
    <w:rsid w:val="00AA03DB"/>
    <w:rsid w:val="00AA0DFE"/>
    <w:rsid w:val="00AA1B17"/>
    <w:rsid w:val="00AA2C60"/>
    <w:rsid w:val="00AA2EC0"/>
    <w:rsid w:val="00AA40FC"/>
    <w:rsid w:val="00AA4273"/>
    <w:rsid w:val="00AA4AA9"/>
    <w:rsid w:val="00AA56E8"/>
    <w:rsid w:val="00AA71EC"/>
    <w:rsid w:val="00AB01B9"/>
    <w:rsid w:val="00AB11B7"/>
    <w:rsid w:val="00AB14FC"/>
    <w:rsid w:val="00AB1D2E"/>
    <w:rsid w:val="00AB2898"/>
    <w:rsid w:val="00AB28FE"/>
    <w:rsid w:val="00AB2ACF"/>
    <w:rsid w:val="00AB3381"/>
    <w:rsid w:val="00AB62F7"/>
    <w:rsid w:val="00AB6713"/>
    <w:rsid w:val="00AB69E2"/>
    <w:rsid w:val="00AB721D"/>
    <w:rsid w:val="00AB72BB"/>
    <w:rsid w:val="00AB7846"/>
    <w:rsid w:val="00AC1EB6"/>
    <w:rsid w:val="00AC1FB7"/>
    <w:rsid w:val="00AC285A"/>
    <w:rsid w:val="00AC2FFE"/>
    <w:rsid w:val="00AC3323"/>
    <w:rsid w:val="00AC387B"/>
    <w:rsid w:val="00AC427A"/>
    <w:rsid w:val="00AC4730"/>
    <w:rsid w:val="00AC4D04"/>
    <w:rsid w:val="00AC53C3"/>
    <w:rsid w:val="00AD00EA"/>
    <w:rsid w:val="00AD06E3"/>
    <w:rsid w:val="00AD0A5F"/>
    <w:rsid w:val="00AD292B"/>
    <w:rsid w:val="00AD3B15"/>
    <w:rsid w:val="00AD46D7"/>
    <w:rsid w:val="00AD4B8A"/>
    <w:rsid w:val="00AD55A3"/>
    <w:rsid w:val="00AD60A5"/>
    <w:rsid w:val="00AD6D73"/>
    <w:rsid w:val="00AD6E89"/>
    <w:rsid w:val="00AD767C"/>
    <w:rsid w:val="00AD7F4D"/>
    <w:rsid w:val="00AD7F8B"/>
    <w:rsid w:val="00AE027F"/>
    <w:rsid w:val="00AE05E8"/>
    <w:rsid w:val="00AE1534"/>
    <w:rsid w:val="00AE15FB"/>
    <w:rsid w:val="00AE1CD6"/>
    <w:rsid w:val="00AE1E7A"/>
    <w:rsid w:val="00AE20CB"/>
    <w:rsid w:val="00AE2182"/>
    <w:rsid w:val="00AE21FA"/>
    <w:rsid w:val="00AE2445"/>
    <w:rsid w:val="00AE2A66"/>
    <w:rsid w:val="00AE3870"/>
    <w:rsid w:val="00AE407E"/>
    <w:rsid w:val="00AE53C3"/>
    <w:rsid w:val="00AE5634"/>
    <w:rsid w:val="00AE624C"/>
    <w:rsid w:val="00AE6253"/>
    <w:rsid w:val="00AE6886"/>
    <w:rsid w:val="00AE6D55"/>
    <w:rsid w:val="00AE7E75"/>
    <w:rsid w:val="00AF068B"/>
    <w:rsid w:val="00AF19E7"/>
    <w:rsid w:val="00AF1B34"/>
    <w:rsid w:val="00AF3AA6"/>
    <w:rsid w:val="00AF3F52"/>
    <w:rsid w:val="00AF561C"/>
    <w:rsid w:val="00AF58E9"/>
    <w:rsid w:val="00AF6345"/>
    <w:rsid w:val="00AF6F64"/>
    <w:rsid w:val="00B011C6"/>
    <w:rsid w:val="00B01239"/>
    <w:rsid w:val="00B01926"/>
    <w:rsid w:val="00B02641"/>
    <w:rsid w:val="00B026AE"/>
    <w:rsid w:val="00B03564"/>
    <w:rsid w:val="00B03F1A"/>
    <w:rsid w:val="00B040F7"/>
    <w:rsid w:val="00B04409"/>
    <w:rsid w:val="00B050C2"/>
    <w:rsid w:val="00B05791"/>
    <w:rsid w:val="00B064B1"/>
    <w:rsid w:val="00B068B9"/>
    <w:rsid w:val="00B0691A"/>
    <w:rsid w:val="00B102E9"/>
    <w:rsid w:val="00B10599"/>
    <w:rsid w:val="00B1086D"/>
    <w:rsid w:val="00B10AD5"/>
    <w:rsid w:val="00B13C8C"/>
    <w:rsid w:val="00B140BC"/>
    <w:rsid w:val="00B152C2"/>
    <w:rsid w:val="00B16B97"/>
    <w:rsid w:val="00B175F1"/>
    <w:rsid w:val="00B17733"/>
    <w:rsid w:val="00B179B2"/>
    <w:rsid w:val="00B2216D"/>
    <w:rsid w:val="00B223DD"/>
    <w:rsid w:val="00B22501"/>
    <w:rsid w:val="00B226ED"/>
    <w:rsid w:val="00B22A37"/>
    <w:rsid w:val="00B2335B"/>
    <w:rsid w:val="00B237CC"/>
    <w:rsid w:val="00B24242"/>
    <w:rsid w:val="00B2487D"/>
    <w:rsid w:val="00B24C47"/>
    <w:rsid w:val="00B25238"/>
    <w:rsid w:val="00B26367"/>
    <w:rsid w:val="00B26E6C"/>
    <w:rsid w:val="00B26F0B"/>
    <w:rsid w:val="00B27846"/>
    <w:rsid w:val="00B30262"/>
    <w:rsid w:val="00B30A12"/>
    <w:rsid w:val="00B30D31"/>
    <w:rsid w:val="00B30DD5"/>
    <w:rsid w:val="00B325B5"/>
    <w:rsid w:val="00B33587"/>
    <w:rsid w:val="00B33FC0"/>
    <w:rsid w:val="00B34992"/>
    <w:rsid w:val="00B34A77"/>
    <w:rsid w:val="00B34E0C"/>
    <w:rsid w:val="00B36835"/>
    <w:rsid w:val="00B3683D"/>
    <w:rsid w:val="00B368BF"/>
    <w:rsid w:val="00B37362"/>
    <w:rsid w:val="00B37764"/>
    <w:rsid w:val="00B40947"/>
    <w:rsid w:val="00B428EB"/>
    <w:rsid w:val="00B43EAE"/>
    <w:rsid w:val="00B441D4"/>
    <w:rsid w:val="00B44625"/>
    <w:rsid w:val="00B458CD"/>
    <w:rsid w:val="00B45F8E"/>
    <w:rsid w:val="00B4615E"/>
    <w:rsid w:val="00B46C1A"/>
    <w:rsid w:val="00B46F73"/>
    <w:rsid w:val="00B472FB"/>
    <w:rsid w:val="00B475C5"/>
    <w:rsid w:val="00B476EC"/>
    <w:rsid w:val="00B520DE"/>
    <w:rsid w:val="00B52800"/>
    <w:rsid w:val="00B52831"/>
    <w:rsid w:val="00B530F9"/>
    <w:rsid w:val="00B53A9D"/>
    <w:rsid w:val="00B540BB"/>
    <w:rsid w:val="00B545E5"/>
    <w:rsid w:val="00B54C84"/>
    <w:rsid w:val="00B5508D"/>
    <w:rsid w:val="00B554D3"/>
    <w:rsid w:val="00B55C01"/>
    <w:rsid w:val="00B60A5D"/>
    <w:rsid w:val="00B60BAB"/>
    <w:rsid w:val="00B61306"/>
    <w:rsid w:val="00B62458"/>
    <w:rsid w:val="00B63944"/>
    <w:rsid w:val="00B65614"/>
    <w:rsid w:val="00B66C4F"/>
    <w:rsid w:val="00B70138"/>
    <w:rsid w:val="00B70D69"/>
    <w:rsid w:val="00B712CD"/>
    <w:rsid w:val="00B713BE"/>
    <w:rsid w:val="00B715E0"/>
    <w:rsid w:val="00B728B5"/>
    <w:rsid w:val="00B72EE5"/>
    <w:rsid w:val="00B730DC"/>
    <w:rsid w:val="00B73127"/>
    <w:rsid w:val="00B733A6"/>
    <w:rsid w:val="00B7372A"/>
    <w:rsid w:val="00B737FB"/>
    <w:rsid w:val="00B73CEF"/>
    <w:rsid w:val="00B74510"/>
    <w:rsid w:val="00B74760"/>
    <w:rsid w:val="00B77B95"/>
    <w:rsid w:val="00B80391"/>
    <w:rsid w:val="00B816EB"/>
    <w:rsid w:val="00B81BC0"/>
    <w:rsid w:val="00B82379"/>
    <w:rsid w:val="00B82A59"/>
    <w:rsid w:val="00B840C0"/>
    <w:rsid w:val="00B84377"/>
    <w:rsid w:val="00B850AC"/>
    <w:rsid w:val="00B85D4A"/>
    <w:rsid w:val="00B86689"/>
    <w:rsid w:val="00B870A9"/>
    <w:rsid w:val="00B876C3"/>
    <w:rsid w:val="00B8794F"/>
    <w:rsid w:val="00B87BD1"/>
    <w:rsid w:val="00B87C07"/>
    <w:rsid w:val="00B87D94"/>
    <w:rsid w:val="00B907D7"/>
    <w:rsid w:val="00B91632"/>
    <w:rsid w:val="00B92E01"/>
    <w:rsid w:val="00B93310"/>
    <w:rsid w:val="00B9371B"/>
    <w:rsid w:val="00B94065"/>
    <w:rsid w:val="00B9501C"/>
    <w:rsid w:val="00B966A8"/>
    <w:rsid w:val="00B970C8"/>
    <w:rsid w:val="00B9713A"/>
    <w:rsid w:val="00B9738D"/>
    <w:rsid w:val="00B9787F"/>
    <w:rsid w:val="00B979D5"/>
    <w:rsid w:val="00B97BD0"/>
    <w:rsid w:val="00B97CE6"/>
    <w:rsid w:val="00BA02C3"/>
    <w:rsid w:val="00BA2586"/>
    <w:rsid w:val="00BA2BEF"/>
    <w:rsid w:val="00BA32D8"/>
    <w:rsid w:val="00BA34B3"/>
    <w:rsid w:val="00BA429C"/>
    <w:rsid w:val="00BA4517"/>
    <w:rsid w:val="00BA47BB"/>
    <w:rsid w:val="00BA58FF"/>
    <w:rsid w:val="00BA70E1"/>
    <w:rsid w:val="00BA7C14"/>
    <w:rsid w:val="00BB0130"/>
    <w:rsid w:val="00BB04F6"/>
    <w:rsid w:val="00BB0633"/>
    <w:rsid w:val="00BB0772"/>
    <w:rsid w:val="00BB089B"/>
    <w:rsid w:val="00BB1185"/>
    <w:rsid w:val="00BB1974"/>
    <w:rsid w:val="00BB1AE6"/>
    <w:rsid w:val="00BB32B8"/>
    <w:rsid w:val="00BB50AB"/>
    <w:rsid w:val="00BB58AC"/>
    <w:rsid w:val="00BB5933"/>
    <w:rsid w:val="00BB610B"/>
    <w:rsid w:val="00BB64F7"/>
    <w:rsid w:val="00BB6691"/>
    <w:rsid w:val="00BB7AD3"/>
    <w:rsid w:val="00BC0021"/>
    <w:rsid w:val="00BC0AE9"/>
    <w:rsid w:val="00BC1654"/>
    <w:rsid w:val="00BC191C"/>
    <w:rsid w:val="00BC2614"/>
    <w:rsid w:val="00BC287F"/>
    <w:rsid w:val="00BC2C26"/>
    <w:rsid w:val="00BC3107"/>
    <w:rsid w:val="00BC358C"/>
    <w:rsid w:val="00BC37A7"/>
    <w:rsid w:val="00BC406B"/>
    <w:rsid w:val="00BC505B"/>
    <w:rsid w:val="00BC59E6"/>
    <w:rsid w:val="00BC61BD"/>
    <w:rsid w:val="00BC61FE"/>
    <w:rsid w:val="00BC6FAA"/>
    <w:rsid w:val="00BC78CF"/>
    <w:rsid w:val="00BC7961"/>
    <w:rsid w:val="00BD0462"/>
    <w:rsid w:val="00BD335A"/>
    <w:rsid w:val="00BD4594"/>
    <w:rsid w:val="00BD4E0C"/>
    <w:rsid w:val="00BD6A3D"/>
    <w:rsid w:val="00BD70B8"/>
    <w:rsid w:val="00BD7924"/>
    <w:rsid w:val="00BE1305"/>
    <w:rsid w:val="00BE1364"/>
    <w:rsid w:val="00BE1962"/>
    <w:rsid w:val="00BE20C4"/>
    <w:rsid w:val="00BE3CA9"/>
    <w:rsid w:val="00BE4E77"/>
    <w:rsid w:val="00BE50EE"/>
    <w:rsid w:val="00BE5698"/>
    <w:rsid w:val="00BE65EA"/>
    <w:rsid w:val="00BE738A"/>
    <w:rsid w:val="00BF0598"/>
    <w:rsid w:val="00BF091B"/>
    <w:rsid w:val="00BF0F63"/>
    <w:rsid w:val="00BF1977"/>
    <w:rsid w:val="00BF1A0B"/>
    <w:rsid w:val="00BF1B3C"/>
    <w:rsid w:val="00BF2B08"/>
    <w:rsid w:val="00BF2FA2"/>
    <w:rsid w:val="00BF38A5"/>
    <w:rsid w:val="00BF4163"/>
    <w:rsid w:val="00BF50BE"/>
    <w:rsid w:val="00BF58BE"/>
    <w:rsid w:val="00BF75A3"/>
    <w:rsid w:val="00BF7F4F"/>
    <w:rsid w:val="00C00152"/>
    <w:rsid w:val="00C0253D"/>
    <w:rsid w:val="00C02B1F"/>
    <w:rsid w:val="00C03C65"/>
    <w:rsid w:val="00C053CD"/>
    <w:rsid w:val="00C05CD1"/>
    <w:rsid w:val="00C05F01"/>
    <w:rsid w:val="00C06165"/>
    <w:rsid w:val="00C066E5"/>
    <w:rsid w:val="00C075C7"/>
    <w:rsid w:val="00C077D0"/>
    <w:rsid w:val="00C07D64"/>
    <w:rsid w:val="00C1001C"/>
    <w:rsid w:val="00C104C8"/>
    <w:rsid w:val="00C10549"/>
    <w:rsid w:val="00C106F8"/>
    <w:rsid w:val="00C10F57"/>
    <w:rsid w:val="00C12330"/>
    <w:rsid w:val="00C12417"/>
    <w:rsid w:val="00C1327D"/>
    <w:rsid w:val="00C1525E"/>
    <w:rsid w:val="00C159F4"/>
    <w:rsid w:val="00C15D0A"/>
    <w:rsid w:val="00C163C9"/>
    <w:rsid w:val="00C1642F"/>
    <w:rsid w:val="00C16B00"/>
    <w:rsid w:val="00C21607"/>
    <w:rsid w:val="00C21A5B"/>
    <w:rsid w:val="00C22B35"/>
    <w:rsid w:val="00C238B6"/>
    <w:rsid w:val="00C23E6B"/>
    <w:rsid w:val="00C24E36"/>
    <w:rsid w:val="00C251C4"/>
    <w:rsid w:val="00C26514"/>
    <w:rsid w:val="00C27B64"/>
    <w:rsid w:val="00C27F64"/>
    <w:rsid w:val="00C30202"/>
    <w:rsid w:val="00C302E5"/>
    <w:rsid w:val="00C311F3"/>
    <w:rsid w:val="00C32610"/>
    <w:rsid w:val="00C32786"/>
    <w:rsid w:val="00C32867"/>
    <w:rsid w:val="00C3290D"/>
    <w:rsid w:val="00C329A3"/>
    <w:rsid w:val="00C33250"/>
    <w:rsid w:val="00C338A8"/>
    <w:rsid w:val="00C343DC"/>
    <w:rsid w:val="00C347B3"/>
    <w:rsid w:val="00C348D9"/>
    <w:rsid w:val="00C34DE6"/>
    <w:rsid w:val="00C35137"/>
    <w:rsid w:val="00C35409"/>
    <w:rsid w:val="00C35FFE"/>
    <w:rsid w:val="00C3632D"/>
    <w:rsid w:val="00C400CD"/>
    <w:rsid w:val="00C401D7"/>
    <w:rsid w:val="00C40963"/>
    <w:rsid w:val="00C40DF5"/>
    <w:rsid w:val="00C422E1"/>
    <w:rsid w:val="00C425E2"/>
    <w:rsid w:val="00C4336F"/>
    <w:rsid w:val="00C44E8E"/>
    <w:rsid w:val="00C4522F"/>
    <w:rsid w:val="00C45308"/>
    <w:rsid w:val="00C4764C"/>
    <w:rsid w:val="00C4794E"/>
    <w:rsid w:val="00C47E47"/>
    <w:rsid w:val="00C500CE"/>
    <w:rsid w:val="00C5014E"/>
    <w:rsid w:val="00C50424"/>
    <w:rsid w:val="00C50C8D"/>
    <w:rsid w:val="00C50DCF"/>
    <w:rsid w:val="00C519DE"/>
    <w:rsid w:val="00C51A16"/>
    <w:rsid w:val="00C51A1F"/>
    <w:rsid w:val="00C52829"/>
    <w:rsid w:val="00C5291D"/>
    <w:rsid w:val="00C52DC7"/>
    <w:rsid w:val="00C53C1F"/>
    <w:rsid w:val="00C5582B"/>
    <w:rsid w:val="00C55BF7"/>
    <w:rsid w:val="00C565AB"/>
    <w:rsid w:val="00C56AEA"/>
    <w:rsid w:val="00C56BBA"/>
    <w:rsid w:val="00C5759D"/>
    <w:rsid w:val="00C618D0"/>
    <w:rsid w:val="00C632EE"/>
    <w:rsid w:val="00C636E9"/>
    <w:rsid w:val="00C63967"/>
    <w:rsid w:val="00C647A4"/>
    <w:rsid w:val="00C6575F"/>
    <w:rsid w:val="00C662F9"/>
    <w:rsid w:val="00C6658F"/>
    <w:rsid w:val="00C66E21"/>
    <w:rsid w:val="00C66E96"/>
    <w:rsid w:val="00C6760F"/>
    <w:rsid w:val="00C67A7D"/>
    <w:rsid w:val="00C67DD3"/>
    <w:rsid w:val="00C70CC7"/>
    <w:rsid w:val="00C7177F"/>
    <w:rsid w:val="00C71944"/>
    <w:rsid w:val="00C71B06"/>
    <w:rsid w:val="00C72208"/>
    <w:rsid w:val="00C74E8A"/>
    <w:rsid w:val="00C7570D"/>
    <w:rsid w:val="00C758AD"/>
    <w:rsid w:val="00C75B58"/>
    <w:rsid w:val="00C75FC3"/>
    <w:rsid w:val="00C76013"/>
    <w:rsid w:val="00C76A9C"/>
    <w:rsid w:val="00C807EF"/>
    <w:rsid w:val="00C82098"/>
    <w:rsid w:val="00C82646"/>
    <w:rsid w:val="00C83359"/>
    <w:rsid w:val="00C838A3"/>
    <w:rsid w:val="00C83978"/>
    <w:rsid w:val="00C83FAE"/>
    <w:rsid w:val="00C841A0"/>
    <w:rsid w:val="00C84E48"/>
    <w:rsid w:val="00C854C4"/>
    <w:rsid w:val="00C86E0B"/>
    <w:rsid w:val="00C879A1"/>
    <w:rsid w:val="00C90908"/>
    <w:rsid w:val="00C90B3E"/>
    <w:rsid w:val="00C91A70"/>
    <w:rsid w:val="00C921B4"/>
    <w:rsid w:val="00C9264A"/>
    <w:rsid w:val="00C92C12"/>
    <w:rsid w:val="00C94ADD"/>
    <w:rsid w:val="00C951AC"/>
    <w:rsid w:val="00C95CA3"/>
    <w:rsid w:val="00C9609D"/>
    <w:rsid w:val="00CA00F3"/>
    <w:rsid w:val="00CA0E4B"/>
    <w:rsid w:val="00CA14C1"/>
    <w:rsid w:val="00CA14E1"/>
    <w:rsid w:val="00CA3964"/>
    <w:rsid w:val="00CA4CFB"/>
    <w:rsid w:val="00CA5067"/>
    <w:rsid w:val="00CA578E"/>
    <w:rsid w:val="00CA57DC"/>
    <w:rsid w:val="00CA78AC"/>
    <w:rsid w:val="00CB0871"/>
    <w:rsid w:val="00CB1085"/>
    <w:rsid w:val="00CB1581"/>
    <w:rsid w:val="00CB2D2B"/>
    <w:rsid w:val="00CB4049"/>
    <w:rsid w:val="00CB4256"/>
    <w:rsid w:val="00CB564E"/>
    <w:rsid w:val="00CB5AF1"/>
    <w:rsid w:val="00CB6B0C"/>
    <w:rsid w:val="00CB6B2B"/>
    <w:rsid w:val="00CB78AC"/>
    <w:rsid w:val="00CB7EAF"/>
    <w:rsid w:val="00CC04B5"/>
    <w:rsid w:val="00CC11E8"/>
    <w:rsid w:val="00CC165E"/>
    <w:rsid w:val="00CC1852"/>
    <w:rsid w:val="00CC26AC"/>
    <w:rsid w:val="00CC2BC0"/>
    <w:rsid w:val="00CC2E33"/>
    <w:rsid w:val="00CC3086"/>
    <w:rsid w:val="00CC30F7"/>
    <w:rsid w:val="00CC3DD9"/>
    <w:rsid w:val="00CC4CDD"/>
    <w:rsid w:val="00CC4FA1"/>
    <w:rsid w:val="00CC5AF6"/>
    <w:rsid w:val="00CC60CA"/>
    <w:rsid w:val="00CC6A12"/>
    <w:rsid w:val="00CC6C93"/>
    <w:rsid w:val="00CC746B"/>
    <w:rsid w:val="00CC7533"/>
    <w:rsid w:val="00CC79C2"/>
    <w:rsid w:val="00CC7D0F"/>
    <w:rsid w:val="00CD1ABA"/>
    <w:rsid w:val="00CD286F"/>
    <w:rsid w:val="00CD3B1C"/>
    <w:rsid w:val="00CD4276"/>
    <w:rsid w:val="00CD464E"/>
    <w:rsid w:val="00CD49B9"/>
    <w:rsid w:val="00CD4C1E"/>
    <w:rsid w:val="00CD4FE3"/>
    <w:rsid w:val="00CD523F"/>
    <w:rsid w:val="00CD76FE"/>
    <w:rsid w:val="00CD784E"/>
    <w:rsid w:val="00CD7E1D"/>
    <w:rsid w:val="00CE1ECB"/>
    <w:rsid w:val="00CE2BDB"/>
    <w:rsid w:val="00CE324A"/>
    <w:rsid w:val="00CE37C2"/>
    <w:rsid w:val="00CE3D75"/>
    <w:rsid w:val="00CE4207"/>
    <w:rsid w:val="00CE5927"/>
    <w:rsid w:val="00CE6152"/>
    <w:rsid w:val="00CE63D8"/>
    <w:rsid w:val="00CE71FD"/>
    <w:rsid w:val="00CF00A4"/>
    <w:rsid w:val="00CF17AF"/>
    <w:rsid w:val="00CF2279"/>
    <w:rsid w:val="00CF405A"/>
    <w:rsid w:val="00CF48E6"/>
    <w:rsid w:val="00CF4D21"/>
    <w:rsid w:val="00CF51A8"/>
    <w:rsid w:val="00CF5D22"/>
    <w:rsid w:val="00CF6CF9"/>
    <w:rsid w:val="00CF7783"/>
    <w:rsid w:val="00D00187"/>
    <w:rsid w:val="00D0032A"/>
    <w:rsid w:val="00D00581"/>
    <w:rsid w:val="00D005F9"/>
    <w:rsid w:val="00D008B9"/>
    <w:rsid w:val="00D00B00"/>
    <w:rsid w:val="00D00D8B"/>
    <w:rsid w:val="00D00F1F"/>
    <w:rsid w:val="00D02144"/>
    <w:rsid w:val="00D02847"/>
    <w:rsid w:val="00D03FBC"/>
    <w:rsid w:val="00D04BF6"/>
    <w:rsid w:val="00D05191"/>
    <w:rsid w:val="00D053DC"/>
    <w:rsid w:val="00D074E9"/>
    <w:rsid w:val="00D07FD0"/>
    <w:rsid w:val="00D1012C"/>
    <w:rsid w:val="00D101AC"/>
    <w:rsid w:val="00D12C56"/>
    <w:rsid w:val="00D13C72"/>
    <w:rsid w:val="00D1414C"/>
    <w:rsid w:val="00D14CF3"/>
    <w:rsid w:val="00D14F6E"/>
    <w:rsid w:val="00D15275"/>
    <w:rsid w:val="00D154E1"/>
    <w:rsid w:val="00D1593D"/>
    <w:rsid w:val="00D15A2A"/>
    <w:rsid w:val="00D16150"/>
    <w:rsid w:val="00D16C57"/>
    <w:rsid w:val="00D16FC1"/>
    <w:rsid w:val="00D171EA"/>
    <w:rsid w:val="00D2143B"/>
    <w:rsid w:val="00D21513"/>
    <w:rsid w:val="00D2171A"/>
    <w:rsid w:val="00D23674"/>
    <w:rsid w:val="00D2431D"/>
    <w:rsid w:val="00D24457"/>
    <w:rsid w:val="00D244EA"/>
    <w:rsid w:val="00D24A57"/>
    <w:rsid w:val="00D24CE8"/>
    <w:rsid w:val="00D24CEB"/>
    <w:rsid w:val="00D25098"/>
    <w:rsid w:val="00D258F6"/>
    <w:rsid w:val="00D2746C"/>
    <w:rsid w:val="00D30313"/>
    <w:rsid w:val="00D30B52"/>
    <w:rsid w:val="00D3105F"/>
    <w:rsid w:val="00D31460"/>
    <w:rsid w:val="00D32794"/>
    <w:rsid w:val="00D32C17"/>
    <w:rsid w:val="00D33B4A"/>
    <w:rsid w:val="00D35109"/>
    <w:rsid w:val="00D3583A"/>
    <w:rsid w:val="00D36B37"/>
    <w:rsid w:val="00D36DC4"/>
    <w:rsid w:val="00D372FD"/>
    <w:rsid w:val="00D377C6"/>
    <w:rsid w:val="00D37B76"/>
    <w:rsid w:val="00D37E3D"/>
    <w:rsid w:val="00D416A9"/>
    <w:rsid w:val="00D421C8"/>
    <w:rsid w:val="00D4276A"/>
    <w:rsid w:val="00D42E1E"/>
    <w:rsid w:val="00D43723"/>
    <w:rsid w:val="00D43807"/>
    <w:rsid w:val="00D43D88"/>
    <w:rsid w:val="00D452AF"/>
    <w:rsid w:val="00D45611"/>
    <w:rsid w:val="00D45AAB"/>
    <w:rsid w:val="00D45EED"/>
    <w:rsid w:val="00D46B79"/>
    <w:rsid w:val="00D46D00"/>
    <w:rsid w:val="00D4725E"/>
    <w:rsid w:val="00D50359"/>
    <w:rsid w:val="00D507C0"/>
    <w:rsid w:val="00D5092C"/>
    <w:rsid w:val="00D509AB"/>
    <w:rsid w:val="00D5194C"/>
    <w:rsid w:val="00D51D8B"/>
    <w:rsid w:val="00D52271"/>
    <w:rsid w:val="00D52354"/>
    <w:rsid w:val="00D52EFA"/>
    <w:rsid w:val="00D54CE9"/>
    <w:rsid w:val="00D54E0B"/>
    <w:rsid w:val="00D54EEB"/>
    <w:rsid w:val="00D55244"/>
    <w:rsid w:val="00D552B4"/>
    <w:rsid w:val="00D55C13"/>
    <w:rsid w:val="00D55C73"/>
    <w:rsid w:val="00D55DF3"/>
    <w:rsid w:val="00D56E5A"/>
    <w:rsid w:val="00D604C3"/>
    <w:rsid w:val="00D616EB"/>
    <w:rsid w:val="00D623C7"/>
    <w:rsid w:val="00D62CFD"/>
    <w:rsid w:val="00D6343C"/>
    <w:rsid w:val="00D6376F"/>
    <w:rsid w:val="00D638DF"/>
    <w:rsid w:val="00D6393C"/>
    <w:rsid w:val="00D63D4E"/>
    <w:rsid w:val="00D64AD4"/>
    <w:rsid w:val="00D64DB6"/>
    <w:rsid w:val="00D64F84"/>
    <w:rsid w:val="00D651F0"/>
    <w:rsid w:val="00D664F1"/>
    <w:rsid w:val="00D670B8"/>
    <w:rsid w:val="00D70113"/>
    <w:rsid w:val="00D713E6"/>
    <w:rsid w:val="00D71443"/>
    <w:rsid w:val="00D71E7B"/>
    <w:rsid w:val="00D720FF"/>
    <w:rsid w:val="00D72506"/>
    <w:rsid w:val="00D72DFC"/>
    <w:rsid w:val="00D74943"/>
    <w:rsid w:val="00D7581E"/>
    <w:rsid w:val="00D76FFF"/>
    <w:rsid w:val="00D773C1"/>
    <w:rsid w:val="00D8045B"/>
    <w:rsid w:val="00D8081E"/>
    <w:rsid w:val="00D8107D"/>
    <w:rsid w:val="00D813B3"/>
    <w:rsid w:val="00D82D66"/>
    <w:rsid w:val="00D8444D"/>
    <w:rsid w:val="00D84A97"/>
    <w:rsid w:val="00D84EF9"/>
    <w:rsid w:val="00D850E5"/>
    <w:rsid w:val="00D85C3F"/>
    <w:rsid w:val="00D86D26"/>
    <w:rsid w:val="00D87FB2"/>
    <w:rsid w:val="00D903D7"/>
    <w:rsid w:val="00D906F8"/>
    <w:rsid w:val="00D90A44"/>
    <w:rsid w:val="00D911F8"/>
    <w:rsid w:val="00D914BC"/>
    <w:rsid w:val="00D92AB6"/>
    <w:rsid w:val="00D93447"/>
    <w:rsid w:val="00D93C02"/>
    <w:rsid w:val="00D95321"/>
    <w:rsid w:val="00D954D5"/>
    <w:rsid w:val="00D95A06"/>
    <w:rsid w:val="00D963EC"/>
    <w:rsid w:val="00D97D90"/>
    <w:rsid w:val="00DA08BB"/>
    <w:rsid w:val="00DA16B6"/>
    <w:rsid w:val="00DA1715"/>
    <w:rsid w:val="00DA18EE"/>
    <w:rsid w:val="00DA19DA"/>
    <w:rsid w:val="00DA27CC"/>
    <w:rsid w:val="00DA2AEC"/>
    <w:rsid w:val="00DA438E"/>
    <w:rsid w:val="00DA5056"/>
    <w:rsid w:val="00DA61AE"/>
    <w:rsid w:val="00DA77ED"/>
    <w:rsid w:val="00DA7DB8"/>
    <w:rsid w:val="00DB04F3"/>
    <w:rsid w:val="00DB1745"/>
    <w:rsid w:val="00DB230C"/>
    <w:rsid w:val="00DB37EF"/>
    <w:rsid w:val="00DB3A23"/>
    <w:rsid w:val="00DB64E3"/>
    <w:rsid w:val="00DB6B45"/>
    <w:rsid w:val="00DB7289"/>
    <w:rsid w:val="00DB78E8"/>
    <w:rsid w:val="00DB7C57"/>
    <w:rsid w:val="00DC00CD"/>
    <w:rsid w:val="00DC074A"/>
    <w:rsid w:val="00DC0EB4"/>
    <w:rsid w:val="00DC0FD2"/>
    <w:rsid w:val="00DC146F"/>
    <w:rsid w:val="00DC1B58"/>
    <w:rsid w:val="00DC1BD6"/>
    <w:rsid w:val="00DC1D40"/>
    <w:rsid w:val="00DC22FF"/>
    <w:rsid w:val="00DC247A"/>
    <w:rsid w:val="00DC32BB"/>
    <w:rsid w:val="00DC3487"/>
    <w:rsid w:val="00DC366D"/>
    <w:rsid w:val="00DC52B6"/>
    <w:rsid w:val="00DC5DDD"/>
    <w:rsid w:val="00DC5FE5"/>
    <w:rsid w:val="00DC75BB"/>
    <w:rsid w:val="00DC76AD"/>
    <w:rsid w:val="00DD00B2"/>
    <w:rsid w:val="00DD0634"/>
    <w:rsid w:val="00DD0C1C"/>
    <w:rsid w:val="00DD2D2F"/>
    <w:rsid w:val="00DD31B0"/>
    <w:rsid w:val="00DD3CC4"/>
    <w:rsid w:val="00DD5315"/>
    <w:rsid w:val="00DD5406"/>
    <w:rsid w:val="00DD5577"/>
    <w:rsid w:val="00DD5958"/>
    <w:rsid w:val="00DD7017"/>
    <w:rsid w:val="00DD705B"/>
    <w:rsid w:val="00DD70F5"/>
    <w:rsid w:val="00DD71B7"/>
    <w:rsid w:val="00DD777F"/>
    <w:rsid w:val="00DD7B28"/>
    <w:rsid w:val="00DD7B45"/>
    <w:rsid w:val="00DD7E6A"/>
    <w:rsid w:val="00DE1673"/>
    <w:rsid w:val="00DE16AE"/>
    <w:rsid w:val="00DE1AA8"/>
    <w:rsid w:val="00DE24AB"/>
    <w:rsid w:val="00DE3772"/>
    <w:rsid w:val="00DE38A1"/>
    <w:rsid w:val="00DE40E6"/>
    <w:rsid w:val="00DE4F8E"/>
    <w:rsid w:val="00DE52E5"/>
    <w:rsid w:val="00DE52ED"/>
    <w:rsid w:val="00DE7B63"/>
    <w:rsid w:val="00DF04A4"/>
    <w:rsid w:val="00DF0AAB"/>
    <w:rsid w:val="00DF0B69"/>
    <w:rsid w:val="00DF134A"/>
    <w:rsid w:val="00DF32BC"/>
    <w:rsid w:val="00DF3BB7"/>
    <w:rsid w:val="00DF407B"/>
    <w:rsid w:val="00DF4097"/>
    <w:rsid w:val="00DF4EE4"/>
    <w:rsid w:val="00DF57FD"/>
    <w:rsid w:val="00DF5A8B"/>
    <w:rsid w:val="00DF64AC"/>
    <w:rsid w:val="00DF64FF"/>
    <w:rsid w:val="00DF6724"/>
    <w:rsid w:val="00E004ED"/>
    <w:rsid w:val="00E01062"/>
    <w:rsid w:val="00E010DC"/>
    <w:rsid w:val="00E014CB"/>
    <w:rsid w:val="00E02129"/>
    <w:rsid w:val="00E0242E"/>
    <w:rsid w:val="00E02F28"/>
    <w:rsid w:val="00E03F85"/>
    <w:rsid w:val="00E04B75"/>
    <w:rsid w:val="00E04BBF"/>
    <w:rsid w:val="00E0667C"/>
    <w:rsid w:val="00E067E9"/>
    <w:rsid w:val="00E07381"/>
    <w:rsid w:val="00E117FC"/>
    <w:rsid w:val="00E1184A"/>
    <w:rsid w:val="00E1291A"/>
    <w:rsid w:val="00E130DD"/>
    <w:rsid w:val="00E1341C"/>
    <w:rsid w:val="00E138DE"/>
    <w:rsid w:val="00E14B1D"/>
    <w:rsid w:val="00E154FA"/>
    <w:rsid w:val="00E20177"/>
    <w:rsid w:val="00E20378"/>
    <w:rsid w:val="00E208AC"/>
    <w:rsid w:val="00E21182"/>
    <w:rsid w:val="00E21FDD"/>
    <w:rsid w:val="00E249DB"/>
    <w:rsid w:val="00E24AFE"/>
    <w:rsid w:val="00E24DDB"/>
    <w:rsid w:val="00E25181"/>
    <w:rsid w:val="00E25678"/>
    <w:rsid w:val="00E25C0E"/>
    <w:rsid w:val="00E25E6B"/>
    <w:rsid w:val="00E26267"/>
    <w:rsid w:val="00E3137A"/>
    <w:rsid w:val="00E319BF"/>
    <w:rsid w:val="00E32CCF"/>
    <w:rsid w:val="00E333F6"/>
    <w:rsid w:val="00E352F7"/>
    <w:rsid w:val="00E35451"/>
    <w:rsid w:val="00E366F9"/>
    <w:rsid w:val="00E3681E"/>
    <w:rsid w:val="00E36D5C"/>
    <w:rsid w:val="00E3730C"/>
    <w:rsid w:val="00E378E6"/>
    <w:rsid w:val="00E41A32"/>
    <w:rsid w:val="00E4568B"/>
    <w:rsid w:val="00E4597D"/>
    <w:rsid w:val="00E464EC"/>
    <w:rsid w:val="00E46C05"/>
    <w:rsid w:val="00E470BF"/>
    <w:rsid w:val="00E470E6"/>
    <w:rsid w:val="00E4738D"/>
    <w:rsid w:val="00E4788B"/>
    <w:rsid w:val="00E47B71"/>
    <w:rsid w:val="00E505A9"/>
    <w:rsid w:val="00E5171E"/>
    <w:rsid w:val="00E526C5"/>
    <w:rsid w:val="00E53124"/>
    <w:rsid w:val="00E544EC"/>
    <w:rsid w:val="00E54E92"/>
    <w:rsid w:val="00E54EDD"/>
    <w:rsid w:val="00E55B6A"/>
    <w:rsid w:val="00E55B71"/>
    <w:rsid w:val="00E56690"/>
    <w:rsid w:val="00E57D8B"/>
    <w:rsid w:val="00E57EB6"/>
    <w:rsid w:val="00E6035D"/>
    <w:rsid w:val="00E60821"/>
    <w:rsid w:val="00E60EC3"/>
    <w:rsid w:val="00E61710"/>
    <w:rsid w:val="00E61E39"/>
    <w:rsid w:val="00E6313F"/>
    <w:rsid w:val="00E64BFC"/>
    <w:rsid w:val="00E66071"/>
    <w:rsid w:val="00E67D63"/>
    <w:rsid w:val="00E67E58"/>
    <w:rsid w:val="00E707B0"/>
    <w:rsid w:val="00E71DD2"/>
    <w:rsid w:val="00E72BFF"/>
    <w:rsid w:val="00E732E8"/>
    <w:rsid w:val="00E75AAC"/>
    <w:rsid w:val="00E75F4F"/>
    <w:rsid w:val="00E767CC"/>
    <w:rsid w:val="00E7745A"/>
    <w:rsid w:val="00E776A7"/>
    <w:rsid w:val="00E77B0F"/>
    <w:rsid w:val="00E77F78"/>
    <w:rsid w:val="00E8229F"/>
    <w:rsid w:val="00E82323"/>
    <w:rsid w:val="00E82A25"/>
    <w:rsid w:val="00E83C63"/>
    <w:rsid w:val="00E83DEB"/>
    <w:rsid w:val="00E83F9E"/>
    <w:rsid w:val="00E84703"/>
    <w:rsid w:val="00E84BC6"/>
    <w:rsid w:val="00E8675E"/>
    <w:rsid w:val="00E86895"/>
    <w:rsid w:val="00E86DCB"/>
    <w:rsid w:val="00E8704A"/>
    <w:rsid w:val="00E872BA"/>
    <w:rsid w:val="00E87843"/>
    <w:rsid w:val="00E90AE2"/>
    <w:rsid w:val="00E92C40"/>
    <w:rsid w:val="00E93CA1"/>
    <w:rsid w:val="00E952F8"/>
    <w:rsid w:val="00E965E5"/>
    <w:rsid w:val="00E96837"/>
    <w:rsid w:val="00E96FFF"/>
    <w:rsid w:val="00EA0061"/>
    <w:rsid w:val="00EA07B8"/>
    <w:rsid w:val="00EA0E6D"/>
    <w:rsid w:val="00EA1210"/>
    <w:rsid w:val="00EA13F1"/>
    <w:rsid w:val="00EA1774"/>
    <w:rsid w:val="00EA1F06"/>
    <w:rsid w:val="00EA27F3"/>
    <w:rsid w:val="00EA336D"/>
    <w:rsid w:val="00EA35DB"/>
    <w:rsid w:val="00EA378F"/>
    <w:rsid w:val="00EA3B2E"/>
    <w:rsid w:val="00EA3CD5"/>
    <w:rsid w:val="00EA3FE9"/>
    <w:rsid w:val="00EA4677"/>
    <w:rsid w:val="00EA5482"/>
    <w:rsid w:val="00EA6920"/>
    <w:rsid w:val="00EA753B"/>
    <w:rsid w:val="00EA7D52"/>
    <w:rsid w:val="00EB0125"/>
    <w:rsid w:val="00EB0310"/>
    <w:rsid w:val="00EB0542"/>
    <w:rsid w:val="00EB15DC"/>
    <w:rsid w:val="00EB1CFE"/>
    <w:rsid w:val="00EB1FB8"/>
    <w:rsid w:val="00EB2E3B"/>
    <w:rsid w:val="00EB441D"/>
    <w:rsid w:val="00EB45CE"/>
    <w:rsid w:val="00EB5C61"/>
    <w:rsid w:val="00EB6B99"/>
    <w:rsid w:val="00EB6C06"/>
    <w:rsid w:val="00EB7156"/>
    <w:rsid w:val="00EB71D7"/>
    <w:rsid w:val="00EB77F7"/>
    <w:rsid w:val="00EC037B"/>
    <w:rsid w:val="00EC0609"/>
    <w:rsid w:val="00EC095C"/>
    <w:rsid w:val="00EC0DC3"/>
    <w:rsid w:val="00EC10FF"/>
    <w:rsid w:val="00EC1786"/>
    <w:rsid w:val="00EC2345"/>
    <w:rsid w:val="00EC260E"/>
    <w:rsid w:val="00EC2B62"/>
    <w:rsid w:val="00EC2F61"/>
    <w:rsid w:val="00EC4165"/>
    <w:rsid w:val="00EC4B1A"/>
    <w:rsid w:val="00EC4CBA"/>
    <w:rsid w:val="00EC5C2A"/>
    <w:rsid w:val="00EC5F4B"/>
    <w:rsid w:val="00EC6CA3"/>
    <w:rsid w:val="00EC78C7"/>
    <w:rsid w:val="00EC7A44"/>
    <w:rsid w:val="00ED13C8"/>
    <w:rsid w:val="00ED1A11"/>
    <w:rsid w:val="00ED1C01"/>
    <w:rsid w:val="00ED1D04"/>
    <w:rsid w:val="00ED2C9E"/>
    <w:rsid w:val="00ED3794"/>
    <w:rsid w:val="00ED3836"/>
    <w:rsid w:val="00ED399B"/>
    <w:rsid w:val="00ED3DB5"/>
    <w:rsid w:val="00ED71B6"/>
    <w:rsid w:val="00ED7262"/>
    <w:rsid w:val="00ED735C"/>
    <w:rsid w:val="00EE1382"/>
    <w:rsid w:val="00EE1789"/>
    <w:rsid w:val="00EE17BD"/>
    <w:rsid w:val="00EE2332"/>
    <w:rsid w:val="00EE3A17"/>
    <w:rsid w:val="00EE3F53"/>
    <w:rsid w:val="00EE43AE"/>
    <w:rsid w:val="00EE498C"/>
    <w:rsid w:val="00EE554C"/>
    <w:rsid w:val="00EE6647"/>
    <w:rsid w:val="00EF0681"/>
    <w:rsid w:val="00EF23B2"/>
    <w:rsid w:val="00EF383C"/>
    <w:rsid w:val="00EF5940"/>
    <w:rsid w:val="00EF635B"/>
    <w:rsid w:val="00EF68FA"/>
    <w:rsid w:val="00EF6951"/>
    <w:rsid w:val="00EF7AC5"/>
    <w:rsid w:val="00F00374"/>
    <w:rsid w:val="00F00468"/>
    <w:rsid w:val="00F006FC"/>
    <w:rsid w:val="00F00E76"/>
    <w:rsid w:val="00F02446"/>
    <w:rsid w:val="00F029B5"/>
    <w:rsid w:val="00F0474B"/>
    <w:rsid w:val="00F04C55"/>
    <w:rsid w:val="00F05139"/>
    <w:rsid w:val="00F057D9"/>
    <w:rsid w:val="00F0590E"/>
    <w:rsid w:val="00F072A2"/>
    <w:rsid w:val="00F07491"/>
    <w:rsid w:val="00F074E1"/>
    <w:rsid w:val="00F07C8E"/>
    <w:rsid w:val="00F10F86"/>
    <w:rsid w:val="00F11008"/>
    <w:rsid w:val="00F11649"/>
    <w:rsid w:val="00F116E4"/>
    <w:rsid w:val="00F11B98"/>
    <w:rsid w:val="00F12DEF"/>
    <w:rsid w:val="00F13E31"/>
    <w:rsid w:val="00F14600"/>
    <w:rsid w:val="00F14684"/>
    <w:rsid w:val="00F15084"/>
    <w:rsid w:val="00F153B5"/>
    <w:rsid w:val="00F153D4"/>
    <w:rsid w:val="00F17332"/>
    <w:rsid w:val="00F17D74"/>
    <w:rsid w:val="00F2099B"/>
    <w:rsid w:val="00F219E4"/>
    <w:rsid w:val="00F21B7A"/>
    <w:rsid w:val="00F223D1"/>
    <w:rsid w:val="00F2396A"/>
    <w:rsid w:val="00F23A31"/>
    <w:rsid w:val="00F24566"/>
    <w:rsid w:val="00F24643"/>
    <w:rsid w:val="00F25068"/>
    <w:rsid w:val="00F25733"/>
    <w:rsid w:val="00F258DA"/>
    <w:rsid w:val="00F26047"/>
    <w:rsid w:val="00F26228"/>
    <w:rsid w:val="00F2661A"/>
    <w:rsid w:val="00F267B4"/>
    <w:rsid w:val="00F275CB"/>
    <w:rsid w:val="00F27AB3"/>
    <w:rsid w:val="00F27AD3"/>
    <w:rsid w:val="00F30C44"/>
    <w:rsid w:val="00F31264"/>
    <w:rsid w:val="00F31D43"/>
    <w:rsid w:val="00F3236B"/>
    <w:rsid w:val="00F34041"/>
    <w:rsid w:val="00F34149"/>
    <w:rsid w:val="00F344C2"/>
    <w:rsid w:val="00F3584F"/>
    <w:rsid w:val="00F35D26"/>
    <w:rsid w:val="00F3640A"/>
    <w:rsid w:val="00F367EB"/>
    <w:rsid w:val="00F36BC2"/>
    <w:rsid w:val="00F37DAD"/>
    <w:rsid w:val="00F404CB"/>
    <w:rsid w:val="00F40AA1"/>
    <w:rsid w:val="00F40AB5"/>
    <w:rsid w:val="00F40B78"/>
    <w:rsid w:val="00F40D40"/>
    <w:rsid w:val="00F41E67"/>
    <w:rsid w:val="00F42478"/>
    <w:rsid w:val="00F42506"/>
    <w:rsid w:val="00F43D11"/>
    <w:rsid w:val="00F457F2"/>
    <w:rsid w:val="00F4626D"/>
    <w:rsid w:val="00F47982"/>
    <w:rsid w:val="00F50895"/>
    <w:rsid w:val="00F50904"/>
    <w:rsid w:val="00F50CFC"/>
    <w:rsid w:val="00F50E35"/>
    <w:rsid w:val="00F525BC"/>
    <w:rsid w:val="00F52854"/>
    <w:rsid w:val="00F52BD5"/>
    <w:rsid w:val="00F53F80"/>
    <w:rsid w:val="00F544BC"/>
    <w:rsid w:val="00F54FCF"/>
    <w:rsid w:val="00F556BC"/>
    <w:rsid w:val="00F567E1"/>
    <w:rsid w:val="00F57919"/>
    <w:rsid w:val="00F57E93"/>
    <w:rsid w:val="00F611E3"/>
    <w:rsid w:val="00F6122D"/>
    <w:rsid w:val="00F61E55"/>
    <w:rsid w:val="00F61FDC"/>
    <w:rsid w:val="00F62BE2"/>
    <w:rsid w:val="00F64040"/>
    <w:rsid w:val="00F64B9C"/>
    <w:rsid w:val="00F6594C"/>
    <w:rsid w:val="00F66843"/>
    <w:rsid w:val="00F6776B"/>
    <w:rsid w:val="00F70B9E"/>
    <w:rsid w:val="00F723ED"/>
    <w:rsid w:val="00F72871"/>
    <w:rsid w:val="00F72D0E"/>
    <w:rsid w:val="00F746C7"/>
    <w:rsid w:val="00F74C67"/>
    <w:rsid w:val="00F75CF2"/>
    <w:rsid w:val="00F761B9"/>
    <w:rsid w:val="00F764DF"/>
    <w:rsid w:val="00F773CA"/>
    <w:rsid w:val="00F805B6"/>
    <w:rsid w:val="00F80DE6"/>
    <w:rsid w:val="00F8129F"/>
    <w:rsid w:val="00F816B3"/>
    <w:rsid w:val="00F81D1E"/>
    <w:rsid w:val="00F8321C"/>
    <w:rsid w:val="00F844BE"/>
    <w:rsid w:val="00F85594"/>
    <w:rsid w:val="00F859CA"/>
    <w:rsid w:val="00F86BA6"/>
    <w:rsid w:val="00F877FB"/>
    <w:rsid w:val="00F90600"/>
    <w:rsid w:val="00F908DA"/>
    <w:rsid w:val="00F90A71"/>
    <w:rsid w:val="00F90AA0"/>
    <w:rsid w:val="00F91C4E"/>
    <w:rsid w:val="00F92278"/>
    <w:rsid w:val="00F92407"/>
    <w:rsid w:val="00F93ECE"/>
    <w:rsid w:val="00F9406E"/>
    <w:rsid w:val="00F953A9"/>
    <w:rsid w:val="00F95B19"/>
    <w:rsid w:val="00F9752D"/>
    <w:rsid w:val="00F97880"/>
    <w:rsid w:val="00F97941"/>
    <w:rsid w:val="00F97CCC"/>
    <w:rsid w:val="00FA0551"/>
    <w:rsid w:val="00FA068A"/>
    <w:rsid w:val="00FA14C4"/>
    <w:rsid w:val="00FA1769"/>
    <w:rsid w:val="00FA1C55"/>
    <w:rsid w:val="00FA1C9C"/>
    <w:rsid w:val="00FA2788"/>
    <w:rsid w:val="00FA2BEF"/>
    <w:rsid w:val="00FA2D9C"/>
    <w:rsid w:val="00FA2DBF"/>
    <w:rsid w:val="00FA320B"/>
    <w:rsid w:val="00FA3C8A"/>
    <w:rsid w:val="00FA3F2A"/>
    <w:rsid w:val="00FA415D"/>
    <w:rsid w:val="00FA598C"/>
    <w:rsid w:val="00FA618D"/>
    <w:rsid w:val="00FA6224"/>
    <w:rsid w:val="00FA6F4F"/>
    <w:rsid w:val="00FA73AA"/>
    <w:rsid w:val="00FA78A7"/>
    <w:rsid w:val="00FA7AE5"/>
    <w:rsid w:val="00FA7C9D"/>
    <w:rsid w:val="00FA7E5C"/>
    <w:rsid w:val="00FB0532"/>
    <w:rsid w:val="00FB08E3"/>
    <w:rsid w:val="00FB1AE1"/>
    <w:rsid w:val="00FB240B"/>
    <w:rsid w:val="00FB2527"/>
    <w:rsid w:val="00FB2A15"/>
    <w:rsid w:val="00FB2B7D"/>
    <w:rsid w:val="00FB3FC3"/>
    <w:rsid w:val="00FB44C2"/>
    <w:rsid w:val="00FB5898"/>
    <w:rsid w:val="00FB5A4D"/>
    <w:rsid w:val="00FB6948"/>
    <w:rsid w:val="00FB6A28"/>
    <w:rsid w:val="00FC3723"/>
    <w:rsid w:val="00FC3CCD"/>
    <w:rsid w:val="00FC487C"/>
    <w:rsid w:val="00FC6220"/>
    <w:rsid w:val="00FC64F5"/>
    <w:rsid w:val="00FC75B4"/>
    <w:rsid w:val="00FD1E52"/>
    <w:rsid w:val="00FD1E74"/>
    <w:rsid w:val="00FD259D"/>
    <w:rsid w:val="00FD4450"/>
    <w:rsid w:val="00FD4EB1"/>
    <w:rsid w:val="00FD57B8"/>
    <w:rsid w:val="00FD5D75"/>
    <w:rsid w:val="00FD6F1F"/>
    <w:rsid w:val="00FD707A"/>
    <w:rsid w:val="00FE0D02"/>
    <w:rsid w:val="00FE1541"/>
    <w:rsid w:val="00FE1946"/>
    <w:rsid w:val="00FE2105"/>
    <w:rsid w:val="00FE23B2"/>
    <w:rsid w:val="00FE2E8E"/>
    <w:rsid w:val="00FE5793"/>
    <w:rsid w:val="00FE7C56"/>
    <w:rsid w:val="00FF153B"/>
    <w:rsid w:val="00FF1613"/>
    <w:rsid w:val="00FF277D"/>
    <w:rsid w:val="00FF359F"/>
    <w:rsid w:val="00FF3948"/>
    <w:rsid w:val="00FF48D3"/>
    <w:rsid w:val="00FF4A58"/>
    <w:rsid w:val="00FF512F"/>
    <w:rsid w:val="00FF5C8F"/>
    <w:rsid w:val="00FF6720"/>
    <w:rsid w:val="00FF68CE"/>
    <w:rsid w:val="00FF73C8"/>
    <w:rsid w:val="023E1B75"/>
    <w:rsid w:val="0266755C"/>
    <w:rsid w:val="0276034F"/>
    <w:rsid w:val="02902A6D"/>
    <w:rsid w:val="029D23C4"/>
    <w:rsid w:val="02ED6112"/>
    <w:rsid w:val="02FD4D40"/>
    <w:rsid w:val="03A569EC"/>
    <w:rsid w:val="03A672A6"/>
    <w:rsid w:val="03F62DA4"/>
    <w:rsid w:val="049E5F19"/>
    <w:rsid w:val="04AC7226"/>
    <w:rsid w:val="05145BD8"/>
    <w:rsid w:val="05585B63"/>
    <w:rsid w:val="05B77785"/>
    <w:rsid w:val="08065580"/>
    <w:rsid w:val="085D7896"/>
    <w:rsid w:val="08687FE8"/>
    <w:rsid w:val="09DA7332"/>
    <w:rsid w:val="0A165F4E"/>
    <w:rsid w:val="0A690774"/>
    <w:rsid w:val="0A8455AD"/>
    <w:rsid w:val="0AF73D8F"/>
    <w:rsid w:val="0B8D058F"/>
    <w:rsid w:val="0BC07081"/>
    <w:rsid w:val="0C0A07C8"/>
    <w:rsid w:val="0C4D7C21"/>
    <w:rsid w:val="0CCB60B0"/>
    <w:rsid w:val="0CEA53B9"/>
    <w:rsid w:val="0D0E1291"/>
    <w:rsid w:val="0D2C7575"/>
    <w:rsid w:val="0D3341E8"/>
    <w:rsid w:val="0DF17872"/>
    <w:rsid w:val="0E135122"/>
    <w:rsid w:val="0E1A1D85"/>
    <w:rsid w:val="0ECA4027"/>
    <w:rsid w:val="0F193842"/>
    <w:rsid w:val="0F204A95"/>
    <w:rsid w:val="0F360E40"/>
    <w:rsid w:val="0F9A6F17"/>
    <w:rsid w:val="0FD511B0"/>
    <w:rsid w:val="0FF34197"/>
    <w:rsid w:val="10901448"/>
    <w:rsid w:val="109077F5"/>
    <w:rsid w:val="10D91A83"/>
    <w:rsid w:val="10DE709A"/>
    <w:rsid w:val="113829FD"/>
    <w:rsid w:val="11673F89"/>
    <w:rsid w:val="119507EA"/>
    <w:rsid w:val="11996DB7"/>
    <w:rsid w:val="11E80AF4"/>
    <w:rsid w:val="11EA1DFA"/>
    <w:rsid w:val="120E4EA7"/>
    <w:rsid w:val="12326685"/>
    <w:rsid w:val="12B15EB7"/>
    <w:rsid w:val="12F93120"/>
    <w:rsid w:val="14551D69"/>
    <w:rsid w:val="14A8633C"/>
    <w:rsid w:val="14DC7745"/>
    <w:rsid w:val="159A6C37"/>
    <w:rsid w:val="15E57D92"/>
    <w:rsid w:val="16C23ECA"/>
    <w:rsid w:val="16CB0891"/>
    <w:rsid w:val="17166588"/>
    <w:rsid w:val="17377504"/>
    <w:rsid w:val="175D158B"/>
    <w:rsid w:val="17782819"/>
    <w:rsid w:val="18A4552E"/>
    <w:rsid w:val="18E0203E"/>
    <w:rsid w:val="19361041"/>
    <w:rsid w:val="19F661AE"/>
    <w:rsid w:val="1A675C0A"/>
    <w:rsid w:val="1A676352"/>
    <w:rsid w:val="1A771FAA"/>
    <w:rsid w:val="1A91378D"/>
    <w:rsid w:val="1AC756F0"/>
    <w:rsid w:val="1B684130"/>
    <w:rsid w:val="1C077DEC"/>
    <w:rsid w:val="1CBD4D07"/>
    <w:rsid w:val="1CF739BD"/>
    <w:rsid w:val="1D0D1432"/>
    <w:rsid w:val="1D2B7363"/>
    <w:rsid w:val="1D732280"/>
    <w:rsid w:val="1D910CBB"/>
    <w:rsid w:val="1DFB6B53"/>
    <w:rsid w:val="1E2F08CF"/>
    <w:rsid w:val="1E51733E"/>
    <w:rsid w:val="1EE2073D"/>
    <w:rsid w:val="1F744FCA"/>
    <w:rsid w:val="1FB124DE"/>
    <w:rsid w:val="1FB27619"/>
    <w:rsid w:val="1FE620C3"/>
    <w:rsid w:val="204348D0"/>
    <w:rsid w:val="20547378"/>
    <w:rsid w:val="20717FA9"/>
    <w:rsid w:val="21A34113"/>
    <w:rsid w:val="21B52099"/>
    <w:rsid w:val="21D23A8B"/>
    <w:rsid w:val="21EB5ABA"/>
    <w:rsid w:val="23D52FF0"/>
    <w:rsid w:val="24064CC7"/>
    <w:rsid w:val="24246D53"/>
    <w:rsid w:val="24D82326"/>
    <w:rsid w:val="251D0885"/>
    <w:rsid w:val="25490842"/>
    <w:rsid w:val="25F767DC"/>
    <w:rsid w:val="260B2DF6"/>
    <w:rsid w:val="27962024"/>
    <w:rsid w:val="28017DE6"/>
    <w:rsid w:val="28077DB2"/>
    <w:rsid w:val="28397580"/>
    <w:rsid w:val="289017FF"/>
    <w:rsid w:val="28A16ED3"/>
    <w:rsid w:val="28B824F8"/>
    <w:rsid w:val="28CC03F4"/>
    <w:rsid w:val="28CF4AA8"/>
    <w:rsid w:val="28EC77E0"/>
    <w:rsid w:val="292C78DD"/>
    <w:rsid w:val="292F2731"/>
    <w:rsid w:val="29600B3C"/>
    <w:rsid w:val="2996630C"/>
    <w:rsid w:val="29C80AFF"/>
    <w:rsid w:val="29E94CA5"/>
    <w:rsid w:val="2A353D77"/>
    <w:rsid w:val="2AC045D0"/>
    <w:rsid w:val="2AC73598"/>
    <w:rsid w:val="2AD92954"/>
    <w:rsid w:val="2AE65071"/>
    <w:rsid w:val="2B717030"/>
    <w:rsid w:val="2B801021"/>
    <w:rsid w:val="2BA54037"/>
    <w:rsid w:val="2C774C24"/>
    <w:rsid w:val="2CCA2E9C"/>
    <w:rsid w:val="2CF70107"/>
    <w:rsid w:val="2D1C3ED0"/>
    <w:rsid w:val="2D4C1B03"/>
    <w:rsid w:val="2D940DB4"/>
    <w:rsid w:val="2F7450B9"/>
    <w:rsid w:val="2F8005A4"/>
    <w:rsid w:val="2F9E416C"/>
    <w:rsid w:val="303F5323"/>
    <w:rsid w:val="305F38FB"/>
    <w:rsid w:val="30A9101A"/>
    <w:rsid w:val="30B65F7A"/>
    <w:rsid w:val="30DE08EC"/>
    <w:rsid w:val="31605DBF"/>
    <w:rsid w:val="31D071CC"/>
    <w:rsid w:val="32050455"/>
    <w:rsid w:val="321E7D03"/>
    <w:rsid w:val="322620F6"/>
    <w:rsid w:val="322E7A29"/>
    <w:rsid w:val="32952D6C"/>
    <w:rsid w:val="32954C87"/>
    <w:rsid w:val="32A539A1"/>
    <w:rsid w:val="32AE0B6A"/>
    <w:rsid w:val="33162961"/>
    <w:rsid w:val="334B7406"/>
    <w:rsid w:val="3377789E"/>
    <w:rsid w:val="33F255E2"/>
    <w:rsid w:val="34080694"/>
    <w:rsid w:val="34F54A0D"/>
    <w:rsid w:val="35224E0E"/>
    <w:rsid w:val="357D65D2"/>
    <w:rsid w:val="35E534AC"/>
    <w:rsid w:val="35F13AD0"/>
    <w:rsid w:val="36B76C24"/>
    <w:rsid w:val="36C74AA1"/>
    <w:rsid w:val="3700570C"/>
    <w:rsid w:val="378D7E82"/>
    <w:rsid w:val="38A31F2B"/>
    <w:rsid w:val="3A6D5664"/>
    <w:rsid w:val="3A83305E"/>
    <w:rsid w:val="3AA0348E"/>
    <w:rsid w:val="3AB44A16"/>
    <w:rsid w:val="3AD76B3D"/>
    <w:rsid w:val="3C7050E2"/>
    <w:rsid w:val="3D2407EE"/>
    <w:rsid w:val="3D406AF1"/>
    <w:rsid w:val="3D9848F1"/>
    <w:rsid w:val="3DA9100C"/>
    <w:rsid w:val="3DC701EB"/>
    <w:rsid w:val="3DD8570A"/>
    <w:rsid w:val="3E6D7312"/>
    <w:rsid w:val="3E9230EE"/>
    <w:rsid w:val="3F0F0BE2"/>
    <w:rsid w:val="3F592485"/>
    <w:rsid w:val="3F7B0207"/>
    <w:rsid w:val="3FC12966"/>
    <w:rsid w:val="402F140A"/>
    <w:rsid w:val="42332E3A"/>
    <w:rsid w:val="4388268D"/>
    <w:rsid w:val="43A7474F"/>
    <w:rsid w:val="43C072D4"/>
    <w:rsid w:val="4416031D"/>
    <w:rsid w:val="441C67D7"/>
    <w:rsid w:val="445B167F"/>
    <w:rsid w:val="45A00C80"/>
    <w:rsid w:val="45E2495B"/>
    <w:rsid w:val="465E7B66"/>
    <w:rsid w:val="46B307C2"/>
    <w:rsid w:val="46BF2EEE"/>
    <w:rsid w:val="46F44B95"/>
    <w:rsid w:val="47466C1A"/>
    <w:rsid w:val="475249B9"/>
    <w:rsid w:val="493C7942"/>
    <w:rsid w:val="49452856"/>
    <w:rsid w:val="496D7FB1"/>
    <w:rsid w:val="496F143F"/>
    <w:rsid w:val="4A3414FD"/>
    <w:rsid w:val="4A433504"/>
    <w:rsid w:val="4B3A55EB"/>
    <w:rsid w:val="4BA426B2"/>
    <w:rsid w:val="4BCF5981"/>
    <w:rsid w:val="4D762F8A"/>
    <w:rsid w:val="4EC34587"/>
    <w:rsid w:val="4F6C3313"/>
    <w:rsid w:val="4F7B0E4F"/>
    <w:rsid w:val="4F7F2940"/>
    <w:rsid w:val="4F7F6AD2"/>
    <w:rsid w:val="4FD6052A"/>
    <w:rsid w:val="50722A2A"/>
    <w:rsid w:val="50BB7AD3"/>
    <w:rsid w:val="511D6E11"/>
    <w:rsid w:val="515029FB"/>
    <w:rsid w:val="51532BB1"/>
    <w:rsid w:val="51A50323"/>
    <w:rsid w:val="51E1640E"/>
    <w:rsid w:val="51EA0DFF"/>
    <w:rsid w:val="521E31EC"/>
    <w:rsid w:val="52A645C8"/>
    <w:rsid w:val="534313C5"/>
    <w:rsid w:val="536A5595"/>
    <w:rsid w:val="539574B0"/>
    <w:rsid w:val="5534797B"/>
    <w:rsid w:val="553867EE"/>
    <w:rsid w:val="55393E6B"/>
    <w:rsid w:val="55673A33"/>
    <w:rsid w:val="55B30065"/>
    <w:rsid w:val="55FA184D"/>
    <w:rsid w:val="560608C9"/>
    <w:rsid w:val="57292C58"/>
    <w:rsid w:val="5761366A"/>
    <w:rsid w:val="576250CC"/>
    <w:rsid w:val="576E07C0"/>
    <w:rsid w:val="58351979"/>
    <w:rsid w:val="585C0A21"/>
    <w:rsid w:val="58B33079"/>
    <w:rsid w:val="58F07EE0"/>
    <w:rsid w:val="5937001B"/>
    <w:rsid w:val="593766ED"/>
    <w:rsid w:val="598B0C64"/>
    <w:rsid w:val="59F64C1C"/>
    <w:rsid w:val="5A372A46"/>
    <w:rsid w:val="5A6056A1"/>
    <w:rsid w:val="5A920F10"/>
    <w:rsid w:val="5AD21799"/>
    <w:rsid w:val="5BB82A4D"/>
    <w:rsid w:val="5D266AC4"/>
    <w:rsid w:val="5D8D753A"/>
    <w:rsid w:val="5DB17C10"/>
    <w:rsid w:val="5DD46E27"/>
    <w:rsid w:val="5E2558D5"/>
    <w:rsid w:val="5E6C7060"/>
    <w:rsid w:val="5E776A89"/>
    <w:rsid w:val="5FB97F54"/>
    <w:rsid w:val="60DE194B"/>
    <w:rsid w:val="610745A2"/>
    <w:rsid w:val="61386073"/>
    <w:rsid w:val="61B825BC"/>
    <w:rsid w:val="61EC612B"/>
    <w:rsid w:val="634C5BA3"/>
    <w:rsid w:val="63744BDA"/>
    <w:rsid w:val="63BA5709"/>
    <w:rsid w:val="640D502B"/>
    <w:rsid w:val="643505D8"/>
    <w:rsid w:val="651F3CEC"/>
    <w:rsid w:val="65A356F2"/>
    <w:rsid w:val="662C5109"/>
    <w:rsid w:val="6727446C"/>
    <w:rsid w:val="67315FD5"/>
    <w:rsid w:val="674B5E95"/>
    <w:rsid w:val="6773002A"/>
    <w:rsid w:val="67B75FDE"/>
    <w:rsid w:val="67C43A69"/>
    <w:rsid w:val="68934CAA"/>
    <w:rsid w:val="68AD6BD9"/>
    <w:rsid w:val="6A0F4F22"/>
    <w:rsid w:val="6A797560"/>
    <w:rsid w:val="6B6473E8"/>
    <w:rsid w:val="6B7A4504"/>
    <w:rsid w:val="6BDB7F41"/>
    <w:rsid w:val="6CD01102"/>
    <w:rsid w:val="6D546034"/>
    <w:rsid w:val="6D866D3B"/>
    <w:rsid w:val="6D875C64"/>
    <w:rsid w:val="6DA6677A"/>
    <w:rsid w:val="6DAD4F9F"/>
    <w:rsid w:val="6DAE313D"/>
    <w:rsid w:val="6DE67344"/>
    <w:rsid w:val="6E2E60E0"/>
    <w:rsid w:val="6E7555D4"/>
    <w:rsid w:val="6EE40E94"/>
    <w:rsid w:val="6F633C40"/>
    <w:rsid w:val="6FB95F08"/>
    <w:rsid w:val="70112C83"/>
    <w:rsid w:val="70AB3A18"/>
    <w:rsid w:val="71AA6F22"/>
    <w:rsid w:val="72B26064"/>
    <w:rsid w:val="73FF3BD7"/>
    <w:rsid w:val="74033B6B"/>
    <w:rsid w:val="743E1064"/>
    <w:rsid w:val="74463A57"/>
    <w:rsid w:val="744904FA"/>
    <w:rsid w:val="74AD0AA1"/>
    <w:rsid w:val="74BA43AC"/>
    <w:rsid w:val="7618544B"/>
    <w:rsid w:val="765E777E"/>
    <w:rsid w:val="77503702"/>
    <w:rsid w:val="77D14CE6"/>
    <w:rsid w:val="77F959B0"/>
    <w:rsid w:val="78210A63"/>
    <w:rsid w:val="78391180"/>
    <w:rsid w:val="784F6672"/>
    <w:rsid w:val="78D34F15"/>
    <w:rsid w:val="79275E7C"/>
    <w:rsid w:val="79561FE7"/>
    <w:rsid w:val="79595867"/>
    <w:rsid w:val="796C40D1"/>
    <w:rsid w:val="7B4632F0"/>
    <w:rsid w:val="7D060FE3"/>
    <w:rsid w:val="7D4930F1"/>
    <w:rsid w:val="7D567A86"/>
    <w:rsid w:val="7D84771E"/>
    <w:rsid w:val="7D9F0894"/>
    <w:rsid w:val="7DDC7C4D"/>
    <w:rsid w:val="7E097FCF"/>
    <w:rsid w:val="7E9807B3"/>
    <w:rsid w:val="7EC15ADF"/>
    <w:rsid w:val="7EC947C3"/>
    <w:rsid w:val="7F0054E7"/>
    <w:rsid w:val="7F326AC5"/>
    <w:rsid w:val="7FB028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qFormat="1"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9"/>
    <w:qFormat/>
    <w:uiPriority w:val="0"/>
    <w:pPr>
      <w:keepLines/>
      <w:outlineLvl w:val="0"/>
    </w:pPr>
    <w:rPr>
      <w:rFonts w:eastAsia="黑体"/>
      <w:b/>
      <w:bCs/>
      <w:kern w:val="44"/>
      <w:szCs w:val="44"/>
    </w:rPr>
  </w:style>
  <w:style w:type="paragraph" w:styleId="3">
    <w:name w:val="heading 2"/>
    <w:basedOn w:val="1"/>
    <w:next w:val="1"/>
    <w:link w:val="279"/>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158"/>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8">
    <w:name w:val="heading 7"/>
    <w:basedOn w:val="1"/>
    <w:next w:val="1"/>
    <w:qFormat/>
    <w:uiPriority w:val="0"/>
    <w:pPr>
      <w:keepNext/>
      <w:keepLines/>
      <w:spacing w:before="240" w:after="64" w:line="320" w:lineRule="auto"/>
      <w:outlineLvl w:val="6"/>
    </w:pPr>
    <w:rPr>
      <w:b/>
      <w:bCs/>
      <w:sz w:val="24"/>
    </w:rPr>
  </w:style>
  <w:style w:type="paragraph" w:styleId="9">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0">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31">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unhideWhenUsed/>
    <w:qFormat/>
    <w:uiPriority w:val="0"/>
    <w:rPr>
      <w:rFonts w:eastAsia="黑体" w:asciiTheme="majorHAnsi" w:hAnsiTheme="majorHAnsi" w:cstheme="majorBidi"/>
      <w:sz w:val="20"/>
      <w:szCs w:val="20"/>
    </w:rPr>
  </w:style>
  <w:style w:type="paragraph" w:styleId="12">
    <w:name w:val="annotation text"/>
    <w:basedOn w:val="1"/>
    <w:link w:val="139"/>
    <w:qFormat/>
    <w:uiPriority w:val="99"/>
    <w:pPr>
      <w:jc w:val="left"/>
    </w:pPr>
  </w:style>
  <w:style w:type="paragraph" w:styleId="13">
    <w:name w:val="HTML Address"/>
    <w:basedOn w:val="1"/>
    <w:qFormat/>
    <w:uiPriority w:val="0"/>
    <w:rPr>
      <w:i/>
      <w:iCs/>
    </w:rPr>
  </w:style>
  <w:style w:type="paragraph" w:styleId="14">
    <w:name w:val="toc 3"/>
    <w:basedOn w:val="1"/>
    <w:next w:val="1"/>
    <w:qFormat/>
    <w:uiPriority w:val="39"/>
    <w:pPr>
      <w:ind w:left="840" w:leftChars="400"/>
    </w:pPr>
  </w:style>
  <w:style w:type="paragraph" w:styleId="15">
    <w:name w:val="Plain Text"/>
    <w:basedOn w:val="1"/>
    <w:link w:val="278"/>
    <w:qFormat/>
    <w:uiPriority w:val="0"/>
    <w:rPr>
      <w:rFonts w:hAnsi="Courier New" w:cs="Courier New" w:asciiTheme="minorEastAsia" w:eastAsiaTheme="minorEastAsia"/>
    </w:rPr>
  </w:style>
  <w:style w:type="paragraph" w:styleId="16">
    <w:name w:val="Date"/>
    <w:basedOn w:val="1"/>
    <w:next w:val="1"/>
    <w:qFormat/>
    <w:uiPriority w:val="0"/>
    <w:pPr>
      <w:ind w:left="100" w:leftChars="2500"/>
    </w:pPr>
  </w:style>
  <w:style w:type="paragraph" w:styleId="17">
    <w:name w:val="endnote text"/>
    <w:basedOn w:val="1"/>
    <w:semiHidden/>
    <w:qFormat/>
    <w:uiPriority w:val="0"/>
    <w:pPr>
      <w:snapToGrid w:val="0"/>
      <w:jc w:val="left"/>
    </w:pPr>
  </w:style>
  <w:style w:type="paragraph" w:styleId="18">
    <w:name w:val="Balloon Text"/>
    <w:basedOn w:val="1"/>
    <w:semiHidden/>
    <w:qFormat/>
    <w:uiPriority w:val="0"/>
    <w:rPr>
      <w:sz w:val="18"/>
      <w:szCs w:val="18"/>
    </w:rPr>
  </w:style>
  <w:style w:type="paragraph" w:styleId="19">
    <w:name w:val="footer"/>
    <w:basedOn w:val="1"/>
    <w:link w:val="156"/>
    <w:qFormat/>
    <w:uiPriority w:val="99"/>
    <w:pPr>
      <w:tabs>
        <w:tab w:val="center" w:pos="4153"/>
        <w:tab w:val="right" w:pos="8306"/>
      </w:tabs>
      <w:snapToGrid w:val="0"/>
      <w:ind w:right="210" w:rightChars="100"/>
      <w:jc w:val="right"/>
    </w:pPr>
    <w:rPr>
      <w:sz w:val="18"/>
      <w:szCs w:val="18"/>
    </w:rPr>
  </w:style>
  <w:style w:type="paragraph" w:styleId="20">
    <w:name w:val="header"/>
    <w:basedOn w:val="1"/>
    <w:link w:val="163"/>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style>
  <w:style w:type="paragraph" w:styleId="22">
    <w:name w:val="footnote text"/>
    <w:basedOn w:val="1"/>
    <w:semiHidden/>
    <w:qFormat/>
    <w:uiPriority w:val="0"/>
    <w:pPr>
      <w:snapToGrid w:val="0"/>
      <w:jc w:val="left"/>
    </w:pPr>
    <w:rPr>
      <w:sz w:val="18"/>
      <w:szCs w:val="18"/>
    </w:rPr>
  </w:style>
  <w:style w:type="paragraph" w:styleId="23">
    <w:name w:val="toc 2"/>
    <w:basedOn w:val="1"/>
    <w:next w:val="1"/>
    <w:qFormat/>
    <w:uiPriority w:val="39"/>
    <w:pPr>
      <w:ind w:left="420" w:leftChars="200"/>
    </w:pPr>
  </w:style>
  <w:style w:type="paragraph" w:styleId="24">
    <w:name w:val="HTML Preformatted"/>
    <w:basedOn w:val="1"/>
    <w:qFormat/>
    <w:uiPriority w:val="0"/>
    <w:rPr>
      <w:rFonts w:ascii="Courier New" w:hAnsi="Courier New" w:cs="Courier New"/>
      <w:sz w:val="20"/>
      <w:szCs w:val="20"/>
    </w:rPr>
  </w:style>
  <w:style w:type="paragraph" w:styleId="25">
    <w:name w:val="Normal (Web)"/>
    <w:basedOn w:val="1"/>
    <w:qFormat/>
    <w:uiPriority w:val="99"/>
    <w:rPr>
      <w:sz w:val="24"/>
    </w:rPr>
  </w:style>
  <w:style w:type="paragraph" w:styleId="26">
    <w:name w:val="Title"/>
    <w:basedOn w:val="1"/>
    <w:link w:val="137"/>
    <w:qFormat/>
    <w:uiPriority w:val="0"/>
    <w:pPr>
      <w:spacing w:before="240" w:after="60"/>
      <w:jc w:val="center"/>
      <w:outlineLvl w:val="0"/>
    </w:pPr>
    <w:rPr>
      <w:rFonts w:ascii="Arial" w:hAnsi="Arial" w:cs="Arial"/>
      <w:b/>
      <w:bCs/>
      <w:sz w:val="32"/>
      <w:szCs w:val="32"/>
    </w:rPr>
  </w:style>
  <w:style w:type="paragraph" w:styleId="27">
    <w:name w:val="annotation subject"/>
    <w:basedOn w:val="12"/>
    <w:next w:val="12"/>
    <w:link w:val="140"/>
    <w:qFormat/>
    <w:uiPriority w:val="0"/>
    <w:rPr>
      <w:b/>
      <w:bCs/>
    </w:rPr>
  </w:style>
  <w:style w:type="table" w:styleId="29">
    <w:name w:val="Table Grid"/>
    <w:basedOn w:val="2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0">
    <w:name w:val="Table Theme"/>
    <w:basedOn w:val="2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Strong"/>
    <w:qFormat/>
    <w:uiPriority w:val="0"/>
    <w:rPr>
      <w:b/>
      <w:bCs/>
    </w:rPr>
  </w:style>
  <w:style w:type="character" w:styleId="33">
    <w:name w:val="endnote reference"/>
    <w:semiHidden/>
    <w:qFormat/>
    <w:uiPriority w:val="0"/>
    <w:rPr>
      <w:vertAlign w:val="superscript"/>
    </w:rPr>
  </w:style>
  <w:style w:type="character" w:styleId="34">
    <w:name w:val="page number"/>
    <w:qFormat/>
    <w:uiPriority w:val="0"/>
    <w:rPr>
      <w:rFonts w:ascii="Times New Roman" w:hAnsi="Times New Roman" w:eastAsia="宋体"/>
      <w:sz w:val="18"/>
    </w:rPr>
  </w:style>
  <w:style w:type="character" w:styleId="35">
    <w:name w:val="FollowedHyperlink"/>
    <w:qFormat/>
    <w:uiPriority w:val="99"/>
    <w:rPr>
      <w:color w:val="800080"/>
      <w:u w:val="single"/>
    </w:rPr>
  </w:style>
  <w:style w:type="character" w:styleId="36">
    <w:name w:val="Emphasis"/>
    <w:qFormat/>
    <w:uiPriority w:val="0"/>
    <w:rPr>
      <w:color w:val="CC0033"/>
    </w:rPr>
  </w:style>
  <w:style w:type="character" w:styleId="37">
    <w:name w:val="HTML Definition"/>
    <w:qFormat/>
    <w:uiPriority w:val="0"/>
    <w:rPr>
      <w:i/>
      <w:iCs/>
    </w:rPr>
  </w:style>
  <w:style w:type="character" w:styleId="38">
    <w:name w:val="HTML Typewriter"/>
    <w:qFormat/>
    <w:uiPriority w:val="0"/>
    <w:rPr>
      <w:rFonts w:ascii="Courier New" w:hAnsi="Courier New"/>
      <w:sz w:val="20"/>
      <w:szCs w:val="20"/>
    </w:rPr>
  </w:style>
  <w:style w:type="character" w:styleId="39">
    <w:name w:val="HTML Acronym"/>
    <w:basedOn w:val="31"/>
    <w:qFormat/>
    <w:uiPriority w:val="0"/>
  </w:style>
  <w:style w:type="character" w:styleId="40">
    <w:name w:val="HTML Variable"/>
    <w:qFormat/>
    <w:uiPriority w:val="0"/>
    <w:rPr>
      <w:i/>
      <w:iCs/>
    </w:rPr>
  </w:style>
  <w:style w:type="character" w:styleId="41">
    <w:name w:val="Hyperlink"/>
    <w:basedOn w:val="31"/>
    <w:qFormat/>
    <w:uiPriority w:val="99"/>
    <w:rPr>
      <w:rFonts w:ascii="Times New Roman" w:hAnsi="Times New Roman" w:eastAsia="宋体"/>
      <w:color w:val="auto"/>
      <w:spacing w:val="0"/>
      <w:w w:val="100"/>
      <w:position w:val="0"/>
      <w:sz w:val="21"/>
      <w:u w:val="none"/>
      <w:vertAlign w:val="baseline"/>
    </w:rPr>
  </w:style>
  <w:style w:type="character" w:styleId="42">
    <w:name w:val="HTML Code"/>
    <w:qFormat/>
    <w:uiPriority w:val="0"/>
    <w:rPr>
      <w:rFonts w:ascii="Courier New" w:hAnsi="Courier New"/>
      <w:sz w:val="20"/>
      <w:szCs w:val="20"/>
    </w:rPr>
  </w:style>
  <w:style w:type="character" w:styleId="43">
    <w:name w:val="annotation reference"/>
    <w:qFormat/>
    <w:uiPriority w:val="99"/>
    <w:rPr>
      <w:sz w:val="21"/>
      <w:szCs w:val="21"/>
    </w:rPr>
  </w:style>
  <w:style w:type="character" w:styleId="44">
    <w:name w:val="HTML Cite"/>
    <w:qFormat/>
    <w:uiPriority w:val="0"/>
    <w:rPr>
      <w:i/>
      <w:iCs/>
    </w:rPr>
  </w:style>
  <w:style w:type="character" w:styleId="45">
    <w:name w:val="footnote reference"/>
    <w:semiHidden/>
    <w:qFormat/>
    <w:uiPriority w:val="0"/>
    <w:rPr>
      <w:vertAlign w:val="superscript"/>
    </w:rPr>
  </w:style>
  <w:style w:type="character" w:styleId="46">
    <w:name w:val="HTML Keyboard"/>
    <w:qFormat/>
    <w:uiPriority w:val="0"/>
    <w:rPr>
      <w:rFonts w:ascii="Courier New" w:hAnsi="Courier New"/>
      <w:sz w:val="20"/>
      <w:szCs w:val="20"/>
    </w:rPr>
  </w:style>
  <w:style w:type="character" w:styleId="47">
    <w:name w:val="HTML Sample"/>
    <w:qFormat/>
    <w:uiPriority w:val="0"/>
    <w:rPr>
      <w:rFonts w:ascii="Courier New" w:hAnsi="Courier New"/>
    </w:rPr>
  </w:style>
  <w:style w:type="paragraph" w:customStyle="1" w:styleId="48">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49">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52"/>
      <w:lang w:val="en-US" w:eastAsia="zh-CN" w:bidi="ar-SA"/>
    </w:rPr>
  </w:style>
  <w:style w:type="paragraph" w:customStyle="1" w:styleId="50">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51">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52">
    <w:name w:val="标准书眉_奇数页"/>
    <w:next w:val="1"/>
    <w:qFormat/>
    <w:uiPriority w:val="0"/>
    <w:pPr>
      <w:tabs>
        <w:tab w:val="center" w:pos="4154"/>
        <w:tab w:val="right" w:pos="8306"/>
      </w:tabs>
      <w:spacing w:after="120"/>
      <w:jc w:val="right"/>
    </w:pPr>
    <w:rPr>
      <w:rFonts w:ascii="Times New Roman" w:hAnsi="Times New Roman" w:eastAsia="宋体" w:cs="Times New Roman"/>
      <w:sz w:val="21"/>
      <w:lang w:val="en-US" w:eastAsia="zh-CN" w:bidi="ar-SA"/>
    </w:rPr>
  </w:style>
  <w:style w:type="paragraph" w:customStyle="1" w:styleId="53">
    <w:name w:val="标准书眉_偶数页"/>
    <w:basedOn w:val="52"/>
    <w:next w:val="1"/>
    <w:qFormat/>
    <w:uiPriority w:val="0"/>
    <w:pPr>
      <w:jc w:val="left"/>
    </w:p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前言、引言标题"/>
    <w:next w:val="1"/>
    <w:qFormat/>
    <w:uiPriority w:val="0"/>
    <w:pPr>
      <w:shd w:val="clear" w:color="FFFFFF" w:fill="FFFFFF"/>
      <w:tabs>
        <w:tab w:val="left" w:pos="360"/>
      </w:tabs>
      <w:spacing w:before="640" w:after="560"/>
      <w:jc w:val="center"/>
      <w:outlineLvl w:val="0"/>
    </w:pPr>
    <w:rPr>
      <w:rFonts w:ascii="黑体" w:hAnsi="Times New Roman" w:eastAsia="黑体" w:cs="Times New Roman"/>
      <w:sz w:val="32"/>
      <w:lang w:val="en-US" w:eastAsia="zh-CN" w:bidi="ar-SA"/>
    </w:rPr>
  </w:style>
  <w:style w:type="paragraph" w:customStyle="1" w:styleId="56">
    <w:name w:val="参考文献、索引标题"/>
    <w:basedOn w:val="55"/>
    <w:next w:val="1"/>
    <w:qFormat/>
    <w:uiPriority w:val="0"/>
    <w:pPr>
      <w:spacing w:after="200"/>
    </w:pPr>
    <w:rPr>
      <w:sz w:val="21"/>
    </w:rPr>
  </w:style>
  <w:style w:type="paragraph" w:customStyle="1" w:styleId="57">
    <w:name w:val="段"/>
    <w:link w:val="15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章标题"/>
    <w:next w:val="57"/>
    <w:qFormat/>
    <w:uiPriority w:val="0"/>
    <w:pPr>
      <w:numPr>
        <w:ilvl w:val="1"/>
        <w:numId w:val="1"/>
      </w:numPr>
      <w:spacing w:before="50" w:beforeLines="50" w:after="50" w:afterLines="50"/>
      <w:jc w:val="both"/>
      <w:outlineLvl w:val="1"/>
    </w:pPr>
    <w:rPr>
      <w:rFonts w:ascii="黑体" w:hAnsi="Times New Roman" w:eastAsia="黑体" w:cs="Times New Roman"/>
      <w:sz w:val="21"/>
      <w:lang w:val="en-US" w:eastAsia="zh-CN" w:bidi="ar-SA"/>
    </w:rPr>
  </w:style>
  <w:style w:type="paragraph" w:customStyle="1" w:styleId="59">
    <w:name w:val="一级条标题"/>
    <w:basedOn w:val="58"/>
    <w:next w:val="57"/>
    <w:qFormat/>
    <w:uiPriority w:val="0"/>
    <w:pPr>
      <w:numPr>
        <w:ilvl w:val="2"/>
      </w:numPr>
      <w:spacing w:before="0" w:beforeLines="0" w:after="0" w:afterLines="0"/>
      <w:outlineLvl w:val="2"/>
    </w:pPr>
  </w:style>
  <w:style w:type="paragraph" w:customStyle="1" w:styleId="60">
    <w:name w:val="二级条标题"/>
    <w:basedOn w:val="59"/>
    <w:next w:val="57"/>
    <w:qFormat/>
    <w:uiPriority w:val="0"/>
    <w:pPr>
      <w:numPr>
        <w:ilvl w:val="3"/>
      </w:numPr>
      <w:tabs>
        <w:tab w:val="left" w:pos="360"/>
      </w:tabs>
      <w:outlineLvl w:val="3"/>
    </w:pPr>
  </w:style>
  <w:style w:type="paragraph" w:customStyle="1" w:styleId="61">
    <w:name w:val="二级无标题条"/>
    <w:basedOn w:val="1"/>
    <w:qFormat/>
    <w:uiPriority w:val="0"/>
    <w:pPr>
      <w:numPr>
        <w:ilvl w:val="3"/>
        <w:numId w:val="2"/>
      </w:numPr>
    </w:pPr>
  </w:style>
  <w:style w:type="character" w:customStyle="1" w:styleId="62">
    <w:name w:val="发布"/>
    <w:qFormat/>
    <w:uiPriority w:val="0"/>
    <w:rPr>
      <w:rFonts w:ascii="黑体" w:eastAsia="黑体"/>
      <w:spacing w:val="22"/>
      <w:w w:val="100"/>
      <w:position w:val="3"/>
      <w:sz w:val="28"/>
    </w:rPr>
  </w:style>
  <w:style w:type="paragraph" w:customStyle="1" w:styleId="63">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spacing w:val="20"/>
      <w:w w:val="135"/>
      <w:sz w:val="36"/>
      <w:lang w:val="en-US" w:eastAsia="zh-CN" w:bidi="ar-SA"/>
    </w:rPr>
  </w:style>
  <w:style w:type="paragraph" w:customStyle="1" w:styleId="64">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65">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66">
    <w:name w:val="封面标准号2"/>
    <w:basedOn w:val="65"/>
    <w:qFormat/>
    <w:uiPriority w:val="0"/>
    <w:pPr>
      <w:framePr w:w="9138" w:h="1244" w:hRule="exact" w:wrap="around" w:vAnchor="page" w:hAnchor="margin" w:y="2908"/>
      <w:adjustRightInd w:val="0"/>
      <w:spacing w:before="357" w:line="280" w:lineRule="exact"/>
    </w:pPr>
  </w:style>
  <w:style w:type="paragraph" w:customStyle="1" w:styleId="67">
    <w:name w:val="封面标准代替信息"/>
    <w:basedOn w:val="66"/>
    <w:qFormat/>
    <w:uiPriority w:val="0"/>
    <w:pPr>
      <w:framePr w:wrap="around"/>
      <w:spacing w:before="57"/>
    </w:pPr>
    <w:rPr>
      <w:rFonts w:ascii="宋体"/>
      <w:sz w:val="21"/>
    </w:rPr>
  </w:style>
  <w:style w:type="paragraph" w:customStyle="1" w:styleId="68">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70">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71">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72">
    <w:name w:val="封面一致性程度标识"/>
    <w:qFormat/>
    <w:uiPriority w:val="0"/>
    <w:pPr>
      <w:spacing w:before="440" w:line="400" w:lineRule="exact"/>
      <w:jc w:val="center"/>
    </w:pPr>
    <w:rPr>
      <w:rFonts w:ascii="宋体" w:hAnsi="Times New Roman" w:eastAsia="宋体" w:cs="Times New Roman"/>
      <w:sz w:val="28"/>
      <w:lang w:val="en-US" w:eastAsia="zh-CN" w:bidi="ar-SA"/>
    </w:rPr>
  </w:style>
  <w:style w:type="paragraph" w:customStyle="1" w:styleId="73">
    <w:name w:val="封面正文"/>
    <w:qFormat/>
    <w:uiPriority w:val="0"/>
    <w:pPr>
      <w:jc w:val="both"/>
    </w:pPr>
    <w:rPr>
      <w:rFonts w:ascii="Times New Roman" w:hAnsi="Times New Roman" w:eastAsia="宋体" w:cs="Times New Roman"/>
      <w:lang w:val="en-US" w:eastAsia="zh-CN" w:bidi="ar-SA"/>
    </w:rPr>
  </w:style>
  <w:style w:type="paragraph" w:customStyle="1" w:styleId="74">
    <w:name w:val="附录标识"/>
    <w:basedOn w:val="55"/>
    <w:qFormat/>
    <w:uiPriority w:val="0"/>
    <w:pPr>
      <w:numPr>
        <w:ilvl w:val="0"/>
        <w:numId w:val="3"/>
      </w:numPr>
      <w:tabs>
        <w:tab w:val="left" w:pos="6405"/>
      </w:tabs>
      <w:spacing w:after="200"/>
    </w:pPr>
    <w:rPr>
      <w:sz w:val="21"/>
    </w:rPr>
  </w:style>
  <w:style w:type="paragraph" w:customStyle="1" w:styleId="75">
    <w:name w:val="附录表标题"/>
    <w:next w:val="57"/>
    <w:qFormat/>
    <w:uiPriority w:val="0"/>
    <w:pPr>
      <w:jc w:val="center"/>
      <w:textAlignment w:val="baseline"/>
    </w:pPr>
    <w:rPr>
      <w:rFonts w:ascii="黑体" w:hAnsi="Times New Roman" w:eastAsia="黑体" w:cs="Times New Roman"/>
      <w:kern w:val="21"/>
      <w:sz w:val="21"/>
      <w:lang w:val="en-US" w:eastAsia="zh-CN" w:bidi="ar-SA"/>
    </w:rPr>
  </w:style>
  <w:style w:type="paragraph" w:customStyle="1" w:styleId="76">
    <w:name w:val="附录章标题"/>
    <w:next w:val="57"/>
    <w:qFormat/>
    <w:uiPriority w:val="0"/>
    <w:pPr>
      <w:numPr>
        <w:ilvl w:val="1"/>
        <w:numId w:val="3"/>
      </w:numPr>
      <w:tabs>
        <w:tab w:val="left" w:pos="360"/>
      </w:tabs>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77">
    <w:name w:val="附录一级条标题"/>
    <w:basedOn w:val="76"/>
    <w:next w:val="57"/>
    <w:qFormat/>
    <w:uiPriority w:val="0"/>
    <w:pPr>
      <w:numPr>
        <w:ilvl w:val="2"/>
      </w:numPr>
      <w:autoSpaceDN w:val="0"/>
      <w:spacing w:before="0" w:beforeLines="0" w:after="0" w:afterLines="0"/>
      <w:outlineLvl w:val="2"/>
    </w:pPr>
  </w:style>
  <w:style w:type="paragraph" w:customStyle="1" w:styleId="78">
    <w:name w:val="附录二级条标题"/>
    <w:basedOn w:val="77"/>
    <w:next w:val="57"/>
    <w:qFormat/>
    <w:uiPriority w:val="0"/>
    <w:pPr>
      <w:numPr>
        <w:ilvl w:val="3"/>
      </w:numPr>
      <w:outlineLvl w:val="3"/>
    </w:pPr>
  </w:style>
  <w:style w:type="paragraph" w:customStyle="1" w:styleId="79">
    <w:name w:val="附录三级条标题"/>
    <w:basedOn w:val="78"/>
    <w:next w:val="57"/>
    <w:qFormat/>
    <w:uiPriority w:val="0"/>
    <w:pPr>
      <w:numPr>
        <w:ilvl w:val="4"/>
      </w:numPr>
      <w:outlineLvl w:val="4"/>
    </w:pPr>
  </w:style>
  <w:style w:type="paragraph" w:customStyle="1" w:styleId="80">
    <w:name w:val="附录四级条标题"/>
    <w:basedOn w:val="79"/>
    <w:next w:val="57"/>
    <w:qFormat/>
    <w:uiPriority w:val="0"/>
    <w:pPr>
      <w:numPr>
        <w:ilvl w:val="5"/>
      </w:numPr>
      <w:outlineLvl w:val="5"/>
    </w:pPr>
  </w:style>
  <w:style w:type="paragraph" w:customStyle="1" w:styleId="81">
    <w:name w:val="附录图标题"/>
    <w:next w:val="57"/>
    <w:qFormat/>
    <w:uiPriority w:val="0"/>
    <w:pPr>
      <w:jc w:val="center"/>
    </w:pPr>
    <w:rPr>
      <w:rFonts w:ascii="黑体" w:hAnsi="Times New Roman" w:eastAsia="黑体" w:cs="Times New Roman"/>
      <w:sz w:val="21"/>
      <w:lang w:val="en-US" w:eastAsia="zh-CN" w:bidi="ar-SA"/>
    </w:rPr>
  </w:style>
  <w:style w:type="paragraph" w:customStyle="1" w:styleId="82">
    <w:name w:val="附录五级条标题"/>
    <w:basedOn w:val="80"/>
    <w:next w:val="57"/>
    <w:qFormat/>
    <w:uiPriority w:val="0"/>
    <w:pPr>
      <w:numPr>
        <w:ilvl w:val="6"/>
      </w:numPr>
      <w:outlineLvl w:val="6"/>
    </w:pPr>
  </w:style>
  <w:style w:type="character" w:customStyle="1" w:styleId="83">
    <w:name w:val="个人答复风格"/>
    <w:qFormat/>
    <w:uiPriority w:val="0"/>
    <w:rPr>
      <w:rFonts w:ascii="Arial" w:hAnsi="Arial" w:eastAsia="宋体" w:cs="Arial"/>
      <w:color w:val="auto"/>
      <w:sz w:val="20"/>
    </w:rPr>
  </w:style>
  <w:style w:type="character" w:customStyle="1" w:styleId="84">
    <w:name w:val="个人撰写风格"/>
    <w:qFormat/>
    <w:uiPriority w:val="0"/>
    <w:rPr>
      <w:rFonts w:ascii="Arial" w:hAnsi="Arial" w:eastAsia="宋体" w:cs="Arial"/>
      <w:color w:val="auto"/>
      <w:sz w:val="20"/>
    </w:rPr>
  </w:style>
  <w:style w:type="paragraph" w:customStyle="1" w:styleId="85">
    <w:name w:val="列项——"/>
    <w:qFormat/>
    <w:uiPriority w:val="0"/>
    <w:pPr>
      <w:widowControl w:val="0"/>
      <w:numPr>
        <w:ilvl w:val="0"/>
        <w:numId w:val="4"/>
      </w:numPr>
      <w:tabs>
        <w:tab w:val="left" w:pos="360"/>
        <w:tab w:val="clear" w:pos="1140"/>
      </w:tabs>
      <w:ind w:left="0" w:firstLine="0"/>
      <w:jc w:val="both"/>
    </w:pPr>
    <w:rPr>
      <w:rFonts w:ascii="宋体" w:hAnsi="Times New Roman" w:eastAsia="宋体" w:cs="Times New Roman"/>
      <w:sz w:val="21"/>
      <w:lang w:val="en-US" w:eastAsia="zh-CN" w:bidi="ar-SA"/>
    </w:rPr>
  </w:style>
  <w:style w:type="paragraph" w:customStyle="1" w:styleId="86">
    <w:name w:val="列项·"/>
    <w:qFormat/>
    <w:uiPriority w:val="0"/>
    <w:pPr>
      <w:numPr>
        <w:ilvl w:val="0"/>
        <w:numId w:val="5"/>
      </w:numPr>
      <w:tabs>
        <w:tab w:val="left" w:pos="360"/>
        <w:tab w:val="left" w:pos="840"/>
        <w:tab w:val="clear" w:pos="1140"/>
      </w:tabs>
      <w:ind w:left="0" w:firstLine="0"/>
      <w:jc w:val="both"/>
    </w:pPr>
    <w:rPr>
      <w:rFonts w:ascii="宋体" w:hAnsi="Times New Roman" w:eastAsia="宋体" w:cs="Times New Roman"/>
      <w:sz w:val="21"/>
      <w:lang w:val="en-US" w:eastAsia="zh-CN" w:bidi="ar-SA"/>
    </w:rPr>
  </w:style>
  <w:style w:type="paragraph" w:customStyle="1" w:styleId="87">
    <w:name w:val="目次、标准名称标题"/>
    <w:basedOn w:val="55"/>
    <w:next w:val="57"/>
    <w:qFormat/>
    <w:uiPriority w:val="0"/>
    <w:pPr>
      <w:spacing w:line="460" w:lineRule="exact"/>
    </w:pPr>
  </w:style>
  <w:style w:type="paragraph" w:customStyle="1" w:styleId="88">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89">
    <w:name w:val="目录 11"/>
    <w:qFormat/>
    <w:uiPriority w:val="39"/>
    <w:pPr>
      <w:tabs>
        <w:tab w:val="right" w:leader="dot" w:pos="9345"/>
      </w:tabs>
      <w:jc w:val="both"/>
    </w:pPr>
    <w:rPr>
      <w:rFonts w:ascii="宋体" w:hAnsi="Times New Roman" w:eastAsia="宋体" w:cs="Times New Roman"/>
      <w:sz w:val="21"/>
      <w:lang w:val="en-US" w:eastAsia="zh-CN" w:bidi="ar-SA"/>
    </w:rPr>
  </w:style>
  <w:style w:type="paragraph" w:customStyle="1" w:styleId="90">
    <w:name w:val="目录 21"/>
    <w:basedOn w:val="89"/>
    <w:qFormat/>
    <w:uiPriority w:val="39"/>
  </w:style>
  <w:style w:type="paragraph" w:customStyle="1" w:styleId="91">
    <w:name w:val="目录 31"/>
    <w:basedOn w:val="90"/>
    <w:qFormat/>
    <w:uiPriority w:val="39"/>
  </w:style>
  <w:style w:type="paragraph" w:customStyle="1" w:styleId="92">
    <w:name w:val="目录 41"/>
    <w:basedOn w:val="91"/>
    <w:semiHidden/>
    <w:qFormat/>
    <w:uiPriority w:val="0"/>
  </w:style>
  <w:style w:type="paragraph" w:customStyle="1" w:styleId="93">
    <w:name w:val="目录 51"/>
    <w:basedOn w:val="92"/>
    <w:semiHidden/>
    <w:qFormat/>
    <w:uiPriority w:val="0"/>
  </w:style>
  <w:style w:type="paragraph" w:customStyle="1" w:styleId="94">
    <w:name w:val="目录 61"/>
    <w:basedOn w:val="93"/>
    <w:semiHidden/>
    <w:qFormat/>
    <w:uiPriority w:val="0"/>
  </w:style>
  <w:style w:type="paragraph" w:customStyle="1" w:styleId="95">
    <w:name w:val="目录 71"/>
    <w:basedOn w:val="94"/>
    <w:semiHidden/>
    <w:qFormat/>
    <w:uiPriority w:val="0"/>
  </w:style>
  <w:style w:type="paragraph" w:customStyle="1" w:styleId="96">
    <w:name w:val="目录 81"/>
    <w:basedOn w:val="95"/>
    <w:semiHidden/>
    <w:qFormat/>
    <w:uiPriority w:val="0"/>
  </w:style>
  <w:style w:type="paragraph" w:customStyle="1" w:styleId="97">
    <w:name w:val="目录 91"/>
    <w:basedOn w:val="96"/>
    <w:semiHidden/>
    <w:qFormat/>
    <w:uiPriority w:val="0"/>
  </w:style>
  <w:style w:type="paragraph" w:customStyle="1" w:styleId="98">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99">
    <w:name w:val="其他发布部门"/>
    <w:basedOn w:val="63"/>
    <w:qFormat/>
    <w:uiPriority w:val="0"/>
    <w:pPr>
      <w:framePr w:wrap="around"/>
      <w:spacing w:line="0" w:lineRule="atLeast"/>
    </w:pPr>
    <w:rPr>
      <w:rFonts w:ascii="黑体" w:eastAsia="黑体"/>
      <w:b w:val="0"/>
    </w:rPr>
  </w:style>
  <w:style w:type="paragraph" w:customStyle="1" w:styleId="100">
    <w:name w:val="三级条标题"/>
    <w:basedOn w:val="60"/>
    <w:next w:val="57"/>
    <w:qFormat/>
    <w:uiPriority w:val="0"/>
    <w:pPr>
      <w:numPr>
        <w:ilvl w:val="4"/>
      </w:numPr>
      <w:outlineLvl w:val="4"/>
    </w:pPr>
  </w:style>
  <w:style w:type="paragraph" w:customStyle="1" w:styleId="101">
    <w:name w:val="三级无标题条"/>
    <w:basedOn w:val="1"/>
    <w:qFormat/>
    <w:uiPriority w:val="0"/>
    <w:pPr>
      <w:numPr>
        <w:ilvl w:val="4"/>
        <w:numId w:val="2"/>
      </w:numPr>
    </w:pPr>
  </w:style>
  <w:style w:type="paragraph" w:customStyle="1" w:styleId="102">
    <w:name w:val="实施日期"/>
    <w:basedOn w:val="64"/>
    <w:qFormat/>
    <w:uiPriority w:val="0"/>
    <w:pPr>
      <w:framePr w:hSpace="0" w:wrap="around" w:xAlign="right"/>
      <w:jc w:val="right"/>
    </w:pPr>
  </w:style>
  <w:style w:type="paragraph" w:customStyle="1" w:styleId="103">
    <w:name w:val="示例"/>
    <w:next w:val="57"/>
    <w:qFormat/>
    <w:uiPriority w:val="0"/>
    <w:pPr>
      <w:numPr>
        <w:ilvl w:val="0"/>
        <w:numId w:val="6"/>
      </w:numPr>
      <w:tabs>
        <w:tab w:val="left" w:pos="360"/>
        <w:tab w:val="clear" w:pos="1120"/>
      </w:tabs>
      <w:ind w:firstLine="0"/>
      <w:jc w:val="both"/>
    </w:pPr>
    <w:rPr>
      <w:rFonts w:ascii="宋体" w:hAnsi="Times New Roman" w:eastAsia="宋体" w:cs="Times New Roman"/>
      <w:sz w:val="18"/>
      <w:lang w:val="en-US" w:eastAsia="zh-CN" w:bidi="ar-SA"/>
    </w:rPr>
  </w:style>
  <w:style w:type="paragraph" w:customStyle="1" w:styleId="104">
    <w:name w:val="数字编号列项（二级）"/>
    <w:qFormat/>
    <w:uiPriority w:val="0"/>
    <w:pPr>
      <w:ind w:left="1260" w:leftChars="400" w:hanging="420" w:hangingChars="200"/>
      <w:jc w:val="both"/>
    </w:pPr>
    <w:rPr>
      <w:rFonts w:ascii="宋体" w:hAnsi="Times New Roman" w:eastAsia="宋体" w:cs="Times New Roman"/>
      <w:sz w:val="21"/>
      <w:lang w:val="en-US" w:eastAsia="zh-CN" w:bidi="ar-SA"/>
    </w:rPr>
  </w:style>
  <w:style w:type="paragraph" w:customStyle="1" w:styleId="105">
    <w:name w:val="四级条标题"/>
    <w:basedOn w:val="100"/>
    <w:next w:val="57"/>
    <w:qFormat/>
    <w:uiPriority w:val="0"/>
    <w:pPr>
      <w:numPr>
        <w:ilvl w:val="5"/>
      </w:numPr>
      <w:outlineLvl w:val="5"/>
    </w:pPr>
  </w:style>
  <w:style w:type="paragraph" w:customStyle="1" w:styleId="106">
    <w:name w:val="四级无标题条"/>
    <w:basedOn w:val="1"/>
    <w:qFormat/>
    <w:uiPriority w:val="0"/>
    <w:pPr>
      <w:numPr>
        <w:ilvl w:val="5"/>
        <w:numId w:val="2"/>
      </w:numPr>
    </w:pPr>
  </w:style>
  <w:style w:type="paragraph" w:customStyle="1" w:styleId="107">
    <w:name w:val="条文脚注"/>
    <w:basedOn w:val="22"/>
    <w:qFormat/>
    <w:uiPriority w:val="0"/>
    <w:pPr>
      <w:ind w:left="780" w:leftChars="200" w:hanging="360" w:hangingChars="200"/>
      <w:jc w:val="both"/>
    </w:pPr>
    <w:rPr>
      <w:rFonts w:ascii="宋体"/>
    </w:rPr>
  </w:style>
  <w:style w:type="paragraph" w:customStyle="1" w:styleId="108">
    <w:name w:val="图表脚注"/>
    <w:next w:val="57"/>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10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10">
    <w:name w:val="无标题条"/>
    <w:next w:val="57"/>
    <w:qFormat/>
    <w:uiPriority w:val="0"/>
    <w:pPr>
      <w:jc w:val="both"/>
    </w:pPr>
    <w:rPr>
      <w:rFonts w:ascii="Times New Roman" w:hAnsi="Times New Roman" w:eastAsia="宋体" w:cs="Times New Roman"/>
      <w:sz w:val="21"/>
      <w:lang w:val="en-US" w:eastAsia="zh-CN" w:bidi="ar-SA"/>
    </w:rPr>
  </w:style>
  <w:style w:type="paragraph" w:customStyle="1" w:styleId="111">
    <w:name w:val="五级条标题"/>
    <w:basedOn w:val="105"/>
    <w:next w:val="57"/>
    <w:qFormat/>
    <w:uiPriority w:val="0"/>
    <w:pPr>
      <w:numPr>
        <w:ilvl w:val="6"/>
      </w:numPr>
      <w:outlineLvl w:val="6"/>
    </w:pPr>
  </w:style>
  <w:style w:type="paragraph" w:customStyle="1" w:styleId="112">
    <w:name w:val="五级无标题条"/>
    <w:basedOn w:val="1"/>
    <w:qFormat/>
    <w:uiPriority w:val="0"/>
    <w:pPr>
      <w:numPr>
        <w:ilvl w:val="6"/>
        <w:numId w:val="2"/>
      </w:numPr>
    </w:pPr>
  </w:style>
  <w:style w:type="paragraph" w:customStyle="1" w:styleId="113">
    <w:name w:val="一级无标题条"/>
    <w:basedOn w:val="1"/>
    <w:qFormat/>
    <w:uiPriority w:val="0"/>
    <w:pPr>
      <w:numPr>
        <w:ilvl w:val="2"/>
        <w:numId w:val="2"/>
      </w:numPr>
    </w:pPr>
  </w:style>
  <w:style w:type="paragraph" w:customStyle="1" w:styleId="114">
    <w:name w:val="正文表标题"/>
    <w:next w:val="57"/>
    <w:qFormat/>
    <w:uiPriority w:val="0"/>
    <w:pPr>
      <w:numPr>
        <w:ilvl w:val="0"/>
        <w:numId w:val="7"/>
      </w:numPr>
      <w:tabs>
        <w:tab w:val="left" w:pos="360"/>
      </w:tabs>
      <w:jc w:val="center"/>
    </w:pPr>
    <w:rPr>
      <w:rFonts w:ascii="黑体" w:hAnsi="Times New Roman" w:eastAsia="黑体" w:cs="Times New Roman"/>
      <w:sz w:val="21"/>
      <w:lang w:val="en-US" w:eastAsia="zh-CN" w:bidi="ar-SA"/>
    </w:rPr>
  </w:style>
  <w:style w:type="paragraph" w:customStyle="1" w:styleId="115">
    <w:name w:val="正文图标题"/>
    <w:next w:val="57"/>
    <w:qFormat/>
    <w:uiPriority w:val="0"/>
    <w:pPr>
      <w:numPr>
        <w:ilvl w:val="0"/>
        <w:numId w:val="8"/>
      </w:numPr>
      <w:tabs>
        <w:tab w:val="left" w:pos="360"/>
      </w:tabs>
      <w:jc w:val="center"/>
    </w:pPr>
    <w:rPr>
      <w:rFonts w:ascii="黑体" w:hAnsi="Times New Roman" w:eastAsia="黑体" w:cs="Times New Roman"/>
      <w:sz w:val="21"/>
      <w:lang w:val="en-US" w:eastAsia="zh-CN" w:bidi="ar-SA"/>
    </w:rPr>
  </w:style>
  <w:style w:type="paragraph" w:customStyle="1" w:styleId="116">
    <w:name w:val="注："/>
    <w:next w:val="57"/>
    <w:qFormat/>
    <w:uiPriority w:val="0"/>
    <w:pPr>
      <w:widowControl w:val="0"/>
      <w:numPr>
        <w:ilvl w:val="0"/>
        <w:numId w:val="9"/>
      </w:numPr>
      <w:tabs>
        <w:tab w:val="left" w:pos="360"/>
        <w:tab w:val="clear" w:pos="1140"/>
      </w:tabs>
      <w:autoSpaceDE w:val="0"/>
      <w:autoSpaceDN w:val="0"/>
      <w:ind w:left="0" w:firstLine="0"/>
      <w:jc w:val="both"/>
    </w:pPr>
    <w:rPr>
      <w:rFonts w:ascii="宋体" w:hAnsi="Times New Roman" w:eastAsia="宋体" w:cs="Times New Roman"/>
      <w:sz w:val="18"/>
      <w:lang w:val="en-US" w:eastAsia="zh-CN" w:bidi="ar-SA"/>
    </w:rPr>
  </w:style>
  <w:style w:type="paragraph" w:customStyle="1" w:styleId="117">
    <w:name w:val="注×："/>
    <w:qFormat/>
    <w:uiPriority w:val="0"/>
    <w:pPr>
      <w:widowControl w:val="0"/>
      <w:numPr>
        <w:ilvl w:val="0"/>
        <w:numId w:val="10"/>
      </w:numPr>
      <w:tabs>
        <w:tab w:val="left" w:pos="360"/>
        <w:tab w:val="left" w:pos="630"/>
        <w:tab w:val="clear" w:pos="900"/>
      </w:tabs>
      <w:autoSpaceDE w:val="0"/>
      <w:autoSpaceDN w:val="0"/>
      <w:ind w:left="0" w:firstLine="0"/>
      <w:jc w:val="both"/>
    </w:pPr>
    <w:rPr>
      <w:rFonts w:ascii="宋体" w:hAnsi="Times New Roman" w:eastAsia="宋体" w:cs="Times New Roman"/>
      <w:sz w:val="18"/>
      <w:lang w:val="en-US" w:eastAsia="zh-CN" w:bidi="ar-SA"/>
    </w:rPr>
  </w:style>
  <w:style w:type="paragraph" w:customStyle="1" w:styleId="118">
    <w:name w:val="字母编号列项（一级）"/>
    <w:qFormat/>
    <w:uiPriority w:val="0"/>
    <w:pPr>
      <w:ind w:left="840" w:leftChars="200" w:hanging="420" w:hangingChars="200"/>
      <w:jc w:val="both"/>
    </w:pPr>
    <w:rPr>
      <w:rFonts w:ascii="宋体" w:hAnsi="Times New Roman" w:eastAsia="宋体" w:cs="Times New Roman"/>
      <w:sz w:val="21"/>
      <w:lang w:val="en-US" w:eastAsia="zh-CN" w:bidi="ar-SA"/>
    </w:rPr>
  </w:style>
  <w:style w:type="paragraph" w:customStyle="1" w:styleId="119">
    <w:name w:val="2"/>
    <w:basedOn w:val="1"/>
    <w:next w:val="25"/>
    <w:qFormat/>
    <w:uiPriority w:val="0"/>
    <w:rPr>
      <w:sz w:val="24"/>
    </w:rPr>
  </w:style>
  <w:style w:type="paragraph" w:customStyle="1" w:styleId="120">
    <w:name w:val="1"/>
    <w:basedOn w:val="1"/>
    <w:next w:val="25"/>
    <w:qFormat/>
    <w:uiPriority w:val="0"/>
    <w:rPr>
      <w:sz w:val="24"/>
    </w:rPr>
  </w:style>
  <w:style w:type="character" w:customStyle="1" w:styleId="121">
    <w:name w:val="g1481"/>
    <w:qFormat/>
    <w:uiPriority w:val="0"/>
    <w:rPr>
      <w:color w:val="5F897B"/>
      <w:sz w:val="21"/>
      <w:szCs w:val="21"/>
    </w:rPr>
  </w:style>
  <w:style w:type="character" w:customStyle="1" w:styleId="122">
    <w:name w:val="css1"/>
    <w:qFormat/>
    <w:uiPriority w:val="0"/>
    <w:rPr>
      <w:rFonts w:hint="default" w:ascii="Arial" w:hAnsi="Arial" w:cs="Arial"/>
      <w:sz w:val="24"/>
      <w:szCs w:val="24"/>
    </w:rPr>
  </w:style>
  <w:style w:type="paragraph" w:customStyle="1" w:styleId="123">
    <w:name w:val="章"/>
    <w:basedOn w:val="1"/>
    <w:next w:val="1"/>
    <w:qFormat/>
    <w:uiPriority w:val="0"/>
    <w:pPr>
      <w:numPr>
        <w:ilvl w:val="0"/>
        <w:numId w:val="11"/>
      </w:numPr>
      <w:adjustRightInd w:val="0"/>
      <w:spacing w:before="160" w:after="160"/>
      <w:outlineLvl w:val="0"/>
    </w:pPr>
    <w:rPr>
      <w:rFonts w:ascii="黑体" w:eastAsia="黑体"/>
      <w:kern w:val="21"/>
      <w:szCs w:val="20"/>
    </w:rPr>
  </w:style>
  <w:style w:type="paragraph" w:customStyle="1" w:styleId="124">
    <w:name w:val="条1"/>
    <w:basedOn w:val="1"/>
    <w:next w:val="1"/>
    <w:qFormat/>
    <w:uiPriority w:val="0"/>
    <w:pPr>
      <w:numPr>
        <w:ilvl w:val="1"/>
        <w:numId w:val="11"/>
      </w:numPr>
      <w:outlineLvl w:val="1"/>
    </w:pPr>
    <w:rPr>
      <w:rFonts w:ascii="黑体" w:eastAsia="黑体"/>
      <w:kern w:val="21"/>
      <w:szCs w:val="20"/>
    </w:rPr>
  </w:style>
  <w:style w:type="paragraph" w:customStyle="1" w:styleId="125">
    <w:name w:val="条3"/>
    <w:basedOn w:val="1"/>
    <w:next w:val="1"/>
    <w:qFormat/>
    <w:uiPriority w:val="0"/>
    <w:pPr>
      <w:numPr>
        <w:ilvl w:val="3"/>
        <w:numId w:val="11"/>
      </w:numPr>
      <w:outlineLvl w:val="1"/>
    </w:pPr>
    <w:rPr>
      <w:rFonts w:ascii="黑体" w:eastAsia="黑体"/>
      <w:kern w:val="21"/>
      <w:szCs w:val="20"/>
    </w:rPr>
  </w:style>
  <w:style w:type="paragraph" w:customStyle="1" w:styleId="126">
    <w:name w:val="条4"/>
    <w:basedOn w:val="1"/>
    <w:next w:val="1"/>
    <w:qFormat/>
    <w:uiPriority w:val="0"/>
    <w:pPr>
      <w:numPr>
        <w:ilvl w:val="4"/>
        <w:numId w:val="11"/>
      </w:numPr>
      <w:outlineLvl w:val="1"/>
    </w:pPr>
    <w:rPr>
      <w:rFonts w:ascii="黑体" w:eastAsia="黑体"/>
      <w:kern w:val="21"/>
      <w:szCs w:val="20"/>
    </w:rPr>
  </w:style>
  <w:style w:type="paragraph" w:customStyle="1" w:styleId="127">
    <w:name w:val="条5"/>
    <w:basedOn w:val="1"/>
    <w:next w:val="1"/>
    <w:qFormat/>
    <w:uiPriority w:val="0"/>
    <w:pPr>
      <w:numPr>
        <w:ilvl w:val="5"/>
        <w:numId w:val="11"/>
      </w:numPr>
      <w:outlineLvl w:val="1"/>
    </w:pPr>
    <w:rPr>
      <w:rFonts w:ascii="黑体" w:eastAsia="黑体"/>
      <w:kern w:val="21"/>
      <w:szCs w:val="20"/>
    </w:rPr>
  </w:style>
  <w:style w:type="paragraph" w:customStyle="1" w:styleId="128">
    <w:name w:val="条"/>
    <w:basedOn w:val="1"/>
    <w:next w:val="1"/>
    <w:link w:val="129"/>
    <w:qFormat/>
    <w:uiPriority w:val="0"/>
    <w:pPr>
      <w:numPr>
        <w:ilvl w:val="0"/>
        <w:numId w:val="12"/>
      </w:numPr>
      <w:adjustRightInd w:val="0"/>
      <w:snapToGrid w:val="0"/>
      <w:spacing w:line="360" w:lineRule="auto"/>
    </w:pPr>
    <w:rPr>
      <w:sz w:val="24"/>
      <w:szCs w:val="32"/>
    </w:rPr>
  </w:style>
  <w:style w:type="character" w:customStyle="1" w:styleId="129">
    <w:name w:val="条 Char"/>
    <w:link w:val="128"/>
    <w:qFormat/>
    <w:uiPriority w:val="0"/>
    <w:rPr>
      <w:kern w:val="2"/>
      <w:sz w:val="24"/>
      <w:szCs w:val="32"/>
    </w:rPr>
  </w:style>
  <w:style w:type="paragraph" w:customStyle="1" w:styleId="130">
    <w:name w:val="TOC 标题1"/>
    <w:basedOn w:val="2"/>
    <w:next w:val="1"/>
    <w:unhideWhenUsed/>
    <w:qFormat/>
    <w:uiPriority w:val="39"/>
    <w:pPr>
      <w:widowControl/>
      <w:spacing w:before="240" w:line="259" w:lineRule="auto"/>
      <w:jc w:val="left"/>
      <w:outlineLvl w:val="9"/>
    </w:pPr>
    <w:rPr>
      <w:rFonts w:ascii="等线 Light" w:hAnsi="等线 Light" w:eastAsia="等线 Light"/>
      <w:b w:val="0"/>
      <w:bCs w:val="0"/>
      <w:color w:val="2F5496"/>
      <w:kern w:val="0"/>
      <w:sz w:val="32"/>
      <w:szCs w:val="32"/>
    </w:rPr>
  </w:style>
  <w:style w:type="paragraph" w:customStyle="1" w:styleId="131">
    <w:name w:val="列出段落1"/>
    <w:basedOn w:val="1"/>
    <w:link w:val="132"/>
    <w:qFormat/>
    <w:uiPriority w:val="34"/>
    <w:pPr>
      <w:spacing w:line="400" w:lineRule="exact"/>
      <w:ind w:firstLine="420" w:firstLineChars="200"/>
    </w:pPr>
    <w:rPr>
      <w:rFonts w:ascii="Calibri" w:hAnsi="Calibri" w:eastAsia="微软雅黑"/>
      <w:szCs w:val="22"/>
    </w:rPr>
  </w:style>
  <w:style w:type="character" w:customStyle="1" w:styleId="132">
    <w:name w:val="列出段落 字符"/>
    <w:link w:val="131"/>
    <w:qFormat/>
    <w:uiPriority w:val="34"/>
    <w:rPr>
      <w:rFonts w:ascii="Calibri" w:hAnsi="Calibri" w:eastAsia="微软雅黑"/>
      <w:kern w:val="2"/>
      <w:sz w:val="21"/>
      <w:szCs w:val="22"/>
    </w:rPr>
  </w:style>
  <w:style w:type="paragraph" w:customStyle="1" w:styleId="133">
    <w:name w:val="一级目录"/>
    <w:basedOn w:val="3"/>
    <w:link w:val="134"/>
    <w:qFormat/>
    <w:uiPriority w:val="0"/>
    <w:pPr>
      <w:spacing w:before="140" w:after="140" w:line="360" w:lineRule="auto"/>
    </w:pPr>
    <w:rPr>
      <w:rFonts w:ascii="Calibri Light" w:hAnsi="Calibri Light" w:eastAsia="微软雅黑"/>
    </w:rPr>
  </w:style>
  <w:style w:type="character" w:customStyle="1" w:styleId="134">
    <w:name w:val="一级目录 Char"/>
    <w:link w:val="133"/>
    <w:qFormat/>
    <w:uiPriority w:val="0"/>
    <w:rPr>
      <w:rFonts w:ascii="Calibri Light" w:hAnsi="Calibri Light" w:eastAsia="微软雅黑"/>
      <w:b/>
      <w:bCs/>
      <w:kern w:val="2"/>
      <w:sz w:val="32"/>
      <w:szCs w:val="32"/>
    </w:rPr>
  </w:style>
  <w:style w:type="table" w:customStyle="1" w:styleId="135">
    <w:name w:val="网格型11"/>
    <w:basedOn w:val="2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36">
    <w:name w:val="网格型21"/>
    <w:basedOn w:val="2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37">
    <w:name w:val="标题 Char1"/>
    <w:link w:val="26"/>
    <w:qFormat/>
    <w:uiPriority w:val="10"/>
    <w:rPr>
      <w:rFonts w:ascii="Arial" w:hAnsi="Arial" w:cs="Arial"/>
      <w:b/>
      <w:bCs/>
      <w:kern w:val="2"/>
      <w:sz w:val="32"/>
      <w:szCs w:val="32"/>
    </w:rPr>
  </w:style>
  <w:style w:type="table" w:customStyle="1" w:styleId="138">
    <w:name w:val="网格型2"/>
    <w:basedOn w:val="28"/>
    <w:qFormat/>
    <w:uiPriority w:val="59"/>
    <w:rPr>
      <w:rFonts w:ascii="Calibri" w:hAnsi="Calibri"/>
      <w:kern w:val="2"/>
      <w:sz w:val="21"/>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9">
    <w:name w:val="批注文字 Char1"/>
    <w:link w:val="12"/>
    <w:qFormat/>
    <w:uiPriority w:val="99"/>
    <w:rPr>
      <w:kern w:val="2"/>
      <w:sz w:val="21"/>
      <w:szCs w:val="24"/>
    </w:rPr>
  </w:style>
  <w:style w:type="character" w:customStyle="1" w:styleId="140">
    <w:name w:val="批注主题 Char1"/>
    <w:link w:val="27"/>
    <w:qFormat/>
    <w:uiPriority w:val="0"/>
    <w:rPr>
      <w:b/>
      <w:bCs/>
      <w:kern w:val="2"/>
      <w:sz w:val="21"/>
      <w:szCs w:val="24"/>
    </w:rPr>
  </w:style>
  <w:style w:type="paragraph" w:customStyle="1" w:styleId="141">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42">
    <w:name w:val="目录 111"/>
    <w:qFormat/>
    <w:uiPriority w:val="39"/>
    <w:pPr>
      <w:jc w:val="both"/>
    </w:pPr>
    <w:rPr>
      <w:rFonts w:ascii="宋体" w:hAnsi="Times New Roman" w:eastAsia="宋体" w:cs="Times New Roman"/>
      <w:sz w:val="21"/>
      <w:lang w:val="en-US" w:eastAsia="zh-CN" w:bidi="ar-SA"/>
    </w:rPr>
  </w:style>
  <w:style w:type="paragraph" w:customStyle="1" w:styleId="143">
    <w:name w:val="目录 211"/>
    <w:basedOn w:val="142"/>
    <w:qFormat/>
    <w:uiPriority w:val="39"/>
  </w:style>
  <w:style w:type="paragraph" w:customStyle="1" w:styleId="144">
    <w:name w:val="目录 311"/>
    <w:basedOn w:val="143"/>
    <w:qFormat/>
    <w:uiPriority w:val="39"/>
  </w:style>
  <w:style w:type="paragraph" w:customStyle="1" w:styleId="145">
    <w:name w:val="目录 411"/>
    <w:basedOn w:val="144"/>
    <w:semiHidden/>
    <w:qFormat/>
    <w:uiPriority w:val="0"/>
  </w:style>
  <w:style w:type="paragraph" w:customStyle="1" w:styleId="146">
    <w:name w:val="目录 511"/>
    <w:basedOn w:val="145"/>
    <w:semiHidden/>
    <w:qFormat/>
    <w:uiPriority w:val="0"/>
  </w:style>
  <w:style w:type="paragraph" w:customStyle="1" w:styleId="147">
    <w:name w:val="目录 611"/>
    <w:basedOn w:val="146"/>
    <w:semiHidden/>
    <w:qFormat/>
    <w:uiPriority w:val="0"/>
  </w:style>
  <w:style w:type="paragraph" w:customStyle="1" w:styleId="148">
    <w:name w:val="目录 711"/>
    <w:basedOn w:val="147"/>
    <w:semiHidden/>
    <w:qFormat/>
    <w:uiPriority w:val="0"/>
  </w:style>
  <w:style w:type="paragraph" w:customStyle="1" w:styleId="149">
    <w:name w:val="目录 811"/>
    <w:basedOn w:val="148"/>
    <w:semiHidden/>
    <w:qFormat/>
    <w:uiPriority w:val="0"/>
  </w:style>
  <w:style w:type="paragraph" w:customStyle="1" w:styleId="150">
    <w:name w:val="目录 911"/>
    <w:basedOn w:val="149"/>
    <w:semiHidden/>
    <w:qFormat/>
    <w:uiPriority w:val="0"/>
  </w:style>
  <w:style w:type="paragraph" w:customStyle="1" w:styleId="151">
    <w:name w:val="列出段落11"/>
    <w:basedOn w:val="1"/>
    <w:qFormat/>
    <w:uiPriority w:val="34"/>
    <w:pPr>
      <w:spacing w:line="400" w:lineRule="exact"/>
      <w:ind w:firstLine="420" w:firstLineChars="200"/>
    </w:pPr>
    <w:rPr>
      <w:rFonts w:ascii="Calibri" w:hAnsi="Calibri" w:eastAsia="微软雅黑"/>
      <w:szCs w:val="22"/>
    </w:rPr>
  </w:style>
  <w:style w:type="character" w:customStyle="1" w:styleId="152">
    <w:name w:val="标题 Char"/>
    <w:qFormat/>
    <w:uiPriority w:val="10"/>
    <w:rPr>
      <w:rFonts w:ascii="Arial" w:hAnsi="Arial" w:cs="Arial"/>
      <w:b/>
      <w:bCs/>
      <w:kern w:val="2"/>
      <w:sz w:val="32"/>
      <w:szCs w:val="32"/>
    </w:rPr>
  </w:style>
  <w:style w:type="character" w:customStyle="1" w:styleId="153">
    <w:name w:val="批注文字 Char"/>
    <w:qFormat/>
    <w:uiPriority w:val="0"/>
    <w:rPr>
      <w:kern w:val="2"/>
      <w:sz w:val="21"/>
      <w:szCs w:val="24"/>
    </w:rPr>
  </w:style>
  <w:style w:type="character" w:customStyle="1" w:styleId="154">
    <w:name w:val="批注主题 Char"/>
    <w:qFormat/>
    <w:uiPriority w:val="0"/>
    <w:rPr>
      <w:b/>
      <w:bCs/>
      <w:kern w:val="2"/>
      <w:sz w:val="21"/>
      <w:szCs w:val="24"/>
    </w:rPr>
  </w:style>
  <w:style w:type="paragraph" w:styleId="155">
    <w:name w:val="List Paragraph"/>
    <w:basedOn w:val="1"/>
    <w:link w:val="166"/>
    <w:qFormat/>
    <w:uiPriority w:val="34"/>
    <w:pPr>
      <w:ind w:firstLine="420" w:firstLineChars="200"/>
    </w:pPr>
    <w:rPr>
      <w:rFonts w:asciiTheme="minorHAnsi" w:hAnsiTheme="minorHAnsi" w:eastAsiaTheme="minorEastAsia" w:cstheme="minorBidi"/>
      <w:szCs w:val="22"/>
    </w:rPr>
  </w:style>
  <w:style w:type="character" w:customStyle="1" w:styleId="156">
    <w:name w:val="页脚 Char"/>
    <w:basedOn w:val="31"/>
    <w:link w:val="19"/>
    <w:qFormat/>
    <w:uiPriority w:val="99"/>
    <w:rPr>
      <w:kern w:val="2"/>
      <w:sz w:val="18"/>
      <w:szCs w:val="18"/>
    </w:rPr>
  </w:style>
  <w:style w:type="character" w:customStyle="1" w:styleId="157">
    <w:name w:val="段 Char"/>
    <w:link w:val="57"/>
    <w:qFormat/>
    <w:uiPriority w:val="0"/>
    <w:rPr>
      <w:rFonts w:ascii="宋体"/>
      <w:sz w:val="21"/>
    </w:rPr>
  </w:style>
  <w:style w:type="character" w:customStyle="1" w:styleId="158">
    <w:name w:val="标题 3 Char"/>
    <w:link w:val="4"/>
    <w:qFormat/>
    <w:uiPriority w:val="0"/>
    <w:rPr>
      <w:b/>
      <w:bCs/>
      <w:kern w:val="2"/>
      <w:sz w:val="32"/>
      <w:szCs w:val="32"/>
    </w:rPr>
  </w:style>
  <w:style w:type="character" w:customStyle="1" w:styleId="159">
    <w:name w:val="标题 1 Char1"/>
    <w:link w:val="2"/>
    <w:qFormat/>
    <w:uiPriority w:val="0"/>
    <w:rPr>
      <w:rFonts w:eastAsia="黑体"/>
      <w:b/>
      <w:bCs/>
      <w:kern w:val="44"/>
      <w:sz w:val="21"/>
      <w:szCs w:val="44"/>
    </w:rPr>
  </w:style>
  <w:style w:type="paragraph" w:customStyle="1" w:styleId="160">
    <w:name w:val="节"/>
    <w:basedOn w:val="1"/>
    <w:qFormat/>
    <w:uiPriority w:val="0"/>
    <w:pPr>
      <w:widowControl/>
      <w:spacing w:beforeLines="100" w:afterLines="100" w:line="300" w:lineRule="auto"/>
      <w:jc w:val="center"/>
      <w:outlineLvl w:val="1"/>
    </w:pPr>
    <w:rPr>
      <w:b/>
      <w:bCs/>
      <w:sz w:val="24"/>
    </w:rPr>
  </w:style>
  <w:style w:type="character" w:customStyle="1" w:styleId="161">
    <w:name w:val="标题 1 Char"/>
    <w:qFormat/>
    <w:uiPriority w:val="0"/>
    <w:rPr>
      <w:b/>
      <w:kern w:val="44"/>
      <w:sz w:val="44"/>
    </w:rPr>
  </w:style>
  <w:style w:type="paragraph" w:customStyle="1" w:styleId="162">
    <w:name w:val="TOC 标题2"/>
    <w:basedOn w:val="2"/>
    <w:next w:val="1"/>
    <w:unhideWhenUsed/>
    <w:qFormat/>
    <w:uiPriority w:val="39"/>
    <w:pPr>
      <w:keepNext/>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customStyle="1" w:styleId="163">
    <w:name w:val="页眉 Char"/>
    <w:basedOn w:val="31"/>
    <w:link w:val="20"/>
    <w:qFormat/>
    <w:uiPriority w:val="99"/>
    <w:rPr>
      <w:kern w:val="2"/>
      <w:sz w:val="18"/>
      <w:szCs w:val="18"/>
    </w:rPr>
  </w:style>
  <w:style w:type="paragraph" w:customStyle="1" w:styleId="164">
    <w:name w:val="TOC 标题3"/>
    <w:basedOn w:val="2"/>
    <w:next w:val="1"/>
    <w:unhideWhenUsed/>
    <w:qFormat/>
    <w:uiPriority w:val="39"/>
    <w:pPr>
      <w:keepNext/>
      <w:widowControl/>
      <w:spacing w:before="24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character" w:styleId="165">
    <w:name w:val="Placeholder Text"/>
    <w:basedOn w:val="31"/>
    <w:semiHidden/>
    <w:qFormat/>
    <w:uiPriority w:val="99"/>
    <w:rPr>
      <w:color w:val="808080"/>
    </w:rPr>
  </w:style>
  <w:style w:type="character" w:customStyle="1" w:styleId="166">
    <w:name w:val="列出段落 Char"/>
    <w:link w:val="155"/>
    <w:qFormat/>
    <w:uiPriority w:val="34"/>
    <w:rPr>
      <w:rFonts w:asciiTheme="minorHAnsi" w:hAnsiTheme="minorHAnsi" w:eastAsiaTheme="minorEastAsia" w:cstheme="minorBidi"/>
      <w:kern w:val="2"/>
      <w:sz w:val="21"/>
      <w:szCs w:val="22"/>
    </w:rPr>
  </w:style>
  <w:style w:type="paragraph" w:customStyle="1" w:styleId="167">
    <w:name w:val="修订2"/>
    <w:hidden/>
    <w:semiHidden/>
    <w:qFormat/>
    <w:uiPriority w:val="99"/>
    <w:rPr>
      <w:rFonts w:ascii="Times New Roman" w:hAnsi="Times New Roman" w:eastAsia="宋体" w:cs="Times New Roman"/>
      <w:kern w:val="2"/>
      <w:sz w:val="21"/>
      <w:szCs w:val="24"/>
      <w:lang w:val="en-US" w:eastAsia="zh-CN" w:bidi="ar-SA"/>
    </w:rPr>
  </w:style>
  <w:style w:type="paragraph" w:customStyle="1" w:styleId="168">
    <w:name w:val="msonormal"/>
    <w:basedOn w:val="1"/>
    <w:qFormat/>
    <w:uiPriority w:val="0"/>
    <w:pPr>
      <w:widowControl/>
      <w:spacing w:before="100" w:beforeAutospacing="1" w:after="100" w:afterAutospacing="1"/>
      <w:jc w:val="left"/>
    </w:pPr>
    <w:rPr>
      <w:rFonts w:ascii="宋体" w:hAnsi="宋体" w:cs="宋体"/>
      <w:kern w:val="0"/>
      <w:sz w:val="24"/>
    </w:rPr>
  </w:style>
  <w:style w:type="paragraph" w:customStyle="1" w:styleId="169">
    <w:name w:val="font5"/>
    <w:basedOn w:val="1"/>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170">
    <w:name w:val="font6"/>
    <w:basedOn w:val="1"/>
    <w:qFormat/>
    <w:uiPriority w:val="0"/>
    <w:pPr>
      <w:widowControl/>
      <w:spacing w:before="100" w:beforeAutospacing="1" w:after="100" w:afterAutospacing="1"/>
      <w:jc w:val="left"/>
    </w:pPr>
    <w:rPr>
      <w:color w:val="000000"/>
      <w:kern w:val="0"/>
      <w:szCs w:val="21"/>
    </w:rPr>
  </w:style>
  <w:style w:type="paragraph" w:customStyle="1" w:styleId="171">
    <w:name w:val="font7"/>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172">
    <w:name w:val="font8"/>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173">
    <w:name w:val="font9"/>
    <w:basedOn w:val="1"/>
    <w:qFormat/>
    <w:uiPriority w:val="0"/>
    <w:pPr>
      <w:widowControl/>
      <w:spacing w:before="100" w:beforeAutospacing="1" w:after="100" w:afterAutospacing="1"/>
      <w:jc w:val="left"/>
    </w:pPr>
    <w:rPr>
      <w:color w:val="000000"/>
      <w:kern w:val="0"/>
      <w:szCs w:val="21"/>
    </w:rPr>
  </w:style>
  <w:style w:type="paragraph" w:customStyle="1" w:styleId="174">
    <w:name w:val="font10"/>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175">
    <w:name w:val="font11"/>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176">
    <w:name w:val="xl65"/>
    <w:basedOn w:val="1"/>
    <w:qFormat/>
    <w:uiPriority w:val="0"/>
    <w:pPr>
      <w:widowControl/>
      <w:pBdr>
        <w:bottom w:val="single" w:color="auto" w:sz="8" w:space="0"/>
        <w:right w:val="single" w:color="auto" w:sz="8" w:space="0"/>
      </w:pBdr>
      <w:spacing w:before="100" w:beforeAutospacing="1" w:after="100" w:afterAutospacing="1"/>
      <w:jc w:val="left"/>
    </w:pPr>
    <w:rPr>
      <w:color w:val="000000"/>
      <w:kern w:val="0"/>
      <w:szCs w:val="21"/>
    </w:rPr>
  </w:style>
  <w:style w:type="paragraph" w:customStyle="1" w:styleId="177">
    <w:name w:val="xl66"/>
    <w:basedOn w:val="1"/>
    <w:qFormat/>
    <w:uiPriority w:val="0"/>
    <w:pPr>
      <w:widowControl/>
      <w:pBdr>
        <w:left w:val="single" w:color="auto" w:sz="8" w:space="0"/>
        <w:right w:val="single" w:color="auto" w:sz="8" w:space="0"/>
      </w:pBdr>
      <w:spacing w:before="100" w:beforeAutospacing="1" w:after="100" w:afterAutospacing="1"/>
      <w:jc w:val="left"/>
    </w:pPr>
    <w:rPr>
      <w:color w:val="000000"/>
      <w:kern w:val="0"/>
      <w:szCs w:val="21"/>
    </w:rPr>
  </w:style>
  <w:style w:type="paragraph" w:customStyle="1" w:styleId="178">
    <w:name w:val="xl67"/>
    <w:basedOn w:val="1"/>
    <w:qFormat/>
    <w:uiPriority w:val="0"/>
    <w:pPr>
      <w:widowControl/>
      <w:pBdr>
        <w:left w:val="single" w:color="auto" w:sz="8" w:space="0"/>
        <w:right w:val="single" w:color="auto" w:sz="8" w:space="0"/>
      </w:pBdr>
      <w:spacing w:before="100" w:beforeAutospacing="1" w:after="100" w:afterAutospacing="1"/>
      <w:jc w:val="left"/>
    </w:pPr>
    <w:rPr>
      <w:color w:val="000000"/>
      <w:kern w:val="0"/>
      <w:szCs w:val="21"/>
    </w:rPr>
  </w:style>
  <w:style w:type="paragraph" w:customStyle="1" w:styleId="179">
    <w:name w:val="xl68"/>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color w:val="000000"/>
      <w:kern w:val="0"/>
      <w:szCs w:val="21"/>
    </w:rPr>
  </w:style>
  <w:style w:type="paragraph" w:customStyle="1" w:styleId="180">
    <w:name w:val="xl69"/>
    <w:basedOn w:val="1"/>
    <w:qFormat/>
    <w:uiPriority w:val="0"/>
    <w:pPr>
      <w:widowControl/>
      <w:pBdr>
        <w:top w:val="single" w:color="auto" w:sz="8" w:space="0"/>
        <w:right w:val="single" w:color="auto" w:sz="8" w:space="0"/>
      </w:pBdr>
      <w:spacing w:before="100" w:beforeAutospacing="1" w:after="100" w:afterAutospacing="1"/>
      <w:jc w:val="left"/>
    </w:pPr>
    <w:rPr>
      <w:color w:val="000000"/>
      <w:kern w:val="0"/>
      <w:szCs w:val="21"/>
    </w:rPr>
  </w:style>
  <w:style w:type="paragraph" w:customStyle="1" w:styleId="181">
    <w:name w:val="xl70"/>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kern w:val="0"/>
      <w:sz w:val="24"/>
    </w:rPr>
  </w:style>
  <w:style w:type="paragraph" w:customStyle="1" w:styleId="182">
    <w:name w:val="xl71"/>
    <w:basedOn w:val="1"/>
    <w:qFormat/>
    <w:uiPriority w:val="0"/>
    <w:pPr>
      <w:widowControl/>
      <w:pBdr>
        <w:right w:val="single" w:color="auto" w:sz="8" w:space="0"/>
      </w:pBdr>
      <w:spacing w:before="100" w:beforeAutospacing="1" w:after="100" w:afterAutospacing="1"/>
      <w:jc w:val="left"/>
    </w:pPr>
    <w:rPr>
      <w:kern w:val="0"/>
      <w:sz w:val="24"/>
    </w:rPr>
  </w:style>
  <w:style w:type="paragraph" w:customStyle="1" w:styleId="183">
    <w:name w:val="xl72"/>
    <w:basedOn w:val="1"/>
    <w:qFormat/>
    <w:uiPriority w:val="0"/>
    <w:pPr>
      <w:widowControl/>
      <w:pBdr>
        <w:left w:val="single" w:color="auto" w:sz="8" w:space="0"/>
        <w:right w:val="single" w:color="auto" w:sz="8" w:space="0"/>
      </w:pBdr>
      <w:spacing w:before="100" w:beforeAutospacing="1" w:after="100" w:afterAutospacing="1"/>
      <w:jc w:val="left"/>
    </w:pPr>
    <w:rPr>
      <w:kern w:val="0"/>
      <w:sz w:val="24"/>
    </w:rPr>
  </w:style>
  <w:style w:type="paragraph" w:customStyle="1" w:styleId="184">
    <w:name w:val="xl73"/>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kern w:val="0"/>
      <w:sz w:val="24"/>
    </w:rPr>
  </w:style>
  <w:style w:type="paragraph" w:customStyle="1" w:styleId="185">
    <w:name w:val="xl74"/>
    <w:basedOn w:val="1"/>
    <w:qFormat/>
    <w:uiPriority w:val="0"/>
    <w:pPr>
      <w:widowControl/>
      <w:pBdr>
        <w:bottom w:val="single" w:color="auto" w:sz="8" w:space="0"/>
        <w:right w:val="single" w:color="auto" w:sz="8" w:space="0"/>
      </w:pBdr>
      <w:spacing w:before="100" w:beforeAutospacing="1" w:after="100" w:afterAutospacing="1"/>
      <w:jc w:val="left"/>
    </w:pPr>
    <w:rPr>
      <w:kern w:val="0"/>
      <w:sz w:val="24"/>
    </w:rPr>
  </w:style>
  <w:style w:type="paragraph" w:customStyle="1" w:styleId="186">
    <w:name w:val="xl75"/>
    <w:basedOn w:val="1"/>
    <w:qFormat/>
    <w:uiPriority w:val="0"/>
    <w:pPr>
      <w:widowControl/>
      <w:spacing w:before="100" w:beforeAutospacing="1" w:after="100" w:afterAutospacing="1"/>
      <w:jc w:val="left"/>
    </w:pPr>
    <w:rPr>
      <w:kern w:val="0"/>
      <w:sz w:val="24"/>
    </w:rPr>
  </w:style>
  <w:style w:type="paragraph" w:customStyle="1" w:styleId="187">
    <w:name w:val="xl76"/>
    <w:basedOn w:val="1"/>
    <w:qFormat/>
    <w:uiPriority w:val="0"/>
    <w:pPr>
      <w:widowControl/>
      <w:pBdr>
        <w:bottom w:val="single" w:color="auto" w:sz="8" w:space="0"/>
      </w:pBdr>
      <w:spacing w:before="100" w:beforeAutospacing="1" w:after="100" w:afterAutospacing="1"/>
      <w:jc w:val="left"/>
    </w:pPr>
    <w:rPr>
      <w:kern w:val="0"/>
      <w:sz w:val="24"/>
    </w:rPr>
  </w:style>
  <w:style w:type="paragraph" w:customStyle="1" w:styleId="188">
    <w:name w:val="xl77"/>
    <w:basedOn w:val="1"/>
    <w:qFormat/>
    <w:uiPriority w:val="0"/>
    <w:pPr>
      <w:widowControl/>
      <w:pBdr>
        <w:top w:val="single" w:color="auto" w:sz="8" w:space="0"/>
      </w:pBdr>
      <w:spacing w:before="100" w:beforeAutospacing="1" w:after="100" w:afterAutospacing="1"/>
      <w:jc w:val="left"/>
    </w:pPr>
    <w:rPr>
      <w:color w:val="000000"/>
      <w:kern w:val="0"/>
      <w:szCs w:val="21"/>
    </w:rPr>
  </w:style>
  <w:style w:type="paragraph" w:customStyle="1" w:styleId="189">
    <w:name w:val="xl78"/>
    <w:basedOn w:val="1"/>
    <w:qFormat/>
    <w:uiPriority w:val="0"/>
    <w:pPr>
      <w:widowControl/>
      <w:spacing w:before="100" w:beforeAutospacing="1" w:after="100" w:afterAutospacing="1"/>
      <w:jc w:val="left"/>
    </w:pPr>
    <w:rPr>
      <w:color w:val="000000"/>
      <w:kern w:val="0"/>
      <w:szCs w:val="21"/>
    </w:rPr>
  </w:style>
  <w:style w:type="paragraph" w:customStyle="1" w:styleId="190">
    <w:name w:val="xl79"/>
    <w:basedOn w:val="1"/>
    <w:qFormat/>
    <w:uiPriority w:val="0"/>
    <w:pPr>
      <w:widowControl/>
      <w:spacing w:before="100" w:beforeAutospacing="1" w:after="100" w:afterAutospacing="1"/>
    </w:pPr>
    <w:rPr>
      <w:color w:val="000000"/>
      <w:kern w:val="0"/>
      <w:szCs w:val="21"/>
    </w:rPr>
  </w:style>
  <w:style w:type="paragraph" w:customStyle="1" w:styleId="191">
    <w:name w:val="xl80"/>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192">
    <w:name w:val="xl81"/>
    <w:basedOn w:val="1"/>
    <w:qFormat/>
    <w:uiPriority w:val="0"/>
    <w:pPr>
      <w:widowControl/>
      <w:pBdr>
        <w:bottom w:val="single" w:color="auto" w:sz="8" w:space="0"/>
      </w:pBdr>
      <w:spacing w:before="100" w:beforeAutospacing="1" w:after="100" w:afterAutospacing="1"/>
      <w:jc w:val="left"/>
    </w:pPr>
    <w:rPr>
      <w:color w:val="000000"/>
      <w:kern w:val="0"/>
      <w:szCs w:val="21"/>
    </w:rPr>
  </w:style>
  <w:style w:type="paragraph" w:customStyle="1" w:styleId="193">
    <w:name w:val="xl82"/>
    <w:basedOn w:val="1"/>
    <w:qFormat/>
    <w:uiPriority w:val="0"/>
    <w:pPr>
      <w:widowControl/>
      <w:pBdr>
        <w:top w:val="single" w:color="auto" w:sz="8" w:space="0"/>
        <w:right w:val="single" w:color="auto" w:sz="8" w:space="0"/>
      </w:pBdr>
      <w:spacing w:before="100" w:beforeAutospacing="1" w:after="100" w:afterAutospacing="1"/>
      <w:jc w:val="left"/>
    </w:pPr>
    <w:rPr>
      <w:kern w:val="0"/>
      <w:szCs w:val="21"/>
    </w:rPr>
  </w:style>
  <w:style w:type="paragraph" w:customStyle="1" w:styleId="194">
    <w:name w:val="xl83"/>
    <w:basedOn w:val="1"/>
    <w:qFormat/>
    <w:uiPriority w:val="0"/>
    <w:pPr>
      <w:widowControl/>
      <w:pBdr>
        <w:right w:val="single" w:color="auto" w:sz="8" w:space="0"/>
      </w:pBdr>
      <w:spacing w:before="100" w:beforeAutospacing="1" w:after="100" w:afterAutospacing="1"/>
      <w:jc w:val="left"/>
    </w:pPr>
    <w:rPr>
      <w:kern w:val="0"/>
      <w:szCs w:val="21"/>
    </w:rPr>
  </w:style>
  <w:style w:type="paragraph" w:customStyle="1" w:styleId="195">
    <w:name w:val="xl84"/>
    <w:basedOn w:val="1"/>
    <w:qFormat/>
    <w:uiPriority w:val="0"/>
    <w:pPr>
      <w:widowControl/>
      <w:pBdr>
        <w:bottom w:val="single" w:color="auto" w:sz="8" w:space="0"/>
      </w:pBdr>
      <w:spacing w:before="100" w:beforeAutospacing="1" w:after="100" w:afterAutospacing="1"/>
      <w:jc w:val="left"/>
    </w:pPr>
    <w:rPr>
      <w:rFonts w:ascii="宋体" w:hAnsi="宋体" w:cs="宋体"/>
      <w:color w:val="000000"/>
      <w:kern w:val="0"/>
      <w:szCs w:val="21"/>
    </w:rPr>
  </w:style>
  <w:style w:type="paragraph" w:customStyle="1" w:styleId="196">
    <w:name w:val="xl85"/>
    <w:basedOn w:val="1"/>
    <w:qFormat/>
    <w:uiPriority w:val="0"/>
    <w:pPr>
      <w:widowControl/>
      <w:pBdr>
        <w:top w:val="single" w:color="auto" w:sz="8" w:space="0"/>
      </w:pBdr>
      <w:spacing w:before="100" w:beforeAutospacing="1" w:after="100" w:afterAutospacing="1"/>
      <w:jc w:val="left"/>
    </w:pPr>
    <w:rPr>
      <w:kern w:val="0"/>
      <w:szCs w:val="21"/>
    </w:rPr>
  </w:style>
  <w:style w:type="paragraph" w:customStyle="1" w:styleId="197">
    <w:name w:val="xl86"/>
    <w:basedOn w:val="1"/>
    <w:qFormat/>
    <w:uiPriority w:val="0"/>
    <w:pPr>
      <w:widowControl/>
      <w:spacing w:before="100" w:beforeAutospacing="1" w:after="100" w:afterAutospacing="1"/>
      <w:jc w:val="left"/>
    </w:pPr>
    <w:rPr>
      <w:kern w:val="0"/>
      <w:szCs w:val="21"/>
    </w:rPr>
  </w:style>
  <w:style w:type="paragraph" w:customStyle="1" w:styleId="198">
    <w:name w:val="xl87"/>
    <w:basedOn w:val="1"/>
    <w:qFormat/>
    <w:uiPriority w:val="0"/>
    <w:pPr>
      <w:widowControl/>
      <w:pBdr>
        <w:bottom w:val="single" w:color="auto" w:sz="8" w:space="0"/>
      </w:pBdr>
      <w:spacing w:before="100" w:beforeAutospacing="1" w:after="100" w:afterAutospacing="1"/>
      <w:jc w:val="left"/>
    </w:pPr>
    <w:rPr>
      <w:color w:val="000000"/>
      <w:kern w:val="0"/>
      <w:szCs w:val="21"/>
    </w:rPr>
  </w:style>
  <w:style w:type="paragraph" w:customStyle="1" w:styleId="199">
    <w:name w:val="xl88"/>
    <w:basedOn w:val="1"/>
    <w:qFormat/>
    <w:uiPriority w:val="0"/>
    <w:pPr>
      <w:widowControl/>
      <w:pBdr>
        <w:top w:val="single" w:color="auto" w:sz="8" w:space="0"/>
        <w:left w:val="single" w:color="auto" w:sz="8" w:space="0"/>
        <w:bottom w:val="single" w:color="auto" w:sz="8" w:space="0"/>
      </w:pBdr>
      <w:spacing w:before="100" w:beforeAutospacing="1" w:after="100" w:afterAutospacing="1"/>
      <w:jc w:val="center"/>
    </w:pPr>
    <w:rPr>
      <w:kern w:val="0"/>
      <w:sz w:val="24"/>
    </w:rPr>
  </w:style>
  <w:style w:type="paragraph" w:customStyle="1" w:styleId="200">
    <w:name w:val="xl89"/>
    <w:basedOn w:val="1"/>
    <w:qFormat/>
    <w:uiPriority w:val="0"/>
    <w:pPr>
      <w:widowControl/>
      <w:pBdr>
        <w:top w:val="single" w:color="auto" w:sz="8" w:space="0"/>
        <w:bottom w:val="single" w:color="auto" w:sz="8" w:space="0"/>
      </w:pBdr>
      <w:spacing w:before="100" w:beforeAutospacing="1" w:after="100" w:afterAutospacing="1"/>
      <w:jc w:val="center"/>
    </w:pPr>
    <w:rPr>
      <w:kern w:val="0"/>
      <w:sz w:val="24"/>
    </w:rPr>
  </w:style>
  <w:style w:type="paragraph" w:customStyle="1" w:styleId="201">
    <w:name w:val="xl90"/>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kern w:val="0"/>
      <w:sz w:val="24"/>
    </w:rPr>
  </w:style>
  <w:style w:type="paragraph" w:customStyle="1" w:styleId="202">
    <w:name w:val="xl91"/>
    <w:basedOn w:val="1"/>
    <w:qFormat/>
    <w:uiPriority w:val="0"/>
    <w:pPr>
      <w:widowControl/>
      <w:pBdr>
        <w:top w:val="single" w:color="auto" w:sz="8" w:space="0"/>
        <w:left w:val="single" w:color="auto" w:sz="8" w:space="0"/>
        <w:bottom w:val="single" w:color="auto" w:sz="8" w:space="0"/>
      </w:pBdr>
      <w:spacing w:before="100" w:beforeAutospacing="1" w:after="100" w:afterAutospacing="1"/>
      <w:jc w:val="left"/>
    </w:pPr>
    <w:rPr>
      <w:kern w:val="0"/>
      <w:sz w:val="24"/>
    </w:rPr>
  </w:style>
  <w:style w:type="paragraph" w:customStyle="1" w:styleId="203">
    <w:name w:val="xl92"/>
    <w:basedOn w:val="1"/>
    <w:qFormat/>
    <w:uiPriority w:val="0"/>
    <w:pPr>
      <w:widowControl/>
      <w:pBdr>
        <w:top w:val="single" w:color="auto" w:sz="8" w:space="0"/>
        <w:bottom w:val="single" w:color="auto" w:sz="8" w:space="0"/>
      </w:pBdr>
      <w:spacing w:before="100" w:beforeAutospacing="1" w:after="100" w:afterAutospacing="1"/>
      <w:jc w:val="left"/>
    </w:pPr>
    <w:rPr>
      <w:kern w:val="0"/>
      <w:sz w:val="24"/>
    </w:rPr>
  </w:style>
  <w:style w:type="paragraph" w:customStyle="1" w:styleId="204">
    <w:name w:val="xl93"/>
    <w:basedOn w:val="1"/>
    <w:qFormat/>
    <w:uiPriority w:val="0"/>
    <w:pPr>
      <w:widowControl/>
      <w:pBdr>
        <w:top w:val="single" w:color="auto" w:sz="8" w:space="0"/>
        <w:bottom w:val="single" w:color="auto" w:sz="8" w:space="0"/>
        <w:right w:val="single" w:color="auto" w:sz="8" w:space="0"/>
      </w:pBdr>
      <w:spacing w:before="100" w:beforeAutospacing="1" w:after="100" w:afterAutospacing="1"/>
      <w:jc w:val="left"/>
    </w:pPr>
    <w:rPr>
      <w:kern w:val="0"/>
      <w:sz w:val="24"/>
    </w:rPr>
  </w:style>
  <w:style w:type="paragraph" w:customStyle="1" w:styleId="205">
    <w:name w:val="xl94"/>
    <w:basedOn w:val="1"/>
    <w:qFormat/>
    <w:uiPriority w:val="0"/>
    <w:pPr>
      <w:widowControl/>
      <w:pBdr>
        <w:top w:val="single" w:color="auto" w:sz="8" w:space="0"/>
      </w:pBdr>
      <w:spacing w:before="100" w:beforeAutospacing="1" w:after="100" w:afterAutospacing="1"/>
      <w:jc w:val="left"/>
    </w:pPr>
    <w:rPr>
      <w:color w:val="000000"/>
      <w:kern w:val="0"/>
      <w:szCs w:val="21"/>
    </w:rPr>
  </w:style>
  <w:style w:type="paragraph" w:customStyle="1" w:styleId="206">
    <w:name w:val="xl95"/>
    <w:basedOn w:val="1"/>
    <w:qFormat/>
    <w:uiPriority w:val="0"/>
    <w:pPr>
      <w:widowControl/>
      <w:spacing w:before="100" w:beforeAutospacing="1" w:after="100" w:afterAutospacing="1"/>
      <w:jc w:val="left"/>
    </w:pPr>
    <w:rPr>
      <w:color w:val="000000"/>
      <w:kern w:val="0"/>
      <w:szCs w:val="21"/>
    </w:rPr>
  </w:style>
  <w:style w:type="paragraph" w:customStyle="1" w:styleId="207">
    <w:name w:val="xl96"/>
    <w:basedOn w:val="1"/>
    <w:qFormat/>
    <w:uiPriority w:val="0"/>
    <w:pPr>
      <w:widowControl/>
      <w:pBdr>
        <w:bottom w:val="single" w:color="auto" w:sz="8" w:space="0"/>
      </w:pBdr>
      <w:spacing w:before="100" w:beforeAutospacing="1" w:after="100" w:afterAutospacing="1"/>
      <w:jc w:val="left"/>
    </w:pPr>
    <w:rPr>
      <w:color w:val="000000"/>
      <w:kern w:val="0"/>
      <w:szCs w:val="21"/>
    </w:rPr>
  </w:style>
  <w:style w:type="paragraph" w:customStyle="1" w:styleId="208">
    <w:name w:val="xl97"/>
    <w:basedOn w:val="1"/>
    <w:qFormat/>
    <w:uiPriority w:val="0"/>
    <w:pPr>
      <w:widowControl/>
      <w:pBdr>
        <w:left w:val="single" w:color="auto" w:sz="8" w:space="0"/>
        <w:bottom w:val="single" w:color="auto" w:sz="8" w:space="0"/>
      </w:pBdr>
      <w:spacing w:before="100" w:beforeAutospacing="1" w:after="100" w:afterAutospacing="1"/>
      <w:jc w:val="left"/>
    </w:pPr>
    <w:rPr>
      <w:kern w:val="0"/>
      <w:sz w:val="24"/>
    </w:rPr>
  </w:style>
  <w:style w:type="paragraph" w:customStyle="1" w:styleId="209">
    <w:name w:val="xl98"/>
    <w:basedOn w:val="1"/>
    <w:qFormat/>
    <w:uiPriority w:val="0"/>
    <w:pPr>
      <w:widowControl/>
      <w:pBdr>
        <w:right w:val="single" w:color="auto" w:sz="8" w:space="0"/>
      </w:pBdr>
      <w:spacing w:before="100" w:beforeAutospacing="1" w:after="100" w:afterAutospacing="1"/>
      <w:jc w:val="left"/>
    </w:pPr>
    <w:rPr>
      <w:color w:val="000000"/>
      <w:kern w:val="0"/>
      <w:szCs w:val="21"/>
    </w:rPr>
  </w:style>
  <w:style w:type="paragraph" w:customStyle="1" w:styleId="210">
    <w:name w:val="xl99"/>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rFonts w:ascii="宋体" w:hAnsi="宋体" w:cs="宋体"/>
      <w:kern w:val="0"/>
      <w:sz w:val="24"/>
    </w:rPr>
  </w:style>
  <w:style w:type="paragraph" w:customStyle="1" w:styleId="211">
    <w:name w:val="xl100"/>
    <w:basedOn w:val="1"/>
    <w:qFormat/>
    <w:uiPriority w:val="0"/>
    <w:pPr>
      <w:widowControl/>
      <w:spacing w:before="100" w:beforeAutospacing="1" w:after="100" w:afterAutospacing="1"/>
      <w:jc w:val="left"/>
    </w:pPr>
    <w:rPr>
      <w:color w:val="000000"/>
      <w:kern w:val="0"/>
      <w:szCs w:val="21"/>
    </w:rPr>
  </w:style>
  <w:style w:type="paragraph" w:customStyle="1" w:styleId="212">
    <w:name w:val="xl101"/>
    <w:basedOn w:val="1"/>
    <w:qFormat/>
    <w:uiPriority w:val="0"/>
    <w:pPr>
      <w:widowControl/>
      <w:pBdr>
        <w:top w:val="single" w:color="auto" w:sz="8" w:space="0"/>
        <w:left w:val="single" w:color="auto" w:sz="8" w:space="0"/>
      </w:pBdr>
      <w:spacing w:before="100" w:beforeAutospacing="1" w:after="100" w:afterAutospacing="1"/>
      <w:jc w:val="center"/>
    </w:pPr>
    <w:rPr>
      <w:color w:val="000000"/>
      <w:kern w:val="0"/>
      <w:szCs w:val="21"/>
    </w:rPr>
  </w:style>
  <w:style w:type="paragraph" w:customStyle="1" w:styleId="213">
    <w:name w:val="xl102"/>
    <w:basedOn w:val="1"/>
    <w:qFormat/>
    <w:uiPriority w:val="0"/>
    <w:pPr>
      <w:widowControl/>
      <w:pBdr>
        <w:top w:val="single" w:color="auto" w:sz="8" w:space="0"/>
        <w:right w:val="single" w:color="auto" w:sz="8" w:space="0"/>
      </w:pBdr>
      <w:spacing w:before="100" w:beforeAutospacing="1" w:after="100" w:afterAutospacing="1"/>
      <w:jc w:val="center"/>
    </w:pPr>
    <w:rPr>
      <w:color w:val="000000"/>
      <w:kern w:val="0"/>
      <w:szCs w:val="21"/>
    </w:rPr>
  </w:style>
  <w:style w:type="paragraph" w:customStyle="1" w:styleId="214">
    <w:name w:val="xl103"/>
    <w:basedOn w:val="1"/>
    <w:qFormat/>
    <w:uiPriority w:val="0"/>
    <w:pPr>
      <w:widowControl/>
      <w:pBdr>
        <w:left w:val="single" w:color="auto" w:sz="8" w:space="0"/>
        <w:bottom w:val="single" w:color="auto" w:sz="8" w:space="0"/>
      </w:pBdr>
      <w:spacing w:before="100" w:beforeAutospacing="1" w:after="100" w:afterAutospacing="1"/>
      <w:jc w:val="center"/>
    </w:pPr>
    <w:rPr>
      <w:color w:val="000000"/>
      <w:kern w:val="0"/>
      <w:szCs w:val="21"/>
    </w:rPr>
  </w:style>
  <w:style w:type="paragraph" w:customStyle="1" w:styleId="215">
    <w:name w:val="xl104"/>
    <w:basedOn w:val="1"/>
    <w:qFormat/>
    <w:uiPriority w:val="0"/>
    <w:pPr>
      <w:widowControl/>
      <w:pBdr>
        <w:bottom w:val="single" w:color="auto" w:sz="8" w:space="0"/>
        <w:right w:val="single" w:color="auto" w:sz="8" w:space="0"/>
      </w:pBdr>
      <w:spacing w:before="100" w:beforeAutospacing="1" w:after="100" w:afterAutospacing="1"/>
      <w:jc w:val="center"/>
    </w:pPr>
    <w:rPr>
      <w:color w:val="000000"/>
      <w:kern w:val="0"/>
      <w:szCs w:val="21"/>
    </w:rPr>
  </w:style>
  <w:style w:type="paragraph" w:customStyle="1" w:styleId="216">
    <w:name w:val="xl105"/>
    <w:basedOn w:val="1"/>
    <w:qFormat/>
    <w:uiPriority w:val="0"/>
    <w:pPr>
      <w:widowControl/>
      <w:pBdr>
        <w:top w:val="single" w:color="auto" w:sz="8" w:space="0"/>
        <w:left w:val="single" w:color="auto" w:sz="8" w:space="0"/>
      </w:pBdr>
      <w:spacing w:before="100" w:beforeAutospacing="1" w:after="100" w:afterAutospacing="1"/>
      <w:jc w:val="left"/>
    </w:pPr>
    <w:rPr>
      <w:color w:val="000000"/>
      <w:kern w:val="0"/>
      <w:szCs w:val="21"/>
    </w:rPr>
  </w:style>
  <w:style w:type="paragraph" w:customStyle="1" w:styleId="217">
    <w:name w:val="xl106"/>
    <w:basedOn w:val="1"/>
    <w:qFormat/>
    <w:uiPriority w:val="0"/>
    <w:pPr>
      <w:widowControl/>
      <w:pBdr>
        <w:left w:val="single" w:color="auto" w:sz="8" w:space="0"/>
        <w:bottom w:val="single" w:color="auto" w:sz="8" w:space="0"/>
      </w:pBdr>
      <w:spacing w:before="100" w:beforeAutospacing="1" w:after="100" w:afterAutospacing="1"/>
      <w:jc w:val="left"/>
    </w:pPr>
    <w:rPr>
      <w:color w:val="000000"/>
      <w:kern w:val="0"/>
      <w:szCs w:val="21"/>
    </w:rPr>
  </w:style>
  <w:style w:type="paragraph" w:customStyle="1" w:styleId="218">
    <w:name w:val="xl107"/>
    <w:basedOn w:val="1"/>
    <w:qFormat/>
    <w:uiPriority w:val="0"/>
    <w:pPr>
      <w:widowControl/>
      <w:pBdr>
        <w:right w:val="single" w:color="auto" w:sz="8" w:space="0"/>
      </w:pBdr>
      <w:spacing w:before="100" w:beforeAutospacing="1" w:after="100" w:afterAutospacing="1"/>
      <w:jc w:val="center"/>
    </w:pPr>
    <w:rPr>
      <w:kern w:val="0"/>
      <w:sz w:val="24"/>
    </w:rPr>
  </w:style>
  <w:style w:type="paragraph" w:customStyle="1" w:styleId="219">
    <w:name w:val="xl108"/>
    <w:basedOn w:val="1"/>
    <w:qFormat/>
    <w:uiPriority w:val="0"/>
    <w:pPr>
      <w:widowControl/>
      <w:spacing w:before="100" w:beforeAutospacing="1" w:after="100" w:afterAutospacing="1"/>
      <w:jc w:val="left"/>
    </w:pPr>
    <w:rPr>
      <w:rFonts w:ascii="宋体" w:hAnsi="宋体" w:cs="宋体"/>
      <w:kern w:val="0"/>
      <w:sz w:val="24"/>
    </w:rPr>
  </w:style>
  <w:style w:type="paragraph" w:customStyle="1" w:styleId="220">
    <w:name w:val="xl109"/>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kern w:val="0"/>
      <w:sz w:val="24"/>
    </w:rPr>
  </w:style>
  <w:style w:type="paragraph" w:customStyle="1" w:styleId="221">
    <w:name w:val="xl110"/>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color w:val="000000"/>
      <w:kern w:val="0"/>
      <w:szCs w:val="21"/>
    </w:rPr>
  </w:style>
  <w:style w:type="paragraph" w:customStyle="1" w:styleId="222">
    <w:name w:val="xl111"/>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color w:val="000000"/>
      <w:kern w:val="0"/>
      <w:szCs w:val="21"/>
    </w:rPr>
  </w:style>
  <w:style w:type="paragraph" w:customStyle="1" w:styleId="223">
    <w:name w:val="xl112"/>
    <w:basedOn w:val="1"/>
    <w:qFormat/>
    <w:uiPriority w:val="0"/>
    <w:pPr>
      <w:widowControl/>
      <w:pBdr>
        <w:left w:val="single" w:color="auto" w:sz="8" w:space="0"/>
      </w:pBdr>
      <w:spacing w:before="100" w:beforeAutospacing="1" w:after="100" w:afterAutospacing="1"/>
      <w:jc w:val="left"/>
    </w:pPr>
    <w:rPr>
      <w:rFonts w:ascii="宋体" w:hAnsi="宋体" w:cs="宋体"/>
      <w:color w:val="000000"/>
      <w:kern w:val="0"/>
      <w:szCs w:val="21"/>
    </w:rPr>
  </w:style>
  <w:style w:type="paragraph" w:customStyle="1" w:styleId="224">
    <w:name w:val="xl113"/>
    <w:basedOn w:val="1"/>
    <w:qFormat/>
    <w:uiPriority w:val="0"/>
    <w:pPr>
      <w:widowControl/>
      <w:pBdr>
        <w:left w:val="single" w:color="auto" w:sz="8" w:space="0"/>
        <w:right w:val="single" w:color="auto" w:sz="8" w:space="0"/>
      </w:pBdr>
      <w:spacing w:before="100" w:beforeAutospacing="1" w:after="100" w:afterAutospacing="1"/>
      <w:jc w:val="center"/>
    </w:pPr>
    <w:rPr>
      <w:kern w:val="0"/>
      <w:sz w:val="24"/>
    </w:rPr>
  </w:style>
  <w:style w:type="paragraph" w:customStyle="1" w:styleId="225">
    <w:name w:val="xl114"/>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kern w:val="0"/>
      <w:sz w:val="24"/>
    </w:rPr>
  </w:style>
  <w:style w:type="paragraph" w:customStyle="1" w:styleId="226">
    <w:name w:val="xl115"/>
    <w:basedOn w:val="1"/>
    <w:qFormat/>
    <w:uiPriority w:val="0"/>
    <w:pPr>
      <w:widowControl/>
      <w:pBdr>
        <w:left w:val="single" w:color="auto" w:sz="8" w:space="0"/>
      </w:pBdr>
      <w:spacing w:before="100" w:beforeAutospacing="1" w:after="100" w:afterAutospacing="1"/>
      <w:jc w:val="center"/>
    </w:pPr>
    <w:rPr>
      <w:kern w:val="0"/>
      <w:sz w:val="24"/>
    </w:rPr>
  </w:style>
  <w:style w:type="paragraph" w:customStyle="1" w:styleId="227">
    <w:name w:val="xl116"/>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28">
    <w:name w:val="xl117"/>
    <w:basedOn w:val="1"/>
    <w:qFormat/>
    <w:uiPriority w:val="0"/>
    <w:pPr>
      <w:widowControl/>
      <w:pBdr>
        <w:top w:val="single" w:color="auto" w:sz="8" w:space="0"/>
        <w:left w:val="single" w:color="auto" w:sz="8" w:space="0"/>
      </w:pBdr>
      <w:spacing w:before="100" w:beforeAutospacing="1" w:after="100" w:afterAutospacing="1"/>
      <w:jc w:val="left"/>
    </w:pPr>
    <w:rPr>
      <w:rFonts w:ascii="宋体" w:hAnsi="宋体" w:cs="宋体"/>
      <w:color w:val="000000"/>
      <w:kern w:val="0"/>
      <w:szCs w:val="21"/>
    </w:rPr>
  </w:style>
  <w:style w:type="paragraph" w:customStyle="1" w:styleId="229">
    <w:name w:val="xl118"/>
    <w:basedOn w:val="1"/>
    <w:qFormat/>
    <w:uiPriority w:val="0"/>
    <w:pPr>
      <w:widowControl/>
      <w:pBdr>
        <w:top w:val="single" w:color="auto" w:sz="8" w:space="0"/>
        <w:left w:val="single" w:color="auto" w:sz="8" w:space="0"/>
      </w:pBdr>
      <w:spacing w:before="100" w:beforeAutospacing="1" w:after="100" w:afterAutospacing="1"/>
      <w:jc w:val="center"/>
    </w:pPr>
    <w:rPr>
      <w:kern w:val="0"/>
      <w:sz w:val="24"/>
    </w:rPr>
  </w:style>
  <w:style w:type="paragraph" w:customStyle="1" w:styleId="230">
    <w:name w:val="xl119"/>
    <w:basedOn w:val="1"/>
    <w:qFormat/>
    <w:uiPriority w:val="0"/>
    <w:pPr>
      <w:widowControl/>
      <w:pBdr>
        <w:left w:val="single" w:color="auto" w:sz="8" w:space="0"/>
        <w:bottom w:val="single" w:color="auto" w:sz="8" w:space="0"/>
      </w:pBdr>
      <w:spacing w:before="100" w:beforeAutospacing="1" w:after="100" w:afterAutospacing="1"/>
      <w:jc w:val="center"/>
    </w:pPr>
    <w:rPr>
      <w:kern w:val="0"/>
      <w:sz w:val="24"/>
    </w:rPr>
  </w:style>
  <w:style w:type="paragraph" w:customStyle="1" w:styleId="231">
    <w:name w:val="xl120"/>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cs="宋体"/>
      <w:kern w:val="0"/>
      <w:sz w:val="24"/>
    </w:rPr>
  </w:style>
  <w:style w:type="paragraph" w:customStyle="1" w:styleId="232">
    <w:name w:val="xl121"/>
    <w:basedOn w:val="1"/>
    <w:qFormat/>
    <w:uiPriority w:val="0"/>
    <w:pPr>
      <w:widowControl/>
      <w:pBdr>
        <w:bottom w:val="single" w:color="auto" w:sz="8" w:space="0"/>
        <w:right w:val="single" w:color="auto" w:sz="8" w:space="0"/>
      </w:pBdr>
      <w:spacing w:before="100" w:beforeAutospacing="1" w:after="100" w:afterAutospacing="1"/>
      <w:jc w:val="left"/>
    </w:pPr>
    <w:rPr>
      <w:kern w:val="0"/>
      <w:szCs w:val="21"/>
    </w:rPr>
  </w:style>
  <w:style w:type="paragraph" w:customStyle="1" w:styleId="233">
    <w:name w:val="xl122"/>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34">
    <w:name w:val="xl123"/>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35">
    <w:name w:val="xl124"/>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pPr>
    <w:rPr>
      <w:kern w:val="0"/>
      <w:sz w:val="24"/>
    </w:rPr>
  </w:style>
  <w:style w:type="paragraph" w:customStyle="1" w:styleId="236">
    <w:name w:val="xl125"/>
    <w:basedOn w:val="1"/>
    <w:qFormat/>
    <w:uiPriority w:val="0"/>
    <w:pPr>
      <w:widowControl/>
      <w:pBdr>
        <w:top w:val="single" w:color="auto" w:sz="8" w:space="0"/>
        <w:right w:val="single" w:color="auto" w:sz="8" w:space="0"/>
      </w:pBdr>
      <w:spacing w:before="100" w:beforeAutospacing="1" w:after="100" w:afterAutospacing="1"/>
      <w:jc w:val="center"/>
    </w:pPr>
    <w:rPr>
      <w:kern w:val="0"/>
      <w:sz w:val="24"/>
    </w:rPr>
  </w:style>
  <w:style w:type="paragraph" w:customStyle="1" w:styleId="237">
    <w:name w:val="xl126"/>
    <w:basedOn w:val="1"/>
    <w:qFormat/>
    <w:uiPriority w:val="0"/>
    <w:pPr>
      <w:widowControl/>
      <w:spacing w:before="100" w:beforeAutospacing="1" w:after="100" w:afterAutospacing="1"/>
      <w:jc w:val="center"/>
    </w:pPr>
    <w:rPr>
      <w:kern w:val="0"/>
      <w:sz w:val="24"/>
    </w:rPr>
  </w:style>
  <w:style w:type="paragraph" w:customStyle="1" w:styleId="238">
    <w:name w:val="xl127"/>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left"/>
    </w:pPr>
    <w:rPr>
      <w:color w:val="000000"/>
      <w:kern w:val="0"/>
      <w:szCs w:val="21"/>
    </w:rPr>
  </w:style>
  <w:style w:type="paragraph" w:customStyle="1" w:styleId="239">
    <w:name w:val="xl128"/>
    <w:basedOn w:val="1"/>
    <w:qFormat/>
    <w:uiPriority w:val="0"/>
    <w:pPr>
      <w:widowControl/>
      <w:pBdr>
        <w:top w:val="single" w:color="auto" w:sz="8" w:space="0"/>
        <w:right w:val="single" w:color="auto" w:sz="8" w:space="0"/>
      </w:pBdr>
      <w:spacing w:before="100" w:beforeAutospacing="1" w:after="100" w:afterAutospacing="1"/>
    </w:pPr>
    <w:rPr>
      <w:color w:val="000000"/>
      <w:kern w:val="0"/>
      <w:szCs w:val="21"/>
    </w:rPr>
  </w:style>
  <w:style w:type="paragraph" w:customStyle="1" w:styleId="240">
    <w:name w:val="xl129"/>
    <w:basedOn w:val="1"/>
    <w:qFormat/>
    <w:uiPriority w:val="0"/>
    <w:pPr>
      <w:widowControl/>
      <w:pBdr>
        <w:bottom w:val="single" w:color="auto" w:sz="8" w:space="0"/>
        <w:right w:val="single" w:color="auto" w:sz="8" w:space="0"/>
      </w:pBdr>
      <w:spacing w:before="100" w:beforeAutospacing="1" w:after="100" w:afterAutospacing="1"/>
    </w:pPr>
    <w:rPr>
      <w:color w:val="000000"/>
      <w:kern w:val="0"/>
      <w:szCs w:val="21"/>
    </w:rPr>
  </w:style>
  <w:style w:type="paragraph" w:customStyle="1" w:styleId="241">
    <w:name w:val="xl130"/>
    <w:basedOn w:val="1"/>
    <w:qFormat/>
    <w:uiPriority w:val="0"/>
    <w:pPr>
      <w:widowControl/>
      <w:pBdr>
        <w:top w:val="single" w:color="auto" w:sz="8" w:space="0"/>
      </w:pBdr>
      <w:spacing w:before="100" w:beforeAutospacing="1" w:after="100" w:afterAutospacing="1"/>
      <w:jc w:val="left"/>
    </w:pPr>
    <w:rPr>
      <w:kern w:val="0"/>
      <w:sz w:val="24"/>
    </w:rPr>
  </w:style>
  <w:style w:type="paragraph" w:customStyle="1" w:styleId="242">
    <w:name w:val="xl131"/>
    <w:basedOn w:val="1"/>
    <w:qFormat/>
    <w:uiPriority w:val="0"/>
    <w:pPr>
      <w:widowControl/>
      <w:pBdr>
        <w:top w:val="single" w:color="auto" w:sz="8" w:space="0"/>
        <w:bottom w:val="single" w:color="auto" w:sz="8" w:space="0"/>
      </w:pBdr>
      <w:spacing w:before="100" w:beforeAutospacing="1" w:after="100" w:afterAutospacing="1"/>
      <w:jc w:val="left"/>
    </w:pPr>
    <w:rPr>
      <w:kern w:val="0"/>
      <w:sz w:val="24"/>
    </w:rPr>
  </w:style>
  <w:style w:type="paragraph" w:customStyle="1" w:styleId="243">
    <w:name w:val="xl132"/>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color w:val="000000"/>
      <w:kern w:val="0"/>
      <w:szCs w:val="21"/>
    </w:rPr>
  </w:style>
  <w:style w:type="paragraph" w:customStyle="1" w:styleId="244">
    <w:name w:val="xl133"/>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color w:val="000000"/>
      <w:kern w:val="0"/>
      <w:szCs w:val="21"/>
    </w:rPr>
  </w:style>
  <w:style w:type="paragraph" w:customStyle="1" w:styleId="245">
    <w:name w:val="xl134"/>
    <w:basedOn w:val="1"/>
    <w:qFormat/>
    <w:uiPriority w:val="0"/>
    <w:pPr>
      <w:widowControl/>
      <w:pBdr>
        <w:top w:val="single" w:color="auto" w:sz="8" w:space="0"/>
        <w:left w:val="single" w:color="auto" w:sz="8" w:space="0"/>
        <w:bottom w:val="single" w:color="auto" w:sz="8" w:space="0"/>
      </w:pBdr>
      <w:spacing w:before="100" w:beforeAutospacing="1" w:after="100" w:afterAutospacing="1"/>
      <w:jc w:val="left"/>
    </w:pPr>
    <w:rPr>
      <w:rFonts w:ascii="宋体" w:hAnsi="宋体" w:cs="宋体"/>
      <w:kern w:val="0"/>
      <w:sz w:val="24"/>
    </w:rPr>
  </w:style>
  <w:style w:type="paragraph" w:customStyle="1" w:styleId="246">
    <w:name w:val="xl135"/>
    <w:basedOn w:val="1"/>
    <w:qFormat/>
    <w:uiPriority w:val="0"/>
    <w:pPr>
      <w:widowControl/>
      <w:spacing w:before="100" w:beforeAutospacing="1" w:after="100" w:afterAutospacing="1"/>
      <w:jc w:val="left"/>
    </w:pPr>
    <w:rPr>
      <w:rFonts w:ascii="宋体" w:hAnsi="宋体" w:cs="宋体"/>
      <w:color w:val="000000"/>
      <w:kern w:val="0"/>
      <w:szCs w:val="21"/>
    </w:rPr>
  </w:style>
  <w:style w:type="paragraph" w:customStyle="1" w:styleId="247">
    <w:name w:val="xl136"/>
    <w:basedOn w:val="1"/>
    <w:qFormat/>
    <w:uiPriority w:val="0"/>
    <w:pPr>
      <w:widowControl/>
      <w:pBdr>
        <w:top w:val="single" w:color="auto" w:sz="8" w:space="0"/>
        <w:left w:val="single" w:color="auto" w:sz="8" w:space="0"/>
      </w:pBdr>
      <w:spacing w:before="100" w:beforeAutospacing="1" w:after="100" w:afterAutospacing="1"/>
      <w:jc w:val="left"/>
    </w:pPr>
    <w:rPr>
      <w:rFonts w:ascii="宋体" w:hAnsi="宋体" w:cs="宋体"/>
      <w:kern w:val="0"/>
      <w:sz w:val="24"/>
    </w:rPr>
  </w:style>
  <w:style w:type="paragraph" w:customStyle="1" w:styleId="248">
    <w:name w:val="xl137"/>
    <w:basedOn w:val="1"/>
    <w:qFormat/>
    <w:uiPriority w:val="0"/>
    <w:pPr>
      <w:widowControl/>
      <w:pBdr>
        <w:top w:val="single" w:color="auto" w:sz="8" w:space="0"/>
      </w:pBdr>
      <w:spacing w:before="100" w:beforeAutospacing="1" w:after="100" w:afterAutospacing="1"/>
      <w:jc w:val="left"/>
    </w:pPr>
    <w:rPr>
      <w:color w:val="000000"/>
      <w:kern w:val="0"/>
      <w:szCs w:val="21"/>
    </w:rPr>
  </w:style>
  <w:style w:type="paragraph" w:customStyle="1" w:styleId="249">
    <w:name w:val="xl138"/>
    <w:basedOn w:val="1"/>
    <w:qFormat/>
    <w:uiPriority w:val="0"/>
    <w:pPr>
      <w:widowControl/>
      <w:pBdr>
        <w:left w:val="single" w:color="auto" w:sz="8" w:space="0"/>
      </w:pBdr>
      <w:spacing w:before="100" w:beforeAutospacing="1" w:after="100" w:afterAutospacing="1"/>
      <w:jc w:val="left"/>
    </w:pPr>
    <w:rPr>
      <w:rFonts w:ascii="宋体" w:hAnsi="宋体" w:cs="宋体"/>
      <w:kern w:val="0"/>
      <w:sz w:val="24"/>
    </w:rPr>
  </w:style>
  <w:style w:type="paragraph" w:customStyle="1" w:styleId="250">
    <w:name w:val="xl139"/>
    <w:basedOn w:val="1"/>
    <w:qFormat/>
    <w:uiPriority w:val="0"/>
    <w:pPr>
      <w:widowControl/>
      <w:pBdr>
        <w:bottom w:val="single" w:color="auto" w:sz="8" w:space="0"/>
      </w:pBdr>
      <w:spacing w:before="100" w:beforeAutospacing="1" w:after="100" w:afterAutospacing="1"/>
      <w:jc w:val="left"/>
    </w:pPr>
    <w:rPr>
      <w:rFonts w:ascii="宋体" w:hAnsi="宋体" w:cs="宋体"/>
      <w:kern w:val="0"/>
      <w:sz w:val="24"/>
    </w:rPr>
  </w:style>
  <w:style w:type="paragraph" w:customStyle="1" w:styleId="251">
    <w:name w:val="xl140"/>
    <w:basedOn w:val="1"/>
    <w:qFormat/>
    <w:uiPriority w:val="0"/>
    <w:pPr>
      <w:widowControl/>
      <w:pBdr>
        <w:top w:val="single" w:color="auto" w:sz="8" w:space="0"/>
        <w:right w:val="single" w:color="auto" w:sz="8" w:space="0"/>
      </w:pBdr>
      <w:spacing w:before="100" w:beforeAutospacing="1" w:after="100" w:afterAutospacing="1"/>
      <w:jc w:val="left"/>
    </w:pPr>
    <w:rPr>
      <w:kern w:val="0"/>
      <w:sz w:val="24"/>
    </w:rPr>
  </w:style>
  <w:style w:type="paragraph" w:customStyle="1" w:styleId="252">
    <w:name w:val="xl141"/>
    <w:basedOn w:val="1"/>
    <w:qFormat/>
    <w:uiPriority w:val="0"/>
    <w:pPr>
      <w:widowControl/>
      <w:pBdr>
        <w:top w:val="single" w:color="auto" w:sz="8" w:space="0"/>
      </w:pBdr>
      <w:spacing w:before="100" w:beforeAutospacing="1" w:after="100" w:afterAutospacing="1"/>
      <w:jc w:val="left"/>
    </w:pPr>
    <w:rPr>
      <w:rFonts w:ascii="宋体" w:hAnsi="宋体" w:cs="宋体"/>
      <w:kern w:val="0"/>
      <w:sz w:val="24"/>
    </w:rPr>
  </w:style>
  <w:style w:type="paragraph" w:customStyle="1" w:styleId="253">
    <w:name w:val="xl142"/>
    <w:basedOn w:val="1"/>
    <w:qFormat/>
    <w:uiPriority w:val="0"/>
    <w:pPr>
      <w:widowControl/>
      <w:pBdr>
        <w:bottom w:val="single" w:color="auto" w:sz="8" w:space="0"/>
      </w:pBdr>
      <w:spacing w:before="100" w:beforeAutospacing="1" w:after="100" w:afterAutospacing="1"/>
      <w:jc w:val="left"/>
    </w:pPr>
    <w:rPr>
      <w:rFonts w:ascii="宋体" w:hAnsi="宋体" w:cs="宋体"/>
      <w:color w:val="000000"/>
      <w:kern w:val="0"/>
      <w:szCs w:val="21"/>
    </w:rPr>
  </w:style>
  <w:style w:type="paragraph" w:customStyle="1" w:styleId="254">
    <w:name w:val="xl143"/>
    <w:basedOn w:val="1"/>
    <w:qFormat/>
    <w:uiPriority w:val="0"/>
    <w:pPr>
      <w:widowControl/>
      <w:pBdr>
        <w:bottom w:val="single" w:color="auto" w:sz="8" w:space="0"/>
      </w:pBdr>
      <w:spacing w:before="100" w:beforeAutospacing="1" w:after="100" w:afterAutospacing="1"/>
      <w:jc w:val="left"/>
    </w:pPr>
    <w:rPr>
      <w:kern w:val="0"/>
      <w:szCs w:val="21"/>
    </w:rPr>
  </w:style>
  <w:style w:type="paragraph" w:customStyle="1" w:styleId="255">
    <w:name w:val="xl144"/>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rFonts w:ascii="宋体" w:hAnsi="宋体" w:cs="宋体"/>
      <w:kern w:val="0"/>
      <w:sz w:val="24"/>
    </w:rPr>
  </w:style>
  <w:style w:type="paragraph" w:customStyle="1" w:styleId="256">
    <w:name w:val="xl145"/>
    <w:basedOn w:val="1"/>
    <w:qFormat/>
    <w:uiPriority w:val="0"/>
    <w:pPr>
      <w:widowControl/>
      <w:pBdr>
        <w:left w:val="single" w:color="auto" w:sz="8" w:space="0"/>
        <w:bottom w:val="single" w:color="auto" w:sz="8" w:space="0"/>
      </w:pBdr>
      <w:spacing w:before="100" w:beforeAutospacing="1" w:after="100" w:afterAutospacing="1"/>
      <w:jc w:val="left"/>
    </w:pPr>
    <w:rPr>
      <w:rFonts w:ascii="宋体" w:hAnsi="宋体" w:cs="宋体"/>
      <w:kern w:val="0"/>
      <w:sz w:val="24"/>
    </w:rPr>
  </w:style>
  <w:style w:type="paragraph" w:customStyle="1" w:styleId="257">
    <w:name w:val="xl146"/>
    <w:basedOn w:val="1"/>
    <w:qFormat/>
    <w:uiPriority w:val="0"/>
    <w:pPr>
      <w:widowControl/>
      <w:pBdr>
        <w:left w:val="single" w:color="auto" w:sz="8" w:space="0"/>
        <w:bottom w:val="single" w:color="auto" w:sz="8" w:space="0"/>
      </w:pBdr>
      <w:spacing w:before="100" w:beforeAutospacing="1" w:after="100" w:afterAutospacing="1"/>
      <w:jc w:val="left"/>
    </w:pPr>
    <w:rPr>
      <w:rFonts w:ascii="宋体" w:hAnsi="宋体" w:cs="宋体"/>
      <w:color w:val="000000"/>
      <w:kern w:val="0"/>
      <w:szCs w:val="21"/>
    </w:rPr>
  </w:style>
  <w:style w:type="paragraph" w:customStyle="1" w:styleId="258">
    <w:name w:val="xl147"/>
    <w:basedOn w:val="1"/>
    <w:qFormat/>
    <w:uiPriority w:val="0"/>
    <w:pPr>
      <w:widowControl/>
      <w:pBdr>
        <w:left w:val="single" w:color="auto" w:sz="8" w:space="0"/>
      </w:pBdr>
      <w:spacing w:before="100" w:beforeAutospacing="1" w:after="100" w:afterAutospacing="1"/>
      <w:jc w:val="left"/>
    </w:pPr>
    <w:rPr>
      <w:rFonts w:ascii="宋体" w:hAnsi="宋体" w:cs="宋体"/>
      <w:kern w:val="0"/>
      <w:szCs w:val="21"/>
    </w:rPr>
  </w:style>
  <w:style w:type="paragraph" w:customStyle="1" w:styleId="259">
    <w:name w:val="xl148"/>
    <w:basedOn w:val="1"/>
    <w:qFormat/>
    <w:uiPriority w:val="0"/>
    <w:pPr>
      <w:widowControl/>
      <w:pBdr>
        <w:left w:val="single" w:color="auto" w:sz="8" w:space="0"/>
        <w:bottom w:val="single" w:color="auto" w:sz="8" w:space="0"/>
      </w:pBdr>
      <w:spacing w:before="100" w:beforeAutospacing="1" w:after="100" w:afterAutospacing="1"/>
      <w:jc w:val="left"/>
    </w:pPr>
    <w:rPr>
      <w:kern w:val="0"/>
      <w:szCs w:val="21"/>
    </w:rPr>
  </w:style>
  <w:style w:type="paragraph" w:customStyle="1" w:styleId="260">
    <w:name w:val="xl149"/>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61">
    <w:name w:val="xl150"/>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62">
    <w:name w:val="xl151"/>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63">
    <w:name w:val="xl152"/>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64">
    <w:name w:val="xl153"/>
    <w:basedOn w:val="1"/>
    <w:qFormat/>
    <w:uiPriority w:val="0"/>
    <w:pPr>
      <w:widowControl/>
      <w:pBdr>
        <w:right w:val="single" w:color="auto" w:sz="8" w:space="0"/>
      </w:pBdr>
      <w:spacing w:before="100" w:beforeAutospacing="1" w:after="100" w:afterAutospacing="1"/>
      <w:jc w:val="center"/>
    </w:pPr>
    <w:rPr>
      <w:rFonts w:ascii="宋体" w:hAnsi="宋体" w:cs="宋体"/>
      <w:kern w:val="0"/>
      <w:sz w:val="24"/>
    </w:rPr>
  </w:style>
  <w:style w:type="paragraph" w:customStyle="1" w:styleId="265">
    <w:name w:val="xl154"/>
    <w:basedOn w:val="1"/>
    <w:qFormat/>
    <w:uiPriority w:val="0"/>
    <w:pPr>
      <w:widowControl/>
      <w:spacing w:before="100" w:beforeAutospacing="1" w:after="100" w:afterAutospacing="1"/>
      <w:jc w:val="center"/>
    </w:pPr>
    <w:rPr>
      <w:rFonts w:ascii="宋体" w:hAnsi="宋体" w:cs="宋体"/>
      <w:kern w:val="0"/>
      <w:sz w:val="24"/>
    </w:rPr>
  </w:style>
  <w:style w:type="paragraph" w:customStyle="1" w:styleId="266">
    <w:name w:val="xl155"/>
    <w:basedOn w:val="1"/>
    <w:qFormat/>
    <w:uiPriority w:val="0"/>
    <w:pPr>
      <w:widowControl/>
      <w:pBdr>
        <w:top w:val="single" w:color="auto" w:sz="8" w:space="0"/>
        <w:left w:val="single" w:color="auto" w:sz="8" w:space="0"/>
      </w:pBdr>
      <w:spacing w:before="100" w:beforeAutospacing="1" w:after="100" w:afterAutospacing="1"/>
      <w:jc w:val="center"/>
    </w:pPr>
    <w:rPr>
      <w:rFonts w:ascii="宋体" w:hAnsi="宋体" w:cs="宋体"/>
      <w:kern w:val="0"/>
      <w:sz w:val="24"/>
    </w:rPr>
  </w:style>
  <w:style w:type="paragraph" w:customStyle="1" w:styleId="267">
    <w:name w:val="xl156"/>
    <w:basedOn w:val="1"/>
    <w:qFormat/>
    <w:uiPriority w:val="0"/>
    <w:pPr>
      <w:widowControl/>
      <w:pBdr>
        <w:top w:val="single" w:color="auto" w:sz="8" w:space="0"/>
      </w:pBdr>
      <w:spacing w:before="100" w:beforeAutospacing="1" w:after="100" w:afterAutospacing="1"/>
      <w:jc w:val="center"/>
    </w:pPr>
    <w:rPr>
      <w:rFonts w:ascii="宋体" w:hAnsi="宋体" w:cs="宋体"/>
      <w:kern w:val="0"/>
      <w:sz w:val="24"/>
    </w:rPr>
  </w:style>
  <w:style w:type="paragraph" w:customStyle="1" w:styleId="268">
    <w:name w:val="xl157"/>
    <w:basedOn w:val="1"/>
    <w:qFormat/>
    <w:uiPriority w:val="0"/>
    <w:pPr>
      <w:widowControl/>
      <w:pBdr>
        <w:top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69">
    <w:name w:val="xl158"/>
    <w:basedOn w:val="1"/>
    <w:qFormat/>
    <w:uiPriority w:val="0"/>
    <w:pPr>
      <w:widowControl/>
      <w:pBdr>
        <w:left w:val="single" w:color="auto" w:sz="8" w:space="0"/>
      </w:pBdr>
      <w:spacing w:before="100" w:beforeAutospacing="1" w:after="100" w:afterAutospacing="1"/>
      <w:jc w:val="center"/>
    </w:pPr>
    <w:rPr>
      <w:rFonts w:ascii="宋体" w:hAnsi="宋体" w:cs="宋体"/>
      <w:kern w:val="0"/>
      <w:sz w:val="24"/>
    </w:rPr>
  </w:style>
  <w:style w:type="paragraph" w:customStyle="1" w:styleId="270">
    <w:name w:val="xl159"/>
    <w:basedOn w:val="1"/>
    <w:qFormat/>
    <w:uiPriority w:val="0"/>
    <w:pPr>
      <w:widowControl/>
      <w:pBdr>
        <w:left w:val="single" w:color="auto" w:sz="8" w:space="0"/>
        <w:bottom w:val="single" w:color="auto" w:sz="8" w:space="0"/>
      </w:pBdr>
      <w:spacing w:before="100" w:beforeAutospacing="1" w:after="100" w:afterAutospacing="1"/>
      <w:jc w:val="center"/>
    </w:pPr>
    <w:rPr>
      <w:rFonts w:ascii="宋体" w:hAnsi="宋体" w:cs="宋体"/>
      <w:kern w:val="0"/>
      <w:sz w:val="24"/>
    </w:rPr>
  </w:style>
  <w:style w:type="paragraph" w:customStyle="1" w:styleId="271">
    <w:name w:val="xl160"/>
    <w:basedOn w:val="1"/>
    <w:qFormat/>
    <w:uiPriority w:val="0"/>
    <w:pPr>
      <w:widowControl/>
      <w:pBdr>
        <w:bottom w:val="single" w:color="auto" w:sz="8" w:space="0"/>
      </w:pBdr>
      <w:spacing w:before="100" w:beforeAutospacing="1" w:after="100" w:afterAutospacing="1"/>
      <w:jc w:val="center"/>
    </w:pPr>
    <w:rPr>
      <w:rFonts w:ascii="宋体" w:hAnsi="宋体" w:cs="宋体"/>
      <w:kern w:val="0"/>
      <w:sz w:val="24"/>
    </w:rPr>
  </w:style>
  <w:style w:type="paragraph" w:customStyle="1" w:styleId="272">
    <w:name w:val="xl161"/>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cs="宋体"/>
      <w:kern w:val="0"/>
      <w:sz w:val="24"/>
    </w:rPr>
  </w:style>
  <w:style w:type="paragraph" w:customStyle="1" w:styleId="273">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274">
    <w:name w:val="扉页（出版时间地点）"/>
    <w:basedOn w:val="1"/>
    <w:qFormat/>
    <w:uiPriority w:val="0"/>
    <w:pPr>
      <w:jc w:val="center"/>
    </w:pPr>
    <w:rPr>
      <w:rFonts w:eastAsia="黑体" w:cs="宋体"/>
      <w:szCs w:val="20"/>
    </w:rPr>
  </w:style>
  <w:style w:type="paragraph" w:customStyle="1" w:styleId="275">
    <w:name w:val="规程英文名称（封面）"/>
    <w:basedOn w:val="15"/>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276">
    <w:name w:val="标准扉页（标准名称）"/>
    <w:basedOn w:val="1"/>
    <w:qFormat/>
    <w:uiPriority w:val="0"/>
    <w:pPr>
      <w:jc w:val="center"/>
    </w:pPr>
    <w:rPr>
      <w:rFonts w:eastAsia="黑体"/>
      <w:sz w:val="30"/>
      <w:szCs w:val="20"/>
    </w:rPr>
  </w:style>
  <w:style w:type="paragraph" w:customStyle="1" w:styleId="277">
    <w:name w:val="标准扉页（福建省工程建设地方标准）"/>
    <w:basedOn w:val="1"/>
    <w:qFormat/>
    <w:uiPriority w:val="0"/>
    <w:pPr>
      <w:jc w:val="center"/>
    </w:pPr>
    <w:rPr>
      <w:rFonts w:eastAsia="黑体"/>
      <w:sz w:val="28"/>
      <w:szCs w:val="20"/>
    </w:rPr>
  </w:style>
  <w:style w:type="character" w:customStyle="1" w:styleId="278">
    <w:name w:val="纯文本 Char"/>
    <w:basedOn w:val="31"/>
    <w:link w:val="15"/>
    <w:qFormat/>
    <w:uiPriority w:val="0"/>
    <w:rPr>
      <w:rFonts w:hAnsi="Courier New" w:cs="Courier New" w:asciiTheme="minorEastAsia" w:eastAsiaTheme="minorEastAsia"/>
      <w:kern w:val="2"/>
      <w:sz w:val="21"/>
      <w:szCs w:val="24"/>
    </w:rPr>
  </w:style>
  <w:style w:type="character" w:customStyle="1" w:styleId="279">
    <w:name w:val="标题 2 Char"/>
    <w:basedOn w:val="31"/>
    <w:link w:val="3"/>
    <w:qFormat/>
    <w:uiPriority w:val="0"/>
    <w:rPr>
      <w:rFonts w:ascii="Arial" w:hAnsi="Arial" w:eastAsia="黑体"/>
      <w:b/>
      <w:bCs/>
      <w:kern w:val="2"/>
      <w:sz w:val="32"/>
      <w:szCs w:val="32"/>
    </w:rPr>
  </w:style>
  <w:style w:type="paragraph" w:customStyle="1" w:styleId="28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281">
    <w:name w:val="Unresolved Mention"/>
    <w:basedOn w:val="31"/>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6" Type="http://schemas.openxmlformats.org/officeDocument/2006/relationships/fontTable" Target="fontTable.xml"/><Relationship Id="rId55" Type="http://schemas.openxmlformats.org/officeDocument/2006/relationships/customXml" Target="../customXml/item2.xml"/><Relationship Id="rId54" Type="http://schemas.openxmlformats.org/officeDocument/2006/relationships/numbering" Target="numbering.xml"/><Relationship Id="rId53" Type="http://schemas.openxmlformats.org/officeDocument/2006/relationships/customXml" Target="../customXml/item1.xml"/><Relationship Id="rId52" Type="http://schemas.openxmlformats.org/officeDocument/2006/relationships/image" Target="media/image20.wmf"/><Relationship Id="rId51" Type="http://schemas.openxmlformats.org/officeDocument/2006/relationships/image" Target="media/image19.wmf"/><Relationship Id="rId50" Type="http://schemas.openxmlformats.org/officeDocument/2006/relationships/oleObject" Target="embeddings/oleObject19.bin"/><Relationship Id="rId5" Type="http://schemas.openxmlformats.org/officeDocument/2006/relationships/footer" Target="footer2.xml"/><Relationship Id="rId49" Type="http://schemas.openxmlformats.org/officeDocument/2006/relationships/image" Target="media/image18.wmf"/><Relationship Id="rId48" Type="http://schemas.openxmlformats.org/officeDocument/2006/relationships/oleObject" Target="embeddings/oleObject18.bin"/><Relationship Id="rId47" Type="http://schemas.openxmlformats.org/officeDocument/2006/relationships/image" Target="media/image17.wmf"/><Relationship Id="rId46" Type="http://schemas.openxmlformats.org/officeDocument/2006/relationships/oleObject" Target="embeddings/oleObject17.bin"/><Relationship Id="rId45" Type="http://schemas.openxmlformats.org/officeDocument/2006/relationships/image" Target="media/image16.wmf"/><Relationship Id="rId44" Type="http://schemas.openxmlformats.org/officeDocument/2006/relationships/oleObject" Target="embeddings/oleObject16.bin"/><Relationship Id="rId43" Type="http://schemas.openxmlformats.org/officeDocument/2006/relationships/image" Target="media/image15.wmf"/><Relationship Id="rId42" Type="http://schemas.openxmlformats.org/officeDocument/2006/relationships/oleObject" Target="embeddings/oleObject15.bin"/><Relationship Id="rId41" Type="http://schemas.openxmlformats.org/officeDocument/2006/relationships/image" Target="media/image14.wmf"/><Relationship Id="rId40" Type="http://schemas.openxmlformats.org/officeDocument/2006/relationships/oleObject" Target="embeddings/oleObject14.bin"/><Relationship Id="rId4" Type="http://schemas.openxmlformats.org/officeDocument/2006/relationships/footer" Target="footer1.xml"/><Relationship Id="rId39" Type="http://schemas.openxmlformats.org/officeDocument/2006/relationships/image" Target="media/image13.wmf"/><Relationship Id="rId38" Type="http://schemas.openxmlformats.org/officeDocument/2006/relationships/oleObject" Target="embeddings/oleObject13.bin"/><Relationship Id="rId37" Type="http://schemas.openxmlformats.org/officeDocument/2006/relationships/image" Target="media/image12.wmf"/><Relationship Id="rId36" Type="http://schemas.openxmlformats.org/officeDocument/2006/relationships/oleObject" Target="embeddings/oleObject12.bin"/><Relationship Id="rId35" Type="http://schemas.openxmlformats.org/officeDocument/2006/relationships/image" Target="media/image11.wmf"/><Relationship Id="rId34" Type="http://schemas.openxmlformats.org/officeDocument/2006/relationships/oleObject" Target="embeddings/oleObject11.bin"/><Relationship Id="rId33" Type="http://schemas.openxmlformats.org/officeDocument/2006/relationships/image" Target="media/image10.wmf"/><Relationship Id="rId32" Type="http://schemas.openxmlformats.org/officeDocument/2006/relationships/oleObject" Target="embeddings/oleObject10.bin"/><Relationship Id="rId31" Type="http://schemas.openxmlformats.org/officeDocument/2006/relationships/image" Target="media/image9.wmf"/><Relationship Id="rId30" Type="http://schemas.openxmlformats.org/officeDocument/2006/relationships/oleObject" Target="embeddings/oleObject9.bin"/><Relationship Id="rId3" Type="http://schemas.openxmlformats.org/officeDocument/2006/relationships/header" Target="header1.xml"/><Relationship Id="rId29" Type="http://schemas.openxmlformats.org/officeDocument/2006/relationships/image" Target="media/image8.wmf"/><Relationship Id="rId28" Type="http://schemas.openxmlformats.org/officeDocument/2006/relationships/oleObject" Target="embeddings/oleObject8.bin"/><Relationship Id="rId27" Type="http://schemas.openxmlformats.org/officeDocument/2006/relationships/image" Target="media/image7.wmf"/><Relationship Id="rId26" Type="http://schemas.openxmlformats.org/officeDocument/2006/relationships/oleObject" Target="embeddings/oleObject7.bin"/><Relationship Id="rId25" Type="http://schemas.openxmlformats.org/officeDocument/2006/relationships/image" Target="media/image6.wmf"/><Relationship Id="rId24" Type="http://schemas.openxmlformats.org/officeDocument/2006/relationships/oleObject" Target="embeddings/oleObject6.bin"/><Relationship Id="rId23" Type="http://schemas.openxmlformats.org/officeDocument/2006/relationships/image" Target="media/image5.wmf"/><Relationship Id="rId22" Type="http://schemas.openxmlformats.org/officeDocument/2006/relationships/oleObject" Target="embeddings/oleObject5.bin"/><Relationship Id="rId21" Type="http://schemas.openxmlformats.org/officeDocument/2006/relationships/oleObject" Target="embeddings/oleObject4.bin"/><Relationship Id="rId20" Type="http://schemas.openxmlformats.org/officeDocument/2006/relationships/image" Target="media/image4.wmf"/><Relationship Id="rId2" Type="http://schemas.openxmlformats.org/officeDocument/2006/relationships/settings" Target="settings.xml"/><Relationship Id="rId19" Type="http://schemas.openxmlformats.org/officeDocument/2006/relationships/oleObject" Target="embeddings/oleObject3.bin"/><Relationship Id="rId18" Type="http://schemas.openxmlformats.org/officeDocument/2006/relationships/image" Target="media/image3.wmf"/><Relationship Id="rId17" Type="http://schemas.openxmlformats.org/officeDocument/2006/relationships/oleObject" Target="embeddings/oleObject2.bin"/><Relationship Id="rId16" Type="http://schemas.openxmlformats.org/officeDocument/2006/relationships/image" Target="media/image2.wmf"/><Relationship Id="rId15" Type="http://schemas.openxmlformats.org/officeDocument/2006/relationships/oleObject" Target="embeddings/oleObject1.bin"/><Relationship Id="rId14" Type="http://schemas.openxmlformats.org/officeDocument/2006/relationships/image" Target="media/image1.emf"/><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Program%20Files\TDS\Tds.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tags>
    <s:tag s:spid="">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item s:name="KSO_WM_BEAUTIFY_FLAG" s:val=""/>
    </s:tag>
  </s:tag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8D77A8-0AC6-49AC-961A-CF98CD955629}">
  <ds:schemaRefs/>
</ds:datastoreItem>
</file>

<file path=docProps/app.xml><?xml version="1.0" encoding="utf-8"?>
<Properties xmlns="http://schemas.openxmlformats.org/officeDocument/2006/extended-properties" xmlns:vt="http://schemas.openxmlformats.org/officeDocument/2006/docPropsVTypes">
  <Template>Tds</Template>
  <Company>中国标准研究中心</Company>
  <Pages>21</Pages>
  <Words>613</Words>
  <Characters>1025</Characters>
  <Lines>164</Lines>
  <Paragraphs>46</Paragraphs>
  <TotalTime>21</TotalTime>
  <ScaleCrop>false</ScaleCrop>
  <LinksUpToDate>false</LinksUpToDate>
  <CharactersWithSpaces>1122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2023-05-22T06:44:00Z</dcterms:created>
  <dc:creator>Fan</dc:creator>
  <cp:lastModifiedBy>QKY</cp:lastModifiedBy>
  <cp:lastPrinted>2024-03-11T08:56:00Z</cp:lastPrinted>
  <dcterms:modified xsi:type="dcterms:W3CDTF">2024-10-29T14:15:51Z</dcterms:modified>
  <dc:title> </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BC1EF5EC38CA433BBF68B8CD29ECDA68_13</vt:lpwstr>
  </property>
  <property fmtid="{D5CDD505-2E9C-101B-9397-08002B2CF9AE}" pid="4" name="GrammarlyDocumentId">
    <vt:lpwstr>2d2bce529ae8e9408e124e692e9a24db51c4282a9c34bff047ea91216db1bd22</vt:lpwstr>
  </property>
</Properties>
</file>