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45D850">
      <w:pPr>
        <w:ind w:firstLine="210" w:firstLineChars="100"/>
        <w:jc w:val="left"/>
        <w:rPr>
          <w:rFonts w:ascii="黑体"/>
          <w:sz w:val="36"/>
          <w:szCs w:val="36"/>
        </w:rPr>
      </w:pPr>
      <w:r>
        <w:rPr>
          <w:szCs w:val="24"/>
        </w:rPr>
        <w:drawing>
          <wp:inline distT="0" distB="0" distL="0" distR="0">
            <wp:extent cx="1500505" cy="852805"/>
            <wp:effectExtent l="0" t="0" r="4445"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1"/>
                    <a:stretch>
                      <a:fillRect/>
                    </a:stretch>
                  </pic:blipFill>
                  <pic:spPr>
                    <a:xfrm>
                      <a:off x="0" y="0"/>
                      <a:ext cx="1501139" cy="853439"/>
                    </a:xfrm>
                    <a:prstGeom prst="rect">
                      <a:avLst/>
                    </a:prstGeom>
                    <a:noFill/>
                    <a:ln w="9525" cap="flat" cmpd="sng">
                      <a:noFill/>
                      <a:prstDash val="solid"/>
                      <a:round/>
                    </a:ln>
                  </pic:spPr>
                </pic:pic>
              </a:graphicData>
            </a:graphic>
          </wp:inline>
        </w:drawing>
      </w:r>
      <w:r>
        <w:rPr>
          <w:rFonts w:hint="eastAsia"/>
          <w:b/>
          <w:bCs/>
          <w:sz w:val="36"/>
          <w:szCs w:val="36"/>
        </w:rPr>
        <w:t xml:space="preserve">          Ｔ/CECS</w:t>
      </w:r>
      <w:r>
        <w:rPr>
          <w:b/>
          <w:bCs/>
          <w:sz w:val="36"/>
          <w:szCs w:val="36"/>
        </w:rPr>
        <w:t xml:space="preserve"> </w:t>
      </w:r>
      <w:r>
        <w:rPr>
          <w:rFonts w:hint="eastAsia"/>
          <w:b/>
          <w:bCs/>
          <w:sz w:val="36"/>
          <w:szCs w:val="36"/>
        </w:rPr>
        <w:t>1</w:t>
      </w:r>
      <w:r>
        <w:rPr>
          <w:rFonts w:hint="eastAsia" w:ascii="宋体"/>
          <w:sz w:val="36"/>
          <w:szCs w:val="36"/>
        </w:rPr>
        <w:t>×××-2</w:t>
      </w:r>
      <w:r>
        <w:rPr>
          <w:rFonts w:ascii="宋体"/>
          <w:sz w:val="36"/>
          <w:szCs w:val="36"/>
        </w:rPr>
        <w:t>02</w:t>
      </w:r>
      <w:r>
        <w:rPr>
          <w:rFonts w:hint="eastAsia" w:ascii="宋体"/>
          <w:sz w:val="36"/>
          <w:szCs w:val="36"/>
        </w:rPr>
        <w:t>×</w:t>
      </w:r>
    </w:p>
    <w:p w14:paraId="75885412">
      <w:pPr>
        <w:ind w:firstLine="420"/>
        <w:jc w:val="left"/>
        <w:rPr>
          <w:b/>
          <w:bCs/>
          <w:sz w:val="36"/>
          <w:szCs w:val="36"/>
        </w:rPr>
      </w:pPr>
      <w:r>
        <w:rPr>
          <w:rFonts w:hint="eastAsia"/>
          <w:b/>
          <w:bCs/>
          <w:sz w:val="36"/>
          <w:szCs w:val="36"/>
        </w:rPr>
        <w:t xml:space="preserve">     </w:t>
      </w:r>
    </w:p>
    <w:p w14:paraId="0A0E1CAC">
      <w:pPr>
        <w:spacing w:line="600" w:lineRule="exact"/>
        <w:ind w:firstLine="720"/>
        <w:jc w:val="center"/>
        <w:rPr>
          <w:rFonts w:ascii="宋体"/>
          <w:sz w:val="36"/>
          <w:szCs w:val="36"/>
        </w:rPr>
      </w:pPr>
      <w:bookmarkStart w:id="0" w:name="_Toc17326"/>
      <w:r>
        <w:rPr>
          <w:rFonts w:hint="eastAsia" w:ascii="宋体"/>
          <w:sz w:val="36"/>
          <w:szCs w:val="36"/>
        </w:rPr>
        <w:t>中国工程建设标准化协会标准</w:t>
      </w:r>
      <w:bookmarkEnd w:id="0"/>
    </w:p>
    <w:p w14:paraId="5A6E95C6">
      <w:pPr>
        <w:spacing w:line="600" w:lineRule="exact"/>
        <w:ind w:firstLine="960" w:firstLineChars="400"/>
        <w:rPr>
          <w:rFonts w:ascii="仿宋_GB2312" w:eastAsia="仿宋_GB2312"/>
          <w:sz w:val="24"/>
          <w:szCs w:val="24"/>
        </w:rPr>
      </w:pPr>
    </w:p>
    <w:p w14:paraId="5F74BBF9">
      <w:pPr>
        <w:spacing w:after="156" w:afterLines="50" w:line="600" w:lineRule="exact"/>
        <w:ind w:firstLine="0" w:firstLineChars="0"/>
        <w:rPr>
          <w:rFonts w:ascii="黑体" w:eastAsia="黑体"/>
          <w:sz w:val="48"/>
          <w:szCs w:val="48"/>
        </w:rPr>
      </w:pPr>
      <w:r>
        <w:rPr>
          <w:rFonts w:hint="eastAsia" w:ascii="黑体" w:eastAsia="黑体"/>
          <w:sz w:val="48"/>
          <w:szCs w:val="48"/>
        </w:rPr>
        <w:t>既有工业建筑民用化低碳改造评价标准</w:t>
      </w:r>
    </w:p>
    <w:p w14:paraId="1C5C20A4">
      <w:pPr>
        <w:spacing w:line="560" w:lineRule="exact"/>
        <w:ind w:firstLine="0" w:firstLineChars="0"/>
        <w:jc w:val="center"/>
        <w:rPr>
          <w:rFonts w:eastAsia="黑体"/>
          <w:sz w:val="30"/>
          <w:szCs w:val="30"/>
        </w:rPr>
      </w:pPr>
      <w:r>
        <w:rPr>
          <w:rFonts w:eastAsia="黑体"/>
          <w:sz w:val="30"/>
          <w:szCs w:val="30"/>
        </w:rPr>
        <w:t>Assessment standard for low-carbon retrofitting for civilian</w:t>
      </w:r>
    </w:p>
    <w:p w14:paraId="155CFD9C">
      <w:pPr>
        <w:spacing w:line="560" w:lineRule="exact"/>
        <w:ind w:firstLine="0" w:firstLineChars="0"/>
        <w:jc w:val="center"/>
        <w:rPr>
          <w:rFonts w:eastAsia="黑体"/>
          <w:sz w:val="30"/>
          <w:szCs w:val="30"/>
        </w:rPr>
      </w:pPr>
      <w:r>
        <w:rPr>
          <w:rFonts w:eastAsia="黑体"/>
          <w:sz w:val="30"/>
          <w:szCs w:val="30"/>
        </w:rPr>
        <w:t>use of existing industrial building</w:t>
      </w:r>
    </w:p>
    <w:p w14:paraId="2B7A0ED5">
      <w:pPr>
        <w:spacing w:line="380" w:lineRule="atLeast"/>
        <w:ind w:left="1" w:firstLine="600"/>
        <w:jc w:val="center"/>
        <w:rPr>
          <w:sz w:val="30"/>
          <w:szCs w:val="30"/>
        </w:rPr>
      </w:pPr>
    </w:p>
    <w:p w14:paraId="0497CDF6">
      <w:pPr>
        <w:spacing w:line="380" w:lineRule="atLeast"/>
        <w:ind w:firstLine="0"/>
        <w:jc w:val="center"/>
        <w:rPr>
          <w:rFonts w:ascii="宋体"/>
          <w:sz w:val="32"/>
          <w:szCs w:val="32"/>
        </w:rPr>
      </w:pPr>
      <w:r>
        <w:rPr>
          <w:rFonts w:hint="eastAsia" w:ascii="宋体"/>
          <w:sz w:val="32"/>
          <w:szCs w:val="32"/>
        </w:rPr>
        <w:t>（征求意见稿）</w:t>
      </w:r>
    </w:p>
    <w:p w14:paraId="4EC4FBE8">
      <w:pPr>
        <w:spacing w:line="380" w:lineRule="atLeast"/>
        <w:ind w:firstLine="640"/>
        <w:jc w:val="center"/>
        <w:rPr>
          <w:rFonts w:ascii="宋体"/>
          <w:sz w:val="32"/>
          <w:szCs w:val="32"/>
        </w:rPr>
      </w:pPr>
    </w:p>
    <w:p w14:paraId="7600CD31">
      <w:pPr>
        <w:spacing w:line="560" w:lineRule="exact"/>
        <w:rPr>
          <w:szCs w:val="24"/>
        </w:rPr>
      </w:pPr>
    </w:p>
    <w:p w14:paraId="17CCCFCF">
      <w:pPr>
        <w:spacing w:line="380" w:lineRule="atLeast"/>
        <w:ind w:firstLine="640"/>
        <w:jc w:val="center"/>
        <w:rPr>
          <w:rFonts w:ascii="宋体"/>
          <w:sz w:val="32"/>
          <w:szCs w:val="32"/>
        </w:rPr>
      </w:pPr>
    </w:p>
    <w:p w14:paraId="274CE72E">
      <w:pPr>
        <w:spacing w:line="380" w:lineRule="atLeast"/>
        <w:ind w:firstLine="640"/>
        <w:jc w:val="center"/>
        <w:rPr>
          <w:rFonts w:ascii="宋体"/>
          <w:sz w:val="32"/>
          <w:szCs w:val="32"/>
        </w:rPr>
      </w:pPr>
    </w:p>
    <w:p w14:paraId="4C4DA547">
      <w:pPr>
        <w:spacing w:line="380" w:lineRule="atLeast"/>
        <w:ind w:firstLine="640"/>
        <w:jc w:val="center"/>
        <w:rPr>
          <w:rFonts w:ascii="宋体"/>
          <w:sz w:val="32"/>
          <w:szCs w:val="32"/>
        </w:rPr>
      </w:pPr>
    </w:p>
    <w:p w14:paraId="59CA7F44">
      <w:pPr>
        <w:spacing w:line="380" w:lineRule="atLeast"/>
        <w:ind w:firstLine="640"/>
        <w:jc w:val="center"/>
        <w:rPr>
          <w:rFonts w:ascii="宋体"/>
          <w:sz w:val="32"/>
          <w:szCs w:val="32"/>
        </w:rPr>
      </w:pPr>
    </w:p>
    <w:p w14:paraId="488131D0">
      <w:pPr>
        <w:spacing w:line="380" w:lineRule="atLeast"/>
        <w:ind w:firstLine="640"/>
        <w:jc w:val="center"/>
        <w:rPr>
          <w:rFonts w:ascii="宋体"/>
          <w:sz w:val="32"/>
          <w:szCs w:val="32"/>
        </w:rPr>
      </w:pPr>
    </w:p>
    <w:p w14:paraId="1F60D7CC">
      <w:pPr>
        <w:spacing w:line="380" w:lineRule="atLeast"/>
        <w:ind w:firstLine="640"/>
        <w:jc w:val="center"/>
        <w:rPr>
          <w:rFonts w:ascii="宋体"/>
          <w:sz w:val="32"/>
          <w:szCs w:val="32"/>
        </w:rPr>
      </w:pPr>
    </w:p>
    <w:p w14:paraId="614381C7">
      <w:pPr>
        <w:spacing w:line="380" w:lineRule="atLeast"/>
        <w:ind w:left="0" w:firstLine="0"/>
        <w:jc w:val="center"/>
        <w:rPr>
          <w:rFonts w:ascii="宋体"/>
          <w:b/>
          <w:sz w:val="32"/>
          <w:szCs w:val="32"/>
        </w:rPr>
      </w:pPr>
      <w:r>
        <w:rPr>
          <w:rFonts w:hint="eastAsia" w:ascii="宋体"/>
          <w:b/>
          <w:sz w:val="32"/>
          <w:szCs w:val="32"/>
        </w:rPr>
        <w:t>××××××出版社</w:t>
      </w:r>
    </w:p>
    <w:p w14:paraId="75D692DF">
      <w:pPr>
        <w:spacing w:line="380" w:lineRule="atLeast"/>
        <w:ind w:left="2" w:firstLine="640"/>
        <w:jc w:val="center"/>
        <w:rPr>
          <w:rFonts w:ascii="宋体"/>
          <w:sz w:val="32"/>
          <w:szCs w:val="32"/>
        </w:rPr>
      </w:pPr>
    </w:p>
    <w:p w14:paraId="48958A18">
      <w:pPr>
        <w:spacing w:line="600" w:lineRule="exact"/>
        <w:ind w:firstLine="640"/>
        <w:jc w:val="center"/>
        <w:rPr>
          <w:rFonts w:ascii="宋体"/>
          <w:sz w:val="32"/>
          <w:szCs w:val="32"/>
        </w:rPr>
        <w:sectPr>
          <w:footerReference r:id="rId3" w:type="default"/>
          <w:pgSz w:w="11906" w:h="16838"/>
          <w:pgMar w:top="1440" w:right="1800" w:bottom="1440" w:left="1800" w:header="851" w:footer="992" w:gutter="0"/>
          <w:cols w:space="425" w:num="1"/>
          <w:docGrid w:type="lines" w:linePitch="312" w:charSpace="0"/>
        </w:sectPr>
      </w:pPr>
    </w:p>
    <w:p w14:paraId="38A4185B">
      <w:pPr>
        <w:spacing w:line="600" w:lineRule="exact"/>
        <w:ind w:firstLine="640"/>
        <w:jc w:val="center"/>
        <w:rPr>
          <w:rFonts w:ascii="宋体"/>
          <w:sz w:val="32"/>
          <w:szCs w:val="32"/>
        </w:rPr>
      </w:pPr>
    </w:p>
    <w:p w14:paraId="0A4733A1">
      <w:pPr>
        <w:spacing w:line="600" w:lineRule="exact"/>
        <w:ind w:firstLine="640"/>
        <w:jc w:val="center"/>
        <w:rPr>
          <w:rFonts w:ascii="宋体"/>
          <w:sz w:val="32"/>
          <w:szCs w:val="32"/>
        </w:rPr>
      </w:pPr>
    </w:p>
    <w:p w14:paraId="68944F6C">
      <w:pPr>
        <w:spacing w:line="600" w:lineRule="exact"/>
        <w:ind w:firstLine="640"/>
        <w:jc w:val="center"/>
        <w:rPr>
          <w:rFonts w:ascii="宋体"/>
          <w:sz w:val="32"/>
          <w:szCs w:val="32"/>
        </w:rPr>
      </w:pPr>
      <w:bookmarkStart w:id="1" w:name="_Toc21473"/>
      <w:r>
        <w:rPr>
          <w:rFonts w:hint="eastAsia" w:ascii="宋体"/>
          <w:sz w:val="32"/>
          <w:szCs w:val="32"/>
        </w:rPr>
        <w:t>中国工程建设标准化协会标准</w:t>
      </w:r>
      <w:bookmarkEnd w:id="1"/>
    </w:p>
    <w:p w14:paraId="1CB7DB52">
      <w:pPr>
        <w:spacing w:line="600" w:lineRule="exact"/>
        <w:ind w:firstLine="960" w:firstLineChars="400"/>
        <w:rPr>
          <w:rFonts w:ascii="仿宋_GB2312" w:eastAsia="仿宋_GB2312"/>
          <w:sz w:val="24"/>
          <w:szCs w:val="24"/>
        </w:rPr>
      </w:pPr>
    </w:p>
    <w:p w14:paraId="5465A0A5">
      <w:pPr>
        <w:spacing w:line="600" w:lineRule="exact"/>
        <w:ind w:firstLine="960" w:firstLineChars="400"/>
        <w:rPr>
          <w:rFonts w:ascii="仿宋_GB2312" w:eastAsia="仿宋_GB2312"/>
          <w:sz w:val="24"/>
          <w:szCs w:val="24"/>
        </w:rPr>
      </w:pPr>
    </w:p>
    <w:p w14:paraId="59D0BB32">
      <w:pPr>
        <w:spacing w:line="560" w:lineRule="exact"/>
        <w:ind w:firstLine="720"/>
        <w:rPr>
          <w:rFonts w:eastAsia="黑体"/>
          <w:sz w:val="36"/>
          <w:szCs w:val="36"/>
        </w:rPr>
      </w:pPr>
    </w:p>
    <w:p w14:paraId="37AA6487">
      <w:pPr>
        <w:spacing w:after="156" w:afterLines="50" w:line="600" w:lineRule="exact"/>
        <w:rPr>
          <w:rFonts w:ascii="黑体" w:eastAsia="黑体"/>
          <w:sz w:val="48"/>
          <w:szCs w:val="48"/>
        </w:rPr>
      </w:pPr>
      <w:r>
        <w:rPr>
          <w:rFonts w:hint="eastAsia" w:ascii="黑体" w:eastAsia="黑体"/>
          <w:sz w:val="48"/>
          <w:szCs w:val="48"/>
        </w:rPr>
        <w:t>既有工业建筑民用化低碳改造评价标准</w:t>
      </w:r>
    </w:p>
    <w:p w14:paraId="1EDF5015">
      <w:pPr>
        <w:spacing w:line="560" w:lineRule="exact"/>
        <w:ind w:firstLine="600"/>
        <w:jc w:val="center"/>
        <w:rPr>
          <w:rFonts w:eastAsia="黑体"/>
          <w:sz w:val="30"/>
          <w:szCs w:val="30"/>
        </w:rPr>
      </w:pPr>
      <w:r>
        <w:rPr>
          <w:rFonts w:eastAsia="黑体"/>
          <w:sz w:val="30"/>
          <w:szCs w:val="30"/>
        </w:rPr>
        <w:t>Assessment standard for low-carbon retrofitting for civilian</w:t>
      </w:r>
    </w:p>
    <w:p w14:paraId="78100294">
      <w:pPr>
        <w:spacing w:line="560" w:lineRule="exact"/>
        <w:ind w:firstLine="600"/>
        <w:jc w:val="center"/>
        <w:rPr>
          <w:rFonts w:eastAsia="黑体"/>
          <w:sz w:val="30"/>
          <w:szCs w:val="30"/>
        </w:rPr>
      </w:pPr>
      <w:r>
        <w:rPr>
          <w:rFonts w:eastAsia="黑体"/>
          <w:sz w:val="30"/>
          <w:szCs w:val="30"/>
        </w:rPr>
        <w:t xml:space="preserve">use of existing </w:t>
      </w:r>
      <w:r>
        <w:rPr>
          <w:rFonts w:hint="eastAsia" w:eastAsia="黑体"/>
          <w:sz w:val="30"/>
          <w:szCs w:val="30"/>
        </w:rPr>
        <w:t>i</w:t>
      </w:r>
      <w:r>
        <w:rPr>
          <w:rFonts w:eastAsia="黑体"/>
          <w:sz w:val="30"/>
          <w:szCs w:val="30"/>
        </w:rPr>
        <w:t>ndustrial building</w:t>
      </w:r>
    </w:p>
    <w:p w14:paraId="193FD683">
      <w:pPr>
        <w:spacing w:line="380" w:lineRule="atLeast"/>
        <w:ind w:left="1" w:firstLine="600"/>
        <w:jc w:val="center"/>
        <w:rPr>
          <w:sz w:val="30"/>
          <w:szCs w:val="30"/>
        </w:rPr>
      </w:pPr>
      <w:r>
        <w:rPr>
          <w:sz w:val="30"/>
          <w:szCs w:val="30"/>
        </w:rPr>
        <w:t xml:space="preserve"> </w:t>
      </w:r>
    </w:p>
    <w:p w14:paraId="4115250C">
      <w:pPr>
        <w:spacing w:line="380" w:lineRule="atLeast"/>
        <w:ind w:left="2" w:firstLine="640"/>
        <w:jc w:val="center"/>
        <w:rPr>
          <w:rFonts w:ascii="宋体"/>
          <w:sz w:val="32"/>
          <w:szCs w:val="32"/>
        </w:rPr>
      </w:pPr>
      <w:r>
        <w:rPr>
          <w:rFonts w:hint="eastAsia" w:ascii="宋体"/>
          <w:sz w:val="32"/>
          <w:szCs w:val="32"/>
        </w:rPr>
        <w:t>T/CECS 1×××-2</w:t>
      </w:r>
      <w:r>
        <w:rPr>
          <w:rFonts w:ascii="宋体"/>
          <w:sz w:val="32"/>
          <w:szCs w:val="32"/>
        </w:rPr>
        <w:t>02</w:t>
      </w:r>
      <w:r>
        <w:rPr>
          <w:rFonts w:hint="eastAsia" w:ascii="宋体"/>
          <w:sz w:val="32"/>
          <w:szCs w:val="32"/>
        </w:rPr>
        <w:t>×</w:t>
      </w:r>
    </w:p>
    <w:p w14:paraId="633B25CF">
      <w:pPr>
        <w:spacing w:line="380" w:lineRule="atLeast"/>
        <w:ind w:left="2" w:firstLine="640"/>
        <w:jc w:val="center"/>
        <w:rPr>
          <w:rFonts w:ascii="宋体"/>
          <w:sz w:val="32"/>
          <w:szCs w:val="32"/>
        </w:rPr>
      </w:pPr>
    </w:p>
    <w:p w14:paraId="6F2657FA">
      <w:pPr>
        <w:spacing w:line="380" w:lineRule="atLeast"/>
        <w:ind w:left="2" w:firstLine="640"/>
        <w:jc w:val="center"/>
        <w:rPr>
          <w:rFonts w:ascii="宋体"/>
          <w:sz w:val="32"/>
          <w:szCs w:val="32"/>
        </w:rPr>
      </w:pPr>
    </w:p>
    <w:p w14:paraId="2D0A1399">
      <w:pPr>
        <w:spacing w:line="360" w:lineRule="auto"/>
        <w:ind w:firstLine="840" w:firstLineChars="300"/>
        <w:rPr>
          <w:rFonts w:ascii="宋体"/>
          <w:sz w:val="28"/>
          <w:szCs w:val="28"/>
        </w:rPr>
      </w:pPr>
      <w:r>
        <w:rPr>
          <w:rFonts w:hint="eastAsia" w:ascii="宋体"/>
          <w:sz w:val="28"/>
          <w:szCs w:val="28"/>
        </w:rPr>
        <w:t>主编单位：中国建筑科学研究院有限公司</w:t>
      </w:r>
    </w:p>
    <w:p w14:paraId="769E9F22">
      <w:pPr>
        <w:ind w:firstLine="2240" w:firstLineChars="800"/>
        <w:rPr>
          <w:rFonts w:ascii="宋体"/>
          <w:sz w:val="28"/>
          <w:szCs w:val="28"/>
        </w:rPr>
      </w:pPr>
      <w:bookmarkStart w:id="2" w:name="_Toc24254"/>
      <w:r>
        <w:rPr>
          <w:rFonts w:ascii="宋体"/>
          <w:sz w:val="28"/>
          <w:szCs w:val="28"/>
        </w:rPr>
        <w:t>北京全联城市更新建设发展研究院有限公司</w:t>
      </w:r>
      <w:bookmarkEnd w:id="2"/>
    </w:p>
    <w:p w14:paraId="3E4BD14A">
      <w:pPr>
        <w:spacing w:line="360" w:lineRule="auto"/>
        <w:ind w:firstLine="840" w:firstLineChars="300"/>
        <w:rPr>
          <w:rFonts w:ascii="宋体"/>
          <w:sz w:val="28"/>
          <w:szCs w:val="28"/>
        </w:rPr>
      </w:pPr>
      <w:r>
        <w:rPr>
          <w:rFonts w:hint="eastAsia" w:ascii="宋体"/>
          <w:sz w:val="28"/>
          <w:szCs w:val="28"/>
        </w:rPr>
        <w:t>批准单位：中国工程建设标准化协会</w:t>
      </w:r>
    </w:p>
    <w:p w14:paraId="7DA8DA1F">
      <w:pPr>
        <w:spacing w:line="360" w:lineRule="auto"/>
        <w:ind w:firstLine="840" w:firstLineChars="300"/>
        <w:rPr>
          <w:rFonts w:ascii="宋体"/>
          <w:sz w:val="28"/>
          <w:szCs w:val="28"/>
        </w:rPr>
      </w:pPr>
      <w:r>
        <w:rPr>
          <w:rFonts w:hint="eastAsia" w:ascii="宋体"/>
          <w:sz w:val="28"/>
          <w:szCs w:val="28"/>
        </w:rPr>
        <w:t>施行日期：202X年XX月XX日</w:t>
      </w:r>
    </w:p>
    <w:p w14:paraId="51C4DA16">
      <w:pPr>
        <w:spacing w:line="380" w:lineRule="atLeast"/>
        <w:ind w:firstLine="640"/>
        <w:rPr>
          <w:rFonts w:ascii="宋体"/>
          <w:sz w:val="32"/>
          <w:szCs w:val="32"/>
        </w:rPr>
      </w:pPr>
    </w:p>
    <w:p w14:paraId="07EF5D88">
      <w:pPr>
        <w:spacing w:line="380" w:lineRule="atLeast"/>
        <w:ind w:firstLine="640"/>
        <w:rPr>
          <w:rFonts w:ascii="宋体"/>
          <w:sz w:val="32"/>
          <w:szCs w:val="32"/>
        </w:rPr>
      </w:pPr>
    </w:p>
    <w:p w14:paraId="04E3CE3A">
      <w:pPr>
        <w:spacing w:line="380" w:lineRule="atLeast"/>
        <w:ind w:firstLine="640"/>
        <w:rPr>
          <w:rFonts w:ascii="宋体"/>
          <w:sz w:val="32"/>
          <w:szCs w:val="32"/>
        </w:rPr>
      </w:pPr>
    </w:p>
    <w:p w14:paraId="326B33CE">
      <w:pPr>
        <w:spacing w:line="380" w:lineRule="atLeast"/>
        <w:ind w:left="2" w:firstLine="643"/>
        <w:jc w:val="center"/>
        <w:rPr>
          <w:rFonts w:ascii="宋体"/>
          <w:b/>
          <w:sz w:val="32"/>
          <w:szCs w:val="32"/>
        </w:rPr>
      </w:pPr>
      <w:r>
        <w:rPr>
          <w:rFonts w:hint="eastAsia" w:ascii="宋体"/>
          <w:b/>
          <w:sz w:val="32"/>
          <w:szCs w:val="32"/>
        </w:rPr>
        <w:t>××××××出版社</w:t>
      </w:r>
    </w:p>
    <w:p w14:paraId="55AF2A2B">
      <w:pPr>
        <w:spacing w:line="380" w:lineRule="atLeast"/>
        <w:jc w:val="center"/>
        <w:rPr>
          <w:rFonts w:ascii="宋体"/>
          <w:b/>
          <w:sz w:val="24"/>
          <w:szCs w:val="24"/>
        </w:rPr>
      </w:pPr>
      <w:r>
        <w:rPr>
          <w:rFonts w:ascii="宋体"/>
          <w:b/>
          <w:sz w:val="24"/>
          <w:szCs w:val="24"/>
        </w:rPr>
        <w:t xml:space="preserve">202X  </w:t>
      </w:r>
      <w:r>
        <w:rPr>
          <w:rFonts w:hint="eastAsia" w:ascii="宋体"/>
          <w:b/>
          <w:sz w:val="24"/>
          <w:szCs w:val="24"/>
        </w:rPr>
        <w:t>北京</w:t>
      </w:r>
    </w:p>
    <w:p w14:paraId="6F77FA8A">
      <w:pPr>
        <w:autoSpaceDE w:val="0"/>
        <w:autoSpaceDN w:val="0"/>
        <w:snapToGrid w:val="0"/>
        <w:spacing w:line="288" w:lineRule="auto"/>
        <w:ind w:firstLine="643"/>
        <w:jc w:val="center"/>
        <w:rPr>
          <w:b/>
          <w:bCs/>
          <w:kern w:val="44"/>
          <w:sz w:val="32"/>
          <w:szCs w:val="32"/>
        </w:rPr>
        <w:sectPr>
          <w:footerReference r:id="rId4" w:type="default"/>
          <w:pgSz w:w="11906" w:h="16838"/>
          <w:pgMar w:top="1440" w:right="1800" w:bottom="1440" w:left="1800" w:header="851" w:footer="992" w:gutter="0"/>
          <w:pgNumType w:start="1"/>
          <w:cols w:space="425" w:num="1"/>
          <w:docGrid w:type="lines" w:linePitch="312" w:charSpace="0"/>
        </w:sectPr>
      </w:pPr>
    </w:p>
    <w:p w14:paraId="40928E16">
      <w:pPr>
        <w:autoSpaceDE w:val="0"/>
        <w:autoSpaceDN w:val="0"/>
        <w:snapToGrid w:val="0"/>
        <w:spacing w:line="288" w:lineRule="auto"/>
        <w:jc w:val="center"/>
        <w:outlineLvl w:val="0"/>
        <w:rPr>
          <w:b/>
          <w:bCs/>
          <w:kern w:val="44"/>
          <w:sz w:val="32"/>
          <w:szCs w:val="32"/>
        </w:rPr>
      </w:pPr>
      <w:bookmarkStart w:id="3" w:name="_Toc29453"/>
      <w:bookmarkStart w:id="4" w:name="_Toc20356"/>
      <w:bookmarkStart w:id="5" w:name="_Toc22732"/>
      <w:bookmarkStart w:id="6" w:name="_Toc2539"/>
      <w:bookmarkStart w:id="7" w:name="_Toc16192"/>
      <w:bookmarkStart w:id="8" w:name="_Toc23370"/>
      <w:bookmarkStart w:id="9" w:name="_Toc3759"/>
      <w:bookmarkStart w:id="10" w:name="_Toc19033"/>
      <w:bookmarkStart w:id="11" w:name="_Toc9877"/>
      <w:bookmarkStart w:id="12" w:name="_Toc5491"/>
      <w:bookmarkStart w:id="13" w:name="_Toc1954"/>
      <w:bookmarkStart w:id="14" w:name="_Toc31846"/>
      <w:bookmarkStart w:id="15" w:name="_Toc18201"/>
      <w:bookmarkStart w:id="16" w:name="_Toc19362"/>
      <w:bookmarkStart w:id="17" w:name="_Toc16681"/>
      <w:bookmarkStart w:id="18" w:name="_Toc10354"/>
      <w:r>
        <w:rPr>
          <w:rFonts w:hint="eastAsia"/>
          <w:b/>
          <w:bCs/>
          <w:kern w:val="44"/>
          <w:sz w:val="32"/>
          <w:szCs w:val="32"/>
        </w:rPr>
        <w:t>前  言</w:t>
      </w:r>
      <w:bookmarkEnd w:id="3"/>
      <w:bookmarkEnd w:id="4"/>
      <w:bookmarkEnd w:id="5"/>
      <w:bookmarkEnd w:id="6"/>
      <w:bookmarkEnd w:id="7"/>
    </w:p>
    <w:p w14:paraId="5161B7C9">
      <w:pPr>
        <w:autoSpaceDE w:val="0"/>
        <w:autoSpaceDN w:val="0"/>
        <w:snapToGrid w:val="0"/>
        <w:spacing w:line="288" w:lineRule="auto"/>
        <w:ind w:firstLine="643"/>
        <w:rPr>
          <w:b/>
          <w:bCs/>
          <w:kern w:val="44"/>
          <w:sz w:val="32"/>
          <w:szCs w:val="32"/>
        </w:rPr>
      </w:pPr>
    </w:p>
    <w:p w14:paraId="2CD47309">
      <w:pPr>
        <w:snapToGrid w:val="0"/>
        <w:spacing w:line="360" w:lineRule="auto"/>
        <w:ind w:firstLine="480" w:firstLineChars="200"/>
        <w:rPr>
          <w:kern w:val="44"/>
          <w:sz w:val="24"/>
          <w:szCs w:val="24"/>
        </w:rPr>
      </w:pPr>
      <w:bookmarkStart w:id="19" w:name="_Toc1832"/>
      <w:r>
        <w:rPr>
          <w:rFonts w:hint="eastAsia"/>
          <w:kern w:val="44"/>
          <w:sz w:val="24"/>
          <w:szCs w:val="24"/>
        </w:rPr>
        <w:t>《既有工业建筑民用化低碳改造评价标准》（以下简称标准）是根据中国工程建设标准化协会《关于印发&lt;2022年第二批协会标准制订、修订计划&gt;的通知》（建标协字</w:t>
      </w:r>
      <w:r>
        <w:rPr>
          <w:rFonts w:hint="eastAsia" w:ascii="宋体" w:hAnsi="宋体"/>
          <w:kern w:val="44"/>
          <w:sz w:val="24"/>
          <w:szCs w:val="24"/>
        </w:rPr>
        <w:t>〔</w:t>
      </w:r>
      <w:r>
        <w:rPr>
          <w:rFonts w:hint="eastAsia"/>
          <w:kern w:val="44"/>
          <w:sz w:val="24"/>
          <w:szCs w:val="24"/>
        </w:rPr>
        <w:t>2022</w:t>
      </w:r>
      <w:r>
        <w:rPr>
          <w:rFonts w:hint="eastAsia" w:ascii="宋体" w:hAnsi="宋体"/>
          <w:kern w:val="44"/>
          <w:sz w:val="24"/>
          <w:szCs w:val="24"/>
        </w:rPr>
        <w:t>〕</w:t>
      </w:r>
      <w:r>
        <w:rPr>
          <w:rFonts w:hint="eastAsia"/>
          <w:kern w:val="44"/>
          <w:sz w:val="24"/>
          <w:szCs w:val="24"/>
        </w:rPr>
        <w:t>40号）的要求编制的。编制组经</w:t>
      </w:r>
      <w:r>
        <w:rPr>
          <w:rFonts w:hint="default"/>
          <w:kern w:val="44"/>
          <w:sz w:val="24"/>
          <w:szCs w:val="24"/>
          <w:lang w:val="en-US"/>
        </w:rPr>
        <w:t>广泛</w:t>
      </w:r>
      <w:r>
        <w:rPr>
          <w:rFonts w:hint="eastAsia"/>
          <w:kern w:val="44"/>
          <w:sz w:val="24"/>
          <w:szCs w:val="24"/>
        </w:rPr>
        <w:t>调查研究，认真总结实践经验，参考国内外先进标准，并在广泛征求意见的基础上，制定本标准。</w:t>
      </w:r>
      <w:bookmarkEnd w:id="19"/>
    </w:p>
    <w:p w14:paraId="6D4DF204">
      <w:pPr>
        <w:snapToGrid w:val="0"/>
        <w:spacing w:line="360" w:lineRule="auto"/>
        <w:ind w:firstLine="480" w:firstLineChars="200"/>
        <w:rPr>
          <w:kern w:val="44"/>
          <w:sz w:val="24"/>
          <w:szCs w:val="24"/>
        </w:rPr>
      </w:pPr>
      <w:bookmarkStart w:id="20" w:name="_Toc18542"/>
      <w:r>
        <w:rPr>
          <w:rFonts w:hint="eastAsia"/>
          <w:kern w:val="44"/>
          <w:sz w:val="24"/>
          <w:szCs w:val="24"/>
        </w:rPr>
        <w:t>本标准共分为8章</w:t>
      </w:r>
      <w:r>
        <w:rPr>
          <w:rFonts w:hint="eastAsia"/>
          <w:kern w:val="44"/>
          <w:sz w:val="24"/>
          <w:szCs w:val="24"/>
          <w:lang w:val="en-US" w:eastAsia="zh-CN"/>
        </w:rPr>
        <w:t>和1个附录</w:t>
      </w:r>
      <w:r>
        <w:rPr>
          <w:rFonts w:hint="eastAsia"/>
          <w:kern w:val="44"/>
          <w:sz w:val="24"/>
          <w:szCs w:val="24"/>
        </w:rPr>
        <w:t>，主要内容包括</w:t>
      </w:r>
      <w:r>
        <w:rPr>
          <w:rFonts w:hint="eastAsia"/>
          <w:kern w:val="44"/>
          <w:sz w:val="24"/>
          <w:szCs w:val="24"/>
          <w:lang w:eastAsia="zh-CN"/>
        </w:rPr>
        <w:t>：</w:t>
      </w:r>
      <w:r>
        <w:rPr>
          <w:rFonts w:hint="eastAsia"/>
          <w:kern w:val="44"/>
          <w:sz w:val="24"/>
          <w:szCs w:val="24"/>
        </w:rPr>
        <w:t>总则、术语、基本规定、场地与环境、建筑改造与利用、能源与水资源利用、建材与建造、提高与创新等。</w:t>
      </w:r>
      <w:bookmarkEnd w:id="20"/>
    </w:p>
    <w:p w14:paraId="624A63CF">
      <w:pPr>
        <w:snapToGrid w:val="0"/>
        <w:spacing w:line="360" w:lineRule="auto"/>
        <w:ind w:firstLine="480" w:firstLineChars="200"/>
        <w:rPr>
          <w:kern w:val="44"/>
          <w:sz w:val="24"/>
          <w:szCs w:val="24"/>
        </w:rPr>
      </w:pPr>
      <w:bookmarkStart w:id="21" w:name="_Toc15296"/>
      <w:r>
        <w:rPr>
          <w:rFonts w:hint="eastAsia"/>
          <w:kern w:val="44"/>
          <w:sz w:val="24"/>
          <w:szCs w:val="24"/>
        </w:rPr>
        <w:t>本标准的某些内容可能直接或间接涉及专利，本标准的发布机构不识别这些专利的责任。</w:t>
      </w:r>
      <w:bookmarkEnd w:id="21"/>
    </w:p>
    <w:p w14:paraId="5AE3ECD1">
      <w:pPr>
        <w:snapToGrid w:val="0"/>
        <w:spacing w:line="360" w:lineRule="auto"/>
        <w:ind w:firstLine="480" w:firstLineChars="200"/>
        <w:rPr>
          <w:rFonts w:hint="eastAsia" w:eastAsia="宋体"/>
          <w:kern w:val="44"/>
          <w:sz w:val="24"/>
          <w:szCs w:val="24"/>
          <w:lang w:val="en-US" w:eastAsia="zh-CN"/>
        </w:rPr>
      </w:pPr>
      <w:bookmarkStart w:id="22" w:name="_Toc10188"/>
      <w:r>
        <w:rPr>
          <w:rFonts w:hint="eastAsia"/>
          <w:kern w:val="44"/>
          <w:sz w:val="24"/>
          <w:szCs w:val="24"/>
        </w:rPr>
        <w:t>本标准由中国工程建设标准化协会绿色建筑与生态城区分会归口管理，由中国建筑科学研究院有限公司负责解释。执行过程中，如有意见或建</w:t>
      </w:r>
      <w:r>
        <w:rPr>
          <w:rFonts w:hint="eastAsia"/>
          <w:kern w:val="44"/>
          <w:sz w:val="24"/>
          <w:szCs w:val="24"/>
          <w:lang w:eastAsia="zh-CN"/>
        </w:rPr>
        <w:t>议</w:t>
      </w:r>
      <w:r>
        <w:rPr>
          <w:rFonts w:hint="eastAsia"/>
          <w:kern w:val="44"/>
          <w:sz w:val="24"/>
          <w:szCs w:val="24"/>
        </w:rPr>
        <w:t>，请反馈给中国建筑科学研究院有限公司（地址：</w:t>
      </w:r>
      <w:r>
        <w:rPr>
          <w:rFonts w:hint="eastAsia"/>
          <w:kern w:val="44"/>
          <w:sz w:val="24"/>
          <w:szCs w:val="24"/>
          <w:lang w:val="en-US" w:eastAsia="zh-CN"/>
        </w:rPr>
        <w:t>XXX，</w:t>
      </w:r>
      <w:r>
        <w:rPr>
          <w:rFonts w:hint="eastAsia"/>
          <w:kern w:val="44"/>
          <w:sz w:val="24"/>
          <w:szCs w:val="24"/>
        </w:rPr>
        <w:t>邮编：</w:t>
      </w:r>
      <w:r>
        <w:rPr>
          <w:rFonts w:hint="eastAsia"/>
          <w:kern w:val="44"/>
          <w:sz w:val="24"/>
          <w:szCs w:val="24"/>
          <w:lang w:val="en-US" w:eastAsia="zh-CN"/>
        </w:rPr>
        <w:t>XXX，</w:t>
      </w:r>
      <w:r>
        <w:rPr>
          <w:rFonts w:hint="eastAsia"/>
          <w:kern w:val="44"/>
          <w:sz w:val="24"/>
          <w:szCs w:val="24"/>
        </w:rPr>
        <w:t>邮箱：</w:t>
      </w:r>
      <w:r>
        <w:rPr>
          <w:rFonts w:hint="eastAsia"/>
          <w:kern w:val="44"/>
          <w:sz w:val="24"/>
          <w:szCs w:val="24"/>
          <w:lang w:val="en-US" w:eastAsia="zh-CN"/>
        </w:rPr>
        <w:t>XXX</w:t>
      </w:r>
      <w:r>
        <w:rPr>
          <w:rFonts w:hint="eastAsia"/>
          <w:kern w:val="44"/>
          <w:sz w:val="24"/>
          <w:szCs w:val="24"/>
        </w:rPr>
        <w:t>）</w:t>
      </w:r>
      <w:bookmarkEnd w:id="22"/>
      <w:r>
        <w:rPr>
          <w:rFonts w:hint="eastAsia"/>
          <w:kern w:val="44"/>
          <w:sz w:val="24"/>
          <w:szCs w:val="24"/>
          <w:lang w:eastAsia="zh-CN"/>
        </w:rPr>
        <w:t>。</w:t>
      </w:r>
    </w:p>
    <w:p w14:paraId="7500E7FD">
      <w:pPr>
        <w:snapToGrid w:val="0"/>
        <w:spacing w:line="360" w:lineRule="auto"/>
        <w:ind w:firstLine="482" w:firstLineChars="200"/>
        <w:rPr>
          <w:kern w:val="44"/>
          <w:sz w:val="24"/>
          <w:szCs w:val="24"/>
        </w:rPr>
      </w:pPr>
      <w:bookmarkStart w:id="23" w:name="_Toc3916"/>
      <w:r>
        <w:rPr>
          <w:rFonts w:hint="eastAsia"/>
          <w:b/>
          <w:bCs/>
          <w:kern w:val="44"/>
          <w:sz w:val="24"/>
          <w:szCs w:val="24"/>
        </w:rPr>
        <w:t>主编单位：</w:t>
      </w:r>
      <w:r>
        <w:rPr>
          <w:rFonts w:hint="eastAsia"/>
          <w:kern w:val="44"/>
          <w:sz w:val="24"/>
          <w:szCs w:val="24"/>
        </w:rPr>
        <w:t>中国建筑科学研究院有限公司</w:t>
      </w:r>
      <w:bookmarkEnd w:id="23"/>
    </w:p>
    <w:p w14:paraId="3ED0BB7D">
      <w:pPr>
        <w:snapToGrid w:val="0"/>
        <w:spacing w:line="360" w:lineRule="auto"/>
        <w:ind w:firstLine="1680" w:firstLineChars="700"/>
        <w:rPr>
          <w:kern w:val="44"/>
          <w:sz w:val="24"/>
          <w:szCs w:val="24"/>
        </w:rPr>
      </w:pPr>
      <w:bookmarkStart w:id="24" w:name="_Toc7373"/>
      <w:r>
        <w:rPr>
          <w:rFonts w:hint="eastAsia"/>
          <w:kern w:val="44"/>
          <w:sz w:val="24"/>
          <w:szCs w:val="24"/>
        </w:rPr>
        <w:t>北京全联城市更新建设发展研究院有限公司</w:t>
      </w:r>
      <w:bookmarkEnd w:id="24"/>
    </w:p>
    <w:p w14:paraId="68B57782">
      <w:pPr>
        <w:snapToGrid w:val="0"/>
        <w:spacing w:line="360" w:lineRule="auto"/>
        <w:ind w:firstLine="482" w:firstLineChars="200"/>
        <w:rPr>
          <w:rFonts w:hint="default" w:eastAsia="宋体"/>
          <w:kern w:val="44"/>
          <w:sz w:val="24"/>
          <w:szCs w:val="24"/>
          <w:lang w:val="en-US" w:eastAsia="zh-CN"/>
        </w:rPr>
      </w:pPr>
      <w:bookmarkStart w:id="25" w:name="_Toc4984"/>
      <w:r>
        <w:rPr>
          <w:rFonts w:hint="eastAsia"/>
          <w:b/>
          <w:bCs/>
          <w:kern w:val="44"/>
          <w:sz w:val="24"/>
          <w:szCs w:val="24"/>
        </w:rPr>
        <w:t>参编单位：</w:t>
      </w:r>
      <w:bookmarkEnd w:id="25"/>
      <w:r>
        <w:rPr>
          <w:rFonts w:hint="eastAsia"/>
          <w:b/>
          <w:bCs/>
          <w:kern w:val="44"/>
          <w:sz w:val="24"/>
          <w:szCs w:val="24"/>
          <w:lang w:val="en-US" w:eastAsia="zh-CN"/>
        </w:rPr>
        <w:t>XXX</w:t>
      </w:r>
    </w:p>
    <w:p w14:paraId="14B6B2E9">
      <w:pPr>
        <w:snapToGrid w:val="0"/>
        <w:spacing w:line="360" w:lineRule="auto"/>
        <w:ind w:firstLine="482" w:firstLineChars="200"/>
        <w:rPr>
          <w:rFonts w:hint="default" w:eastAsia="宋体"/>
          <w:b/>
          <w:bCs/>
          <w:kern w:val="44"/>
          <w:sz w:val="24"/>
          <w:szCs w:val="24"/>
          <w:lang w:val="en-US" w:eastAsia="zh-CN"/>
        </w:rPr>
      </w:pPr>
      <w:bookmarkStart w:id="26" w:name="_Toc26749"/>
      <w:r>
        <w:rPr>
          <w:rFonts w:hint="eastAsia"/>
          <w:b/>
          <w:bCs/>
          <w:kern w:val="44"/>
          <w:sz w:val="24"/>
          <w:szCs w:val="24"/>
        </w:rPr>
        <w:t>主要起草人：</w:t>
      </w:r>
      <w:bookmarkEnd w:id="26"/>
      <w:r>
        <w:rPr>
          <w:rFonts w:hint="eastAsia"/>
          <w:b/>
          <w:bCs/>
          <w:kern w:val="44"/>
          <w:sz w:val="24"/>
          <w:szCs w:val="24"/>
          <w:lang w:val="en-US" w:eastAsia="zh-CN"/>
        </w:rPr>
        <w:t>XXX</w:t>
      </w:r>
    </w:p>
    <w:p w14:paraId="52BB2BEF">
      <w:pPr>
        <w:snapToGrid w:val="0"/>
        <w:spacing w:line="360" w:lineRule="auto"/>
        <w:ind w:firstLine="482" w:firstLineChars="200"/>
        <w:rPr>
          <w:rFonts w:hint="default" w:eastAsia="宋体"/>
          <w:b/>
          <w:bCs/>
          <w:kern w:val="44"/>
          <w:sz w:val="24"/>
          <w:szCs w:val="24"/>
          <w:lang w:val="en-US" w:eastAsia="zh-CN"/>
        </w:rPr>
      </w:pPr>
      <w:r>
        <w:rPr>
          <w:rFonts w:hint="eastAsia" w:ascii="宋体"/>
          <w:b/>
          <w:bCs/>
          <w:sz w:val="24"/>
        </w:rPr>
        <w:t>主要审查人：</w:t>
      </w:r>
      <w:r>
        <w:rPr>
          <w:rFonts w:hint="eastAsia" w:ascii="宋体"/>
          <w:b/>
          <w:bCs/>
          <w:sz w:val="24"/>
          <w:lang w:val="en-US" w:eastAsia="zh-CN"/>
        </w:rPr>
        <w:t>xxx</w:t>
      </w:r>
    </w:p>
    <w:p w14:paraId="152133E9">
      <w:pPr>
        <w:autoSpaceDE w:val="0"/>
        <w:autoSpaceDN w:val="0"/>
        <w:snapToGrid w:val="0"/>
        <w:spacing w:line="288" w:lineRule="auto"/>
        <w:ind w:firstLine="643"/>
        <w:jc w:val="center"/>
        <w:rPr>
          <w:rFonts w:hint="default" w:eastAsia="宋体"/>
          <w:b/>
          <w:bCs/>
          <w:kern w:val="44"/>
          <w:sz w:val="32"/>
          <w:szCs w:val="32"/>
          <w:lang w:val="en-US" w:eastAsia="zh-CN"/>
        </w:rPr>
        <w:sectPr>
          <w:footerReference r:id="rId5" w:type="default"/>
          <w:pgSz w:w="11906" w:h="16838"/>
          <w:pgMar w:top="1440" w:right="1800" w:bottom="1440" w:left="1800" w:header="851" w:footer="992" w:gutter="0"/>
          <w:pgNumType w:start="1"/>
          <w:cols w:space="425" w:num="1"/>
          <w:docGrid w:type="lines" w:linePitch="312" w:charSpace="0"/>
        </w:sectPr>
      </w:pPr>
    </w:p>
    <w:p w14:paraId="011D8E62">
      <w:pPr>
        <w:autoSpaceDE w:val="0"/>
        <w:autoSpaceDN w:val="0"/>
        <w:snapToGrid w:val="0"/>
        <w:spacing w:line="288" w:lineRule="auto"/>
        <w:jc w:val="center"/>
        <w:outlineLvl w:val="0"/>
        <w:rPr>
          <w:b/>
          <w:bCs/>
          <w:kern w:val="44"/>
          <w:sz w:val="32"/>
          <w:szCs w:val="32"/>
        </w:rPr>
      </w:pPr>
      <w:bookmarkStart w:id="27" w:name="_Toc25030"/>
      <w:bookmarkStart w:id="28" w:name="_Toc25515"/>
      <w:bookmarkStart w:id="29" w:name="_Toc27530"/>
      <w:bookmarkStart w:id="30" w:name="_Toc27206"/>
      <w:bookmarkStart w:id="31" w:name="_Toc5766"/>
      <w:r>
        <w:rPr>
          <w:rFonts w:hint="eastAsia"/>
          <w:b/>
          <w:bCs/>
          <w:kern w:val="44"/>
          <w:sz w:val="32"/>
          <w:szCs w:val="32"/>
        </w:rPr>
        <w:t>目次</w:t>
      </w:r>
      <w:bookmarkEnd w:id="8"/>
      <w:bookmarkEnd w:id="9"/>
      <w:bookmarkEnd w:id="10"/>
      <w:bookmarkEnd w:id="11"/>
      <w:bookmarkEnd w:id="12"/>
      <w:bookmarkEnd w:id="13"/>
      <w:bookmarkEnd w:id="14"/>
      <w:bookmarkEnd w:id="15"/>
      <w:bookmarkEnd w:id="16"/>
      <w:bookmarkEnd w:id="17"/>
      <w:bookmarkEnd w:id="18"/>
      <w:bookmarkEnd w:id="27"/>
      <w:bookmarkEnd w:id="28"/>
      <w:bookmarkEnd w:id="29"/>
      <w:bookmarkEnd w:id="30"/>
      <w:bookmarkEnd w:id="31"/>
    </w:p>
    <w:sdt>
      <w:sdtPr>
        <w:rPr>
          <w:rFonts w:ascii="宋体" w:hAnsi="宋体"/>
        </w:rPr>
        <w:id w:val="147465577"/>
        <w15:color w:val="DBDBDB"/>
        <w:docPartObj>
          <w:docPartGallery w:val="Table of Contents"/>
          <w:docPartUnique/>
        </w:docPartObj>
      </w:sdtPr>
      <w:sdtEndPr>
        <w:rPr>
          <w:rFonts w:ascii="宋体" w:hAnsi="宋体"/>
          <w:b/>
        </w:rPr>
      </w:sdtEndPr>
      <w:sdtContent>
        <w:p w14:paraId="65EC0237">
          <w:pPr>
            <w:jc w:val="center"/>
          </w:pPr>
        </w:p>
        <w:p w14:paraId="1E498131">
          <w:pPr>
            <w:pStyle w:val="11"/>
            <w:tabs>
              <w:tab w:val="right" w:leader="dot" w:pos="8306"/>
            </w:tabs>
            <w:spacing w:line="360" w:lineRule="auto"/>
            <w:rPr>
              <w:rFonts w:hint="eastAsia" w:ascii="宋体" w:hAnsi="宋体" w:cs="宋体"/>
              <w:sz w:val="24"/>
              <w:szCs w:val="24"/>
            </w:rPr>
          </w:pPr>
          <w:r>
            <w:fldChar w:fldCharType="begin"/>
          </w:r>
          <w:r>
            <w:instrText xml:space="preserve">TOC \o "1-2" \h \u </w:instrText>
          </w:r>
          <w:r>
            <w:fldChar w:fldCharType="separate"/>
          </w:r>
          <w:r>
            <w:rPr>
              <w:rFonts w:hint="eastAsia" w:ascii="宋体" w:hAnsi="宋体" w:cs="宋体"/>
              <w:sz w:val="24"/>
              <w:szCs w:val="24"/>
            </w:rPr>
            <w:fldChar w:fldCharType="begin"/>
          </w:r>
          <w:r>
            <w:rPr>
              <w:rFonts w:hint="eastAsia" w:ascii="宋体" w:hAnsi="宋体" w:cs="宋体"/>
              <w:sz w:val="24"/>
              <w:szCs w:val="24"/>
            </w:rPr>
            <w:instrText xml:space="preserve"> HYPERLINK \l _Toc3701 </w:instrText>
          </w:r>
          <w:r>
            <w:rPr>
              <w:rFonts w:hint="eastAsia" w:ascii="宋体" w:hAnsi="宋体" w:cs="宋体"/>
              <w:sz w:val="24"/>
              <w:szCs w:val="24"/>
            </w:rPr>
            <w:fldChar w:fldCharType="separate"/>
          </w:r>
          <w:r>
            <w:rPr>
              <w:rFonts w:hint="eastAsia" w:ascii="宋体" w:hAnsi="宋体" w:cs="宋体"/>
              <w:bCs/>
              <w:kern w:val="44"/>
              <w:sz w:val="24"/>
              <w:szCs w:val="24"/>
            </w:rPr>
            <w:t>1</w:t>
          </w:r>
          <w:r>
            <w:rPr>
              <w:rFonts w:ascii="宋体" w:hAnsi="宋体" w:cs="宋体"/>
              <w:bCs/>
              <w:kern w:val="44"/>
              <w:sz w:val="24"/>
              <w:szCs w:val="24"/>
            </w:rPr>
            <w:t xml:space="preserve"> </w:t>
          </w:r>
          <w:r>
            <w:rPr>
              <w:rFonts w:hint="eastAsia" w:ascii="宋体" w:hAnsi="宋体" w:cs="宋体"/>
              <w:bCs/>
              <w:kern w:val="44"/>
              <w:sz w:val="24"/>
              <w:szCs w:val="24"/>
              <w:lang w:val="en-US" w:eastAsia="zh-CN"/>
            </w:rPr>
            <w:t xml:space="preserve"> </w:t>
          </w:r>
          <w:r>
            <w:rPr>
              <w:rFonts w:hint="eastAsia" w:ascii="宋体" w:hAnsi="宋体" w:cs="宋体"/>
              <w:bCs/>
              <w:kern w:val="44"/>
              <w:sz w:val="24"/>
              <w:szCs w:val="24"/>
            </w:rPr>
            <w:t>总则</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_Toc3701 \h </w:instrText>
          </w:r>
          <w:r>
            <w:rPr>
              <w:rFonts w:hint="eastAsia" w:ascii="宋体" w:hAnsi="宋体" w:cs="宋体"/>
              <w:sz w:val="24"/>
              <w:szCs w:val="24"/>
            </w:rPr>
            <w:fldChar w:fldCharType="separate"/>
          </w:r>
          <w:r>
            <w:rPr>
              <w:rFonts w:hint="eastAsia" w:ascii="宋体" w:hAnsi="宋体" w:cs="宋体"/>
              <w:sz w:val="24"/>
              <w:szCs w:val="24"/>
            </w:rPr>
            <w:t>1</w:t>
          </w:r>
          <w:r>
            <w:rPr>
              <w:rFonts w:hint="eastAsia" w:ascii="宋体" w:hAnsi="宋体" w:cs="宋体"/>
              <w:sz w:val="24"/>
              <w:szCs w:val="24"/>
            </w:rPr>
            <w:fldChar w:fldCharType="end"/>
          </w:r>
          <w:r>
            <w:rPr>
              <w:rFonts w:hint="eastAsia" w:ascii="宋体" w:hAnsi="宋体" w:cs="宋体"/>
              <w:sz w:val="24"/>
              <w:szCs w:val="24"/>
            </w:rPr>
            <w:fldChar w:fldCharType="end"/>
          </w:r>
        </w:p>
        <w:p w14:paraId="1EE5B2A5">
          <w:pPr>
            <w:pStyle w:val="11"/>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_Toc9671 </w:instrText>
          </w:r>
          <w:r>
            <w:rPr>
              <w:rFonts w:hint="eastAsia" w:ascii="宋体" w:hAnsi="宋体" w:cs="宋体"/>
              <w:sz w:val="24"/>
              <w:szCs w:val="24"/>
            </w:rPr>
            <w:fldChar w:fldCharType="separate"/>
          </w:r>
          <w:r>
            <w:rPr>
              <w:rFonts w:hint="eastAsia" w:ascii="宋体" w:hAnsi="宋体" w:cs="宋体"/>
              <w:bCs/>
              <w:kern w:val="44"/>
              <w:sz w:val="24"/>
              <w:szCs w:val="24"/>
            </w:rPr>
            <w:t>2</w:t>
          </w:r>
          <w:r>
            <w:rPr>
              <w:rFonts w:ascii="宋体" w:hAnsi="宋体" w:cs="宋体"/>
              <w:bCs/>
              <w:kern w:val="44"/>
              <w:sz w:val="24"/>
              <w:szCs w:val="24"/>
            </w:rPr>
            <w:t xml:space="preserve"> </w:t>
          </w:r>
          <w:r>
            <w:rPr>
              <w:rFonts w:hint="eastAsia" w:ascii="宋体" w:hAnsi="宋体" w:cs="宋体"/>
              <w:bCs/>
              <w:kern w:val="44"/>
              <w:sz w:val="24"/>
              <w:szCs w:val="24"/>
              <w:lang w:val="en-US" w:eastAsia="zh-CN"/>
            </w:rPr>
            <w:t xml:space="preserve"> </w:t>
          </w:r>
          <w:r>
            <w:rPr>
              <w:rFonts w:hint="eastAsia" w:ascii="宋体" w:hAnsi="宋体" w:cs="宋体"/>
              <w:bCs/>
              <w:kern w:val="44"/>
              <w:sz w:val="24"/>
              <w:szCs w:val="24"/>
            </w:rPr>
            <w:t>术语</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_Toc9671 \h </w:instrText>
          </w:r>
          <w:r>
            <w:rPr>
              <w:rFonts w:hint="eastAsia" w:ascii="宋体" w:hAnsi="宋体" w:cs="宋体"/>
              <w:sz w:val="24"/>
              <w:szCs w:val="24"/>
            </w:rPr>
            <w:fldChar w:fldCharType="separate"/>
          </w:r>
          <w:r>
            <w:rPr>
              <w:rFonts w:hint="eastAsia" w:ascii="宋体" w:hAnsi="宋体" w:cs="宋体"/>
              <w:sz w:val="24"/>
              <w:szCs w:val="24"/>
            </w:rPr>
            <w:t>2</w:t>
          </w:r>
          <w:r>
            <w:rPr>
              <w:rFonts w:hint="eastAsia" w:ascii="宋体" w:hAnsi="宋体" w:cs="宋体"/>
              <w:sz w:val="24"/>
              <w:szCs w:val="24"/>
            </w:rPr>
            <w:fldChar w:fldCharType="end"/>
          </w:r>
          <w:r>
            <w:rPr>
              <w:rFonts w:hint="eastAsia" w:ascii="宋体" w:hAnsi="宋体" w:cs="宋体"/>
              <w:sz w:val="24"/>
              <w:szCs w:val="24"/>
            </w:rPr>
            <w:fldChar w:fldCharType="end"/>
          </w:r>
        </w:p>
        <w:p w14:paraId="14825892">
          <w:pPr>
            <w:pStyle w:val="11"/>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_Toc4241 </w:instrText>
          </w:r>
          <w:r>
            <w:rPr>
              <w:rFonts w:hint="eastAsia" w:ascii="宋体" w:hAnsi="宋体" w:cs="宋体"/>
              <w:sz w:val="24"/>
              <w:szCs w:val="24"/>
            </w:rPr>
            <w:fldChar w:fldCharType="separate"/>
          </w:r>
          <w:r>
            <w:rPr>
              <w:rFonts w:hint="eastAsia" w:ascii="宋体" w:hAnsi="宋体" w:cs="宋体"/>
              <w:bCs/>
              <w:kern w:val="44"/>
              <w:sz w:val="24"/>
              <w:szCs w:val="24"/>
            </w:rPr>
            <w:t>3</w:t>
          </w:r>
          <w:r>
            <w:rPr>
              <w:rFonts w:ascii="宋体" w:hAnsi="宋体" w:cs="宋体"/>
              <w:bCs/>
              <w:kern w:val="44"/>
              <w:sz w:val="24"/>
              <w:szCs w:val="24"/>
            </w:rPr>
            <w:t xml:space="preserve"> </w:t>
          </w:r>
          <w:r>
            <w:rPr>
              <w:rFonts w:hint="eastAsia" w:ascii="宋体" w:hAnsi="宋体" w:cs="宋体"/>
              <w:bCs/>
              <w:kern w:val="44"/>
              <w:sz w:val="24"/>
              <w:szCs w:val="24"/>
              <w:lang w:val="en-US" w:eastAsia="zh-CN"/>
            </w:rPr>
            <w:t xml:space="preserve"> </w:t>
          </w:r>
          <w:r>
            <w:rPr>
              <w:rFonts w:hint="eastAsia" w:ascii="宋体" w:hAnsi="宋体" w:cs="宋体"/>
              <w:bCs/>
              <w:kern w:val="44"/>
              <w:sz w:val="24"/>
              <w:szCs w:val="24"/>
            </w:rPr>
            <w:t>基本规定</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_Toc4241 \h </w:instrText>
          </w:r>
          <w:r>
            <w:rPr>
              <w:rFonts w:hint="eastAsia" w:ascii="宋体" w:hAnsi="宋体" w:cs="宋体"/>
              <w:sz w:val="24"/>
              <w:szCs w:val="24"/>
            </w:rPr>
            <w:fldChar w:fldCharType="separate"/>
          </w:r>
          <w:r>
            <w:rPr>
              <w:rFonts w:hint="eastAsia" w:ascii="宋体" w:hAnsi="宋体" w:cs="宋体"/>
              <w:sz w:val="24"/>
              <w:szCs w:val="24"/>
            </w:rPr>
            <w:t>3</w:t>
          </w:r>
          <w:r>
            <w:rPr>
              <w:rFonts w:hint="eastAsia" w:ascii="宋体" w:hAnsi="宋体" w:cs="宋体"/>
              <w:sz w:val="24"/>
              <w:szCs w:val="24"/>
            </w:rPr>
            <w:fldChar w:fldCharType="end"/>
          </w:r>
          <w:r>
            <w:rPr>
              <w:rFonts w:hint="eastAsia" w:ascii="宋体" w:hAnsi="宋体" w:cs="宋体"/>
              <w:sz w:val="24"/>
              <w:szCs w:val="24"/>
            </w:rPr>
            <w:fldChar w:fldCharType="end"/>
          </w:r>
        </w:p>
        <w:p w14:paraId="48F6EBA5">
          <w:pPr>
            <w:pStyle w:val="12"/>
            <w:tabs>
              <w:tab w:val="right" w:leader="dot" w:pos="8306"/>
            </w:tabs>
            <w:spacing w:line="360" w:lineRule="auto"/>
            <w:rPr>
              <w:rFonts w:hint="eastAsia" w:ascii="宋体" w:hAnsi="宋体" w:cs="宋体"/>
              <w:sz w:val="21"/>
              <w:szCs w:val="21"/>
            </w:rPr>
          </w:pPr>
          <w:r>
            <w:rPr>
              <w:rFonts w:hint="eastAsia" w:ascii="宋体" w:hAnsi="宋体" w:cs="宋体"/>
              <w:sz w:val="21"/>
              <w:szCs w:val="21"/>
            </w:rPr>
            <w:fldChar w:fldCharType="begin"/>
          </w:r>
          <w:r>
            <w:rPr>
              <w:rFonts w:hint="eastAsia" w:ascii="宋体" w:hAnsi="宋体" w:cs="宋体"/>
              <w:sz w:val="21"/>
              <w:szCs w:val="21"/>
            </w:rPr>
            <w:instrText xml:space="preserve"> HYPERLINK \l _Toc3812 </w:instrText>
          </w:r>
          <w:r>
            <w:rPr>
              <w:rFonts w:hint="eastAsia" w:ascii="宋体" w:hAnsi="宋体" w:cs="宋体"/>
              <w:sz w:val="21"/>
              <w:szCs w:val="21"/>
            </w:rPr>
            <w:fldChar w:fldCharType="separate"/>
          </w:r>
          <w:r>
            <w:rPr>
              <w:rFonts w:hint="eastAsia" w:ascii="宋体" w:hAnsi="宋体" w:eastAsia="宋体" w:cs="宋体"/>
              <w:bCs/>
              <w:sz w:val="21"/>
              <w:szCs w:val="21"/>
            </w:rPr>
            <w:t>3.1  一般规定</w:t>
          </w:r>
          <w:r>
            <w:rPr>
              <w:rFonts w:hint="eastAsia" w:ascii="宋体" w:hAnsi="宋体" w:cs="宋体"/>
              <w:sz w:val="21"/>
              <w:szCs w:val="21"/>
            </w:rPr>
            <w:tab/>
          </w:r>
          <w:r>
            <w:rPr>
              <w:rFonts w:hint="eastAsia" w:ascii="宋体" w:hAnsi="宋体" w:cs="宋体"/>
              <w:sz w:val="21"/>
              <w:szCs w:val="21"/>
            </w:rPr>
            <w:fldChar w:fldCharType="begin"/>
          </w:r>
          <w:r>
            <w:rPr>
              <w:rFonts w:hint="eastAsia" w:ascii="宋体" w:hAnsi="宋体" w:cs="宋体"/>
              <w:sz w:val="21"/>
              <w:szCs w:val="21"/>
            </w:rPr>
            <w:instrText xml:space="preserve"> PAGEREF _Toc3812 \h </w:instrText>
          </w:r>
          <w:r>
            <w:rPr>
              <w:rFonts w:hint="eastAsia" w:ascii="宋体" w:hAnsi="宋体" w:cs="宋体"/>
              <w:sz w:val="21"/>
              <w:szCs w:val="21"/>
            </w:rPr>
            <w:fldChar w:fldCharType="separate"/>
          </w:r>
          <w:r>
            <w:rPr>
              <w:rFonts w:hint="eastAsia" w:ascii="宋体" w:hAnsi="宋体" w:cs="宋体"/>
              <w:sz w:val="21"/>
              <w:szCs w:val="21"/>
            </w:rPr>
            <w:t>3</w:t>
          </w:r>
          <w:r>
            <w:rPr>
              <w:rFonts w:hint="eastAsia" w:ascii="宋体" w:hAnsi="宋体" w:cs="宋体"/>
              <w:sz w:val="21"/>
              <w:szCs w:val="21"/>
            </w:rPr>
            <w:fldChar w:fldCharType="end"/>
          </w:r>
          <w:r>
            <w:rPr>
              <w:rFonts w:hint="eastAsia" w:ascii="宋体" w:hAnsi="宋体" w:cs="宋体"/>
              <w:sz w:val="21"/>
              <w:szCs w:val="21"/>
            </w:rPr>
            <w:fldChar w:fldCharType="end"/>
          </w:r>
        </w:p>
        <w:p w14:paraId="5D982E18">
          <w:pPr>
            <w:pStyle w:val="12"/>
            <w:tabs>
              <w:tab w:val="right" w:leader="dot" w:pos="8306"/>
            </w:tabs>
            <w:spacing w:line="360" w:lineRule="auto"/>
            <w:rPr>
              <w:rFonts w:hint="eastAsia" w:ascii="宋体" w:hAnsi="宋体" w:cs="宋体"/>
              <w:sz w:val="24"/>
              <w:szCs w:val="24"/>
            </w:rPr>
          </w:pPr>
          <w:r>
            <w:rPr>
              <w:rFonts w:hint="eastAsia" w:ascii="宋体" w:hAnsi="宋体" w:cs="宋体"/>
              <w:sz w:val="21"/>
              <w:szCs w:val="21"/>
            </w:rPr>
            <w:fldChar w:fldCharType="begin"/>
          </w:r>
          <w:r>
            <w:rPr>
              <w:rFonts w:hint="eastAsia" w:ascii="宋体" w:hAnsi="宋体" w:cs="宋体"/>
              <w:sz w:val="21"/>
              <w:szCs w:val="21"/>
            </w:rPr>
            <w:instrText xml:space="preserve"> HYPERLINK \l _Toc9477 </w:instrText>
          </w:r>
          <w:r>
            <w:rPr>
              <w:rFonts w:hint="eastAsia" w:ascii="宋体" w:hAnsi="宋体" w:cs="宋体"/>
              <w:sz w:val="21"/>
              <w:szCs w:val="21"/>
            </w:rPr>
            <w:fldChar w:fldCharType="separate"/>
          </w:r>
          <w:r>
            <w:rPr>
              <w:rFonts w:hint="eastAsia" w:ascii="宋体" w:hAnsi="宋体" w:eastAsia="宋体" w:cs="宋体"/>
              <w:bCs/>
              <w:sz w:val="21"/>
              <w:szCs w:val="21"/>
            </w:rPr>
            <w:t>3.2  评价与等级划分</w:t>
          </w:r>
          <w:r>
            <w:rPr>
              <w:rFonts w:hint="eastAsia" w:ascii="宋体" w:hAnsi="宋体" w:cs="宋体"/>
              <w:sz w:val="21"/>
              <w:szCs w:val="21"/>
            </w:rPr>
            <w:tab/>
          </w:r>
          <w:r>
            <w:rPr>
              <w:rFonts w:hint="eastAsia" w:ascii="宋体" w:hAnsi="宋体" w:cs="宋体"/>
              <w:sz w:val="21"/>
              <w:szCs w:val="21"/>
            </w:rPr>
            <w:fldChar w:fldCharType="begin"/>
          </w:r>
          <w:r>
            <w:rPr>
              <w:rFonts w:hint="eastAsia" w:ascii="宋体" w:hAnsi="宋体" w:cs="宋体"/>
              <w:sz w:val="21"/>
              <w:szCs w:val="21"/>
            </w:rPr>
            <w:instrText xml:space="preserve"> PAGEREF _Toc9477 \h </w:instrText>
          </w:r>
          <w:r>
            <w:rPr>
              <w:rFonts w:hint="eastAsia" w:ascii="宋体" w:hAnsi="宋体" w:cs="宋体"/>
              <w:sz w:val="21"/>
              <w:szCs w:val="21"/>
            </w:rPr>
            <w:fldChar w:fldCharType="separate"/>
          </w:r>
          <w:r>
            <w:rPr>
              <w:rFonts w:hint="eastAsia" w:ascii="宋体" w:hAnsi="宋体" w:cs="宋体"/>
              <w:sz w:val="21"/>
              <w:szCs w:val="21"/>
            </w:rPr>
            <w:t>3</w:t>
          </w:r>
          <w:r>
            <w:rPr>
              <w:rFonts w:hint="eastAsia" w:ascii="宋体" w:hAnsi="宋体" w:cs="宋体"/>
              <w:sz w:val="21"/>
              <w:szCs w:val="21"/>
            </w:rPr>
            <w:fldChar w:fldCharType="end"/>
          </w:r>
          <w:r>
            <w:rPr>
              <w:rFonts w:hint="eastAsia" w:ascii="宋体" w:hAnsi="宋体" w:cs="宋体"/>
              <w:sz w:val="21"/>
              <w:szCs w:val="21"/>
            </w:rPr>
            <w:fldChar w:fldCharType="end"/>
          </w:r>
        </w:p>
        <w:p w14:paraId="27471BA9">
          <w:pPr>
            <w:pStyle w:val="11"/>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_Toc1984 </w:instrText>
          </w:r>
          <w:r>
            <w:rPr>
              <w:rFonts w:hint="eastAsia" w:ascii="宋体" w:hAnsi="宋体" w:cs="宋体"/>
              <w:sz w:val="24"/>
              <w:szCs w:val="24"/>
            </w:rPr>
            <w:fldChar w:fldCharType="separate"/>
          </w:r>
          <w:r>
            <w:rPr>
              <w:rFonts w:hint="eastAsia" w:ascii="宋体" w:hAnsi="宋体" w:cs="宋体"/>
              <w:bCs/>
              <w:kern w:val="44"/>
              <w:sz w:val="24"/>
              <w:szCs w:val="24"/>
            </w:rPr>
            <w:t>4</w:t>
          </w:r>
          <w:r>
            <w:rPr>
              <w:rFonts w:ascii="宋体" w:hAnsi="宋体" w:cs="宋体"/>
              <w:bCs/>
              <w:kern w:val="44"/>
              <w:sz w:val="24"/>
              <w:szCs w:val="24"/>
            </w:rPr>
            <w:t xml:space="preserve"> </w:t>
          </w:r>
          <w:r>
            <w:rPr>
              <w:rFonts w:hint="eastAsia" w:ascii="宋体" w:hAnsi="宋体" w:cs="宋体"/>
              <w:bCs/>
              <w:kern w:val="44"/>
              <w:sz w:val="24"/>
              <w:szCs w:val="24"/>
              <w:lang w:val="en-US" w:eastAsia="zh-CN"/>
            </w:rPr>
            <w:t xml:space="preserve"> </w:t>
          </w:r>
          <w:r>
            <w:rPr>
              <w:rFonts w:hint="eastAsia" w:ascii="宋体" w:hAnsi="宋体" w:cs="宋体"/>
              <w:bCs/>
              <w:kern w:val="44"/>
              <w:sz w:val="24"/>
              <w:szCs w:val="24"/>
            </w:rPr>
            <w:t>场地与环境</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_Toc1984 \h </w:instrText>
          </w:r>
          <w:r>
            <w:rPr>
              <w:rFonts w:hint="eastAsia" w:ascii="宋体" w:hAnsi="宋体" w:cs="宋体"/>
              <w:sz w:val="24"/>
              <w:szCs w:val="24"/>
            </w:rPr>
            <w:fldChar w:fldCharType="separate"/>
          </w:r>
          <w:r>
            <w:rPr>
              <w:rFonts w:hint="eastAsia" w:ascii="宋体" w:hAnsi="宋体" w:cs="宋体"/>
              <w:sz w:val="24"/>
              <w:szCs w:val="24"/>
            </w:rPr>
            <w:t>5</w:t>
          </w:r>
          <w:r>
            <w:rPr>
              <w:rFonts w:hint="eastAsia" w:ascii="宋体" w:hAnsi="宋体" w:cs="宋体"/>
              <w:sz w:val="24"/>
              <w:szCs w:val="24"/>
            </w:rPr>
            <w:fldChar w:fldCharType="end"/>
          </w:r>
          <w:r>
            <w:rPr>
              <w:rFonts w:hint="eastAsia" w:ascii="宋体" w:hAnsi="宋体" w:cs="宋体"/>
              <w:sz w:val="24"/>
              <w:szCs w:val="24"/>
            </w:rPr>
            <w:fldChar w:fldCharType="end"/>
          </w:r>
        </w:p>
        <w:p w14:paraId="77D19249">
          <w:pPr>
            <w:pStyle w:val="12"/>
            <w:tabs>
              <w:tab w:val="right" w:leader="dot" w:pos="8306"/>
            </w:tabs>
            <w:spacing w:line="360" w:lineRule="auto"/>
            <w:rPr>
              <w:rFonts w:hint="eastAsia" w:ascii="宋体" w:hAnsi="宋体" w:cs="宋体"/>
              <w:sz w:val="21"/>
              <w:szCs w:val="21"/>
            </w:rPr>
          </w:pPr>
          <w:r>
            <w:rPr>
              <w:rFonts w:hint="eastAsia" w:ascii="宋体" w:hAnsi="宋体" w:cs="宋体"/>
              <w:sz w:val="21"/>
              <w:szCs w:val="21"/>
            </w:rPr>
            <w:fldChar w:fldCharType="begin"/>
          </w:r>
          <w:r>
            <w:rPr>
              <w:rFonts w:hint="eastAsia" w:ascii="宋体" w:hAnsi="宋体" w:cs="宋体"/>
              <w:sz w:val="21"/>
              <w:szCs w:val="21"/>
            </w:rPr>
            <w:instrText xml:space="preserve"> HYPERLINK \l _Toc9957 </w:instrText>
          </w:r>
          <w:r>
            <w:rPr>
              <w:rFonts w:hint="eastAsia" w:ascii="宋体" w:hAnsi="宋体" w:cs="宋体"/>
              <w:sz w:val="21"/>
              <w:szCs w:val="21"/>
            </w:rPr>
            <w:fldChar w:fldCharType="separate"/>
          </w:r>
          <w:r>
            <w:rPr>
              <w:rFonts w:hint="eastAsia" w:ascii="宋体" w:hAnsi="宋体" w:eastAsia="宋体" w:cs="宋体"/>
              <w:bCs/>
              <w:sz w:val="21"/>
              <w:szCs w:val="21"/>
            </w:rPr>
            <w:t>4.1</w:t>
          </w:r>
          <w:r>
            <w:rPr>
              <w:rFonts w:hint="eastAsia" w:ascii="宋体" w:hAnsi="宋体" w:cs="宋体"/>
              <w:bCs/>
              <w:sz w:val="21"/>
              <w:szCs w:val="21"/>
              <w:lang w:val="en-US" w:eastAsia="zh-CN"/>
            </w:rPr>
            <w:t xml:space="preserve">  </w:t>
          </w:r>
          <w:r>
            <w:rPr>
              <w:rFonts w:hint="eastAsia" w:ascii="宋体" w:hAnsi="宋体" w:eastAsia="宋体" w:cs="宋体"/>
              <w:bCs/>
              <w:sz w:val="21"/>
              <w:szCs w:val="21"/>
            </w:rPr>
            <w:t>控制项</w:t>
          </w:r>
          <w:r>
            <w:rPr>
              <w:rFonts w:hint="eastAsia" w:ascii="宋体" w:hAnsi="宋体" w:cs="宋体"/>
              <w:sz w:val="21"/>
              <w:szCs w:val="21"/>
            </w:rPr>
            <w:tab/>
          </w:r>
          <w:r>
            <w:rPr>
              <w:rFonts w:hint="eastAsia" w:ascii="宋体" w:hAnsi="宋体" w:cs="宋体"/>
              <w:sz w:val="21"/>
              <w:szCs w:val="21"/>
            </w:rPr>
            <w:fldChar w:fldCharType="begin"/>
          </w:r>
          <w:r>
            <w:rPr>
              <w:rFonts w:hint="eastAsia" w:ascii="宋体" w:hAnsi="宋体" w:cs="宋体"/>
              <w:sz w:val="21"/>
              <w:szCs w:val="21"/>
            </w:rPr>
            <w:instrText xml:space="preserve"> PAGEREF _Toc9957 \h </w:instrText>
          </w:r>
          <w:r>
            <w:rPr>
              <w:rFonts w:hint="eastAsia" w:ascii="宋体" w:hAnsi="宋体" w:cs="宋体"/>
              <w:sz w:val="21"/>
              <w:szCs w:val="21"/>
            </w:rPr>
            <w:fldChar w:fldCharType="separate"/>
          </w:r>
          <w:r>
            <w:rPr>
              <w:rFonts w:hint="eastAsia" w:ascii="宋体" w:hAnsi="宋体" w:cs="宋体"/>
              <w:sz w:val="21"/>
              <w:szCs w:val="21"/>
            </w:rPr>
            <w:t>5</w:t>
          </w:r>
          <w:r>
            <w:rPr>
              <w:rFonts w:hint="eastAsia" w:ascii="宋体" w:hAnsi="宋体" w:cs="宋体"/>
              <w:sz w:val="21"/>
              <w:szCs w:val="21"/>
            </w:rPr>
            <w:fldChar w:fldCharType="end"/>
          </w:r>
          <w:r>
            <w:rPr>
              <w:rFonts w:hint="eastAsia" w:ascii="宋体" w:hAnsi="宋体" w:cs="宋体"/>
              <w:sz w:val="21"/>
              <w:szCs w:val="21"/>
            </w:rPr>
            <w:fldChar w:fldCharType="end"/>
          </w:r>
        </w:p>
        <w:p w14:paraId="5B61F35E">
          <w:pPr>
            <w:pStyle w:val="12"/>
            <w:tabs>
              <w:tab w:val="right" w:leader="dot" w:pos="8306"/>
            </w:tabs>
            <w:spacing w:line="360" w:lineRule="auto"/>
            <w:rPr>
              <w:rFonts w:hint="eastAsia" w:ascii="宋体" w:hAnsi="宋体" w:cs="宋体"/>
              <w:sz w:val="24"/>
              <w:szCs w:val="24"/>
            </w:rPr>
          </w:pPr>
          <w:r>
            <w:rPr>
              <w:rFonts w:hint="eastAsia" w:ascii="宋体" w:hAnsi="宋体" w:cs="宋体"/>
              <w:sz w:val="21"/>
              <w:szCs w:val="21"/>
            </w:rPr>
            <w:fldChar w:fldCharType="begin"/>
          </w:r>
          <w:r>
            <w:rPr>
              <w:rFonts w:hint="eastAsia" w:ascii="宋体" w:hAnsi="宋体" w:cs="宋体"/>
              <w:sz w:val="21"/>
              <w:szCs w:val="21"/>
            </w:rPr>
            <w:instrText xml:space="preserve"> HYPERLINK \l _Toc3939 </w:instrText>
          </w:r>
          <w:r>
            <w:rPr>
              <w:rFonts w:hint="eastAsia" w:ascii="宋体" w:hAnsi="宋体" w:cs="宋体"/>
              <w:sz w:val="21"/>
              <w:szCs w:val="21"/>
            </w:rPr>
            <w:fldChar w:fldCharType="separate"/>
          </w:r>
          <w:r>
            <w:rPr>
              <w:rFonts w:hint="eastAsia" w:ascii="宋体" w:hAnsi="宋体" w:eastAsia="宋体" w:cs="宋体"/>
              <w:bCs/>
              <w:sz w:val="21"/>
              <w:szCs w:val="21"/>
            </w:rPr>
            <w:t>4.2</w:t>
          </w:r>
          <w:r>
            <w:rPr>
              <w:rFonts w:hint="eastAsia" w:ascii="宋体" w:hAnsi="宋体" w:cs="宋体"/>
              <w:bCs/>
              <w:sz w:val="21"/>
              <w:szCs w:val="21"/>
              <w:lang w:val="en-US" w:eastAsia="zh-CN"/>
            </w:rPr>
            <w:t xml:space="preserve">  </w:t>
          </w:r>
          <w:r>
            <w:rPr>
              <w:rFonts w:hint="eastAsia" w:ascii="宋体" w:hAnsi="宋体" w:eastAsia="宋体" w:cs="宋体"/>
              <w:bCs/>
              <w:sz w:val="21"/>
              <w:szCs w:val="21"/>
            </w:rPr>
            <w:t>评分项</w:t>
          </w:r>
          <w:r>
            <w:rPr>
              <w:rFonts w:hint="eastAsia" w:ascii="宋体" w:hAnsi="宋体" w:cs="宋体"/>
              <w:sz w:val="21"/>
              <w:szCs w:val="21"/>
            </w:rPr>
            <w:tab/>
          </w:r>
          <w:r>
            <w:rPr>
              <w:rFonts w:hint="eastAsia" w:ascii="宋体" w:hAnsi="宋体" w:cs="宋体"/>
              <w:sz w:val="21"/>
              <w:szCs w:val="21"/>
            </w:rPr>
            <w:fldChar w:fldCharType="begin"/>
          </w:r>
          <w:r>
            <w:rPr>
              <w:rFonts w:hint="eastAsia" w:ascii="宋体" w:hAnsi="宋体" w:cs="宋体"/>
              <w:sz w:val="21"/>
              <w:szCs w:val="21"/>
            </w:rPr>
            <w:instrText xml:space="preserve"> PAGEREF _Toc3939 \h </w:instrText>
          </w:r>
          <w:r>
            <w:rPr>
              <w:rFonts w:hint="eastAsia" w:ascii="宋体" w:hAnsi="宋体" w:cs="宋体"/>
              <w:sz w:val="21"/>
              <w:szCs w:val="21"/>
            </w:rPr>
            <w:fldChar w:fldCharType="separate"/>
          </w:r>
          <w:r>
            <w:rPr>
              <w:rFonts w:hint="eastAsia" w:ascii="宋体" w:hAnsi="宋体" w:cs="宋体"/>
              <w:sz w:val="21"/>
              <w:szCs w:val="21"/>
            </w:rPr>
            <w:t>5</w:t>
          </w:r>
          <w:r>
            <w:rPr>
              <w:rFonts w:hint="eastAsia" w:ascii="宋体" w:hAnsi="宋体" w:cs="宋体"/>
              <w:sz w:val="21"/>
              <w:szCs w:val="21"/>
            </w:rPr>
            <w:fldChar w:fldCharType="end"/>
          </w:r>
          <w:r>
            <w:rPr>
              <w:rFonts w:hint="eastAsia" w:ascii="宋体" w:hAnsi="宋体" w:cs="宋体"/>
              <w:sz w:val="21"/>
              <w:szCs w:val="21"/>
            </w:rPr>
            <w:fldChar w:fldCharType="end"/>
          </w:r>
        </w:p>
        <w:p w14:paraId="48266171">
          <w:pPr>
            <w:pStyle w:val="11"/>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_Toc28754 </w:instrText>
          </w:r>
          <w:r>
            <w:rPr>
              <w:rFonts w:hint="eastAsia" w:ascii="宋体" w:hAnsi="宋体" w:cs="宋体"/>
              <w:sz w:val="24"/>
              <w:szCs w:val="24"/>
            </w:rPr>
            <w:fldChar w:fldCharType="separate"/>
          </w:r>
          <w:r>
            <w:rPr>
              <w:rFonts w:hint="eastAsia" w:ascii="宋体" w:hAnsi="宋体" w:cs="宋体"/>
              <w:bCs/>
              <w:kern w:val="44"/>
              <w:sz w:val="24"/>
              <w:szCs w:val="24"/>
            </w:rPr>
            <w:t>5</w:t>
          </w:r>
          <w:r>
            <w:rPr>
              <w:rFonts w:ascii="宋体" w:hAnsi="宋体" w:cs="宋体"/>
              <w:bCs/>
              <w:kern w:val="44"/>
              <w:sz w:val="24"/>
              <w:szCs w:val="24"/>
            </w:rPr>
            <w:t xml:space="preserve"> </w:t>
          </w:r>
          <w:r>
            <w:rPr>
              <w:rFonts w:hint="eastAsia" w:ascii="宋体" w:hAnsi="宋体" w:cs="宋体"/>
              <w:bCs/>
              <w:kern w:val="44"/>
              <w:sz w:val="24"/>
              <w:szCs w:val="24"/>
              <w:lang w:val="en-US" w:eastAsia="zh-CN"/>
            </w:rPr>
            <w:t xml:space="preserve"> </w:t>
          </w:r>
          <w:r>
            <w:rPr>
              <w:rFonts w:hint="eastAsia" w:ascii="宋体" w:hAnsi="宋体" w:cs="宋体"/>
              <w:bCs/>
              <w:kern w:val="44"/>
              <w:sz w:val="24"/>
              <w:szCs w:val="24"/>
            </w:rPr>
            <w:t>建筑改造与利用</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_Toc28754 \h </w:instrText>
          </w:r>
          <w:r>
            <w:rPr>
              <w:rFonts w:hint="eastAsia" w:ascii="宋体" w:hAnsi="宋体" w:cs="宋体"/>
              <w:sz w:val="24"/>
              <w:szCs w:val="24"/>
            </w:rPr>
            <w:fldChar w:fldCharType="separate"/>
          </w:r>
          <w:r>
            <w:rPr>
              <w:rFonts w:hint="eastAsia" w:ascii="宋体" w:hAnsi="宋体" w:cs="宋体"/>
              <w:sz w:val="24"/>
              <w:szCs w:val="24"/>
            </w:rPr>
            <w:t>8</w:t>
          </w:r>
          <w:r>
            <w:rPr>
              <w:rFonts w:hint="eastAsia" w:ascii="宋体" w:hAnsi="宋体" w:cs="宋体"/>
              <w:sz w:val="24"/>
              <w:szCs w:val="24"/>
            </w:rPr>
            <w:fldChar w:fldCharType="end"/>
          </w:r>
          <w:r>
            <w:rPr>
              <w:rFonts w:hint="eastAsia" w:ascii="宋体" w:hAnsi="宋体" w:cs="宋体"/>
              <w:sz w:val="24"/>
              <w:szCs w:val="24"/>
            </w:rPr>
            <w:fldChar w:fldCharType="end"/>
          </w:r>
        </w:p>
        <w:p w14:paraId="22907DD9">
          <w:pPr>
            <w:pStyle w:val="12"/>
            <w:tabs>
              <w:tab w:val="right" w:leader="dot" w:pos="8306"/>
            </w:tabs>
            <w:spacing w:line="360" w:lineRule="auto"/>
            <w:rPr>
              <w:rFonts w:hint="eastAsia" w:ascii="宋体" w:hAnsi="宋体" w:cs="宋体"/>
              <w:sz w:val="21"/>
              <w:szCs w:val="21"/>
            </w:rPr>
          </w:pPr>
          <w:r>
            <w:rPr>
              <w:rFonts w:hint="eastAsia" w:ascii="宋体" w:hAnsi="宋体" w:cs="宋体"/>
              <w:sz w:val="21"/>
              <w:szCs w:val="21"/>
            </w:rPr>
            <w:fldChar w:fldCharType="begin"/>
          </w:r>
          <w:r>
            <w:rPr>
              <w:rFonts w:hint="eastAsia" w:ascii="宋体" w:hAnsi="宋体" w:cs="宋体"/>
              <w:sz w:val="21"/>
              <w:szCs w:val="21"/>
            </w:rPr>
            <w:instrText xml:space="preserve"> HYPERLINK \l _Toc31166 </w:instrText>
          </w:r>
          <w:r>
            <w:rPr>
              <w:rFonts w:hint="eastAsia" w:ascii="宋体" w:hAnsi="宋体" w:cs="宋体"/>
              <w:sz w:val="21"/>
              <w:szCs w:val="21"/>
            </w:rPr>
            <w:fldChar w:fldCharType="separate"/>
          </w:r>
          <w:r>
            <w:rPr>
              <w:rFonts w:hint="eastAsia" w:ascii="宋体" w:hAnsi="宋体" w:eastAsia="宋体" w:cs="宋体"/>
              <w:bCs/>
              <w:sz w:val="21"/>
              <w:szCs w:val="21"/>
            </w:rPr>
            <w:t>5.1</w:t>
          </w:r>
          <w:r>
            <w:rPr>
              <w:rFonts w:hint="eastAsia" w:ascii="宋体" w:hAnsi="宋体" w:cs="宋体"/>
              <w:bCs/>
              <w:sz w:val="21"/>
              <w:szCs w:val="21"/>
              <w:lang w:val="en-US" w:eastAsia="zh-CN"/>
            </w:rPr>
            <w:t xml:space="preserve">  </w:t>
          </w:r>
          <w:r>
            <w:rPr>
              <w:rFonts w:hint="eastAsia" w:ascii="宋体" w:hAnsi="宋体" w:eastAsia="宋体" w:cs="宋体"/>
              <w:bCs/>
              <w:sz w:val="21"/>
              <w:szCs w:val="21"/>
            </w:rPr>
            <w:t>控制项</w:t>
          </w:r>
          <w:r>
            <w:rPr>
              <w:rFonts w:hint="eastAsia" w:ascii="宋体" w:hAnsi="宋体" w:cs="宋体"/>
              <w:sz w:val="21"/>
              <w:szCs w:val="21"/>
            </w:rPr>
            <w:tab/>
          </w:r>
          <w:r>
            <w:rPr>
              <w:rFonts w:hint="eastAsia" w:ascii="宋体" w:hAnsi="宋体" w:cs="宋体"/>
              <w:sz w:val="21"/>
              <w:szCs w:val="21"/>
            </w:rPr>
            <w:fldChar w:fldCharType="begin"/>
          </w:r>
          <w:r>
            <w:rPr>
              <w:rFonts w:hint="eastAsia" w:ascii="宋体" w:hAnsi="宋体" w:cs="宋体"/>
              <w:sz w:val="21"/>
              <w:szCs w:val="21"/>
            </w:rPr>
            <w:instrText xml:space="preserve"> PAGEREF _Toc31166 \h </w:instrText>
          </w:r>
          <w:r>
            <w:rPr>
              <w:rFonts w:hint="eastAsia" w:ascii="宋体" w:hAnsi="宋体" w:cs="宋体"/>
              <w:sz w:val="21"/>
              <w:szCs w:val="21"/>
            </w:rPr>
            <w:fldChar w:fldCharType="separate"/>
          </w:r>
          <w:r>
            <w:rPr>
              <w:rFonts w:hint="eastAsia" w:ascii="宋体" w:hAnsi="宋体" w:cs="宋体"/>
              <w:sz w:val="21"/>
              <w:szCs w:val="21"/>
            </w:rPr>
            <w:t>8</w:t>
          </w:r>
          <w:r>
            <w:rPr>
              <w:rFonts w:hint="eastAsia" w:ascii="宋体" w:hAnsi="宋体" w:cs="宋体"/>
              <w:sz w:val="21"/>
              <w:szCs w:val="21"/>
            </w:rPr>
            <w:fldChar w:fldCharType="end"/>
          </w:r>
          <w:r>
            <w:rPr>
              <w:rFonts w:hint="eastAsia" w:ascii="宋体" w:hAnsi="宋体" w:cs="宋体"/>
              <w:sz w:val="21"/>
              <w:szCs w:val="21"/>
            </w:rPr>
            <w:fldChar w:fldCharType="end"/>
          </w:r>
        </w:p>
        <w:p w14:paraId="5450862C">
          <w:pPr>
            <w:pStyle w:val="12"/>
            <w:tabs>
              <w:tab w:val="right" w:leader="dot" w:pos="8306"/>
            </w:tabs>
            <w:spacing w:line="360" w:lineRule="auto"/>
            <w:rPr>
              <w:rFonts w:hint="eastAsia" w:ascii="宋体" w:hAnsi="宋体" w:cs="宋体"/>
              <w:sz w:val="24"/>
              <w:szCs w:val="24"/>
            </w:rPr>
          </w:pPr>
          <w:r>
            <w:rPr>
              <w:rFonts w:hint="eastAsia" w:ascii="宋体" w:hAnsi="宋体" w:cs="宋体"/>
              <w:sz w:val="21"/>
              <w:szCs w:val="21"/>
            </w:rPr>
            <w:fldChar w:fldCharType="begin"/>
          </w:r>
          <w:r>
            <w:rPr>
              <w:rFonts w:hint="eastAsia" w:ascii="宋体" w:hAnsi="宋体" w:cs="宋体"/>
              <w:sz w:val="21"/>
              <w:szCs w:val="21"/>
            </w:rPr>
            <w:instrText xml:space="preserve"> HYPERLINK \l _Toc9858 </w:instrText>
          </w:r>
          <w:r>
            <w:rPr>
              <w:rFonts w:hint="eastAsia" w:ascii="宋体" w:hAnsi="宋体" w:cs="宋体"/>
              <w:sz w:val="21"/>
              <w:szCs w:val="21"/>
            </w:rPr>
            <w:fldChar w:fldCharType="separate"/>
          </w:r>
          <w:r>
            <w:rPr>
              <w:rFonts w:hint="eastAsia" w:ascii="宋体" w:hAnsi="宋体" w:eastAsia="宋体" w:cs="宋体"/>
              <w:bCs/>
              <w:sz w:val="21"/>
              <w:szCs w:val="21"/>
            </w:rPr>
            <w:t>5.2</w:t>
          </w:r>
          <w:r>
            <w:rPr>
              <w:rFonts w:hint="eastAsia" w:ascii="宋体" w:hAnsi="宋体" w:cs="宋体"/>
              <w:bCs/>
              <w:sz w:val="21"/>
              <w:szCs w:val="21"/>
              <w:lang w:val="en-US" w:eastAsia="zh-CN"/>
            </w:rPr>
            <w:t xml:space="preserve">  </w:t>
          </w:r>
          <w:r>
            <w:rPr>
              <w:rFonts w:hint="eastAsia" w:ascii="宋体" w:hAnsi="宋体" w:eastAsia="宋体" w:cs="宋体"/>
              <w:bCs/>
              <w:sz w:val="21"/>
              <w:szCs w:val="21"/>
            </w:rPr>
            <w:t>评分项</w:t>
          </w:r>
          <w:r>
            <w:rPr>
              <w:rFonts w:hint="eastAsia" w:ascii="宋体" w:hAnsi="宋体" w:cs="宋体"/>
              <w:sz w:val="21"/>
              <w:szCs w:val="21"/>
            </w:rPr>
            <w:tab/>
          </w:r>
          <w:r>
            <w:rPr>
              <w:rFonts w:hint="eastAsia" w:ascii="宋体" w:hAnsi="宋体" w:cs="宋体"/>
              <w:sz w:val="21"/>
              <w:szCs w:val="21"/>
            </w:rPr>
            <w:fldChar w:fldCharType="begin"/>
          </w:r>
          <w:r>
            <w:rPr>
              <w:rFonts w:hint="eastAsia" w:ascii="宋体" w:hAnsi="宋体" w:cs="宋体"/>
              <w:sz w:val="21"/>
              <w:szCs w:val="21"/>
            </w:rPr>
            <w:instrText xml:space="preserve"> PAGEREF _Toc9858 \h </w:instrText>
          </w:r>
          <w:r>
            <w:rPr>
              <w:rFonts w:hint="eastAsia" w:ascii="宋体" w:hAnsi="宋体" w:cs="宋体"/>
              <w:sz w:val="21"/>
              <w:szCs w:val="21"/>
            </w:rPr>
            <w:fldChar w:fldCharType="separate"/>
          </w:r>
          <w:r>
            <w:rPr>
              <w:rFonts w:hint="eastAsia" w:ascii="宋体" w:hAnsi="宋体" w:cs="宋体"/>
              <w:sz w:val="21"/>
              <w:szCs w:val="21"/>
            </w:rPr>
            <w:t>8</w:t>
          </w:r>
          <w:r>
            <w:rPr>
              <w:rFonts w:hint="eastAsia" w:ascii="宋体" w:hAnsi="宋体" w:cs="宋体"/>
              <w:sz w:val="21"/>
              <w:szCs w:val="21"/>
            </w:rPr>
            <w:fldChar w:fldCharType="end"/>
          </w:r>
          <w:r>
            <w:rPr>
              <w:rFonts w:hint="eastAsia" w:ascii="宋体" w:hAnsi="宋体" w:cs="宋体"/>
              <w:sz w:val="21"/>
              <w:szCs w:val="21"/>
            </w:rPr>
            <w:fldChar w:fldCharType="end"/>
          </w:r>
        </w:p>
        <w:p w14:paraId="3DF03F5B">
          <w:pPr>
            <w:pStyle w:val="11"/>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_Toc7179 </w:instrText>
          </w:r>
          <w:r>
            <w:rPr>
              <w:rFonts w:hint="eastAsia" w:ascii="宋体" w:hAnsi="宋体" w:cs="宋体"/>
              <w:sz w:val="24"/>
              <w:szCs w:val="24"/>
            </w:rPr>
            <w:fldChar w:fldCharType="separate"/>
          </w:r>
          <w:r>
            <w:rPr>
              <w:rFonts w:hint="eastAsia" w:ascii="宋体" w:hAnsi="宋体" w:cs="宋体"/>
              <w:bCs/>
              <w:kern w:val="44"/>
              <w:sz w:val="24"/>
              <w:szCs w:val="24"/>
            </w:rPr>
            <w:t>6</w:t>
          </w:r>
          <w:r>
            <w:rPr>
              <w:rFonts w:ascii="宋体" w:hAnsi="宋体" w:cs="宋体"/>
              <w:bCs/>
              <w:kern w:val="44"/>
              <w:sz w:val="24"/>
              <w:szCs w:val="24"/>
            </w:rPr>
            <w:t xml:space="preserve"> </w:t>
          </w:r>
          <w:r>
            <w:rPr>
              <w:rFonts w:hint="eastAsia" w:ascii="宋体" w:hAnsi="宋体" w:cs="宋体"/>
              <w:bCs/>
              <w:kern w:val="44"/>
              <w:sz w:val="24"/>
              <w:szCs w:val="24"/>
              <w:lang w:val="en-US" w:eastAsia="zh-CN"/>
            </w:rPr>
            <w:t xml:space="preserve"> </w:t>
          </w:r>
          <w:r>
            <w:rPr>
              <w:rFonts w:hint="eastAsia" w:ascii="宋体" w:hAnsi="宋体" w:cs="宋体"/>
              <w:bCs/>
              <w:kern w:val="44"/>
              <w:sz w:val="24"/>
              <w:szCs w:val="24"/>
            </w:rPr>
            <w:t>能源与水资源利用</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_Toc7179 \h </w:instrText>
          </w:r>
          <w:r>
            <w:rPr>
              <w:rFonts w:hint="eastAsia" w:ascii="宋体" w:hAnsi="宋体" w:cs="宋体"/>
              <w:sz w:val="24"/>
              <w:szCs w:val="24"/>
            </w:rPr>
            <w:fldChar w:fldCharType="separate"/>
          </w:r>
          <w:r>
            <w:rPr>
              <w:rFonts w:hint="eastAsia" w:ascii="宋体" w:hAnsi="宋体" w:cs="宋体"/>
              <w:sz w:val="24"/>
              <w:szCs w:val="24"/>
            </w:rPr>
            <w:t>12</w:t>
          </w:r>
          <w:r>
            <w:rPr>
              <w:rFonts w:hint="eastAsia" w:ascii="宋体" w:hAnsi="宋体" w:cs="宋体"/>
              <w:sz w:val="24"/>
              <w:szCs w:val="24"/>
            </w:rPr>
            <w:fldChar w:fldCharType="end"/>
          </w:r>
          <w:r>
            <w:rPr>
              <w:rFonts w:hint="eastAsia" w:ascii="宋体" w:hAnsi="宋体" w:cs="宋体"/>
              <w:sz w:val="24"/>
              <w:szCs w:val="24"/>
            </w:rPr>
            <w:fldChar w:fldCharType="end"/>
          </w:r>
        </w:p>
        <w:p w14:paraId="43266AB8">
          <w:pPr>
            <w:pStyle w:val="12"/>
            <w:tabs>
              <w:tab w:val="right" w:leader="dot" w:pos="8306"/>
            </w:tabs>
            <w:spacing w:line="360" w:lineRule="auto"/>
            <w:rPr>
              <w:rFonts w:hint="eastAsia" w:ascii="宋体" w:hAnsi="宋体" w:cs="宋体"/>
              <w:sz w:val="21"/>
              <w:szCs w:val="21"/>
            </w:rPr>
          </w:pPr>
          <w:r>
            <w:rPr>
              <w:rFonts w:hint="eastAsia" w:ascii="宋体" w:hAnsi="宋体" w:cs="宋体"/>
              <w:sz w:val="21"/>
              <w:szCs w:val="21"/>
            </w:rPr>
            <w:fldChar w:fldCharType="begin"/>
          </w:r>
          <w:r>
            <w:rPr>
              <w:rFonts w:hint="eastAsia" w:ascii="宋体" w:hAnsi="宋体" w:cs="宋体"/>
              <w:sz w:val="21"/>
              <w:szCs w:val="21"/>
            </w:rPr>
            <w:instrText xml:space="preserve"> HYPERLINK \l _Toc801 </w:instrText>
          </w:r>
          <w:r>
            <w:rPr>
              <w:rFonts w:hint="eastAsia" w:ascii="宋体" w:hAnsi="宋体" w:cs="宋体"/>
              <w:sz w:val="21"/>
              <w:szCs w:val="21"/>
            </w:rPr>
            <w:fldChar w:fldCharType="separate"/>
          </w:r>
          <w:r>
            <w:rPr>
              <w:rFonts w:hint="eastAsia" w:ascii="宋体" w:hAnsi="宋体" w:eastAsia="宋体" w:cs="宋体"/>
              <w:bCs/>
              <w:sz w:val="21"/>
              <w:szCs w:val="21"/>
            </w:rPr>
            <w:t xml:space="preserve">6.1 </w:t>
          </w:r>
          <w:r>
            <w:rPr>
              <w:rFonts w:hint="eastAsia" w:ascii="宋体" w:hAnsi="宋体" w:cs="宋体"/>
              <w:bCs/>
              <w:sz w:val="21"/>
              <w:szCs w:val="21"/>
              <w:lang w:val="en-US" w:eastAsia="zh-CN"/>
            </w:rPr>
            <w:t xml:space="preserve"> </w:t>
          </w:r>
          <w:r>
            <w:rPr>
              <w:rFonts w:hint="eastAsia" w:ascii="宋体" w:hAnsi="宋体" w:eastAsia="宋体" w:cs="宋体"/>
              <w:bCs/>
              <w:sz w:val="21"/>
              <w:szCs w:val="21"/>
            </w:rPr>
            <w:t>控制项</w:t>
          </w:r>
          <w:r>
            <w:rPr>
              <w:rFonts w:hint="eastAsia" w:ascii="宋体" w:hAnsi="宋体" w:cs="宋体"/>
              <w:sz w:val="21"/>
              <w:szCs w:val="21"/>
            </w:rPr>
            <w:tab/>
          </w:r>
          <w:r>
            <w:rPr>
              <w:rFonts w:hint="eastAsia" w:ascii="宋体" w:hAnsi="宋体" w:cs="宋体"/>
              <w:sz w:val="21"/>
              <w:szCs w:val="21"/>
            </w:rPr>
            <w:fldChar w:fldCharType="begin"/>
          </w:r>
          <w:r>
            <w:rPr>
              <w:rFonts w:hint="eastAsia" w:ascii="宋体" w:hAnsi="宋体" w:cs="宋体"/>
              <w:sz w:val="21"/>
              <w:szCs w:val="21"/>
            </w:rPr>
            <w:instrText xml:space="preserve"> PAGEREF _Toc801 \h </w:instrText>
          </w:r>
          <w:r>
            <w:rPr>
              <w:rFonts w:hint="eastAsia" w:ascii="宋体" w:hAnsi="宋体" w:cs="宋体"/>
              <w:sz w:val="21"/>
              <w:szCs w:val="21"/>
            </w:rPr>
            <w:fldChar w:fldCharType="separate"/>
          </w:r>
          <w:r>
            <w:rPr>
              <w:rFonts w:hint="eastAsia" w:ascii="宋体" w:hAnsi="宋体" w:cs="宋体"/>
              <w:sz w:val="21"/>
              <w:szCs w:val="21"/>
            </w:rPr>
            <w:t>12</w:t>
          </w:r>
          <w:r>
            <w:rPr>
              <w:rFonts w:hint="eastAsia" w:ascii="宋体" w:hAnsi="宋体" w:cs="宋体"/>
              <w:sz w:val="21"/>
              <w:szCs w:val="21"/>
            </w:rPr>
            <w:fldChar w:fldCharType="end"/>
          </w:r>
          <w:r>
            <w:rPr>
              <w:rFonts w:hint="eastAsia" w:ascii="宋体" w:hAnsi="宋体" w:cs="宋体"/>
              <w:sz w:val="21"/>
              <w:szCs w:val="21"/>
            </w:rPr>
            <w:fldChar w:fldCharType="end"/>
          </w:r>
        </w:p>
        <w:p w14:paraId="655147E7">
          <w:pPr>
            <w:pStyle w:val="12"/>
            <w:tabs>
              <w:tab w:val="right" w:leader="dot" w:pos="8306"/>
            </w:tabs>
            <w:spacing w:line="360" w:lineRule="auto"/>
            <w:rPr>
              <w:rFonts w:hint="eastAsia" w:ascii="宋体" w:hAnsi="宋体" w:cs="宋体"/>
              <w:sz w:val="24"/>
              <w:szCs w:val="24"/>
            </w:rPr>
          </w:pPr>
          <w:r>
            <w:rPr>
              <w:rFonts w:hint="eastAsia" w:ascii="宋体" w:hAnsi="宋体" w:cs="宋体"/>
              <w:sz w:val="21"/>
              <w:szCs w:val="21"/>
            </w:rPr>
            <w:fldChar w:fldCharType="begin"/>
          </w:r>
          <w:r>
            <w:rPr>
              <w:rFonts w:hint="eastAsia" w:ascii="宋体" w:hAnsi="宋体" w:cs="宋体"/>
              <w:sz w:val="21"/>
              <w:szCs w:val="21"/>
            </w:rPr>
            <w:instrText xml:space="preserve"> HYPERLINK \l _Toc1342 </w:instrText>
          </w:r>
          <w:r>
            <w:rPr>
              <w:rFonts w:hint="eastAsia" w:ascii="宋体" w:hAnsi="宋体" w:cs="宋体"/>
              <w:sz w:val="21"/>
              <w:szCs w:val="21"/>
            </w:rPr>
            <w:fldChar w:fldCharType="separate"/>
          </w:r>
          <w:r>
            <w:rPr>
              <w:rFonts w:hint="eastAsia" w:ascii="宋体" w:hAnsi="宋体" w:eastAsia="宋体" w:cs="宋体"/>
              <w:bCs/>
              <w:sz w:val="21"/>
              <w:szCs w:val="21"/>
            </w:rPr>
            <w:t>6.2</w:t>
          </w:r>
          <w:r>
            <w:rPr>
              <w:rFonts w:hint="eastAsia" w:ascii="宋体" w:hAnsi="宋体" w:cs="宋体"/>
              <w:bCs/>
              <w:sz w:val="21"/>
              <w:szCs w:val="21"/>
              <w:lang w:val="en-US" w:eastAsia="zh-CN"/>
            </w:rPr>
            <w:t xml:space="preserve">  </w:t>
          </w:r>
          <w:r>
            <w:rPr>
              <w:rFonts w:hint="eastAsia" w:ascii="宋体" w:hAnsi="宋体" w:eastAsia="宋体" w:cs="宋体"/>
              <w:bCs/>
              <w:sz w:val="21"/>
              <w:szCs w:val="21"/>
            </w:rPr>
            <w:t>评分项</w:t>
          </w:r>
          <w:r>
            <w:rPr>
              <w:rFonts w:hint="eastAsia" w:ascii="宋体" w:hAnsi="宋体" w:cs="宋体"/>
              <w:sz w:val="21"/>
              <w:szCs w:val="21"/>
            </w:rPr>
            <w:tab/>
          </w:r>
          <w:r>
            <w:rPr>
              <w:rFonts w:hint="eastAsia" w:ascii="宋体" w:hAnsi="宋体" w:cs="宋体"/>
              <w:sz w:val="21"/>
              <w:szCs w:val="21"/>
            </w:rPr>
            <w:fldChar w:fldCharType="begin"/>
          </w:r>
          <w:r>
            <w:rPr>
              <w:rFonts w:hint="eastAsia" w:ascii="宋体" w:hAnsi="宋体" w:cs="宋体"/>
              <w:sz w:val="21"/>
              <w:szCs w:val="21"/>
            </w:rPr>
            <w:instrText xml:space="preserve"> PAGEREF _Toc1342 \h </w:instrText>
          </w:r>
          <w:r>
            <w:rPr>
              <w:rFonts w:hint="eastAsia" w:ascii="宋体" w:hAnsi="宋体" w:cs="宋体"/>
              <w:sz w:val="21"/>
              <w:szCs w:val="21"/>
            </w:rPr>
            <w:fldChar w:fldCharType="separate"/>
          </w:r>
          <w:r>
            <w:rPr>
              <w:rFonts w:hint="eastAsia" w:ascii="宋体" w:hAnsi="宋体" w:cs="宋体"/>
              <w:sz w:val="21"/>
              <w:szCs w:val="21"/>
            </w:rPr>
            <w:t>13</w:t>
          </w:r>
          <w:r>
            <w:rPr>
              <w:rFonts w:hint="eastAsia" w:ascii="宋体" w:hAnsi="宋体" w:cs="宋体"/>
              <w:sz w:val="21"/>
              <w:szCs w:val="21"/>
            </w:rPr>
            <w:fldChar w:fldCharType="end"/>
          </w:r>
          <w:r>
            <w:rPr>
              <w:rFonts w:hint="eastAsia" w:ascii="宋体" w:hAnsi="宋体" w:cs="宋体"/>
              <w:sz w:val="21"/>
              <w:szCs w:val="21"/>
            </w:rPr>
            <w:fldChar w:fldCharType="end"/>
          </w:r>
        </w:p>
        <w:p w14:paraId="544B51AE">
          <w:pPr>
            <w:pStyle w:val="11"/>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_Toc28031 </w:instrText>
          </w:r>
          <w:r>
            <w:rPr>
              <w:rFonts w:hint="eastAsia" w:ascii="宋体" w:hAnsi="宋体" w:cs="宋体"/>
              <w:sz w:val="24"/>
              <w:szCs w:val="24"/>
            </w:rPr>
            <w:fldChar w:fldCharType="separate"/>
          </w:r>
          <w:r>
            <w:rPr>
              <w:rFonts w:hint="eastAsia" w:ascii="宋体" w:hAnsi="宋体" w:cs="宋体"/>
              <w:bCs/>
              <w:kern w:val="44"/>
              <w:sz w:val="24"/>
              <w:szCs w:val="24"/>
            </w:rPr>
            <w:t>7</w:t>
          </w:r>
          <w:r>
            <w:rPr>
              <w:rFonts w:ascii="宋体" w:hAnsi="宋体" w:cs="宋体"/>
              <w:bCs/>
              <w:kern w:val="44"/>
              <w:sz w:val="24"/>
              <w:szCs w:val="24"/>
            </w:rPr>
            <w:t xml:space="preserve"> </w:t>
          </w:r>
          <w:r>
            <w:rPr>
              <w:rFonts w:hint="eastAsia" w:ascii="宋体" w:hAnsi="宋体" w:cs="宋体"/>
              <w:bCs/>
              <w:kern w:val="44"/>
              <w:sz w:val="24"/>
              <w:szCs w:val="24"/>
              <w:lang w:val="en-US" w:eastAsia="zh-CN"/>
            </w:rPr>
            <w:t xml:space="preserve"> </w:t>
          </w:r>
          <w:r>
            <w:rPr>
              <w:rFonts w:hint="eastAsia" w:ascii="宋体" w:hAnsi="宋体" w:cs="宋体"/>
              <w:bCs/>
              <w:kern w:val="44"/>
              <w:sz w:val="24"/>
              <w:szCs w:val="24"/>
            </w:rPr>
            <w:t>建材与建造</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_Toc28031 \h </w:instrText>
          </w:r>
          <w:r>
            <w:rPr>
              <w:rFonts w:hint="eastAsia" w:ascii="宋体" w:hAnsi="宋体" w:cs="宋体"/>
              <w:sz w:val="24"/>
              <w:szCs w:val="24"/>
            </w:rPr>
            <w:fldChar w:fldCharType="separate"/>
          </w:r>
          <w:r>
            <w:rPr>
              <w:rFonts w:hint="eastAsia" w:ascii="宋体" w:hAnsi="宋体" w:cs="宋体"/>
              <w:sz w:val="24"/>
              <w:szCs w:val="24"/>
            </w:rPr>
            <w:t>16</w:t>
          </w:r>
          <w:r>
            <w:rPr>
              <w:rFonts w:hint="eastAsia" w:ascii="宋体" w:hAnsi="宋体" w:cs="宋体"/>
              <w:sz w:val="24"/>
              <w:szCs w:val="24"/>
            </w:rPr>
            <w:fldChar w:fldCharType="end"/>
          </w:r>
          <w:r>
            <w:rPr>
              <w:rFonts w:hint="eastAsia" w:ascii="宋体" w:hAnsi="宋体" w:cs="宋体"/>
              <w:sz w:val="24"/>
              <w:szCs w:val="24"/>
            </w:rPr>
            <w:fldChar w:fldCharType="end"/>
          </w:r>
        </w:p>
        <w:p w14:paraId="01772476">
          <w:pPr>
            <w:pStyle w:val="12"/>
            <w:tabs>
              <w:tab w:val="right" w:leader="dot" w:pos="8306"/>
            </w:tabs>
            <w:spacing w:line="360" w:lineRule="auto"/>
            <w:rPr>
              <w:rFonts w:hint="eastAsia" w:ascii="宋体" w:hAnsi="宋体" w:cs="宋体"/>
              <w:sz w:val="21"/>
              <w:szCs w:val="21"/>
            </w:rPr>
          </w:pPr>
          <w:r>
            <w:rPr>
              <w:rFonts w:hint="eastAsia" w:ascii="宋体" w:hAnsi="宋体" w:cs="宋体"/>
              <w:sz w:val="21"/>
              <w:szCs w:val="21"/>
            </w:rPr>
            <w:fldChar w:fldCharType="begin"/>
          </w:r>
          <w:r>
            <w:rPr>
              <w:rFonts w:hint="eastAsia" w:ascii="宋体" w:hAnsi="宋体" w:cs="宋体"/>
              <w:sz w:val="21"/>
              <w:szCs w:val="21"/>
            </w:rPr>
            <w:instrText xml:space="preserve"> HYPERLINK \l _Toc27364 </w:instrText>
          </w:r>
          <w:r>
            <w:rPr>
              <w:rFonts w:hint="eastAsia" w:ascii="宋体" w:hAnsi="宋体" w:cs="宋体"/>
              <w:sz w:val="21"/>
              <w:szCs w:val="21"/>
            </w:rPr>
            <w:fldChar w:fldCharType="separate"/>
          </w:r>
          <w:r>
            <w:rPr>
              <w:rFonts w:hint="eastAsia" w:ascii="宋体" w:hAnsi="宋体" w:eastAsia="宋体" w:cs="宋体"/>
              <w:bCs/>
              <w:sz w:val="21"/>
              <w:szCs w:val="21"/>
            </w:rPr>
            <w:t>7.1</w:t>
          </w:r>
          <w:r>
            <w:rPr>
              <w:rFonts w:hint="eastAsia" w:ascii="宋体" w:hAnsi="宋体" w:cs="宋体"/>
              <w:bCs/>
              <w:sz w:val="21"/>
              <w:szCs w:val="21"/>
              <w:lang w:val="en-US" w:eastAsia="zh-CN"/>
            </w:rPr>
            <w:t xml:space="preserve">  </w:t>
          </w:r>
          <w:r>
            <w:rPr>
              <w:rFonts w:hint="eastAsia" w:ascii="宋体" w:hAnsi="宋体" w:eastAsia="宋体" w:cs="宋体"/>
              <w:bCs/>
              <w:sz w:val="21"/>
              <w:szCs w:val="21"/>
            </w:rPr>
            <w:t>控制项</w:t>
          </w:r>
          <w:r>
            <w:rPr>
              <w:rFonts w:hint="eastAsia" w:ascii="宋体" w:hAnsi="宋体" w:cs="宋体"/>
              <w:sz w:val="21"/>
              <w:szCs w:val="21"/>
            </w:rPr>
            <w:tab/>
          </w:r>
          <w:r>
            <w:rPr>
              <w:rFonts w:hint="eastAsia" w:ascii="宋体" w:hAnsi="宋体" w:cs="宋体"/>
              <w:sz w:val="21"/>
              <w:szCs w:val="21"/>
            </w:rPr>
            <w:fldChar w:fldCharType="begin"/>
          </w:r>
          <w:r>
            <w:rPr>
              <w:rFonts w:hint="eastAsia" w:ascii="宋体" w:hAnsi="宋体" w:cs="宋体"/>
              <w:sz w:val="21"/>
              <w:szCs w:val="21"/>
            </w:rPr>
            <w:instrText xml:space="preserve"> PAGEREF _Toc27364 \h </w:instrText>
          </w:r>
          <w:r>
            <w:rPr>
              <w:rFonts w:hint="eastAsia" w:ascii="宋体" w:hAnsi="宋体" w:cs="宋体"/>
              <w:sz w:val="21"/>
              <w:szCs w:val="21"/>
            </w:rPr>
            <w:fldChar w:fldCharType="separate"/>
          </w:r>
          <w:r>
            <w:rPr>
              <w:rFonts w:hint="eastAsia" w:ascii="宋体" w:hAnsi="宋体" w:cs="宋体"/>
              <w:sz w:val="21"/>
              <w:szCs w:val="21"/>
            </w:rPr>
            <w:t>16</w:t>
          </w:r>
          <w:r>
            <w:rPr>
              <w:rFonts w:hint="eastAsia" w:ascii="宋体" w:hAnsi="宋体" w:cs="宋体"/>
              <w:sz w:val="21"/>
              <w:szCs w:val="21"/>
            </w:rPr>
            <w:fldChar w:fldCharType="end"/>
          </w:r>
          <w:r>
            <w:rPr>
              <w:rFonts w:hint="eastAsia" w:ascii="宋体" w:hAnsi="宋体" w:cs="宋体"/>
              <w:sz w:val="21"/>
              <w:szCs w:val="21"/>
            </w:rPr>
            <w:fldChar w:fldCharType="end"/>
          </w:r>
        </w:p>
        <w:p w14:paraId="06ACBAC4">
          <w:pPr>
            <w:pStyle w:val="12"/>
            <w:tabs>
              <w:tab w:val="right" w:leader="dot" w:pos="8306"/>
            </w:tabs>
            <w:spacing w:line="360" w:lineRule="auto"/>
            <w:rPr>
              <w:rFonts w:hint="eastAsia" w:ascii="宋体" w:hAnsi="宋体" w:cs="宋体"/>
              <w:sz w:val="24"/>
              <w:szCs w:val="24"/>
            </w:rPr>
          </w:pPr>
          <w:r>
            <w:rPr>
              <w:rFonts w:hint="eastAsia" w:ascii="宋体" w:hAnsi="宋体" w:cs="宋体"/>
              <w:sz w:val="21"/>
              <w:szCs w:val="21"/>
            </w:rPr>
            <w:fldChar w:fldCharType="begin"/>
          </w:r>
          <w:r>
            <w:rPr>
              <w:rFonts w:hint="eastAsia" w:ascii="宋体" w:hAnsi="宋体" w:cs="宋体"/>
              <w:sz w:val="21"/>
              <w:szCs w:val="21"/>
            </w:rPr>
            <w:instrText xml:space="preserve"> HYPERLINK \l _Toc2665 </w:instrText>
          </w:r>
          <w:r>
            <w:rPr>
              <w:rFonts w:hint="eastAsia" w:ascii="宋体" w:hAnsi="宋体" w:cs="宋体"/>
              <w:sz w:val="21"/>
              <w:szCs w:val="21"/>
            </w:rPr>
            <w:fldChar w:fldCharType="separate"/>
          </w:r>
          <w:r>
            <w:rPr>
              <w:rFonts w:hint="eastAsia" w:ascii="宋体" w:hAnsi="宋体" w:eastAsia="宋体" w:cs="宋体"/>
              <w:bCs/>
              <w:sz w:val="21"/>
              <w:szCs w:val="21"/>
            </w:rPr>
            <w:t>7.2</w:t>
          </w:r>
          <w:r>
            <w:rPr>
              <w:rFonts w:hint="eastAsia" w:ascii="宋体" w:hAnsi="宋体" w:cs="宋体"/>
              <w:bCs/>
              <w:sz w:val="21"/>
              <w:szCs w:val="21"/>
              <w:lang w:val="en-US" w:eastAsia="zh-CN"/>
            </w:rPr>
            <w:t xml:space="preserve">  </w:t>
          </w:r>
          <w:r>
            <w:rPr>
              <w:rFonts w:hint="eastAsia" w:ascii="宋体" w:hAnsi="宋体" w:eastAsia="宋体" w:cs="宋体"/>
              <w:bCs/>
              <w:sz w:val="21"/>
              <w:szCs w:val="21"/>
            </w:rPr>
            <w:t>评分项</w:t>
          </w:r>
          <w:r>
            <w:rPr>
              <w:rFonts w:hint="eastAsia" w:ascii="宋体" w:hAnsi="宋体" w:cs="宋体"/>
              <w:sz w:val="21"/>
              <w:szCs w:val="21"/>
            </w:rPr>
            <w:tab/>
          </w:r>
          <w:r>
            <w:rPr>
              <w:rFonts w:hint="eastAsia" w:ascii="宋体" w:hAnsi="宋体" w:cs="宋体"/>
              <w:sz w:val="21"/>
              <w:szCs w:val="21"/>
            </w:rPr>
            <w:fldChar w:fldCharType="begin"/>
          </w:r>
          <w:r>
            <w:rPr>
              <w:rFonts w:hint="eastAsia" w:ascii="宋体" w:hAnsi="宋体" w:cs="宋体"/>
              <w:sz w:val="21"/>
              <w:szCs w:val="21"/>
            </w:rPr>
            <w:instrText xml:space="preserve"> PAGEREF _Toc2665 \h </w:instrText>
          </w:r>
          <w:r>
            <w:rPr>
              <w:rFonts w:hint="eastAsia" w:ascii="宋体" w:hAnsi="宋体" w:cs="宋体"/>
              <w:sz w:val="21"/>
              <w:szCs w:val="21"/>
            </w:rPr>
            <w:fldChar w:fldCharType="separate"/>
          </w:r>
          <w:r>
            <w:rPr>
              <w:rFonts w:hint="eastAsia" w:ascii="宋体" w:hAnsi="宋体" w:cs="宋体"/>
              <w:sz w:val="21"/>
              <w:szCs w:val="21"/>
            </w:rPr>
            <w:t>16</w:t>
          </w:r>
          <w:r>
            <w:rPr>
              <w:rFonts w:hint="eastAsia" w:ascii="宋体" w:hAnsi="宋体" w:cs="宋体"/>
              <w:sz w:val="21"/>
              <w:szCs w:val="21"/>
            </w:rPr>
            <w:fldChar w:fldCharType="end"/>
          </w:r>
          <w:r>
            <w:rPr>
              <w:rFonts w:hint="eastAsia" w:ascii="宋体" w:hAnsi="宋体" w:cs="宋体"/>
              <w:sz w:val="21"/>
              <w:szCs w:val="21"/>
            </w:rPr>
            <w:fldChar w:fldCharType="end"/>
          </w:r>
        </w:p>
        <w:p w14:paraId="218EC92E">
          <w:pPr>
            <w:pStyle w:val="11"/>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_Toc30252 </w:instrText>
          </w:r>
          <w:r>
            <w:rPr>
              <w:rFonts w:hint="eastAsia" w:ascii="宋体" w:hAnsi="宋体" w:cs="宋体"/>
              <w:sz w:val="24"/>
              <w:szCs w:val="24"/>
            </w:rPr>
            <w:fldChar w:fldCharType="separate"/>
          </w:r>
          <w:r>
            <w:rPr>
              <w:rFonts w:hint="eastAsia" w:ascii="宋体" w:hAnsi="宋体" w:cs="宋体"/>
              <w:bCs/>
              <w:kern w:val="44"/>
              <w:sz w:val="24"/>
              <w:szCs w:val="24"/>
            </w:rPr>
            <w:t>8</w:t>
          </w:r>
          <w:r>
            <w:rPr>
              <w:rFonts w:ascii="宋体" w:hAnsi="宋体" w:cs="宋体"/>
              <w:bCs/>
              <w:kern w:val="44"/>
              <w:sz w:val="24"/>
              <w:szCs w:val="24"/>
            </w:rPr>
            <w:t xml:space="preserve"> </w:t>
          </w:r>
          <w:r>
            <w:rPr>
              <w:rFonts w:hint="eastAsia" w:ascii="宋体" w:hAnsi="宋体" w:cs="宋体"/>
              <w:bCs/>
              <w:kern w:val="44"/>
              <w:sz w:val="24"/>
              <w:szCs w:val="24"/>
              <w:lang w:val="en-US" w:eastAsia="zh-CN"/>
            </w:rPr>
            <w:t xml:space="preserve"> </w:t>
          </w:r>
          <w:r>
            <w:rPr>
              <w:rFonts w:hint="eastAsia" w:ascii="宋体" w:hAnsi="宋体" w:cs="宋体"/>
              <w:bCs/>
              <w:kern w:val="44"/>
              <w:sz w:val="24"/>
              <w:szCs w:val="24"/>
            </w:rPr>
            <w:t>提高与创新</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_Toc30252 \h </w:instrText>
          </w:r>
          <w:r>
            <w:rPr>
              <w:rFonts w:hint="eastAsia" w:ascii="宋体" w:hAnsi="宋体" w:cs="宋体"/>
              <w:sz w:val="24"/>
              <w:szCs w:val="24"/>
            </w:rPr>
            <w:fldChar w:fldCharType="separate"/>
          </w:r>
          <w:r>
            <w:rPr>
              <w:rFonts w:hint="eastAsia" w:ascii="宋体" w:hAnsi="宋体" w:cs="宋体"/>
              <w:sz w:val="24"/>
              <w:szCs w:val="24"/>
            </w:rPr>
            <w:t>19</w:t>
          </w:r>
          <w:r>
            <w:rPr>
              <w:rFonts w:hint="eastAsia" w:ascii="宋体" w:hAnsi="宋体" w:cs="宋体"/>
              <w:sz w:val="24"/>
              <w:szCs w:val="24"/>
            </w:rPr>
            <w:fldChar w:fldCharType="end"/>
          </w:r>
          <w:r>
            <w:rPr>
              <w:rFonts w:hint="eastAsia" w:ascii="宋体" w:hAnsi="宋体" w:cs="宋体"/>
              <w:sz w:val="24"/>
              <w:szCs w:val="24"/>
            </w:rPr>
            <w:fldChar w:fldCharType="end"/>
          </w:r>
        </w:p>
        <w:p w14:paraId="0FE2BB79">
          <w:pPr>
            <w:pStyle w:val="11"/>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_Toc24485 </w:instrText>
          </w:r>
          <w:r>
            <w:rPr>
              <w:rFonts w:hint="eastAsia" w:ascii="宋体" w:hAnsi="宋体" w:cs="宋体"/>
              <w:sz w:val="24"/>
              <w:szCs w:val="24"/>
            </w:rPr>
            <w:fldChar w:fldCharType="separate"/>
          </w:r>
          <w:r>
            <w:rPr>
              <w:rFonts w:hint="eastAsia" w:ascii="宋体" w:hAnsi="宋体" w:cs="宋体"/>
              <w:bCs/>
              <w:kern w:val="44"/>
              <w:sz w:val="24"/>
              <w:szCs w:val="24"/>
            </w:rPr>
            <w:t>附录A</w:t>
          </w:r>
          <w:r>
            <w:rPr>
              <w:rFonts w:ascii="宋体" w:hAnsi="宋体" w:cs="宋体"/>
              <w:bCs/>
              <w:kern w:val="44"/>
              <w:sz w:val="24"/>
              <w:szCs w:val="24"/>
            </w:rPr>
            <w:t xml:space="preserve">  </w:t>
          </w:r>
          <w:r>
            <w:rPr>
              <w:rFonts w:hint="eastAsia" w:ascii="宋体" w:hAnsi="宋体" w:cs="宋体"/>
              <w:bCs/>
              <w:kern w:val="44"/>
              <w:sz w:val="24"/>
              <w:szCs w:val="24"/>
            </w:rPr>
            <w:t>既有工业建筑民用化低碳改造碳排放计算</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_Toc24485 \h </w:instrText>
          </w:r>
          <w:r>
            <w:rPr>
              <w:rFonts w:hint="eastAsia" w:ascii="宋体" w:hAnsi="宋体" w:cs="宋体"/>
              <w:sz w:val="24"/>
              <w:szCs w:val="24"/>
            </w:rPr>
            <w:fldChar w:fldCharType="separate"/>
          </w:r>
          <w:r>
            <w:rPr>
              <w:rFonts w:hint="eastAsia" w:ascii="宋体" w:hAnsi="宋体" w:cs="宋体"/>
              <w:sz w:val="24"/>
              <w:szCs w:val="24"/>
            </w:rPr>
            <w:t>21</w:t>
          </w:r>
          <w:r>
            <w:rPr>
              <w:rFonts w:hint="eastAsia" w:ascii="宋体" w:hAnsi="宋体" w:cs="宋体"/>
              <w:sz w:val="24"/>
              <w:szCs w:val="24"/>
            </w:rPr>
            <w:fldChar w:fldCharType="end"/>
          </w:r>
          <w:r>
            <w:rPr>
              <w:rFonts w:hint="eastAsia" w:ascii="宋体" w:hAnsi="宋体" w:cs="宋体"/>
              <w:sz w:val="24"/>
              <w:szCs w:val="24"/>
            </w:rPr>
            <w:fldChar w:fldCharType="end"/>
          </w:r>
        </w:p>
        <w:p w14:paraId="7AD03506">
          <w:pPr>
            <w:pStyle w:val="12"/>
            <w:tabs>
              <w:tab w:val="right" w:leader="dot" w:pos="8306"/>
            </w:tabs>
            <w:spacing w:line="360" w:lineRule="auto"/>
            <w:rPr>
              <w:rFonts w:hint="eastAsia" w:ascii="宋体" w:hAnsi="宋体" w:cs="宋体"/>
              <w:sz w:val="21"/>
              <w:szCs w:val="21"/>
            </w:rPr>
          </w:pPr>
          <w:r>
            <w:rPr>
              <w:rFonts w:hint="eastAsia" w:ascii="宋体" w:hAnsi="宋体" w:cs="宋体"/>
              <w:sz w:val="21"/>
              <w:szCs w:val="21"/>
            </w:rPr>
            <w:fldChar w:fldCharType="begin"/>
          </w:r>
          <w:r>
            <w:rPr>
              <w:rFonts w:hint="eastAsia" w:ascii="宋体" w:hAnsi="宋体" w:cs="宋体"/>
              <w:sz w:val="21"/>
              <w:szCs w:val="21"/>
            </w:rPr>
            <w:instrText xml:space="preserve"> HYPERLINK \l _Toc14817 </w:instrText>
          </w:r>
          <w:r>
            <w:rPr>
              <w:rFonts w:hint="eastAsia" w:ascii="宋体" w:hAnsi="宋体" w:cs="宋体"/>
              <w:sz w:val="21"/>
              <w:szCs w:val="21"/>
            </w:rPr>
            <w:fldChar w:fldCharType="separate"/>
          </w:r>
          <w:r>
            <w:rPr>
              <w:rFonts w:hint="eastAsia" w:ascii="宋体" w:hAnsi="宋体" w:eastAsia="宋体" w:cs="宋体"/>
              <w:bCs/>
              <w:sz w:val="21"/>
              <w:szCs w:val="21"/>
            </w:rPr>
            <w:t>A.1</w:t>
          </w:r>
          <w:r>
            <w:rPr>
              <w:rFonts w:hint="eastAsia" w:ascii="宋体" w:hAnsi="宋体" w:cs="宋体"/>
              <w:bCs/>
              <w:sz w:val="21"/>
              <w:szCs w:val="21"/>
              <w:lang w:val="en-US" w:eastAsia="zh-CN"/>
            </w:rPr>
            <w:t xml:space="preserve">  </w:t>
          </w:r>
          <w:r>
            <w:rPr>
              <w:rFonts w:hint="eastAsia" w:ascii="宋体" w:hAnsi="宋体" w:eastAsia="宋体" w:cs="宋体"/>
              <w:bCs/>
              <w:sz w:val="21"/>
              <w:szCs w:val="21"/>
            </w:rPr>
            <w:t>碳排放计算方法</w:t>
          </w:r>
          <w:r>
            <w:rPr>
              <w:rFonts w:hint="eastAsia" w:ascii="宋体" w:hAnsi="宋体" w:cs="宋体"/>
              <w:sz w:val="21"/>
              <w:szCs w:val="21"/>
            </w:rPr>
            <w:tab/>
          </w:r>
          <w:r>
            <w:rPr>
              <w:rFonts w:hint="eastAsia" w:ascii="宋体" w:hAnsi="宋体" w:cs="宋体"/>
              <w:sz w:val="21"/>
              <w:szCs w:val="21"/>
            </w:rPr>
            <w:fldChar w:fldCharType="begin"/>
          </w:r>
          <w:r>
            <w:rPr>
              <w:rFonts w:hint="eastAsia" w:ascii="宋体" w:hAnsi="宋体" w:cs="宋体"/>
              <w:sz w:val="21"/>
              <w:szCs w:val="21"/>
            </w:rPr>
            <w:instrText xml:space="preserve"> PAGEREF _Toc14817 \h </w:instrText>
          </w:r>
          <w:r>
            <w:rPr>
              <w:rFonts w:hint="eastAsia" w:ascii="宋体" w:hAnsi="宋体" w:cs="宋体"/>
              <w:sz w:val="21"/>
              <w:szCs w:val="21"/>
            </w:rPr>
            <w:fldChar w:fldCharType="separate"/>
          </w:r>
          <w:r>
            <w:rPr>
              <w:rFonts w:hint="eastAsia" w:ascii="宋体" w:hAnsi="宋体" w:cs="宋体"/>
              <w:sz w:val="21"/>
              <w:szCs w:val="21"/>
            </w:rPr>
            <w:t>21</w:t>
          </w:r>
          <w:r>
            <w:rPr>
              <w:rFonts w:hint="eastAsia" w:ascii="宋体" w:hAnsi="宋体" w:cs="宋体"/>
              <w:sz w:val="21"/>
              <w:szCs w:val="21"/>
            </w:rPr>
            <w:fldChar w:fldCharType="end"/>
          </w:r>
          <w:r>
            <w:rPr>
              <w:rFonts w:hint="eastAsia" w:ascii="宋体" w:hAnsi="宋体" w:cs="宋体"/>
              <w:sz w:val="21"/>
              <w:szCs w:val="21"/>
            </w:rPr>
            <w:fldChar w:fldCharType="end"/>
          </w:r>
        </w:p>
        <w:p w14:paraId="2780C128">
          <w:pPr>
            <w:pStyle w:val="12"/>
            <w:tabs>
              <w:tab w:val="right" w:leader="dot" w:pos="8306"/>
            </w:tabs>
            <w:spacing w:line="360" w:lineRule="auto"/>
            <w:rPr>
              <w:rFonts w:hint="eastAsia" w:ascii="宋体" w:hAnsi="宋体" w:cs="宋体"/>
              <w:sz w:val="24"/>
              <w:szCs w:val="24"/>
            </w:rPr>
          </w:pPr>
          <w:r>
            <w:rPr>
              <w:rFonts w:hint="eastAsia" w:ascii="宋体" w:hAnsi="宋体" w:cs="宋体"/>
              <w:sz w:val="21"/>
              <w:szCs w:val="21"/>
            </w:rPr>
            <w:fldChar w:fldCharType="begin"/>
          </w:r>
          <w:r>
            <w:rPr>
              <w:rFonts w:hint="eastAsia" w:ascii="宋体" w:hAnsi="宋体" w:cs="宋体"/>
              <w:sz w:val="21"/>
              <w:szCs w:val="21"/>
            </w:rPr>
            <w:instrText xml:space="preserve"> HYPERLINK \l _Toc20580 </w:instrText>
          </w:r>
          <w:r>
            <w:rPr>
              <w:rFonts w:hint="eastAsia" w:ascii="宋体" w:hAnsi="宋体" w:cs="宋体"/>
              <w:sz w:val="21"/>
              <w:szCs w:val="21"/>
            </w:rPr>
            <w:fldChar w:fldCharType="separate"/>
          </w:r>
          <w:r>
            <w:rPr>
              <w:rFonts w:hint="eastAsia" w:ascii="宋体" w:hAnsi="宋体" w:eastAsia="宋体" w:cs="宋体"/>
              <w:bCs/>
              <w:sz w:val="21"/>
              <w:szCs w:val="21"/>
            </w:rPr>
            <w:t>A.2</w:t>
          </w:r>
          <w:r>
            <w:rPr>
              <w:rFonts w:hint="eastAsia" w:ascii="宋体" w:hAnsi="宋体" w:cs="宋体"/>
              <w:bCs/>
              <w:sz w:val="21"/>
              <w:szCs w:val="21"/>
              <w:lang w:val="en-US" w:eastAsia="zh-CN"/>
            </w:rPr>
            <w:t xml:space="preserve">  </w:t>
          </w:r>
          <w:r>
            <w:rPr>
              <w:rFonts w:hint="eastAsia" w:ascii="宋体" w:hAnsi="宋体" w:eastAsia="宋体" w:cs="宋体"/>
              <w:bCs/>
              <w:sz w:val="21"/>
              <w:szCs w:val="21"/>
            </w:rPr>
            <w:t>碳减排效益</w:t>
          </w:r>
          <w:r>
            <w:rPr>
              <w:rFonts w:hint="eastAsia" w:ascii="宋体" w:hAnsi="宋体" w:cs="宋体"/>
              <w:sz w:val="21"/>
              <w:szCs w:val="21"/>
            </w:rPr>
            <w:tab/>
          </w:r>
          <w:r>
            <w:rPr>
              <w:rFonts w:hint="eastAsia" w:ascii="宋体" w:hAnsi="宋体" w:cs="宋体"/>
              <w:sz w:val="21"/>
              <w:szCs w:val="21"/>
            </w:rPr>
            <w:fldChar w:fldCharType="begin"/>
          </w:r>
          <w:r>
            <w:rPr>
              <w:rFonts w:hint="eastAsia" w:ascii="宋体" w:hAnsi="宋体" w:cs="宋体"/>
              <w:sz w:val="21"/>
              <w:szCs w:val="21"/>
            </w:rPr>
            <w:instrText xml:space="preserve"> PAGEREF _Toc20580 \h </w:instrText>
          </w:r>
          <w:r>
            <w:rPr>
              <w:rFonts w:hint="eastAsia" w:ascii="宋体" w:hAnsi="宋体" w:cs="宋体"/>
              <w:sz w:val="21"/>
              <w:szCs w:val="21"/>
            </w:rPr>
            <w:fldChar w:fldCharType="separate"/>
          </w:r>
          <w:r>
            <w:rPr>
              <w:rFonts w:hint="eastAsia" w:ascii="宋体" w:hAnsi="宋体" w:cs="宋体"/>
              <w:sz w:val="21"/>
              <w:szCs w:val="21"/>
            </w:rPr>
            <w:t>23</w:t>
          </w:r>
          <w:r>
            <w:rPr>
              <w:rFonts w:hint="eastAsia" w:ascii="宋体" w:hAnsi="宋体" w:cs="宋体"/>
              <w:sz w:val="21"/>
              <w:szCs w:val="21"/>
            </w:rPr>
            <w:fldChar w:fldCharType="end"/>
          </w:r>
          <w:r>
            <w:rPr>
              <w:rFonts w:hint="eastAsia" w:ascii="宋体" w:hAnsi="宋体" w:cs="宋体"/>
              <w:sz w:val="21"/>
              <w:szCs w:val="21"/>
            </w:rPr>
            <w:fldChar w:fldCharType="end"/>
          </w:r>
        </w:p>
        <w:p w14:paraId="39FB06DB">
          <w:pPr>
            <w:pStyle w:val="11"/>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_Toc8616 </w:instrText>
          </w:r>
          <w:r>
            <w:rPr>
              <w:rFonts w:hint="eastAsia" w:ascii="宋体" w:hAnsi="宋体" w:cs="宋体"/>
              <w:sz w:val="24"/>
              <w:szCs w:val="24"/>
            </w:rPr>
            <w:fldChar w:fldCharType="separate"/>
          </w:r>
          <w:r>
            <w:rPr>
              <w:rFonts w:hint="eastAsia" w:ascii="宋体" w:hAnsi="宋体" w:cs="宋体"/>
              <w:sz w:val="24"/>
              <w:szCs w:val="24"/>
            </w:rPr>
            <w:t>用词说明</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_Toc8616 \h </w:instrText>
          </w:r>
          <w:r>
            <w:rPr>
              <w:rFonts w:hint="eastAsia" w:ascii="宋体" w:hAnsi="宋体" w:cs="宋体"/>
              <w:sz w:val="24"/>
              <w:szCs w:val="24"/>
            </w:rPr>
            <w:fldChar w:fldCharType="separate"/>
          </w:r>
          <w:r>
            <w:rPr>
              <w:rFonts w:hint="eastAsia" w:ascii="宋体" w:hAnsi="宋体" w:cs="宋体"/>
              <w:sz w:val="24"/>
              <w:szCs w:val="24"/>
            </w:rPr>
            <w:t>24</w:t>
          </w:r>
          <w:r>
            <w:rPr>
              <w:rFonts w:hint="eastAsia" w:ascii="宋体" w:hAnsi="宋体" w:cs="宋体"/>
              <w:sz w:val="24"/>
              <w:szCs w:val="24"/>
            </w:rPr>
            <w:fldChar w:fldCharType="end"/>
          </w:r>
          <w:r>
            <w:rPr>
              <w:rFonts w:hint="eastAsia" w:ascii="宋体" w:hAnsi="宋体" w:cs="宋体"/>
              <w:sz w:val="24"/>
              <w:szCs w:val="24"/>
            </w:rPr>
            <w:fldChar w:fldCharType="end"/>
          </w:r>
        </w:p>
        <w:p w14:paraId="5F349DE6">
          <w:pPr>
            <w:pStyle w:val="11"/>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_Toc8742 </w:instrText>
          </w:r>
          <w:r>
            <w:rPr>
              <w:rFonts w:hint="eastAsia" w:ascii="宋体" w:hAnsi="宋体" w:cs="宋体"/>
              <w:sz w:val="24"/>
              <w:szCs w:val="24"/>
            </w:rPr>
            <w:fldChar w:fldCharType="separate"/>
          </w:r>
          <w:r>
            <w:rPr>
              <w:rFonts w:hint="eastAsia" w:ascii="宋体" w:hAnsi="宋体" w:cs="宋体"/>
              <w:sz w:val="24"/>
              <w:szCs w:val="24"/>
            </w:rPr>
            <w:t>引用标准名录</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_Toc8742 \h </w:instrText>
          </w:r>
          <w:r>
            <w:rPr>
              <w:rFonts w:hint="eastAsia" w:ascii="宋体" w:hAnsi="宋体" w:cs="宋体"/>
              <w:sz w:val="24"/>
              <w:szCs w:val="24"/>
            </w:rPr>
            <w:fldChar w:fldCharType="separate"/>
          </w:r>
          <w:r>
            <w:rPr>
              <w:rFonts w:hint="eastAsia" w:ascii="宋体" w:hAnsi="宋体" w:cs="宋体"/>
              <w:sz w:val="24"/>
              <w:szCs w:val="24"/>
            </w:rPr>
            <w:t>25</w:t>
          </w:r>
          <w:r>
            <w:rPr>
              <w:rFonts w:hint="eastAsia" w:ascii="宋体" w:hAnsi="宋体" w:cs="宋体"/>
              <w:sz w:val="24"/>
              <w:szCs w:val="24"/>
            </w:rPr>
            <w:fldChar w:fldCharType="end"/>
          </w:r>
          <w:r>
            <w:rPr>
              <w:rFonts w:hint="eastAsia" w:ascii="宋体" w:hAnsi="宋体" w:cs="宋体"/>
              <w:sz w:val="24"/>
              <w:szCs w:val="24"/>
            </w:rPr>
            <w:fldChar w:fldCharType="end"/>
          </w:r>
        </w:p>
        <w:p w14:paraId="67399CF4">
          <w:pPr>
            <w:pStyle w:val="11"/>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_Toc27583 </w:instrText>
          </w:r>
          <w:r>
            <w:rPr>
              <w:rFonts w:hint="eastAsia" w:ascii="宋体" w:hAnsi="宋体" w:cs="宋体"/>
              <w:sz w:val="24"/>
              <w:szCs w:val="24"/>
            </w:rPr>
            <w:fldChar w:fldCharType="separate"/>
          </w:r>
          <w:r>
            <w:rPr>
              <w:rStyle w:val="17"/>
              <w:rFonts w:hint="eastAsia" w:ascii="宋体" w:hAnsi="宋体" w:cs="宋体"/>
              <w:sz w:val="24"/>
              <w:szCs w:val="24"/>
            </w:rPr>
            <w:t>附：</w:t>
          </w:r>
          <w:r>
            <w:rPr>
              <w:rFonts w:hint="eastAsia" w:ascii="宋体" w:hAnsi="宋体" w:cs="宋体"/>
              <w:sz w:val="24"/>
              <w:szCs w:val="24"/>
            </w:rPr>
            <w:fldChar w:fldCharType="begin"/>
          </w:r>
          <w:r>
            <w:rPr>
              <w:rFonts w:hint="eastAsia" w:ascii="宋体" w:hAnsi="宋体" w:cs="宋体"/>
              <w:sz w:val="24"/>
              <w:szCs w:val="24"/>
            </w:rPr>
            <w:instrText xml:space="preserve"> HYPERLINK \l "_Toc4129" </w:instrText>
          </w:r>
          <w:r>
            <w:rPr>
              <w:rFonts w:hint="eastAsia" w:ascii="宋体" w:hAnsi="宋体" w:cs="宋体"/>
              <w:sz w:val="24"/>
              <w:szCs w:val="24"/>
            </w:rPr>
            <w:fldChar w:fldCharType="separate"/>
          </w:r>
          <w:r>
            <w:rPr>
              <w:rStyle w:val="17"/>
              <w:rFonts w:hint="eastAsia" w:ascii="宋体" w:hAnsi="宋体" w:cs="宋体"/>
              <w:sz w:val="24"/>
              <w:szCs w:val="24"/>
            </w:rPr>
            <w:t>条文说明</w:t>
          </w:r>
          <w:r>
            <w:rPr>
              <w:rStyle w:val="17"/>
              <w:rFonts w:hint="eastAsia" w:ascii="宋体" w:hAnsi="宋体" w:cs="宋体"/>
              <w:sz w:val="24"/>
              <w:szCs w:val="24"/>
            </w:rPr>
            <w:fldChar w:fldCharType="end"/>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_Toc27583 \h </w:instrText>
          </w:r>
          <w:r>
            <w:rPr>
              <w:rFonts w:hint="eastAsia" w:ascii="宋体" w:hAnsi="宋体" w:cs="宋体"/>
              <w:sz w:val="24"/>
              <w:szCs w:val="24"/>
            </w:rPr>
            <w:fldChar w:fldCharType="separate"/>
          </w:r>
          <w:r>
            <w:rPr>
              <w:rFonts w:hint="eastAsia" w:ascii="宋体" w:hAnsi="宋体" w:cs="宋体"/>
              <w:sz w:val="24"/>
              <w:szCs w:val="24"/>
            </w:rPr>
            <w:t>26</w:t>
          </w:r>
          <w:r>
            <w:rPr>
              <w:rFonts w:hint="eastAsia" w:ascii="宋体" w:hAnsi="宋体" w:cs="宋体"/>
              <w:sz w:val="24"/>
              <w:szCs w:val="24"/>
            </w:rPr>
            <w:fldChar w:fldCharType="end"/>
          </w:r>
          <w:r>
            <w:rPr>
              <w:rFonts w:hint="eastAsia" w:ascii="宋体" w:hAnsi="宋体" w:cs="宋体"/>
              <w:sz w:val="24"/>
              <w:szCs w:val="24"/>
            </w:rPr>
            <w:fldChar w:fldCharType="end"/>
          </w:r>
        </w:p>
        <w:p w14:paraId="16879B2C">
          <w:pPr>
            <w:pStyle w:val="11"/>
            <w:tabs>
              <w:tab w:val="right" w:leader="dot" w:pos="8306"/>
            </w:tabs>
            <w:spacing w:line="360" w:lineRule="auto"/>
          </w:pPr>
        </w:p>
        <w:p w14:paraId="24B3C5FC">
          <w:r>
            <w:fldChar w:fldCharType="end"/>
          </w:r>
        </w:p>
      </w:sdtContent>
    </w:sdt>
    <w:p w14:paraId="2C87F557">
      <w:pPr>
        <w:widowControl/>
        <w:snapToGrid w:val="0"/>
        <w:ind w:firstLine="643"/>
        <w:jc w:val="center"/>
        <w:outlineLvl w:val="0"/>
        <w:rPr>
          <w:b/>
          <w:bCs/>
          <w:kern w:val="44"/>
          <w:sz w:val="32"/>
          <w:szCs w:val="32"/>
        </w:rPr>
        <w:sectPr>
          <w:footerReference r:id="rId6" w:type="default"/>
          <w:pgSz w:w="11906" w:h="16838"/>
          <w:pgMar w:top="1440" w:right="1800" w:bottom="1440" w:left="1800" w:header="851" w:footer="992" w:gutter="0"/>
          <w:pgNumType w:start="1"/>
          <w:cols w:space="425" w:num="1"/>
          <w:docGrid w:type="lines" w:linePitch="312" w:charSpace="0"/>
        </w:sectPr>
      </w:pPr>
      <w:bookmarkStart w:id="32" w:name="_Toc29272"/>
      <w:bookmarkStart w:id="33" w:name="_Toc22515"/>
      <w:bookmarkStart w:id="34" w:name="_Toc2709"/>
      <w:bookmarkStart w:id="35" w:name="_Toc22437"/>
      <w:bookmarkStart w:id="36" w:name="_Toc12241"/>
      <w:bookmarkStart w:id="37" w:name="_Toc4443"/>
      <w:bookmarkStart w:id="38" w:name="_Toc763"/>
      <w:bookmarkStart w:id="39" w:name="_Toc3681"/>
    </w:p>
    <w:p w14:paraId="03B6E566">
      <w:pPr>
        <w:widowControl/>
        <w:snapToGrid w:val="0"/>
        <w:jc w:val="center"/>
        <w:outlineLvl w:val="0"/>
        <w:rPr>
          <w:b/>
          <w:bCs/>
          <w:kern w:val="44"/>
          <w:sz w:val="32"/>
          <w:szCs w:val="32"/>
        </w:rPr>
      </w:pPr>
      <w:bookmarkStart w:id="40" w:name="_Toc15422"/>
      <w:bookmarkStart w:id="41" w:name="_Toc15182"/>
      <w:bookmarkStart w:id="42" w:name="_Toc4811"/>
      <w:bookmarkStart w:id="43" w:name="_Toc29837"/>
      <w:bookmarkStart w:id="44" w:name="_Toc7271"/>
      <w:bookmarkStart w:id="45" w:name="_Toc21975"/>
      <w:bookmarkStart w:id="46" w:name="_Toc18338"/>
      <w:bookmarkStart w:id="47" w:name="_Toc22245"/>
      <w:bookmarkStart w:id="48" w:name="_Toc4648"/>
      <w:bookmarkStart w:id="49" w:name="_Toc32424"/>
      <w:bookmarkStart w:id="50" w:name="_Toc25129"/>
      <w:bookmarkStart w:id="51" w:name="_Toc7423"/>
      <w:r>
        <w:rPr>
          <w:rFonts w:hint="eastAsia"/>
          <w:b/>
          <w:bCs/>
          <w:kern w:val="44"/>
          <w:sz w:val="32"/>
          <w:szCs w:val="32"/>
        </w:rPr>
        <w:t>Contents</w:t>
      </w:r>
      <w:bookmarkEnd w:id="40"/>
      <w:bookmarkEnd w:id="41"/>
      <w:bookmarkEnd w:id="42"/>
      <w:bookmarkEnd w:id="43"/>
      <w:bookmarkEnd w:id="44"/>
    </w:p>
    <w:p w14:paraId="1A8B3E2B">
      <w:pPr>
        <w:widowControl/>
        <w:snapToGrid w:val="0"/>
        <w:ind w:firstLine="643"/>
        <w:jc w:val="center"/>
        <w:outlineLvl w:val="9"/>
        <w:rPr>
          <w:b/>
          <w:bCs/>
          <w:kern w:val="44"/>
          <w:sz w:val="32"/>
          <w:szCs w:val="32"/>
        </w:rPr>
      </w:pPr>
    </w:p>
    <w:p w14:paraId="3431E397">
      <w:pPr>
        <w:pStyle w:val="11"/>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_Toc3701 </w:instrText>
      </w:r>
      <w:r>
        <w:rPr>
          <w:rFonts w:hint="default" w:ascii="Times New Roman" w:hAnsi="Times New Roman" w:cs="Times New Roman"/>
          <w:sz w:val="24"/>
          <w:szCs w:val="24"/>
        </w:rPr>
        <w:fldChar w:fldCharType="separate"/>
      </w:r>
      <w:r>
        <w:rPr>
          <w:rFonts w:hint="default" w:ascii="Times New Roman" w:hAnsi="Times New Roman" w:cs="Times New Roman"/>
          <w:bCs/>
          <w:kern w:val="44"/>
          <w:sz w:val="24"/>
          <w:szCs w:val="24"/>
        </w:rPr>
        <w:t>1</w:t>
      </w:r>
      <w:r>
        <w:rPr>
          <w:rFonts w:ascii="Times New Roman" w:hAnsi="Times New Roman" w:cs="Times New Roman"/>
          <w:bCs/>
          <w:kern w:val="44"/>
          <w:sz w:val="24"/>
          <w:szCs w:val="24"/>
        </w:rPr>
        <w:t xml:space="preserve"> </w:t>
      </w:r>
      <w:r>
        <w:rPr>
          <w:rFonts w:hint="default" w:ascii="Times New Roman" w:hAnsi="Times New Roman" w:cs="Times New Roman"/>
          <w:bCs/>
          <w:kern w:val="44"/>
          <w:sz w:val="24"/>
          <w:szCs w:val="24"/>
          <w:lang w:val="en-US" w:eastAsia="zh-CN"/>
        </w:rPr>
        <w:t xml:space="preserve"> </w:t>
      </w:r>
      <w:r>
        <w:rPr>
          <w:rFonts w:hint="eastAsia"/>
          <w:kern w:val="44"/>
          <w:sz w:val="24"/>
          <w:szCs w:val="24"/>
        </w:rPr>
        <w:t>General provisions</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_Toc3701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14:paraId="3D0BC588">
      <w:pPr>
        <w:pStyle w:val="11"/>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_Toc9671 </w:instrText>
      </w:r>
      <w:r>
        <w:rPr>
          <w:rFonts w:hint="default" w:ascii="Times New Roman" w:hAnsi="Times New Roman" w:cs="Times New Roman"/>
          <w:sz w:val="24"/>
          <w:szCs w:val="24"/>
        </w:rPr>
        <w:fldChar w:fldCharType="separate"/>
      </w:r>
      <w:r>
        <w:rPr>
          <w:rFonts w:hint="default" w:ascii="Times New Roman" w:hAnsi="Times New Roman" w:cs="Times New Roman"/>
          <w:bCs/>
          <w:kern w:val="44"/>
          <w:sz w:val="24"/>
          <w:szCs w:val="24"/>
        </w:rPr>
        <w:t>2</w:t>
      </w:r>
      <w:r>
        <w:rPr>
          <w:rFonts w:ascii="Times New Roman" w:hAnsi="Times New Roman" w:cs="Times New Roman"/>
          <w:bCs/>
          <w:kern w:val="44"/>
          <w:sz w:val="24"/>
          <w:szCs w:val="24"/>
        </w:rPr>
        <w:t xml:space="preserve"> </w:t>
      </w:r>
      <w:r>
        <w:rPr>
          <w:rFonts w:hint="default" w:ascii="Times New Roman" w:hAnsi="Times New Roman" w:cs="Times New Roman"/>
          <w:bCs/>
          <w:kern w:val="44"/>
          <w:sz w:val="24"/>
          <w:szCs w:val="24"/>
          <w:lang w:val="en-US" w:eastAsia="zh-CN"/>
        </w:rPr>
        <w:t xml:space="preserve"> </w:t>
      </w:r>
      <w:r>
        <w:rPr>
          <w:rFonts w:hint="eastAsia"/>
          <w:kern w:val="44"/>
          <w:sz w:val="24"/>
          <w:szCs w:val="24"/>
        </w:rPr>
        <w:t>Terms</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_Toc9671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14:paraId="6949B9B0">
      <w:pPr>
        <w:pStyle w:val="11"/>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_Toc4241 </w:instrText>
      </w:r>
      <w:r>
        <w:rPr>
          <w:rFonts w:hint="default" w:ascii="Times New Roman" w:hAnsi="Times New Roman" w:cs="Times New Roman"/>
          <w:sz w:val="24"/>
          <w:szCs w:val="24"/>
        </w:rPr>
        <w:fldChar w:fldCharType="separate"/>
      </w:r>
      <w:r>
        <w:rPr>
          <w:rFonts w:hint="default" w:ascii="Times New Roman" w:hAnsi="Times New Roman" w:cs="Times New Roman"/>
          <w:bCs/>
          <w:kern w:val="44"/>
          <w:sz w:val="24"/>
          <w:szCs w:val="24"/>
        </w:rPr>
        <w:t>3</w:t>
      </w:r>
      <w:r>
        <w:rPr>
          <w:rFonts w:ascii="Times New Roman" w:hAnsi="Times New Roman" w:cs="Times New Roman"/>
          <w:bCs/>
          <w:kern w:val="44"/>
          <w:sz w:val="24"/>
          <w:szCs w:val="24"/>
        </w:rPr>
        <w:t xml:space="preserve"> </w:t>
      </w:r>
      <w:r>
        <w:rPr>
          <w:rFonts w:hint="default" w:ascii="Times New Roman" w:hAnsi="Times New Roman" w:cs="Times New Roman"/>
          <w:bCs/>
          <w:kern w:val="44"/>
          <w:sz w:val="24"/>
          <w:szCs w:val="24"/>
          <w:lang w:val="en-US" w:eastAsia="zh-CN"/>
        </w:rPr>
        <w:t xml:space="preserve"> </w:t>
      </w:r>
      <w:r>
        <w:rPr>
          <w:rFonts w:hint="eastAsia"/>
          <w:kern w:val="44"/>
          <w:sz w:val="24"/>
          <w:szCs w:val="24"/>
        </w:rPr>
        <w:t>Basic requirements</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_Toc4241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14:paraId="5CB15553">
      <w:pPr>
        <w:pStyle w:val="12"/>
        <w:tabs>
          <w:tab w:val="right" w:leader="dot" w:pos="8306"/>
        </w:tabs>
        <w:spacing w:line="360" w:lineRule="auto"/>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_Toc3812 </w:instrText>
      </w:r>
      <w:r>
        <w:rPr>
          <w:rFonts w:hint="default" w:ascii="Times New Roman" w:hAnsi="Times New Roman" w:cs="Times New Roman"/>
          <w:sz w:val="21"/>
          <w:szCs w:val="21"/>
        </w:rPr>
        <w:fldChar w:fldCharType="separate"/>
      </w:r>
      <w:r>
        <w:rPr>
          <w:rFonts w:hint="default" w:ascii="Times New Roman" w:hAnsi="Times New Roman" w:eastAsia="宋体" w:cs="Times New Roman"/>
          <w:bCs/>
          <w:sz w:val="21"/>
          <w:szCs w:val="21"/>
        </w:rPr>
        <w:t xml:space="preserve">3.1  </w:t>
      </w:r>
      <w:r>
        <w:rPr>
          <w:kern w:val="44"/>
          <w:sz w:val="21"/>
          <w:szCs w:val="21"/>
        </w:rPr>
        <w:t xml:space="preserve">General </w:t>
      </w:r>
      <w:r>
        <w:rPr>
          <w:rFonts w:hint="eastAsia"/>
          <w:kern w:val="44"/>
          <w:sz w:val="21"/>
          <w:szCs w:val="21"/>
        </w:rPr>
        <w:t>r</w:t>
      </w:r>
      <w:r>
        <w:rPr>
          <w:kern w:val="44"/>
          <w:sz w:val="21"/>
          <w:szCs w:val="21"/>
        </w:rPr>
        <w:t>equirements</w:t>
      </w:r>
      <w:r>
        <w:rPr>
          <w:rFonts w:hint="default" w:ascii="Times New Roman" w:hAnsi="Times New Roman" w:cs="Times New Roman"/>
          <w:sz w:val="21"/>
          <w:szCs w:val="21"/>
        </w:rPr>
        <w:tab/>
      </w: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PAGEREF _Toc3812 \h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rPr>
        <w:t>3</w:t>
      </w:r>
      <w:r>
        <w:rPr>
          <w:rFonts w:hint="default" w:ascii="Times New Roman" w:hAnsi="Times New Roman" w:cs="Times New Roman"/>
          <w:sz w:val="21"/>
          <w:szCs w:val="21"/>
        </w:rPr>
        <w:fldChar w:fldCharType="end"/>
      </w:r>
      <w:r>
        <w:rPr>
          <w:rFonts w:hint="default" w:ascii="Times New Roman" w:hAnsi="Times New Roman" w:cs="Times New Roman"/>
          <w:sz w:val="21"/>
          <w:szCs w:val="21"/>
        </w:rPr>
        <w:fldChar w:fldCharType="end"/>
      </w:r>
    </w:p>
    <w:p w14:paraId="1B410A9A">
      <w:pPr>
        <w:pStyle w:val="12"/>
        <w:tabs>
          <w:tab w:val="right" w:leader="dot" w:pos="8306"/>
        </w:tabs>
        <w:spacing w:line="360" w:lineRule="auto"/>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_Toc9477 </w:instrText>
      </w:r>
      <w:r>
        <w:rPr>
          <w:rFonts w:hint="default" w:ascii="Times New Roman" w:hAnsi="Times New Roman" w:cs="Times New Roman"/>
          <w:sz w:val="21"/>
          <w:szCs w:val="21"/>
        </w:rPr>
        <w:fldChar w:fldCharType="separate"/>
      </w:r>
      <w:r>
        <w:rPr>
          <w:rFonts w:hint="default" w:ascii="Times New Roman" w:hAnsi="Times New Roman" w:eastAsia="宋体" w:cs="Times New Roman"/>
          <w:bCs/>
          <w:sz w:val="21"/>
          <w:szCs w:val="21"/>
        </w:rPr>
        <w:t xml:space="preserve">3.2  </w:t>
      </w:r>
      <w:r>
        <w:rPr>
          <w:rFonts w:hint="eastAsia"/>
          <w:kern w:val="44"/>
          <w:sz w:val="21"/>
          <w:szCs w:val="21"/>
        </w:rPr>
        <w:t>Assessment and rating</w:t>
      </w:r>
      <w:r>
        <w:rPr>
          <w:rFonts w:hint="default" w:ascii="Times New Roman" w:hAnsi="Times New Roman" w:cs="Times New Roman"/>
          <w:sz w:val="21"/>
          <w:szCs w:val="21"/>
        </w:rPr>
        <w:tab/>
      </w: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PAGEREF _Toc9477 \h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rPr>
        <w:t>3</w:t>
      </w:r>
      <w:r>
        <w:rPr>
          <w:rFonts w:hint="default" w:ascii="Times New Roman" w:hAnsi="Times New Roman" w:cs="Times New Roman"/>
          <w:sz w:val="21"/>
          <w:szCs w:val="21"/>
        </w:rPr>
        <w:fldChar w:fldCharType="end"/>
      </w:r>
      <w:r>
        <w:rPr>
          <w:rFonts w:hint="default" w:ascii="Times New Roman" w:hAnsi="Times New Roman" w:cs="Times New Roman"/>
          <w:sz w:val="21"/>
          <w:szCs w:val="21"/>
        </w:rPr>
        <w:fldChar w:fldCharType="end"/>
      </w:r>
    </w:p>
    <w:p w14:paraId="169E204C">
      <w:pPr>
        <w:pStyle w:val="11"/>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_Toc1984 </w:instrText>
      </w:r>
      <w:r>
        <w:rPr>
          <w:rFonts w:hint="default" w:ascii="Times New Roman" w:hAnsi="Times New Roman" w:cs="Times New Roman"/>
          <w:sz w:val="24"/>
          <w:szCs w:val="24"/>
        </w:rPr>
        <w:fldChar w:fldCharType="separate"/>
      </w:r>
      <w:r>
        <w:rPr>
          <w:rFonts w:hint="default" w:ascii="Times New Roman" w:hAnsi="Times New Roman" w:cs="Times New Roman"/>
          <w:bCs/>
          <w:kern w:val="44"/>
          <w:sz w:val="24"/>
          <w:szCs w:val="24"/>
        </w:rPr>
        <w:t>4</w:t>
      </w:r>
      <w:r>
        <w:rPr>
          <w:rFonts w:ascii="Times New Roman" w:hAnsi="Times New Roman" w:cs="Times New Roman"/>
          <w:bCs/>
          <w:kern w:val="44"/>
          <w:sz w:val="24"/>
          <w:szCs w:val="24"/>
        </w:rPr>
        <w:t xml:space="preserve"> </w:t>
      </w:r>
      <w:r>
        <w:rPr>
          <w:rFonts w:hint="default" w:ascii="Times New Roman" w:hAnsi="Times New Roman" w:cs="Times New Roman"/>
          <w:bCs/>
          <w:kern w:val="44"/>
          <w:sz w:val="24"/>
          <w:szCs w:val="24"/>
          <w:lang w:val="en-US" w:eastAsia="zh-CN"/>
        </w:rPr>
        <w:t xml:space="preserve"> </w:t>
      </w:r>
      <w:r>
        <w:rPr>
          <w:rFonts w:hint="eastAsia"/>
          <w:kern w:val="44"/>
          <w:sz w:val="24"/>
          <w:szCs w:val="24"/>
        </w:rPr>
        <w:t>Site and environment</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_Toc1984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14:paraId="66B27C21">
      <w:pPr>
        <w:pStyle w:val="12"/>
        <w:tabs>
          <w:tab w:val="right" w:leader="dot" w:pos="8306"/>
        </w:tabs>
        <w:spacing w:line="360" w:lineRule="auto"/>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_Toc9957 </w:instrText>
      </w:r>
      <w:r>
        <w:rPr>
          <w:rFonts w:hint="default" w:ascii="Times New Roman" w:hAnsi="Times New Roman" w:cs="Times New Roman"/>
          <w:sz w:val="21"/>
          <w:szCs w:val="21"/>
        </w:rPr>
        <w:fldChar w:fldCharType="separate"/>
      </w:r>
      <w:r>
        <w:rPr>
          <w:rFonts w:hint="default" w:ascii="Times New Roman" w:hAnsi="Times New Roman" w:eastAsia="宋体" w:cs="Times New Roman"/>
          <w:bCs/>
          <w:sz w:val="21"/>
          <w:szCs w:val="21"/>
        </w:rPr>
        <w:t>4.1</w:t>
      </w:r>
      <w:r>
        <w:rPr>
          <w:rFonts w:hint="default" w:ascii="Times New Roman" w:hAnsi="Times New Roman" w:cs="Times New Roman"/>
          <w:bCs/>
          <w:sz w:val="21"/>
          <w:szCs w:val="21"/>
          <w:lang w:val="en-US" w:eastAsia="zh-CN"/>
        </w:rPr>
        <w:t xml:space="preserve">  </w:t>
      </w:r>
      <w:r>
        <w:rPr>
          <w:rFonts w:hint="eastAsia"/>
          <w:kern w:val="44"/>
          <w:sz w:val="21"/>
          <w:szCs w:val="21"/>
        </w:rPr>
        <w:t>Prerequisite items</w:t>
      </w:r>
      <w:r>
        <w:rPr>
          <w:rFonts w:hint="default" w:ascii="Times New Roman" w:hAnsi="Times New Roman" w:cs="Times New Roman"/>
          <w:sz w:val="21"/>
          <w:szCs w:val="21"/>
        </w:rPr>
        <w:tab/>
      </w: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PAGEREF _Toc9957 \h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rPr>
        <w:t>5</w:t>
      </w:r>
      <w:r>
        <w:rPr>
          <w:rFonts w:hint="default" w:ascii="Times New Roman" w:hAnsi="Times New Roman" w:cs="Times New Roman"/>
          <w:sz w:val="21"/>
          <w:szCs w:val="21"/>
        </w:rPr>
        <w:fldChar w:fldCharType="end"/>
      </w:r>
      <w:r>
        <w:rPr>
          <w:rFonts w:hint="default" w:ascii="Times New Roman" w:hAnsi="Times New Roman" w:cs="Times New Roman"/>
          <w:sz w:val="21"/>
          <w:szCs w:val="21"/>
        </w:rPr>
        <w:fldChar w:fldCharType="end"/>
      </w:r>
    </w:p>
    <w:p w14:paraId="15D61FC7">
      <w:pPr>
        <w:pStyle w:val="12"/>
        <w:tabs>
          <w:tab w:val="right" w:leader="dot" w:pos="8306"/>
        </w:tabs>
        <w:spacing w:line="360" w:lineRule="auto"/>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_Toc3939 </w:instrText>
      </w:r>
      <w:r>
        <w:rPr>
          <w:rFonts w:hint="default" w:ascii="Times New Roman" w:hAnsi="Times New Roman" w:cs="Times New Roman"/>
          <w:sz w:val="21"/>
          <w:szCs w:val="21"/>
        </w:rPr>
        <w:fldChar w:fldCharType="separate"/>
      </w:r>
      <w:r>
        <w:rPr>
          <w:rFonts w:hint="default" w:ascii="Times New Roman" w:hAnsi="Times New Roman" w:eastAsia="宋体" w:cs="Times New Roman"/>
          <w:bCs/>
          <w:sz w:val="21"/>
          <w:szCs w:val="21"/>
        </w:rPr>
        <w:t>4.2</w:t>
      </w:r>
      <w:r>
        <w:rPr>
          <w:rFonts w:hint="default" w:ascii="Times New Roman" w:hAnsi="Times New Roman" w:cs="Times New Roman"/>
          <w:bCs/>
          <w:sz w:val="21"/>
          <w:szCs w:val="21"/>
          <w:lang w:val="en-US" w:eastAsia="zh-CN"/>
        </w:rPr>
        <w:t xml:space="preserve">  </w:t>
      </w:r>
      <w:r>
        <w:rPr>
          <w:kern w:val="44"/>
          <w:sz w:val="21"/>
          <w:szCs w:val="21"/>
        </w:rPr>
        <w:t xml:space="preserve">Scoring </w:t>
      </w:r>
      <w:r>
        <w:rPr>
          <w:rFonts w:hint="eastAsia"/>
          <w:kern w:val="44"/>
          <w:sz w:val="21"/>
          <w:szCs w:val="21"/>
        </w:rPr>
        <w:t>i</w:t>
      </w:r>
      <w:r>
        <w:rPr>
          <w:kern w:val="44"/>
          <w:sz w:val="21"/>
          <w:szCs w:val="21"/>
        </w:rPr>
        <w:t>tems</w:t>
      </w:r>
      <w:r>
        <w:rPr>
          <w:rFonts w:hint="default" w:ascii="Times New Roman" w:hAnsi="Times New Roman" w:cs="Times New Roman"/>
          <w:sz w:val="21"/>
          <w:szCs w:val="21"/>
        </w:rPr>
        <w:tab/>
      </w: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PAGEREF _Toc3939 \h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rPr>
        <w:t>5</w:t>
      </w:r>
      <w:r>
        <w:rPr>
          <w:rFonts w:hint="default" w:ascii="Times New Roman" w:hAnsi="Times New Roman" w:cs="Times New Roman"/>
          <w:sz w:val="21"/>
          <w:szCs w:val="21"/>
        </w:rPr>
        <w:fldChar w:fldCharType="end"/>
      </w:r>
      <w:r>
        <w:rPr>
          <w:rFonts w:hint="default" w:ascii="Times New Roman" w:hAnsi="Times New Roman" w:cs="Times New Roman"/>
          <w:sz w:val="21"/>
          <w:szCs w:val="21"/>
        </w:rPr>
        <w:fldChar w:fldCharType="end"/>
      </w:r>
    </w:p>
    <w:p w14:paraId="264386C1">
      <w:pPr>
        <w:pStyle w:val="11"/>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_Toc28754 </w:instrText>
      </w:r>
      <w:r>
        <w:rPr>
          <w:rFonts w:hint="default" w:ascii="Times New Roman" w:hAnsi="Times New Roman" w:cs="Times New Roman"/>
          <w:sz w:val="24"/>
          <w:szCs w:val="24"/>
        </w:rPr>
        <w:fldChar w:fldCharType="separate"/>
      </w:r>
      <w:r>
        <w:rPr>
          <w:rFonts w:hint="default" w:ascii="Times New Roman" w:hAnsi="Times New Roman" w:cs="Times New Roman"/>
          <w:bCs/>
          <w:kern w:val="44"/>
          <w:sz w:val="24"/>
          <w:szCs w:val="24"/>
        </w:rPr>
        <w:t>5</w:t>
      </w:r>
      <w:r>
        <w:rPr>
          <w:rFonts w:ascii="Times New Roman" w:hAnsi="Times New Roman" w:cs="Times New Roman"/>
          <w:bCs/>
          <w:kern w:val="44"/>
          <w:sz w:val="24"/>
          <w:szCs w:val="24"/>
        </w:rPr>
        <w:t xml:space="preserve"> </w:t>
      </w:r>
      <w:r>
        <w:rPr>
          <w:rFonts w:hint="default" w:ascii="Times New Roman" w:hAnsi="Times New Roman" w:cs="Times New Roman"/>
          <w:bCs/>
          <w:kern w:val="44"/>
          <w:sz w:val="24"/>
          <w:szCs w:val="24"/>
          <w:lang w:val="en-US" w:eastAsia="zh-CN"/>
        </w:rPr>
        <w:t xml:space="preserve"> </w:t>
      </w:r>
      <w:r>
        <w:rPr>
          <w:rFonts w:hint="eastAsia"/>
          <w:kern w:val="44"/>
          <w:sz w:val="24"/>
          <w:szCs w:val="24"/>
        </w:rPr>
        <w:t>Building retrofitting and utilization</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_Toc28754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8</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14:paraId="78BA7CBA">
      <w:pPr>
        <w:pStyle w:val="12"/>
        <w:tabs>
          <w:tab w:val="right" w:leader="dot" w:pos="8306"/>
        </w:tabs>
        <w:spacing w:line="360" w:lineRule="auto"/>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_Toc31166 </w:instrText>
      </w:r>
      <w:r>
        <w:rPr>
          <w:rFonts w:hint="default" w:ascii="Times New Roman" w:hAnsi="Times New Roman" w:cs="Times New Roman"/>
          <w:sz w:val="21"/>
          <w:szCs w:val="21"/>
        </w:rPr>
        <w:fldChar w:fldCharType="separate"/>
      </w:r>
      <w:r>
        <w:rPr>
          <w:rFonts w:hint="default" w:ascii="Times New Roman" w:hAnsi="Times New Roman" w:eastAsia="宋体" w:cs="Times New Roman"/>
          <w:bCs/>
          <w:sz w:val="21"/>
          <w:szCs w:val="21"/>
        </w:rPr>
        <w:t>5.1</w:t>
      </w:r>
      <w:r>
        <w:rPr>
          <w:rFonts w:hint="default" w:ascii="Times New Roman" w:hAnsi="Times New Roman" w:cs="Times New Roman"/>
          <w:bCs/>
          <w:sz w:val="21"/>
          <w:szCs w:val="21"/>
          <w:lang w:val="en-US" w:eastAsia="zh-CN"/>
        </w:rPr>
        <w:t xml:space="preserve">  </w:t>
      </w:r>
      <w:r>
        <w:rPr>
          <w:rFonts w:hint="eastAsia"/>
          <w:kern w:val="44"/>
          <w:sz w:val="21"/>
          <w:szCs w:val="21"/>
        </w:rPr>
        <w:t>Prerequisite items</w:t>
      </w:r>
      <w:r>
        <w:rPr>
          <w:rFonts w:hint="default" w:ascii="Times New Roman" w:hAnsi="Times New Roman" w:cs="Times New Roman"/>
          <w:sz w:val="21"/>
          <w:szCs w:val="21"/>
        </w:rPr>
        <w:tab/>
      </w: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PAGEREF _Toc31166 \h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rPr>
        <w:t>8</w:t>
      </w:r>
      <w:r>
        <w:rPr>
          <w:rFonts w:hint="default" w:ascii="Times New Roman" w:hAnsi="Times New Roman" w:cs="Times New Roman"/>
          <w:sz w:val="21"/>
          <w:szCs w:val="21"/>
        </w:rPr>
        <w:fldChar w:fldCharType="end"/>
      </w:r>
      <w:r>
        <w:rPr>
          <w:rFonts w:hint="default" w:ascii="Times New Roman" w:hAnsi="Times New Roman" w:cs="Times New Roman"/>
          <w:sz w:val="21"/>
          <w:szCs w:val="21"/>
        </w:rPr>
        <w:fldChar w:fldCharType="end"/>
      </w:r>
    </w:p>
    <w:p w14:paraId="707FDEAD">
      <w:pPr>
        <w:pStyle w:val="12"/>
        <w:tabs>
          <w:tab w:val="right" w:leader="dot" w:pos="8306"/>
        </w:tabs>
        <w:spacing w:line="360" w:lineRule="auto"/>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_Toc9858 </w:instrText>
      </w:r>
      <w:r>
        <w:rPr>
          <w:rFonts w:hint="default" w:ascii="Times New Roman" w:hAnsi="Times New Roman" w:cs="Times New Roman"/>
          <w:sz w:val="21"/>
          <w:szCs w:val="21"/>
        </w:rPr>
        <w:fldChar w:fldCharType="separate"/>
      </w:r>
      <w:r>
        <w:rPr>
          <w:rFonts w:hint="default" w:ascii="Times New Roman" w:hAnsi="Times New Roman" w:eastAsia="宋体" w:cs="Times New Roman"/>
          <w:bCs/>
          <w:sz w:val="21"/>
          <w:szCs w:val="21"/>
        </w:rPr>
        <w:t>5.2</w:t>
      </w:r>
      <w:r>
        <w:rPr>
          <w:rFonts w:hint="default" w:ascii="Times New Roman" w:hAnsi="Times New Roman" w:cs="Times New Roman"/>
          <w:bCs/>
          <w:sz w:val="21"/>
          <w:szCs w:val="21"/>
          <w:lang w:val="en-US" w:eastAsia="zh-CN"/>
        </w:rPr>
        <w:t xml:space="preserve">  </w:t>
      </w:r>
      <w:r>
        <w:rPr>
          <w:kern w:val="44"/>
          <w:sz w:val="21"/>
          <w:szCs w:val="21"/>
        </w:rPr>
        <w:t xml:space="preserve">Scoring </w:t>
      </w:r>
      <w:r>
        <w:rPr>
          <w:rFonts w:hint="eastAsia"/>
          <w:kern w:val="44"/>
          <w:sz w:val="21"/>
          <w:szCs w:val="21"/>
        </w:rPr>
        <w:t>i</w:t>
      </w:r>
      <w:r>
        <w:rPr>
          <w:kern w:val="44"/>
          <w:sz w:val="21"/>
          <w:szCs w:val="21"/>
        </w:rPr>
        <w:t>tems</w:t>
      </w:r>
      <w:r>
        <w:rPr>
          <w:rFonts w:hint="default" w:ascii="Times New Roman" w:hAnsi="Times New Roman" w:cs="Times New Roman"/>
          <w:sz w:val="21"/>
          <w:szCs w:val="21"/>
        </w:rPr>
        <w:tab/>
      </w: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PAGEREF _Toc9858 \h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rPr>
        <w:t>8</w:t>
      </w:r>
      <w:r>
        <w:rPr>
          <w:rFonts w:hint="default" w:ascii="Times New Roman" w:hAnsi="Times New Roman" w:cs="Times New Roman"/>
          <w:sz w:val="21"/>
          <w:szCs w:val="21"/>
        </w:rPr>
        <w:fldChar w:fldCharType="end"/>
      </w:r>
      <w:r>
        <w:rPr>
          <w:rFonts w:hint="default" w:ascii="Times New Roman" w:hAnsi="Times New Roman" w:cs="Times New Roman"/>
          <w:sz w:val="21"/>
          <w:szCs w:val="21"/>
        </w:rPr>
        <w:fldChar w:fldCharType="end"/>
      </w:r>
    </w:p>
    <w:p w14:paraId="0B8A0884">
      <w:pPr>
        <w:pStyle w:val="11"/>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_Toc7179 </w:instrText>
      </w:r>
      <w:r>
        <w:rPr>
          <w:rFonts w:hint="default" w:ascii="Times New Roman" w:hAnsi="Times New Roman" w:cs="Times New Roman"/>
          <w:sz w:val="24"/>
          <w:szCs w:val="24"/>
        </w:rPr>
        <w:fldChar w:fldCharType="separate"/>
      </w:r>
      <w:r>
        <w:rPr>
          <w:rFonts w:hint="default" w:ascii="Times New Roman" w:hAnsi="Times New Roman" w:cs="Times New Roman"/>
          <w:bCs/>
          <w:kern w:val="44"/>
          <w:sz w:val="24"/>
          <w:szCs w:val="24"/>
        </w:rPr>
        <w:t>6</w:t>
      </w:r>
      <w:r>
        <w:rPr>
          <w:rFonts w:ascii="Times New Roman" w:hAnsi="Times New Roman" w:cs="Times New Roman"/>
          <w:bCs/>
          <w:kern w:val="44"/>
          <w:sz w:val="24"/>
          <w:szCs w:val="24"/>
        </w:rPr>
        <w:t xml:space="preserve"> </w:t>
      </w:r>
      <w:r>
        <w:rPr>
          <w:rFonts w:hint="default" w:ascii="Times New Roman" w:hAnsi="Times New Roman" w:cs="Times New Roman"/>
          <w:bCs/>
          <w:kern w:val="44"/>
          <w:sz w:val="24"/>
          <w:szCs w:val="24"/>
          <w:lang w:val="en-US" w:eastAsia="zh-CN"/>
        </w:rPr>
        <w:t xml:space="preserve"> </w:t>
      </w:r>
      <w:r>
        <w:rPr>
          <w:rFonts w:hint="eastAsia"/>
          <w:kern w:val="44"/>
          <w:sz w:val="24"/>
          <w:szCs w:val="24"/>
        </w:rPr>
        <w:t>Energy and water resource utilization</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_Toc7179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12</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14:paraId="6E8B4AE5">
      <w:pPr>
        <w:pStyle w:val="12"/>
        <w:tabs>
          <w:tab w:val="right" w:leader="dot" w:pos="8306"/>
        </w:tabs>
        <w:spacing w:line="360" w:lineRule="auto"/>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_Toc801 </w:instrText>
      </w:r>
      <w:r>
        <w:rPr>
          <w:rFonts w:hint="default" w:ascii="Times New Roman" w:hAnsi="Times New Roman" w:cs="Times New Roman"/>
          <w:sz w:val="21"/>
          <w:szCs w:val="21"/>
        </w:rPr>
        <w:fldChar w:fldCharType="separate"/>
      </w:r>
      <w:r>
        <w:rPr>
          <w:rFonts w:hint="default" w:ascii="Times New Roman" w:hAnsi="Times New Roman" w:eastAsia="宋体" w:cs="Times New Roman"/>
          <w:bCs/>
          <w:sz w:val="21"/>
          <w:szCs w:val="21"/>
        </w:rPr>
        <w:t xml:space="preserve">6.1 </w:t>
      </w:r>
      <w:r>
        <w:rPr>
          <w:rFonts w:hint="default" w:ascii="Times New Roman" w:hAnsi="Times New Roman" w:cs="Times New Roman"/>
          <w:bCs/>
          <w:sz w:val="21"/>
          <w:szCs w:val="21"/>
          <w:lang w:val="en-US" w:eastAsia="zh-CN"/>
        </w:rPr>
        <w:t xml:space="preserve"> </w:t>
      </w:r>
      <w:r>
        <w:rPr>
          <w:rFonts w:hint="eastAsia"/>
          <w:kern w:val="44"/>
          <w:sz w:val="21"/>
          <w:szCs w:val="21"/>
        </w:rPr>
        <w:t>Prerequisite items</w:t>
      </w:r>
      <w:r>
        <w:rPr>
          <w:rFonts w:hint="default" w:ascii="Times New Roman" w:hAnsi="Times New Roman" w:cs="Times New Roman"/>
          <w:sz w:val="21"/>
          <w:szCs w:val="21"/>
        </w:rPr>
        <w:tab/>
      </w: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PAGEREF _Toc801 \h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rPr>
        <w:t>12</w:t>
      </w:r>
      <w:r>
        <w:rPr>
          <w:rFonts w:hint="default" w:ascii="Times New Roman" w:hAnsi="Times New Roman" w:cs="Times New Roman"/>
          <w:sz w:val="21"/>
          <w:szCs w:val="21"/>
        </w:rPr>
        <w:fldChar w:fldCharType="end"/>
      </w:r>
      <w:r>
        <w:rPr>
          <w:rFonts w:hint="default" w:ascii="Times New Roman" w:hAnsi="Times New Roman" w:cs="Times New Roman"/>
          <w:sz w:val="21"/>
          <w:szCs w:val="21"/>
        </w:rPr>
        <w:fldChar w:fldCharType="end"/>
      </w:r>
    </w:p>
    <w:p w14:paraId="60C72AE3">
      <w:pPr>
        <w:pStyle w:val="12"/>
        <w:tabs>
          <w:tab w:val="right" w:leader="dot" w:pos="8306"/>
        </w:tabs>
        <w:spacing w:line="360" w:lineRule="auto"/>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_Toc1342 </w:instrText>
      </w:r>
      <w:r>
        <w:rPr>
          <w:rFonts w:hint="default" w:ascii="Times New Roman" w:hAnsi="Times New Roman" w:cs="Times New Roman"/>
          <w:sz w:val="21"/>
          <w:szCs w:val="21"/>
        </w:rPr>
        <w:fldChar w:fldCharType="separate"/>
      </w:r>
      <w:r>
        <w:rPr>
          <w:rFonts w:hint="default" w:ascii="Times New Roman" w:hAnsi="Times New Roman" w:eastAsia="宋体" w:cs="Times New Roman"/>
          <w:bCs/>
          <w:sz w:val="21"/>
          <w:szCs w:val="21"/>
        </w:rPr>
        <w:t>6.2</w:t>
      </w:r>
      <w:r>
        <w:rPr>
          <w:rFonts w:hint="default" w:ascii="Times New Roman" w:hAnsi="Times New Roman" w:cs="Times New Roman"/>
          <w:bCs/>
          <w:sz w:val="21"/>
          <w:szCs w:val="21"/>
          <w:lang w:val="en-US" w:eastAsia="zh-CN"/>
        </w:rPr>
        <w:t xml:space="preserve">  </w:t>
      </w:r>
      <w:r>
        <w:rPr>
          <w:kern w:val="44"/>
          <w:sz w:val="21"/>
          <w:szCs w:val="21"/>
        </w:rPr>
        <w:t xml:space="preserve">Scoring </w:t>
      </w:r>
      <w:r>
        <w:rPr>
          <w:rFonts w:hint="eastAsia"/>
          <w:kern w:val="44"/>
          <w:sz w:val="21"/>
          <w:szCs w:val="21"/>
        </w:rPr>
        <w:t>i</w:t>
      </w:r>
      <w:r>
        <w:rPr>
          <w:kern w:val="44"/>
          <w:sz w:val="21"/>
          <w:szCs w:val="21"/>
        </w:rPr>
        <w:t>tems</w:t>
      </w:r>
      <w:r>
        <w:rPr>
          <w:rFonts w:hint="default" w:ascii="Times New Roman" w:hAnsi="Times New Roman" w:cs="Times New Roman"/>
          <w:sz w:val="21"/>
          <w:szCs w:val="21"/>
        </w:rPr>
        <w:tab/>
      </w: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PAGEREF _Toc1342 \h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rPr>
        <w:t>13</w:t>
      </w:r>
      <w:r>
        <w:rPr>
          <w:rFonts w:hint="default" w:ascii="Times New Roman" w:hAnsi="Times New Roman" w:cs="Times New Roman"/>
          <w:sz w:val="21"/>
          <w:szCs w:val="21"/>
        </w:rPr>
        <w:fldChar w:fldCharType="end"/>
      </w:r>
      <w:r>
        <w:rPr>
          <w:rFonts w:hint="default" w:ascii="Times New Roman" w:hAnsi="Times New Roman" w:cs="Times New Roman"/>
          <w:sz w:val="21"/>
          <w:szCs w:val="21"/>
        </w:rPr>
        <w:fldChar w:fldCharType="end"/>
      </w:r>
    </w:p>
    <w:p w14:paraId="39A2051A">
      <w:pPr>
        <w:pStyle w:val="11"/>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_Toc28031 </w:instrText>
      </w:r>
      <w:r>
        <w:rPr>
          <w:rFonts w:hint="default" w:ascii="Times New Roman" w:hAnsi="Times New Roman" w:cs="Times New Roman"/>
          <w:sz w:val="24"/>
          <w:szCs w:val="24"/>
        </w:rPr>
        <w:fldChar w:fldCharType="separate"/>
      </w:r>
      <w:r>
        <w:rPr>
          <w:rFonts w:hint="default" w:ascii="Times New Roman" w:hAnsi="Times New Roman" w:cs="Times New Roman"/>
          <w:bCs/>
          <w:kern w:val="44"/>
          <w:sz w:val="24"/>
          <w:szCs w:val="24"/>
        </w:rPr>
        <w:t>7</w:t>
      </w:r>
      <w:r>
        <w:rPr>
          <w:rFonts w:ascii="Times New Roman" w:hAnsi="Times New Roman" w:cs="Times New Roman"/>
          <w:bCs/>
          <w:kern w:val="44"/>
          <w:sz w:val="24"/>
          <w:szCs w:val="24"/>
        </w:rPr>
        <w:t xml:space="preserve"> </w:t>
      </w:r>
      <w:r>
        <w:rPr>
          <w:rFonts w:hint="default" w:ascii="Times New Roman" w:hAnsi="Times New Roman" w:cs="Times New Roman"/>
          <w:bCs/>
          <w:kern w:val="44"/>
          <w:sz w:val="24"/>
          <w:szCs w:val="24"/>
          <w:lang w:val="en-US" w:eastAsia="zh-CN"/>
        </w:rPr>
        <w:t xml:space="preserve"> </w:t>
      </w:r>
      <w:r>
        <w:rPr>
          <w:rFonts w:hint="eastAsia"/>
          <w:kern w:val="44"/>
          <w:sz w:val="24"/>
          <w:szCs w:val="24"/>
        </w:rPr>
        <w:t>Building materials and construction</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_Toc28031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16</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14:paraId="33946EF4">
      <w:pPr>
        <w:pStyle w:val="12"/>
        <w:tabs>
          <w:tab w:val="right" w:leader="dot" w:pos="8306"/>
        </w:tabs>
        <w:spacing w:line="360" w:lineRule="auto"/>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_Toc27364 </w:instrText>
      </w:r>
      <w:r>
        <w:rPr>
          <w:rFonts w:hint="default" w:ascii="Times New Roman" w:hAnsi="Times New Roman" w:cs="Times New Roman"/>
          <w:sz w:val="21"/>
          <w:szCs w:val="21"/>
        </w:rPr>
        <w:fldChar w:fldCharType="separate"/>
      </w:r>
      <w:r>
        <w:rPr>
          <w:rFonts w:hint="default" w:ascii="Times New Roman" w:hAnsi="Times New Roman" w:eastAsia="宋体" w:cs="Times New Roman"/>
          <w:bCs/>
          <w:sz w:val="21"/>
          <w:szCs w:val="21"/>
        </w:rPr>
        <w:t xml:space="preserve">7.1 </w:t>
      </w:r>
      <w:r>
        <w:rPr>
          <w:rFonts w:hint="default" w:ascii="Times New Roman" w:hAnsi="Times New Roman" w:cs="Times New Roman"/>
          <w:bCs/>
          <w:sz w:val="21"/>
          <w:szCs w:val="21"/>
          <w:lang w:val="en-US" w:eastAsia="zh-CN"/>
        </w:rPr>
        <w:t xml:space="preserve"> </w:t>
      </w:r>
      <w:r>
        <w:rPr>
          <w:rFonts w:hint="eastAsia"/>
          <w:kern w:val="44"/>
          <w:sz w:val="21"/>
          <w:szCs w:val="21"/>
        </w:rPr>
        <w:t>Prerequisite items</w:t>
      </w:r>
      <w:r>
        <w:rPr>
          <w:rFonts w:hint="default" w:ascii="Times New Roman" w:hAnsi="Times New Roman" w:cs="Times New Roman"/>
          <w:sz w:val="21"/>
          <w:szCs w:val="21"/>
        </w:rPr>
        <w:tab/>
      </w: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PAGEREF _Toc27364 \h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rPr>
        <w:t>16</w:t>
      </w:r>
      <w:r>
        <w:rPr>
          <w:rFonts w:hint="default" w:ascii="Times New Roman" w:hAnsi="Times New Roman" w:cs="Times New Roman"/>
          <w:sz w:val="21"/>
          <w:szCs w:val="21"/>
        </w:rPr>
        <w:fldChar w:fldCharType="end"/>
      </w:r>
      <w:r>
        <w:rPr>
          <w:rFonts w:hint="default" w:ascii="Times New Roman" w:hAnsi="Times New Roman" w:cs="Times New Roman"/>
          <w:sz w:val="21"/>
          <w:szCs w:val="21"/>
        </w:rPr>
        <w:fldChar w:fldCharType="end"/>
      </w:r>
    </w:p>
    <w:p w14:paraId="242C59FC">
      <w:pPr>
        <w:pStyle w:val="12"/>
        <w:tabs>
          <w:tab w:val="right" w:leader="dot" w:pos="8306"/>
        </w:tabs>
        <w:spacing w:line="360" w:lineRule="auto"/>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_Toc2665 </w:instrText>
      </w:r>
      <w:r>
        <w:rPr>
          <w:rFonts w:hint="default" w:ascii="Times New Roman" w:hAnsi="Times New Roman" w:cs="Times New Roman"/>
          <w:sz w:val="21"/>
          <w:szCs w:val="21"/>
        </w:rPr>
        <w:fldChar w:fldCharType="separate"/>
      </w:r>
      <w:r>
        <w:rPr>
          <w:rFonts w:hint="default" w:ascii="Times New Roman" w:hAnsi="Times New Roman" w:eastAsia="宋体" w:cs="Times New Roman"/>
          <w:bCs/>
          <w:sz w:val="21"/>
          <w:szCs w:val="21"/>
        </w:rPr>
        <w:t xml:space="preserve">7.2 </w:t>
      </w:r>
      <w:r>
        <w:rPr>
          <w:rFonts w:hint="default" w:ascii="Times New Roman" w:hAnsi="Times New Roman" w:cs="Times New Roman"/>
          <w:bCs/>
          <w:sz w:val="21"/>
          <w:szCs w:val="21"/>
          <w:lang w:val="en-US" w:eastAsia="zh-CN"/>
        </w:rPr>
        <w:t xml:space="preserve"> </w:t>
      </w:r>
      <w:r>
        <w:rPr>
          <w:kern w:val="44"/>
          <w:sz w:val="21"/>
          <w:szCs w:val="21"/>
        </w:rPr>
        <w:t xml:space="preserve">Scoring </w:t>
      </w:r>
      <w:r>
        <w:rPr>
          <w:rFonts w:hint="eastAsia"/>
          <w:kern w:val="44"/>
          <w:sz w:val="21"/>
          <w:szCs w:val="21"/>
        </w:rPr>
        <w:t>i</w:t>
      </w:r>
      <w:r>
        <w:rPr>
          <w:kern w:val="44"/>
          <w:sz w:val="21"/>
          <w:szCs w:val="21"/>
        </w:rPr>
        <w:t>tems</w:t>
      </w:r>
      <w:r>
        <w:rPr>
          <w:rFonts w:hint="default" w:ascii="Times New Roman" w:hAnsi="Times New Roman" w:cs="Times New Roman"/>
          <w:sz w:val="21"/>
          <w:szCs w:val="21"/>
        </w:rPr>
        <w:tab/>
      </w: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PAGEREF _Toc2665 \h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rPr>
        <w:t>16</w:t>
      </w:r>
      <w:r>
        <w:rPr>
          <w:rFonts w:hint="default" w:ascii="Times New Roman" w:hAnsi="Times New Roman" w:cs="Times New Roman"/>
          <w:sz w:val="21"/>
          <w:szCs w:val="21"/>
        </w:rPr>
        <w:fldChar w:fldCharType="end"/>
      </w:r>
      <w:r>
        <w:rPr>
          <w:rFonts w:hint="default" w:ascii="Times New Roman" w:hAnsi="Times New Roman" w:cs="Times New Roman"/>
          <w:sz w:val="21"/>
          <w:szCs w:val="21"/>
        </w:rPr>
        <w:fldChar w:fldCharType="end"/>
      </w:r>
    </w:p>
    <w:p w14:paraId="4F100ABD">
      <w:pPr>
        <w:pStyle w:val="11"/>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_Toc30252 </w:instrText>
      </w:r>
      <w:r>
        <w:rPr>
          <w:rFonts w:hint="default" w:ascii="Times New Roman" w:hAnsi="Times New Roman" w:cs="Times New Roman"/>
          <w:sz w:val="24"/>
          <w:szCs w:val="24"/>
        </w:rPr>
        <w:fldChar w:fldCharType="separate"/>
      </w:r>
      <w:r>
        <w:rPr>
          <w:rFonts w:hint="default" w:ascii="Times New Roman" w:hAnsi="Times New Roman" w:cs="Times New Roman"/>
          <w:bCs/>
          <w:kern w:val="44"/>
          <w:sz w:val="24"/>
          <w:szCs w:val="24"/>
        </w:rPr>
        <w:t>8</w:t>
      </w:r>
      <w:r>
        <w:rPr>
          <w:rFonts w:ascii="Times New Roman" w:hAnsi="Times New Roman" w:cs="Times New Roman"/>
          <w:bCs/>
          <w:kern w:val="44"/>
          <w:sz w:val="24"/>
          <w:szCs w:val="24"/>
        </w:rPr>
        <w:t xml:space="preserve"> </w:t>
      </w:r>
      <w:r>
        <w:rPr>
          <w:rFonts w:hint="default" w:ascii="Times New Roman" w:hAnsi="Times New Roman" w:cs="Times New Roman"/>
          <w:bCs/>
          <w:kern w:val="44"/>
          <w:sz w:val="24"/>
          <w:szCs w:val="24"/>
          <w:lang w:val="en-US" w:eastAsia="zh-CN"/>
        </w:rPr>
        <w:t xml:space="preserve"> </w:t>
      </w:r>
      <w:r>
        <w:rPr>
          <w:kern w:val="44"/>
          <w:sz w:val="24"/>
          <w:szCs w:val="24"/>
        </w:rPr>
        <w:t xml:space="preserve">Promotion and </w:t>
      </w:r>
      <w:r>
        <w:rPr>
          <w:rFonts w:hint="eastAsia"/>
          <w:kern w:val="44"/>
          <w:sz w:val="24"/>
          <w:szCs w:val="24"/>
        </w:rPr>
        <w:t>i</w:t>
      </w:r>
      <w:r>
        <w:rPr>
          <w:kern w:val="44"/>
          <w:sz w:val="24"/>
          <w:szCs w:val="24"/>
        </w:rPr>
        <w:t>nnovation</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_Toc30252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19</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14:paraId="3540B54B">
      <w:pPr>
        <w:pStyle w:val="11"/>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_Toc24485 </w:instrText>
      </w:r>
      <w:r>
        <w:rPr>
          <w:rFonts w:hint="default" w:ascii="Times New Roman" w:hAnsi="Times New Roman" w:cs="Times New Roman"/>
          <w:sz w:val="24"/>
          <w:szCs w:val="24"/>
        </w:rPr>
        <w:fldChar w:fldCharType="separate"/>
      </w:r>
      <w:r>
        <w:rPr>
          <w:rFonts w:hint="eastAsia"/>
          <w:kern w:val="44"/>
          <w:sz w:val="24"/>
          <w:szCs w:val="24"/>
        </w:rPr>
        <w:t xml:space="preserve">Appendix </w:t>
      </w:r>
      <w:r>
        <w:rPr>
          <w:rFonts w:hint="default" w:ascii="Times New Roman" w:hAnsi="Times New Roman" w:cs="Times New Roman"/>
          <w:sz w:val="24"/>
          <w:szCs w:val="24"/>
        </w:rPr>
        <w:t xml:space="preserve">A  </w:t>
      </w:r>
      <w:r>
        <w:rPr>
          <w:rFonts w:hint="eastAsia" w:eastAsia="黑体"/>
          <w:sz w:val="24"/>
          <w:szCs w:val="24"/>
        </w:rPr>
        <w:t>Carbon emission calculation</w:t>
      </w:r>
      <w:r>
        <w:rPr>
          <w:rFonts w:eastAsia="黑体"/>
          <w:sz w:val="24"/>
          <w:szCs w:val="24"/>
        </w:rPr>
        <w:t xml:space="preserve"> for low-carbon retrofitting for civilian</w:t>
      </w:r>
      <w:r>
        <w:rPr>
          <w:rFonts w:hint="eastAsia" w:eastAsia="黑体"/>
          <w:sz w:val="24"/>
          <w:szCs w:val="24"/>
        </w:rPr>
        <w:t xml:space="preserve"> </w:t>
      </w:r>
      <w:r>
        <w:rPr>
          <w:rFonts w:eastAsia="黑体"/>
          <w:sz w:val="24"/>
          <w:szCs w:val="24"/>
        </w:rPr>
        <w:t xml:space="preserve">use of existing </w:t>
      </w:r>
      <w:r>
        <w:rPr>
          <w:rFonts w:hint="eastAsia" w:eastAsia="黑体"/>
          <w:sz w:val="24"/>
          <w:szCs w:val="24"/>
        </w:rPr>
        <w:t>i</w:t>
      </w:r>
      <w:r>
        <w:rPr>
          <w:rFonts w:eastAsia="黑体"/>
          <w:sz w:val="24"/>
          <w:szCs w:val="24"/>
        </w:rPr>
        <w:t>ndustrial building</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_Toc24485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21</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14:paraId="3A2C5E9B">
      <w:pPr>
        <w:pStyle w:val="12"/>
        <w:tabs>
          <w:tab w:val="right" w:leader="dot" w:pos="8306"/>
        </w:tabs>
        <w:spacing w:line="360" w:lineRule="auto"/>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_Toc14817 </w:instrText>
      </w:r>
      <w:r>
        <w:rPr>
          <w:rFonts w:hint="default" w:ascii="Times New Roman" w:hAnsi="Times New Roman" w:cs="Times New Roman"/>
          <w:sz w:val="21"/>
          <w:szCs w:val="21"/>
        </w:rPr>
        <w:fldChar w:fldCharType="separate"/>
      </w:r>
      <w:r>
        <w:rPr>
          <w:rFonts w:hint="default" w:ascii="Times New Roman" w:hAnsi="Times New Roman" w:eastAsia="宋体" w:cs="Times New Roman"/>
          <w:bCs/>
          <w:sz w:val="21"/>
          <w:szCs w:val="21"/>
        </w:rPr>
        <w:t xml:space="preserve">A.1  </w:t>
      </w:r>
      <w:r>
        <w:rPr>
          <w:rFonts w:hint="eastAsia" w:eastAsia="黑体"/>
          <w:sz w:val="21"/>
          <w:szCs w:val="21"/>
        </w:rPr>
        <w:t>Carbon emission calculation method</w:t>
      </w:r>
      <w:r>
        <w:rPr>
          <w:rFonts w:hint="default" w:ascii="Times New Roman" w:hAnsi="Times New Roman" w:cs="Times New Roman"/>
          <w:sz w:val="21"/>
          <w:szCs w:val="21"/>
        </w:rPr>
        <w:tab/>
      </w: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PAGEREF _Toc14817 \h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rPr>
        <w:t>21</w:t>
      </w:r>
      <w:r>
        <w:rPr>
          <w:rFonts w:hint="default" w:ascii="Times New Roman" w:hAnsi="Times New Roman" w:cs="Times New Roman"/>
          <w:sz w:val="21"/>
          <w:szCs w:val="21"/>
        </w:rPr>
        <w:fldChar w:fldCharType="end"/>
      </w:r>
      <w:r>
        <w:rPr>
          <w:rFonts w:hint="default" w:ascii="Times New Roman" w:hAnsi="Times New Roman" w:cs="Times New Roman"/>
          <w:sz w:val="21"/>
          <w:szCs w:val="21"/>
        </w:rPr>
        <w:fldChar w:fldCharType="end"/>
      </w:r>
    </w:p>
    <w:p w14:paraId="557B6668">
      <w:pPr>
        <w:pStyle w:val="12"/>
        <w:tabs>
          <w:tab w:val="right" w:leader="dot" w:pos="8306"/>
        </w:tabs>
        <w:spacing w:line="360" w:lineRule="auto"/>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_Toc20580 </w:instrText>
      </w:r>
      <w:r>
        <w:rPr>
          <w:rFonts w:hint="default" w:ascii="Times New Roman" w:hAnsi="Times New Roman" w:cs="Times New Roman"/>
          <w:sz w:val="21"/>
          <w:szCs w:val="21"/>
        </w:rPr>
        <w:fldChar w:fldCharType="separate"/>
      </w:r>
      <w:r>
        <w:rPr>
          <w:rFonts w:hint="default" w:ascii="Times New Roman" w:hAnsi="Times New Roman" w:eastAsia="宋体" w:cs="Times New Roman"/>
          <w:bCs/>
          <w:sz w:val="21"/>
          <w:szCs w:val="21"/>
        </w:rPr>
        <w:t xml:space="preserve">A.2  </w:t>
      </w:r>
      <w:r>
        <w:rPr>
          <w:rFonts w:hint="eastAsia" w:eastAsia="黑体"/>
          <w:sz w:val="21"/>
          <w:szCs w:val="21"/>
        </w:rPr>
        <w:t>Carbon emission reduction benefit</w:t>
      </w:r>
      <w:r>
        <w:rPr>
          <w:rFonts w:hint="default" w:ascii="Times New Roman" w:hAnsi="Times New Roman" w:cs="Times New Roman"/>
          <w:sz w:val="21"/>
          <w:szCs w:val="21"/>
        </w:rPr>
        <w:tab/>
      </w: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PAGEREF _Toc20580 \h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rPr>
        <w:t>23</w:t>
      </w:r>
      <w:r>
        <w:rPr>
          <w:rFonts w:hint="default" w:ascii="Times New Roman" w:hAnsi="Times New Roman" w:cs="Times New Roman"/>
          <w:sz w:val="21"/>
          <w:szCs w:val="21"/>
        </w:rPr>
        <w:fldChar w:fldCharType="end"/>
      </w:r>
      <w:r>
        <w:rPr>
          <w:rFonts w:hint="default" w:ascii="Times New Roman" w:hAnsi="Times New Roman" w:cs="Times New Roman"/>
          <w:sz w:val="21"/>
          <w:szCs w:val="21"/>
        </w:rPr>
        <w:fldChar w:fldCharType="end"/>
      </w:r>
    </w:p>
    <w:p w14:paraId="356AF87C">
      <w:pPr>
        <w:pStyle w:val="11"/>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_Toc8616 </w:instrText>
      </w:r>
      <w:r>
        <w:rPr>
          <w:rFonts w:hint="default" w:ascii="Times New Roman" w:hAnsi="Times New Roman" w:cs="Times New Roman"/>
          <w:sz w:val="24"/>
          <w:szCs w:val="24"/>
        </w:rPr>
        <w:fldChar w:fldCharType="separate"/>
      </w:r>
      <w:r>
        <w:rPr>
          <w:rStyle w:val="19"/>
          <w:rFonts w:ascii="Times New Roman" w:hAnsi="Times New Roman"/>
          <w:bCs/>
          <w:color w:val="auto"/>
          <w:sz w:val="24"/>
          <w:szCs w:val="24"/>
          <w:u w:val="none"/>
        </w:rPr>
        <w:t>Explanation of wording</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_Toc8616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24</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14:paraId="152363E3">
      <w:pPr>
        <w:pStyle w:val="11"/>
        <w:tabs>
          <w:tab w:val="right" w:leader="dot" w:pos="8306"/>
        </w:tabs>
        <w:spacing w:line="360" w:lineRule="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_Toc8742 </w:instrText>
      </w:r>
      <w:r>
        <w:rPr>
          <w:rFonts w:hint="default" w:ascii="Times New Roman" w:hAnsi="Times New Roman" w:cs="Times New Roman"/>
          <w:sz w:val="24"/>
          <w:szCs w:val="24"/>
        </w:rPr>
        <w:fldChar w:fldCharType="separate"/>
      </w:r>
      <w:r>
        <w:rPr>
          <w:rStyle w:val="19"/>
          <w:rFonts w:ascii="Times New Roman" w:hAnsi="Times New Roman"/>
          <w:bCs/>
          <w:color w:val="auto"/>
          <w:sz w:val="24"/>
          <w:szCs w:val="24"/>
          <w:u w:val="none"/>
        </w:rPr>
        <w:t>List of quoted standards</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_Toc8742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25</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14:paraId="584094A5">
      <w:pPr>
        <w:pStyle w:val="11"/>
        <w:tabs>
          <w:tab w:val="right" w:leader="dot" w:pos="8306"/>
        </w:tabs>
        <w:spacing w:line="360" w:lineRule="auto"/>
        <w:rPr>
          <w:rFonts w:hint="default" w:ascii="Times New Roman" w:hAnsi="Times New Roman" w:eastAsia="宋体" w:cs="Times New Roman"/>
          <w:sz w:val="24"/>
          <w:szCs w:val="24"/>
          <w:lang w:val="en-US" w:eastAsia="zh-CN"/>
        </w:rPr>
      </w:pPr>
      <w:r>
        <w:fldChar w:fldCharType="begin"/>
      </w:r>
      <w:r>
        <w:instrText xml:space="preserve"> HYPERLINK \l "_Toc9579" </w:instrText>
      </w:r>
      <w:r>
        <w:fldChar w:fldCharType="separate"/>
      </w:r>
      <w:r>
        <w:rPr>
          <w:rStyle w:val="19"/>
          <w:bCs/>
          <w:color w:val="auto"/>
          <w:sz w:val="24"/>
          <w:szCs w:val="24"/>
          <w:u w:val="none"/>
        </w:rPr>
        <w:t>Addition</w:t>
      </w:r>
      <w:r>
        <w:rPr>
          <w:rStyle w:val="19"/>
          <w:rFonts w:hint="eastAsia"/>
          <w:bCs/>
          <w:color w:val="auto"/>
          <w:sz w:val="24"/>
          <w:szCs w:val="24"/>
          <w:u w:val="none"/>
        </w:rPr>
        <w:t>：</w:t>
      </w:r>
      <w:r>
        <w:rPr>
          <w:rStyle w:val="19"/>
          <w:bCs/>
          <w:color w:val="auto"/>
          <w:sz w:val="24"/>
          <w:szCs w:val="24"/>
          <w:u w:val="none"/>
        </w:rPr>
        <w:fldChar w:fldCharType="begin"/>
      </w:r>
      <w:r>
        <w:rPr>
          <w:rStyle w:val="19"/>
          <w:bCs/>
          <w:color w:val="auto"/>
          <w:sz w:val="24"/>
          <w:szCs w:val="24"/>
          <w:u w:val="none"/>
        </w:rPr>
        <w:instrText xml:space="preserve"> HYPERLINK \l "_Toc84602581" </w:instrText>
      </w:r>
      <w:r>
        <w:rPr>
          <w:rStyle w:val="19"/>
          <w:bCs/>
          <w:color w:val="auto"/>
          <w:sz w:val="24"/>
          <w:szCs w:val="24"/>
          <w:u w:val="none"/>
        </w:rPr>
        <w:fldChar w:fldCharType="separate"/>
      </w:r>
      <w:r>
        <w:rPr>
          <w:rStyle w:val="19"/>
          <w:bCs/>
          <w:color w:val="auto"/>
          <w:sz w:val="24"/>
          <w:szCs w:val="24"/>
          <w:u w:val="none"/>
        </w:rPr>
        <w:t>Explanation of provisions</w:t>
      </w:r>
      <w:r>
        <w:rPr>
          <w:rStyle w:val="19"/>
          <w:bCs/>
          <w:color w:val="auto"/>
          <w:sz w:val="24"/>
          <w:szCs w:val="24"/>
          <w:u w:val="none"/>
        </w:rPr>
        <w:fldChar w:fldCharType="end"/>
      </w:r>
      <w:r>
        <w:rPr>
          <w:rFonts w:hint="default" w:ascii="Times New Roman" w:hAnsi="Times New Roman" w:cs="Times New Roman"/>
          <w:sz w:val="24"/>
          <w:szCs w:val="24"/>
        </w:rPr>
        <w:tab/>
      </w:r>
      <w:r>
        <w:rPr>
          <w:rFonts w:hint="default" w:ascii="Times New Roman" w:hAnsi="Times New Roman" w:cs="Times New Roman"/>
          <w:sz w:val="24"/>
          <w:szCs w:val="24"/>
          <w:lang w:val="en-US" w:eastAsia="zh-CN"/>
        </w:rPr>
        <w:t>2</w:t>
      </w:r>
      <w:r>
        <w:rPr>
          <w:rFonts w:hint="default" w:ascii="Times New Roman" w:hAnsi="Times New Roman" w:cs="Times New Roman"/>
          <w:sz w:val="24"/>
          <w:szCs w:val="24"/>
        </w:rPr>
        <w:fldChar w:fldCharType="end"/>
      </w:r>
      <w:r>
        <w:rPr>
          <w:rFonts w:hint="default" w:ascii="Times New Roman" w:hAnsi="Times New Roman" w:cs="Times New Roman"/>
          <w:sz w:val="24"/>
          <w:szCs w:val="24"/>
          <w:lang w:val="en-US" w:eastAsia="zh-CN"/>
        </w:rPr>
        <w:t>6</w:t>
      </w:r>
    </w:p>
    <w:p w14:paraId="1A7F1084">
      <w:pPr>
        <w:widowControl/>
        <w:snapToGrid w:val="0"/>
        <w:spacing w:line="360" w:lineRule="auto"/>
        <w:rPr>
          <w:rFonts w:hint="default" w:ascii="Times New Roman" w:hAnsi="Times New Roman" w:cs="Times New Roman"/>
          <w:sz w:val="24"/>
          <w:szCs w:val="24"/>
        </w:rPr>
        <w:sectPr>
          <w:footerReference r:id="rId7" w:type="default"/>
          <w:pgSz w:w="11906" w:h="16838"/>
          <w:pgMar w:top="1440" w:right="1800" w:bottom="1440" w:left="1800" w:header="851" w:footer="992" w:gutter="0"/>
          <w:pgNumType w:start="1"/>
          <w:cols w:space="425" w:num="1"/>
          <w:docGrid w:type="lines" w:linePitch="312" w:charSpace="0"/>
        </w:sectPr>
      </w:pPr>
    </w:p>
    <w:p w14:paraId="048BEFEB">
      <w:pPr>
        <w:widowControl/>
        <w:snapToGrid w:val="0"/>
        <w:spacing w:line="360" w:lineRule="auto"/>
        <w:jc w:val="center"/>
        <w:outlineLvl w:val="9"/>
        <w:rPr>
          <w:rFonts w:ascii="Times New Roman" w:hAnsi="Times New Roman" w:cs="Times New Roman"/>
          <w:b/>
          <w:bCs/>
          <w:kern w:val="44"/>
          <w:sz w:val="30"/>
          <w:szCs w:val="30"/>
        </w:rPr>
      </w:pPr>
      <w:bookmarkStart w:id="52" w:name="_Toc11459"/>
      <w:bookmarkStart w:id="53" w:name="_Toc20318"/>
      <w:bookmarkStart w:id="54" w:name="_Toc29449"/>
    </w:p>
    <w:p w14:paraId="08E905BB">
      <w:pPr>
        <w:widowControl/>
        <w:snapToGrid w:val="0"/>
        <w:spacing w:line="360" w:lineRule="auto"/>
        <w:jc w:val="center"/>
        <w:outlineLvl w:val="0"/>
        <w:rPr>
          <w:b/>
          <w:bCs/>
          <w:kern w:val="44"/>
          <w:sz w:val="30"/>
          <w:szCs w:val="30"/>
        </w:rPr>
      </w:pPr>
      <w:bookmarkStart w:id="55" w:name="_Toc19007"/>
      <w:bookmarkStart w:id="56" w:name="_Toc3701"/>
      <w:r>
        <w:rPr>
          <w:rFonts w:ascii="Times New Roman" w:hAnsi="Times New Roman" w:cs="Times New Roman"/>
          <w:b/>
          <w:bCs/>
          <w:kern w:val="44"/>
          <w:sz w:val="30"/>
          <w:szCs w:val="30"/>
        </w:rPr>
        <w:t>1</w:t>
      </w:r>
      <w:r>
        <w:rPr>
          <w:rFonts w:ascii="宋体" w:hAnsi="宋体" w:cs="宋体"/>
          <w:b/>
          <w:bCs/>
          <w:kern w:val="44"/>
          <w:sz w:val="30"/>
          <w:szCs w:val="30"/>
        </w:rPr>
        <w:t xml:space="preserve"> </w:t>
      </w:r>
      <w:r>
        <w:rPr>
          <w:rFonts w:hint="eastAsia" w:ascii="宋体" w:hAnsi="宋体" w:cs="宋体"/>
          <w:b/>
          <w:bCs/>
          <w:kern w:val="44"/>
          <w:sz w:val="30"/>
          <w:szCs w:val="30"/>
        </w:rPr>
        <w:t>总则</w:t>
      </w:r>
      <w:bookmarkEnd w:id="45"/>
      <w:bookmarkEnd w:id="46"/>
      <w:bookmarkEnd w:id="47"/>
      <w:bookmarkEnd w:id="48"/>
      <w:bookmarkEnd w:id="49"/>
      <w:bookmarkEnd w:id="52"/>
      <w:bookmarkEnd w:id="53"/>
      <w:bookmarkEnd w:id="54"/>
      <w:bookmarkEnd w:id="55"/>
      <w:bookmarkEnd w:id="56"/>
    </w:p>
    <w:p w14:paraId="4461FFA6">
      <w:pPr>
        <w:spacing w:line="360" w:lineRule="auto"/>
        <w:rPr>
          <w:sz w:val="24"/>
          <w:szCs w:val="24"/>
        </w:rPr>
      </w:pPr>
      <w:r>
        <w:rPr>
          <w:rFonts w:ascii="Times New Roman" w:eastAsia="黑体"/>
          <w:b/>
          <w:bCs/>
          <w:sz w:val="24"/>
          <w:szCs w:val="24"/>
        </w:rPr>
        <w:t>1.0.1</w:t>
      </w:r>
      <w:r>
        <w:rPr>
          <w:rFonts w:hint="eastAsia"/>
          <w:sz w:val="24"/>
          <w:szCs w:val="24"/>
        </w:rPr>
        <w:t xml:space="preserve">  为促进既有工业建筑民用化低碳改造，降低既有工业建筑再利用过程中的碳排放，做到技术先进、内容科学、经济合理，规范既有工业建筑民用化低碳改造评价，制定本标准。</w:t>
      </w:r>
    </w:p>
    <w:p w14:paraId="2E4D5B61">
      <w:pPr>
        <w:spacing w:line="360" w:lineRule="auto"/>
        <w:rPr>
          <w:sz w:val="24"/>
          <w:szCs w:val="24"/>
        </w:rPr>
      </w:pPr>
      <w:r>
        <w:rPr>
          <w:rFonts w:ascii="Times New Roman" w:eastAsia="黑体"/>
          <w:b/>
          <w:bCs/>
          <w:sz w:val="24"/>
          <w:szCs w:val="24"/>
        </w:rPr>
        <w:t>1.0.2</w:t>
      </w:r>
      <w:r>
        <w:rPr>
          <w:rFonts w:hint="eastAsia"/>
          <w:sz w:val="24"/>
          <w:szCs w:val="24"/>
        </w:rPr>
        <w:t xml:space="preserve">  本标准适用于既有工业建筑民用化低碳性能改造的评价。</w:t>
      </w:r>
    </w:p>
    <w:p w14:paraId="5C368DC3">
      <w:pPr>
        <w:spacing w:line="360" w:lineRule="auto"/>
        <w:rPr>
          <w:sz w:val="24"/>
          <w:szCs w:val="24"/>
        </w:rPr>
      </w:pPr>
      <w:r>
        <w:rPr>
          <w:rFonts w:ascii="Times New Roman" w:eastAsia="黑体"/>
          <w:b/>
          <w:bCs/>
          <w:sz w:val="24"/>
          <w:szCs w:val="24"/>
        </w:rPr>
        <w:t>1.0.3</w:t>
      </w:r>
      <w:r>
        <w:rPr>
          <w:rFonts w:hint="eastAsia"/>
          <w:sz w:val="24"/>
          <w:szCs w:val="24"/>
        </w:rPr>
        <w:t xml:space="preserve">  既有工业建筑民用化低碳改造评价应遵循因地制宜的原则，结合当地的气候、环境、资源、经济和人文等特点，对既有工业建筑民用化低碳改造全寿命期内的场地与环境、建筑改造与利用、能源与水资源利用、建材与建造等性能进行综合评价。</w:t>
      </w:r>
    </w:p>
    <w:p w14:paraId="1936F64E">
      <w:pPr>
        <w:spacing w:line="360" w:lineRule="auto"/>
        <w:rPr>
          <w:sz w:val="24"/>
          <w:szCs w:val="24"/>
        </w:rPr>
      </w:pPr>
      <w:r>
        <w:rPr>
          <w:rFonts w:ascii="Times New Roman" w:eastAsia="黑体"/>
          <w:b/>
          <w:bCs/>
          <w:sz w:val="24"/>
          <w:szCs w:val="24"/>
        </w:rPr>
        <w:t>1.0.4</w:t>
      </w:r>
      <w:r>
        <w:rPr>
          <w:rFonts w:hint="eastAsia"/>
          <w:sz w:val="24"/>
          <w:szCs w:val="24"/>
        </w:rPr>
        <w:t xml:space="preserve">  既有工业建筑民用化低碳改造评价除应符合本标准的规定外，尚应符合国家现行有关标准和现行中国工程建设标准化协会有关标准的规定。</w:t>
      </w:r>
    </w:p>
    <w:p w14:paraId="59CC15CA">
      <w:pPr>
        <w:widowControl/>
        <w:snapToGrid w:val="0"/>
        <w:spacing w:line="360" w:lineRule="auto"/>
        <w:jc w:val="center"/>
        <w:outlineLvl w:val="9"/>
        <w:rPr>
          <w:rFonts w:ascii="Times New Roman" w:hAnsi="Times New Roman" w:cs="Times New Roman"/>
          <w:b/>
          <w:bCs/>
          <w:kern w:val="44"/>
          <w:sz w:val="30"/>
          <w:szCs w:val="30"/>
        </w:rPr>
        <w:sectPr>
          <w:footerReference r:id="rId8" w:type="default"/>
          <w:pgSz w:w="11906" w:h="16838"/>
          <w:pgMar w:top="1440" w:right="1800" w:bottom="1440" w:left="1800" w:header="851" w:footer="992" w:gutter="0"/>
          <w:pgNumType w:start="1"/>
          <w:cols w:space="425" w:num="1"/>
          <w:docGrid w:type="lines" w:linePitch="312" w:charSpace="0"/>
        </w:sectPr>
      </w:pPr>
      <w:bookmarkStart w:id="57" w:name="_Toc32002"/>
      <w:bookmarkStart w:id="58" w:name="_Toc6296"/>
      <w:bookmarkStart w:id="59" w:name="_Toc9579"/>
      <w:bookmarkStart w:id="60" w:name="_Toc4463"/>
      <w:bookmarkStart w:id="61" w:name="_Toc14156"/>
      <w:bookmarkStart w:id="62" w:name="_Toc4472"/>
      <w:bookmarkStart w:id="63" w:name="_Toc28801"/>
      <w:bookmarkStart w:id="64" w:name="_Toc19585"/>
    </w:p>
    <w:p w14:paraId="19C18420">
      <w:pPr>
        <w:widowControl/>
        <w:snapToGrid w:val="0"/>
        <w:spacing w:line="360" w:lineRule="auto"/>
        <w:jc w:val="center"/>
        <w:outlineLvl w:val="9"/>
        <w:rPr>
          <w:rFonts w:ascii="Times New Roman" w:hAnsi="Times New Roman" w:cs="Times New Roman"/>
          <w:b/>
          <w:bCs/>
          <w:kern w:val="44"/>
          <w:sz w:val="30"/>
          <w:szCs w:val="30"/>
        </w:rPr>
      </w:pPr>
    </w:p>
    <w:p w14:paraId="7F928B49">
      <w:pPr>
        <w:widowControl/>
        <w:snapToGrid w:val="0"/>
        <w:spacing w:line="360" w:lineRule="auto"/>
        <w:jc w:val="center"/>
        <w:outlineLvl w:val="0"/>
        <w:rPr>
          <w:rFonts w:ascii="宋体" w:hAnsi="宋体" w:cs="宋体"/>
          <w:b/>
          <w:bCs/>
          <w:kern w:val="44"/>
          <w:sz w:val="30"/>
          <w:szCs w:val="30"/>
        </w:rPr>
      </w:pPr>
      <w:bookmarkStart w:id="65" w:name="_Toc9671"/>
      <w:bookmarkStart w:id="66" w:name="_Toc7940"/>
      <w:r>
        <w:rPr>
          <w:rFonts w:ascii="Times New Roman" w:hAnsi="Times New Roman" w:cs="Times New Roman"/>
          <w:b/>
          <w:bCs/>
          <w:kern w:val="44"/>
          <w:sz w:val="30"/>
          <w:szCs w:val="30"/>
        </w:rPr>
        <w:t>2</w:t>
      </w:r>
      <w:r>
        <w:rPr>
          <w:rFonts w:ascii="宋体" w:hAnsi="宋体" w:cs="宋体"/>
          <w:b/>
          <w:bCs/>
          <w:kern w:val="44"/>
          <w:sz w:val="30"/>
          <w:szCs w:val="30"/>
        </w:rPr>
        <w:t xml:space="preserve"> </w:t>
      </w:r>
      <w:r>
        <w:rPr>
          <w:rFonts w:hint="eastAsia" w:ascii="宋体" w:hAnsi="宋体" w:cs="宋体"/>
          <w:b/>
          <w:bCs/>
          <w:kern w:val="44"/>
          <w:sz w:val="30"/>
          <w:szCs w:val="30"/>
        </w:rPr>
        <w:t>术语</w:t>
      </w:r>
      <w:bookmarkEnd w:id="57"/>
      <w:bookmarkEnd w:id="58"/>
      <w:bookmarkEnd w:id="59"/>
      <w:bookmarkEnd w:id="60"/>
      <w:bookmarkEnd w:id="61"/>
      <w:bookmarkEnd w:id="62"/>
      <w:bookmarkEnd w:id="63"/>
      <w:bookmarkEnd w:id="64"/>
      <w:bookmarkEnd w:id="65"/>
      <w:bookmarkEnd w:id="66"/>
    </w:p>
    <w:p w14:paraId="2E4AE638">
      <w:pPr>
        <w:spacing w:line="360" w:lineRule="auto"/>
        <w:rPr>
          <w:sz w:val="24"/>
          <w:szCs w:val="24"/>
        </w:rPr>
      </w:pPr>
      <w:r>
        <w:rPr>
          <w:rFonts w:ascii="Times New Roman" w:eastAsia="黑体"/>
          <w:b/>
          <w:bCs/>
          <w:sz w:val="24"/>
          <w:szCs w:val="24"/>
        </w:rPr>
        <w:t>2.0.1</w:t>
      </w:r>
      <w:r>
        <w:rPr>
          <w:rFonts w:hint="eastAsia"/>
          <w:sz w:val="24"/>
          <w:szCs w:val="24"/>
        </w:rPr>
        <w:t xml:space="preserve">  既有工业建筑existing industrial building</w:t>
      </w:r>
    </w:p>
    <w:p w14:paraId="0A6EBBB4">
      <w:pPr>
        <w:spacing w:line="360" w:lineRule="auto"/>
        <w:ind w:firstLine="480" w:firstLineChars="200"/>
        <w:rPr>
          <w:sz w:val="24"/>
          <w:szCs w:val="24"/>
        </w:rPr>
      </w:pPr>
      <w:r>
        <w:rPr>
          <w:rFonts w:hint="eastAsia"/>
          <w:sz w:val="24"/>
          <w:szCs w:val="24"/>
        </w:rPr>
        <w:t>为工业活动所建造的，仍具有使用价值的建筑物、构筑物、景观、场址、设施等。</w:t>
      </w:r>
    </w:p>
    <w:p w14:paraId="55239532">
      <w:pPr>
        <w:spacing w:line="360" w:lineRule="auto"/>
        <w:rPr>
          <w:sz w:val="24"/>
          <w:szCs w:val="24"/>
        </w:rPr>
      </w:pPr>
      <w:r>
        <w:rPr>
          <w:rFonts w:ascii="Times New Roman" w:eastAsia="黑体"/>
          <w:b/>
          <w:bCs/>
          <w:sz w:val="24"/>
          <w:szCs w:val="24"/>
        </w:rPr>
        <w:t>2.0.2</w:t>
      </w:r>
      <w:r>
        <w:rPr>
          <w:rFonts w:hint="eastAsia"/>
          <w:sz w:val="24"/>
          <w:szCs w:val="24"/>
        </w:rPr>
        <w:t xml:space="preserve">  民用化低碳改造</w:t>
      </w:r>
      <w:r>
        <w:rPr>
          <w:sz w:val="24"/>
          <w:szCs w:val="24"/>
        </w:rPr>
        <w:t>low-carbon retrofitting for civilian use</w:t>
      </w:r>
    </w:p>
    <w:p w14:paraId="511F90D4">
      <w:pPr>
        <w:spacing w:line="360" w:lineRule="auto"/>
        <w:ind w:firstLine="480" w:firstLineChars="200"/>
        <w:rPr>
          <w:sz w:val="24"/>
          <w:szCs w:val="24"/>
        </w:rPr>
      </w:pPr>
      <w:r>
        <w:rPr>
          <w:rFonts w:hint="eastAsia"/>
          <w:sz w:val="24"/>
          <w:szCs w:val="24"/>
        </w:rPr>
        <w:t>以节约能源资源、改善人居环境、提升使用功能、降低碳排放等为目标，将既有工业建筑民用化低碳改造为民用建筑所进行的维护、更新、加固等活动。</w:t>
      </w:r>
    </w:p>
    <w:p w14:paraId="430403E9">
      <w:pPr>
        <w:spacing w:line="360" w:lineRule="auto"/>
        <w:rPr>
          <w:sz w:val="24"/>
          <w:szCs w:val="24"/>
        </w:rPr>
      </w:pPr>
      <w:r>
        <w:rPr>
          <w:rFonts w:ascii="Times New Roman" w:eastAsia="黑体"/>
          <w:b/>
          <w:bCs/>
          <w:sz w:val="24"/>
          <w:szCs w:val="24"/>
        </w:rPr>
        <w:t>2.0.3</w:t>
      </w:r>
      <w:r>
        <w:rPr>
          <w:rFonts w:hint="eastAsia"/>
          <w:sz w:val="24"/>
          <w:szCs w:val="24"/>
        </w:rPr>
        <w:t xml:space="preserve">  绿色电力</w:t>
      </w:r>
      <w:r>
        <w:rPr>
          <w:sz w:val="24"/>
          <w:szCs w:val="24"/>
        </w:rPr>
        <w:t>green power</w:t>
      </w:r>
    </w:p>
    <w:p w14:paraId="0C16D4E5">
      <w:pPr>
        <w:spacing w:line="360" w:lineRule="auto"/>
        <w:ind w:firstLine="480" w:firstLineChars="200"/>
        <w:rPr>
          <w:sz w:val="24"/>
          <w:szCs w:val="24"/>
        </w:rPr>
      </w:pPr>
      <w:r>
        <w:rPr>
          <w:rFonts w:hint="eastAsia"/>
          <w:sz w:val="24"/>
          <w:szCs w:val="24"/>
        </w:rPr>
        <w:t>采用新能源或可再生能源生产的电力。</w:t>
      </w:r>
    </w:p>
    <w:p w14:paraId="62F20119">
      <w:pPr>
        <w:widowControl/>
        <w:spacing w:line="360" w:lineRule="auto"/>
        <w:rPr>
          <w:sz w:val="24"/>
          <w:szCs w:val="24"/>
        </w:rPr>
      </w:pPr>
      <w:r>
        <w:rPr>
          <w:rFonts w:ascii="Times New Roman" w:eastAsia="黑体"/>
          <w:b/>
          <w:bCs/>
          <w:sz w:val="24"/>
          <w:szCs w:val="24"/>
        </w:rPr>
        <w:t>2.0.4</w:t>
      </w:r>
      <w:r>
        <w:rPr>
          <w:sz w:val="24"/>
          <w:szCs w:val="24"/>
        </w:rPr>
        <w:t xml:space="preserve">  </w:t>
      </w:r>
      <w:r>
        <w:rPr>
          <w:rFonts w:hint="eastAsia"/>
          <w:sz w:val="24"/>
          <w:szCs w:val="24"/>
        </w:rPr>
        <w:t>碳强比</w:t>
      </w:r>
      <w:r>
        <w:rPr>
          <w:sz w:val="24"/>
          <w:szCs w:val="24"/>
        </w:rPr>
        <w:t>carbon intensity ratio</w:t>
      </w:r>
    </w:p>
    <w:p w14:paraId="14344FBB">
      <w:pPr>
        <w:widowControl/>
        <w:spacing w:line="300" w:lineRule="auto"/>
        <w:ind w:firstLine="480" w:firstLineChars="200"/>
        <w:jc w:val="left"/>
        <w:rPr>
          <w:rFonts w:hint="default" w:eastAsia="宋体"/>
          <w:lang w:val="en-US" w:eastAsia="zh-CN"/>
        </w:rPr>
      </w:pPr>
      <w:bookmarkStart w:id="67" w:name="OLE_LINK4"/>
      <w:r>
        <w:rPr>
          <w:rFonts w:hint="eastAsia"/>
          <w:sz w:val="24"/>
          <w:szCs w:val="24"/>
        </w:rPr>
        <w:t>建筑材料每单位强度需求或产生的碳排放量。</w:t>
      </w:r>
      <w:bookmarkEnd w:id="67"/>
    </w:p>
    <w:p w14:paraId="359A79A4"/>
    <w:p w14:paraId="02396BB6">
      <w:r>
        <w:rPr>
          <w:rFonts w:hint="eastAsia"/>
        </w:rPr>
        <w:br w:type="page"/>
      </w:r>
    </w:p>
    <w:p w14:paraId="1BA55CEE">
      <w:pPr>
        <w:widowControl/>
        <w:snapToGrid w:val="0"/>
        <w:spacing w:line="360" w:lineRule="auto"/>
        <w:jc w:val="center"/>
        <w:outlineLvl w:val="9"/>
        <w:rPr>
          <w:rFonts w:ascii="Times New Roman" w:hAnsi="Times New Roman" w:cs="Times New Roman"/>
          <w:b/>
          <w:bCs/>
          <w:kern w:val="44"/>
          <w:sz w:val="30"/>
          <w:szCs w:val="30"/>
        </w:rPr>
      </w:pPr>
      <w:bookmarkStart w:id="68" w:name="_Toc5631"/>
      <w:bookmarkStart w:id="69" w:name="_Toc30014"/>
      <w:bookmarkStart w:id="70" w:name="_Toc24392"/>
      <w:bookmarkStart w:id="71" w:name="_Toc32353"/>
      <w:bookmarkStart w:id="72" w:name="_Toc13691"/>
      <w:bookmarkStart w:id="73" w:name="_Toc2496"/>
      <w:bookmarkStart w:id="74" w:name="_Toc6368"/>
      <w:bookmarkStart w:id="75" w:name="_Toc3572"/>
    </w:p>
    <w:p w14:paraId="6FE5E481">
      <w:pPr>
        <w:widowControl/>
        <w:snapToGrid w:val="0"/>
        <w:spacing w:line="360" w:lineRule="auto"/>
        <w:jc w:val="center"/>
        <w:outlineLvl w:val="0"/>
        <w:rPr>
          <w:rFonts w:ascii="宋体" w:hAnsi="宋体" w:cs="宋体"/>
          <w:b/>
          <w:bCs/>
          <w:kern w:val="44"/>
          <w:sz w:val="30"/>
          <w:szCs w:val="30"/>
        </w:rPr>
      </w:pPr>
      <w:bookmarkStart w:id="76" w:name="_Toc28570"/>
      <w:bookmarkStart w:id="77" w:name="_Toc4241"/>
      <w:r>
        <w:rPr>
          <w:rFonts w:ascii="Times New Roman" w:hAnsi="Times New Roman" w:cs="Times New Roman"/>
          <w:b/>
          <w:bCs/>
          <w:kern w:val="44"/>
          <w:sz w:val="30"/>
          <w:szCs w:val="30"/>
        </w:rPr>
        <w:t>3</w:t>
      </w:r>
      <w:r>
        <w:rPr>
          <w:rFonts w:ascii="宋体" w:hAnsi="宋体" w:cs="宋体"/>
          <w:b/>
          <w:bCs/>
          <w:kern w:val="44"/>
          <w:sz w:val="30"/>
          <w:szCs w:val="30"/>
        </w:rPr>
        <w:t xml:space="preserve"> </w:t>
      </w:r>
      <w:r>
        <w:rPr>
          <w:rFonts w:hint="eastAsia" w:ascii="宋体" w:hAnsi="宋体" w:cs="宋体"/>
          <w:b/>
          <w:bCs/>
          <w:kern w:val="44"/>
          <w:sz w:val="30"/>
          <w:szCs w:val="30"/>
        </w:rPr>
        <w:t>基本规定</w:t>
      </w:r>
      <w:bookmarkEnd w:id="68"/>
      <w:bookmarkEnd w:id="69"/>
      <w:bookmarkEnd w:id="70"/>
      <w:bookmarkEnd w:id="71"/>
      <w:bookmarkEnd w:id="72"/>
      <w:bookmarkEnd w:id="73"/>
      <w:bookmarkEnd w:id="74"/>
      <w:bookmarkEnd w:id="75"/>
      <w:bookmarkEnd w:id="76"/>
      <w:bookmarkEnd w:id="77"/>
    </w:p>
    <w:p w14:paraId="7157AFD5">
      <w:pPr>
        <w:tabs>
          <w:tab w:val="left" w:pos="0"/>
        </w:tabs>
        <w:spacing w:before="0" w:beforeLines="0" w:after="0" w:afterLines="0" w:line="360" w:lineRule="auto"/>
        <w:jc w:val="center"/>
        <w:outlineLvl w:val="1"/>
        <w:rPr>
          <w:rFonts w:ascii="黑体" w:hAnsi="黑体" w:eastAsia="黑体" w:cs="黑体"/>
          <w:b/>
          <w:bCs/>
          <w:sz w:val="28"/>
          <w:szCs w:val="28"/>
        </w:rPr>
      </w:pPr>
      <w:bookmarkStart w:id="78" w:name="_Toc13286"/>
      <w:bookmarkStart w:id="79" w:name="_Toc16543"/>
      <w:bookmarkStart w:id="80" w:name="_Toc29963"/>
      <w:bookmarkStart w:id="81" w:name="_Toc1928"/>
      <w:bookmarkStart w:id="82" w:name="_Toc25533"/>
      <w:bookmarkStart w:id="83" w:name="_Toc13268"/>
      <w:bookmarkStart w:id="84" w:name="_Toc9924"/>
      <w:bookmarkStart w:id="85" w:name="_Toc3812"/>
      <w:bookmarkStart w:id="86" w:name="_Toc24540"/>
      <w:bookmarkStart w:id="87" w:name="_Toc24476"/>
      <w:r>
        <w:rPr>
          <w:rFonts w:ascii="Times New Roman" w:hAnsi="Times New Roman" w:eastAsia="黑体" w:cs="Times New Roman"/>
          <w:b/>
          <w:bCs/>
          <w:sz w:val="28"/>
          <w:szCs w:val="28"/>
        </w:rPr>
        <w:t>3.1</w:t>
      </w:r>
      <w:r>
        <w:rPr>
          <w:rFonts w:ascii="黑体" w:hAnsi="黑体" w:eastAsia="黑体" w:cs="黑体"/>
          <w:b/>
          <w:bCs/>
          <w:sz w:val="28"/>
          <w:szCs w:val="28"/>
        </w:rPr>
        <w:t xml:space="preserve">  </w:t>
      </w:r>
      <w:r>
        <w:rPr>
          <w:rFonts w:hint="eastAsia" w:ascii="黑体" w:hAnsi="黑体" w:eastAsia="黑体" w:cs="黑体"/>
          <w:b/>
          <w:bCs/>
          <w:sz w:val="28"/>
          <w:szCs w:val="28"/>
        </w:rPr>
        <w:t>一般规定</w:t>
      </w:r>
      <w:bookmarkEnd w:id="78"/>
      <w:bookmarkEnd w:id="79"/>
      <w:bookmarkEnd w:id="80"/>
      <w:bookmarkEnd w:id="81"/>
      <w:bookmarkEnd w:id="82"/>
      <w:bookmarkEnd w:id="83"/>
      <w:bookmarkEnd w:id="84"/>
      <w:bookmarkEnd w:id="85"/>
      <w:bookmarkEnd w:id="86"/>
    </w:p>
    <w:p w14:paraId="4C017F1B">
      <w:pPr>
        <w:spacing w:line="360" w:lineRule="auto"/>
        <w:rPr>
          <w:sz w:val="24"/>
          <w:szCs w:val="24"/>
        </w:rPr>
      </w:pPr>
      <w:r>
        <w:rPr>
          <w:rFonts w:ascii="Times New Roman" w:eastAsia="黑体"/>
          <w:b/>
          <w:bCs/>
          <w:sz w:val="24"/>
          <w:szCs w:val="24"/>
        </w:rPr>
        <w:t>3.1.1</w:t>
      </w:r>
      <w:r>
        <w:rPr>
          <w:rFonts w:hint="eastAsia"/>
          <w:sz w:val="24"/>
          <w:szCs w:val="24"/>
        </w:rPr>
        <w:t>　既有工业建筑民用化低碳改造评价应以单栋建筑或同一功能的建筑群为评价对象。涉及系统性、整体性的指标，应基于建筑所属工程项目的总体进行评价。</w:t>
      </w:r>
    </w:p>
    <w:p w14:paraId="317745FD">
      <w:pPr>
        <w:spacing w:line="360" w:lineRule="auto"/>
        <w:rPr>
          <w:sz w:val="24"/>
          <w:szCs w:val="24"/>
        </w:rPr>
      </w:pPr>
      <w:r>
        <w:rPr>
          <w:rFonts w:ascii="Times New Roman" w:eastAsia="黑体"/>
          <w:b/>
          <w:bCs/>
          <w:sz w:val="24"/>
          <w:szCs w:val="24"/>
        </w:rPr>
        <w:t>3.1.2</w:t>
      </w:r>
      <w:r>
        <w:rPr>
          <w:rFonts w:hint="eastAsia"/>
          <w:sz w:val="24"/>
          <w:szCs w:val="24"/>
        </w:rPr>
        <w:t>　既有工业建筑民用化低碳改造评价应在改造工程竣工后进行。在建筑工程施工图设计完成后，应进行预评价。</w:t>
      </w:r>
    </w:p>
    <w:p w14:paraId="2574C192">
      <w:pPr>
        <w:spacing w:line="360" w:lineRule="auto"/>
        <w:rPr>
          <w:sz w:val="24"/>
          <w:szCs w:val="24"/>
        </w:rPr>
      </w:pPr>
      <w:r>
        <w:rPr>
          <w:rFonts w:ascii="Times New Roman" w:eastAsia="黑体"/>
          <w:b/>
          <w:bCs/>
          <w:sz w:val="24"/>
          <w:szCs w:val="24"/>
        </w:rPr>
        <w:t>3.1.3</w:t>
      </w:r>
      <w:r>
        <w:rPr>
          <w:rFonts w:hint="eastAsia"/>
          <w:sz w:val="24"/>
          <w:szCs w:val="24"/>
        </w:rPr>
        <w:t>　改造前应对既有工业建筑结构、场地环境、土壤状况、构筑物等利用情况进行分析，并应对项目进行评估和策划，确定低碳改造目标，制定低碳改造方案。</w:t>
      </w:r>
    </w:p>
    <w:p w14:paraId="57E76D2B">
      <w:pPr>
        <w:spacing w:line="360" w:lineRule="auto"/>
        <w:rPr>
          <w:sz w:val="24"/>
          <w:szCs w:val="24"/>
        </w:rPr>
      </w:pPr>
      <w:r>
        <w:rPr>
          <w:rFonts w:ascii="Times New Roman" w:eastAsia="黑体"/>
          <w:b/>
          <w:bCs/>
          <w:sz w:val="24"/>
          <w:szCs w:val="24"/>
        </w:rPr>
        <w:t>3.1.</w:t>
      </w:r>
      <w:r>
        <w:rPr>
          <w:rFonts w:hint="default" w:ascii="Times New Roman" w:eastAsia="黑体"/>
          <w:b/>
          <w:bCs/>
          <w:sz w:val="24"/>
          <w:szCs w:val="24"/>
        </w:rPr>
        <w:t>4</w:t>
      </w:r>
      <w:r>
        <w:rPr>
          <w:rFonts w:hint="eastAsia"/>
          <w:sz w:val="24"/>
          <w:szCs w:val="24"/>
        </w:rPr>
        <w:t>　申请评价方应对参评项目的规划、设计、施工、运行阶段进行全过程控制，并应在评价时提交相应分析、测试报告和相关文件。评价机构应对申请评价方提交的资料进行审查，并应给出评价结果。</w:t>
      </w:r>
    </w:p>
    <w:p w14:paraId="5EC44A4F">
      <w:pPr>
        <w:spacing w:line="360" w:lineRule="auto"/>
        <w:rPr>
          <w:sz w:val="24"/>
          <w:szCs w:val="24"/>
        </w:rPr>
      </w:pPr>
      <w:r>
        <w:rPr>
          <w:rFonts w:ascii="Times New Roman" w:eastAsia="黑体"/>
          <w:b/>
          <w:bCs/>
          <w:sz w:val="24"/>
          <w:szCs w:val="24"/>
        </w:rPr>
        <w:t>3.1.</w:t>
      </w:r>
      <w:r>
        <w:rPr>
          <w:rFonts w:hint="default" w:ascii="Times New Roman" w:eastAsia="黑体"/>
          <w:b/>
          <w:bCs/>
          <w:sz w:val="24"/>
          <w:szCs w:val="24"/>
        </w:rPr>
        <w:t>5</w:t>
      </w:r>
      <w:r>
        <w:rPr>
          <w:rFonts w:hint="eastAsia"/>
          <w:sz w:val="24"/>
          <w:szCs w:val="24"/>
        </w:rPr>
        <w:t>　既有工业建筑民用化低碳改造应按附录</w:t>
      </w:r>
      <w:r>
        <w:rPr>
          <w:sz w:val="24"/>
          <w:szCs w:val="24"/>
        </w:rPr>
        <w:t>A</w:t>
      </w:r>
      <w:r>
        <w:rPr>
          <w:rFonts w:hint="eastAsia"/>
          <w:sz w:val="24"/>
          <w:szCs w:val="24"/>
        </w:rPr>
        <w:t>的规定对全寿命期单位面积碳排放强度进行计算，并应编写碳排放分析专项报告。</w:t>
      </w:r>
    </w:p>
    <w:p w14:paraId="2960829F">
      <w:pPr>
        <w:pStyle w:val="21"/>
        <w:spacing w:line="360" w:lineRule="auto"/>
        <w:ind w:firstLine="0" w:firstLineChars="0"/>
        <w:rPr>
          <w:rFonts w:cs="Times New Roman"/>
          <w:color w:val="auto"/>
          <w:kern w:val="2"/>
          <w:sz w:val="24"/>
        </w:rPr>
      </w:pPr>
      <w:r>
        <w:rPr>
          <w:rFonts w:ascii="Times New Roman" w:eastAsia="黑体" w:cs="Times New Roman"/>
          <w:b/>
          <w:bCs/>
          <w:sz w:val="24"/>
        </w:rPr>
        <w:t>3.1.</w:t>
      </w:r>
      <w:r>
        <w:rPr>
          <w:rFonts w:hint="default" w:ascii="Times New Roman" w:eastAsia="黑体" w:cs="Times New Roman"/>
          <w:b/>
          <w:bCs/>
          <w:sz w:val="24"/>
        </w:rPr>
        <w:t>6</w:t>
      </w:r>
      <w:r>
        <w:rPr>
          <w:rFonts w:hint="eastAsia" w:ascii="黑体" w:eastAsia="黑体"/>
          <w:b/>
          <w:bCs/>
          <w:sz w:val="24"/>
        </w:rPr>
        <w:t xml:space="preserve">  </w:t>
      </w:r>
      <w:r>
        <w:rPr>
          <w:rFonts w:hint="eastAsia" w:ascii="Times New Roman" w:eastAsia="宋体" w:cs="Times New Roman"/>
          <w:b w:val="0"/>
          <w:bCs w:val="0"/>
          <w:color w:val="auto"/>
          <w:kern w:val="2"/>
          <w:sz w:val="24"/>
        </w:rPr>
        <w:t>既有</w:t>
      </w:r>
      <w:r>
        <w:rPr>
          <w:rFonts w:hint="eastAsia" w:cs="Times New Roman"/>
          <w:color w:val="auto"/>
          <w:kern w:val="2"/>
          <w:sz w:val="24"/>
        </w:rPr>
        <w:t>工业建筑改造后应引入绿色、低碳、高效能、可持续的产业类型。</w:t>
      </w:r>
    </w:p>
    <w:p w14:paraId="767FD218">
      <w:pPr>
        <w:pStyle w:val="21"/>
        <w:ind w:firstLine="420"/>
      </w:pPr>
    </w:p>
    <w:p w14:paraId="20ABD5BC">
      <w:pPr>
        <w:tabs>
          <w:tab w:val="left" w:pos="0"/>
        </w:tabs>
        <w:spacing w:before="0" w:beforeLines="0" w:after="0" w:afterLines="0" w:line="360" w:lineRule="auto"/>
        <w:jc w:val="center"/>
        <w:outlineLvl w:val="1"/>
        <w:rPr>
          <w:rFonts w:ascii="黑体" w:hAnsi="黑体" w:eastAsia="黑体" w:cs="黑体"/>
          <w:b/>
          <w:bCs/>
          <w:sz w:val="28"/>
          <w:szCs w:val="28"/>
        </w:rPr>
      </w:pPr>
      <w:bookmarkStart w:id="88" w:name="_Toc26456"/>
      <w:bookmarkStart w:id="89" w:name="_Toc15654"/>
      <w:bookmarkStart w:id="90" w:name="_Toc28678"/>
      <w:bookmarkStart w:id="91" w:name="_Toc4846"/>
      <w:bookmarkStart w:id="92" w:name="_Toc15772"/>
      <w:bookmarkStart w:id="93" w:name="_Toc15608"/>
      <w:bookmarkStart w:id="94" w:name="_Toc30774"/>
      <w:bookmarkStart w:id="95" w:name="_Toc9477"/>
      <w:bookmarkStart w:id="96" w:name="_Toc10297"/>
      <w:r>
        <w:rPr>
          <w:rFonts w:ascii="Times New Roman" w:hAnsi="Times New Roman" w:eastAsia="黑体" w:cs="Times New Roman"/>
          <w:b/>
          <w:bCs/>
          <w:sz w:val="28"/>
          <w:szCs w:val="28"/>
        </w:rPr>
        <w:t>3.2</w:t>
      </w:r>
      <w:r>
        <w:rPr>
          <w:rFonts w:ascii="黑体" w:hAnsi="黑体" w:eastAsia="黑体" w:cs="黑体"/>
          <w:b/>
          <w:bCs/>
          <w:sz w:val="28"/>
          <w:szCs w:val="28"/>
        </w:rPr>
        <w:t xml:space="preserve">  </w:t>
      </w:r>
      <w:r>
        <w:rPr>
          <w:rFonts w:hint="eastAsia" w:ascii="黑体" w:hAnsi="黑体" w:eastAsia="黑体" w:cs="黑体"/>
          <w:b/>
          <w:bCs/>
          <w:sz w:val="28"/>
          <w:szCs w:val="28"/>
        </w:rPr>
        <w:t>评价与等级划分</w:t>
      </w:r>
      <w:bookmarkEnd w:id="87"/>
      <w:bookmarkEnd w:id="88"/>
      <w:bookmarkEnd w:id="89"/>
      <w:bookmarkEnd w:id="90"/>
      <w:bookmarkEnd w:id="91"/>
      <w:bookmarkEnd w:id="92"/>
      <w:bookmarkEnd w:id="93"/>
      <w:bookmarkEnd w:id="94"/>
      <w:bookmarkEnd w:id="95"/>
      <w:bookmarkEnd w:id="96"/>
    </w:p>
    <w:p w14:paraId="7B33603D">
      <w:pPr>
        <w:spacing w:line="360" w:lineRule="auto"/>
        <w:rPr>
          <w:sz w:val="24"/>
          <w:szCs w:val="24"/>
        </w:rPr>
      </w:pPr>
      <w:r>
        <w:rPr>
          <w:rFonts w:ascii="Times New Roman" w:eastAsia="黑体"/>
          <w:b/>
          <w:bCs/>
          <w:sz w:val="24"/>
          <w:szCs w:val="24"/>
        </w:rPr>
        <w:t>3.2.1</w:t>
      </w:r>
      <w:r>
        <w:rPr>
          <w:rFonts w:hint="eastAsia"/>
          <w:sz w:val="24"/>
          <w:szCs w:val="24"/>
        </w:rPr>
        <w:t>　既有工业建筑民用化低碳改造评价指标体系应由场地与环境、建筑改造与利用、能源与水资源利用、建材与建造4类指标组成，且每类指标均应包括控制项和评分项；评价指标体系统一设置提高与创新加分项。</w:t>
      </w:r>
    </w:p>
    <w:p w14:paraId="5D338472">
      <w:pPr>
        <w:spacing w:line="360" w:lineRule="auto"/>
        <w:rPr>
          <w:sz w:val="24"/>
          <w:szCs w:val="24"/>
        </w:rPr>
      </w:pPr>
      <w:r>
        <w:rPr>
          <w:rFonts w:ascii="Times New Roman" w:eastAsia="黑体"/>
          <w:b/>
          <w:bCs/>
          <w:sz w:val="24"/>
          <w:szCs w:val="24"/>
        </w:rPr>
        <w:t>3.2.2</w:t>
      </w:r>
      <w:r>
        <w:rPr>
          <w:rFonts w:hint="eastAsia"/>
          <w:sz w:val="24"/>
          <w:szCs w:val="24"/>
        </w:rPr>
        <w:t>　控制项的评定结果应为达标或不达标；评分项和加分项的评定结果应为分值。</w:t>
      </w:r>
    </w:p>
    <w:p w14:paraId="45EC7B65">
      <w:pPr>
        <w:spacing w:line="360" w:lineRule="auto"/>
        <w:rPr>
          <w:sz w:val="24"/>
          <w:szCs w:val="24"/>
        </w:rPr>
      </w:pPr>
      <w:r>
        <w:rPr>
          <w:rFonts w:ascii="Times New Roman" w:eastAsia="黑体"/>
          <w:b/>
          <w:bCs/>
          <w:sz w:val="24"/>
          <w:szCs w:val="24"/>
        </w:rPr>
        <w:t>3.2.3</w:t>
      </w:r>
      <w:r>
        <w:rPr>
          <w:rFonts w:hint="eastAsia"/>
          <w:sz w:val="24"/>
          <w:szCs w:val="24"/>
        </w:rPr>
        <w:t>　对于多功能的综合性单体建筑，应按本标准全部评价条文逐条对适用的区域进行评价，确定各评价条文的得分。</w:t>
      </w:r>
    </w:p>
    <w:p w14:paraId="5DBC5740">
      <w:pPr>
        <w:spacing w:line="360" w:lineRule="auto"/>
        <w:rPr>
          <w:sz w:val="24"/>
          <w:szCs w:val="24"/>
        </w:rPr>
      </w:pPr>
      <w:r>
        <w:rPr>
          <w:rFonts w:ascii="Times New Roman" w:eastAsia="黑体"/>
          <w:b/>
          <w:bCs/>
          <w:sz w:val="24"/>
          <w:szCs w:val="24"/>
        </w:rPr>
        <w:t>3.2.4</w:t>
      </w:r>
      <w:r>
        <w:rPr>
          <w:rFonts w:hint="eastAsia"/>
          <w:sz w:val="24"/>
          <w:szCs w:val="24"/>
        </w:rPr>
        <w:t>　既有工业建筑民用化低碳改造性能评价的分值设定应符合表3.2.4的规定。</w:t>
      </w:r>
    </w:p>
    <w:p w14:paraId="1D6C1708">
      <w:pPr>
        <w:spacing w:line="360" w:lineRule="auto"/>
        <w:jc w:val="center"/>
        <w:rPr>
          <w:rFonts w:hint="eastAsia" w:ascii="Calibri" w:hAnsi="Calibri"/>
          <w:b/>
          <w:bCs w:val="0"/>
          <w:szCs w:val="22"/>
        </w:rPr>
      </w:pPr>
      <w:r>
        <w:rPr>
          <w:rFonts w:hint="eastAsia" w:ascii="Calibri" w:hAnsi="Calibri"/>
          <w:b/>
          <w:bCs w:val="0"/>
          <w:szCs w:val="22"/>
        </w:rPr>
        <w:t>表</w:t>
      </w:r>
      <w:r>
        <w:rPr>
          <w:rFonts w:hint="default"/>
          <w:b/>
          <w:bCs w:val="0"/>
          <w:szCs w:val="22"/>
        </w:rPr>
        <w:t>3.2.4</w:t>
      </w:r>
      <w:r>
        <w:rPr>
          <w:rFonts w:hint="eastAsia" w:ascii="Calibri" w:hAnsi="Calibri"/>
          <w:b/>
          <w:bCs w:val="0"/>
          <w:szCs w:val="22"/>
        </w:rPr>
        <w:t xml:space="preserve">  既有工业建筑民用化低碳改造评价分值</w:t>
      </w:r>
    </w:p>
    <w:tbl>
      <w:tblPr>
        <w:tblStyle w:val="15"/>
        <w:tblW w:w="4416" w:type="pct"/>
        <w:jc w:val="center"/>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Layout w:type="fixed"/>
        <w:tblCellMar>
          <w:top w:w="28" w:type="dxa"/>
          <w:left w:w="28" w:type="dxa"/>
          <w:bottom w:w="28" w:type="dxa"/>
          <w:right w:w="28" w:type="dxa"/>
        </w:tblCellMar>
      </w:tblPr>
      <w:tblGrid>
        <w:gridCol w:w="1282"/>
        <w:gridCol w:w="1088"/>
        <w:gridCol w:w="977"/>
        <w:gridCol w:w="976"/>
        <w:gridCol w:w="976"/>
        <w:gridCol w:w="983"/>
        <w:gridCol w:w="1104"/>
      </w:tblGrid>
      <w:tr w14:paraId="24F8E31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28" w:type="dxa"/>
            <w:left w:w="28" w:type="dxa"/>
            <w:bottom w:w="28" w:type="dxa"/>
            <w:right w:w="28" w:type="dxa"/>
          </w:tblCellMar>
        </w:tblPrEx>
        <w:trPr>
          <w:cantSplit/>
          <w:jc w:val="center"/>
        </w:trPr>
        <w:tc>
          <w:tcPr>
            <w:tcW w:w="867" w:type="pct"/>
            <w:vMerge w:val="restart"/>
            <w:vAlign w:val="center"/>
          </w:tcPr>
          <w:p w14:paraId="56BC4D25">
            <w:pPr>
              <w:ind w:firstLine="360"/>
              <w:jc w:val="center"/>
            </w:pPr>
          </w:p>
        </w:tc>
        <w:tc>
          <w:tcPr>
            <w:tcW w:w="736" w:type="pct"/>
            <w:vMerge w:val="restart"/>
            <w:vAlign w:val="center"/>
          </w:tcPr>
          <w:p w14:paraId="10E869F9">
            <w:pPr>
              <w:jc w:val="center"/>
            </w:pPr>
            <w:r>
              <w:rPr>
                <w:rFonts w:hint="eastAsia"/>
              </w:rPr>
              <w:t>控制项</w:t>
            </w:r>
          </w:p>
          <w:p w14:paraId="3F362DA7">
            <w:pPr>
              <w:jc w:val="center"/>
            </w:pPr>
            <w:r>
              <w:rPr>
                <w:rFonts w:hint="eastAsia"/>
              </w:rPr>
              <w:t>基础分值Q</w:t>
            </w:r>
            <w:r>
              <w:rPr>
                <w:vertAlign w:val="subscript"/>
              </w:rPr>
              <w:t>0</w:t>
            </w:r>
          </w:p>
        </w:tc>
        <w:tc>
          <w:tcPr>
            <w:tcW w:w="2648" w:type="pct"/>
            <w:gridSpan w:val="4"/>
            <w:vAlign w:val="center"/>
          </w:tcPr>
          <w:p w14:paraId="1C82425A">
            <w:pPr>
              <w:ind w:firstLine="360"/>
              <w:jc w:val="center"/>
            </w:pPr>
            <w:r>
              <w:rPr>
                <w:rFonts w:hint="eastAsia"/>
              </w:rPr>
              <w:t>评价指标评分项满分值</w:t>
            </w:r>
          </w:p>
        </w:tc>
        <w:tc>
          <w:tcPr>
            <w:tcW w:w="747" w:type="pct"/>
            <w:vAlign w:val="center"/>
          </w:tcPr>
          <w:p w14:paraId="4C3832A3">
            <w:pPr>
              <w:jc w:val="center"/>
            </w:pPr>
            <w:r>
              <w:rPr>
                <w:rFonts w:hint="eastAsia"/>
              </w:rPr>
              <w:t>加分项</w:t>
            </w:r>
          </w:p>
          <w:p w14:paraId="22FB7D0B">
            <w:pPr>
              <w:jc w:val="center"/>
            </w:pPr>
            <w:r>
              <w:rPr>
                <w:rFonts w:hint="eastAsia"/>
              </w:rPr>
              <w:t>满分值Q</w:t>
            </w:r>
            <w:r>
              <w:rPr>
                <w:vertAlign w:val="subscript"/>
              </w:rPr>
              <w:t>A</w:t>
            </w:r>
          </w:p>
        </w:tc>
      </w:tr>
      <w:tr w14:paraId="4217450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28" w:type="dxa"/>
            <w:left w:w="28" w:type="dxa"/>
            <w:bottom w:w="28" w:type="dxa"/>
            <w:right w:w="28" w:type="dxa"/>
          </w:tblCellMar>
        </w:tblPrEx>
        <w:trPr>
          <w:cantSplit/>
          <w:jc w:val="center"/>
        </w:trPr>
        <w:tc>
          <w:tcPr>
            <w:tcW w:w="867" w:type="pct"/>
            <w:vMerge w:val="continue"/>
            <w:vAlign w:val="center"/>
          </w:tcPr>
          <w:p w14:paraId="7B2BD55E">
            <w:pPr>
              <w:ind w:firstLine="360"/>
              <w:jc w:val="center"/>
            </w:pPr>
          </w:p>
        </w:tc>
        <w:tc>
          <w:tcPr>
            <w:tcW w:w="736" w:type="pct"/>
            <w:vMerge w:val="continue"/>
            <w:vAlign w:val="center"/>
          </w:tcPr>
          <w:p w14:paraId="5BA58151">
            <w:pPr>
              <w:ind w:firstLine="360"/>
              <w:jc w:val="center"/>
            </w:pPr>
          </w:p>
        </w:tc>
        <w:tc>
          <w:tcPr>
            <w:tcW w:w="661" w:type="pct"/>
            <w:vAlign w:val="center"/>
          </w:tcPr>
          <w:p w14:paraId="775ED82A">
            <w:pPr>
              <w:jc w:val="center"/>
            </w:pPr>
            <w:r>
              <w:rPr>
                <w:rFonts w:hint="eastAsia"/>
              </w:rPr>
              <w:t>场地与环境Q</w:t>
            </w:r>
            <w:r>
              <w:rPr>
                <w:rFonts w:hint="eastAsia"/>
                <w:vertAlign w:val="subscript"/>
              </w:rPr>
              <w:t>1</w:t>
            </w:r>
          </w:p>
        </w:tc>
        <w:tc>
          <w:tcPr>
            <w:tcW w:w="660" w:type="pct"/>
            <w:vAlign w:val="center"/>
          </w:tcPr>
          <w:p w14:paraId="0C97B800">
            <w:pPr>
              <w:jc w:val="center"/>
            </w:pPr>
            <w:r>
              <w:rPr>
                <w:rFonts w:hint="eastAsia"/>
              </w:rPr>
              <w:t>建筑改造与利用Q</w:t>
            </w:r>
            <w:r>
              <w:rPr>
                <w:rFonts w:hint="eastAsia"/>
                <w:vertAlign w:val="subscript"/>
              </w:rPr>
              <w:t>2</w:t>
            </w:r>
          </w:p>
        </w:tc>
        <w:tc>
          <w:tcPr>
            <w:tcW w:w="660" w:type="pct"/>
            <w:vAlign w:val="center"/>
          </w:tcPr>
          <w:p w14:paraId="337A8B7A">
            <w:pPr>
              <w:jc w:val="center"/>
            </w:pPr>
            <w:r>
              <w:rPr>
                <w:rFonts w:hint="eastAsia"/>
              </w:rPr>
              <w:t>能源与水资源利用Q</w:t>
            </w:r>
            <w:r>
              <w:rPr>
                <w:rFonts w:hint="eastAsia"/>
                <w:vertAlign w:val="subscript"/>
              </w:rPr>
              <w:t>3</w:t>
            </w:r>
          </w:p>
        </w:tc>
        <w:tc>
          <w:tcPr>
            <w:tcW w:w="665" w:type="pct"/>
            <w:vAlign w:val="center"/>
          </w:tcPr>
          <w:p w14:paraId="7F4598FD">
            <w:pPr>
              <w:jc w:val="center"/>
            </w:pPr>
            <w:r>
              <w:rPr>
                <w:rFonts w:hint="eastAsia"/>
              </w:rPr>
              <w:t>建材与建造Q</w:t>
            </w:r>
            <w:r>
              <w:rPr>
                <w:rFonts w:hint="eastAsia"/>
                <w:vertAlign w:val="subscript"/>
              </w:rPr>
              <w:t>4</w:t>
            </w:r>
          </w:p>
        </w:tc>
        <w:tc>
          <w:tcPr>
            <w:tcW w:w="747" w:type="pct"/>
            <w:vAlign w:val="center"/>
          </w:tcPr>
          <w:p w14:paraId="2C0B21AA">
            <w:pPr>
              <w:ind w:firstLine="360"/>
              <w:jc w:val="center"/>
            </w:pPr>
          </w:p>
        </w:tc>
      </w:tr>
      <w:tr w14:paraId="12509FFD">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28" w:type="dxa"/>
            <w:left w:w="28" w:type="dxa"/>
            <w:bottom w:w="28" w:type="dxa"/>
            <w:right w:w="28" w:type="dxa"/>
          </w:tblCellMar>
        </w:tblPrEx>
        <w:trPr>
          <w:cantSplit/>
          <w:jc w:val="center"/>
        </w:trPr>
        <w:tc>
          <w:tcPr>
            <w:tcW w:w="867" w:type="pct"/>
            <w:vAlign w:val="center"/>
          </w:tcPr>
          <w:p w14:paraId="11C1232C">
            <w:pPr>
              <w:jc w:val="center"/>
            </w:pPr>
            <w:r>
              <w:rPr>
                <w:rFonts w:hint="eastAsia"/>
              </w:rPr>
              <w:t>预评价分值</w:t>
            </w:r>
          </w:p>
        </w:tc>
        <w:tc>
          <w:tcPr>
            <w:tcW w:w="736" w:type="pct"/>
            <w:vAlign w:val="center"/>
          </w:tcPr>
          <w:p w14:paraId="396F16D7">
            <w:pPr>
              <w:jc w:val="center"/>
            </w:pPr>
            <w:r>
              <w:t>400</w:t>
            </w:r>
          </w:p>
        </w:tc>
        <w:tc>
          <w:tcPr>
            <w:tcW w:w="661" w:type="pct"/>
            <w:vAlign w:val="center"/>
          </w:tcPr>
          <w:p w14:paraId="75CC175C">
            <w:pPr>
              <w:jc w:val="center"/>
            </w:pPr>
            <w:r>
              <w:t>100</w:t>
            </w:r>
          </w:p>
        </w:tc>
        <w:tc>
          <w:tcPr>
            <w:tcW w:w="660" w:type="pct"/>
            <w:vAlign w:val="center"/>
          </w:tcPr>
          <w:p w14:paraId="31A91BC9">
            <w:pPr>
              <w:jc w:val="center"/>
            </w:pPr>
            <w:r>
              <w:t>150</w:t>
            </w:r>
          </w:p>
        </w:tc>
        <w:tc>
          <w:tcPr>
            <w:tcW w:w="660" w:type="pct"/>
            <w:vAlign w:val="center"/>
          </w:tcPr>
          <w:p w14:paraId="3F9BAF22">
            <w:pPr>
              <w:jc w:val="center"/>
            </w:pPr>
            <w:r>
              <w:t>200</w:t>
            </w:r>
          </w:p>
        </w:tc>
        <w:tc>
          <w:tcPr>
            <w:tcW w:w="665" w:type="pct"/>
            <w:vAlign w:val="center"/>
          </w:tcPr>
          <w:p w14:paraId="529A7F45">
            <w:pPr>
              <w:jc w:val="center"/>
            </w:pPr>
            <w:r>
              <w:t>150</w:t>
            </w:r>
          </w:p>
        </w:tc>
        <w:tc>
          <w:tcPr>
            <w:tcW w:w="747" w:type="pct"/>
            <w:vAlign w:val="center"/>
          </w:tcPr>
          <w:p w14:paraId="0C1164B1">
            <w:pPr>
              <w:jc w:val="center"/>
            </w:pPr>
            <w:r>
              <w:t>100</w:t>
            </w:r>
          </w:p>
        </w:tc>
      </w:tr>
      <w:tr w14:paraId="744997ED">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28" w:type="dxa"/>
            <w:left w:w="28" w:type="dxa"/>
            <w:bottom w:w="28" w:type="dxa"/>
            <w:right w:w="28" w:type="dxa"/>
          </w:tblCellMar>
        </w:tblPrEx>
        <w:trPr>
          <w:cantSplit/>
          <w:jc w:val="center"/>
        </w:trPr>
        <w:tc>
          <w:tcPr>
            <w:tcW w:w="867" w:type="pct"/>
            <w:vAlign w:val="center"/>
          </w:tcPr>
          <w:p w14:paraId="3A165D8A">
            <w:pPr>
              <w:jc w:val="center"/>
            </w:pPr>
            <w:r>
              <w:rPr>
                <w:rFonts w:hint="eastAsia"/>
              </w:rPr>
              <w:t>评价分值</w:t>
            </w:r>
          </w:p>
        </w:tc>
        <w:tc>
          <w:tcPr>
            <w:tcW w:w="736" w:type="pct"/>
            <w:vAlign w:val="center"/>
          </w:tcPr>
          <w:p w14:paraId="070F4C8E">
            <w:pPr>
              <w:jc w:val="center"/>
            </w:pPr>
            <w:r>
              <w:t>400</w:t>
            </w:r>
          </w:p>
        </w:tc>
        <w:tc>
          <w:tcPr>
            <w:tcW w:w="661" w:type="pct"/>
            <w:vAlign w:val="center"/>
          </w:tcPr>
          <w:p w14:paraId="70F899C2">
            <w:pPr>
              <w:jc w:val="center"/>
            </w:pPr>
            <w:r>
              <w:t>100</w:t>
            </w:r>
          </w:p>
        </w:tc>
        <w:tc>
          <w:tcPr>
            <w:tcW w:w="660" w:type="pct"/>
            <w:vAlign w:val="center"/>
          </w:tcPr>
          <w:p w14:paraId="0C2F8DD5">
            <w:pPr>
              <w:jc w:val="center"/>
            </w:pPr>
            <w:r>
              <w:t>150</w:t>
            </w:r>
          </w:p>
        </w:tc>
        <w:tc>
          <w:tcPr>
            <w:tcW w:w="660" w:type="pct"/>
            <w:vAlign w:val="center"/>
          </w:tcPr>
          <w:p w14:paraId="1760DCA7">
            <w:pPr>
              <w:jc w:val="center"/>
            </w:pPr>
            <w:r>
              <w:t>200</w:t>
            </w:r>
          </w:p>
        </w:tc>
        <w:tc>
          <w:tcPr>
            <w:tcW w:w="665" w:type="pct"/>
            <w:vAlign w:val="center"/>
          </w:tcPr>
          <w:p w14:paraId="79FDB5F3">
            <w:pPr>
              <w:jc w:val="center"/>
            </w:pPr>
            <w:r>
              <w:t>150</w:t>
            </w:r>
          </w:p>
        </w:tc>
        <w:tc>
          <w:tcPr>
            <w:tcW w:w="747" w:type="pct"/>
            <w:vAlign w:val="center"/>
          </w:tcPr>
          <w:p w14:paraId="153A2FD4">
            <w:pPr>
              <w:jc w:val="center"/>
            </w:pPr>
            <w:r>
              <w:t>100</w:t>
            </w:r>
          </w:p>
        </w:tc>
      </w:tr>
    </w:tbl>
    <w:p w14:paraId="728A89F7">
      <w:pPr>
        <w:spacing w:line="360" w:lineRule="auto"/>
        <w:rPr>
          <w:sz w:val="24"/>
          <w:szCs w:val="24"/>
        </w:rPr>
      </w:pPr>
      <w:r>
        <w:rPr>
          <w:rFonts w:ascii="Times New Roman" w:eastAsia="黑体"/>
          <w:b/>
          <w:bCs/>
          <w:sz w:val="24"/>
          <w:szCs w:val="24"/>
        </w:rPr>
        <w:t>3.2.5</w:t>
      </w:r>
      <w:r>
        <w:rPr>
          <w:rFonts w:hint="eastAsia"/>
          <w:sz w:val="24"/>
          <w:szCs w:val="24"/>
        </w:rPr>
        <w:t>　既有工业建筑民用化低碳改造评价的总得分应按下式进行计算：</w:t>
      </w:r>
    </w:p>
    <w:p w14:paraId="47DBC2DD">
      <w:pPr>
        <w:tabs>
          <w:tab w:val="center" w:pos="4620"/>
          <w:tab w:val="left" w:pos="6720"/>
        </w:tabs>
        <w:spacing w:line="360" w:lineRule="auto"/>
        <w:jc w:val="right"/>
        <w:rPr>
          <w:sz w:val="24"/>
          <w:szCs w:val="24"/>
        </w:rPr>
      </w:pPr>
      <w:r>
        <w:rPr>
          <w:rFonts w:hint="eastAsia"/>
          <w:sz w:val="24"/>
          <w:szCs w:val="24"/>
        </w:rPr>
        <w:t>Q=（Q</w:t>
      </w:r>
      <w:r>
        <w:rPr>
          <w:sz w:val="24"/>
          <w:szCs w:val="24"/>
          <w:vertAlign w:val="subscript"/>
        </w:rPr>
        <w:t>0</w:t>
      </w:r>
      <w:r>
        <w:rPr>
          <w:rFonts w:hint="eastAsia"/>
          <w:sz w:val="24"/>
          <w:szCs w:val="24"/>
        </w:rPr>
        <w:t>+Q</w:t>
      </w:r>
      <w:r>
        <w:rPr>
          <w:sz w:val="24"/>
          <w:szCs w:val="24"/>
          <w:vertAlign w:val="subscript"/>
        </w:rPr>
        <w:t>1</w:t>
      </w:r>
      <w:r>
        <w:rPr>
          <w:rFonts w:hint="eastAsia"/>
          <w:sz w:val="24"/>
          <w:szCs w:val="24"/>
        </w:rPr>
        <w:t>+Q</w:t>
      </w:r>
      <w:r>
        <w:rPr>
          <w:sz w:val="24"/>
          <w:szCs w:val="24"/>
          <w:vertAlign w:val="subscript"/>
        </w:rPr>
        <w:t>2</w:t>
      </w:r>
      <w:r>
        <w:rPr>
          <w:rFonts w:hint="eastAsia"/>
          <w:sz w:val="24"/>
          <w:szCs w:val="24"/>
        </w:rPr>
        <w:t>+Q</w:t>
      </w:r>
      <w:r>
        <w:rPr>
          <w:sz w:val="24"/>
          <w:szCs w:val="24"/>
          <w:vertAlign w:val="subscript"/>
        </w:rPr>
        <w:t>3</w:t>
      </w:r>
      <w:r>
        <w:rPr>
          <w:rFonts w:hint="eastAsia"/>
          <w:sz w:val="24"/>
          <w:szCs w:val="24"/>
        </w:rPr>
        <w:t>+Q</w:t>
      </w:r>
      <w:r>
        <w:rPr>
          <w:sz w:val="24"/>
          <w:szCs w:val="24"/>
          <w:vertAlign w:val="subscript"/>
        </w:rPr>
        <w:t>4</w:t>
      </w:r>
      <w:r>
        <w:rPr>
          <w:rFonts w:hint="eastAsia"/>
          <w:sz w:val="24"/>
          <w:szCs w:val="24"/>
        </w:rPr>
        <w:t>+Q</w:t>
      </w:r>
      <w:r>
        <w:rPr>
          <w:sz w:val="24"/>
          <w:szCs w:val="24"/>
          <w:vertAlign w:val="subscript"/>
        </w:rPr>
        <w:t>A</w:t>
      </w:r>
      <w:r>
        <w:rPr>
          <w:rFonts w:hint="eastAsia"/>
          <w:sz w:val="24"/>
          <w:szCs w:val="24"/>
        </w:rPr>
        <w:t>）/10</w:t>
      </w:r>
      <w:r>
        <w:rPr>
          <w:sz w:val="24"/>
          <w:szCs w:val="24"/>
        </w:rPr>
        <w:t xml:space="preserve"> </w:t>
      </w:r>
      <w:r>
        <w:rPr>
          <w:rFonts w:hint="eastAsia"/>
          <w:sz w:val="24"/>
          <w:szCs w:val="24"/>
        </w:rPr>
        <w:tab/>
      </w:r>
      <w:r>
        <w:rPr>
          <w:sz w:val="24"/>
          <w:szCs w:val="24"/>
        </w:rPr>
        <w:t xml:space="preserve">     </w:t>
      </w:r>
      <w:r>
        <w:rPr>
          <w:rFonts w:hint="eastAsia"/>
          <w:sz w:val="24"/>
          <w:szCs w:val="24"/>
        </w:rPr>
        <w:t xml:space="preserve"> （3.2.5）</w:t>
      </w:r>
    </w:p>
    <w:p w14:paraId="54CF751F">
      <w:pPr>
        <w:spacing w:line="360" w:lineRule="auto"/>
        <w:rPr>
          <w:sz w:val="24"/>
          <w:szCs w:val="24"/>
        </w:rPr>
      </w:pPr>
      <w:r>
        <w:rPr>
          <w:rFonts w:hint="eastAsia"/>
          <w:sz w:val="24"/>
          <w:szCs w:val="24"/>
        </w:rPr>
        <w:t>式中：Q—总得分；</w:t>
      </w:r>
    </w:p>
    <w:p w14:paraId="35CD0220">
      <w:pPr>
        <w:spacing w:line="360" w:lineRule="auto"/>
        <w:ind w:firstLine="720" w:firstLineChars="300"/>
        <w:rPr>
          <w:sz w:val="24"/>
          <w:szCs w:val="24"/>
        </w:rPr>
      </w:pPr>
      <w:r>
        <w:rPr>
          <w:rFonts w:hint="eastAsia"/>
          <w:sz w:val="24"/>
          <w:szCs w:val="24"/>
        </w:rPr>
        <w:t>Q</w:t>
      </w:r>
      <w:r>
        <w:rPr>
          <w:sz w:val="24"/>
          <w:szCs w:val="24"/>
          <w:vertAlign w:val="subscript"/>
        </w:rPr>
        <w:t>0</w:t>
      </w:r>
      <w:r>
        <w:rPr>
          <w:rFonts w:hint="eastAsia"/>
          <w:sz w:val="24"/>
          <w:szCs w:val="24"/>
        </w:rPr>
        <w:t>—控制项基础分值，当满足所有控制项的要求时取400分；</w:t>
      </w:r>
    </w:p>
    <w:p w14:paraId="14D753A1">
      <w:pPr>
        <w:spacing w:line="360" w:lineRule="auto"/>
        <w:ind w:firstLine="720" w:firstLineChars="300"/>
        <w:rPr>
          <w:sz w:val="24"/>
          <w:szCs w:val="24"/>
        </w:rPr>
      </w:pPr>
      <w:r>
        <w:rPr>
          <w:rFonts w:hint="eastAsia"/>
          <w:sz w:val="24"/>
          <w:szCs w:val="24"/>
        </w:rPr>
        <w:t>Q</w:t>
      </w:r>
      <w:r>
        <w:rPr>
          <w:sz w:val="24"/>
          <w:szCs w:val="24"/>
          <w:vertAlign w:val="subscript"/>
        </w:rPr>
        <w:t>1</w:t>
      </w:r>
      <w:r>
        <w:rPr>
          <w:rFonts w:hint="eastAsia"/>
          <w:sz w:val="24"/>
          <w:szCs w:val="24"/>
        </w:rPr>
        <w:t>~Q</w:t>
      </w:r>
      <w:r>
        <w:rPr>
          <w:sz w:val="24"/>
          <w:szCs w:val="24"/>
          <w:vertAlign w:val="subscript"/>
        </w:rPr>
        <w:t>4</w:t>
      </w:r>
      <w:r>
        <w:rPr>
          <w:rFonts w:hint="eastAsia"/>
          <w:sz w:val="24"/>
          <w:szCs w:val="24"/>
        </w:rPr>
        <w:t>—分别为场地与环境、建筑改造与利用、能源与水资源利用、建材</w:t>
      </w:r>
    </w:p>
    <w:p w14:paraId="23AFFE56">
      <w:pPr>
        <w:spacing w:line="360" w:lineRule="auto"/>
        <w:ind w:firstLine="1680" w:firstLineChars="700"/>
        <w:rPr>
          <w:sz w:val="24"/>
          <w:szCs w:val="24"/>
        </w:rPr>
      </w:pPr>
      <w:r>
        <w:rPr>
          <w:rFonts w:hint="eastAsia"/>
          <w:sz w:val="24"/>
          <w:szCs w:val="24"/>
        </w:rPr>
        <w:t>与建造4类指标评分项得分；</w:t>
      </w:r>
    </w:p>
    <w:p w14:paraId="31BD0195">
      <w:pPr>
        <w:spacing w:line="360" w:lineRule="auto"/>
        <w:ind w:firstLine="720" w:firstLineChars="300"/>
        <w:rPr>
          <w:sz w:val="24"/>
          <w:szCs w:val="24"/>
        </w:rPr>
      </w:pPr>
      <w:r>
        <w:rPr>
          <w:rFonts w:hint="eastAsia"/>
          <w:sz w:val="24"/>
          <w:szCs w:val="24"/>
        </w:rPr>
        <w:t>Q</w:t>
      </w:r>
      <w:r>
        <w:rPr>
          <w:sz w:val="24"/>
          <w:szCs w:val="24"/>
          <w:vertAlign w:val="subscript"/>
        </w:rPr>
        <w:t>A</w:t>
      </w:r>
      <w:r>
        <w:rPr>
          <w:rFonts w:hint="eastAsia"/>
          <w:sz w:val="24"/>
          <w:szCs w:val="24"/>
        </w:rPr>
        <w:t>—提高</w:t>
      </w:r>
      <w:r>
        <w:rPr>
          <w:rFonts w:hint="eastAsia"/>
          <w:sz w:val="24"/>
          <w:szCs w:val="24"/>
          <w:lang w:val="en-US" w:eastAsia="zh-CN"/>
        </w:rPr>
        <w:t>与</w:t>
      </w:r>
      <w:r>
        <w:rPr>
          <w:rFonts w:hint="eastAsia"/>
          <w:sz w:val="24"/>
          <w:szCs w:val="24"/>
        </w:rPr>
        <w:t>创新加分项得分。</w:t>
      </w:r>
    </w:p>
    <w:p w14:paraId="06AD338D">
      <w:pPr>
        <w:spacing w:line="360" w:lineRule="auto"/>
        <w:rPr>
          <w:sz w:val="24"/>
          <w:szCs w:val="24"/>
        </w:rPr>
      </w:pPr>
      <w:r>
        <w:rPr>
          <w:rFonts w:ascii="Times New Roman" w:eastAsia="黑体"/>
          <w:b/>
          <w:bCs/>
          <w:sz w:val="24"/>
          <w:szCs w:val="24"/>
        </w:rPr>
        <w:t>3.2.6</w:t>
      </w:r>
      <w:r>
        <w:rPr>
          <w:rFonts w:hint="eastAsia"/>
          <w:sz w:val="24"/>
          <w:szCs w:val="24"/>
        </w:rPr>
        <w:t>　既有工业建筑民用化低碳改造划分应为基本级、一星级、二星级、三星级4个等级。</w:t>
      </w:r>
    </w:p>
    <w:p w14:paraId="28707277">
      <w:pPr>
        <w:spacing w:line="360" w:lineRule="auto"/>
        <w:rPr>
          <w:sz w:val="24"/>
          <w:szCs w:val="24"/>
        </w:rPr>
      </w:pPr>
      <w:r>
        <w:rPr>
          <w:rFonts w:ascii="Times New Roman" w:eastAsia="黑体"/>
          <w:b/>
          <w:bCs/>
          <w:sz w:val="24"/>
          <w:szCs w:val="24"/>
        </w:rPr>
        <w:t>3.2.7</w:t>
      </w:r>
      <w:r>
        <w:rPr>
          <w:rFonts w:hint="eastAsia"/>
          <w:sz w:val="24"/>
          <w:szCs w:val="24"/>
        </w:rPr>
        <w:t>　当满足全部控制项要求时，既有工业建筑民用化低碳改造等级应为基本级。</w:t>
      </w:r>
    </w:p>
    <w:p w14:paraId="52136235">
      <w:pPr>
        <w:spacing w:line="360" w:lineRule="auto"/>
        <w:rPr>
          <w:sz w:val="24"/>
          <w:szCs w:val="24"/>
        </w:rPr>
      </w:pPr>
      <w:r>
        <w:rPr>
          <w:rFonts w:ascii="Times New Roman" w:eastAsia="黑体"/>
          <w:b/>
          <w:bCs/>
          <w:sz w:val="24"/>
          <w:szCs w:val="24"/>
        </w:rPr>
        <w:t>3.2.8</w:t>
      </w:r>
      <w:r>
        <w:rPr>
          <w:rFonts w:hint="eastAsia"/>
          <w:sz w:val="24"/>
          <w:szCs w:val="24"/>
        </w:rPr>
        <w:t>　既有工业建筑民用化低碳改造星级等级应按下列规定确定：</w:t>
      </w:r>
    </w:p>
    <w:p w14:paraId="4CAB66BE">
      <w:pPr>
        <w:spacing w:line="360" w:lineRule="auto"/>
        <w:ind w:firstLine="482" w:firstLineChars="200"/>
        <w:rPr>
          <w:sz w:val="24"/>
          <w:szCs w:val="24"/>
        </w:rPr>
      </w:pPr>
      <w:r>
        <w:rPr>
          <w:rFonts w:hint="default" w:ascii="Times New Roman" w:eastAsia="黑体"/>
          <w:b/>
          <w:bCs/>
          <w:sz w:val="24"/>
          <w:szCs w:val="24"/>
          <w:lang w:val="en-US"/>
        </w:rPr>
        <w:t>1</w:t>
      </w:r>
      <w:r>
        <w:rPr>
          <w:rFonts w:hint="eastAsia"/>
          <w:sz w:val="24"/>
          <w:szCs w:val="24"/>
        </w:rPr>
        <w:t xml:space="preserve">  一星级、二星级、三星级3个等级的既有工业建筑民用化低碳改造均应满足本标准全部控制项的要求，且每类指标的评分项得分不应小于其评分项满分值的30%；</w:t>
      </w:r>
    </w:p>
    <w:p w14:paraId="6691588B">
      <w:pPr>
        <w:spacing w:line="360" w:lineRule="auto"/>
        <w:ind w:firstLine="482" w:firstLineChars="200"/>
        <w:rPr>
          <w:rFonts w:hint="eastAsia" w:eastAsia="宋体"/>
          <w:sz w:val="24"/>
          <w:szCs w:val="24"/>
          <w:lang w:eastAsia="zh-CN"/>
        </w:rPr>
      </w:pPr>
      <w:r>
        <w:rPr>
          <w:rFonts w:hint="default" w:ascii="Times New Roman" w:eastAsia="黑体"/>
          <w:b/>
          <w:bCs/>
          <w:sz w:val="24"/>
          <w:szCs w:val="24"/>
          <w:lang w:val="en-US"/>
        </w:rPr>
        <w:t>2</w:t>
      </w:r>
      <w:r>
        <w:rPr>
          <w:rFonts w:ascii="黑体" w:eastAsia="黑体"/>
          <w:b/>
          <w:bCs/>
          <w:sz w:val="24"/>
          <w:szCs w:val="24"/>
        </w:rPr>
        <w:t xml:space="preserve"> </w:t>
      </w:r>
      <w:r>
        <w:rPr>
          <w:rFonts w:hint="eastAsia"/>
          <w:sz w:val="24"/>
          <w:szCs w:val="24"/>
        </w:rPr>
        <w:t xml:space="preserve"> 当总得分分别达到60分、70分、85分时，既有工业建筑民用化低碳改造等级分别为一星级、二星级、三星级。</w:t>
      </w:r>
    </w:p>
    <w:p w14:paraId="5F0EDCA2">
      <w:pPr>
        <w:spacing w:line="360" w:lineRule="auto"/>
        <w:ind w:firstLine="480" w:firstLineChars="200"/>
        <w:rPr>
          <w:rFonts w:hint="eastAsia" w:eastAsia="宋体"/>
          <w:sz w:val="24"/>
          <w:szCs w:val="24"/>
          <w:lang w:eastAsia="zh-CN"/>
        </w:rPr>
      </w:pPr>
    </w:p>
    <w:p w14:paraId="6C42EC94"/>
    <w:p w14:paraId="6AA1A6CC">
      <w:pPr>
        <w:widowControl/>
        <w:jc w:val="left"/>
        <w:rPr>
          <w:b/>
          <w:bCs/>
          <w:kern w:val="44"/>
          <w:sz w:val="32"/>
          <w:szCs w:val="32"/>
        </w:rPr>
        <w:sectPr>
          <w:pgSz w:w="11906" w:h="16838"/>
          <w:pgMar w:top="1440" w:right="1800" w:bottom="1440" w:left="1800" w:header="851" w:footer="992" w:gutter="0"/>
          <w:cols w:space="425" w:num="1"/>
          <w:docGrid w:type="lines" w:linePitch="312" w:charSpace="0"/>
        </w:sectPr>
      </w:pPr>
      <w:r>
        <w:br w:type="page"/>
      </w:r>
    </w:p>
    <w:bookmarkEnd w:id="32"/>
    <w:bookmarkEnd w:id="33"/>
    <w:bookmarkEnd w:id="34"/>
    <w:bookmarkEnd w:id="35"/>
    <w:bookmarkEnd w:id="36"/>
    <w:bookmarkEnd w:id="37"/>
    <w:bookmarkEnd w:id="38"/>
    <w:bookmarkEnd w:id="39"/>
    <w:bookmarkEnd w:id="50"/>
    <w:bookmarkEnd w:id="51"/>
    <w:p w14:paraId="56BD0DA2">
      <w:pPr>
        <w:widowControl/>
        <w:snapToGrid w:val="0"/>
        <w:spacing w:line="360" w:lineRule="auto"/>
        <w:jc w:val="center"/>
        <w:outlineLvl w:val="9"/>
        <w:rPr>
          <w:rFonts w:ascii="Times New Roman" w:hAnsi="Times New Roman" w:cs="Times New Roman"/>
          <w:b/>
          <w:bCs/>
          <w:kern w:val="44"/>
          <w:sz w:val="30"/>
          <w:szCs w:val="30"/>
        </w:rPr>
      </w:pPr>
      <w:bookmarkStart w:id="97" w:name="_Toc8313"/>
      <w:bookmarkStart w:id="98" w:name="_Toc11977"/>
      <w:bookmarkStart w:id="99" w:name="_Toc150"/>
      <w:bookmarkStart w:id="100" w:name="_Toc25777"/>
      <w:bookmarkStart w:id="101" w:name="_Toc7681"/>
      <w:bookmarkStart w:id="102" w:name="_Toc23445"/>
      <w:bookmarkStart w:id="103" w:name="_Toc3249"/>
      <w:bookmarkStart w:id="104" w:name="_Toc23886"/>
      <w:bookmarkStart w:id="105" w:name="_Toc22343"/>
      <w:bookmarkStart w:id="106" w:name="_Toc4478"/>
      <w:bookmarkStart w:id="107" w:name="_Toc27424"/>
      <w:bookmarkStart w:id="108" w:name="_Toc32509"/>
    </w:p>
    <w:p w14:paraId="3D65ABFB">
      <w:pPr>
        <w:widowControl/>
        <w:snapToGrid w:val="0"/>
        <w:spacing w:line="360" w:lineRule="auto"/>
        <w:jc w:val="center"/>
        <w:outlineLvl w:val="0"/>
        <w:rPr>
          <w:rFonts w:hint="eastAsia" w:eastAsia="宋体"/>
          <w:lang w:eastAsia="zh-CN"/>
        </w:rPr>
      </w:pPr>
      <w:bookmarkStart w:id="109" w:name="_Toc24620"/>
      <w:bookmarkStart w:id="110" w:name="_Toc1984"/>
      <w:r>
        <w:rPr>
          <w:rFonts w:ascii="Times New Roman" w:hAnsi="Times New Roman" w:cs="Times New Roman"/>
          <w:b/>
          <w:bCs/>
          <w:kern w:val="44"/>
          <w:sz w:val="30"/>
          <w:szCs w:val="30"/>
        </w:rPr>
        <w:t>4</w:t>
      </w:r>
      <w:r>
        <w:rPr>
          <w:rFonts w:ascii="宋体" w:hAnsi="宋体" w:cs="宋体"/>
          <w:b/>
          <w:bCs/>
          <w:kern w:val="44"/>
          <w:sz w:val="30"/>
          <w:szCs w:val="30"/>
        </w:rPr>
        <w:t xml:space="preserve"> </w:t>
      </w:r>
      <w:r>
        <w:rPr>
          <w:rFonts w:hint="eastAsia" w:ascii="宋体" w:hAnsi="宋体" w:cs="宋体"/>
          <w:b/>
          <w:bCs/>
          <w:kern w:val="44"/>
          <w:sz w:val="30"/>
          <w:szCs w:val="30"/>
        </w:rPr>
        <w:t>场地与环境</w:t>
      </w:r>
      <w:bookmarkEnd w:id="97"/>
      <w:bookmarkEnd w:id="109"/>
      <w:bookmarkEnd w:id="110"/>
    </w:p>
    <w:p w14:paraId="00839EA5">
      <w:pPr>
        <w:tabs>
          <w:tab w:val="left" w:pos="0"/>
        </w:tabs>
        <w:spacing w:before="0" w:beforeLines="0" w:after="0" w:afterLines="0" w:line="360" w:lineRule="auto"/>
        <w:jc w:val="center"/>
        <w:outlineLvl w:val="1"/>
        <w:rPr>
          <w:rFonts w:ascii="黑体" w:hAnsi="黑体" w:eastAsia="黑体" w:cs="黑体"/>
          <w:b/>
          <w:bCs/>
          <w:sz w:val="28"/>
          <w:szCs w:val="28"/>
        </w:rPr>
      </w:pPr>
      <w:bookmarkStart w:id="111" w:name="_Toc2869"/>
      <w:bookmarkStart w:id="112" w:name="_Toc9957"/>
      <w:bookmarkStart w:id="113" w:name="_Toc14957"/>
      <w:r>
        <w:rPr>
          <w:rFonts w:hint="default" w:ascii="Times New Roman" w:hAnsi="Times New Roman" w:eastAsia="黑体" w:cs="Times New Roman"/>
          <w:b/>
          <w:bCs/>
          <w:sz w:val="28"/>
          <w:szCs w:val="28"/>
        </w:rPr>
        <w:t>4.1</w:t>
      </w:r>
      <w:r>
        <w:rPr>
          <w:rFonts w:hint="eastAsia" w:ascii="黑体" w:hAnsi="黑体" w:eastAsia="黑体" w:cs="黑体"/>
          <w:b/>
          <w:bCs/>
          <w:sz w:val="28"/>
          <w:szCs w:val="28"/>
        </w:rPr>
        <w:t>控制项</w:t>
      </w:r>
      <w:bookmarkEnd w:id="111"/>
      <w:bookmarkEnd w:id="112"/>
      <w:bookmarkEnd w:id="113"/>
    </w:p>
    <w:p w14:paraId="5469C6FA">
      <w:pPr>
        <w:spacing w:line="360" w:lineRule="auto"/>
        <w:rPr>
          <w:sz w:val="24"/>
          <w:szCs w:val="24"/>
        </w:rPr>
      </w:pPr>
      <w:r>
        <w:rPr>
          <w:rFonts w:hint="default" w:ascii="Times New Roman" w:hAnsi="Times New Roman" w:eastAsia="黑体" w:cs="Times New Roman"/>
          <w:b/>
          <w:bCs/>
          <w:sz w:val="24"/>
          <w:szCs w:val="24"/>
        </w:rPr>
        <w:t>4.1.1</w:t>
      </w:r>
      <w:r>
        <w:rPr>
          <w:rFonts w:hint="eastAsia"/>
          <w:sz w:val="24"/>
          <w:szCs w:val="24"/>
        </w:rPr>
        <w:t>　【绿地规划】改造后场地绿地率应满足上位规划要求或民用建筑绿地率要求，且不低于改造前水平。</w:t>
      </w:r>
    </w:p>
    <w:p w14:paraId="65739812">
      <w:pPr>
        <w:spacing w:line="360" w:lineRule="auto"/>
        <w:rPr>
          <w:sz w:val="24"/>
          <w:szCs w:val="24"/>
        </w:rPr>
      </w:pPr>
      <w:r>
        <w:rPr>
          <w:rFonts w:hint="default" w:ascii="Times New Roman" w:hAnsi="Times New Roman" w:eastAsia="黑体" w:cs="Times New Roman"/>
          <w:b/>
          <w:bCs/>
          <w:sz w:val="24"/>
          <w:szCs w:val="24"/>
        </w:rPr>
        <w:t>4.1.2</w:t>
      </w:r>
      <w:r>
        <w:rPr>
          <w:rFonts w:hint="eastAsia"/>
          <w:sz w:val="24"/>
          <w:szCs w:val="24"/>
        </w:rPr>
        <w:t>　【室外物理环境】既有工业建筑民用化低碳改造前应进行原有场地物理环境评估，预留可再生能源设施的安装空间。</w:t>
      </w:r>
    </w:p>
    <w:p w14:paraId="0757D7EA">
      <w:pPr>
        <w:spacing w:line="360" w:lineRule="auto"/>
        <w:rPr>
          <w:rFonts w:hint="eastAsia"/>
          <w:sz w:val="24"/>
          <w:szCs w:val="24"/>
        </w:rPr>
      </w:pPr>
      <w:r>
        <w:rPr>
          <w:rFonts w:hint="default" w:ascii="Times New Roman" w:hAnsi="Times New Roman" w:eastAsia="黑体" w:cs="Times New Roman"/>
          <w:b/>
          <w:bCs/>
          <w:sz w:val="24"/>
          <w:szCs w:val="24"/>
        </w:rPr>
        <w:t>4.1.3</w:t>
      </w:r>
      <w:r>
        <w:rPr>
          <w:rFonts w:hint="eastAsia"/>
          <w:sz w:val="24"/>
          <w:szCs w:val="24"/>
        </w:rPr>
        <w:t>　【停车设施】场地内机动车停车设施应设置充电桩。</w:t>
      </w:r>
    </w:p>
    <w:p w14:paraId="1A9529A0">
      <w:pPr>
        <w:spacing w:line="360" w:lineRule="auto"/>
        <w:rPr>
          <w:rFonts w:hint="eastAsia"/>
          <w:sz w:val="24"/>
          <w:szCs w:val="24"/>
        </w:rPr>
      </w:pPr>
    </w:p>
    <w:p w14:paraId="412A8AD4">
      <w:pPr>
        <w:tabs>
          <w:tab w:val="left" w:pos="0"/>
        </w:tabs>
        <w:spacing w:before="0" w:beforeLines="0" w:after="0" w:afterLines="0" w:line="360" w:lineRule="auto"/>
        <w:jc w:val="center"/>
        <w:outlineLvl w:val="1"/>
        <w:rPr>
          <w:rFonts w:ascii="黑体" w:hAnsi="黑体" w:eastAsia="黑体" w:cs="黑体"/>
          <w:b/>
          <w:bCs/>
          <w:sz w:val="28"/>
          <w:szCs w:val="28"/>
        </w:rPr>
      </w:pPr>
      <w:bookmarkStart w:id="114" w:name="_Toc3939"/>
      <w:bookmarkStart w:id="115" w:name="_Toc17856"/>
      <w:bookmarkStart w:id="116" w:name="_Toc5432"/>
      <w:r>
        <w:rPr>
          <w:rFonts w:hint="default" w:ascii="Times New Roman" w:hAnsi="Times New Roman" w:eastAsia="黑体" w:cs="Times New Roman"/>
          <w:b/>
          <w:bCs/>
          <w:sz w:val="28"/>
          <w:szCs w:val="28"/>
        </w:rPr>
        <w:t>4.2</w:t>
      </w:r>
      <w:r>
        <w:rPr>
          <w:rFonts w:hint="eastAsia" w:ascii="黑体" w:hAnsi="黑体" w:eastAsia="黑体" w:cs="黑体"/>
          <w:b/>
          <w:bCs/>
          <w:sz w:val="28"/>
          <w:szCs w:val="28"/>
        </w:rPr>
        <w:t>评分项</w:t>
      </w:r>
      <w:bookmarkEnd w:id="114"/>
      <w:bookmarkEnd w:id="115"/>
      <w:bookmarkEnd w:id="116"/>
    </w:p>
    <w:p w14:paraId="181CC31B">
      <w:pPr>
        <w:pStyle w:val="28"/>
        <w:spacing w:before="0" w:beforeLines="0" w:after="0" w:afterLines="0" w:line="360" w:lineRule="auto"/>
        <w:ind w:firstLine="0" w:firstLineChars="0"/>
        <w:jc w:val="center"/>
        <w:outlineLvl w:val="2"/>
        <w:rPr>
          <w:rFonts w:cs="Times New Roman"/>
          <w:b/>
          <w:bCs/>
          <w:sz w:val="28"/>
          <w:szCs w:val="28"/>
        </w:rPr>
      </w:pPr>
      <w:r>
        <w:rPr>
          <w:rFonts w:cs="Times New Roman"/>
          <w:b/>
          <w:bCs/>
          <w:sz w:val="28"/>
          <w:szCs w:val="28"/>
        </w:rPr>
        <w:fldChar w:fldCharType="begin"/>
      </w:r>
      <w:r>
        <w:rPr>
          <w:rFonts w:cs="Times New Roman"/>
          <w:b/>
          <w:bCs/>
          <w:sz w:val="28"/>
          <w:szCs w:val="28"/>
        </w:rPr>
        <w:instrText xml:space="preserve"> = 1 \* ROMAN </w:instrText>
      </w:r>
      <w:r>
        <w:rPr>
          <w:rFonts w:cs="Times New Roman"/>
          <w:b/>
          <w:bCs/>
          <w:sz w:val="28"/>
          <w:szCs w:val="28"/>
        </w:rPr>
        <w:fldChar w:fldCharType="separate"/>
      </w:r>
      <w:r>
        <w:rPr>
          <w:rFonts w:cs="Times New Roman"/>
          <w:b/>
          <w:bCs/>
          <w:sz w:val="28"/>
          <w:szCs w:val="28"/>
        </w:rPr>
        <w:t>I</w:t>
      </w:r>
      <w:r>
        <w:rPr>
          <w:rFonts w:cs="Times New Roman"/>
          <w:b/>
          <w:bCs/>
          <w:sz w:val="28"/>
          <w:szCs w:val="28"/>
        </w:rPr>
        <w:fldChar w:fldCharType="end"/>
      </w:r>
      <w:r>
        <w:rPr>
          <w:rFonts w:cs="Times New Roman"/>
          <w:b/>
          <w:bCs/>
          <w:sz w:val="28"/>
          <w:szCs w:val="28"/>
        </w:rPr>
        <w:t xml:space="preserve"> </w:t>
      </w:r>
      <w:r>
        <w:rPr>
          <w:rFonts w:hint="eastAsia" w:ascii="仿宋" w:hAnsi="仿宋" w:eastAsia="仿宋" w:cs="仿宋"/>
          <w:b/>
          <w:bCs/>
          <w:sz w:val="28"/>
          <w:szCs w:val="28"/>
        </w:rPr>
        <w:t>场地</w:t>
      </w:r>
    </w:p>
    <w:p w14:paraId="22759F5A">
      <w:pPr>
        <w:snapToGrid w:val="0"/>
        <w:spacing w:line="360" w:lineRule="auto"/>
        <w:rPr>
          <w:sz w:val="24"/>
          <w:szCs w:val="24"/>
        </w:rPr>
      </w:pPr>
      <w:r>
        <w:rPr>
          <w:rFonts w:hint="default" w:ascii="Times New Roman" w:hAnsi="Times New Roman" w:eastAsia="黑体" w:cs="Times New Roman"/>
          <w:b/>
          <w:bCs/>
          <w:sz w:val="24"/>
          <w:szCs w:val="24"/>
        </w:rPr>
        <w:t>4.2.1</w:t>
      </w:r>
      <w:r>
        <w:rPr>
          <w:rFonts w:hint="eastAsia"/>
          <w:sz w:val="24"/>
          <w:szCs w:val="24"/>
        </w:rPr>
        <w:t>　【再利用设计】对室内外场地原有结构、设备、道路等进行再利用设计。评价总分值为12分，并按下列规则分别评分并累计：</w:t>
      </w:r>
    </w:p>
    <w:p w14:paraId="156F108C">
      <w:pPr>
        <w:snapToGrid w:val="0"/>
        <w:spacing w:line="360" w:lineRule="auto"/>
        <w:ind w:firstLine="482" w:firstLineChars="200"/>
        <w:rPr>
          <w:sz w:val="24"/>
          <w:szCs w:val="24"/>
        </w:rPr>
      </w:pPr>
      <w:r>
        <w:rPr>
          <w:b/>
          <w:bCs/>
          <w:sz w:val="24"/>
          <w:szCs w:val="24"/>
        </w:rPr>
        <w:t>1</w:t>
      </w:r>
      <w:r>
        <w:rPr>
          <w:rFonts w:hint="eastAsia"/>
          <w:sz w:val="24"/>
          <w:szCs w:val="24"/>
        </w:rPr>
        <w:t xml:space="preserve">  对场地内原有工业建筑辅助设施、景观小品等构筑物进行保留改造，且赋予其新的使用功能或展示功能，得</w:t>
      </w:r>
      <w:r>
        <w:rPr>
          <w:sz w:val="24"/>
          <w:szCs w:val="24"/>
        </w:rPr>
        <w:t>6</w:t>
      </w:r>
      <w:r>
        <w:rPr>
          <w:rFonts w:hint="eastAsia"/>
          <w:sz w:val="24"/>
          <w:szCs w:val="24"/>
        </w:rPr>
        <w:t>分；</w:t>
      </w:r>
    </w:p>
    <w:p w14:paraId="60DA7DF5">
      <w:pPr>
        <w:snapToGrid w:val="0"/>
        <w:spacing w:line="360" w:lineRule="auto"/>
        <w:ind w:firstLine="482" w:firstLineChars="200"/>
        <w:rPr>
          <w:sz w:val="24"/>
          <w:szCs w:val="24"/>
        </w:rPr>
      </w:pPr>
      <w:r>
        <w:rPr>
          <w:b/>
          <w:bCs/>
          <w:sz w:val="24"/>
          <w:szCs w:val="24"/>
        </w:rPr>
        <w:t>2</w:t>
      </w:r>
      <w:r>
        <w:rPr>
          <w:rFonts w:hint="eastAsia"/>
          <w:sz w:val="24"/>
          <w:szCs w:val="24"/>
        </w:rPr>
        <w:t xml:space="preserve">  既有设备管沟、管井、管线、设备、机房等用地或空间继续承担原有功能或发挥其他功能，得</w:t>
      </w:r>
      <w:r>
        <w:rPr>
          <w:sz w:val="24"/>
          <w:szCs w:val="24"/>
        </w:rPr>
        <w:t>6</w:t>
      </w:r>
      <w:r>
        <w:rPr>
          <w:rFonts w:hint="eastAsia"/>
          <w:sz w:val="24"/>
          <w:szCs w:val="24"/>
        </w:rPr>
        <w:t>分。</w:t>
      </w:r>
    </w:p>
    <w:p w14:paraId="0025D825">
      <w:pPr>
        <w:spacing w:line="360" w:lineRule="auto"/>
        <w:rPr>
          <w:sz w:val="24"/>
          <w:szCs w:val="24"/>
        </w:rPr>
      </w:pPr>
      <w:r>
        <w:rPr>
          <w:rFonts w:hint="default" w:ascii="Times New Roman" w:hAnsi="Times New Roman" w:eastAsia="黑体" w:cs="Times New Roman"/>
          <w:b/>
          <w:bCs/>
          <w:sz w:val="24"/>
          <w:szCs w:val="24"/>
        </w:rPr>
        <w:t>4.2.2</w:t>
      </w:r>
      <w:r>
        <w:rPr>
          <w:rFonts w:hint="eastAsia"/>
          <w:sz w:val="24"/>
          <w:szCs w:val="24"/>
        </w:rPr>
        <w:t>　【停车管理】对机动车与非机动车停放场地进行管理，评价总分值为1</w:t>
      </w:r>
      <w:r>
        <w:rPr>
          <w:sz w:val="24"/>
          <w:szCs w:val="24"/>
        </w:rPr>
        <w:t>2</w:t>
      </w:r>
      <w:r>
        <w:rPr>
          <w:rFonts w:hint="eastAsia"/>
          <w:sz w:val="24"/>
          <w:szCs w:val="24"/>
        </w:rPr>
        <w:t>分，并按下列规则分别评分并累计：</w:t>
      </w:r>
    </w:p>
    <w:p w14:paraId="46E1A3F6">
      <w:pPr>
        <w:spacing w:line="360" w:lineRule="auto"/>
        <w:ind w:firstLine="482" w:firstLineChars="200"/>
        <w:rPr>
          <w:sz w:val="24"/>
          <w:szCs w:val="24"/>
        </w:rPr>
      </w:pPr>
      <w:r>
        <w:rPr>
          <w:b/>
          <w:bCs/>
          <w:sz w:val="24"/>
          <w:szCs w:val="24"/>
        </w:rPr>
        <w:t>1</w:t>
      </w:r>
      <w:r>
        <w:rPr>
          <w:rFonts w:hint="eastAsia"/>
          <w:sz w:val="24"/>
          <w:szCs w:val="24"/>
        </w:rPr>
        <w:t xml:space="preserve">  机动车停放设施设置合理，地上停车位结合雨棚设置光伏设施，得</w:t>
      </w:r>
      <w:r>
        <w:rPr>
          <w:sz w:val="24"/>
          <w:szCs w:val="24"/>
        </w:rPr>
        <w:t>4</w:t>
      </w:r>
      <w:r>
        <w:rPr>
          <w:rFonts w:hint="eastAsia"/>
          <w:sz w:val="24"/>
          <w:szCs w:val="24"/>
        </w:rPr>
        <w:t>分；</w:t>
      </w:r>
    </w:p>
    <w:p w14:paraId="595BE7C3">
      <w:pPr>
        <w:spacing w:line="360" w:lineRule="auto"/>
        <w:ind w:firstLine="482" w:firstLineChars="200"/>
        <w:rPr>
          <w:sz w:val="24"/>
          <w:szCs w:val="24"/>
        </w:rPr>
      </w:pPr>
      <w:r>
        <w:rPr>
          <w:b/>
          <w:bCs/>
          <w:sz w:val="24"/>
          <w:szCs w:val="24"/>
        </w:rPr>
        <w:t>2</w:t>
      </w:r>
      <w:r>
        <w:rPr>
          <w:rFonts w:hint="eastAsia"/>
          <w:sz w:val="24"/>
          <w:szCs w:val="24"/>
        </w:rPr>
        <w:t xml:space="preserve">  配置充电桩机动车位数占总车位数的比例不低于10%，得</w:t>
      </w:r>
      <w:r>
        <w:rPr>
          <w:sz w:val="24"/>
          <w:szCs w:val="24"/>
        </w:rPr>
        <w:t>4</w:t>
      </w:r>
      <w:r>
        <w:rPr>
          <w:rFonts w:hint="eastAsia"/>
          <w:sz w:val="24"/>
          <w:szCs w:val="24"/>
        </w:rPr>
        <w:t>分；</w:t>
      </w:r>
    </w:p>
    <w:p w14:paraId="35D7126F">
      <w:pPr>
        <w:spacing w:line="360" w:lineRule="auto"/>
        <w:ind w:firstLine="482" w:firstLineChars="200"/>
        <w:rPr>
          <w:sz w:val="24"/>
          <w:szCs w:val="24"/>
        </w:rPr>
      </w:pPr>
      <w:r>
        <w:rPr>
          <w:b/>
          <w:bCs/>
          <w:sz w:val="24"/>
          <w:szCs w:val="24"/>
        </w:rPr>
        <w:t>3</w:t>
      </w:r>
      <w:r>
        <w:rPr>
          <w:rFonts w:hint="eastAsia"/>
          <w:sz w:val="24"/>
          <w:szCs w:val="24"/>
        </w:rPr>
        <w:t xml:space="preserve">  场地内专门设置非机动车室外充电位置，得</w:t>
      </w:r>
      <w:r>
        <w:rPr>
          <w:sz w:val="24"/>
          <w:szCs w:val="24"/>
        </w:rPr>
        <w:t>4</w:t>
      </w:r>
      <w:r>
        <w:rPr>
          <w:rFonts w:hint="eastAsia"/>
          <w:sz w:val="24"/>
          <w:szCs w:val="24"/>
        </w:rPr>
        <w:t>分。</w:t>
      </w:r>
    </w:p>
    <w:p w14:paraId="1DB374F7">
      <w:pPr>
        <w:spacing w:line="360" w:lineRule="auto"/>
        <w:rPr>
          <w:sz w:val="24"/>
          <w:szCs w:val="24"/>
        </w:rPr>
      </w:pPr>
      <w:r>
        <w:rPr>
          <w:rFonts w:hint="default" w:ascii="Times New Roman" w:hAnsi="Times New Roman" w:eastAsia="黑体" w:cs="Times New Roman"/>
          <w:b/>
          <w:bCs/>
          <w:sz w:val="24"/>
          <w:szCs w:val="24"/>
        </w:rPr>
        <w:t>4.2.3</w:t>
      </w:r>
      <w:r>
        <w:rPr>
          <w:rFonts w:hint="eastAsia"/>
          <w:sz w:val="24"/>
          <w:szCs w:val="24"/>
        </w:rPr>
        <w:t>　【植物碳汇】利用绿化景观提高场地碳汇能力，评价总分值为10分，并按下列规则分别评分并累计：</w:t>
      </w:r>
    </w:p>
    <w:p w14:paraId="089AFC2E">
      <w:pPr>
        <w:spacing w:line="360" w:lineRule="auto"/>
        <w:ind w:firstLine="482" w:firstLineChars="200"/>
        <w:rPr>
          <w:sz w:val="24"/>
          <w:szCs w:val="24"/>
        </w:rPr>
      </w:pPr>
      <w:r>
        <w:rPr>
          <w:b/>
          <w:bCs/>
          <w:sz w:val="24"/>
          <w:szCs w:val="24"/>
        </w:rPr>
        <w:t xml:space="preserve">1 </w:t>
      </w:r>
      <w:r>
        <w:rPr>
          <w:rFonts w:hint="eastAsia"/>
          <w:sz w:val="24"/>
          <w:szCs w:val="24"/>
        </w:rPr>
        <w:t xml:space="preserve"> 改造后的绿地率达到改造前的105%及以上，得</w:t>
      </w:r>
      <w:r>
        <w:rPr>
          <w:sz w:val="24"/>
          <w:szCs w:val="24"/>
        </w:rPr>
        <w:t>5</w:t>
      </w:r>
      <w:r>
        <w:rPr>
          <w:rFonts w:hint="eastAsia"/>
          <w:sz w:val="24"/>
          <w:szCs w:val="24"/>
        </w:rPr>
        <w:t>分；</w:t>
      </w:r>
    </w:p>
    <w:p w14:paraId="3CC91906">
      <w:pPr>
        <w:spacing w:line="360" w:lineRule="auto"/>
        <w:ind w:firstLine="482" w:firstLineChars="200"/>
        <w:rPr>
          <w:rFonts w:hint="eastAsia" w:eastAsia="宋体"/>
          <w:sz w:val="24"/>
          <w:szCs w:val="24"/>
          <w:lang w:eastAsia="zh-CN"/>
        </w:rPr>
      </w:pPr>
      <w:r>
        <w:rPr>
          <w:b/>
          <w:bCs/>
          <w:sz w:val="24"/>
          <w:szCs w:val="24"/>
        </w:rPr>
        <w:t>2</w:t>
      </w:r>
      <w:r>
        <w:rPr>
          <w:rFonts w:hint="eastAsia"/>
          <w:sz w:val="24"/>
          <w:szCs w:val="24"/>
        </w:rPr>
        <w:t xml:space="preserve">  每100m</w:t>
      </w:r>
      <w:r>
        <w:rPr>
          <w:rFonts w:hint="eastAsia"/>
          <w:sz w:val="24"/>
          <w:szCs w:val="24"/>
          <w:vertAlign w:val="superscript"/>
        </w:rPr>
        <w:t>2</w:t>
      </w:r>
      <w:r>
        <w:rPr>
          <w:rFonts w:hint="eastAsia"/>
          <w:sz w:val="24"/>
          <w:szCs w:val="24"/>
        </w:rPr>
        <w:t>绿地面积内乔木种植数量不少于4株，得</w:t>
      </w:r>
      <w:r>
        <w:rPr>
          <w:sz w:val="24"/>
          <w:szCs w:val="24"/>
        </w:rPr>
        <w:t>5</w:t>
      </w:r>
      <w:r>
        <w:rPr>
          <w:rFonts w:hint="eastAsia"/>
          <w:sz w:val="24"/>
          <w:szCs w:val="24"/>
        </w:rPr>
        <w:t>分</w:t>
      </w:r>
      <w:r>
        <w:rPr>
          <w:rFonts w:hint="eastAsia"/>
          <w:sz w:val="24"/>
          <w:szCs w:val="24"/>
          <w:lang w:eastAsia="zh-CN"/>
        </w:rPr>
        <w:t>。</w:t>
      </w:r>
    </w:p>
    <w:p w14:paraId="707CCFE7">
      <w:pPr>
        <w:spacing w:line="360" w:lineRule="auto"/>
        <w:rPr>
          <w:sz w:val="24"/>
          <w:szCs w:val="24"/>
        </w:rPr>
      </w:pPr>
      <w:r>
        <w:rPr>
          <w:rFonts w:hint="default" w:ascii="Times New Roman" w:hAnsi="Times New Roman" w:eastAsia="黑体" w:cs="Times New Roman"/>
          <w:b/>
          <w:bCs/>
          <w:sz w:val="24"/>
          <w:szCs w:val="24"/>
        </w:rPr>
        <w:t>4.2.4</w:t>
      </w:r>
      <w:r>
        <w:rPr>
          <w:rFonts w:hint="eastAsia"/>
          <w:sz w:val="24"/>
          <w:szCs w:val="24"/>
        </w:rPr>
        <w:t>　【垃圾分类】场地内实施垃圾分类收集、密闭运输和处理，评价总分值为8分，并按下列规则分别评分并累计：</w:t>
      </w:r>
    </w:p>
    <w:p w14:paraId="7F40C461">
      <w:pPr>
        <w:spacing w:line="360" w:lineRule="auto"/>
        <w:ind w:firstLine="482" w:firstLineChars="200"/>
        <w:rPr>
          <w:sz w:val="24"/>
          <w:szCs w:val="24"/>
        </w:rPr>
      </w:pPr>
      <w:r>
        <w:rPr>
          <w:b/>
          <w:bCs/>
          <w:sz w:val="24"/>
          <w:szCs w:val="24"/>
        </w:rPr>
        <w:t>1</w:t>
      </w:r>
      <w:r>
        <w:rPr>
          <w:rFonts w:hint="eastAsia"/>
          <w:sz w:val="24"/>
          <w:szCs w:val="24"/>
        </w:rPr>
        <w:t xml:space="preserve">  设置不同类型垃圾收集器具，并制订完善的垃圾收集、运输、处理体系，得4分；</w:t>
      </w:r>
    </w:p>
    <w:p w14:paraId="72BAB9FE">
      <w:pPr>
        <w:spacing w:line="360" w:lineRule="auto"/>
        <w:ind w:firstLine="482" w:firstLineChars="200"/>
        <w:rPr>
          <w:sz w:val="24"/>
          <w:szCs w:val="24"/>
        </w:rPr>
      </w:pPr>
      <w:r>
        <w:rPr>
          <w:b/>
          <w:bCs/>
          <w:sz w:val="24"/>
          <w:szCs w:val="24"/>
        </w:rPr>
        <w:t>2</w:t>
      </w:r>
      <w:r>
        <w:rPr>
          <w:rFonts w:hint="eastAsia"/>
          <w:sz w:val="24"/>
          <w:szCs w:val="24"/>
        </w:rPr>
        <w:t xml:space="preserve">  场地内建有密闭的小型垃圾收集站，或通过气力管道垃圾收集系统与区域或市政垃圾处理厂连接，得4分。</w:t>
      </w:r>
    </w:p>
    <w:p w14:paraId="2C4D8192">
      <w:pPr>
        <w:pStyle w:val="28"/>
        <w:spacing w:line="360" w:lineRule="auto"/>
        <w:ind w:firstLine="0" w:firstLineChars="0"/>
        <w:rPr>
          <w:szCs w:val="24"/>
        </w:rPr>
      </w:pPr>
      <w:r>
        <w:rPr>
          <w:rFonts w:hint="default" w:ascii="Times New Roman" w:hAnsi="Times New Roman" w:eastAsia="黑体" w:cs="Times New Roman"/>
          <w:b/>
          <w:bCs/>
          <w:szCs w:val="24"/>
        </w:rPr>
        <w:t>4.2.5</w:t>
      </w:r>
      <w:r>
        <w:rPr>
          <w:rFonts w:hint="eastAsia"/>
          <w:szCs w:val="24"/>
        </w:rPr>
        <w:t>　【低碳出行】场地内通过提高路网密度</w:t>
      </w:r>
      <w:r>
        <w:rPr>
          <w:rFonts w:hint="eastAsia"/>
          <w:szCs w:val="24"/>
          <w:lang w:eastAsia="zh-CN"/>
        </w:rPr>
        <w:t>，</w:t>
      </w:r>
      <w:r>
        <w:rPr>
          <w:rFonts w:hint="eastAsia"/>
          <w:szCs w:val="24"/>
        </w:rPr>
        <w:t>设置接驳车、共享单车和慢行系统等措施，实现交通运行效率的提升，评价总分值为1</w:t>
      </w:r>
      <w:r>
        <w:rPr>
          <w:szCs w:val="24"/>
        </w:rPr>
        <w:t>2</w:t>
      </w:r>
      <w:r>
        <w:rPr>
          <w:rFonts w:hint="eastAsia"/>
          <w:szCs w:val="24"/>
        </w:rPr>
        <w:t>分，并按下列规则分别评分并累计：</w:t>
      </w:r>
    </w:p>
    <w:p w14:paraId="347082AD">
      <w:pPr>
        <w:snapToGrid w:val="0"/>
        <w:spacing w:line="360" w:lineRule="auto"/>
        <w:ind w:firstLine="482" w:firstLineChars="200"/>
        <w:rPr>
          <w:sz w:val="24"/>
          <w:szCs w:val="24"/>
        </w:rPr>
      </w:pPr>
      <w:r>
        <w:rPr>
          <w:rFonts w:hint="eastAsia"/>
          <w:b/>
          <w:bCs/>
          <w:sz w:val="24"/>
          <w:szCs w:val="24"/>
        </w:rPr>
        <w:t>1</w:t>
      </w:r>
      <w:r>
        <w:rPr>
          <w:rFonts w:hint="eastAsia"/>
          <w:sz w:val="24"/>
          <w:szCs w:val="24"/>
        </w:rPr>
        <w:t xml:space="preserve">  充分利用工业园区内既有道路，并通过调整，增设辅助道路，得4分；</w:t>
      </w:r>
    </w:p>
    <w:p w14:paraId="5B51E902">
      <w:pPr>
        <w:snapToGrid w:val="0"/>
        <w:spacing w:line="360" w:lineRule="auto"/>
        <w:ind w:firstLine="482" w:firstLineChars="200"/>
        <w:rPr>
          <w:sz w:val="24"/>
          <w:szCs w:val="24"/>
        </w:rPr>
      </w:pPr>
      <w:r>
        <w:rPr>
          <w:rFonts w:hint="eastAsia"/>
          <w:b/>
          <w:bCs/>
          <w:sz w:val="24"/>
          <w:szCs w:val="24"/>
        </w:rPr>
        <w:t>2</w:t>
      </w:r>
      <w:r>
        <w:rPr>
          <w:rFonts w:hint="eastAsia"/>
          <w:sz w:val="24"/>
          <w:szCs w:val="24"/>
        </w:rPr>
        <w:t xml:space="preserve">  大型园区内部设置接驳车，其他园区允许社会共享单车进入或提供内部共享单车，得</w:t>
      </w:r>
      <w:r>
        <w:rPr>
          <w:sz w:val="24"/>
          <w:szCs w:val="24"/>
        </w:rPr>
        <w:t>4</w:t>
      </w:r>
      <w:r>
        <w:rPr>
          <w:rFonts w:hint="eastAsia"/>
          <w:sz w:val="24"/>
          <w:szCs w:val="24"/>
        </w:rPr>
        <w:t>分；</w:t>
      </w:r>
    </w:p>
    <w:p w14:paraId="7064DA79">
      <w:pPr>
        <w:snapToGrid w:val="0"/>
        <w:spacing w:line="360" w:lineRule="auto"/>
        <w:ind w:firstLine="482" w:firstLineChars="200"/>
        <w:rPr>
          <w:sz w:val="24"/>
          <w:szCs w:val="24"/>
        </w:rPr>
      </w:pPr>
      <w:r>
        <w:rPr>
          <w:rFonts w:hint="eastAsia"/>
          <w:b/>
          <w:sz w:val="24"/>
          <w:szCs w:val="24"/>
        </w:rPr>
        <w:t>3</w:t>
      </w:r>
      <w:r>
        <w:rPr>
          <w:sz w:val="24"/>
          <w:szCs w:val="24"/>
        </w:rPr>
        <w:t xml:space="preserve"> </w:t>
      </w:r>
      <w:r>
        <w:rPr>
          <w:rFonts w:hint="eastAsia"/>
          <w:sz w:val="24"/>
          <w:szCs w:val="24"/>
          <w:lang w:val="en-US" w:eastAsia="zh-CN"/>
        </w:rPr>
        <w:t xml:space="preserve"> </w:t>
      </w:r>
      <w:r>
        <w:rPr>
          <w:rFonts w:hint="eastAsia"/>
          <w:sz w:val="24"/>
          <w:szCs w:val="24"/>
        </w:rPr>
        <w:t>场地内增设健身步道与人行路线一体化的慢行系统，得</w:t>
      </w:r>
      <w:r>
        <w:rPr>
          <w:sz w:val="24"/>
          <w:szCs w:val="24"/>
        </w:rPr>
        <w:t>4</w:t>
      </w:r>
      <w:r>
        <w:rPr>
          <w:rFonts w:hint="eastAsia"/>
          <w:sz w:val="24"/>
          <w:szCs w:val="24"/>
        </w:rPr>
        <w:t>分。</w:t>
      </w:r>
    </w:p>
    <w:p w14:paraId="688338E6">
      <w:pPr>
        <w:pStyle w:val="28"/>
        <w:spacing w:line="360" w:lineRule="auto"/>
        <w:ind w:firstLine="0" w:firstLineChars="0"/>
        <w:rPr>
          <w:szCs w:val="24"/>
        </w:rPr>
      </w:pPr>
      <w:r>
        <w:rPr>
          <w:rFonts w:hint="default" w:ascii="Times New Roman" w:hAnsi="Times New Roman" w:eastAsia="黑体" w:cs="Times New Roman"/>
          <w:b/>
          <w:bCs/>
          <w:szCs w:val="24"/>
        </w:rPr>
        <w:t>4.2.6</w:t>
      </w:r>
      <w:r>
        <w:rPr>
          <w:rFonts w:hint="eastAsia"/>
          <w:szCs w:val="24"/>
        </w:rPr>
        <w:t>　【低碳教育展示】利用场地开展低碳教育和展示活动，评价总分值为</w:t>
      </w:r>
      <w:r>
        <w:rPr>
          <w:szCs w:val="24"/>
        </w:rPr>
        <w:t>8</w:t>
      </w:r>
      <w:r>
        <w:rPr>
          <w:rFonts w:hint="eastAsia"/>
          <w:szCs w:val="24"/>
        </w:rPr>
        <w:t>分，并按下列规则分别评分并累计：</w:t>
      </w:r>
    </w:p>
    <w:p w14:paraId="0D2ACF63">
      <w:pPr>
        <w:pStyle w:val="28"/>
        <w:spacing w:line="360" w:lineRule="auto"/>
        <w:ind w:firstLine="482"/>
        <w:rPr>
          <w:szCs w:val="24"/>
        </w:rPr>
      </w:pPr>
      <w:r>
        <w:rPr>
          <w:rFonts w:cs="Times New Roman"/>
          <w:b/>
          <w:szCs w:val="24"/>
        </w:rPr>
        <w:t>1</w:t>
      </w:r>
      <w:r>
        <w:rPr>
          <w:szCs w:val="24"/>
        </w:rPr>
        <w:t xml:space="preserve">  </w:t>
      </w:r>
      <w:r>
        <w:rPr>
          <w:rFonts w:hint="eastAsia"/>
          <w:szCs w:val="24"/>
        </w:rPr>
        <w:t>场地内设有低碳教育展示区，得</w:t>
      </w:r>
      <w:r>
        <w:rPr>
          <w:szCs w:val="24"/>
        </w:rPr>
        <w:t>4</w:t>
      </w:r>
      <w:r>
        <w:rPr>
          <w:rFonts w:hint="eastAsia"/>
          <w:szCs w:val="24"/>
        </w:rPr>
        <w:t>分；</w:t>
      </w:r>
    </w:p>
    <w:p w14:paraId="3E62B7CC">
      <w:pPr>
        <w:pStyle w:val="28"/>
        <w:spacing w:line="360" w:lineRule="auto"/>
        <w:ind w:firstLine="482"/>
        <w:rPr>
          <w:szCs w:val="24"/>
        </w:rPr>
      </w:pPr>
      <w:r>
        <w:rPr>
          <w:rFonts w:hint="default" w:cs="Times New Roman"/>
          <w:b/>
          <w:szCs w:val="24"/>
        </w:rPr>
        <w:t>2</w:t>
      </w:r>
      <w:r>
        <w:rPr>
          <w:b/>
          <w:szCs w:val="24"/>
        </w:rPr>
        <w:t xml:space="preserve"> </w:t>
      </w:r>
      <w:r>
        <w:rPr>
          <w:szCs w:val="24"/>
        </w:rPr>
        <w:t xml:space="preserve"> 每年举办大型</w:t>
      </w:r>
      <w:r>
        <w:rPr>
          <w:rFonts w:hint="eastAsia"/>
          <w:szCs w:val="24"/>
        </w:rPr>
        <w:t>低碳教育展览或低碳公益讲座等活动不少于3次，得</w:t>
      </w:r>
      <w:r>
        <w:rPr>
          <w:szCs w:val="24"/>
        </w:rPr>
        <w:t>4</w:t>
      </w:r>
      <w:r>
        <w:rPr>
          <w:rFonts w:hint="eastAsia"/>
          <w:szCs w:val="24"/>
        </w:rPr>
        <w:t>分。</w:t>
      </w:r>
    </w:p>
    <w:p w14:paraId="1DF79419">
      <w:pPr>
        <w:pStyle w:val="28"/>
        <w:spacing w:before="0" w:beforeLines="0" w:after="0" w:afterLines="0" w:line="360" w:lineRule="auto"/>
        <w:ind w:firstLine="0" w:firstLineChars="0"/>
        <w:jc w:val="center"/>
        <w:outlineLvl w:val="2"/>
        <w:rPr>
          <w:rFonts w:cs="Times New Roman"/>
          <w:b/>
          <w:bCs/>
          <w:sz w:val="28"/>
          <w:szCs w:val="28"/>
        </w:rPr>
      </w:pPr>
      <w:r>
        <w:rPr>
          <w:rFonts w:cs="Times New Roman"/>
          <w:b/>
          <w:bCs/>
          <w:sz w:val="28"/>
          <w:szCs w:val="28"/>
        </w:rPr>
        <w:fldChar w:fldCharType="begin"/>
      </w:r>
      <w:r>
        <w:rPr>
          <w:rFonts w:cs="Times New Roman"/>
          <w:b/>
          <w:bCs/>
          <w:sz w:val="28"/>
          <w:szCs w:val="28"/>
        </w:rPr>
        <w:instrText xml:space="preserve"> = 1 \* ROMAN </w:instrText>
      </w:r>
      <w:r>
        <w:rPr>
          <w:rFonts w:cs="Times New Roman"/>
          <w:b/>
          <w:bCs/>
          <w:sz w:val="28"/>
          <w:szCs w:val="28"/>
        </w:rPr>
        <w:fldChar w:fldCharType="separate"/>
      </w:r>
      <w:r>
        <w:rPr>
          <w:rFonts w:cs="Times New Roman"/>
          <w:b/>
          <w:bCs/>
          <w:sz w:val="28"/>
          <w:szCs w:val="28"/>
        </w:rPr>
        <w:t>I</w:t>
      </w:r>
      <w:r>
        <w:rPr>
          <w:rFonts w:cs="Times New Roman"/>
          <w:b/>
          <w:bCs/>
          <w:sz w:val="28"/>
          <w:szCs w:val="28"/>
        </w:rPr>
        <w:fldChar w:fldCharType="end"/>
      </w:r>
      <w:r>
        <w:rPr>
          <w:rFonts w:cs="Times New Roman"/>
          <w:b/>
          <w:bCs/>
          <w:sz w:val="28"/>
          <w:szCs w:val="28"/>
        </w:rPr>
        <w:t xml:space="preserve">I </w:t>
      </w:r>
      <w:r>
        <w:rPr>
          <w:rFonts w:hint="eastAsia" w:ascii="仿宋" w:hAnsi="仿宋" w:eastAsia="仿宋" w:cs="仿宋"/>
          <w:b/>
          <w:bCs/>
          <w:sz w:val="28"/>
          <w:szCs w:val="28"/>
        </w:rPr>
        <w:t>室外环境</w:t>
      </w:r>
    </w:p>
    <w:p w14:paraId="3DF9562E">
      <w:pPr>
        <w:spacing w:line="360" w:lineRule="auto"/>
        <w:rPr>
          <w:sz w:val="24"/>
          <w:szCs w:val="24"/>
        </w:rPr>
      </w:pPr>
      <w:r>
        <w:rPr>
          <w:rFonts w:hint="default" w:ascii="Times New Roman" w:hAnsi="Times New Roman" w:eastAsia="黑体" w:cs="Times New Roman"/>
          <w:b/>
          <w:bCs/>
          <w:sz w:val="24"/>
          <w:szCs w:val="24"/>
        </w:rPr>
        <w:t>4.2.</w:t>
      </w:r>
      <w:r>
        <w:rPr>
          <w:rFonts w:ascii="Times New Roman" w:hAnsi="Times New Roman" w:eastAsia="黑体" w:cs="Times New Roman"/>
          <w:b/>
          <w:bCs/>
          <w:sz w:val="24"/>
          <w:szCs w:val="24"/>
        </w:rPr>
        <w:t>7</w:t>
      </w:r>
      <w:r>
        <w:rPr>
          <w:rFonts w:hint="eastAsia"/>
          <w:sz w:val="24"/>
          <w:szCs w:val="24"/>
        </w:rPr>
        <w:t>　【热环境】通过绿化和构筑物遮阴，提高场地热环境舒适度，评价总分值为1</w:t>
      </w:r>
      <w:r>
        <w:rPr>
          <w:sz w:val="24"/>
          <w:szCs w:val="24"/>
        </w:rPr>
        <w:t>2</w:t>
      </w:r>
      <w:r>
        <w:rPr>
          <w:rFonts w:hint="eastAsia"/>
          <w:sz w:val="24"/>
          <w:szCs w:val="24"/>
        </w:rPr>
        <w:t>分，按下列规则分别评分并累计：</w:t>
      </w:r>
    </w:p>
    <w:p w14:paraId="216BE70C">
      <w:pPr>
        <w:spacing w:line="360" w:lineRule="auto"/>
        <w:ind w:firstLine="482" w:firstLineChars="200"/>
        <w:rPr>
          <w:sz w:val="24"/>
          <w:szCs w:val="24"/>
        </w:rPr>
      </w:pPr>
      <w:r>
        <w:rPr>
          <w:b/>
          <w:bCs/>
          <w:sz w:val="24"/>
          <w:szCs w:val="24"/>
        </w:rPr>
        <w:t>1</w:t>
      </w:r>
      <w:r>
        <w:rPr>
          <w:rFonts w:hint="eastAsia"/>
          <w:sz w:val="24"/>
          <w:szCs w:val="24"/>
        </w:rPr>
        <w:t xml:space="preserve">  场地中处于建筑阴影区外的步道、庭院、广场等室外活动场地设有乔木、花架等遮阴措施的面积比例达到20%，得</w:t>
      </w:r>
      <w:r>
        <w:rPr>
          <w:sz w:val="24"/>
          <w:szCs w:val="24"/>
        </w:rPr>
        <w:t>4</w:t>
      </w:r>
      <w:r>
        <w:rPr>
          <w:rFonts w:hint="eastAsia"/>
          <w:sz w:val="24"/>
          <w:szCs w:val="24"/>
        </w:rPr>
        <w:t>分；</w:t>
      </w:r>
    </w:p>
    <w:p w14:paraId="438B8403">
      <w:pPr>
        <w:spacing w:line="360" w:lineRule="auto"/>
        <w:ind w:firstLine="482" w:firstLineChars="200"/>
        <w:rPr>
          <w:sz w:val="24"/>
          <w:szCs w:val="24"/>
        </w:rPr>
      </w:pPr>
      <w:r>
        <w:rPr>
          <w:b/>
          <w:bCs/>
          <w:sz w:val="24"/>
          <w:szCs w:val="24"/>
        </w:rPr>
        <w:t>2</w:t>
      </w:r>
      <w:r>
        <w:rPr>
          <w:rFonts w:hint="eastAsia"/>
          <w:sz w:val="24"/>
          <w:szCs w:val="24"/>
        </w:rPr>
        <w:t xml:space="preserve">  场地中处于建筑阴影区外的机动车道，路面太阳辐射反射系数不小于0.4或设有遮阴面积较大的行道树的路段长度超过70%，得</w:t>
      </w:r>
      <w:r>
        <w:rPr>
          <w:sz w:val="24"/>
          <w:szCs w:val="24"/>
        </w:rPr>
        <w:t>4</w:t>
      </w:r>
      <w:r>
        <w:rPr>
          <w:rFonts w:hint="eastAsia"/>
          <w:sz w:val="24"/>
          <w:szCs w:val="24"/>
        </w:rPr>
        <w:t>分；</w:t>
      </w:r>
    </w:p>
    <w:p w14:paraId="5A5439F6">
      <w:pPr>
        <w:spacing w:line="360" w:lineRule="auto"/>
        <w:ind w:firstLine="482" w:firstLineChars="200"/>
        <w:rPr>
          <w:sz w:val="24"/>
          <w:szCs w:val="24"/>
        </w:rPr>
      </w:pPr>
      <w:r>
        <w:rPr>
          <w:b/>
          <w:bCs/>
          <w:sz w:val="24"/>
          <w:szCs w:val="24"/>
        </w:rPr>
        <w:t>3</w:t>
      </w:r>
      <w:r>
        <w:rPr>
          <w:rFonts w:hint="eastAsia"/>
          <w:sz w:val="24"/>
          <w:szCs w:val="24"/>
        </w:rPr>
        <w:t xml:space="preserve">  屋顶的绿化面积、太阳能板水平投影面积以及太阳辐射反射系数不小于0.4的屋面面积合计达到75%，得4分。</w:t>
      </w:r>
    </w:p>
    <w:p w14:paraId="418ED5C3">
      <w:pPr>
        <w:spacing w:line="360" w:lineRule="auto"/>
        <w:rPr>
          <w:sz w:val="24"/>
          <w:szCs w:val="24"/>
        </w:rPr>
      </w:pPr>
      <w:r>
        <w:rPr>
          <w:rFonts w:hint="default" w:ascii="Times New Roman" w:hAnsi="Times New Roman" w:eastAsia="黑体" w:cs="Times New Roman"/>
          <w:b/>
          <w:bCs/>
          <w:sz w:val="24"/>
          <w:szCs w:val="24"/>
        </w:rPr>
        <w:t>4.2.</w:t>
      </w:r>
      <w:r>
        <w:rPr>
          <w:rFonts w:ascii="Times New Roman" w:hAnsi="Times New Roman" w:eastAsia="黑体" w:cs="Times New Roman"/>
          <w:b/>
          <w:bCs/>
          <w:sz w:val="24"/>
          <w:szCs w:val="24"/>
        </w:rPr>
        <w:t>8</w:t>
      </w:r>
      <w:r>
        <w:rPr>
          <w:rFonts w:hint="eastAsia"/>
          <w:sz w:val="24"/>
          <w:szCs w:val="24"/>
        </w:rPr>
        <w:t>　【海绵城市】场地空间绿色雨水基础设施设置和利用，评价总分值为1</w:t>
      </w:r>
      <w:r>
        <w:rPr>
          <w:sz w:val="24"/>
          <w:szCs w:val="24"/>
        </w:rPr>
        <w:t>6</w:t>
      </w:r>
      <w:r>
        <w:rPr>
          <w:rFonts w:hint="eastAsia"/>
          <w:sz w:val="24"/>
          <w:szCs w:val="24"/>
        </w:rPr>
        <w:t>分，并按下列规则分别评分并累计：</w:t>
      </w:r>
    </w:p>
    <w:p w14:paraId="1FAB6AEA">
      <w:pPr>
        <w:spacing w:line="360" w:lineRule="auto"/>
        <w:ind w:firstLine="482" w:firstLineChars="200"/>
        <w:rPr>
          <w:sz w:val="24"/>
          <w:szCs w:val="24"/>
        </w:rPr>
      </w:pPr>
      <w:r>
        <w:rPr>
          <w:b/>
          <w:bCs/>
          <w:sz w:val="24"/>
          <w:szCs w:val="24"/>
        </w:rPr>
        <w:t>1</w:t>
      </w:r>
      <w:r>
        <w:rPr>
          <w:rFonts w:hint="eastAsia"/>
          <w:sz w:val="24"/>
          <w:szCs w:val="24"/>
        </w:rPr>
        <w:t xml:space="preserve">  下凹式绿地、雨水花园等有调蓄雨水功能的绿地和水体的面积之和占绿地面积的比例达到50%，得</w:t>
      </w:r>
      <w:r>
        <w:rPr>
          <w:sz w:val="24"/>
          <w:szCs w:val="24"/>
        </w:rPr>
        <w:t>4</w:t>
      </w:r>
      <w:r>
        <w:rPr>
          <w:rFonts w:hint="eastAsia"/>
          <w:sz w:val="24"/>
          <w:szCs w:val="24"/>
        </w:rPr>
        <w:t>分；</w:t>
      </w:r>
    </w:p>
    <w:p w14:paraId="0E315B04">
      <w:pPr>
        <w:spacing w:line="360" w:lineRule="auto"/>
        <w:ind w:firstLine="482" w:firstLineChars="200"/>
        <w:rPr>
          <w:sz w:val="24"/>
          <w:szCs w:val="24"/>
        </w:rPr>
      </w:pPr>
      <w:r>
        <w:rPr>
          <w:b/>
          <w:bCs/>
          <w:sz w:val="24"/>
          <w:szCs w:val="24"/>
        </w:rPr>
        <w:t>2</w:t>
      </w:r>
      <w:r>
        <w:rPr>
          <w:rFonts w:hint="eastAsia"/>
          <w:sz w:val="24"/>
          <w:szCs w:val="24"/>
        </w:rPr>
        <w:t xml:space="preserve">  衔接和引导不少于80%的屋面雨水进入地面生态设施，雨水排入市政管网前，利用生态设施削减径流污染，得</w:t>
      </w:r>
      <w:r>
        <w:rPr>
          <w:sz w:val="24"/>
          <w:szCs w:val="24"/>
        </w:rPr>
        <w:t>4</w:t>
      </w:r>
      <w:r>
        <w:rPr>
          <w:rFonts w:hint="eastAsia"/>
          <w:sz w:val="24"/>
          <w:szCs w:val="24"/>
        </w:rPr>
        <w:t>分；</w:t>
      </w:r>
    </w:p>
    <w:p w14:paraId="167D7149">
      <w:pPr>
        <w:spacing w:line="360" w:lineRule="auto"/>
        <w:ind w:firstLine="482" w:firstLineChars="200"/>
        <w:rPr>
          <w:sz w:val="24"/>
          <w:szCs w:val="24"/>
        </w:rPr>
      </w:pPr>
      <w:r>
        <w:rPr>
          <w:b/>
          <w:bCs/>
          <w:sz w:val="24"/>
          <w:szCs w:val="24"/>
        </w:rPr>
        <w:t>3</w:t>
      </w:r>
      <w:r>
        <w:rPr>
          <w:rFonts w:hint="eastAsia"/>
          <w:sz w:val="24"/>
          <w:szCs w:val="24"/>
        </w:rPr>
        <w:t xml:space="preserve">  衔接和引导不少于80%的道路雨水进入地面生态设施，雨水排入市政管网前，利用生态设施削减径流污染，得</w:t>
      </w:r>
      <w:r>
        <w:rPr>
          <w:sz w:val="24"/>
          <w:szCs w:val="24"/>
        </w:rPr>
        <w:t>4</w:t>
      </w:r>
      <w:r>
        <w:rPr>
          <w:rFonts w:hint="eastAsia"/>
          <w:sz w:val="24"/>
          <w:szCs w:val="24"/>
        </w:rPr>
        <w:t>分；</w:t>
      </w:r>
    </w:p>
    <w:p w14:paraId="656FC646">
      <w:pPr>
        <w:spacing w:line="360" w:lineRule="auto"/>
        <w:ind w:firstLine="482" w:firstLineChars="200"/>
        <w:rPr>
          <w:sz w:val="24"/>
          <w:szCs w:val="24"/>
        </w:rPr>
      </w:pPr>
      <w:r>
        <w:rPr>
          <w:b/>
          <w:bCs/>
          <w:sz w:val="24"/>
          <w:szCs w:val="24"/>
        </w:rPr>
        <w:t>4</w:t>
      </w:r>
      <w:r>
        <w:rPr>
          <w:rFonts w:hint="eastAsia"/>
          <w:sz w:val="24"/>
          <w:szCs w:val="24"/>
        </w:rPr>
        <w:t xml:space="preserve">  硬质铺装地面中透水铺装面积的比例达到50%，得</w:t>
      </w:r>
      <w:r>
        <w:rPr>
          <w:sz w:val="24"/>
          <w:szCs w:val="24"/>
        </w:rPr>
        <w:t>4</w:t>
      </w:r>
      <w:r>
        <w:rPr>
          <w:rFonts w:hint="eastAsia"/>
          <w:sz w:val="24"/>
          <w:szCs w:val="24"/>
        </w:rPr>
        <w:t>分。</w:t>
      </w:r>
    </w:p>
    <w:p w14:paraId="3F9C397C">
      <w:pPr>
        <w:numPr>
          <w:ilvl w:val="255"/>
          <w:numId w:val="0"/>
        </w:numPr>
        <w:spacing w:line="360" w:lineRule="auto"/>
        <w:rPr>
          <w:sz w:val="24"/>
          <w:szCs w:val="24"/>
        </w:rPr>
      </w:pPr>
      <w:r>
        <w:rPr>
          <w:rFonts w:hint="default" w:ascii="Times New Roman" w:eastAsia="黑体"/>
          <w:b/>
          <w:bCs/>
          <w:sz w:val="24"/>
          <w:szCs w:val="24"/>
        </w:rPr>
        <w:t>4</w:t>
      </w:r>
      <w:r>
        <w:rPr>
          <w:rFonts w:ascii="Times New Roman" w:eastAsia="黑体"/>
          <w:b/>
          <w:bCs/>
          <w:sz w:val="24"/>
          <w:szCs w:val="24"/>
        </w:rPr>
        <w:t>.2.9</w:t>
      </w:r>
      <w:r>
        <w:rPr>
          <w:rFonts w:hint="eastAsia"/>
          <w:sz w:val="24"/>
          <w:szCs w:val="24"/>
        </w:rPr>
        <w:t>　【节水与非传统水源利用】合理使用非传统水源并采用场地节水灌溉方式，评价总分值为</w:t>
      </w:r>
      <w:r>
        <w:rPr>
          <w:sz w:val="24"/>
          <w:szCs w:val="24"/>
        </w:rPr>
        <w:t>10</w:t>
      </w:r>
      <w:r>
        <w:rPr>
          <w:rFonts w:hint="eastAsia"/>
          <w:sz w:val="24"/>
          <w:szCs w:val="24"/>
        </w:rPr>
        <w:t>分，并按下列规则分别评分并累计：</w:t>
      </w:r>
    </w:p>
    <w:p w14:paraId="67562B60">
      <w:pPr>
        <w:spacing w:line="360" w:lineRule="auto"/>
        <w:ind w:firstLine="482" w:firstLineChars="200"/>
        <w:rPr>
          <w:sz w:val="24"/>
          <w:szCs w:val="24"/>
        </w:rPr>
      </w:pPr>
      <w:r>
        <w:rPr>
          <w:rFonts w:hint="eastAsia"/>
          <w:b/>
          <w:sz w:val="24"/>
          <w:szCs w:val="24"/>
        </w:rPr>
        <w:t>1</w:t>
      </w:r>
      <w:r>
        <w:rPr>
          <w:sz w:val="24"/>
          <w:szCs w:val="24"/>
        </w:rPr>
        <w:t xml:space="preserve">  </w:t>
      </w:r>
      <w:r>
        <w:rPr>
          <w:rFonts w:hint="eastAsia"/>
          <w:sz w:val="24"/>
          <w:szCs w:val="24"/>
        </w:rPr>
        <w:t>绿化灌溉、车库及道路冲洗、洗车用水采用非传统水源的用水量占其总用水量的比例不低于30%，得</w:t>
      </w:r>
      <w:r>
        <w:rPr>
          <w:sz w:val="24"/>
          <w:szCs w:val="24"/>
        </w:rPr>
        <w:t>5</w:t>
      </w:r>
      <w:r>
        <w:rPr>
          <w:rFonts w:hint="eastAsia"/>
          <w:sz w:val="24"/>
          <w:szCs w:val="24"/>
        </w:rPr>
        <w:t>分；</w:t>
      </w:r>
    </w:p>
    <w:p w14:paraId="6FCB0034">
      <w:pPr>
        <w:spacing w:line="360" w:lineRule="auto"/>
        <w:ind w:firstLine="482" w:firstLineChars="200"/>
        <w:rPr>
          <w:sz w:val="24"/>
          <w:szCs w:val="24"/>
        </w:rPr>
      </w:pPr>
      <w:r>
        <w:rPr>
          <w:b/>
          <w:sz w:val="24"/>
          <w:szCs w:val="24"/>
        </w:rPr>
        <w:t xml:space="preserve">2  </w:t>
      </w:r>
      <w:r>
        <w:rPr>
          <w:rFonts w:hint="eastAsia"/>
          <w:sz w:val="24"/>
          <w:szCs w:val="24"/>
        </w:rPr>
        <w:t>采用节水绿化灌溉措施，或种植无需永久灌溉植物，得</w:t>
      </w:r>
      <w:r>
        <w:rPr>
          <w:sz w:val="24"/>
          <w:szCs w:val="24"/>
        </w:rPr>
        <w:t>5</w:t>
      </w:r>
      <w:r>
        <w:rPr>
          <w:rFonts w:hint="eastAsia"/>
          <w:sz w:val="24"/>
          <w:szCs w:val="24"/>
        </w:rPr>
        <w:t>分。</w:t>
      </w:r>
    </w:p>
    <w:p w14:paraId="60BB5923">
      <w:pPr>
        <w:rPr>
          <w:rFonts w:ascii="仿宋" w:hAnsi="仿宋" w:eastAsia="仿宋" w:cs="仿宋"/>
        </w:rPr>
      </w:pPr>
    </w:p>
    <w:p w14:paraId="22490749">
      <w:pPr>
        <w:widowControl/>
        <w:snapToGrid w:val="0"/>
        <w:jc w:val="center"/>
        <w:outlineLvl w:val="0"/>
        <w:rPr>
          <w:rFonts w:ascii="宋体" w:hAnsi="宋体" w:cs="宋体"/>
          <w:b/>
          <w:bCs/>
          <w:kern w:val="44"/>
          <w:sz w:val="30"/>
          <w:szCs w:val="30"/>
        </w:rPr>
        <w:sectPr>
          <w:footerReference r:id="rId9" w:type="default"/>
          <w:pgSz w:w="11906" w:h="16838"/>
          <w:pgMar w:top="1440" w:right="1800" w:bottom="1440" w:left="1800" w:header="851" w:footer="992" w:gutter="0"/>
          <w:cols w:space="425" w:num="1"/>
          <w:docGrid w:type="lines" w:linePitch="312" w:charSpace="0"/>
        </w:sectPr>
      </w:pPr>
    </w:p>
    <w:p w14:paraId="6698B99B">
      <w:pPr>
        <w:widowControl/>
        <w:snapToGrid w:val="0"/>
        <w:spacing w:line="360" w:lineRule="auto"/>
        <w:jc w:val="center"/>
        <w:outlineLvl w:val="9"/>
        <w:rPr>
          <w:rFonts w:ascii="Times New Roman" w:hAnsi="Times New Roman" w:cs="Times New Roman"/>
          <w:b/>
          <w:bCs/>
          <w:kern w:val="44"/>
          <w:sz w:val="30"/>
          <w:szCs w:val="30"/>
        </w:rPr>
      </w:pPr>
      <w:bookmarkStart w:id="117" w:name="_Toc19451"/>
    </w:p>
    <w:p w14:paraId="43719C36">
      <w:pPr>
        <w:widowControl/>
        <w:snapToGrid w:val="0"/>
        <w:spacing w:line="360" w:lineRule="auto"/>
        <w:jc w:val="center"/>
        <w:outlineLvl w:val="0"/>
        <w:rPr>
          <w:rFonts w:hint="eastAsia" w:ascii="宋体" w:hAnsi="宋体" w:eastAsia="宋体" w:cs="宋体"/>
          <w:b/>
          <w:bCs/>
          <w:kern w:val="44"/>
          <w:sz w:val="30"/>
          <w:szCs w:val="30"/>
          <w:lang w:eastAsia="zh-CN"/>
        </w:rPr>
      </w:pPr>
      <w:bookmarkStart w:id="118" w:name="_Toc28754"/>
      <w:bookmarkStart w:id="119" w:name="_Toc25714"/>
      <w:r>
        <w:rPr>
          <w:rFonts w:ascii="Times New Roman" w:hAnsi="Times New Roman" w:cs="Times New Roman"/>
          <w:b/>
          <w:bCs/>
          <w:kern w:val="44"/>
          <w:sz w:val="30"/>
          <w:szCs w:val="30"/>
        </w:rPr>
        <w:t>5</w:t>
      </w:r>
      <w:r>
        <w:rPr>
          <w:rFonts w:ascii="宋体" w:hAnsi="宋体" w:cs="宋体"/>
          <w:b/>
          <w:bCs/>
          <w:kern w:val="44"/>
          <w:sz w:val="30"/>
          <w:szCs w:val="30"/>
        </w:rPr>
        <w:t xml:space="preserve"> </w:t>
      </w:r>
      <w:r>
        <w:rPr>
          <w:rFonts w:hint="eastAsia" w:ascii="宋体" w:hAnsi="宋体" w:cs="宋体"/>
          <w:b/>
          <w:bCs/>
          <w:kern w:val="44"/>
          <w:sz w:val="30"/>
          <w:szCs w:val="30"/>
        </w:rPr>
        <w:t>建筑改造与利用</w:t>
      </w:r>
      <w:bookmarkEnd w:id="117"/>
      <w:bookmarkEnd w:id="118"/>
      <w:bookmarkEnd w:id="119"/>
    </w:p>
    <w:p w14:paraId="65CB2B21">
      <w:pPr>
        <w:tabs>
          <w:tab w:val="left" w:pos="0"/>
        </w:tabs>
        <w:spacing w:before="0" w:beforeLines="0" w:after="0" w:afterLines="0" w:line="360" w:lineRule="auto"/>
        <w:jc w:val="center"/>
        <w:outlineLvl w:val="1"/>
        <w:rPr>
          <w:rFonts w:ascii="黑体" w:hAnsi="黑体" w:eastAsia="黑体" w:cs="黑体"/>
          <w:b/>
          <w:bCs/>
          <w:sz w:val="28"/>
          <w:szCs w:val="28"/>
        </w:rPr>
      </w:pPr>
      <w:bookmarkStart w:id="120" w:name="_Toc31166"/>
      <w:bookmarkStart w:id="121" w:name="_Toc20218"/>
      <w:bookmarkStart w:id="122" w:name="_Toc22924"/>
      <w:r>
        <w:rPr>
          <w:rFonts w:ascii="Times New Roman" w:hAnsi="Times New Roman" w:eastAsia="黑体" w:cs="Times New Roman"/>
          <w:b/>
          <w:bCs/>
          <w:sz w:val="28"/>
          <w:szCs w:val="28"/>
        </w:rPr>
        <w:t>5.1</w:t>
      </w:r>
      <w:r>
        <w:rPr>
          <w:rFonts w:hint="eastAsia" w:ascii="黑体" w:hAnsi="黑体" w:eastAsia="黑体" w:cs="黑体"/>
          <w:b/>
          <w:bCs/>
          <w:sz w:val="28"/>
          <w:szCs w:val="28"/>
        </w:rPr>
        <w:t>控制项</w:t>
      </w:r>
      <w:bookmarkEnd w:id="120"/>
      <w:bookmarkEnd w:id="121"/>
      <w:bookmarkEnd w:id="122"/>
    </w:p>
    <w:p w14:paraId="478D7AA9">
      <w:pPr>
        <w:spacing w:line="360" w:lineRule="auto"/>
        <w:rPr>
          <w:rFonts w:ascii="宋体" w:hAnsi="宋体" w:cs="宋体"/>
          <w:sz w:val="24"/>
          <w:szCs w:val="24"/>
        </w:rPr>
      </w:pPr>
      <w:r>
        <w:rPr>
          <w:rFonts w:hint="default" w:ascii="Times New Roman" w:hAnsi="Times New Roman" w:eastAsia="黑体" w:cs="Times New Roman"/>
          <w:b/>
          <w:bCs/>
          <w:sz w:val="24"/>
          <w:szCs w:val="24"/>
        </w:rPr>
        <w:t>5.1.1</w:t>
      </w:r>
      <w:r>
        <w:rPr>
          <w:rFonts w:hint="eastAsia"/>
          <w:sz w:val="24"/>
          <w:szCs w:val="24"/>
        </w:rPr>
        <w:t>　应对既有工业建筑民用化低碳改造厂房用途、结构形式、空间形态、建筑层数、生产状态等方面进行分析，合理利用场地空间，实现土地集约、高效使用。</w:t>
      </w:r>
    </w:p>
    <w:p w14:paraId="17A00425">
      <w:pPr>
        <w:spacing w:line="360" w:lineRule="auto"/>
        <w:rPr>
          <w:rFonts w:ascii="宋体" w:hAnsi="宋体" w:cs="宋体"/>
          <w:sz w:val="24"/>
          <w:szCs w:val="24"/>
        </w:rPr>
      </w:pPr>
      <w:r>
        <w:rPr>
          <w:rFonts w:hint="default" w:ascii="Times New Roman" w:hAnsi="Times New Roman" w:eastAsia="黑体" w:cs="Times New Roman"/>
          <w:b/>
          <w:bCs/>
          <w:sz w:val="24"/>
          <w:szCs w:val="24"/>
        </w:rPr>
        <w:t>5.1.2</w:t>
      </w:r>
      <w:r>
        <w:rPr>
          <w:rFonts w:hint="eastAsia"/>
          <w:sz w:val="24"/>
          <w:szCs w:val="24"/>
        </w:rPr>
        <w:t>　建筑空间布局应根据室内采光、气流组织分析结果进行优化。</w:t>
      </w:r>
    </w:p>
    <w:p w14:paraId="5D45BCC1">
      <w:pPr>
        <w:spacing w:line="360" w:lineRule="auto"/>
        <w:rPr>
          <w:sz w:val="24"/>
          <w:szCs w:val="24"/>
        </w:rPr>
      </w:pPr>
      <w:r>
        <w:rPr>
          <w:rFonts w:ascii="Times New Roman" w:eastAsia="黑体"/>
          <w:b/>
          <w:bCs/>
          <w:sz w:val="24"/>
          <w:szCs w:val="24"/>
        </w:rPr>
        <w:t>5.1.3</w:t>
      </w:r>
      <w:r>
        <w:rPr>
          <w:rFonts w:hint="eastAsia"/>
          <w:sz w:val="24"/>
          <w:szCs w:val="24"/>
        </w:rPr>
        <w:t>　既有工业建筑中生产配套空间应保留并改造再利用。</w:t>
      </w:r>
    </w:p>
    <w:p w14:paraId="6F82BA62">
      <w:pPr>
        <w:spacing w:line="360" w:lineRule="auto"/>
        <w:rPr>
          <w:sz w:val="24"/>
          <w:szCs w:val="24"/>
        </w:rPr>
      </w:pPr>
      <w:r>
        <w:rPr>
          <w:rFonts w:ascii="Times New Roman" w:eastAsia="黑体"/>
          <w:b/>
          <w:bCs/>
          <w:sz w:val="24"/>
          <w:szCs w:val="24"/>
        </w:rPr>
        <w:t>5.1.</w:t>
      </w:r>
      <w:r>
        <w:rPr>
          <w:rFonts w:hint="default" w:ascii="Times New Roman" w:eastAsia="黑体"/>
          <w:b/>
          <w:bCs/>
          <w:sz w:val="24"/>
          <w:szCs w:val="24"/>
        </w:rPr>
        <w:t>4</w:t>
      </w:r>
      <w:r>
        <w:rPr>
          <w:rFonts w:hint="eastAsia"/>
          <w:sz w:val="24"/>
          <w:szCs w:val="24"/>
        </w:rPr>
        <w:t>　围护结构改造应符合现行行业标准《公共建筑节能改造技术规范》JGJ</w:t>
      </w:r>
      <w:r>
        <w:rPr>
          <w:sz w:val="24"/>
          <w:szCs w:val="24"/>
        </w:rPr>
        <w:t xml:space="preserve"> </w:t>
      </w:r>
      <w:r>
        <w:rPr>
          <w:rFonts w:hint="eastAsia"/>
          <w:sz w:val="24"/>
          <w:szCs w:val="24"/>
        </w:rPr>
        <w:t>176的有关规定。</w:t>
      </w:r>
    </w:p>
    <w:p w14:paraId="0CE5B46F">
      <w:pPr>
        <w:spacing w:line="360" w:lineRule="auto"/>
        <w:rPr>
          <w:sz w:val="24"/>
          <w:szCs w:val="24"/>
        </w:rPr>
      </w:pPr>
      <w:r>
        <w:rPr>
          <w:rFonts w:ascii="Times New Roman" w:eastAsia="黑体"/>
          <w:b/>
          <w:bCs/>
          <w:sz w:val="24"/>
          <w:szCs w:val="24"/>
        </w:rPr>
        <w:t>5.1.</w:t>
      </w:r>
      <w:r>
        <w:rPr>
          <w:rFonts w:hint="default" w:ascii="Times New Roman" w:eastAsia="黑体"/>
          <w:b/>
          <w:bCs/>
          <w:sz w:val="24"/>
          <w:szCs w:val="24"/>
        </w:rPr>
        <w:t>5</w:t>
      </w:r>
      <w:r>
        <w:rPr>
          <w:rFonts w:hint="eastAsia"/>
          <w:sz w:val="24"/>
          <w:szCs w:val="24"/>
        </w:rPr>
        <w:t>　新增玻璃幕墙和外窗安全、节能、气密性、水密性、抗风压性能应符合现行行业标准《塑料门窗工程技术规程》JGJ 103、《铝合金门窗工程技术规范》JGJ 214等的有关要求。</w:t>
      </w:r>
    </w:p>
    <w:p w14:paraId="018712CE">
      <w:pPr>
        <w:tabs>
          <w:tab w:val="left" w:pos="0"/>
        </w:tabs>
        <w:spacing w:before="0" w:beforeLines="0" w:after="0" w:afterLines="0" w:line="360" w:lineRule="auto"/>
        <w:jc w:val="center"/>
        <w:outlineLvl w:val="1"/>
        <w:rPr>
          <w:rFonts w:ascii="黑体" w:hAnsi="黑体" w:eastAsia="黑体" w:cs="黑体"/>
          <w:b/>
          <w:bCs/>
          <w:sz w:val="28"/>
          <w:szCs w:val="28"/>
        </w:rPr>
      </w:pPr>
      <w:bookmarkStart w:id="123" w:name="_Toc3360"/>
      <w:bookmarkStart w:id="124" w:name="_Toc9858"/>
      <w:bookmarkStart w:id="125" w:name="_Toc7961"/>
      <w:r>
        <w:rPr>
          <w:rFonts w:hint="default" w:ascii="Times New Roman" w:hAnsi="Times New Roman" w:eastAsia="黑体" w:cs="Times New Roman"/>
          <w:b/>
          <w:bCs/>
          <w:sz w:val="28"/>
          <w:szCs w:val="28"/>
        </w:rPr>
        <w:t>5.2</w:t>
      </w:r>
      <w:r>
        <w:rPr>
          <w:rFonts w:hint="eastAsia" w:ascii="黑体" w:hAnsi="黑体" w:eastAsia="黑体" w:cs="黑体"/>
          <w:b/>
          <w:bCs/>
          <w:sz w:val="28"/>
          <w:szCs w:val="28"/>
        </w:rPr>
        <w:t>评分项</w:t>
      </w:r>
      <w:bookmarkEnd w:id="123"/>
      <w:bookmarkEnd w:id="124"/>
      <w:bookmarkEnd w:id="125"/>
    </w:p>
    <w:p w14:paraId="1820CEA1">
      <w:pPr>
        <w:pStyle w:val="28"/>
        <w:spacing w:before="0" w:beforeLines="0" w:after="0" w:afterLines="0" w:line="360" w:lineRule="auto"/>
        <w:ind w:firstLine="0" w:firstLineChars="0"/>
        <w:jc w:val="center"/>
        <w:outlineLvl w:val="2"/>
        <w:rPr>
          <w:rFonts w:hint="eastAsia" w:eastAsia="宋体" w:cs="Times New Roman"/>
          <w:b/>
          <w:bCs/>
          <w:sz w:val="28"/>
          <w:szCs w:val="28"/>
          <w:lang w:eastAsia="zh-CN"/>
        </w:rPr>
      </w:pPr>
      <w:r>
        <w:rPr>
          <w:rFonts w:hint="default" w:ascii="Times New Roman" w:hAnsi="Times New Roman" w:eastAsia="仿宋" w:cs="Times New Roman"/>
          <w:b/>
          <w:bCs/>
          <w:sz w:val="28"/>
          <w:szCs w:val="28"/>
        </w:rPr>
        <w:t>Ⅰ</w:t>
      </w:r>
      <w:r>
        <w:rPr>
          <w:rFonts w:hint="eastAsia" w:cs="Times New Roman"/>
          <w:b/>
          <w:bCs/>
          <w:sz w:val="28"/>
          <w:szCs w:val="28"/>
        </w:rPr>
        <w:t xml:space="preserve"> </w:t>
      </w:r>
      <w:r>
        <w:rPr>
          <w:rFonts w:hint="eastAsia" w:ascii="仿宋" w:hAnsi="仿宋" w:eastAsia="仿宋" w:cs="仿宋"/>
          <w:b/>
          <w:bCs/>
          <w:sz w:val="28"/>
          <w:szCs w:val="28"/>
        </w:rPr>
        <w:t>建筑与构件</w:t>
      </w:r>
    </w:p>
    <w:p w14:paraId="5AC2ABCF">
      <w:pPr>
        <w:spacing w:line="360" w:lineRule="auto"/>
        <w:rPr>
          <w:sz w:val="24"/>
          <w:szCs w:val="24"/>
        </w:rPr>
      </w:pPr>
      <w:r>
        <w:rPr>
          <w:rFonts w:ascii="Times New Roman" w:eastAsia="黑体"/>
          <w:b/>
          <w:bCs/>
          <w:sz w:val="24"/>
          <w:szCs w:val="24"/>
        </w:rPr>
        <w:t>5.2.1</w:t>
      </w:r>
      <w:r>
        <w:rPr>
          <w:rFonts w:hint="eastAsia"/>
          <w:sz w:val="24"/>
          <w:szCs w:val="24"/>
        </w:rPr>
        <w:t>　【自然采光】既有工业建筑民用化低碳改造充分利用原有天窗、侧窗、天井等优化室内采光，评价总分值为15分，并按下列规则分别评分并累计：</w:t>
      </w:r>
    </w:p>
    <w:p w14:paraId="106AB095">
      <w:pPr>
        <w:spacing w:line="360" w:lineRule="auto"/>
        <w:ind w:firstLine="482" w:firstLineChars="200"/>
        <w:rPr>
          <w:sz w:val="24"/>
          <w:szCs w:val="24"/>
        </w:rPr>
      </w:pPr>
      <w:r>
        <w:rPr>
          <w:rFonts w:ascii="Times New Roman" w:eastAsia="黑体"/>
          <w:b/>
          <w:bCs/>
          <w:sz w:val="24"/>
          <w:szCs w:val="24"/>
        </w:rPr>
        <w:t>1</w:t>
      </w:r>
      <w:r>
        <w:rPr>
          <w:rFonts w:hint="eastAsia"/>
          <w:sz w:val="24"/>
          <w:szCs w:val="24"/>
        </w:rPr>
        <w:t>　利用原天窗、侧窗、天井等优化室内采光，采光系数满足要求的面积比例达到</w:t>
      </w:r>
      <w:r>
        <w:rPr>
          <w:sz w:val="24"/>
          <w:szCs w:val="24"/>
        </w:rPr>
        <w:t>60%</w:t>
      </w:r>
      <w:r>
        <w:rPr>
          <w:rFonts w:hint="eastAsia"/>
          <w:sz w:val="24"/>
          <w:szCs w:val="24"/>
        </w:rPr>
        <w:t>，得5分；</w:t>
      </w:r>
    </w:p>
    <w:p w14:paraId="39C9AF70">
      <w:pPr>
        <w:spacing w:line="360" w:lineRule="auto"/>
        <w:ind w:firstLine="482" w:firstLineChars="200"/>
        <w:rPr>
          <w:sz w:val="24"/>
          <w:szCs w:val="24"/>
        </w:rPr>
      </w:pPr>
      <w:r>
        <w:rPr>
          <w:rFonts w:ascii="Times New Roman" w:eastAsia="黑体"/>
          <w:b/>
          <w:bCs/>
          <w:sz w:val="24"/>
          <w:szCs w:val="24"/>
        </w:rPr>
        <w:t>2</w:t>
      </w:r>
      <w:r>
        <w:rPr>
          <w:rFonts w:hint="eastAsia"/>
          <w:sz w:val="24"/>
          <w:szCs w:val="24"/>
        </w:rPr>
        <w:t xml:space="preserve">  天窗、侧窗设置自动遮阳装置，得5分；</w:t>
      </w:r>
    </w:p>
    <w:p w14:paraId="014E481B">
      <w:pPr>
        <w:spacing w:line="360" w:lineRule="auto"/>
        <w:ind w:firstLine="482" w:firstLineChars="200"/>
        <w:rPr>
          <w:sz w:val="24"/>
          <w:szCs w:val="24"/>
        </w:rPr>
      </w:pPr>
      <w:r>
        <w:rPr>
          <w:rFonts w:ascii="Times New Roman" w:eastAsia="黑体"/>
          <w:b/>
          <w:bCs/>
          <w:sz w:val="24"/>
          <w:szCs w:val="24"/>
        </w:rPr>
        <w:t>3</w:t>
      </w:r>
      <w:r>
        <w:rPr>
          <w:rFonts w:hint="eastAsia"/>
          <w:sz w:val="24"/>
          <w:szCs w:val="24"/>
        </w:rPr>
        <w:t xml:space="preserve">  主要功能房间设置眩光控制措施，得5分；</w:t>
      </w:r>
    </w:p>
    <w:p w14:paraId="404335AC">
      <w:pPr>
        <w:spacing w:line="360" w:lineRule="auto"/>
        <w:rPr>
          <w:sz w:val="24"/>
          <w:szCs w:val="24"/>
        </w:rPr>
      </w:pPr>
      <w:r>
        <w:rPr>
          <w:rFonts w:ascii="Times New Roman" w:eastAsia="黑体"/>
          <w:b/>
          <w:bCs/>
          <w:sz w:val="24"/>
          <w:szCs w:val="24"/>
        </w:rPr>
        <w:t>5.2.</w:t>
      </w:r>
      <w:r>
        <w:rPr>
          <w:rFonts w:hint="default" w:ascii="Times New Roman" w:eastAsia="黑体"/>
          <w:b/>
          <w:bCs/>
          <w:sz w:val="24"/>
          <w:szCs w:val="24"/>
        </w:rPr>
        <w:t>2</w:t>
      </w:r>
      <w:r>
        <w:rPr>
          <w:rFonts w:hint="eastAsia"/>
          <w:sz w:val="24"/>
          <w:szCs w:val="24"/>
        </w:rPr>
        <w:t>　既有工业建筑根据改造后使用功能需求，合理提高自然通风效果，评价总分值为10分，并按下列规则分别评分并累计：</w:t>
      </w:r>
    </w:p>
    <w:p w14:paraId="467B3C4E">
      <w:pPr>
        <w:spacing w:line="360" w:lineRule="auto"/>
        <w:ind w:firstLine="482" w:firstLineChars="200"/>
        <w:rPr>
          <w:sz w:val="24"/>
          <w:szCs w:val="24"/>
        </w:rPr>
      </w:pPr>
      <w:r>
        <w:rPr>
          <w:rFonts w:ascii="Times New Roman" w:eastAsia="黑体"/>
          <w:b/>
          <w:bCs/>
          <w:sz w:val="24"/>
          <w:szCs w:val="24"/>
        </w:rPr>
        <w:t>1</w:t>
      </w:r>
      <w:r>
        <w:rPr>
          <w:rFonts w:hint="eastAsia"/>
          <w:sz w:val="24"/>
          <w:szCs w:val="24"/>
        </w:rPr>
        <w:t xml:space="preserve">  采用拔风井、导风墙等措施，得5分；</w:t>
      </w:r>
    </w:p>
    <w:p w14:paraId="1A85495D">
      <w:pPr>
        <w:spacing w:line="360" w:lineRule="auto"/>
        <w:ind w:firstLine="482" w:firstLineChars="200"/>
        <w:rPr>
          <w:sz w:val="24"/>
          <w:szCs w:val="24"/>
        </w:rPr>
      </w:pPr>
      <w:r>
        <w:rPr>
          <w:rFonts w:ascii="Times New Roman" w:eastAsia="黑体"/>
          <w:b/>
          <w:bCs/>
          <w:sz w:val="24"/>
          <w:szCs w:val="24"/>
        </w:rPr>
        <w:t>2</w:t>
      </w:r>
      <w:r>
        <w:rPr>
          <w:rFonts w:ascii="黑体" w:eastAsia="黑体"/>
          <w:b/>
          <w:bCs/>
          <w:sz w:val="24"/>
          <w:szCs w:val="24"/>
        </w:rPr>
        <w:t xml:space="preserve">  </w:t>
      </w:r>
      <w:r>
        <w:rPr>
          <w:rFonts w:hint="eastAsia"/>
          <w:sz w:val="24"/>
          <w:szCs w:val="24"/>
        </w:rPr>
        <w:t>设置天窗、内庭院、天井、中庭等措施，得5分。</w:t>
      </w:r>
    </w:p>
    <w:p w14:paraId="6AC56ACF">
      <w:pPr>
        <w:spacing w:line="360" w:lineRule="auto"/>
        <w:rPr>
          <w:sz w:val="24"/>
          <w:szCs w:val="24"/>
        </w:rPr>
      </w:pPr>
      <w:r>
        <w:rPr>
          <w:rFonts w:hint="default" w:ascii="Times New Roman" w:hAnsi="Times New Roman" w:eastAsia="黑体" w:cs="Times New Roman"/>
          <w:b/>
          <w:bCs/>
          <w:sz w:val="24"/>
          <w:szCs w:val="24"/>
        </w:rPr>
        <w:t>5.2.3</w:t>
      </w:r>
      <w:r>
        <w:rPr>
          <w:rFonts w:hint="eastAsia"/>
          <w:sz w:val="24"/>
          <w:szCs w:val="24"/>
        </w:rPr>
        <w:t>　【多维绿化】结合所在区域的气候特点，建筑采取多维度的绿化方式，评价总分值为12分，并按下列规则分别评分并累计：</w:t>
      </w:r>
    </w:p>
    <w:p w14:paraId="2CE3A1E2">
      <w:pPr>
        <w:spacing w:line="360" w:lineRule="auto"/>
        <w:ind w:firstLine="482" w:firstLineChars="200"/>
        <w:rPr>
          <w:sz w:val="24"/>
          <w:szCs w:val="24"/>
        </w:rPr>
      </w:pPr>
      <w:r>
        <w:rPr>
          <w:rFonts w:ascii="Times New Roman" w:eastAsia="黑体"/>
          <w:b/>
          <w:bCs/>
          <w:sz w:val="24"/>
          <w:szCs w:val="24"/>
        </w:rPr>
        <w:t>1</w:t>
      </w:r>
      <w:r>
        <w:rPr>
          <w:rFonts w:hint="eastAsia" w:ascii="黑体" w:eastAsia="黑体"/>
          <w:b/>
          <w:bCs/>
          <w:sz w:val="24"/>
          <w:szCs w:val="24"/>
        </w:rPr>
        <w:t xml:space="preserve"> </w:t>
      </w:r>
      <w:r>
        <w:rPr>
          <w:rFonts w:hint="eastAsia" w:ascii="黑体" w:eastAsia="黑体"/>
          <w:b/>
          <w:bCs/>
          <w:sz w:val="24"/>
          <w:szCs w:val="24"/>
          <w:lang w:val="en-US" w:eastAsia="zh-CN"/>
        </w:rPr>
        <w:t xml:space="preserve"> </w:t>
      </w:r>
      <w:r>
        <w:rPr>
          <w:rFonts w:hint="eastAsia"/>
          <w:sz w:val="24"/>
          <w:szCs w:val="24"/>
        </w:rPr>
        <w:t>建筑屋顶、建筑平台等设置屋顶绿化，且面积不小于屋顶可用面积的30%，得5分；</w:t>
      </w:r>
    </w:p>
    <w:p w14:paraId="5E86EBAF">
      <w:pPr>
        <w:spacing w:line="360" w:lineRule="auto"/>
        <w:ind w:firstLine="482" w:firstLineChars="200"/>
        <w:rPr>
          <w:sz w:val="24"/>
          <w:szCs w:val="24"/>
        </w:rPr>
      </w:pPr>
      <w:r>
        <w:rPr>
          <w:rFonts w:ascii="Times New Roman" w:eastAsia="黑体"/>
          <w:b/>
          <w:bCs/>
          <w:sz w:val="24"/>
          <w:szCs w:val="24"/>
        </w:rPr>
        <w:t>2</w:t>
      </w:r>
      <w:r>
        <w:rPr>
          <w:rFonts w:hint="eastAsia" w:eastAsia="黑体"/>
          <w:b/>
          <w:bCs/>
          <w:sz w:val="24"/>
          <w:szCs w:val="24"/>
          <w:lang w:val="en-US" w:eastAsia="zh-CN"/>
        </w:rPr>
        <w:t xml:space="preserve"> </w:t>
      </w:r>
      <w:r>
        <w:rPr>
          <w:rFonts w:hint="eastAsia"/>
          <w:sz w:val="24"/>
          <w:szCs w:val="24"/>
        </w:rPr>
        <w:t xml:space="preserve"> 建筑山墙、侧壁空间设置墙面绿化，得</w:t>
      </w:r>
      <w:r>
        <w:rPr>
          <w:rFonts w:hint="eastAsia"/>
          <w:color w:val="auto"/>
          <w:sz w:val="24"/>
          <w:szCs w:val="24"/>
          <w:lang w:val="en-US" w:eastAsia="zh-CN"/>
        </w:rPr>
        <w:t>5</w:t>
      </w:r>
      <w:r>
        <w:rPr>
          <w:rFonts w:hint="eastAsia"/>
          <w:sz w:val="24"/>
          <w:szCs w:val="24"/>
        </w:rPr>
        <w:t>分；</w:t>
      </w:r>
    </w:p>
    <w:p w14:paraId="2F749104">
      <w:pPr>
        <w:spacing w:line="360" w:lineRule="auto"/>
        <w:ind w:firstLine="482" w:firstLineChars="200"/>
        <w:rPr>
          <w:sz w:val="24"/>
          <w:szCs w:val="24"/>
          <w:highlight w:val="yellow"/>
        </w:rPr>
      </w:pPr>
      <w:r>
        <w:rPr>
          <w:rFonts w:hint="default" w:ascii="Times New Roman" w:eastAsia="黑体"/>
          <w:b/>
          <w:bCs/>
          <w:sz w:val="24"/>
          <w:szCs w:val="24"/>
        </w:rPr>
        <w:t>3</w:t>
      </w:r>
      <w:r>
        <w:rPr>
          <w:rFonts w:hint="eastAsia" w:eastAsia="黑体"/>
          <w:b/>
          <w:bCs/>
          <w:sz w:val="24"/>
          <w:szCs w:val="24"/>
          <w:lang w:val="en-US" w:eastAsia="zh-CN"/>
        </w:rPr>
        <w:t xml:space="preserve"> </w:t>
      </w:r>
      <w:r>
        <w:rPr>
          <w:rFonts w:hint="eastAsia"/>
          <w:sz w:val="24"/>
          <w:szCs w:val="24"/>
        </w:rPr>
        <w:t xml:space="preserve"> 建筑出入口、下沉庭院等具有高差变化的区域，结合室外台阶设置景观花池等提高绿地率的措施，得2分。</w:t>
      </w:r>
    </w:p>
    <w:p w14:paraId="1FBA647A">
      <w:pPr>
        <w:spacing w:line="360" w:lineRule="auto"/>
        <w:rPr>
          <w:kern w:val="0"/>
          <w:sz w:val="24"/>
          <w:szCs w:val="24"/>
        </w:rPr>
      </w:pPr>
      <w:r>
        <w:rPr>
          <w:rFonts w:ascii="Times New Roman" w:eastAsia="黑体"/>
          <w:b/>
          <w:bCs/>
          <w:sz w:val="24"/>
          <w:szCs w:val="24"/>
        </w:rPr>
        <w:t>5.2.</w:t>
      </w:r>
      <w:r>
        <w:rPr>
          <w:rFonts w:hint="default" w:ascii="Times New Roman" w:eastAsia="黑体"/>
          <w:b/>
          <w:bCs/>
          <w:sz w:val="24"/>
          <w:szCs w:val="24"/>
        </w:rPr>
        <w:t>4</w:t>
      </w:r>
      <w:r>
        <w:rPr>
          <w:rFonts w:hint="eastAsia"/>
          <w:sz w:val="24"/>
          <w:szCs w:val="24"/>
        </w:rPr>
        <w:t>　【设施利用】</w:t>
      </w:r>
      <w:r>
        <w:rPr>
          <w:rFonts w:hint="eastAsia"/>
          <w:sz w:val="24"/>
          <w:szCs w:val="24"/>
          <w:lang w:val="en-US" w:eastAsia="zh-CN"/>
        </w:rPr>
        <w:t>对</w:t>
      </w:r>
      <w:r>
        <w:rPr>
          <w:rFonts w:hint="eastAsia"/>
          <w:sz w:val="24"/>
          <w:szCs w:val="24"/>
        </w:rPr>
        <w:t>既有工业建筑遗留的管线、管沟、管井，进行充分利用并继续承担原有或其他功能，</w:t>
      </w:r>
      <w:r>
        <w:rPr>
          <w:rFonts w:hint="eastAsia"/>
          <w:kern w:val="0"/>
          <w:sz w:val="24"/>
          <w:szCs w:val="24"/>
        </w:rPr>
        <w:t>评价总分值为10分，按下列规则评分：</w:t>
      </w:r>
      <w:r>
        <w:rPr>
          <w:kern w:val="0"/>
          <w:sz w:val="24"/>
          <w:szCs w:val="24"/>
        </w:rPr>
        <w:t xml:space="preserve"> </w:t>
      </w:r>
    </w:p>
    <w:p w14:paraId="57CEB1A5">
      <w:pPr>
        <w:spacing w:line="360" w:lineRule="auto"/>
        <w:ind w:firstLine="482" w:firstLineChars="200"/>
        <w:rPr>
          <w:sz w:val="24"/>
          <w:szCs w:val="24"/>
        </w:rPr>
      </w:pPr>
      <w:r>
        <w:rPr>
          <w:rFonts w:ascii="Times New Roman" w:eastAsia="黑体"/>
          <w:b/>
          <w:bCs/>
          <w:sz w:val="24"/>
          <w:szCs w:val="24"/>
        </w:rPr>
        <w:t>1</w:t>
      </w:r>
      <w:r>
        <w:rPr>
          <w:rFonts w:hint="eastAsia"/>
          <w:sz w:val="24"/>
          <w:szCs w:val="24"/>
        </w:rPr>
        <w:t>　再利用比例占原有总量的30%及以上，得4分；</w:t>
      </w:r>
    </w:p>
    <w:p w14:paraId="0D352FA1">
      <w:pPr>
        <w:spacing w:line="360" w:lineRule="auto"/>
        <w:ind w:firstLine="482" w:firstLineChars="200"/>
        <w:rPr>
          <w:sz w:val="24"/>
          <w:szCs w:val="24"/>
        </w:rPr>
      </w:pPr>
      <w:r>
        <w:rPr>
          <w:rFonts w:ascii="Times New Roman" w:eastAsia="黑体"/>
          <w:b/>
          <w:bCs/>
          <w:sz w:val="24"/>
          <w:szCs w:val="24"/>
        </w:rPr>
        <w:t>2</w:t>
      </w:r>
      <w:r>
        <w:rPr>
          <w:rFonts w:hint="eastAsia"/>
          <w:sz w:val="24"/>
          <w:szCs w:val="24"/>
        </w:rPr>
        <w:t>　再利用比例占原有总量的50%及以上，得6分；</w:t>
      </w:r>
    </w:p>
    <w:p w14:paraId="417B8C45">
      <w:pPr>
        <w:spacing w:line="360" w:lineRule="auto"/>
        <w:ind w:firstLine="482" w:firstLineChars="200"/>
        <w:rPr>
          <w:sz w:val="24"/>
          <w:szCs w:val="24"/>
        </w:rPr>
      </w:pPr>
      <w:r>
        <w:rPr>
          <w:rFonts w:ascii="Times New Roman" w:eastAsia="黑体"/>
          <w:b/>
          <w:bCs/>
          <w:sz w:val="24"/>
          <w:szCs w:val="24"/>
        </w:rPr>
        <w:t>3</w:t>
      </w:r>
      <w:r>
        <w:rPr>
          <w:rFonts w:hint="eastAsia"/>
          <w:sz w:val="24"/>
          <w:szCs w:val="24"/>
        </w:rPr>
        <w:t>　再利用比例占原有总量的70%及以上，得10分。</w:t>
      </w:r>
    </w:p>
    <w:p w14:paraId="1BD39FF9">
      <w:pPr>
        <w:pStyle w:val="28"/>
        <w:tabs>
          <w:tab w:val="left" w:pos="0"/>
        </w:tabs>
        <w:spacing w:line="360" w:lineRule="auto"/>
        <w:ind w:firstLine="0" w:firstLineChars="0"/>
        <w:rPr>
          <w:szCs w:val="24"/>
        </w:rPr>
      </w:pPr>
      <w:r>
        <w:rPr>
          <w:rFonts w:ascii="Times New Roman" w:eastAsia="黑体" w:cs="Times New Roman"/>
          <w:b/>
          <w:bCs/>
          <w:szCs w:val="24"/>
        </w:rPr>
        <w:t>5.2.</w:t>
      </w:r>
      <w:r>
        <w:rPr>
          <w:rFonts w:hint="default" w:ascii="Times New Roman" w:eastAsia="黑体" w:cs="Times New Roman"/>
          <w:b/>
          <w:bCs/>
          <w:szCs w:val="24"/>
        </w:rPr>
        <w:t>5</w:t>
      </w:r>
      <w:r>
        <w:rPr>
          <w:rFonts w:hint="eastAsia"/>
          <w:sz w:val="24"/>
          <w:szCs w:val="24"/>
        </w:rPr>
        <w:t>　</w:t>
      </w:r>
      <w:r>
        <w:rPr>
          <w:rFonts w:hint="eastAsia" w:ascii="宋体" w:hAnsi="宋体" w:eastAsia="宋体" w:cs="宋体"/>
          <w:b/>
          <w:bCs/>
          <w:szCs w:val="24"/>
        </w:rPr>
        <w:t>【</w:t>
      </w:r>
      <w:r>
        <w:rPr>
          <w:rFonts w:hint="eastAsia" w:ascii="宋体" w:hAnsi="宋体" w:eastAsia="宋体" w:cs="宋体"/>
          <w:b w:val="0"/>
          <w:bCs w:val="0"/>
          <w:szCs w:val="24"/>
        </w:rPr>
        <w:t>减少高大空间</w:t>
      </w:r>
      <w:r>
        <w:rPr>
          <w:rFonts w:hint="eastAsia" w:ascii="宋体" w:hAnsi="宋体" w:eastAsia="宋体" w:cs="宋体"/>
          <w:b/>
          <w:bCs/>
          <w:szCs w:val="24"/>
        </w:rPr>
        <w:t>】</w:t>
      </w:r>
      <w:r>
        <w:rPr>
          <w:rFonts w:hint="eastAsia" w:ascii="宋体" w:hAnsi="宋体" w:cs="宋体"/>
          <w:szCs w:val="24"/>
        </w:rPr>
        <w:t>减少原有高大空间的面积数量。评价总分值为10分，按下列规则评分：</w:t>
      </w:r>
      <w:r>
        <w:rPr>
          <w:rFonts w:hint="eastAsia"/>
          <w:szCs w:val="24"/>
        </w:rPr>
        <w:t xml:space="preserve"> </w:t>
      </w:r>
    </w:p>
    <w:p w14:paraId="26166069">
      <w:pPr>
        <w:pStyle w:val="28"/>
        <w:tabs>
          <w:tab w:val="left" w:pos="0"/>
        </w:tabs>
        <w:spacing w:line="360" w:lineRule="auto"/>
        <w:ind w:firstLine="480"/>
        <w:rPr>
          <w:szCs w:val="24"/>
        </w:rPr>
      </w:pPr>
      <w:r>
        <w:rPr>
          <w:rFonts w:hint="default" w:cs="Times New Roman"/>
          <w:b/>
          <w:bCs/>
          <w:szCs w:val="24"/>
        </w:rPr>
        <w:t>1</w:t>
      </w:r>
      <w:r>
        <w:rPr>
          <w:rFonts w:hint="eastAsia"/>
          <w:szCs w:val="24"/>
        </w:rPr>
        <w:t>　原有高大空间的面积数量减少10%及以上，得5分；</w:t>
      </w:r>
    </w:p>
    <w:p w14:paraId="3FDD1E5A">
      <w:pPr>
        <w:pStyle w:val="28"/>
        <w:tabs>
          <w:tab w:val="left" w:pos="0"/>
        </w:tabs>
        <w:spacing w:line="360" w:lineRule="auto"/>
        <w:ind w:firstLine="480"/>
        <w:rPr>
          <w:szCs w:val="24"/>
        </w:rPr>
      </w:pPr>
      <w:r>
        <w:rPr>
          <w:rFonts w:hint="default" w:cs="Times New Roman"/>
          <w:b/>
          <w:bCs/>
          <w:szCs w:val="24"/>
        </w:rPr>
        <w:t>2</w:t>
      </w:r>
      <w:r>
        <w:rPr>
          <w:rFonts w:hint="eastAsia"/>
          <w:szCs w:val="24"/>
        </w:rPr>
        <w:t xml:space="preserve">　原有高大空间的面积数量减少20%及以上，得10分。 </w:t>
      </w:r>
    </w:p>
    <w:p w14:paraId="1CCB465B">
      <w:pPr>
        <w:pStyle w:val="28"/>
        <w:tabs>
          <w:tab w:val="left" w:pos="0"/>
        </w:tabs>
        <w:spacing w:line="360" w:lineRule="auto"/>
        <w:ind w:firstLine="0" w:firstLineChars="0"/>
        <w:rPr>
          <w:szCs w:val="24"/>
        </w:rPr>
      </w:pPr>
      <w:r>
        <w:rPr>
          <w:rFonts w:ascii="Times New Roman" w:eastAsia="黑体" w:cs="Times New Roman"/>
          <w:b/>
          <w:bCs/>
          <w:szCs w:val="24"/>
        </w:rPr>
        <w:t>5.2.</w:t>
      </w:r>
      <w:r>
        <w:rPr>
          <w:rFonts w:hint="default" w:ascii="Times New Roman" w:eastAsia="黑体" w:cs="Times New Roman"/>
          <w:b/>
          <w:bCs/>
          <w:szCs w:val="24"/>
        </w:rPr>
        <w:t>6</w:t>
      </w:r>
      <w:r>
        <w:rPr>
          <w:rFonts w:ascii="黑体" w:eastAsia="黑体"/>
          <w:b/>
          <w:bCs/>
          <w:szCs w:val="24"/>
        </w:rPr>
        <w:t>【</w:t>
      </w:r>
      <w:r>
        <w:rPr>
          <w:szCs w:val="24"/>
        </w:rPr>
        <w:t>装配化装修</w:t>
      </w:r>
      <w:r>
        <w:rPr>
          <w:rFonts w:ascii="黑体" w:eastAsia="黑体"/>
          <w:b/>
          <w:bCs/>
          <w:szCs w:val="24"/>
        </w:rPr>
        <w:t>】</w:t>
      </w:r>
      <w:r>
        <w:rPr>
          <w:rFonts w:hint="eastAsia"/>
          <w:szCs w:val="24"/>
        </w:rPr>
        <w:t>　装修采用装配式集成设计，评</w:t>
      </w:r>
      <w:r>
        <w:rPr>
          <w:rFonts w:hint="eastAsia"/>
          <w:szCs w:val="24"/>
          <w:lang w:val="en-US" w:eastAsia="zh-CN"/>
        </w:rPr>
        <w:t>价</w:t>
      </w:r>
      <w:r>
        <w:rPr>
          <w:rFonts w:hint="eastAsia"/>
          <w:szCs w:val="24"/>
        </w:rPr>
        <w:t xml:space="preserve">总分值为10分，并按下列规则分别评分并累计： </w:t>
      </w:r>
    </w:p>
    <w:p w14:paraId="482D0370">
      <w:pPr>
        <w:pStyle w:val="28"/>
        <w:tabs>
          <w:tab w:val="left" w:pos="0"/>
        </w:tabs>
        <w:spacing w:line="360" w:lineRule="auto"/>
        <w:ind w:firstLine="482"/>
        <w:rPr>
          <w:szCs w:val="24"/>
        </w:rPr>
      </w:pPr>
      <w:r>
        <w:rPr>
          <w:rFonts w:cs="Times New Roman"/>
          <w:b/>
          <w:bCs/>
          <w:szCs w:val="24"/>
        </w:rPr>
        <w:t>1</w:t>
      </w:r>
      <w:r>
        <w:rPr>
          <w:szCs w:val="24"/>
        </w:rPr>
        <w:t xml:space="preserve">  </w:t>
      </w:r>
      <w:r>
        <w:rPr>
          <w:rFonts w:hint="eastAsia"/>
          <w:szCs w:val="24"/>
        </w:rPr>
        <w:t xml:space="preserve">部品与开关、插座、管线、设施设备等同步设计，明确室内开关插座、暖通系统、门窗尺寸及安装位置，得5分； </w:t>
      </w:r>
    </w:p>
    <w:p w14:paraId="435BEE44">
      <w:pPr>
        <w:pStyle w:val="28"/>
        <w:tabs>
          <w:tab w:val="left" w:pos="0"/>
        </w:tabs>
        <w:spacing w:line="360" w:lineRule="auto"/>
        <w:ind w:firstLine="482"/>
        <w:rPr>
          <w:szCs w:val="24"/>
        </w:rPr>
      </w:pPr>
      <w:r>
        <w:rPr>
          <w:rFonts w:cs="Times New Roman"/>
          <w:b/>
          <w:bCs/>
          <w:szCs w:val="24"/>
        </w:rPr>
        <w:t>2</w:t>
      </w:r>
      <w:r>
        <w:rPr>
          <w:szCs w:val="24"/>
        </w:rPr>
        <w:t xml:space="preserve">  </w:t>
      </w:r>
      <w:r>
        <w:rPr>
          <w:rFonts w:hint="eastAsia"/>
          <w:szCs w:val="24"/>
        </w:rPr>
        <w:t>架空地面高度结合管线排布进行综合设计，并提供管线综合布置图；当采用地面供暖系统、地送风系统时，在地面平面图中明确标识供暖系统、新风系统等的准确尺寸及安装位置；当采用地面辐射供暖、供冷系统时，选用模块式集成采暖部品。三项中满足</w:t>
      </w:r>
      <w:r>
        <w:rPr>
          <w:rFonts w:hint="eastAsia"/>
          <w:szCs w:val="24"/>
          <w:lang w:val="en-US" w:eastAsia="zh-CN"/>
        </w:rPr>
        <w:t>任</w:t>
      </w:r>
      <w:r>
        <w:rPr>
          <w:rFonts w:hint="eastAsia"/>
          <w:szCs w:val="24"/>
        </w:rPr>
        <w:t>一项，得5分。</w:t>
      </w:r>
    </w:p>
    <w:p w14:paraId="1B107B48">
      <w:pPr>
        <w:spacing w:line="360" w:lineRule="auto"/>
        <w:rPr>
          <w:rFonts w:cs="宋体"/>
          <w:sz w:val="24"/>
          <w:szCs w:val="24"/>
        </w:rPr>
      </w:pPr>
      <w:r>
        <w:rPr>
          <w:rFonts w:hint="default" w:ascii="Times New Roman" w:eastAsia="黑体"/>
          <w:b/>
          <w:bCs/>
          <w:sz w:val="24"/>
          <w:szCs w:val="24"/>
        </w:rPr>
        <w:t>5.2.7</w:t>
      </w:r>
      <w:r>
        <w:rPr>
          <w:rFonts w:hint="eastAsia"/>
          <w:sz w:val="24"/>
          <w:szCs w:val="24"/>
        </w:rPr>
        <w:t>　土建工程与装修工程一体化设计施工，评价总分值为8分，</w:t>
      </w:r>
      <w:r>
        <w:rPr>
          <w:rFonts w:hint="eastAsia"/>
          <w:sz w:val="24"/>
          <w:szCs w:val="24"/>
          <w:lang w:val="en-US" w:eastAsia="zh-CN"/>
        </w:rPr>
        <w:t>并</w:t>
      </w:r>
      <w:r>
        <w:rPr>
          <w:rFonts w:hint="eastAsia"/>
          <w:sz w:val="24"/>
          <w:szCs w:val="24"/>
        </w:rPr>
        <w:t>应按下列规则评分：</w:t>
      </w:r>
    </w:p>
    <w:p w14:paraId="164C65F1">
      <w:pPr>
        <w:spacing w:line="360" w:lineRule="auto"/>
        <w:ind w:firstLine="482" w:firstLineChars="200"/>
        <w:rPr>
          <w:rFonts w:cs="宋体"/>
          <w:sz w:val="24"/>
          <w:szCs w:val="24"/>
        </w:rPr>
      </w:pPr>
      <w:r>
        <w:rPr>
          <w:rFonts w:ascii="Times New Roman" w:eastAsia="黑体"/>
          <w:b/>
          <w:bCs/>
          <w:sz w:val="24"/>
          <w:szCs w:val="24"/>
        </w:rPr>
        <w:t>1</w:t>
      </w:r>
      <w:r>
        <w:rPr>
          <w:rFonts w:hint="eastAsia" w:cs="宋体"/>
          <w:sz w:val="24"/>
          <w:szCs w:val="24"/>
        </w:rPr>
        <w:t>　公共部位土建与装修一体化设计施工，得5分；</w:t>
      </w:r>
    </w:p>
    <w:p w14:paraId="391850D3">
      <w:pPr>
        <w:spacing w:line="360" w:lineRule="auto"/>
        <w:ind w:firstLine="482" w:firstLineChars="200"/>
        <w:rPr>
          <w:rFonts w:cs="宋体"/>
          <w:sz w:val="24"/>
          <w:szCs w:val="24"/>
        </w:rPr>
      </w:pPr>
      <w:r>
        <w:rPr>
          <w:rFonts w:ascii="Times New Roman" w:eastAsia="黑体"/>
          <w:b/>
          <w:bCs/>
          <w:sz w:val="24"/>
          <w:szCs w:val="24"/>
        </w:rPr>
        <w:t>2</w:t>
      </w:r>
      <w:r>
        <w:rPr>
          <w:rFonts w:hint="eastAsia" w:cs="宋体"/>
          <w:sz w:val="24"/>
          <w:szCs w:val="24"/>
        </w:rPr>
        <w:t>　所有部位土建与装修一体化设计施工，得8分。</w:t>
      </w:r>
    </w:p>
    <w:p w14:paraId="759C2936">
      <w:pPr>
        <w:spacing w:line="360" w:lineRule="auto"/>
        <w:rPr>
          <w:rFonts w:cs="宋体"/>
          <w:sz w:val="24"/>
          <w:szCs w:val="24"/>
        </w:rPr>
      </w:pPr>
      <w:r>
        <w:rPr>
          <w:rFonts w:hint="default" w:ascii="Times New Roman" w:eastAsia="黑体"/>
          <w:b/>
          <w:bCs/>
          <w:sz w:val="24"/>
          <w:szCs w:val="24"/>
        </w:rPr>
        <w:t>5.2.8</w:t>
      </w:r>
      <w:r>
        <w:rPr>
          <w:rFonts w:hint="eastAsia"/>
          <w:sz w:val="24"/>
          <w:szCs w:val="24"/>
        </w:rPr>
        <w:t>　</w:t>
      </w:r>
      <w:r>
        <w:rPr>
          <w:rFonts w:hint="eastAsia" w:cs="宋体"/>
          <w:sz w:val="24"/>
          <w:szCs w:val="24"/>
        </w:rPr>
        <w:t>隔墙采用非砌筑建造方式，评价总分值为12分，并按下列规则分别评分并累计：</w:t>
      </w:r>
    </w:p>
    <w:p w14:paraId="67672837">
      <w:pPr>
        <w:widowControl/>
        <w:spacing w:line="360" w:lineRule="auto"/>
        <w:ind w:firstLine="482" w:firstLineChars="200"/>
        <w:jc w:val="left"/>
        <w:rPr>
          <w:rFonts w:cs="宋体"/>
          <w:sz w:val="24"/>
          <w:szCs w:val="24"/>
        </w:rPr>
      </w:pPr>
      <w:r>
        <w:rPr>
          <w:rFonts w:ascii="Times New Roman" w:eastAsia="黑体"/>
          <w:b/>
          <w:bCs/>
          <w:sz w:val="24"/>
          <w:szCs w:val="24"/>
        </w:rPr>
        <w:t>1</w:t>
      </w:r>
      <w:r>
        <w:rPr>
          <w:rFonts w:hint="eastAsia" w:cs="宋体"/>
          <w:sz w:val="24"/>
          <w:szCs w:val="24"/>
        </w:rPr>
        <w:t>　围护墙，按下列规则分别评分并累计：</w:t>
      </w:r>
    </w:p>
    <w:p w14:paraId="53648AEF">
      <w:pPr>
        <w:spacing w:line="360" w:lineRule="auto"/>
        <w:ind w:firstLine="960" w:firstLineChars="400"/>
        <w:rPr>
          <w:rFonts w:cs="宋体"/>
          <w:sz w:val="24"/>
          <w:szCs w:val="24"/>
        </w:rPr>
      </w:pPr>
      <w:r>
        <w:rPr>
          <w:rFonts w:hint="default" w:eastAsia="黑体" w:asciiTheme="minorAscii" w:hAnsiTheme="minorAscii"/>
          <w:b w:val="0"/>
          <w:bCs w:val="0"/>
          <w:sz w:val="24"/>
          <w:szCs w:val="24"/>
        </w:rPr>
        <w:t>1）</w:t>
      </w:r>
      <w:r>
        <w:rPr>
          <w:rFonts w:hint="eastAsia" w:cs="宋体"/>
          <w:sz w:val="24"/>
          <w:szCs w:val="24"/>
        </w:rPr>
        <w:t>非砌筑围护墙占新增围护墙体比例达到80%，得3分；</w:t>
      </w:r>
    </w:p>
    <w:p w14:paraId="00EB4B15">
      <w:pPr>
        <w:spacing w:line="360" w:lineRule="auto"/>
        <w:ind w:firstLine="960" w:firstLineChars="400"/>
        <w:rPr>
          <w:rFonts w:cs="宋体"/>
          <w:sz w:val="24"/>
          <w:szCs w:val="24"/>
        </w:rPr>
      </w:pPr>
      <w:r>
        <w:rPr>
          <w:rFonts w:hint="default" w:eastAsia="黑体" w:asciiTheme="minorAscii" w:hAnsiTheme="minorAscii"/>
          <w:b w:val="0"/>
          <w:bCs w:val="0"/>
          <w:sz w:val="24"/>
          <w:szCs w:val="24"/>
        </w:rPr>
        <w:t>2）</w:t>
      </w:r>
      <w:r>
        <w:rPr>
          <w:rFonts w:hint="eastAsia" w:cs="宋体"/>
          <w:sz w:val="24"/>
          <w:szCs w:val="24"/>
        </w:rPr>
        <w:t>围护墙内表面装修一体化占新增围护墙体比例达到50%，得5分。</w:t>
      </w:r>
    </w:p>
    <w:p w14:paraId="367DF9B7">
      <w:pPr>
        <w:widowControl/>
        <w:spacing w:line="360" w:lineRule="auto"/>
        <w:ind w:firstLine="482" w:firstLineChars="200"/>
        <w:jc w:val="left"/>
        <w:rPr>
          <w:rFonts w:cs="宋体"/>
          <w:sz w:val="24"/>
          <w:szCs w:val="24"/>
        </w:rPr>
      </w:pPr>
      <w:r>
        <w:rPr>
          <w:rFonts w:ascii="Times New Roman" w:eastAsia="黑体"/>
          <w:b/>
          <w:bCs/>
          <w:sz w:val="24"/>
          <w:szCs w:val="24"/>
        </w:rPr>
        <w:t>2</w:t>
      </w:r>
      <w:r>
        <w:rPr>
          <w:rFonts w:hint="eastAsia" w:cs="宋体"/>
          <w:sz w:val="24"/>
          <w:szCs w:val="24"/>
        </w:rPr>
        <w:t>　内隔墙，按下列规则分别评分并累计：</w:t>
      </w:r>
    </w:p>
    <w:p w14:paraId="1ECFADCB">
      <w:pPr>
        <w:spacing w:line="360" w:lineRule="auto"/>
        <w:ind w:firstLine="960" w:firstLineChars="400"/>
        <w:rPr>
          <w:rFonts w:cs="宋体"/>
          <w:sz w:val="24"/>
          <w:szCs w:val="24"/>
        </w:rPr>
      </w:pPr>
      <w:r>
        <w:rPr>
          <w:rFonts w:hint="default" w:eastAsia="黑体" w:asciiTheme="minorAscii" w:hAnsiTheme="minorAscii"/>
          <w:b w:val="0"/>
          <w:bCs w:val="0"/>
          <w:sz w:val="24"/>
          <w:szCs w:val="24"/>
        </w:rPr>
        <w:t>1）</w:t>
      </w:r>
      <w:r>
        <w:rPr>
          <w:rFonts w:hint="eastAsia" w:cs="宋体"/>
          <w:sz w:val="24"/>
          <w:szCs w:val="24"/>
        </w:rPr>
        <w:t>非砌筑内隔墙占新增内隔墙体比例达到50%，得3分；</w:t>
      </w:r>
    </w:p>
    <w:p w14:paraId="1A677200">
      <w:pPr>
        <w:spacing w:line="360" w:lineRule="auto"/>
        <w:ind w:firstLine="960" w:firstLineChars="400"/>
        <w:rPr>
          <w:rFonts w:cs="宋体"/>
          <w:sz w:val="24"/>
          <w:szCs w:val="24"/>
        </w:rPr>
      </w:pPr>
      <w:r>
        <w:rPr>
          <w:rFonts w:hint="default" w:eastAsia="黑体" w:asciiTheme="minorAscii" w:hAnsiTheme="minorAscii"/>
          <w:b w:val="0"/>
          <w:bCs w:val="0"/>
          <w:sz w:val="24"/>
          <w:szCs w:val="24"/>
        </w:rPr>
        <w:t>2）</w:t>
      </w:r>
      <w:r>
        <w:rPr>
          <w:rFonts w:hint="eastAsia" w:cs="宋体"/>
          <w:sz w:val="24"/>
          <w:szCs w:val="24"/>
        </w:rPr>
        <w:t>地上内隔墙采用管线、装修一体化体系占新增围护墙体比例达到50%，</w:t>
      </w:r>
    </w:p>
    <w:p w14:paraId="697B3106">
      <w:pPr>
        <w:spacing w:line="360" w:lineRule="auto"/>
        <w:ind w:firstLine="960" w:firstLineChars="400"/>
        <w:rPr>
          <w:color w:val="0000FF"/>
          <w:sz w:val="24"/>
          <w:szCs w:val="24"/>
        </w:rPr>
      </w:pPr>
      <w:r>
        <w:rPr>
          <w:rFonts w:hint="eastAsia" w:cs="宋体"/>
          <w:sz w:val="24"/>
          <w:szCs w:val="24"/>
        </w:rPr>
        <w:t>得8分。</w:t>
      </w:r>
    </w:p>
    <w:p w14:paraId="7B339FCF">
      <w:pPr>
        <w:spacing w:line="360" w:lineRule="auto"/>
        <w:rPr>
          <w:rFonts w:cs="宋体"/>
          <w:sz w:val="24"/>
          <w:szCs w:val="24"/>
        </w:rPr>
      </w:pPr>
      <w:r>
        <w:rPr>
          <w:rFonts w:hint="default" w:ascii="Times New Roman" w:eastAsia="黑体"/>
          <w:b/>
          <w:bCs/>
          <w:sz w:val="24"/>
          <w:szCs w:val="24"/>
        </w:rPr>
        <w:t>5.2.9</w:t>
      </w:r>
      <w:r>
        <w:rPr>
          <w:rFonts w:hint="eastAsia"/>
          <w:sz w:val="24"/>
          <w:szCs w:val="24"/>
        </w:rPr>
        <w:t>　</w:t>
      </w:r>
      <w:r>
        <w:rPr>
          <w:rFonts w:hint="eastAsia" w:cs="宋体"/>
          <w:sz w:val="24"/>
          <w:szCs w:val="24"/>
        </w:rPr>
        <w:t>采用干式工法楼（地）面，评价总分值为8分，应按下列规则评分：</w:t>
      </w:r>
    </w:p>
    <w:p w14:paraId="72D7434D">
      <w:pPr>
        <w:spacing w:line="360" w:lineRule="auto"/>
        <w:ind w:firstLine="482" w:firstLineChars="200"/>
        <w:rPr>
          <w:rFonts w:cs="宋体"/>
          <w:sz w:val="24"/>
          <w:szCs w:val="24"/>
        </w:rPr>
      </w:pPr>
      <w:r>
        <w:rPr>
          <w:rFonts w:hint="default" w:cs="Times New Roman"/>
          <w:b/>
          <w:bCs/>
          <w:sz w:val="24"/>
          <w:szCs w:val="24"/>
        </w:rPr>
        <w:t>1</w:t>
      </w:r>
      <w:r>
        <w:rPr>
          <w:rFonts w:hint="eastAsia" w:cs="宋体"/>
          <w:sz w:val="24"/>
          <w:szCs w:val="24"/>
        </w:rPr>
        <w:t>应用干式工法楼（地）面的比例达到50%，得5分；</w:t>
      </w:r>
    </w:p>
    <w:p w14:paraId="0F58ACAE">
      <w:pPr>
        <w:spacing w:line="360" w:lineRule="auto"/>
        <w:ind w:firstLine="482" w:firstLineChars="200"/>
        <w:rPr>
          <w:rFonts w:cs="宋体"/>
          <w:sz w:val="24"/>
          <w:szCs w:val="24"/>
        </w:rPr>
      </w:pPr>
      <w:r>
        <w:rPr>
          <w:rFonts w:hint="default" w:cs="Times New Roman"/>
          <w:b/>
          <w:bCs/>
          <w:sz w:val="24"/>
          <w:szCs w:val="24"/>
        </w:rPr>
        <w:t>2</w:t>
      </w:r>
      <w:r>
        <w:rPr>
          <w:rFonts w:hint="eastAsia" w:cs="宋体"/>
          <w:sz w:val="24"/>
          <w:szCs w:val="24"/>
        </w:rPr>
        <w:t>应用干式工法楼（地）面的比例达到70%，得8分。</w:t>
      </w:r>
    </w:p>
    <w:p w14:paraId="1E0C0D80">
      <w:pPr>
        <w:spacing w:line="360" w:lineRule="auto"/>
        <w:rPr>
          <w:rFonts w:cs="宋体"/>
          <w:sz w:val="24"/>
          <w:szCs w:val="24"/>
        </w:rPr>
      </w:pPr>
      <w:r>
        <w:rPr>
          <w:rFonts w:hint="default" w:ascii="Times New Roman" w:eastAsia="黑体"/>
          <w:b/>
          <w:bCs/>
          <w:sz w:val="24"/>
          <w:szCs w:val="24"/>
        </w:rPr>
        <w:t>5.2.10</w:t>
      </w:r>
      <w:r>
        <w:rPr>
          <w:rFonts w:hint="eastAsia"/>
          <w:sz w:val="24"/>
          <w:szCs w:val="24"/>
        </w:rPr>
        <w:t>　</w:t>
      </w:r>
      <w:r>
        <w:rPr>
          <w:rFonts w:hint="eastAsia" w:cs="宋体"/>
          <w:sz w:val="24"/>
          <w:szCs w:val="24"/>
        </w:rPr>
        <w:t>采用集成厨卫，评价总分值为12分，并按下列规则分别评分并累计：</w:t>
      </w:r>
    </w:p>
    <w:p w14:paraId="2B1C4D88">
      <w:pPr>
        <w:spacing w:line="360" w:lineRule="auto"/>
        <w:ind w:firstLine="482" w:firstLineChars="200"/>
        <w:rPr>
          <w:rFonts w:cs="宋体"/>
          <w:sz w:val="24"/>
          <w:szCs w:val="24"/>
        </w:rPr>
      </w:pPr>
      <w:r>
        <w:rPr>
          <w:rFonts w:ascii="Times New Roman" w:eastAsia="黑体"/>
          <w:b/>
          <w:bCs/>
          <w:sz w:val="24"/>
          <w:szCs w:val="24"/>
        </w:rPr>
        <w:t>1</w:t>
      </w:r>
      <w:r>
        <w:rPr>
          <w:rFonts w:hint="eastAsia" w:cs="宋体"/>
          <w:sz w:val="24"/>
          <w:szCs w:val="24"/>
        </w:rPr>
        <w:t>　采用集成厨房，橱柜和厨房设备全部安装到位，按下列规则分别评分并累计：</w:t>
      </w:r>
    </w:p>
    <w:p w14:paraId="353B137F">
      <w:pPr>
        <w:spacing w:line="360" w:lineRule="auto"/>
        <w:ind w:firstLine="960" w:firstLineChars="400"/>
        <w:rPr>
          <w:rFonts w:cs="宋体"/>
          <w:sz w:val="24"/>
          <w:szCs w:val="24"/>
        </w:rPr>
      </w:pPr>
      <w:r>
        <w:rPr>
          <w:rFonts w:hint="default" w:eastAsia="黑体" w:asciiTheme="minorAscii" w:hAnsiTheme="minorAscii"/>
          <w:b w:val="0"/>
          <w:bCs w:val="0"/>
          <w:sz w:val="24"/>
          <w:szCs w:val="24"/>
        </w:rPr>
        <w:t>1）</w:t>
      </w:r>
      <w:r>
        <w:rPr>
          <w:rFonts w:hint="eastAsia" w:cs="宋体"/>
          <w:sz w:val="24"/>
          <w:szCs w:val="24"/>
        </w:rPr>
        <w:t>墙面、顶面采用干式工法，得3分；</w:t>
      </w:r>
    </w:p>
    <w:p w14:paraId="44BBD192">
      <w:pPr>
        <w:spacing w:line="360" w:lineRule="auto"/>
        <w:ind w:firstLine="960" w:firstLineChars="400"/>
        <w:rPr>
          <w:rFonts w:cs="宋体"/>
          <w:sz w:val="24"/>
          <w:szCs w:val="24"/>
        </w:rPr>
      </w:pPr>
      <w:r>
        <w:rPr>
          <w:rFonts w:hint="default" w:eastAsia="黑体" w:asciiTheme="minorAscii" w:hAnsiTheme="minorAscii"/>
          <w:b w:val="0"/>
          <w:bCs w:val="0"/>
          <w:sz w:val="24"/>
          <w:szCs w:val="24"/>
        </w:rPr>
        <w:t>2）</w:t>
      </w:r>
      <w:r>
        <w:rPr>
          <w:rFonts w:hint="eastAsia" w:cs="宋体"/>
          <w:sz w:val="24"/>
          <w:szCs w:val="24"/>
        </w:rPr>
        <w:t>地面采用干式工法，得3分。</w:t>
      </w:r>
    </w:p>
    <w:p w14:paraId="4E1EBE1C">
      <w:pPr>
        <w:spacing w:line="360" w:lineRule="auto"/>
        <w:ind w:firstLine="482" w:firstLineChars="200"/>
        <w:rPr>
          <w:rFonts w:cs="宋体"/>
          <w:sz w:val="24"/>
          <w:szCs w:val="24"/>
        </w:rPr>
      </w:pPr>
      <w:r>
        <w:rPr>
          <w:rFonts w:ascii="Times New Roman" w:eastAsia="黑体"/>
          <w:b/>
          <w:bCs/>
          <w:sz w:val="24"/>
          <w:szCs w:val="24"/>
        </w:rPr>
        <w:t>2</w:t>
      </w:r>
      <w:r>
        <w:rPr>
          <w:rFonts w:hint="eastAsia" w:cs="宋体"/>
          <w:sz w:val="24"/>
          <w:szCs w:val="24"/>
        </w:rPr>
        <w:t>　采用集成卫生间，洁具全部安装到位，按下列规则分别评分并累计：</w:t>
      </w:r>
    </w:p>
    <w:p w14:paraId="439285E4">
      <w:pPr>
        <w:spacing w:line="360" w:lineRule="auto"/>
        <w:ind w:firstLine="960" w:firstLineChars="400"/>
        <w:rPr>
          <w:rFonts w:cs="宋体"/>
          <w:sz w:val="24"/>
          <w:szCs w:val="24"/>
        </w:rPr>
      </w:pPr>
      <w:r>
        <w:rPr>
          <w:rFonts w:hint="default" w:eastAsia="黑体" w:asciiTheme="minorAscii" w:hAnsiTheme="minorAscii"/>
          <w:b w:val="0"/>
          <w:bCs w:val="0"/>
          <w:sz w:val="24"/>
          <w:szCs w:val="24"/>
        </w:rPr>
        <w:t>1）</w:t>
      </w:r>
      <w:r>
        <w:rPr>
          <w:rFonts w:hint="eastAsia" w:cs="宋体"/>
          <w:sz w:val="24"/>
          <w:szCs w:val="24"/>
        </w:rPr>
        <w:t>墙面、顶面采用干式工法，得3分；</w:t>
      </w:r>
    </w:p>
    <w:p w14:paraId="1CF83FE0">
      <w:pPr>
        <w:spacing w:line="360" w:lineRule="auto"/>
        <w:ind w:firstLine="960" w:firstLineChars="400"/>
        <w:rPr>
          <w:rFonts w:cs="宋体"/>
          <w:sz w:val="24"/>
          <w:szCs w:val="24"/>
        </w:rPr>
      </w:pPr>
      <w:r>
        <w:rPr>
          <w:rFonts w:hint="default" w:eastAsia="黑体" w:asciiTheme="minorAscii" w:hAnsiTheme="minorAscii"/>
          <w:b w:val="0"/>
          <w:bCs w:val="0"/>
          <w:sz w:val="24"/>
          <w:szCs w:val="24"/>
        </w:rPr>
        <w:t>2）</w:t>
      </w:r>
      <w:r>
        <w:rPr>
          <w:rFonts w:hint="eastAsia" w:cs="宋体"/>
          <w:sz w:val="24"/>
          <w:szCs w:val="24"/>
        </w:rPr>
        <w:t>地面采用干式工法，得3分。</w:t>
      </w:r>
    </w:p>
    <w:p w14:paraId="3444CEDE">
      <w:pPr>
        <w:spacing w:line="360" w:lineRule="auto"/>
        <w:rPr>
          <w:rFonts w:ascii="宋体" w:hAnsi="宋体" w:cs="宋体"/>
          <w:sz w:val="24"/>
          <w:szCs w:val="24"/>
        </w:rPr>
      </w:pPr>
      <w:r>
        <w:rPr>
          <w:rFonts w:ascii="Times New Roman" w:eastAsia="黑体"/>
          <w:b/>
          <w:bCs/>
          <w:sz w:val="24"/>
          <w:szCs w:val="24"/>
        </w:rPr>
        <w:t>5.2.1</w:t>
      </w:r>
      <w:r>
        <w:rPr>
          <w:rFonts w:hint="default" w:ascii="Times New Roman" w:eastAsia="黑体"/>
          <w:b/>
          <w:bCs/>
          <w:sz w:val="24"/>
          <w:szCs w:val="24"/>
        </w:rPr>
        <w:t>1</w:t>
      </w:r>
      <w:r>
        <w:rPr>
          <w:rFonts w:hint="eastAsia" w:ascii="宋体" w:hAnsi="宋体" w:eastAsia="黑体" w:cs="宋体"/>
          <w:b/>
          <w:bCs/>
          <w:sz w:val="24"/>
          <w:szCs w:val="24"/>
        </w:rPr>
        <w:t>【</w:t>
      </w:r>
      <w:r>
        <w:rPr>
          <w:rFonts w:hint="eastAsia" w:ascii="宋体" w:hAnsi="宋体" w:cs="宋体"/>
          <w:sz w:val="24"/>
          <w:szCs w:val="24"/>
        </w:rPr>
        <w:t>可再生能源</w:t>
      </w:r>
      <w:r>
        <w:rPr>
          <w:rFonts w:hint="eastAsia" w:ascii="宋体" w:hAnsi="宋体" w:eastAsia="黑体" w:cs="宋体"/>
          <w:b/>
          <w:bCs/>
          <w:sz w:val="24"/>
          <w:szCs w:val="24"/>
        </w:rPr>
        <w:t>】</w:t>
      </w:r>
      <w:r>
        <w:rPr>
          <w:rFonts w:hint="eastAsia" w:ascii="宋体" w:hAnsi="宋体" w:cs="宋体"/>
          <w:sz w:val="24"/>
          <w:szCs w:val="24"/>
        </w:rPr>
        <w:t>　结合当地的气候及太阳能资源条件、屋面和立面情况，在不破坏原有防水及保温层条件下，合理设置太阳能光伏/光热系统，评</w:t>
      </w:r>
      <w:r>
        <w:rPr>
          <w:rFonts w:hint="eastAsia" w:ascii="宋体" w:hAnsi="宋体" w:cs="宋体"/>
          <w:sz w:val="24"/>
          <w:szCs w:val="24"/>
          <w:lang w:val="en-US" w:eastAsia="zh-CN"/>
        </w:rPr>
        <w:t>价</w:t>
      </w:r>
      <w:r>
        <w:rPr>
          <w:rFonts w:hint="eastAsia" w:ascii="宋体" w:hAnsi="宋体" w:cs="宋体"/>
          <w:sz w:val="24"/>
          <w:szCs w:val="24"/>
        </w:rPr>
        <w:t>总分值为</w:t>
      </w:r>
      <w:r>
        <w:rPr>
          <w:rFonts w:hint="default" w:ascii="Times New Roman" w:hAnsi="Times New Roman" w:cs="Times New Roman"/>
          <w:sz w:val="24"/>
          <w:szCs w:val="24"/>
        </w:rPr>
        <w:t>18</w:t>
      </w:r>
      <w:r>
        <w:rPr>
          <w:rFonts w:hint="eastAsia" w:ascii="宋体" w:hAnsi="宋体" w:cs="宋体"/>
          <w:sz w:val="24"/>
          <w:szCs w:val="24"/>
        </w:rPr>
        <w:t>分，并按下列规则分别评分并累计：</w:t>
      </w:r>
    </w:p>
    <w:p w14:paraId="57E98B2B">
      <w:pPr>
        <w:spacing w:line="360" w:lineRule="auto"/>
        <w:ind w:firstLine="482" w:firstLineChars="200"/>
        <w:rPr>
          <w:rFonts w:ascii="宋体" w:hAnsi="宋体" w:cs="宋体"/>
          <w:sz w:val="24"/>
          <w:szCs w:val="24"/>
        </w:rPr>
      </w:pPr>
      <w:r>
        <w:rPr>
          <w:rFonts w:ascii="Times New Roman" w:eastAsia="黑体"/>
          <w:b/>
          <w:bCs/>
          <w:sz w:val="24"/>
          <w:szCs w:val="24"/>
        </w:rPr>
        <w:t>1</w:t>
      </w:r>
      <w:r>
        <w:rPr>
          <w:rFonts w:hint="eastAsia" w:ascii="宋体" w:hAnsi="宋体" w:cs="宋体"/>
          <w:sz w:val="24"/>
          <w:szCs w:val="24"/>
        </w:rPr>
        <w:t xml:space="preserve">  屋面增设太阳能光伏组件或太阳能集热器，由太阳能提供空调用冷量和热量比例大于</w:t>
      </w:r>
      <w:r>
        <w:rPr>
          <w:rFonts w:hint="default" w:ascii="Times New Roman" w:hAnsi="Times New Roman" w:cs="Times New Roman"/>
          <w:sz w:val="24"/>
          <w:szCs w:val="24"/>
        </w:rPr>
        <w:t>20%</w:t>
      </w:r>
      <w:r>
        <w:rPr>
          <w:rFonts w:hint="eastAsia" w:ascii="宋体" w:hAnsi="宋体" w:cs="宋体"/>
          <w:sz w:val="24"/>
          <w:szCs w:val="24"/>
        </w:rPr>
        <w:t>或太阳能提供的生活热水比例大于</w:t>
      </w:r>
      <w:r>
        <w:rPr>
          <w:rFonts w:hint="default" w:ascii="Times New Roman" w:hAnsi="Times New Roman" w:cs="Times New Roman"/>
          <w:sz w:val="24"/>
          <w:szCs w:val="24"/>
        </w:rPr>
        <w:t>50%</w:t>
      </w:r>
      <w:r>
        <w:rPr>
          <w:rFonts w:hint="eastAsia" w:ascii="宋体" w:hAnsi="宋体" w:cs="宋体"/>
          <w:sz w:val="24"/>
          <w:szCs w:val="24"/>
        </w:rPr>
        <w:t>，得</w:t>
      </w:r>
      <w:r>
        <w:rPr>
          <w:rFonts w:hint="default" w:ascii="Times New Roman" w:hAnsi="Times New Roman" w:cs="Times New Roman"/>
          <w:sz w:val="24"/>
          <w:szCs w:val="24"/>
        </w:rPr>
        <w:t>8</w:t>
      </w:r>
      <w:r>
        <w:rPr>
          <w:rFonts w:hint="eastAsia" w:ascii="宋体" w:hAnsi="宋体" w:cs="宋体"/>
          <w:sz w:val="24"/>
          <w:szCs w:val="24"/>
        </w:rPr>
        <w:t xml:space="preserve">分； </w:t>
      </w:r>
    </w:p>
    <w:p w14:paraId="42B72E95">
      <w:pPr>
        <w:spacing w:line="360" w:lineRule="auto"/>
        <w:ind w:firstLine="482" w:firstLineChars="200"/>
        <w:rPr>
          <w:rFonts w:ascii="宋体" w:hAnsi="宋体" w:cs="宋体"/>
          <w:b/>
          <w:bCs/>
          <w:szCs w:val="24"/>
        </w:rPr>
      </w:pPr>
      <w:r>
        <w:rPr>
          <w:rFonts w:ascii="Times New Roman" w:eastAsia="黑体"/>
          <w:b/>
          <w:bCs/>
          <w:sz w:val="24"/>
          <w:szCs w:val="24"/>
        </w:rPr>
        <w:t>2</w:t>
      </w:r>
      <w:r>
        <w:rPr>
          <w:rFonts w:hint="eastAsia" w:ascii="宋体" w:hAnsi="宋体" w:cs="宋体"/>
          <w:sz w:val="24"/>
          <w:szCs w:val="24"/>
        </w:rPr>
        <w:t xml:space="preserve">  建筑外墙及外窗设置太阳能光伏组件或太阳能热水器，并兼做遮阳构件，得</w:t>
      </w:r>
      <w:r>
        <w:rPr>
          <w:rFonts w:hint="default" w:ascii="Times New Roman" w:hAnsi="Times New Roman" w:cs="Times New Roman"/>
          <w:sz w:val="24"/>
          <w:szCs w:val="24"/>
        </w:rPr>
        <w:t>10</w:t>
      </w:r>
      <w:r>
        <w:rPr>
          <w:rFonts w:hint="eastAsia" w:ascii="宋体" w:hAnsi="宋体" w:cs="宋体"/>
          <w:sz w:val="24"/>
          <w:szCs w:val="24"/>
        </w:rPr>
        <w:t>分。</w:t>
      </w:r>
    </w:p>
    <w:p w14:paraId="0936F0AF">
      <w:pPr>
        <w:pStyle w:val="28"/>
        <w:spacing w:before="0" w:beforeLines="0" w:after="0" w:afterLines="0" w:line="360" w:lineRule="auto"/>
        <w:ind w:firstLine="0" w:firstLineChars="0"/>
        <w:jc w:val="center"/>
        <w:outlineLvl w:val="2"/>
        <w:rPr>
          <w:rFonts w:hint="eastAsia" w:eastAsia="宋体" w:cs="Times New Roman"/>
          <w:b/>
          <w:bCs/>
          <w:sz w:val="28"/>
          <w:szCs w:val="28"/>
          <w:lang w:eastAsia="zh-CN"/>
        </w:rPr>
      </w:pPr>
      <w:r>
        <w:rPr>
          <w:rFonts w:hint="eastAsia" w:cs="Times New Roman"/>
          <w:b/>
          <w:bCs/>
          <w:sz w:val="28"/>
          <w:szCs w:val="28"/>
        </w:rPr>
        <w:t xml:space="preserve">Ⅱ </w:t>
      </w:r>
      <w:r>
        <w:rPr>
          <w:rFonts w:hint="eastAsia" w:ascii="仿宋" w:hAnsi="仿宋" w:eastAsia="仿宋" w:cs="仿宋"/>
          <w:b/>
          <w:bCs/>
          <w:sz w:val="28"/>
          <w:szCs w:val="28"/>
        </w:rPr>
        <w:t>建筑围护结构</w:t>
      </w:r>
    </w:p>
    <w:p w14:paraId="73EE7AAD">
      <w:pPr>
        <w:spacing w:line="360" w:lineRule="auto"/>
        <w:rPr>
          <w:sz w:val="24"/>
          <w:szCs w:val="24"/>
        </w:rPr>
      </w:pPr>
      <w:r>
        <w:rPr>
          <w:rFonts w:ascii="Times New Roman" w:eastAsia="黑体"/>
          <w:b/>
          <w:bCs/>
          <w:sz w:val="24"/>
          <w:szCs w:val="24"/>
        </w:rPr>
        <w:t>5.2.</w:t>
      </w:r>
      <w:r>
        <w:rPr>
          <w:rFonts w:hint="default" w:ascii="Times New Roman" w:eastAsia="黑体"/>
          <w:b/>
          <w:bCs/>
          <w:sz w:val="24"/>
          <w:szCs w:val="24"/>
        </w:rPr>
        <w:t>12</w:t>
      </w:r>
      <w:r>
        <w:rPr>
          <w:rFonts w:hint="eastAsia"/>
          <w:sz w:val="24"/>
          <w:szCs w:val="24"/>
        </w:rPr>
        <w:t>　既有工业建筑民用化低碳改造</w:t>
      </w:r>
      <w:r>
        <w:rPr>
          <w:rFonts w:hint="eastAsia"/>
          <w:sz w:val="24"/>
          <w:szCs w:val="24"/>
          <w:lang w:val="en-US" w:eastAsia="zh-CN"/>
        </w:rPr>
        <w:t>时</w:t>
      </w:r>
      <w:r>
        <w:rPr>
          <w:rFonts w:hint="eastAsia"/>
          <w:sz w:val="24"/>
          <w:szCs w:val="24"/>
        </w:rPr>
        <w:t>优化原建筑围护结构的热工性能，评价总分值为20分，并按下列规则评分：</w:t>
      </w:r>
    </w:p>
    <w:p w14:paraId="5B8C1E48">
      <w:pPr>
        <w:spacing w:line="360" w:lineRule="auto"/>
        <w:ind w:firstLine="482" w:firstLineChars="200"/>
        <w:rPr>
          <w:sz w:val="24"/>
          <w:szCs w:val="24"/>
        </w:rPr>
      </w:pPr>
      <w:r>
        <w:rPr>
          <w:rFonts w:ascii="Times New Roman" w:eastAsia="黑体"/>
          <w:b/>
          <w:bCs/>
          <w:sz w:val="24"/>
          <w:szCs w:val="24"/>
        </w:rPr>
        <w:t>1</w:t>
      </w:r>
      <w:r>
        <w:rPr>
          <w:rFonts w:hint="eastAsia"/>
          <w:sz w:val="24"/>
          <w:szCs w:val="24"/>
        </w:rPr>
        <w:t>　围护结构热工性能达到国家现行相关建筑节能设计标准规定的，得5分；每提高1%得1分；最高得20分。</w:t>
      </w:r>
    </w:p>
    <w:p w14:paraId="62EDB6E1">
      <w:pPr>
        <w:spacing w:line="360" w:lineRule="auto"/>
        <w:ind w:firstLine="482" w:firstLineChars="200"/>
        <w:rPr>
          <w:sz w:val="24"/>
          <w:szCs w:val="24"/>
        </w:rPr>
      </w:pPr>
      <w:r>
        <w:rPr>
          <w:rFonts w:ascii="Times New Roman" w:eastAsia="黑体"/>
          <w:b/>
          <w:bCs/>
          <w:sz w:val="24"/>
          <w:szCs w:val="24"/>
        </w:rPr>
        <w:t>2</w:t>
      </w:r>
      <w:r>
        <w:rPr>
          <w:rFonts w:hint="eastAsia"/>
          <w:sz w:val="24"/>
          <w:szCs w:val="24"/>
        </w:rPr>
        <w:t>　建筑供暖空调负荷不高于参照建筑的暖通空调负荷，得5分；每降低1%得1分；最高得20分。</w:t>
      </w:r>
    </w:p>
    <w:p w14:paraId="6AA58F1C">
      <w:pPr>
        <w:spacing w:line="360" w:lineRule="auto"/>
        <w:rPr>
          <w:sz w:val="24"/>
          <w:szCs w:val="24"/>
        </w:rPr>
      </w:pPr>
      <w:r>
        <w:rPr>
          <w:rFonts w:ascii="Times New Roman" w:eastAsia="黑体"/>
          <w:b/>
          <w:bCs/>
          <w:sz w:val="24"/>
          <w:szCs w:val="24"/>
        </w:rPr>
        <w:t>5.2.</w:t>
      </w:r>
      <w:r>
        <w:rPr>
          <w:rFonts w:hint="default" w:ascii="Times New Roman" w:eastAsia="黑体"/>
          <w:b/>
          <w:bCs/>
          <w:sz w:val="24"/>
          <w:szCs w:val="24"/>
        </w:rPr>
        <w:t>13</w:t>
      </w:r>
      <w:r>
        <w:rPr>
          <w:rFonts w:hint="eastAsia"/>
          <w:sz w:val="24"/>
          <w:szCs w:val="24"/>
        </w:rPr>
        <w:t>　与土壤直接接触的原有工业建筑地坪，结合改造后的建筑室内外高差关系，在室内设置防潮保温层，</w:t>
      </w:r>
      <w:r>
        <w:rPr>
          <w:rFonts w:hint="eastAsia"/>
          <w:sz w:val="24"/>
          <w:szCs w:val="24"/>
          <w:highlight w:val="none"/>
        </w:rPr>
        <w:t>得5分</w:t>
      </w:r>
      <w:r>
        <w:rPr>
          <w:rFonts w:hint="eastAsia"/>
          <w:sz w:val="24"/>
          <w:szCs w:val="24"/>
        </w:rPr>
        <w:t>。</w:t>
      </w:r>
    </w:p>
    <w:p w14:paraId="2B4AA79B">
      <w:pPr>
        <w:widowControl/>
        <w:snapToGrid w:val="0"/>
        <w:spacing w:line="360" w:lineRule="auto"/>
        <w:jc w:val="center"/>
        <w:outlineLvl w:val="0"/>
        <w:rPr>
          <w:rFonts w:ascii="宋体" w:hAnsi="宋体" w:cs="宋体"/>
          <w:b/>
          <w:bCs/>
          <w:kern w:val="44"/>
          <w:sz w:val="30"/>
          <w:szCs w:val="30"/>
        </w:rPr>
        <w:sectPr>
          <w:footerReference r:id="rId10" w:type="default"/>
          <w:pgSz w:w="11906" w:h="16838"/>
          <w:pgMar w:top="1440" w:right="1800" w:bottom="1440" w:left="1800" w:header="851" w:footer="992" w:gutter="0"/>
          <w:cols w:space="425" w:num="1"/>
          <w:docGrid w:type="lines" w:linePitch="312" w:charSpace="0"/>
        </w:sectPr>
      </w:pPr>
    </w:p>
    <w:p w14:paraId="6F35521E">
      <w:pPr>
        <w:widowControl/>
        <w:snapToGrid w:val="0"/>
        <w:spacing w:line="360" w:lineRule="auto"/>
        <w:jc w:val="center"/>
        <w:outlineLvl w:val="9"/>
        <w:rPr>
          <w:rFonts w:ascii="Times New Roman" w:hAnsi="Times New Roman" w:cs="Times New Roman"/>
          <w:b/>
          <w:bCs/>
          <w:kern w:val="44"/>
          <w:sz w:val="30"/>
          <w:szCs w:val="30"/>
        </w:rPr>
      </w:pPr>
    </w:p>
    <w:p w14:paraId="7E1AE65A">
      <w:pPr>
        <w:widowControl/>
        <w:snapToGrid w:val="0"/>
        <w:spacing w:line="360" w:lineRule="auto"/>
        <w:jc w:val="center"/>
        <w:outlineLvl w:val="0"/>
        <w:rPr>
          <w:rFonts w:hint="eastAsia" w:eastAsia="宋体"/>
          <w:sz w:val="30"/>
          <w:szCs w:val="30"/>
          <w:lang w:eastAsia="zh-CN"/>
        </w:rPr>
      </w:pPr>
      <w:bookmarkStart w:id="126" w:name="_Toc7179"/>
      <w:bookmarkStart w:id="127" w:name="_Toc26219"/>
      <w:r>
        <w:rPr>
          <w:rFonts w:ascii="Times New Roman" w:hAnsi="Times New Roman" w:cs="Times New Roman"/>
          <w:b/>
          <w:bCs/>
          <w:kern w:val="44"/>
          <w:sz w:val="30"/>
          <w:szCs w:val="30"/>
        </w:rPr>
        <w:t>6</w:t>
      </w:r>
      <w:r>
        <w:rPr>
          <w:rFonts w:ascii="宋体" w:hAnsi="宋体" w:cs="宋体"/>
          <w:b/>
          <w:bCs/>
          <w:kern w:val="44"/>
          <w:sz w:val="30"/>
          <w:szCs w:val="30"/>
        </w:rPr>
        <w:t xml:space="preserve"> </w:t>
      </w:r>
      <w:r>
        <w:rPr>
          <w:rFonts w:hint="eastAsia" w:ascii="宋体" w:hAnsi="宋体" w:cs="宋体"/>
          <w:b/>
          <w:bCs/>
          <w:kern w:val="44"/>
          <w:sz w:val="30"/>
          <w:szCs w:val="30"/>
        </w:rPr>
        <w:t>能源与水资源利用</w:t>
      </w:r>
      <w:bookmarkEnd w:id="126"/>
      <w:bookmarkEnd w:id="127"/>
    </w:p>
    <w:p w14:paraId="2A69ADE2">
      <w:pPr>
        <w:tabs>
          <w:tab w:val="left" w:pos="0"/>
        </w:tabs>
        <w:spacing w:before="0" w:beforeLines="0" w:after="0" w:afterLines="0" w:line="360" w:lineRule="auto"/>
        <w:jc w:val="center"/>
        <w:outlineLvl w:val="1"/>
        <w:rPr>
          <w:rFonts w:ascii="黑体" w:hAnsi="黑体" w:eastAsia="黑体" w:cs="黑体"/>
          <w:b/>
          <w:bCs/>
          <w:sz w:val="28"/>
          <w:szCs w:val="28"/>
        </w:rPr>
      </w:pPr>
      <w:bookmarkStart w:id="128" w:name="_Toc24299"/>
      <w:bookmarkStart w:id="129" w:name="_Toc14440"/>
      <w:bookmarkStart w:id="130" w:name="_Toc801"/>
      <w:r>
        <w:rPr>
          <w:rFonts w:ascii="Times New Roman" w:hAnsi="Times New Roman" w:eastAsia="黑体" w:cs="Times New Roman"/>
          <w:b/>
          <w:bCs/>
          <w:sz w:val="28"/>
          <w:szCs w:val="28"/>
        </w:rPr>
        <w:t>6.1</w:t>
      </w:r>
      <w:r>
        <w:rPr>
          <w:rFonts w:ascii="黑体" w:hAnsi="黑体" w:eastAsia="黑体" w:cs="黑体"/>
          <w:b/>
          <w:bCs/>
          <w:sz w:val="28"/>
          <w:szCs w:val="28"/>
        </w:rPr>
        <w:t xml:space="preserve"> </w:t>
      </w:r>
      <w:r>
        <w:rPr>
          <w:rFonts w:hint="eastAsia" w:ascii="黑体" w:hAnsi="黑体" w:eastAsia="黑体" w:cs="黑体"/>
          <w:b/>
          <w:bCs/>
          <w:sz w:val="28"/>
          <w:szCs w:val="28"/>
        </w:rPr>
        <w:t>控制项</w:t>
      </w:r>
      <w:bookmarkEnd w:id="128"/>
      <w:bookmarkEnd w:id="129"/>
      <w:bookmarkEnd w:id="130"/>
    </w:p>
    <w:p w14:paraId="0572D5C2">
      <w:pPr>
        <w:spacing w:line="360" w:lineRule="auto"/>
        <w:rPr>
          <w:sz w:val="24"/>
          <w:szCs w:val="24"/>
        </w:rPr>
      </w:pPr>
      <w:r>
        <w:rPr>
          <w:rFonts w:ascii="Times New Roman" w:eastAsia="黑体"/>
          <w:b/>
          <w:bCs/>
          <w:sz w:val="24"/>
          <w:szCs w:val="24"/>
        </w:rPr>
        <w:t>6.1.1</w:t>
      </w:r>
      <w:r>
        <w:rPr>
          <w:rFonts w:hint="eastAsia"/>
          <w:sz w:val="24"/>
          <w:szCs w:val="24"/>
        </w:rPr>
        <w:t>　既有工业建筑能源系统民用化改造应符合国家现行有关节能标准的规定，并应符合下列规定：</w:t>
      </w:r>
    </w:p>
    <w:p w14:paraId="2A1D7301">
      <w:pPr>
        <w:spacing w:line="360" w:lineRule="auto"/>
        <w:ind w:firstLine="482" w:firstLineChars="200"/>
        <w:rPr>
          <w:sz w:val="24"/>
          <w:szCs w:val="24"/>
        </w:rPr>
      </w:pPr>
      <w:r>
        <w:rPr>
          <w:rFonts w:ascii="Times New Roman" w:eastAsia="黑体"/>
          <w:b/>
          <w:bCs/>
          <w:sz w:val="24"/>
          <w:szCs w:val="24"/>
        </w:rPr>
        <w:t>1</w:t>
      </w:r>
      <w:r>
        <w:rPr>
          <w:rFonts w:hint="eastAsia"/>
          <w:sz w:val="24"/>
          <w:szCs w:val="24"/>
        </w:rPr>
        <w:t>　改造后房间内的温度、湿度、新风量等设计参数应符合现行国家标准《民用建筑供暖通风与空气调节设计规范》GB</w:t>
      </w:r>
      <w:r>
        <w:rPr>
          <w:rFonts w:hint="eastAsia"/>
          <w:sz w:val="24"/>
          <w:szCs w:val="24"/>
          <w:lang w:val="en-US" w:eastAsia="zh-CN"/>
        </w:rPr>
        <w:t xml:space="preserve"> </w:t>
      </w:r>
      <w:r>
        <w:rPr>
          <w:rFonts w:hint="eastAsia"/>
          <w:sz w:val="24"/>
          <w:szCs w:val="24"/>
        </w:rPr>
        <w:t>50736的规定；</w:t>
      </w:r>
    </w:p>
    <w:p w14:paraId="74E53A1B">
      <w:pPr>
        <w:spacing w:line="360" w:lineRule="auto"/>
        <w:ind w:firstLine="482" w:firstLineChars="200"/>
        <w:rPr>
          <w:sz w:val="24"/>
          <w:szCs w:val="24"/>
        </w:rPr>
      </w:pPr>
      <w:r>
        <w:rPr>
          <w:rFonts w:ascii="Times New Roman" w:eastAsia="黑体"/>
          <w:b/>
          <w:bCs/>
          <w:sz w:val="24"/>
          <w:szCs w:val="24"/>
        </w:rPr>
        <w:t>2</w:t>
      </w:r>
      <w:r>
        <w:rPr>
          <w:rFonts w:hint="eastAsia"/>
          <w:sz w:val="24"/>
          <w:szCs w:val="24"/>
        </w:rPr>
        <w:t>　新增机电系统和设备应满足现行国家标准《建筑节能与可再生能源利用通用规范》GB</w:t>
      </w:r>
      <w:r>
        <w:rPr>
          <w:rFonts w:hint="eastAsia"/>
          <w:sz w:val="24"/>
          <w:szCs w:val="24"/>
          <w:lang w:val="en-US" w:eastAsia="zh-CN"/>
        </w:rPr>
        <w:t xml:space="preserve"> </w:t>
      </w:r>
      <w:r>
        <w:rPr>
          <w:rFonts w:hint="eastAsia"/>
          <w:sz w:val="24"/>
          <w:szCs w:val="24"/>
        </w:rPr>
        <w:t>55015的要求。</w:t>
      </w:r>
    </w:p>
    <w:p w14:paraId="0BA6CA55">
      <w:pPr>
        <w:numPr>
          <w:ilvl w:val="255"/>
          <w:numId w:val="0"/>
        </w:numPr>
        <w:spacing w:line="360" w:lineRule="auto"/>
        <w:rPr>
          <w:sz w:val="24"/>
          <w:szCs w:val="24"/>
        </w:rPr>
      </w:pPr>
      <w:r>
        <w:rPr>
          <w:rFonts w:ascii="Times New Roman" w:eastAsia="黑体"/>
          <w:b/>
          <w:bCs/>
          <w:sz w:val="24"/>
          <w:szCs w:val="24"/>
        </w:rPr>
        <w:t>6.1.2</w:t>
      </w:r>
      <w:r>
        <w:rPr>
          <w:rFonts w:hint="eastAsia"/>
          <w:sz w:val="24"/>
          <w:szCs w:val="24"/>
        </w:rPr>
        <w:t>　对既有雨污合流制排水系统应进行分流改造，雨污水应达标排放，不满足国家现行相关排放标准要求时，应增设水处理设施。</w:t>
      </w:r>
    </w:p>
    <w:p w14:paraId="6DE71B92">
      <w:pPr>
        <w:numPr>
          <w:ilvl w:val="255"/>
          <w:numId w:val="0"/>
        </w:numPr>
        <w:spacing w:line="360" w:lineRule="auto"/>
        <w:rPr>
          <w:sz w:val="24"/>
          <w:szCs w:val="24"/>
        </w:rPr>
      </w:pPr>
      <w:r>
        <w:rPr>
          <w:rFonts w:ascii="Times New Roman" w:eastAsia="黑体"/>
          <w:b/>
          <w:bCs/>
          <w:sz w:val="24"/>
          <w:szCs w:val="24"/>
        </w:rPr>
        <w:t>6.1.3</w:t>
      </w:r>
      <w:r>
        <w:rPr>
          <w:rFonts w:hint="eastAsia"/>
          <w:sz w:val="24"/>
          <w:szCs w:val="24"/>
        </w:rPr>
        <w:t>　改造后使用可再生能源系统时，应符合下列规定：</w:t>
      </w:r>
    </w:p>
    <w:p w14:paraId="5968F8BC">
      <w:pPr>
        <w:spacing w:line="360" w:lineRule="auto"/>
        <w:ind w:firstLine="482" w:firstLineChars="200"/>
        <w:rPr>
          <w:sz w:val="24"/>
          <w:szCs w:val="24"/>
        </w:rPr>
      </w:pPr>
      <w:r>
        <w:rPr>
          <w:rFonts w:ascii="Times New Roman" w:eastAsia="黑体"/>
          <w:b/>
          <w:bCs/>
          <w:sz w:val="24"/>
          <w:szCs w:val="24"/>
        </w:rPr>
        <w:t>1</w:t>
      </w:r>
      <w:r>
        <w:rPr>
          <w:rFonts w:hint="eastAsia"/>
          <w:sz w:val="24"/>
          <w:szCs w:val="24"/>
        </w:rPr>
        <w:t>　太阳能热利用系统的使用寿命、集热效率应符合现行国家标准《建筑节能与可再生能源利用通用规范》GB</w:t>
      </w:r>
      <w:r>
        <w:rPr>
          <w:rFonts w:hint="eastAsia"/>
          <w:sz w:val="24"/>
          <w:szCs w:val="24"/>
          <w:lang w:val="en-US" w:eastAsia="zh-CN"/>
        </w:rPr>
        <w:t xml:space="preserve"> </w:t>
      </w:r>
      <w:r>
        <w:rPr>
          <w:rFonts w:hint="eastAsia"/>
          <w:sz w:val="24"/>
          <w:szCs w:val="24"/>
        </w:rPr>
        <w:t>55015的规定。</w:t>
      </w:r>
    </w:p>
    <w:p w14:paraId="3DD5AAE8">
      <w:pPr>
        <w:spacing w:line="360" w:lineRule="auto"/>
        <w:ind w:firstLine="482" w:firstLineChars="200"/>
        <w:rPr>
          <w:sz w:val="24"/>
          <w:szCs w:val="24"/>
        </w:rPr>
      </w:pPr>
      <w:r>
        <w:rPr>
          <w:rFonts w:ascii="Times New Roman" w:eastAsia="黑体"/>
          <w:b/>
          <w:bCs/>
          <w:sz w:val="24"/>
          <w:szCs w:val="24"/>
        </w:rPr>
        <w:t>2</w:t>
      </w:r>
      <w:r>
        <w:rPr>
          <w:rFonts w:hint="eastAsia"/>
          <w:sz w:val="24"/>
          <w:szCs w:val="24"/>
        </w:rPr>
        <w:t>　地源热泵机系统的能效不应低于现行国家标准《水（地）源热泵机组能效限定值及能效等级》GB</w:t>
      </w:r>
      <w:r>
        <w:rPr>
          <w:rFonts w:hint="eastAsia"/>
          <w:sz w:val="24"/>
          <w:szCs w:val="24"/>
          <w:lang w:val="en-US" w:eastAsia="zh-CN"/>
        </w:rPr>
        <w:t xml:space="preserve"> </w:t>
      </w:r>
      <w:r>
        <w:rPr>
          <w:rFonts w:hint="eastAsia"/>
          <w:sz w:val="24"/>
          <w:szCs w:val="24"/>
        </w:rPr>
        <w:t>30721</w:t>
      </w:r>
      <w:r>
        <w:rPr>
          <w:sz w:val="24"/>
          <w:szCs w:val="24"/>
        </w:rPr>
        <w:t xml:space="preserve"> </w:t>
      </w:r>
      <w:r>
        <w:rPr>
          <w:rFonts w:hint="eastAsia"/>
          <w:sz w:val="24"/>
          <w:szCs w:val="24"/>
        </w:rPr>
        <w:t>规定的节能评价值。</w:t>
      </w:r>
    </w:p>
    <w:p w14:paraId="415E5751">
      <w:pPr>
        <w:numPr>
          <w:ilvl w:val="255"/>
          <w:numId w:val="0"/>
        </w:numPr>
        <w:spacing w:line="360" w:lineRule="auto"/>
        <w:rPr>
          <w:sz w:val="24"/>
          <w:szCs w:val="24"/>
        </w:rPr>
      </w:pPr>
      <w:r>
        <w:rPr>
          <w:rFonts w:ascii="Times New Roman" w:eastAsia="黑体"/>
          <w:b/>
          <w:bCs/>
          <w:sz w:val="24"/>
          <w:szCs w:val="24"/>
        </w:rPr>
        <w:t>6.1.4</w:t>
      </w:r>
      <w:r>
        <w:rPr>
          <w:rFonts w:hint="eastAsia"/>
          <w:sz w:val="24"/>
          <w:szCs w:val="24"/>
        </w:rPr>
        <w:t>　改造后的主要功能房间照明功率密度值不应高于现行国家标准《建筑照明设计标准》GB/T</w:t>
      </w:r>
      <w:r>
        <w:rPr>
          <w:sz w:val="24"/>
          <w:szCs w:val="24"/>
        </w:rPr>
        <w:t xml:space="preserve"> </w:t>
      </w:r>
      <w:r>
        <w:rPr>
          <w:rFonts w:hint="eastAsia"/>
          <w:sz w:val="24"/>
          <w:szCs w:val="24"/>
        </w:rPr>
        <w:t>50034规定的现行值。</w:t>
      </w:r>
    </w:p>
    <w:p w14:paraId="3F91AE76">
      <w:pPr>
        <w:numPr>
          <w:ilvl w:val="255"/>
          <w:numId w:val="0"/>
        </w:numPr>
        <w:spacing w:line="360" w:lineRule="auto"/>
        <w:rPr>
          <w:sz w:val="24"/>
          <w:szCs w:val="24"/>
        </w:rPr>
      </w:pPr>
      <w:r>
        <w:rPr>
          <w:rFonts w:ascii="Times New Roman" w:eastAsia="黑体"/>
          <w:b/>
          <w:bCs/>
          <w:sz w:val="24"/>
          <w:szCs w:val="24"/>
        </w:rPr>
        <w:t>6.1.5</w:t>
      </w:r>
      <w:r>
        <w:rPr>
          <w:rFonts w:hint="eastAsia"/>
          <w:sz w:val="24"/>
          <w:szCs w:val="24"/>
        </w:rPr>
        <w:t>　建筑给水排水系统改造时应符合下列规定：</w:t>
      </w:r>
    </w:p>
    <w:p w14:paraId="0F9756D4">
      <w:pPr>
        <w:spacing w:line="360" w:lineRule="auto"/>
        <w:ind w:firstLine="482" w:firstLineChars="200"/>
        <w:rPr>
          <w:sz w:val="24"/>
          <w:szCs w:val="24"/>
        </w:rPr>
      </w:pPr>
      <w:r>
        <w:rPr>
          <w:rFonts w:ascii="Times New Roman" w:eastAsia="黑体"/>
          <w:b/>
          <w:bCs/>
          <w:sz w:val="24"/>
          <w:szCs w:val="24"/>
        </w:rPr>
        <w:t>1</w:t>
      </w:r>
      <w:r>
        <w:rPr>
          <w:rFonts w:hint="eastAsia"/>
          <w:sz w:val="24"/>
          <w:szCs w:val="24"/>
        </w:rPr>
        <w:t>　新增给排水设施应符合现行有关国家标准规定；</w:t>
      </w:r>
    </w:p>
    <w:p w14:paraId="5DC7F289">
      <w:pPr>
        <w:spacing w:line="360" w:lineRule="auto"/>
        <w:ind w:firstLine="482" w:firstLineChars="200"/>
        <w:rPr>
          <w:sz w:val="24"/>
          <w:szCs w:val="24"/>
        </w:rPr>
      </w:pPr>
      <w:r>
        <w:rPr>
          <w:rFonts w:ascii="Times New Roman" w:eastAsia="黑体"/>
          <w:b/>
          <w:bCs/>
          <w:sz w:val="24"/>
          <w:szCs w:val="24"/>
        </w:rPr>
        <w:t>2</w:t>
      </w:r>
      <w:r>
        <w:rPr>
          <w:rFonts w:hint="eastAsia"/>
          <w:sz w:val="24"/>
          <w:szCs w:val="24"/>
        </w:rPr>
        <w:t>　用水点处水压大于0.2MPa的配水支管应设置减压设施，并应满足给水配件最低工作压力的要求；</w:t>
      </w:r>
    </w:p>
    <w:p w14:paraId="7BC53667">
      <w:pPr>
        <w:spacing w:line="360" w:lineRule="auto"/>
        <w:ind w:firstLine="482" w:firstLineChars="200"/>
        <w:rPr>
          <w:sz w:val="24"/>
          <w:szCs w:val="24"/>
        </w:rPr>
      </w:pPr>
      <w:r>
        <w:rPr>
          <w:rFonts w:ascii="Times New Roman" w:eastAsia="黑体"/>
          <w:b/>
          <w:bCs/>
          <w:sz w:val="24"/>
          <w:szCs w:val="24"/>
        </w:rPr>
        <w:t>3</w:t>
      </w:r>
      <w:r>
        <w:rPr>
          <w:rFonts w:hint="eastAsia"/>
          <w:sz w:val="24"/>
          <w:szCs w:val="24"/>
        </w:rPr>
        <w:t>　用水器具和设备更换时，应选用节水、节能、环保的产品；</w:t>
      </w:r>
    </w:p>
    <w:p w14:paraId="72DACDC0">
      <w:pPr>
        <w:spacing w:line="360" w:lineRule="auto"/>
        <w:ind w:firstLine="482" w:firstLineChars="200"/>
        <w:rPr>
          <w:sz w:val="24"/>
          <w:szCs w:val="24"/>
        </w:rPr>
      </w:pPr>
      <w:r>
        <w:rPr>
          <w:rFonts w:ascii="Times New Roman" w:eastAsia="黑体"/>
          <w:b/>
          <w:bCs/>
          <w:sz w:val="24"/>
          <w:szCs w:val="24"/>
        </w:rPr>
        <w:t>4</w:t>
      </w:r>
      <w:r>
        <w:rPr>
          <w:rFonts w:hint="eastAsia"/>
          <w:sz w:val="24"/>
          <w:szCs w:val="24"/>
        </w:rPr>
        <w:t>　水池、水箱等储水设施应设置水位控制和溢流报警装置。</w:t>
      </w:r>
    </w:p>
    <w:p w14:paraId="3AECC6ED">
      <w:pPr>
        <w:numPr>
          <w:ilvl w:val="255"/>
          <w:numId w:val="0"/>
        </w:numPr>
        <w:spacing w:line="360" w:lineRule="auto"/>
        <w:rPr>
          <w:sz w:val="24"/>
          <w:szCs w:val="24"/>
        </w:rPr>
      </w:pPr>
      <w:r>
        <w:rPr>
          <w:rFonts w:ascii="Times New Roman" w:eastAsia="黑体"/>
          <w:b/>
          <w:bCs/>
          <w:sz w:val="24"/>
          <w:szCs w:val="24"/>
        </w:rPr>
        <w:t>6.1.6</w:t>
      </w:r>
      <w:r>
        <w:rPr>
          <w:rFonts w:hint="eastAsia"/>
          <w:sz w:val="24"/>
          <w:szCs w:val="24"/>
        </w:rPr>
        <w:t>　改造后冷热源、输配系统和照明等各部分能耗应独立分项计量。</w:t>
      </w:r>
    </w:p>
    <w:p w14:paraId="057C664A">
      <w:pPr>
        <w:numPr>
          <w:ilvl w:val="255"/>
          <w:numId w:val="0"/>
        </w:numPr>
        <w:spacing w:line="360" w:lineRule="auto"/>
        <w:rPr>
          <w:sz w:val="24"/>
          <w:szCs w:val="24"/>
        </w:rPr>
      </w:pPr>
      <w:r>
        <w:rPr>
          <w:rFonts w:ascii="Times New Roman" w:eastAsia="黑体"/>
          <w:b/>
          <w:bCs/>
          <w:sz w:val="24"/>
          <w:szCs w:val="24"/>
        </w:rPr>
        <w:t>6.1.7</w:t>
      </w:r>
      <w:r>
        <w:rPr>
          <w:rFonts w:hint="eastAsia"/>
          <w:sz w:val="24"/>
          <w:szCs w:val="24"/>
        </w:rPr>
        <w:t>　电梯和自动扶梯改造时，应采取节能控制措施，2台及以上电梯集中布置时应具备并联控制或群控功能。</w:t>
      </w:r>
    </w:p>
    <w:p w14:paraId="6CE3B3F0">
      <w:pPr>
        <w:pStyle w:val="28"/>
        <w:spacing w:line="360" w:lineRule="auto"/>
        <w:ind w:firstLine="0" w:firstLineChars="0"/>
        <w:rPr>
          <w:rFonts w:cs="Times New Roman"/>
          <w:szCs w:val="24"/>
        </w:rPr>
      </w:pPr>
      <w:r>
        <w:rPr>
          <w:rFonts w:ascii="Times New Roman" w:eastAsia="黑体" w:cs="Times New Roman"/>
          <w:b/>
          <w:bCs/>
          <w:szCs w:val="24"/>
        </w:rPr>
        <w:t>6.1.</w:t>
      </w:r>
      <w:r>
        <w:rPr>
          <w:rFonts w:hint="default" w:ascii="Times New Roman" w:eastAsia="黑体" w:cs="Times New Roman"/>
          <w:b/>
          <w:bCs/>
          <w:szCs w:val="24"/>
        </w:rPr>
        <w:t>8</w:t>
      </w:r>
      <w:r>
        <w:rPr>
          <w:rFonts w:hint="eastAsia"/>
          <w:szCs w:val="24"/>
        </w:rPr>
        <w:t>　</w:t>
      </w:r>
      <w:r>
        <w:rPr>
          <w:rFonts w:hint="eastAsia" w:cs="Times New Roman"/>
          <w:szCs w:val="24"/>
        </w:rPr>
        <w:t>配电系统改造应符合现行国家标准</w:t>
      </w:r>
      <w:r>
        <w:rPr>
          <w:szCs w:val="24"/>
        </w:rPr>
        <w:fldChar w:fldCharType="begin"/>
      </w:r>
      <w:r>
        <w:rPr>
          <w:szCs w:val="24"/>
        </w:rPr>
        <w:instrText xml:space="preserve"> HYPERLINK "https://www.waizi.org.cn/bz/130895.html" \l ":~:text=%E3%80%8A%E4%BD%8F%E6%88%BF%E5%92%8C%E5%9F%8E%E4%B9%A1%E5%BB%BA%E8%AE%BE%E9%83%A8%E5%85%B3%E4%BA%8E%E5%8F%91%E5%B8%83%E5%9B%BD%E5%AE%B6%E6%A0%87%E5%87%86%E3%80%88%E6%B0%91%E7%94%A8%E5%BB%BA%E7%AD%91%E7%94%B5%E6%B0%94%E8%AE%BE%E8%AE%A1%E6%A0%87%E5%87%86%E3%80%89%E7%9A%84%E5%85%AC%E5%91%8A%E3%80%8B %E4%BD%8F%E6%88%BF%E5%92%8C%E5%9F%8E%E4%B9%A1%E5%BB%BA%E8%AE%BE%E9%83%A8%E5%85%AC%E5%91%8A2019%E5%B9%B4%E7%AC%AC314%E5%8F%B7,%E7%8E%B0%E6%89%B9%E5%87%86%E3%80%8A%E6%B0%91%E7%94%A8%E5%BB%BA%E7%AD%91%E7%94%B5%E6%B0%94%E8%AE%BE%E8%AE%A1%E6%A0%87%E5%87%86%E3%80%8B%E4%B8%BA%E5%9B%BD%E5%AE%B6%E6%A0%87%E5%87%86%EF%BC%8C%E7%BC%96%E5%8F%B7%E4%B8%BAGB51348-2019%EF%BC%8C%E8%87%AA2020%E5%B9%B48%E6%9C%881%E6%97%A5%E8%B5%B7%E5%AE%9E%E6%96%BD%E3%80%82 %E5%85%B6%E4%B8%AD%EF%BC%8C%E7%AC%AC3.2.1%E3%80%813.2.8%E3%80%813.3.4%E3%80%814.3.5%E3%80%814.7.3%E3%80%814.10.1%E3%80%817.2.4%E3%80%817.4.6%E3%80%817.5.2%E3%80%817.6.3%E3%80%818.1.6%E3%80%819.4.5%E3%80%8111.2.3%E3%80%8111.2.4%E3%80%8111.8.8%E3%80%8112.4.10%E3%80%8112.4.14%E3%80%8112.5.8%E3%80%8113.4.6%E3%80%8113.7.6%E3%80%8114.4.3%E3%80%8114.9.4%E6%9D%A1%E4%B8%BA%E5%BC%BA%E5%88%B6%E6%80%A7%E6%9D%A1%E6%96%87%EF%BC%8C%E5%BF%85%E9%A1%BB%E4%B8%A5%E6%A0%BC%E6%89%A7%E8%A1%8C%E3%80%82" \t "https://cn.bing.com/_blank" </w:instrText>
      </w:r>
      <w:r>
        <w:rPr>
          <w:szCs w:val="24"/>
        </w:rPr>
        <w:fldChar w:fldCharType="separate"/>
      </w:r>
      <w:r>
        <w:rPr>
          <w:rFonts w:hint="eastAsia" w:cs="Times New Roman"/>
          <w:szCs w:val="24"/>
        </w:rPr>
        <w:t>《民用建筑电气设计标准》GB</w:t>
      </w:r>
      <w:r>
        <w:rPr>
          <w:rFonts w:hint="eastAsia" w:cs="Times New Roman"/>
          <w:szCs w:val="24"/>
          <w:lang w:val="en-US" w:eastAsia="zh-CN"/>
        </w:rPr>
        <w:t xml:space="preserve"> </w:t>
      </w:r>
      <w:r>
        <w:rPr>
          <w:rFonts w:hint="eastAsia" w:cs="Times New Roman"/>
          <w:szCs w:val="24"/>
        </w:rPr>
        <w:t>51348</w:t>
      </w:r>
      <w:r>
        <w:rPr>
          <w:rFonts w:hint="eastAsia" w:cs="Times New Roman"/>
          <w:szCs w:val="24"/>
        </w:rPr>
        <w:fldChar w:fldCharType="end"/>
      </w:r>
    </w:p>
    <w:p w14:paraId="37B66964">
      <w:pPr>
        <w:pStyle w:val="28"/>
        <w:spacing w:line="360" w:lineRule="auto"/>
        <w:ind w:firstLine="0" w:firstLineChars="0"/>
        <w:rPr>
          <w:rFonts w:cs="Times New Roman"/>
          <w:szCs w:val="24"/>
        </w:rPr>
      </w:pPr>
      <w:r>
        <w:rPr>
          <w:rFonts w:hint="eastAsia" w:cs="Times New Roman"/>
          <w:szCs w:val="24"/>
        </w:rPr>
        <w:t>的有关规定。</w:t>
      </w:r>
    </w:p>
    <w:p w14:paraId="101F6FAC">
      <w:pPr>
        <w:numPr>
          <w:ilvl w:val="255"/>
          <w:numId w:val="0"/>
        </w:numPr>
        <w:spacing w:before="0" w:beforeLines="0" w:after="0" w:afterLines="0" w:line="360" w:lineRule="auto"/>
        <w:jc w:val="center"/>
        <w:outlineLvl w:val="1"/>
        <w:rPr>
          <w:rFonts w:ascii="黑体" w:hAnsi="黑体" w:eastAsia="黑体" w:cs="黑体"/>
          <w:b/>
          <w:bCs/>
          <w:sz w:val="28"/>
          <w:szCs w:val="28"/>
        </w:rPr>
      </w:pPr>
      <w:bookmarkStart w:id="131" w:name="_Toc1342"/>
      <w:bookmarkStart w:id="132" w:name="_Toc17966"/>
      <w:bookmarkStart w:id="133" w:name="_Toc15110"/>
      <w:r>
        <w:rPr>
          <w:rFonts w:hint="default" w:ascii="Times New Roman" w:hAnsi="Times New Roman" w:eastAsia="黑体" w:cs="Times New Roman"/>
          <w:b/>
          <w:bCs/>
          <w:sz w:val="28"/>
          <w:szCs w:val="28"/>
        </w:rPr>
        <w:t>6.2</w:t>
      </w:r>
      <w:r>
        <w:rPr>
          <w:rFonts w:hint="eastAsia" w:ascii="黑体" w:hAnsi="黑体" w:eastAsia="黑体" w:cs="黑体"/>
          <w:b/>
          <w:bCs/>
          <w:sz w:val="28"/>
          <w:szCs w:val="28"/>
        </w:rPr>
        <w:t>评分项</w:t>
      </w:r>
      <w:bookmarkEnd w:id="131"/>
      <w:bookmarkEnd w:id="132"/>
      <w:bookmarkEnd w:id="133"/>
    </w:p>
    <w:p w14:paraId="433FDF39">
      <w:pPr>
        <w:pStyle w:val="28"/>
        <w:spacing w:before="0" w:beforeLines="0" w:after="0" w:afterLines="0" w:line="360" w:lineRule="auto"/>
        <w:ind w:firstLine="0" w:firstLineChars="0"/>
        <w:jc w:val="center"/>
        <w:outlineLvl w:val="2"/>
        <w:rPr>
          <w:rFonts w:hint="eastAsia" w:eastAsia="仿宋" w:cs="Times New Roman"/>
          <w:b/>
          <w:bCs/>
          <w:sz w:val="28"/>
          <w:szCs w:val="28"/>
          <w:lang w:eastAsia="zh-CN"/>
        </w:rPr>
      </w:pPr>
      <w:r>
        <w:rPr>
          <w:rFonts w:hint="eastAsia" w:cs="Times New Roman"/>
          <w:b/>
          <w:bCs/>
          <w:sz w:val="28"/>
          <w:szCs w:val="28"/>
        </w:rPr>
        <w:t>Ⅰ</w:t>
      </w:r>
      <w:r>
        <w:rPr>
          <w:rFonts w:cs="Times New Roman"/>
          <w:b/>
          <w:bCs/>
          <w:sz w:val="28"/>
          <w:szCs w:val="28"/>
        </w:rPr>
        <w:t xml:space="preserve"> </w:t>
      </w:r>
      <w:r>
        <w:rPr>
          <w:rFonts w:hint="eastAsia" w:cs="Times New Roman"/>
          <w:b/>
          <w:bCs/>
          <w:sz w:val="28"/>
          <w:szCs w:val="28"/>
        </w:rPr>
        <w:t>节能与</w:t>
      </w:r>
      <w:r>
        <w:rPr>
          <w:rFonts w:hint="eastAsia" w:ascii="仿宋" w:hAnsi="仿宋" w:eastAsia="仿宋" w:cs="仿宋"/>
          <w:b/>
          <w:bCs/>
          <w:sz w:val="28"/>
          <w:szCs w:val="28"/>
        </w:rPr>
        <w:t>能源</w:t>
      </w:r>
    </w:p>
    <w:p w14:paraId="3240B592">
      <w:pPr>
        <w:numPr>
          <w:ilvl w:val="255"/>
          <w:numId w:val="0"/>
        </w:numPr>
        <w:spacing w:line="360" w:lineRule="auto"/>
        <w:rPr>
          <w:b/>
          <w:bCs/>
          <w:sz w:val="24"/>
          <w:szCs w:val="24"/>
        </w:rPr>
      </w:pPr>
      <w:r>
        <w:rPr>
          <w:rFonts w:ascii="Times New Roman" w:eastAsia="黑体"/>
          <w:b/>
          <w:bCs/>
          <w:sz w:val="24"/>
          <w:szCs w:val="24"/>
        </w:rPr>
        <w:t>6.2.1</w:t>
      </w:r>
      <w:r>
        <w:rPr>
          <w:b/>
          <w:bCs/>
          <w:sz w:val="24"/>
          <w:szCs w:val="24"/>
        </w:rPr>
        <w:t xml:space="preserve">  </w:t>
      </w:r>
      <w:r>
        <w:rPr>
          <w:rFonts w:hint="eastAsia"/>
          <w:sz w:val="24"/>
          <w:szCs w:val="24"/>
        </w:rPr>
        <w:t>采用高效供暖空调系统的冷、热源机组，评价总分值为12分，并按下列规则评分：</w:t>
      </w:r>
    </w:p>
    <w:p w14:paraId="2517B533">
      <w:pPr>
        <w:numPr>
          <w:ilvl w:val="255"/>
          <w:numId w:val="0"/>
        </w:numPr>
        <w:spacing w:line="360" w:lineRule="auto"/>
        <w:ind w:firstLine="482" w:firstLineChars="200"/>
        <w:rPr>
          <w:b/>
          <w:bCs/>
          <w:sz w:val="24"/>
          <w:szCs w:val="24"/>
        </w:rPr>
      </w:pPr>
      <w:r>
        <w:rPr>
          <w:b/>
          <w:bCs/>
          <w:sz w:val="24"/>
          <w:szCs w:val="24"/>
        </w:rPr>
        <w:t>1</w:t>
      </w:r>
      <w:r>
        <w:rPr>
          <w:rFonts w:hint="eastAsia"/>
          <w:b/>
          <w:bCs/>
          <w:sz w:val="24"/>
          <w:szCs w:val="24"/>
        </w:rPr>
        <w:t>　</w:t>
      </w:r>
      <w:r>
        <w:rPr>
          <w:rFonts w:hint="eastAsia"/>
          <w:sz w:val="24"/>
          <w:szCs w:val="24"/>
        </w:rPr>
        <w:t>供暖空调系统的冷、热源机组能效达到设计时产品标准的3级能效等级限值，得</w:t>
      </w:r>
      <w:r>
        <w:rPr>
          <w:sz w:val="24"/>
          <w:szCs w:val="24"/>
        </w:rPr>
        <w:t>6</w:t>
      </w:r>
      <w:r>
        <w:rPr>
          <w:rFonts w:hint="eastAsia"/>
          <w:sz w:val="24"/>
          <w:szCs w:val="24"/>
        </w:rPr>
        <w:t>分；</w:t>
      </w:r>
    </w:p>
    <w:p w14:paraId="42077612">
      <w:pPr>
        <w:numPr>
          <w:ilvl w:val="255"/>
          <w:numId w:val="0"/>
        </w:numPr>
        <w:spacing w:line="360" w:lineRule="auto"/>
        <w:ind w:firstLine="482" w:firstLineChars="200"/>
        <w:rPr>
          <w:sz w:val="24"/>
          <w:szCs w:val="24"/>
        </w:rPr>
      </w:pPr>
      <w:r>
        <w:rPr>
          <w:b/>
          <w:bCs/>
          <w:sz w:val="24"/>
          <w:szCs w:val="24"/>
        </w:rPr>
        <w:t>2</w:t>
      </w:r>
      <w:r>
        <w:rPr>
          <w:rFonts w:hint="eastAsia"/>
          <w:b/>
          <w:bCs/>
          <w:sz w:val="24"/>
          <w:szCs w:val="24"/>
        </w:rPr>
        <w:t>　</w:t>
      </w:r>
      <w:r>
        <w:rPr>
          <w:rFonts w:hint="eastAsia"/>
          <w:sz w:val="24"/>
          <w:szCs w:val="24"/>
        </w:rPr>
        <w:t>供暖空调系统的冷、热源机组能效达到设计时产品标准的节能评价值，或现行产品标准</w:t>
      </w:r>
      <w:r>
        <w:rPr>
          <w:sz w:val="24"/>
          <w:szCs w:val="24"/>
        </w:rPr>
        <w:t>2</w:t>
      </w:r>
      <w:r>
        <w:rPr>
          <w:rFonts w:hint="eastAsia"/>
          <w:sz w:val="24"/>
          <w:szCs w:val="24"/>
        </w:rPr>
        <w:t>级能效等级指标值，得</w:t>
      </w:r>
      <w:r>
        <w:rPr>
          <w:sz w:val="24"/>
          <w:szCs w:val="24"/>
        </w:rPr>
        <w:t>12</w:t>
      </w:r>
      <w:r>
        <w:rPr>
          <w:rFonts w:hint="eastAsia"/>
          <w:sz w:val="24"/>
          <w:szCs w:val="24"/>
        </w:rPr>
        <w:t>分。</w:t>
      </w:r>
    </w:p>
    <w:p w14:paraId="17702FFC">
      <w:pPr>
        <w:numPr>
          <w:ilvl w:val="255"/>
          <w:numId w:val="0"/>
        </w:numPr>
        <w:spacing w:line="360" w:lineRule="auto"/>
        <w:rPr>
          <w:sz w:val="24"/>
          <w:szCs w:val="24"/>
        </w:rPr>
      </w:pPr>
      <w:r>
        <w:rPr>
          <w:rFonts w:ascii="Times New Roman" w:eastAsia="黑体"/>
          <w:b/>
          <w:bCs/>
          <w:sz w:val="24"/>
          <w:szCs w:val="24"/>
        </w:rPr>
        <w:t>6.2.2</w:t>
      </w:r>
      <w:r>
        <w:rPr>
          <w:rFonts w:hint="eastAsia"/>
          <w:sz w:val="24"/>
          <w:szCs w:val="24"/>
        </w:rPr>
        <w:t>　采取有效措施降低供暖空调系统的末端系统及输配系统的能耗，评价总分值为12分，并按下列规则分别评分并累计：</w:t>
      </w:r>
    </w:p>
    <w:p w14:paraId="4D9B1E3E">
      <w:pPr>
        <w:spacing w:line="360" w:lineRule="auto"/>
        <w:ind w:firstLine="482" w:firstLineChars="200"/>
        <w:rPr>
          <w:sz w:val="24"/>
          <w:szCs w:val="24"/>
        </w:rPr>
      </w:pPr>
      <w:r>
        <w:rPr>
          <w:rFonts w:ascii="Times New Roman" w:eastAsia="黑体"/>
          <w:b/>
          <w:bCs/>
          <w:sz w:val="24"/>
          <w:szCs w:val="24"/>
        </w:rPr>
        <w:t>1</w:t>
      </w:r>
      <w:r>
        <w:rPr>
          <w:rFonts w:hint="eastAsia"/>
          <w:sz w:val="24"/>
          <w:szCs w:val="24"/>
        </w:rPr>
        <w:t>　通风空调系统风机的单位风量耗功率符合现行国家标准《公共建筑节能设计标准》GB</w:t>
      </w:r>
      <w:r>
        <w:rPr>
          <w:sz w:val="24"/>
          <w:szCs w:val="24"/>
        </w:rPr>
        <w:t xml:space="preserve"> </w:t>
      </w:r>
      <w:r>
        <w:rPr>
          <w:rFonts w:hint="eastAsia"/>
          <w:sz w:val="24"/>
          <w:szCs w:val="24"/>
        </w:rPr>
        <w:t>50189的有关规定，得6分；</w:t>
      </w:r>
    </w:p>
    <w:p w14:paraId="4E57F4F0">
      <w:pPr>
        <w:spacing w:line="360" w:lineRule="auto"/>
        <w:ind w:firstLine="482" w:firstLineChars="200"/>
        <w:rPr>
          <w:sz w:val="24"/>
          <w:szCs w:val="24"/>
        </w:rPr>
      </w:pPr>
      <w:r>
        <w:rPr>
          <w:rFonts w:ascii="Times New Roman" w:eastAsia="黑体"/>
          <w:b/>
          <w:bCs/>
          <w:sz w:val="24"/>
          <w:szCs w:val="24"/>
        </w:rPr>
        <w:t>2</w:t>
      </w:r>
      <w:r>
        <w:rPr>
          <w:rFonts w:hint="eastAsia"/>
          <w:sz w:val="24"/>
          <w:szCs w:val="24"/>
        </w:rPr>
        <w:t>　集中供暖系统热水循环泵的耗电输热比、空调冷热水系统循环水泵的耗电输冷（热）比符合现行国家标准《民用建筑供暖通风与空气调节设计规范》GB</w:t>
      </w:r>
      <w:r>
        <w:rPr>
          <w:sz w:val="24"/>
          <w:szCs w:val="24"/>
        </w:rPr>
        <w:t xml:space="preserve"> </w:t>
      </w:r>
      <w:r>
        <w:rPr>
          <w:rFonts w:hint="eastAsia"/>
          <w:sz w:val="24"/>
          <w:szCs w:val="24"/>
        </w:rPr>
        <w:t>50736的有关规定，得6分。</w:t>
      </w:r>
    </w:p>
    <w:p w14:paraId="300CFA13">
      <w:pPr>
        <w:spacing w:line="360" w:lineRule="auto"/>
        <w:rPr>
          <w:sz w:val="24"/>
          <w:szCs w:val="24"/>
        </w:rPr>
      </w:pPr>
      <w:r>
        <w:rPr>
          <w:rFonts w:ascii="Times New Roman" w:eastAsia="黑体"/>
          <w:b/>
          <w:bCs/>
          <w:sz w:val="24"/>
          <w:szCs w:val="24"/>
        </w:rPr>
        <w:t>6.2.3</w:t>
      </w:r>
      <w:r>
        <w:rPr>
          <w:rFonts w:hint="eastAsia"/>
          <w:sz w:val="24"/>
          <w:szCs w:val="24"/>
        </w:rPr>
        <w:t>　结合当地气候和自然资源条件合理利用可再生能源，评价总分值为16分，按表</w:t>
      </w:r>
      <w:r>
        <w:rPr>
          <w:sz w:val="24"/>
          <w:szCs w:val="24"/>
        </w:rPr>
        <w:t>6.2.</w:t>
      </w:r>
      <w:r>
        <w:rPr>
          <w:rFonts w:hint="eastAsia"/>
          <w:sz w:val="24"/>
          <w:szCs w:val="24"/>
        </w:rPr>
        <w:t>3的规则评分。</w:t>
      </w:r>
    </w:p>
    <w:p w14:paraId="398F2BC0">
      <w:pPr>
        <w:spacing w:line="360" w:lineRule="auto"/>
        <w:jc w:val="center"/>
        <w:rPr>
          <w:kern w:val="0"/>
          <w:szCs w:val="20"/>
        </w:rPr>
      </w:pPr>
      <w:r>
        <w:rPr>
          <w:rFonts w:hint="eastAsia"/>
          <w:b/>
          <w:bCs/>
          <w:kern w:val="0"/>
          <w:szCs w:val="20"/>
        </w:rPr>
        <w:t>表</w:t>
      </w:r>
      <w:r>
        <w:rPr>
          <w:b/>
          <w:bCs/>
          <w:kern w:val="0"/>
          <w:szCs w:val="20"/>
        </w:rPr>
        <w:t>6.2.</w:t>
      </w:r>
      <w:r>
        <w:rPr>
          <w:rFonts w:hint="eastAsia"/>
          <w:b/>
          <w:bCs/>
          <w:kern w:val="0"/>
          <w:szCs w:val="20"/>
        </w:rPr>
        <w:t>3  可再生能源利用评分规则</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6"/>
        <w:gridCol w:w="4256"/>
      </w:tblGrid>
      <w:tr w14:paraId="5692F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7" w:type="dxa"/>
            <w:vAlign w:val="center"/>
          </w:tcPr>
          <w:p w14:paraId="23AF621D">
            <w:pPr>
              <w:ind w:firstLine="360"/>
              <w:jc w:val="center"/>
              <w:rPr>
                <w:kern w:val="0"/>
              </w:rPr>
            </w:pPr>
            <w:r>
              <w:rPr>
                <w:rFonts w:hint="eastAsia"/>
                <w:kern w:val="0"/>
              </w:rPr>
              <w:t>可再生能源利用率R</w:t>
            </w:r>
          </w:p>
        </w:tc>
        <w:tc>
          <w:tcPr>
            <w:tcW w:w="4417" w:type="dxa"/>
            <w:vAlign w:val="center"/>
          </w:tcPr>
          <w:p w14:paraId="1196E373">
            <w:pPr>
              <w:ind w:firstLine="360"/>
              <w:jc w:val="center"/>
              <w:rPr>
                <w:kern w:val="0"/>
              </w:rPr>
            </w:pPr>
            <w:r>
              <w:rPr>
                <w:rFonts w:hint="eastAsia"/>
                <w:kern w:val="0"/>
              </w:rPr>
              <w:t>得分</w:t>
            </w:r>
          </w:p>
        </w:tc>
      </w:tr>
      <w:tr w14:paraId="4960C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7" w:type="dxa"/>
            <w:vAlign w:val="center"/>
          </w:tcPr>
          <w:p w14:paraId="1DAE8401">
            <w:pPr>
              <w:ind w:firstLine="360"/>
              <w:jc w:val="center"/>
              <w:rPr>
                <w:kern w:val="0"/>
              </w:rPr>
            </w:pPr>
            <w:r>
              <w:rPr>
                <w:rFonts w:hint="eastAsia"/>
                <w:kern w:val="0"/>
              </w:rPr>
              <w:t>0.5%≤R＜5%</w:t>
            </w:r>
          </w:p>
        </w:tc>
        <w:tc>
          <w:tcPr>
            <w:tcW w:w="4417" w:type="dxa"/>
            <w:vAlign w:val="center"/>
          </w:tcPr>
          <w:p w14:paraId="6DCB43BD">
            <w:pPr>
              <w:ind w:firstLine="360"/>
              <w:jc w:val="center"/>
              <w:rPr>
                <w:kern w:val="0"/>
              </w:rPr>
            </w:pPr>
            <w:r>
              <w:rPr>
                <w:kern w:val="0"/>
              </w:rPr>
              <w:t>8</w:t>
            </w:r>
          </w:p>
        </w:tc>
      </w:tr>
      <w:tr w14:paraId="34553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7" w:type="dxa"/>
            <w:vAlign w:val="center"/>
          </w:tcPr>
          <w:p w14:paraId="5FB5E090">
            <w:pPr>
              <w:ind w:firstLine="360"/>
              <w:jc w:val="center"/>
              <w:rPr>
                <w:kern w:val="0"/>
              </w:rPr>
            </w:pPr>
            <w:r>
              <w:rPr>
                <w:rFonts w:hint="eastAsia"/>
                <w:kern w:val="0"/>
              </w:rPr>
              <w:t>5%≤R＜10%</w:t>
            </w:r>
          </w:p>
        </w:tc>
        <w:tc>
          <w:tcPr>
            <w:tcW w:w="4417" w:type="dxa"/>
            <w:vAlign w:val="center"/>
          </w:tcPr>
          <w:p w14:paraId="5CF10DC5">
            <w:pPr>
              <w:ind w:firstLine="360"/>
              <w:jc w:val="center"/>
              <w:rPr>
                <w:kern w:val="0"/>
              </w:rPr>
            </w:pPr>
            <w:r>
              <w:rPr>
                <w:kern w:val="0"/>
              </w:rPr>
              <w:t>12</w:t>
            </w:r>
          </w:p>
        </w:tc>
      </w:tr>
      <w:tr w14:paraId="53197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7" w:type="dxa"/>
            <w:vAlign w:val="center"/>
          </w:tcPr>
          <w:p w14:paraId="51C48769">
            <w:pPr>
              <w:ind w:firstLine="360"/>
              <w:jc w:val="center"/>
              <w:rPr>
                <w:kern w:val="0"/>
              </w:rPr>
            </w:pPr>
            <w:r>
              <w:rPr>
                <w:rFonts w:hint="eastAsia"/>
                <w:kern w:val="0"/>
              </w:rPr>
              <w:t>10%≤R</w:t>
            </w:r>
          </w:p>
        </w:tc>
        <w:tc>
          <w:tcPr>
            <w:tcW w:w="4417" w:type="dxa"/>
            <w:vAlign w:val="center"/>
          </w:tcPr>
          <w:p w14:paraId="3C3EED71">
            <w:pPr>
              <w:ind w:firstLine="360"/>
              <w:jc w:val="center"/>
              <w:rPr>
                <w:kern w:val="0"/>
              </w:rPr>
            </w:pPr>
            <w:r>
              <w:rPr>
                <w:kern w:val="0"/>
              </w:rPr>
              <w:t>16</w:t>
            </w:r>
          </w:p>
        </w:tc>
      </w:tr>
    </w:tbl>
    <w:p w14:paraId="79198944">
      <w:pPr>
        <w:numPr>
          <w:ilvl w:val="255"/>
          <w:numId w:val="0"/>
        </w:numPr>
        <w:spacing w:line="360" w:lineRule="auto"/>
        <w:rPr>
          <w:sz w:val="24"/>
          <w:szCs w:val="24"/>
        </w:rPr>
      </w:pPr>
      <w:r>
        <w:rPr>
          <w:rFonts w:ascii="Times New Roman" w:eastAsia="黑体"/>
          <w:b/>
          <w:bCs/>
          <w:sz w:val="24"/>
          <w:szCs w:val="24"/>
        </w:rPr>
        <w:t>6.2.4</w:t>
      </w:r>
      <w:r>
        <w:rPr>
          <w:rFonts w:hint="eastAsia"/>
          <w:sz w:val="24"/>
          <w:szCs w:val="24"/>
        </w:rPr>
        <w:t>　采取措施降低建筑供暖空调系统和照明系统的能耗，评价总分值为</w:t>
      </w:r>
      <w:r>
        <w:rPr>
          <w:sz w:val="24"/>
          <w:szCs w:val="24"/>
        </w:rPr>
        <w:t>20</w:t>
      </w:r>
      <w:r>
        <w:rPr>
          <w:rFonts w:hint="eastAsia"/>
          <w:sz w:val="24"/>
          <w:szCs w:val="24"/>
        </w:rPr>
        <w:t>分。按现行行业标准《民用建筑绿色性能计算标准》JGJ/T</w:t>
      </w:r>
      <w:r>
        <w:rPr>
          <w:sz w:val="24"/>
          <w:szCs w:val="24"/>
        </w:rPr>
        <w:t xml:space="preserve"> </w:t>
      </w:r>
      <w:r>
        <w:rPr>
          <w:rFonts w:hint="eastAsia"/>
          <w:sz w:val="24"/>
          <w:szCs w:val="24"/>
        </w:rPr>
        <w:t>449的要求，计算的建筑供暖空调和照明系统能耗相比参照建筑的降低幅度达到10%，得</w:t>
      </w:r>
      <w:r>
        <w:rPr>
          <w:sz w:val="24"/>
          <w:szCs w:val="24"/>
        </w:rPr>
        <w:t>10</w:t>
      </w:r>
      <w:r>
        <w:rPr>
          <w:rFonts w:hint="eastAsia"/>
          <w:sz w:val="24"/>
          <w:szCs w:val="24"/>
        </w:rPr>
        <w:t>分；每增加1</w:t>
      </w:r>
      <w:r>
        <w:rPr>
          <w:sz w:val="24"/>
          <w:szCs w:val="24"/>
        </w:rPr>
        <w:t>%</w:t>
      </w:r>
      <w:r>
        <w:rPr>
          <w:rFonts w:hint="eastAsia"/>
          <w:sz w:val="24"/>
          <w:szCs w:val="24"/>
        </w:rPr>
        <w:t>得</w:t>
      </w:r>
      <w:r>
        <w:rPr>
          <w:sz w:val="24"/>
          <w:szCs w:val="24"/>
        </w:rPr>
        <w:t>2</w:t>
      </w:r>
      <w:r>
        <w:rPr>
          <w:rFonts w:hint="eastAsia"/>
          <w:sz w:val="24"/>
          <w:szCs w:val="24"/>
        </w:rPr>
        <w:t>分，最高2</w:t>
      </w:r>
      <w:r>
        <w:rPr>
          <w:sz w:val="24"/>
          <w:szCs w:val="24"/>
        </w:rPr>
        <w:t>0</w:t>
      </w:r>
      <w:r>
        <w:rPr>
          <w:rFonts w:hint="eastAsia"/>
          <w:sz w:val="24"/>
          <w:szCs w:val="24"/>
        </w:rPr>
        <w:t>分。</w:t>
      </w:r>
    </w:p>
    <w:p w14:paraId="0EF5C0CF">
      <w:pPr>
        <w:spacing w:line="360" w:lineRule="auto"/>
        <w:rPr>
          <w:sz w:val="24"/>
          <w:szCs w:val="24"/>
        </w:rPr>
      </w:pPr>
      <w:r>
        <w:rPr>
          <w:rFonts w:hint="default" w:ascii="Times New Roman" w:eastAsia="黑体"/>
          <w:b/>
          <w:bCs/>
          <w:sz w:val="24"/>
          <w:szCs w:val="24"/>
        </w:rPr>
        <w:t>6.2.5</w:t>
      </w:r>
      <w:r>
        <w:rPr>
          <w:rFonts w:hint="eastAsia"/>
          <w:sz w:val="24"/>
          <w:szCs w:val="24"/>
        </w:rPr>
        <w:t>　既有工业建筑暖通空调系统的末端装置现场可独立调节，评价总分值为</w:t>
      </w:r>
      <w:r>
        <w:rPr>
          <w:sz w:val="24"/>
          <w:szCs w:val="24"/>
        </w:rPr>
        <w:t>10</w:t>
      </w:r>
      <w:r>
        <w:rPr>
          <w:rFonts w:hint="eastAsia"/>
          <w:sz w:val="24"/>
          <w:szCs w:val="24"/>
        </w:rPr>
        <w:t>分。可独立调节的主要功能房间面积比例达到70%，得</w:t>
      </w:r>
      <w:r>
        <w:rPr>
          <w:sz w:val="24"/>
          <w:szCs w:val="24"/>
        </w:rPr>
        <w:t>6</w:t>
      </w:r>
      <w:r>
        <w:rPr>
          <w:rFonts w:hint="eastAsia"/>
          <w:sz w:val="24"/>
          <w:szCs w:val="24"/>
        </w:rPr>
        <w:t>分；达到90%，得</w:t>
      </w:r>
      <w:r>
        <w:rPr>
          <w:sz w:val="24"/>
          <w:szCs w:val="24"/>
        </w:rPr>
        <w:t>10</w:t>
      </w:r>
      <w:r>
        <w:rPr>
          <w:rFonts w:hint="eastAsia"/>
          <w:sz w:val="24"/>
          <w:szCs w:val="24"/>
        </w:rPr>
        <w:t>分。</w:t>
      </w:r>
    </w:p>
    <w:p w14:paraId="01A48798">
      <w:pPr>
        <w:spacing w:before="0" w:beforeLines="0" w:after="0" w:afterLines="0" w:line="360" w:lineRule="auto"/>
        <w:jc w:val="center"/>
        <w:outlineLvl w:val="2"/>
        <w:rPr>
          <w:rFonts w:hint="eastAsia" w:eastAsia="仿宋"/>
          <w:b/>
          <w:bCs/>
          <w:lang w:eastAsia="zh-CN"/>
        </w:rPr>
      </w:pPr>
      <w:r>
        <w:rPr>
          <w:b/>
          <w:bCs/>
          <w:sz w:val="28"/>
          <w:szCs w:val="28"/>
        </w:rPr>
        <w:fldChar w:fldCharType="begin"/>
      </w:r>
      <w:r>
        <w:rPr>
          <w:b/>
          <w:bCs/>
          <w:sz w:val="28"/>
          <w:szCs w:val="28"/>
        </w:rPr>
        <w:instrText xml:space="preserve"> = 3 \* ROMAN </w:instrText>
      </w:r>
      <w:r>
        <w:rPr>
          <w:b/>
          <w:bCs/>
          <w:sz w:val="28"/>
          <w:szCs w:val="28"/>
        </w:rPr>
        <w:fldChar w:fldCharType="separate"/>
      </w:r>
      <w:r>
        <w:rPr>
          <w:b/>
          <w:bCs/>
          <w:sz w:val="28"/>
          <w:szCs w:val="28"/>
        </w:rPr>
        <w:t>II</w:t>
      </w:r>
      <w:r>
        <w:rPr>
          <w:b/>
          <w:bCs/>
          <w:sz w:val="28"/>
          <w:szCs w:val="28"/>
        </w:rPr>
        <w:fldChar w:fldCharType="end"/>
      </w:r>
      <w:r>
        <w:rPr>
          <w:b/>
          <w:bCs/>
          <w:sz w:val="28"/>
          <w:szCs w:val="28"/>
        </w:rPr>
        <w:t xml:space="preserve"> </w:t>
      </w:r>
      <w:r>
        <w:rPr>
          <w:rFonts w:hint="eastAsia" w:ascii="仿宋" w:hAnsi="仿宋" w:eastAsia="仿宋" w:cs="仿宋"/>
          <w:b/>
          <w:bCs/>
          <w:sz w:val="28"/>
          <w:szCs w:val="28"/>
        </w:rPr>
        <w:t>节水与水资源</w:t>
      </w:r>
    </w:p>
    <w:p w14:paraId="06E825D0">
      <w:pPr>
        <w:numPr>
          <w:ilvl w:val="255"/>
          <w:numId w:val="0"/>
        </w:numPr>
        <w:spacing w:line="360" w:lineRule="auto"/>
        <w:rPr>
          <w:sz w:val="24"/>
          <w:szCs w:val="24"/>
        </w:rPr>
      </w:pPr>
      <w:r>
        <w:rPr>
          <w:rFonts w:ascii="Times New Roman" w:eastAsia="黑体"/>
          <w:b/>
          <w:bCs/>
          <w:sz w:val="24"/>
          <w:szCs w:val="24"/>
        </w:rPr>
        <w:t>6.2.</w:t>
      </w:r>
      <w:r>
        <w:rPr>
          <w:rFonts w:hint="default" w:ascii="Times New Roman" w:eastAsia="黑体"/>
          <w:b/>
          <w:bCs/>
          <w:sz w:val="24"/>
          <w:szCs w:val="24"/>
        </w:rPr>
        <w:t>6</w:t>
      </w:r>
      <w:r>
        <w:rPr>
          <w:rFonts w:hint="eastAsia"/>
          <w:sz w:val="24"/>
          <w:szCs w:val="24"/>
        </w:rPr>
        <w:t>　合理选用卫生器具，评价总分值为1</w:t>
      </w:r>
      <w:r>
        <w:rPr>
          <w:sz w:val="24"/>
          <w:szCs w:val="24"/>
        </w:rPr>
        <w:t>5</w:t>
      </w:r>
      <w:r>
        <w:rPr>
          <w:rFonts w:hint="eastAsia"/>
          <w:sz w:val="24"/>
          <w:szCs w:val="24"/>
        </w:rPr>
        <w:t>分，并按下列规则分别评分并累计：</w:t>
      </w:r>
    </w:p>
    <w:p w14:paraId="3CBA1B7D">
      <w:pPr>
        <w:spacing w:line="360" w:lineRule="auto"/>
        <w:ind w:firstLine="482" w:firstLineChars="200"/>
        <w:rPr>
          <w:sz w:val="24"/>
          <w:szCs w:val="24"/>
        </w:rPr>
      </w:pPr>
      <w:r>
        <w:rPr>
          <w:rFonts w:ascii="Times New Roman" w:eastAsia="黑体"/>
          <w:b/>
          <w:bCs/>
          <w:sz w:val="24"/>
          <w:szCs w:val="24"/>
        </w:rPr>
        <w:t>1</w:t>
      </w:r>
      <w:r>
        <w:rPr>
          <w:rFonts w:hint="eastAsia"/>
          <w:sz w:val="24"/>
          <w:szCs w:val="24"/>
        </w:rPr>
        <w:t>　用水效率等级达到2级的卫生器具数量比例达到50%，得6分；达到100%，得10分；</w:t>
      </w:r>
    </w:p>
    <w:p w14:paraId="6587354E">
      <w:pPr>
        <w:spacing w:line="360" w:lineRule="auto"/>
        <w:ind w:firstLine="482" w:firstLineChars="200"/>
        <w:rPr>
          <w:sz w:val="24"/>
          <w:szCs w:val="24"/>
        </w:rPr>
      </w:pPr>
      <w:r>
        <w:rPr>
          <w:rFonts w:ascii="Times New Roman" w:eastAsia="黑体"/>
          <w:b/>
          <w:bCs/>
          <w:sz w:val="24"/>
          <w:szCs w:val="24"/>
        </w:rPr>
        <w:t>2</w:t>
      </w:r>
      <w:r>
        <w:rPr>
          <w:rFonts w:hint="eastAsia"/>
          <w:sz w:val="24"/>
          <w:szCs w:val="24"/>
        </w:rPr>
        <w:t>　公共场所的洗手盆水嘴采用非接触式或延时自闭式水嘴，得</w:t>
      </w:r>
      <w:r>
        <w:rPr>
          <w:sz w:val="24"/>
          <w:szCs w:val="24"/>
        </w:rPr>
        <w:t>5</w:t>
      </w:r>
      <w:r>
        <w:rPr>
          <w:rFonts w:hint="eastAsia"/>
          <w:sz w:val="24"/>
          <w:szCs w:val="24"/>
        </w:rPr>
        <w:t>分。</w:t>
      </w:r>
    </w:p>
    <w:p w14:paraId="3873AFCD">
      <w:pPr>
        <w:numPr>
          <w:ilvl w:val="255"/>
          <w:numId w:val="0"/>
        </w:numPr>
        <w:spacing w:line="360" w:lineRule="auto"/>
        <w:rPr>
          <w:sz w:val="24"/>
          <w:szCs w:val="24"/>
        </w:rPr>
      </w:pPr>
      <w:r>
        <w:rPr>
          <w:rFonts w:ascii="Times New Roman" w:eastAsia="黑体"/>
          <w:b/>
          <w:bCs/>
          <w:sz w:val="24"/>
          <w:szCs w:val="24"/>
        </w:rPr>
        <w:t>6.2.</w:t>
      </w:r>
      <w:r>
        <w:rPr>
          <w:rFonts w:hint="default" w:ascii="Times New Roman" w:eastAsia="黑体"/>
          <w:b/>
          <w:bCs/>
          <w:sz w:val="24"/>
          <w:szCs w:val="24"/>
        </w:rPr>
        <w:t>7</w:t>
      </w:r>
      <w:r>
        <w:rPr>
          <w:rFonts w:hint="eastAsia"/>
          <w:sz w:val="24"/>
          <w:szCs w:val="24"/>
        </w:rPr>
        <w:t>　空调冷却水系统采用节水设备或技术，评价分值为</w:t>
      </w:r>
      <w:r>
        <w:rPr>
          <w:sz w:val="24"/>
          <w:szCs w:val="24"/>
        </w:rPr>
        <w:t>10</w:t>
      </w:r>
      <w:r>
        <w:rPr>
          <w:rFonts w:hint="eastAsia"/>
          <w:sz w:val="24"/>
          <w:szCs w:val="24"/>
        </w:rPr>
        <w:t>分。</w:t>
      </w:r>
    </w:p>
    <w:p w14:paraId="3EEBE5F1">
      <w:pPr>
        <w:numPr>
          <w:ilvl w:val="255"/>
          <w:numId w:val="0"/>
        </w:numPr>
        <w:spacing w:line="360" w:lineRule="auto"/>
        <w:rPr>
          <w:sz w:val="24"/>
          <w:szCs w:val="24"/>
        </w:rPr>
      </w:pPr>
      <w:r>
        <w:rPr>
          <w:rFonts w:ascii="Times New Roman" w:eastAsia="黑体"/>
          <w:b/>
          <w:bCs/>
          <w:sz w:val="24"/>
          <w:szCs w:val="24"/>
        </w:rPr>
        <w:t>6.2.8</w:t>
      </w:r>
      <w:r>
        <w:rPr>
          <w:rFonts w:hint="eastAsia"/>
          <w:sz w:val="24"/>
          <w:szCs w:val="24"/>
        </w:rPr>
        <w:t>　合理使用非传统水源，评价总分值为</w:t>
      </w:r>
      <w:r>
        <w:rPr>
          <w:sz w:val="24"/>
          <w:szCs w:val="24"/>
        </w:rPr>
        <w:t>10</w:t>
      </w:r>
      <w:r>
        <w:rPr>
          <w:rFonts w:hint="eastAsia"/>
          <w:sz w:val="24"/>
          <w:szCs w:val="24"/>
        </w:rPr>
        <w:t>分，并按下列规则分别评分并累计：</w:t>
      </w:r>
    </w:p>
    <w:p w14:paraId="6A80F4E9">
      <w:pPr>
        <w:spacing w:line="360" w:lineRule="auto"/>
        <w:ind w:firstLine="482" w:firstLineChars="200"/>
        <w:rPr>
          <w:sz w:val="24"/>
          <w:szCs w:val="24"/>
        </w:rPr>
      </w:pPr>
      <w:r>
        <w:rPr>
          <w:rFonts w:ascii="Times New Roman" w:eastAsia="黑体"/>
          <w:b/>
          <w:bCs/>
          <w:sz w:val="24"/>
          <w:szCs w:val="24"/>
        </w:rPr>
        <w:t>1</w:t>
      </w:r>
      <w:r>
        <w:rPr>
          <w:rFonts w:hint="eastAsia"/>
          <w:sz w:val="24"/>
          <w:szCs w:val="24"/>
        </w:rPr>
        <w:t>　冲厕、冷却水补水等采用非传统水源的用水量占其总用水量的比例不低于10%，得</w:t>
      </w:r>
      <w:r>
        <w:rPr>
          <w:sz w:val="24"/>
          <w:szCs w:val="24"/>
        </w:rPr>
        <w:t>5</w:t>
      </w:r>
      <w:r>
        <w:rPr>
          <w:rFonts w:hint="eastAsia"/>
          <w:sz w:val="24"/>
          <w:szCs w:val="24"/>
        </w:rPr>
        <w:t>分；</w:t>
      </w:r>
    </w:p>
    <w:p w14:paraId="3CAC654E">
      <w:pPr>
        <w:spacing w:line="360" w:lineRule="auto"/>
        <w:ind w:firstLine="482" w:firstLineChars="200"/>
        <w:rPr>
          <w:sz w:val="24"/>
          <w:szCs w:val="24"/>
        </w:rPr>
      </w:pPr>
      <w:r>
        <w:rPr>
          <w:rFonts w:ascii="Times New Roman" w:eastAsia="黑体"/>
          <w:b/>
          <w:bCs/>
          <w:sz w:val="24"/>
          <w:szCs w:val="24"/>
        </w:rPr>
        <w:t>2</w:t>
      </w:r>
      <w:r>
        <w:rPr>
          <w:rFonts w:hint="eastAsia"/>
          <w:sz w:val="24"/>
          <w:szCs w:val="24"/>
        </w:rPr>
        <w:t>　储水设施的清洗废水合理利用，得</w:t>
      </w:r>
      <w:r>
        <w:rPr>
          <w:sz w:val="24"/>
          <w:szCs w:val="24"/>
        </w:rPr>
        <w:t>5</w:t>
      </w:r>
      <w:r>
        <w:rPr>
          <w:rFonts w:hint="eastAsia"/>
          <w:sz w:val="24"/>
          <w:szCs w:val="24"/>
        </w:rPr>
        <w:t>分。</w:t>
      </w:r>
    </w:p>
    <w:p w14:paraId="0666F95A">
      <w:pPr>
        <w:spacing w:before="0" w:beforeLines="0" w:after="0" w:afterLines="0" w:line="360" w:lineRule="auto"/>
        <w:jc w:val="center"/>
        <w:outlineLvl w:val="2"/>
        <w:rPr>
          <w:rFonts w:hint="eastAsia" w:ascii="仿宋" w:hAnsi="仿宋" w:eastAsia="仿宋" w:cs="仿宋"/>
          <w:b/>
          <w:bCs/>
          <w:sz w:val="28"/>
          <w:szCs w:val="28"/>
          <w:lang w:eastAsia="zh-CN"/>
        </w:rPr>
      </w:pPr>
      <w:r>
        <w:rPr>
          <w:rFonts w:hint="eastAsia"/>
          <w:b/>
          <w:bCs/>
          <w:sz w:val="28"/>
          <w:szCs w:val="28"/>
        </w:rPr>
        <w:t xml:space="preserve">Ⅲ </w:t>
      </w:r>
      <w:r>
        <w:rPr>
          <w:rFonts w:hint="eastAsia" w:ascii="仿宋" w:hAnsi="仿宋" w:eastAsia="仿宋" w:cs="仿宋"/>
          <w:b/>
          <w:bCs/>
          <w:sz w:val="28"/>
          <w:szCs w:val="28"/>
        </w:rPr>
        <w:t>电气与智能化</w:t>
      </w:r>
    </w:p>
    <w:p w14:paraId="5E4E6912">
      <w:pPr>
        <w:numPr>
          <w:ilvl w:val="255"/>
          <w:numId w:val="0"/>
        </w:numPr>
        <w:spacing w:line="360" w:lineRule="auto"/>
        <w:rPr>
          <w:sz w:val="24"/>
          <w:szCs w:val="24"/>
        </w:rPr>
      </w:pPr>
      <w:r>
        <w:rPr>
          <w:rFonts w:ascii="Times New Roman" w:eastAsia="黑体"/>
          <w:b/>
          <w:bCs/>
          <w:sz w:val="24"/>
          <w:szCs w:val="24"/>
        </w:rPr>
        <w:t>6.2.9</w:t>
      </w:r>
      <w:r>
        <w:rPr>
          <w:rFonts w:hint="eastAsia"/>
          <w:sz w:val="24"/>
          <w:szCs w:val="24"/>
        </w:rPr>
        <w:t>　结合改造后室内天然采光效果，合理设计建筑照明系统，评价总分值为</w:t>
      </w:r>
      <w:r>
        <w:rPr>
          <w:sz w:val="24"/>
          <w:szCs w:val="24"/>
        </w:rPr>
        <w:t>20</w:t>
      </w:r>
      <w:r>
        <w:rPr>
          <w:rFonts w:hint="eastAsia"/>
          <w:sz w:val="24"/>
          <w:szCs w:val="24"/>
        </w:rPr>
        <w:t>分，并按下列规则分别评分并累计：</w:t>
      </w:r>
    </w:p>
    <w:p w14:paraId="7B35B782">
      <w:pPr>
        <w:spacing w:line="360" w:lineRule="auto"/>
        <w:ind w:firstLine="482" w:firstLineChars="200"/>
        <w:rPr>
          <w:sz w:val="24"/>
          <w:szCs w:val="24"/>
        </w:rPr>
      </w:pPr>
      <w:r>
        <w:rPr>
          <w:rFonts w:ascii="Times New Roman" w:eastAsia="黑体"/>
          <w:b/>
          <w:bCs/>
          <w:sz w:val="24"/>
          <w:szCs w:val="24"/>
        </w:rPr>
        <w:t>1</w:t>
      </w:r>
      <w:r>
        <w:rPr>
          <w:rFonts w:hint="eastAsia"/>
          <w:sz w:val="24"/>
          <w:szCs w:val="24"/>
        </w:rPr>
        <w:t>　照明灯具位置及配电结合原保留工业建筑的天窗排列方向布置室内照明灯具，并采取同一分支回路配电，得</w:t>
      </w:r>
      <w:r>
        <w:rPr>
          <w:sz w:val="24"/>
          <w:szCs w:val="24"/>
        </w:rPr>
        <w:t>10</w:t>
      </w:r>
      <w:r>
        <w:rPr>
          <w:rFonts w:hint="eastAsia"/>
          <w:sz w:val="24"/>
          <w:szCs w:val="24"/>
        </w:rPr>
        <w:t>分；</w:t>
      </w:r>
    </w:p>
    <w:p w14:paraId="37FA5C52">
      <w:pPr>
        <w:spacing w:line="360" w:lineRule="auto"/>
        <w:ind w:firstLine="482" w:firstLineChars="200"/>
        <w:rPr>
          <w:sz w:val="24"/>
          <w:szCs w:val="24"/>
        </w:rPr>
      </w:pPr>
      <w:r>
        <w:rPr>
          <w:rFonts w:ascii="Times New Roman" w:eastAsia="黑体"/>
          <w:b/>
          <w:bCs/>
          <w:sz w:val="24"/>
          <w:szCs w:val="24"/>
        </w:rPr>
        <w:t>2</w:t>
      </w:r>
      <w:r>
        <w:rPr>
          <w:rFonts w:hint="eastAsia"/>
          <w:sz w:val="24"/>
          <w:szCs w:val="24"/>
        </w:rPr>
        <w:t>　临窗的灯具控制与不临窗空间的灯具区分，得</w:t>
      </w:r>
      <w:r>
        <w:rPr>
          <w:sz w:val="24"/>
          <w:szCs w:val="24"/>
        </w:rPr>
        <w:t>10</w:t>
      </w:r>
      <w:r>
        <w:rPr>
          <w:rFonts w:hint="eastAsia"/>
          <w:sz w:val="24"/>
          <w:szCs w:val="24"/>
        </w:rPr>
        <w:t>分；</w:t>
      </w:r>
    </w:p>
    <w:p w14:paraId="6F394282">
      <w:pPr>
        <w:numPr>
          <w:ilvl w:val="255"/>
          <w:numId w:val="0"/>
        </w:numPr>
        <w:spacing w:line="360" w:lineRule="auto"/>
        <w:rPr>
          <w:sz w:val="24"/>
          <w:szCs w:val="24"/>
        </w:rPr>
      </w:pPr>
      <w:r>
        <w:rPr>
          <w:rFonts w:ascii="Times New Roman" w:eastAsia="黑体"/>
          <w:b/>
          <w:bCs/>
          <w:sz w:val="24"/>
          <w:szCs w:val="24"/>
        </w:rPr>
        <w:t>6.2.10</w:t>
      </w:r>
      <w:r>
        <w:rPr>
          <w:rFonts w:hint="eastAsia"/>
          <w:sz w:val="24"/>
          <w:szCs w:val="24"/>
        </w:rPr>
        <w:t>　采用节能型照明灯具及节能控制措施，评价总分值为</w:t>
      </w:r>
      <w:r>
        <w:rPr>
          <w:sz w:val="24"/>
          <w:szCs w:val="24"/>
        </w:rPr>
        <w:t>25</w:t>
      </w:r>
      <w:r>
        <w:rPr>
          <w:rFonts w:hint="eastAsia"/>
          <w:sz w:val="24"/>
          <w:szCs w:val="24"/>
        </w:rPr>
        <w:t>分，并按下列规则分别评分并累计：</w:t>
      </w:r>
    </w:p>
    <w:p w14:paraId="6C6F9FA9">
      <w:pPr>
        <w:spacing w:line="360" w:lineRule="auto"/>
        <w:ind w:firstLine="482" w:firstLineChars="200"/>
        <w:rPr>
          <w:sz w:val="24"/>
          <w:szCs w:val="24"/>
        </w:rPr>
      </w:pPr>
      <w:r>
        <w:rPr>
          <w:rFonts w:ascii="Times New Roman" w:eastAsia="黑体"/>
          <w:b/>
          <w:bCs/>
          <w:sz w:val="24"/>
          <w:szCs w:val="24"/>
        </w:rPr>
        <w:t>1</w:t>
      </w:r>
      <w:r>
        <w:rPr>
          <w:rFonts w:hint="eastAsia"/>
          <w:sz w:val="24"/>
          <w:szCs w:val="24"/>
        </w:rPr>
        <w:t>　主要功能房间的照明功率密度值达到现行国家标准《建筑照明设计标准》GB</w:t>
      </w:r>
      <w:r>
        <w:rPr>
          <w:sz w:val="24"/>
          <w:szCs w:val="24"/>
        </w:rPr>
        <w:t xml:space="preserve">/T </w:t>
      </w:r>
      <w:r>
        <w:rPr>
          <w:rFonts w:hint="eastAsia"/>
          <w:sz w:val="24"/>
          <w:szCs w:val="24"/>
        </w:rPr>
        <w:t>50034规定的目标值，得</w:t>
      </w:r>
      <w:r>
        <w:rPr>
          <w:sz w:val="24"/>
          <w:szCs w:val="24"/>
        </w:rPr>
        <w:t>5</w:t>
      </w:r>
      <w:r>
        <w:rPr>
          <w:rFonts w:hint="eastAsia"/>
          <w:sz w:val="24"/>
          <w:szCs w:val="24"/>
        </w:rPr>
        <w:t>分；</w:t>
      </w:r>
    </w:p>
    <w:p w14:paraId="4DBDAF4F">
      <w:pPr>
        <w:spacing w:line="360" w:lineRule="auto"/>
        <w:ind w:firstLine="482" w:firstLineChars="200"/>
        <w:rPr>
          <w:sz w:val="24"/>
          <w:szCs w:val="24"/>
        </w:rPr>
      </w:pPr>
      <w:r>
        <w:rPr>
          <w:rFonts w:ascii="Times New Roman" w:eastAsia="黑体"/>
          <w:b/>
          <w:bCs/>
          <w:sz w:val="24"/>
          <w:szCs w:val="24"/>
        </w:rPr>
        <w:t>2</w:t>
      </w:r>
      <w:r>
        <w:rPr>
          <w:rFonts w:hint="eastAsia"/>
          <w:sz w:val="24"/>
          <w:szCs w:val="24"/>
        </w:rPr>
        <w:t>　照明产品、三相配电变压器、水泵、风机等主要设备的能效等级达到国家现行有关能效标准规定的2级及以上要求，每1类设备得</w:t>
      </w:r>
      <w:r>
        <w:rPr>
          <w:sz w:val="24"/>
          <w:szCs w:val="24"/>
        </w:rPr>
        <w:t>3</w:t>
      </w:r>
      <w:r>
        <w:rPr>
          <w:rFonts w:hint="eastAsia"/>
          <w:sz w:val="24"/>
          <w:szCs w:val="24"/>
        </w:rPr>
        <w:t>分，最多得</w:t>
      </w:r>
      <w:r>
        <w:rPr>
          <w:sz w:val="24"/>
          <w:szCs w:val="24"/>
        </w:rPr>
        <w:t>10</w:t>
      </w:r>
      <w:r>
        <w:rPr>
          <w:rFonts w:hint="eastAsia"/>
          <w:sz w:val="24"/>
          <w:szCs w:val="24"/>
        </w:rPr>
        <w:t>分；</w:t>
      </w:r>
    </w:p>
    <w:p w14:paraId="3E32F35C">
      <w:pPr>
        <w:spacing w:line="360" w:lineRule="auto"/>
        <w:ind w:firstLine="482" w:firstLineChars="200"/>
        <w:rPr>
          <w:sz w:val="24"/>
          <w:szCs w:val="24"/>
        </w:rPr>
      </w:pPr>
      <w:r>
        <w:rPr>
          <w:rFonts w:ascii="Times New Roman" w:eastAsia="黑体"/>
          <w:b/>
          <w:bCs/>
          <w:sz w:val="24"/>
          <w:szCs w:val="24"/>
        </w:rPr>
        <w:t>3</w:t>
      </w:r>
      <w:r>
        <w:rPr>
          <w:rFonts w:hint="eastAsia"/>
          <w:sz w:val="24"/>
          <w:szCs w:val="24"/>
        </w:rPr>
        <w:t>　公共区域照明采用分区和分组控制，得</w:t>
      </w:r>
      <w:r>
        <w:rPr>
          <w:sz w:val="24"/>
          <w:szCs w:val="24"/>
        </w:rPr>
        <w:t>5</w:t>
      </w:r>
      <w:r>
        <w:rPr>
          <w:rFonts w:hint="eastAsia"/>
          <w:sz w:val="24"/>
          <w:szCs w:val="24"/>
        </w:rPr>
        <w:t>分；</w:t>
      </w:r>
    </w:p>
    <w:p w14:paraId="66B5B383">
      <w:pPr>
        <w:spacing w:line="360" w:lineRule="auto"/>
        <w:ind w:firstLine="482" w:firstLineChars="200"/>
        <w:rPr>
          <w:sz w:val="24"/>
          <w:szCs w:val="24"/>
        </w:rPr>
      </w:pPr>
      <w:r>
        <w:rPr>
          <w:rFonts w:ascii="Times New Roman" w:eastAsia="黑体"/>
          <w:b/>
          <w:bCs/>
          <w:sz w:val="24"/>
          <w:szCs w:val="24"/>
        </w:rPr>
        <w:t>4</w:t>
      </w:r>
      <w:r>
        <w:rPr>
          <w:rFonts w:hint="eastAsia"/>
          <w:sz w:val="24"/>
          <w:szCs w:val="24"/>
        </w:rPr>
        <w:t>　采用自动降低照度控制措施，得</w:t>
      </w:r>
      <w:r>
        <w:rPr>
          <w:sz w:val="24"/>
          <w:szCs w:val="24"/>
        </w:rPr>
        <w:t>5</w:t>
      </w:r>
      <w:r>
        <w:rPr>
          <w:rFonts w:hint="eastAsia"/>
          <w:sz w:val="24"/>
          <w:szCs w:val="24"/>
        </w:rPr>
        <w:t>分。</w:t>
      </w:r>
    </w:p>
    <w:p w14:paraId="45E70DA4">
      <w:pPr>
        <w:numPr>
          <w:ilvl w:val="255"/>
          <w:numId w:val="0"/>
        </w:numPr>
        <w:spacing w:line="360" w:lineRule="auto"/>
        <w:rPr>
          <w:sz w:val="24"/>
          <w:szCs w:val="24"/>
        </w:rPr>
      </w:pPr>
      <w:r>
        <w:rPr>
          <w:rFonts w:ascii="Times New Roman" w:eastAsia="黑体"/>
          <w:b/>
          <w:bCs/>
          <w:sz w:val="24"/>
          <w:szCs w:val="24"/>
        </w:rPr>
        <w:t>6.2.11</w:t>
      </w:r>
      <w:r>
        <w:rPr>
          <w:rFonts w:hint="eastAsia"/>
          <w:sz w:val="24"/>
          <w:szCs w:val="24"/>
        </w:rPr>
        <w:t>　电气设备能效和电能质量评价，总分值</w:t>
      </w:r>
      <w:r>
        <w:rPr>
          <w:sz w:val="24"/>
          <w:szCs w:val="24"/>
        </w:rPr>
        <w:t>20</w:t>
      </w:r>
      <w:r>
        <w:rPr>
          <w:rFonts w:hint="eastAsia"/>
          <w:sz w:val="24"/>
          <w:szCs w:val="24"/>
        </w:rPr>
        <w:t>分，满足下列要求中的3项，得</w:t>
      </w:r>
      <w:r>
        <w:rPr>
          <w:sz w:val="24"/>
          <w:szCs w:val="24"/>
        </w:rPr>
        <w:t>12</w:t>
      </w:r>
      <w:r>
        <w:rPr>
          <w:rFonts w:hint="eastAsia"/>
          <w:sz w:val="24"/>
          <w:szCs w:val="24"/>
        </w:rPr>
        <w:t>分，满足5项以上，得</w:t>
      </w:r>
      <w:r>
        <w:rPr>
          <w:sz w:val="24"/>
          <w:szCs w:val="24"/>
        </w:rPr>
        <w:t>20</w:t>
      </w:r>
      <w:r>
        <w:rPr>
          <w:rFonts w:hint="eastAsia"/>
          <w:sz w:val="24"/>
          <w:szCs w:val="24"/>
        </w:rPr>
        <w:t>分。</w:t>
      </w:r>
    </w:p>
    <w:p w14:paraId="7F9A5F0F">
      <w:pPr>
        <w:spacing w:line="360" w:lineRule="auto"/>
        <w:ind w:firstLine="482" w:firstLineChars="200"/>
        <w:rPr>
          <w:sz w:val="24"/>
          <w:szCs w:val="24"/>
        </w:rPr>
      </w:pPr>
      <w:r>
        <w:rPr>
          <w:rFonts w:ascii="Times New Roman" w:eastAsia="黑体"/>
          <w:b/>
          <w:bCs/>
          <w:sz w:val="24"/>
          <w:szCs w:val="24"/>
        </w:rPr>
        <w:t>1</w:t>
      </w:r>
      <w:r>
        <w:rPr>
          <w:rFonts w:hint="eastAsia"/>
          <w:sz w:val="24"/>
          <w:szCs w:val="24"/>
        </w:rPr>
        <w:t>　暖通设备能效符合相关产品节能评价要求且循环泵电动机能效达到现行国家标准《中小型三相异步电动机能效限定值及能效等级》GB</w:t>
      </w:r>
      <w:r>
        <w:rPr>
          <w:rFonts w:hint="eastAsia"/>
          <w:sz w:val="24"/>
          <w:szCs w:val="24"/>
          <w:lang w:val="en-US" w:eastAsia="zh-CN"/>
        </w:rPr>
        <w:t xml:space="preserve"> </w:t>
      </w:r>
      <w:r>
        <w:rPr>
          <w:rFonts w:hint="eastAsia"/>
          <w:sz w:val="24"/>
          <w:szCs w:val="24"/>
        </w:rPr>
        <w:t>18613规定的能效2级；</w:t>
      </w:r>
    </w:p>
    <w:p w14:paraId="50D841BA">
      <w:pPr>
        <w:spacing w:line="360" w:lineRule="auto"/>
        <w:ind w:firstLine="482" w:firstLineChars="200"/>
        <w:rPr>
          <w:sz w:val="24"/>
          <w:szCs w:val="24"/>
        </w:rPr>
      </w:pPr>
      <w:r>
        <w:rPr>
          <w:rFonts w:ascii="Times New Roman" w:eastAsia="黑体"/>
          <w:b/>
          <w:bCs/>
          <w:sz w:val="24"/>
          <w:szCs w:val="24"/>
        </w:rPr>
        <w:t>2</w:t>
      </w:r>
      <w:r>
        <w:rPr>
          <w:rFonts w:hint="eastAsia"/>
          <w:sz w:val="24"/>
          <w:szCs w:val="24"/>
        </w:rPr>
        <w:t>　给水排水系统水泵电动机效率达到现行国家标准《中小型三相异步电动机能效限定值及能效等级》GB</w:t>
      </w:r>
      <w:r>
        <w:rPr>
          <w:rFonts w:hint="eastAsia"/>
          <w:sz w:val="24"/>
          <w:szCs w:val="24"/>
          <w:lang w:val="en-US" w:eastAsia="zh-CN"/>
        </w:rPr>
        <w:t xml:space="preserve"> </w:t>
      </w:r>
      <w:r>
        <w:rPr>
          <w:rFonts w:hint="eastAsia"/>
          <w:sz w:val="24"/>
          <w:szCs w:val="24"/>
        </w:rPr>
        <w:t>18613规定的能效2级；</w:t>
      </w:r>
    </w:p>
    <w:p w14:paraId="77E98401">
      <w:pPr>
        <w:spacing w:line="360" w:lineRule="auto"/>
        <w:ind w:firstLine="723" w:firstLineChars="300"/>
        <w:rPr>
          <w:sz w:val="24"/>
          <w:szCs w:val="24"/>
        </w:rPr>
      </w:pPr>
      <w:r>
        <w:rPr>
          <w:rFonts w:ascii="Times New Roman" w:eastAsia="黑体"/>
          <w:b/>
          <w:bCs/>
          <w:sz w:val="24"/>
          <w:szCs w:val="24"/>
        </w:rPr>
        <w:t>3</w:t>
      </w:r>
      <w:r>
        <w:rPr>
          <w:rFonts w:hint="eastAsia"/>
          <w:sz w:val="24"/>
          <w:szCs w:val="24"/>
        </w:rPr>
        <w:t>　充电基础设施能源利用流程中的变电效率、输电效率、充电场所设施效率、外部充电效率的乘积，室外设施综合能效不得低于0.8，室内设施综合能效不得低于0.85；</w:t>
      </w:r>
    </w:p>
    <w:p w14:paraId="54EF1939">
      <w:pPr>
        <w:spacing w:line="360" w:lineRule="auto"/>
        <w:ind w:firstLine="482" w:firstLineChars="200"/>
        <w:rPr>
          <w:sz w:val="24"/>
          <w:szCs w:val="24"/>
        </w:rPr>
      </w:pPr>
      <w:r>
        <w:rPr>
          <w:rFonts w:ascii="Times New Roman" w:eastAsia="黑体"/>
          <w:b/>
          <w:bCs/>
          <w:sz w:val="24"/>
          <w:szCs w:val="24"/>
        </w:rPr>
        <w:t>4</w:t>
      </w:r>
      <w:r>
        <w:rPr>
          <w:rFonts w:hint="eastAsia"/>
          <w:sz w:val="24"/>
          <w:szCs w:val="24"/>
        </w:rPr>
        <w:t>　配电变压器能效达到现行国家标准《三相配电变压器能效限定值及能效等级》GB</w:t>
      </w:r>
      <w:r>
        <w:rPr>
          <w:sz w:val="24"/>
          <w:szCs w:val="24"/>
        </w:rPr>
        <w:t xml:space="preserve"> </w:t>
      </w:r>
      <w:r>
        <w:rPr>
          <w:rFonts w:hint="eastAsia"/>
          <w:sz w:val="24"/>
          <w:szCs w:val="24"/>
        </w:rPr>
        <w:t>20052规定的能效2级；</w:t>
      </w:r>
    </w:p>
    <w:p w14:paraId="02AD5B50">
      <w:pPr>
        <w:spacing w:line="360" w:lineRule="auto"/>
        <w:ind w:firstLine="482" w:firstLineChars="200"/>
        <w:rPr>
          <w:sz w:val="24"/>
          <w:szCs w:val="24"/>
        </w:rPr>
      </w:pPr>
      <w:r>
        <w:rPr>
          <w:rFonts w:ascii="Times New Roman" w:eastAsia="黑体"/>
          <w:b/>
          <w:bCs/>
          <w:sz w:val="24"/>
          <w:szCs w:val="24"/>
        </w:rPr>
        <w:t>5</w:t>
      </w:r>
      <w:r>
        <w:rPr>
          <w:rFonts w:hint="eastAsia"/>
          <w:sz w:val="24"/>
          <w:szCs w:val="24"/>
        </w:rPr>
        <w:t>　三相负荷平衡分配，实现配电系统三相负荷的不平衡度小于15%；</w:t>
      </w:r>
    </w:p>
    <w:p w14:paraId="5A5C86BB">
      <w:pPr>
        <w:spacing w:line="360" w:lineRule="auto"/>
        <w:ind w:firstLine="482" w:firstLineChars="200"/>
        <w:rPr>
          <w:sz w:val="24"/>
          <w:szCs w:val="24"/>
        </w:rPr>
      </w:pPr>
      <w:r>
        <w:rPr>
          <w:rFonts w:ascii="Times New Roman" w:eastAsia="黑体"/>
          <w:b/>
          <w:bCs/>
          <w:sz w:val="24"/>
          <w:szCs w:val="24"/>
        </w:rPr>
        <w:t>6</w:t>
      </w:r>
      <w:r>
        <w:rPr>
          <w:rFonts w:hint="eastAsia"/>
          <w:sz w:val="24"/>
          <w:szCs w:val="24"/>
        </w:rPr>
        <w:t>　配套商业网点的经营，监控等重要负荷采用交流不间断电源或直流备用电源。</w:t>
      </w:r>
    </w:p>
    <w:p w14:paraId="37A1B648">
      <w:pPr>
        <w:numPr>
          <w:ilvl w:val="255"/>
          <w:numId w:val="0"/>
        </w:numPr>
        <w:spacing w:line="360" w:lineRule="auto"/>
        <w:rPr>
          <w:sz w:val="24"/>
          <w:szCs w:val="24"/>
        </w:rPr>
      </w:pPr>
      <w:r>
        <w:rPr>
          <w:rFonts w:ascii="Times New Roman" w:eastAsia="黑体"/>
          <w:b/>
          <w:bCs/>
          <w:sz w:val="24"/>
          <w:szCs w:val="24"/>
        </w:rPr>
        <w:t>6.2.12</w:t>
      </w:r>
      <w:r>
        <w:rPr>
          <w:rFonts w:hint="eastAsia"/>
          <w:sz w:val="24"/>
          <w:szCs w:val="24"/>
        </w:rPr>
        <w:t>　设置建筑设备监控系统，对建筑内主要设备包括冷热源、供暖通风和空气调节、给水排水、供配电、照明、电梯等多专业系统与设备进行监控，符合现行国家标准《智能建筑设计标准》GB</w:t>
      </w:r>
      <w:r>
        <w:rPr>
          <w:sz w:val="24"/>
          <w:szCs w:val="24"/>
        </w:rPr>
        <w:t xml:space="preserve"> </w:t>
      </w:r>
      <w:r>
        <w:rPr>
          <w:rFonts w:hint="eastAsia"/>
          <w:sz w:val="24"/>
          <w:szCs w:val="24"/>
        </w:rPr>
        <w:t>50314的规定，总分值15分，按下列规则分别评分并累计：</w:t>
      </w:r>
    </w:p>
    <w:p w14:paraId="14D66083">
      <w:pPr>
        <w:spacing w:line="360" w:lineRule="auto"/>
        <w:ind w:firstLine="482" w:firstLineChars="200"/>
        <w:rPr>
          <w:sz w:val="24"/>
          <w:szCs w:val="24"/>
        </w:rPr>
      </w:pPr>
      <w:r>
        <w:rPr>
          <w:rFonts w:ascii="Times New Roman" w:eastAsia="黑体"/>
          <w:b/>
          <w:bCs/>
          <w:sz w:val="24"/>
          <w:szCs w:val="24"/>
        </w:rPr>
        <w:t>1</w:t>
      </w:r>
      <w:r>
        <w:rPr>
          <w:rFonts w:hint="eastAsia"/>
          <w:sz w:val="24"/>
          <w:szCs w:val="24"/>
        </w:rPr>
        <w:t>　采用冷热源监控，得2分；</w:t>
      </w:r>
    </w:p>
    <w:p w14:paraId="485AD55D">
      <w:pPr>
        <w:spacing w:line="360" w:lineRule="auto"/>
        <w:ind w:firstLine="482" w:firstLineChars="200"/>
        <w:rPr>
          <w:sz w:val="24"/>
          <w:szCs w:val="24"/>
        </w:rPr>
      </w:pPr>
      <w:r>
        <w:rPr>
          <w:rFonts w:ascii="Times New Roman" w:eastAsia="黑体"/>
          <w:b/>
          <w:bCs/>
          <w:sz w:val="24"/>
          <w:szCs w:val="24"/>
        </w:rPr>
        <w:t>2</w:t>
      </w:r>
      <w:r>
        <w:rPr>
          <w:rFonts w:hint="eastAsia"/>
          <w:sz w:val="24"/>
          <w:szCs w:val="24"/>
        </w:rPr>
        <w:t>　采用暖通空调设备监控，得2分；</w:t>
      </w:r>
    </w:p>
    <w:p w14:paraId="61AE25C1">
      <w:pPr>
        <w:spacing w:line="360" w:lineRule="auto"/>
        <w:ind w:firstLine="482" w:firstLineChars="200"/>
        <w:rPr>
          <w:sz w:val="24"/>
          <w:szCs w:val="24"/>
        </w:rPr>
      </w:pPr>
      <w:r>
        <w:rPr>
          <w:rFonts w:ascii="Times New Roman" w:eastAsia="黑体"/>
          <w:b/>
          <w:bCs/>
          <w:sz w:val="24"/>
          <w:szCs w:val="24"/>
        </w:rPr>
        <w:t>3</w:t>
      </w:r>
      <w:r>
        <w:rPr>
          <w:rFonts w:hint="eastAsia"/>
          <w:sz w:val="24"/>
          <w:szCs w:val="24"/>
        </w:rPr>
        <w:t>　采用给水排水设备监控，得2分；</w:t>
      </w:r>
    </w:p>
    <w:p w14:paraId="025FA450">
      <w:pPr>
        <w:spacing w:line="360" w:lineRule="auto"/>
        <w:ind w:firstLine="482" w:firstLineChars="200"/>
        <w:rPr>
          <w:sz w:val="24"/>
          <w:szCs w:val="24"/>
        </w:rPr>
      </w:pPr>
      <w:r>
        <w:rPr>
          <w:rFonts w:ascii="Times New Roman" w:eastAsia="黑体"/>
          <w:b/>
          <w:bCs/>
          <w:sz w:val="24"/>
          <w:szCs w:val="24"/>
        </w:rPr>
        <w:t>4</w:t>
      </w:r>
      <w:r>
        <w:rPr>
          <w:rFonts w:hint="eastAsia"/>
          <w:sz w:val="24"/>
          <w:szCs w:val="24"/>
        </w:rPr>
        <w:t>　采用电力监测和分项计量，得2分；</w:t>
      </w:r>
    </w:p>
    <w:p w14:paraId="25AE0156">
      <w:pPr>
        <w:spacing w:line="360" w:lineRule="auto"/>
        <w:ind w:firstLine="482" w:firstLineChars="200"/>
        <w:rPr>
          <w:sz w:val="24"/>
          <w:szCs w:val="24"/>
        </w:rPr>
      </w:pPr>
      <w:r>
        <w:rPr>
          <w:rFonts w:ascii="Times New Roman" w:eastAsia="黑体"/>
          <w:b/>
          <w:bCs/>
          <w:sz w:val="24"/>
          <w:szCs w:val="24"/>
        </w:rPr>
        <w:t>5</w:t>
      </w:r>
      <w:r>
        <w:rPr>
          <w:rFonts w:hint="eastAsia"/>
          <w:sz w:val="24"/>
          <w:szCs w:val="24"/>
        </w:rPr>
        <w:t>　采用智能照明控制，得2分；</w:t>
      </w:r>
    </w:p>
    <w:p w14:paraId="791FA385">
      <w:pPr>
        <w:spacing w:line="360" w:lineRule="auto"/>
        <w:ind w:firstLine="482" w:firstLineChars="200"/>
        <w:rPr>
          <w:sz w:val="24"/>
          <w:szCs w:val="24"/>
          <w:highlight w:val="none"/>
        </w:rPr>
      </w:pPr>
      <w:r>
        <w:rPr>
          <w:rFonts w:ascii="Times New Roman" w:eastAsia="黑体"/>
          <w:b/>
          <w:bCs/>
          <w:sz w:val="24"/>
          <w:szCs w:val="24"/>
          <w:highlight w:val="none"/>
        </w:rPr>
        <w:t>6</w:t>
      </w:r>
      <w:r>
        <w:rPr>
          <w:rFonts w:hint="eastAsia"/>
          <w:sz w:val="24"/>
          <w:szCs w:val="24"/>
          <w:highlight w:val="none"/>
        </w:rPr>
        <w:t>　采用电梯智能控制，得2分；</w:t>
      </w:r>
    </w:p>
    <w:p w14:paraId="463DDDF2">
      <w:pPr>
        <w:spacing w:line="360" w:lineRule="auto"/>
        <w:ind w:firstLine="482" w:firstLineChars="200"/>
        <w:rPr>
          <w:sz w:val="24"/>
          <w:szCs w:val="24"/>
        </w:rPr>
      </w:pPr>
      <w:r>
        <w:rPr>
          <w:rFonts w:hint="default" w:ascii="Times New Roman" w:eastAsia="黑体"/>
          <w:b/>
          <w:bCs/>
          <w:sz w:val="24"/>
          <w:szCs w:val="24"/>
        </w:rPr>
        <w:t>7</w:t>
      </w:r>
      <w:r>
        <w:rPr>
          <w:rFonts w:hint="eastAsia"/>
          <w:sz w:val="24"/>
          <w:szCs w:val="24"/>
        </w:rPr>
        <w:t>　系统运行数据保存不少于1年，得</w:t>
      </w:r>
      <w:r>
        <w:rPr>
          <w:sz w:val="24"/>
          <w:szCs w:val="24"/>
        </w:rPr>
        <w:t>3</w:t>
      </w:r>
      <w:r>
        <w:rPr>
          <w:rFonts w:hint="eastAsia"/>
          <w:sz w:val="24"/>
          <w:szCs w:val="24"/>
        </w:rPr>
        <w:t>分。</w:t>
      </w:r>
    </w:p>
    <w:p w14:paraId="4614B4DE">
      <w:pPr>
        <w:numPr>
          <w:ilvl w:val="255"/>
          <w:numId w:val="0"/>
        </w:numPr>
        <w:spacing w:line="360" w:lineRule="auto"/>
        <w:rPr>
          <w:sz w:val="24"/>
          <w:szCs w:val="24"/>
        </w:rPr>
      </w:pPr>
      <w:r>
        <w:rPr>
          <w:rFonts w:ascii="Times New Roman" w:eastAsia="黑体"/>
          <w:b/>
          <w:bCs/>
          <w:sz w:val="24"/>
          <w:szCs w:val="24"/>
        </w:rPr>
        <w:t>6.2.13</w:t>
      </w:r>
      <w:r>
        <w:rPr>
          <w:rFonts w:hint="eastAsia"/>
          <w:sz w:val="24"/>
          <w:szCs w:val="24"/>
        </w:rPr>
        <w:t>　采用提升建筑功能和运行水平的智能技术，评价总分值为</w:t>
      </w:r>
      <w:r>
        <w:rPr>
          <w:sz w:val="24"/>
          <w:szCs w:val="24"/>
        </w:rPr>
        <w:t>15</w:t>
      </w:r>
      <w:r>
        <w:rPr>
          <w:rFonts w:hint="eastAsia"/>
          <w:sz w:val="24"/>
          <w:szCs w:val="24"/>
        </w:rPr>
        <w:t>分。并按下列规则分别评分并累计：</w:t>
      </w:r>
    </w:p>
    <w:p w14:paraId="1062370A">
      <w:pPr>
        <w:numPr>
          <w:ilvl w:val="255"/>
          <w:numId w:val="0"/>
        </w:numPr>
        <w:spacing w:line="360" w:lineRule="auto"/>
        <w:ind w:firstLine="482" w:firstLineChars="200"/>
        <w:rPr>
          <w:sz w:val="24"/>
          <w:szCs w:val="24"/>
        </w:rPr>
      </w:pPr>
      <w:r>
        <w:rPr>
          <w:rFonts w:ascii="Times New Roman" w:eastAsia="黑体"/>
          <w:b/>
          <w:bCs/>
          <w:sz w:val="24"/>
          <w:szCs w:val="24"/>
        </w:rPr>
        <w:t>1</w:t>
      </w:r>
      <w:r>
        <w:rPr>
          <w:rFonts w:hint="eastAsia"/>
          <w:sz w:val="24"/>
          <w:szCs w:val="24"/>
        </w:rPr>
        <w:t xml:space="preserve">　电能监测与计量采用数字式智能仪表，并通过网络传输到物业或上级主机，得5分； </w:t>
      </w:r>
    </w:p>
    <w:p w14:paraId="0263D724">
      <w:pPr>
        <w:numPr>
          <w:ilvl w:val="255"/>
          <w:numId w:val="0"/>
        </w:numPr>
        <w:spacing w:line="360" w:lineRule="auto"/>
        <w:ind w:firstLine="482" w:firstLineChars="200"/>
        <w:rPr>
          <w:sz w:val="24"/>
          <w:szCs w:val="24"/>
        </w:rPr>
      </w:pPr>
      <w:r>
        <w:rPr>
          <w:rFonts w:ascii="Times New Roman" w:eastAsia="黑体"/>
          <w:b/>
          <w:bCs/>
          <w:sz w:val="24"/>
          <w:szCs w:val="24"/>
        </w:rPr>
        <w:t>2</w:t>
      </w:r>
      <w:r>
        <w:rPr>
          <w:rFonts w:hint="eastAsia"/>
          <w:sz w:val="24"/>
          <w:szCs w:val="24"/>
        </w:rPr>
        <w:t>　采用综合布线和直流微网配电系统，得</w:t>
      </w:r>
      <w:r>
        <w:rPr>
          <w:sz w:val="24"/>
          <w:szCs w:val="24"/>
        </w:rPr>
        <w:t>10</w:t>
      </w:r>
      <w:r>
        <w:rPr>
          <w:rFonts w:hint="eastAsia"/>
          <w:sz w:val="24"/>
          <w:szCs w:val="24"/>
        </w:rPr>
        <w:t xml:space="preserve">分。 </w:t>
      </w:r>
    </w:p>
    <w:p w14:paraId="0A869616">
      <w:pPr>
        <w:numPr>
          <w:ilvl w:val="255"/>
          <w:numId w:val="0"/>
        </w:numPr>
        <w:ind w:firstLine="420" w:firstLineChars="200"/>
        <w:rPr>
          <w:rFonts w:ascii="仿宋" w:hAnsi="仿宋" w:eastAsia="仿宋" w:cs="仿宋"/>
        </w:rPr>
      </w:pPr>
    </w:p>
    <w:p w14:paraId="7167B393">
      <w:pPr>
        <w:numPr>
          <w:ilvl w:val="255"/>
          <w:numId w:val="0"/>
        </w:numPr>
        <w:ind w:firstLine="420" w:firstLineChars="200"/>
        <w:rPr>
          <w:rFonts w:ascii="仿宋" w:hAnsi="仿宋" w:eastAsia="仿宋" w:cs="仿宋"/>
        </w:rPr>
        <w:sectPr>
          <w:pgSz w:w="11906" w:h="16838"/>
          <w:pgMar w:top="1440" w:right="1800" w:bottom="1440" w:left="1800" w:header="851" w:footer="992" w:gutter="0"/>
          <w:cols w:space="425" w:num="1"/>
          <w:docGrid w:type="lines" w:linePitch="312" w:charSpace="0"/>
        </w:sectPr>
      </w:pPr>
    </w:p>
    <w:p w14:paraId="6961736A">
      <w:pPr>
        <w:widowControl/>
        <w:snapToGrid w:val="0"/>
        <w:spacing w:line="360" w:lineRule="auto"/>
        <w:jc w:val="center"/>
        <w:outlineLvl w:val="9"/>
        <w:rPr>
          <w:rFonts w:hint="default" w:ascii="Times New Roman" w:hAnsi="Times New Roman" w:cs="Times New Roman"/>
          <w:b/>
          <w:bCs/>
          <w:kern w:val="44"/>
          <w:sz w:val="30"/>
          <w:szCs w:val="30"/>
        </w:rPr>
      </w:pPr>
      <w:bookmarkStart w:id="134" w:name="_Toc10674"/>
    </w:p>
    <w:p w14:paraId="3BC75343">
      <w:pPr>
        <w:widowControl/>
        <w:snapToGrid w:val="0"/>
        <w:spacing w:line="360" w:lineRule="auto"/>
        <w:jc w:val="center"/>
        <w:outlineLvl w:val="0"/>
        <w:rPr>
          <w:rFonts w:hint="eastAsia" w:ascii="宋体" w:hAnsi="宋体" w:eastAsia="宋体" w:cs="宋体"/>
          <w:b/>
          <w:bCs/>
          <w:kern w:val="44"/>
          <w:sz w:val="30"/>
          <w:szCs w:val="30"/>
          <w:lang w:eastAsia="zh-CN"/>
        </w:rPr>
      </w:pPr>
      <w:bookmarkStart w:id="135" w:name="_Toc28031"/>
      <w:bookmarkStart w:id="136" w:name="_Toc21216"/>
      <w:r>
        <w:rPr>
          <w:rFonts w:hint="default" w:ascii="Times New Roman" w:hAnsi="Times New Roman" w:cs="Times New Roman"/>
          <w:b/>
          <w:bCs/>
          <w:kern w:val="44"/>
          <w:sz w:val="30"/>
          <w:szCs w:val="30"/>
        </w:rPr>
        <w:t>7</w:t>
      </w:r>
      <w:r>
        <w:rPr>
          <w:rFonts w:hint="eastAsia" w:ascii="宋体" w:hAnsi="宋体" w:cs="宋体"/>
          <w:b/>
          <w:bCs/>
          <w:kern w:val="44"/>
          <w:sz w:val="30"/>
          <w:szCs w:val="30"/>
        </w:rPr>
        <w:t>　建材与建造</w:t>
      </w:r>
      <w:bookmarkEnd w:id="134"/>
      <w:bookmarkEnd w:id="135"/>
      <w:bookmarkEnd w:id="136"/>
    </w:p>
    <w:p w14:paraId="7F547491">
      <w:pPr>
        <w:tabs>
          <w:tab w:val="left" w:pos="0"/>
        </w:tabs>
        <w:spacing w:before="0" w:beforeLines="0" w:after="0" w:afterLines="0" w:line="360" w:lineRule="auto"/>
        <w:jc w:val="center"/>
        <w:outlineLvl w:val="1"/>
        <w:rPr>
          <w:rFonts w:hint="eastAsia" w:ascii="黑体" w:hAnsi="黑体" w:eastAsia="黑体" w:cs="黑体"/>
          <w:b/>
          <w:bCs/>
          <w:sz w:val="28"/>
          <w:szCs w:val="28"/>
        </w:rPr>
      </w:pPr>
      <w:bookmarkStart w:id="137" w:name="_Toc27364"/>
      <w:bookmarkStart w:id="138" w:name="_Toc1386"/>
      <w:bookmarkStart w:id="139" w:name="_Toc20449"/>
      <w:r>
        <w:rPr>
          <w:rFonts w:hint="default" w:ascii="Times New Roman" w:hAnsi="Times New Roman" w:eastAsia="黑体" w:cs="Times New Roman"/>
          <w:b/>
          <w:bCs/>
          <w:sz w:val="28"/>
          <w:szCs w:val="28"/>
        </w:rPr>
        <w:t>7.1</w:t>
      </w:r>
      <w:r>
        <w:rPr>
          <w:rFonts w:hint="eastAsia" w:ascii="黑体" w:hAnsi="黑体" w:eastAsia="黑体" w:cs="黑体"/>
          <w:b/>
          <w:bCs/>
          <w:sz w:val="28"/>
          <w:szCs w:val="28"/>
        </w:rPr>
        <w:t>　控制项</w:t>
      </w:r>
      <w:bookmarkEnd w:id="137"/>
      <w:bookmarkEnd w:id="138"/>
      <w:bookmarkEnd w:id="139"/>
    </w:p>
    <w:p w14:paraId="1D7024C8">
      <w:pPr>
        <w:spacing w:line="360" w:lineRule="auto"/>
        <w:rPr>
          <w:rFonts w:cs="宋体"/>
          <w:sz w:val="24"/>
          <w:szCs w:val="24"/>
        </w:rPr>
      </w:pPr>
      <w:r>
        <w:rPr>
          <w:rFonts w:ascii="Times New Roman" w:eastAsia="黑体"/>
          <w:b/>
          <w:bCs/>
          <w:sz w:val="24"/>
          <w:szCs w:val="24"/>
        </w:rPr>
        <w:t>7.1.1</w:t>
      </w:r>
      <w:r>
        <w:rPr>
          <w:rFonts w:hint="eastAsia"/>
          <w:sz w:val="24"/>
          <w:szCs w:val="24"/>
        </w:rPr>
        <w:t>　</w:t>
      </w:r>
      <w:r>
        <w:rPr>
          <w:rFonts w:hint="eastAsia" w:cs="宋体"/>
          <w:sz w:val="24"/>
          <w:szCs w:val="24"/>
        </w:rPr>
        <w:t>既有工业建筑民用化低碳改造前，应进行检测和鉴定。</w:t>
      </w:r>
    </w:p>
    <w:p w14:paraId="127EA4B1">
      <w:pPr>
        <w:spacing w:line="360" w:lineRule="auto"/>
        <w:rPr>
          <w:rFonts w:cs="宋体"/>
          <w:sz w:val="24"/>
          <w:szCs w:val="24"/>
        </w:rPr>
      </w:pPr>
      <w:r>
        <w:rPr>
          <w:rFonts w:ascii="Times New Roman" w:eastAsia="黑体"/>
          <w:b/>
          <w:bCs/>
          <w:sz w:val="24"/>
          <w:szCs w:val="24"/>
        </w:rPr>
        <w:t>7.1.</w:t>
      </w:r>
      <w:r>
        <w:rPr>
          <w:rFonts w:hint="default" w:ascii="Times New Roman" w:eastAsia="黑体"/>
          <w:b/>
          <w:bCs/>
          <w:sz w:val="24"/>
          <w:szCs w:val="24"/>
        </w:rPr>
        <w:t>2</w:t>
      </w:r>
      <w:r>
        <w:rPr>
          <w:rFonts w:hint="eastAsia"/>
          <w:sz w:val="24"/>
          <w:szCs w:val="24"/>
        </w:rPr>
        <w:t>　</w:t>
      </w:r>
      <w:r>
        <w:rPr>
          <w:rFonts w:hint="eastAsia" w:cs="宋体"/>
          <w:sz w:val="24"/>
          <w:szCs w:val="24"/>
        </w:rPr>
        <w:t>不得采用国家禁止或限制使用的建筑材料及制品。</w:t>
      </w:r>
    </w:p>
    <w:p w14:paraId="165B289D">
      <w:pPr>
        <w:spacing w:line="360" w:lineRule="auto"/>
        <w:rPr>
          <w:color w:val="0000FF"/>
          <w:sz w:val="24"/>
          <w:szCs w:val="24"/>
        </w:rPr>
      </w:pPr>
      <w:r>
        <w:rPr>
          <w:rFonts w:ascii="Times New Roman" w:eastAsia="黑体"/>
          <w:b/>
          <w:bCs/>
          <w:sz w:val="24"/>
          <w:szCs w:val="24"/>
        </w:rPr>
        <w:t>7.1.</w:t>
      </w:r>
      <w:r>
        <w:rPr>
          <w:rFonts w:hint="default" w:ascii="Times New Roman" w:eastAsia="黑体"/>
          <w:b/>
          <w:bCs/>
          <w:sz w:val="24"/>
          <w:szCs w:val="24"/>
        </w:rPr>
        <w:t>3</w:t>
      </w:r>
      <w:r>
        <w:rPr>
          <w:rFonts w:hint="eastAsia"/>
          <w:sz w:val="24"/>
          <w:szCs w:val="24"/>
        </w:rPr>
        <w:t>　</w:t>
      </w:r>
      <w:r>
        <w:rPr>
          <w:rFonts w:hint="eastAsia" w:cs="宋体"/>
          <w:sz w:val="24"/>
          <w:szCs w:val="24"/>
        </w:rPr>
        <w:t>新增的现浇混凝土应全部采用预拌混凝土，新增的建筑砂浆应全部采用预拌砂浆。</w:t>
      </w:r>
    </w:p>
    <w:p w14:paraId="6EBA0D3D">
      <w:pPr>
        <w:spacing w:line="360" w:lineRule="auto"/>
        <w:rPr>
          <w:sz w:val="24"/>
          <w:szCs w:val="24"/>
        </w:rPr>
      </w:pPr>
      <w:r>
        <w:rPr>
          <w:rFonts w:hint="default" w:ascii="Times New Roman" w:eastAsia="黑体"/>
          <w:b/>
          <w:bCs/>
          <w:sz w:val="24"/>
          <w:szCs w:val="24"/>
        </w:rPr>
        <w:t>7</w:t>
      </w:r>
      <w:r>
        <w:rPr>
          <w:rFonts w:ascii="Times New Roman" w:eastAsia="黑体"/>
          <w:b/>
          <w:bCs/>
          <w:sz w:val="24"/>
          <w:szCs w:val="24"/>
        </w:rPr>
        <w:t>.1.</w:t>
      </w:r>
      <w:r>
        <w:rPr>
          <w:rFonts w:hint="default" w:ascii="Times New Roman" w:eastAsia="黑体"/>
          <w:b/>
          <w:bCs/>
          <w:sz w:val="24"/>
          <w:szCs w:val="24"/>
        </w:rPr>
        <w:t>4</w:t>
      </w:r>
      <w:r>
        <w:rPr>
          <w:rFonts w:hint="eastAsia"/>
          <w:sz w:val="24"/>
          <w:szCs w:val="24"/>
        </w:rPr>
        <w:t>　结构构件设计应采取可靠的技术措施，并应符合下列要求：</w:t>
      </w:r>
    </w:p>
    <w:p w14:paraId="4DC54AE2">
      <w:pPr>
        <w:spacing w:line="360" w:lineRule="auto"/>
        <w:ind w:firstLine="482" w:firstLineChars="200"/>
        <w:rPr>
          <w:sz w:val="24"/>
          <w:szCs w:val="24"/>
        </w:rPr>
      </w:pPr>
      <w:r>
        <w:rPr>
          <w:rFonts w:ascii="Times New Roman" w:eastAsia="黑体"/>
          <w:b/>
          <w:bCs/>
          <w:sz w:val="24"/>
          <w:szCs w:val="24"/>
        </w:rPr>
        <w:t>1</w:t>
      </w:r>
      <w:r>
        <w:rPr>
          <w:rFonts w:hint="eastAsia"/>
          <w:sz w:val="24"/>
          <w:szCs w:val="24"/>
        </w:rPr>
        <w:t>　新增构件与原有构件之间连接，应采取可靠的连接方式；</w:t>
      </w:r>
    </w:p>
    <w:p w14:paraId="328E4323">
      <w:pPr>
        <w:spacing w:line="360" w:lineRule="auto"/>
        <w:ind w:firstLine="482" w:firstLineChars="200"/>
        <w:rPr>
          <w:sz w:val="24"/>
          <w:szCs w:val="24"/>
        </w:rPr>
      </w:pPr>
      <w:r>
        <w:rPr>
          <w:rFonts w:ascii="Times New Roman" w:eastAsia="黑体"/>
          <w:b/>
          <w:bCs/>
          <w:sz w:val="24"/>
          <w:szCs w:val="24"/>
        </w:rPr>
        <w:t>2</w:t>
      </w:r>
      <w:r>
        <w:rPr>
          <w:rFonts w:hint="eastAsia"/>
          <w:sz w:val="24"/>
          <w:szCs w:val="24"/>
        </w:rPr>
        <w:t>　新增抗震墙、柱等竖向构件应有可靠的基础。</w:t>
      </w:r>
    </w:p>
    <w:p w14:paraId="5E43064A">
      <w:pPr>
        <w:spacing w:line="360" w:lineRule="auto"/>
        <w:rPr>
          <w:rFonts w:hint="eastAsia" w:cs="宋体"/>
          <w:sz w:val="24"/>
          <w:szCs w:val="24"/>
        </w:rPr>
      </w:pPr>
      <w:r>
        <w:rPr>
          <w:rFonts w:ascii="Times New Roman" w:eastAsia="黑体"/>
          <w:b/>
          <w:bCs/>
          <w:sz w:val="24"/>
          <w:szCs w:val="24"/>
        </w:rPr>
        <w:t>7.1.5</w:t>
      </w:r>
      <w:r>
        <w:rPr>
          <w:rFonts w:hint="eastAsia"/>
          <w:sz w:val="24"/>
          <w:szCs w:val="24"/>
        </w:rPr>
        <w:t>　</w:t>
      </w:r>
      <w:r>
        <w:rPr>
          <w:rFonts w:hint="eastAsia" w:cs="宋体"/>
          <w:sz w:val="24"/>
          <w:szCs w:val="24"/>
        </w:rPr>
        <w:t>施工前应编制低碳改造施工组织设计专篇。</w:t>
      </w:r>
    </w:p>
    <w:p w14:paraId="78B48269">
      <w:pPr>
        <w:spacing w:line="360" w:lineRule="auto"/>
        <w:rPr>
          <w:rFonts w:hint="eastAsia" w:cs="宋体"/>
          <w:color w:val="auto"/>
          <w:sz w:val="24"/>
          <w:szCs w:val="24"/>
        </w:rPr>
      </w:pPr>
    </w:p>
    <w:p w14:paraId="2FEE2592">
      <w:pPr>
        <w:tabs>
          <w:tab w:val="left" w:pos="0"/>
        </w:tabs>
        <w:spacing w:before="0" w:beforeLines="0" w:after="0" w:afterLines="0" w:line="360" w:lineRule="auto"/>
        <w:jc w:val="center"/>
        <w:outlineLvl w:val="1"/>
        <w:rPr>
          <w:rFonts w:hint="eastAsia" w:ascii="黑体" w:hAnsi="黑体" w:eastAsia="黑体" w:cs="黑体"/>
          <w:b/>
          <w:bCs/>
          <w:sz w:val="28"/>
          <w:szCs w:val="28"/>
        </w:rPr>
      </w:pPr>
      <w:bookmarkStart w:id="140" w:name="_Toc10473"/>
      <w:bookmarkStart w:id="141" w:name="_Toc24605"/>
      <w:bookmarkStart w:id="142" w:name="_Toc2665"/>
      <w:r>
        <w:rPr>
          <w:rFonts w:hint="default" w:ascii="Times New Roman" w:hAnsi="Times New Roman" w:eastAsia="黑体" w:cs="Times New Roman"/>
          <w:b/>
          <w:bCs/>
          <w:sz w:val="28"/>
          <w:szCs w:val="28"/>
        </w:rPr>
        <w:t>7.2</w:t>
      </w:r>
      <w:r>
        <w:rPr>
          <w:rFonts w:hint="eastAsia" w:ascii="黑体" w:hAnsi="黑体" w:eastAsia="黑体" w:cs="黑体"/>
          <w:b/>
          <w:bCs/>
          <w:sz w:val="28"/>
          <w:szCs w:val="28"/>
        </w:rPr>
        <w:t>　评分项</w:t>
      </w:r>
      <w:bookmarkEnd w:id="140"/>
      <w:bookmarkEnd w:id="141"/>
      <w:bookmarkEnd w:id="142"/>
    </w:p>
    <w:p w14:paraId="6EBDF91B">
      <w:pPr>
        <w:pStyle w:val="28"/>
        <w:spacing w:before="0" w:beforeLines="0" w:after="0" w:afterLines="0" w:line="360" w:lineRule="auto"/>
        <w:ind w:firstLine="0" w:firstLineChars="0"/>
        <w:jc w:val="center"/>
        <w:outlineLvl w:val="2"/>
        <w:rPr>
          <w:rFonts w:eastAsia="仿宋" w:cs="Times New Roman"/>
          <w:b/>
          <w:bCs/>
          <w:sz w:val="28"/>
          <w:szCs w:val="28"/>
        </w:rPr>
      </w:pPr>
      <w:r>
        <w:rPr>
          <w:rFonts w:hint="eastAsia" w:cs="Times New Roman"/>
          <w:b/>
          <w:sz w:val="28"/>
          <w:szCs w:val="28"/>
        </w:rPr>
        <w:t>Ⅰ</w:t>
      </w:r>
      <w:r>
        <w:rPr>
          <w:rFonts w:cs="Times New Roman"/>
          <w:b/>
          <w:sz w:val="28"/>
          <w:szCs w:val="28"/>
        </w:rPr>
        <w:t xml:space="preserve"> </w:t>
      </w:r>
      <w:r>
        <w:rPr>
          <w:rFonts w:hint="eastAsia" w:ascii="仿宋" w:hAnsi="仿宋" w:eastAsia="仿宋" w:cs="仿宋"/>
          <w:b/>
          <w:bCs/>
          <w:sz w:val="28"/>
          <w:szCs w:val="28"/>
        </w:rPr>
        <w:t>低碳建材</w:t>
      </w:r>
    </w:p>
    <w:p w14:paraId="09A939A1">
      <w:pPr>
        <w:spacing w:line="360" w:lineRule="auto"/>
        <w:rPr>
          <w:rFonts w:cs="宋体"/>
          <w:sz w:val="24"/>
          <w:szCs w:val="24"/>
        </w:rPr>
      </w:pPr>
      <w:r>
        <w:rPr>
          <w:rFonts w:ascii="Times New Roman" w:eastAsia="黑体"/>
          <w:b/>
          <w:bCs/>
          <w:sz w:val="24"/>
          <w:szCs w:val="24"/>
        </w:rPr>
        <w:t>7.2.</w:t>
      </w:r>
      <w:r>
        <w:rPr>
          <w:rFonts w:hint="default" w:ascii="Times New Roman" w:eastAsia="黑体"/>
          <w:b/>
          <w:bCs/>
          <w:sz w:val="24"/>
          <w:szCs w:val="24"/>
        </w:rPr>
        <w:t>1</w:t>
      </w:r>
      <w:r>
        <w:rPr>
          <w:rFonts w:hint="eastAsia"/>
          <w:sz w:val="24"/>
          <w:szCs w:val="24"/>
        </w:rPr>
        <w:t>　</w:t>
      </w:r>
      <w:r>
        <w:rPr>
          <w:rFonts w:hint="eastAsia" w:cs="宋体"/>
          <w:sz w:val="24"/>
          <w:szCs w:val="24"/>
        </w:rPr>
        <w:t>采用碳强比低的结构材料，评价总分值为</w:t>
      </w:r>
      <w:r>
        <w:rPr>
          <w:rFonts w:hint="eastAsia" w:cs="宋体"/>
          <w:sz w:val="24"/>
          <w:szCs w:val="24"/>
          <w:lang w:val="en-US" w:eastAsia="zh-CN"/>
        </w:rPr>
        <w:t>15</w:t>
      </w:r>
      <w:r>
        <w:rPr>
          <w:rFonts w:hint="eastAsia" w:cs="宋体"/>
          <w:sz w:val="24"/>
          <w:szCs w:val="24"/>
        </w:rPr>
        <w:t>分，并按下列规则分别评分并累计：</w:t>
      </w:r>
    </w:p>
    <w:p w14:paraId="74EEE50E">
      <w:pPr>
        <w:spacing w:line="360" w:lineRule="auto"/>
        <w:ind w:firstLine="482" w:firstLineChars="200"/>
        <w:rPr>
          <w:rFonts w:cs="宋体"/>
          <w:sz w:val="24"/>
          <w:szCs w:val="24"/>
        </w:rPr>
      </w:pPr>
      <w:r>
        <w:rPr>
          <w:rFonts w:ascii="Times New Roman" w:eastAsia="黑体"/>
          <w:b/>
          <w:bCs/>
          <w:sz w:val="24"/>
          <w:szCs w:val="24"/>
        </w:rPr>
        <w:t>1</w:t>
      </w:r>
      <w:r>
        <w:rPr>
          <w:rFonts w:hint="eastAsia" w:cs="宋体"/>
          <w:sz w:val="24"/>
          <w:szCs w:val="24"/>
        </w:rPr>
        <w:t>　新增结构构件采用混凝土构件，按下列规则分别评分并累计：</w:t>
      </w:r>
    </w:p>
    <w:p w14:paraId="4010B03E">
      <w:pPr>
        <w:spacing w:line="360" w:lineRule="auto"/>
        <w:ind w:firstLine="960" w:firstLineChars="400"/>
        <w:rPr>
          <w:rFonts w:cs="宋体"/>
          <w:sz w:val="24"/>
          <w:szCs w:val="24"/>
        </w:rPr>
      </w:pPr>
      <w:r>
        <w:rPr>
          <w:rFonts w:hint="default" w:eastAsia="黑体" w:asciiTheme="minorAscii" w:hAnsiTheme="minorAscii"/>
          <w:b w:val="0"/>
          <w:bCs w:val="0"/>
          <w:sz w:val="24"/>
          <w:szCs w:val="24"/>
        </w:rPr>
        <w:t>1）</w:t>
      </w:r>
      <w:r>
        <w:rPr>
          <w:rFonts w:hint="eastAsia" w:cs="宋体"/>
          <w:sz w:val="24"/>
          <w:szCs w:val="24"/>
        </w:rPr>
        <w:t>钢筋采用</w:t>
      </w:r>
      <w:r>
        <w:rPr>
          <w:rFonts w:cs="宋体"/>
          <w:sz w:val="24"/>
          <w:szCs w:val="24"/>
        </w:rPr>
        <w:t>400MPa</w:t>
      </w:r>
      <w:r>
        <w:rPr>
          <w:rFonts w:hint="eastAsia" w:cs="宋体"/>
          <w:sz w:val="24"/>
          <w:szCs w:val="24"/>
        </w:rPr>
        <w:t>级及以上热轧带肋受力钢筋用量达到钢筋总用量的30％，得</w:t>
      </w:r>
      <w:r>
        <w:rPr>
          <w:rFonts w:hint="eastAsia" w:cs="宋体"/>
          <w:sz w:val="24"/>
          <w:szCs w:val="24"/>
          <w:lang w:val="en-US" w:eastAsia="zh-CN"/>
        </w:rPr>
        <w:t>4</w:t>
      </w:r>
      <w:r>
        <w:rPr>
          <w:rFonts w:hint="eastAsia" w:cs="宋体"/>
          <w:sz w:val="24"/>
          <w:szCs w:val="24"/>
        </w:rPr>
        <w:t>分；达到钢筋总用量的50％，得</w:t>
      </w:r>
      <w:r>
        <w:rPr>
          <w:rFonts w:hint="eastAsia" w:cs="宋体"/>
          <w:sz w:val="24"/>
          <w:szCs w:val="24"/>
          <w:lang w:val="en-US" w:eastAsia="zh-CN"/>
        </w:rPr>
        <w:t>8</w:t>
      </w:r>
      <w:r>
        <w:rPr>
          <w:rFonts w:hint="eastAsia" w:cs="宋体"/>
          <w:sz w:val="24"/>
          <w:szCs w:val="24"/>
        </w:rPr>
        <w:t>分；达到钢筋总用量的85％，得</w:t>
      </w:r>
      <w:r>
        <w:rPr>
          <w:rFonts w:hint="eastAsia" w:cs="宋体"/>
          <w:sz w:val="24"/>
          <w:szCs w:val="24"/>
          <w:lang w:val="en-US" w:eastAsia="zh-CN"/>
        </w:rPr>
        <w:t>12</w:t>
      </w:r>
      <w:r>
        <w:rPr>
          <w:rFonts w:hint="eastAsia" w:cs="宋体"/>
          <w:sz w:val="24"/>
          <w:szCs w:val="24"/>
        </w:rPr>
        <w:t>分；</w:t>
      </w:r>
    </w:p>
    <w:p w14:paraId="2BF821B6">
      <w:pPr>
        <w:spacing w:line="360" w:lineRule="auto"/>
        <w:ind w:firstLine="960" w:firstLineChars="400"/>
        <w:rPr>
          <w:rFonts w:cs="宋体"/>
          <w:sz w:val="24"/>
          <w:szCs w:val="24"/>
        </w:rPr>
      </w:pPr>
      <w:r>
        <w:rPr>
          <w:rFonts w:hint="default" w:eastAsia="黑体" w:asciiTheme="minorAscii" w:hAnsiTheme="minorAscii"/>
          <w:b w:val="0"/>
          <w:bCs w:val="0"/>
          <w:sz w:val="24"/>
          <w:szCs w:val="24"/>
        </w:rPr>
        <w:t>2）</w:t>
      </w:r>
      <w:r>
        <w:rPr>
          <w:rFonts w:hint="eastAsia" w:cs="宋体"/>
          <w:sz w:val="24"/>
          <w:szCs w:val="24"/>
        </w:rPr>
        <w:t>施工中采用成型钢筋的重量比例达到60%，得</w:t>
      </w:r>
      <w:r>
        <w:rPr>
          <w:rFonts w:hint="eastAsia" w:cs="宋体"/>
          <w:sz w:val="24"/>
          <w:szCs w:val="24"/>
          <w:lang w:val="en-US" w:eastAsia="zh-CN"/>
        </w:rPr>
        <w:t>3</w:t>
      </w:r>
      <w:r>
        <w:rPr>
          <w:rFonts w:hint="eastAsia" w:cs="宋体"/>
          <w:sz w:val="24"/>
          <w:szCs w:val="24"/>
        </w:rPr>
        <w:t>分。</w:t>
      </w:r>
    </w:p>
    <w:p w14:paraId="0DB78339">
      <w:pPr>
        <w:spacing w:line="360" w:lineRule="auto"/>
        <w:ind w:firstLine="482" w:firstLineChars="200"/>
        <w:rPr>
          <w:rFonts w:cs="宋体"/>
          <w:sz w:val="24"/>
          <w:szCs w:val="24"/>
        </w:rPr>
      </w:pPr>
      <w:r>
        <w:rPr>
          <w:rFonts w:ascii="Times New Roman" w:eastAsia="黑体"/>
          <w:b/>
          <w:bCs/>
          <w:sz w:val="24"/>
          <w:szCs w:val="24"/>
        </w:rPr>
        <w:t>2</w:t>
      </w:r>
      <w:r>
        <w:rPr>
          <w:rFonts w:hint="eastAsia" w:cs="宋体"/>
          <w:sz w:val="24"/>
          <w:szCs w:val="24"/>
        </w:rPr>
        <w:t>　新增结构构件采用钢构件，按下列规则分别评分并累计：</w:t>
      </w:r>
    </w:p>
    <w:p w14:paraId="4325BDC1">
      <w:pPr>
        <w:spacing w:line="360" w:lineRule="auto"/>
        <w:ind w:firstLine="960" w:firstLineChars="400"/>
        <w:rPr>
          <w:rFonts w:cs="宋体"/>
          <w:sz w:val="24"/>
          <w:szCs w:val="24"/>
        </w:rPr>
      </w:pPr>
      <w:r>
        <w:rPr>
          <w:rFonts w:hint="default" w:eastAsia="黑体" w:asciiTheme="minorAscii" w:hAnsiTheme="minorAscii"/>
          <w:b w:val="0"/>
          <w:bCs w:val="0"/>
          <w:sz w:val="24"/>
          <w:szCs w:val="24"/>
        </w:rPr>
        <w:t>1）</w:t>
      </w:r>
      <w:r>
        <w:rPr>
          <w:rFonts w:cs="宋体"/>
          <w:sz w:val="24"/>
          <w:szCs w:val="24"/>
        </w:rPr>
        <w:t>Q355</w:t>
      </w:r>
      <w:r>
        <w:rPr>
          <w:rFonts w:hint="eastAsia" w:cs="宋体"/>
          <w:sz w:val="24"/>
          <w:szCs w:val="24"/>
        </w:rPr>
        <w:t>及以上强度的钢材用量占钢材总用量的比例达到50％，得</w:t>
      </w:r>
      <w:r>
        <w:rPr>
          <w:rFonts w:hint="eastAsia" w:cs="宋体"/>
          <w:sz w:val="24"/>
          <w:szCs w:val="24"/>
          <w:lang w:val="en-US" w:eastAsia="zh-CN"/>
        </w:rPr>
        <w:t>6</w:t>
      </w:r>
      <w:r>
        <w:rPr>
          <w:rFonts w:hint="eastAsia" w:cs="宋体"/>
          <w:sz w:val="24"/>
          <w:szCs w:val="24"/>
        </w:rPr>
        <w:t>分；达到70％，得</w:t>
      </w:r>
      <w:r>
        <w:rPr>
          <w:rFonts w:hint="eastAsia" w:cs="宋体"/>
          <w:sz w:val="24"/>
          <w:szCs w:val="24"/>
          <w:lang w:val="en-US" w:eastAsia="zh-CN"/>
        </w:rPr>
        <w:t>9</w:t>
      </w:r>
      <w:r>
        <w:rPr>
          <w:rFonts w:hint="eastAsia" w:cs="宋体"/>
          <w:sz w:val="24"/>
          <w:szCs w:val="24"/>
        </w:rPr>
        <w:t>分；</w:t>
      </w:r>
    </w:p>
    <w:p w14:paraId="3545CF30">
      <w:pPr>
        <w:spacing w:line="360" w:lineRule="auto"/>
        <w:ind w:firstLine="960" w:firstLineChars="400"/>
        <w:rPr>
          <w:rFonts w:cs="宋体"/>
          <w:sz w:val="24"/>
          <w:szCs w:val="24"/>
        </w:rPr>
      </w:pPr>
      <w:r>
        <w:rPr>
          <w:rFonts w:hint="default" w:eastAsia="黑体" w:asciiTheme="minorAscii" w:hAnsiTheme="minorAscii"/>
          <w:b w:val="0"/>
          <w:bCs w:val="0"/>
          <w:sz w:val="24"/>
          <w:szCs w:val="24"/>
        </w:rPr>
        <w:t>2）</w:t>
      </w:r>
      <w:r>
        <w:rPr>
          <w:rFonts w:hint="eastAsia" w:cs="宋体"/>
          <w:sz w:val="24"/>
          <w:szCs w:val="24"/>
        </w:rPr>
        <w:t>螺栓连接等非现场焊接节点占现场全部连接、拼接节点的数量比例达到50%，得</w:t>
      </w:r>
      <w:r>
        <w:rPr>
          <w:rFonts w:hint="eastAsia" w:cs="宋体"/>
          <w:sz w:val="24"/>
          <w:szCs w:val="24"/>
          <w:lang w:val="en-US" w:eastAsia="zh-CN"/>
        </w:rPr>
        <w:t>3</w:t>
      </w:r>
      <w:r>
        <w:rPr>
          <w:rFonts w:hint="eastAsia" w:cs="宋体"/>
          <w:sz w:val="24"/>
          <w:szCs w:val="24"/>
        </w:rPr>
        <w:t>分；</w:t>
      </w:r>
    </w:p>
    <w:p w14:paraId="030F8884">
      <w:pPr>
        <w:spacing w:line="360" w:lineRule="auto"/>
        <w:ind w:firstLine="960" w:firstLineChars="400"/>
        <w:rPr>
          <w:rFonts w:cs="宋体"/>
          <w:sz w:val="24"/>
          <w:szCs w:val="24"/>
        </w:rPr>
      </w:pPr>
      <w:r>
        <w:rPr>
          <w:rFonts w:hint="default" w:eastAsia="黑体" w:asciiTheme="minorAscii" w:hAnsiTheme="minorAscii"/>
          <w:b w:val="0"/>
          <w:bCs w:val="0"/>
          <w:sz w:val="24"/>
          <w:szCs w:val="24"/>
        </w:rPr>
        <w:t>3）</w:t>
      </w:r>
      <w:r>
        <w:rPr>
          <w:rFonts w:hint="eastAsia" w:cs="宋体"/>
          <w:sz w:val="24"/>
          <w:szCs w:val="24"/>
        </w:rPr>
        <w:t>采用免支撑楼屋面板体系，得</w:t>
      </w:r>
      <w:r>
        <w:rPr>
          <w:rFonts w:hint="eastAsia" w:cs="宋体"/>
          <w:sz w:val="24"/>
          <w:szCs w:val="24"/>
          <w:lang w:val="en-US" w:eastAsia="zh-CN"/>
        </w:rPr>
        <w:t>3</w:t>
      </w:r>
      <w:r>
        <w:rPr>
          <w:rFonts w:hint="eastAsia" w:cs="宋体"/>
          <w:sz w:val="24"/>
          <w:szCs w:val="24"/>
        </w:rPr>
        <w:t>分。</w:t>
      </w:r>
    </w:p>
    <w:p w14:paraId="08F1E3DA">
      <w:pPr>
        <w:spacing w:line="360" w:lineRule="auto"/>
        <w:rPr>
          <w:rFonts w:cs="宋体"/>
          <w:sz w:val="24"/>
          <w:szCs w:val="24"/>
        </w:rPr>
      </w:pPr>
      <w:r>
        <w:rPr>
          <w:rFonts w:ascii="Times New Roman" w:eastAsia="黑体"/>
          <w:b/>
          <w:bCs/>
          <w:sz w:val="24"/>
          <w:szCs w:val="24"/>
        </w:rPr>
        <w:t>7.2.</w:t>
      </w:r>
      <w:r>
        <w:rPr>
          <w:rFonts w:hint="default" w:ascii="Times New Roman" w:eastAsia="黑体"/>
          <w:b/>
          <w:bCs/>
          <w:sz w:val="24"/>
          <w:szCs w:val="24"/>
        </w:rPr>
        <w:t>2</w:t>
      </w:r>
      <w:r>
        <w:rPr>
          <w:rFonts w:hint="eastAsia"/>
          <w:sz w:val="24"/>
          <w:szCs w:val="24"/>
        </w:rPr>
        <w:t>　</w:t>
      </w:r>
      <w:r>
        <w:rPr>
          <w:rFonts w:hint="eastAsia" w:cs="宋体"/>
          <w:sz w:val="24"/>
          <w:szCs w:val="24"/>
        </w:rPr>
        <w:t>选用高耐久性建筑材料，评价总分值为</w:t>
      </w:r>
      <w:r>
        <w:rPr>
          <w:rFonts w:hint="eastAsia" w:cs="宋体"/>
          <w:sz w:val="24"/>
          <w:szCs w:val="24"/>
          <w:lang w:val="en-US" w:eastAsia="zh-CN"/>
        </w:rPr>
        <w:t>7</w:t>
      </w:r>
      <w:r>
        <w:rPr>
          <w:rFonts w:hint="eastAsia" w:cs="宋体"/>
          <w:sz w:val="24"/>
          <w:szCs w:val="24"/>
        </w:rPr>
        <w:t>分，应按下列规则分别评分并累计：</w:t>
      </w:r>
    </w:p>
    <w:p w14:paraId="1926BBA3">
      <w:pPr>
        <w:spacing w:line="360" w:lineRule="auto"/>
        <w:ind w:firstLine="482" w:firstLineChars="200"/>
        <w:rPr>
          <w:rFonts w:cs="宋体"/>
          <w:sz w:val="24"/>
          <w:szCs w:val="24"/>
        </w:rPr>
      </w:pPr>
      <w:r>
        <w:rPr>
          <w:rFonts w:ascii="Times New Roman" w:eastAsia="黑体"/>
          <w:b/>
          <w:bCs/>
          <w:sz w:val="24"/>
          <w:szCs w:val="24"/>
        </w:rPr>
        <w:t>1</w:t>
      </w:r>
      <w:r>
        <w:rPr>
          <w:rFonts w:hint="eastAsia" w:cs="宋体"/>
          <w:sz w:val="24"/>
          <w:szCs w:val="24"/>
        </w:rPr>
        <w:t>　对于混凝土结构，采用高耐久性混凝土，得</w:t>
      </w:r>
      <w:r>
        <w:rPr>
          <w:rFonts w:hint="eastAsia" w:cs="宋体"/>
          <w:sz w:val="24"/>
          <w:szCs w:val="24"/>
          <w:lang w:val="en-US" w:eastAsia="zh-CN"/>
        </w:rPr>
        <w:t>4</w:t>
      </w:r>
      <w:r>
        <w:rPr>
          <w:rFonts w:hint="eastAsia" w:cs="宋体"/>
          <w:sz w:val="24"/>
          <w:szCs w:val="24"/>
        </w:rPr>
        <w:t>分；对于钢结构，采用耐候结构钢或耐候型防腐涂料，得</w:t>
      </w:r>
      <w:r>
        <w:rPr>
          <w:rFonts w:hint="eastAsia" w:cs="宋体"/>
          <w:sz w:val="24"/>
          <w:szCs w:val="24"/>
          <w:lang w:val="en-US" w:eastAsia="zh-CN"/>
        </w:rPr>
        <w:t>4</w:t>
      </w:r>
      <w:r>
        <w:rPr>
          <w:rFonts w:hint="eastAsia" w:cs="宋体"/>
          <w:sz w:val="24"/>
          <w:szCs w:val="24"/>
        </w:rPr>
        <w:t>分；对于木结构，采用防腐木材、耐久木材或耐久木制品，得</w:t>
      </w:r>
      <w:r>
        <w:rPr>
          <w:rFonts w:hint="eastAsia" w:cs="宋体"/>
          <w:sz w:val="24"/>
          <w:szCs w:val="24"/>
          <w:lang w:val="en-US" w:eastAsia="zh-CN"/>
        </w:rPr>
        <w:t>4</w:t>
      </w:r>
      <w:r>
        <w:rPr>
          <w:rFonts w:hint="eastAsia" w:cs="宋体"/>
          <w:sz w:val="24"/>
          <w:szCs w:val="24"/>
        </w:rPr>
        <w:t>分；</w:t>
      </w:r>
    </w:p>
    <w:p w14:paraId="77F4B8E8">
      <w:pPr>
        <w:spacing w:line="360" w:lineRule="auto"/>
        <w:ind w:firstLine="482" w:firstLineChars="200"/>
        <w:rPr>
          <w:rFonts w:cs="宋体"/>
          <w:sz w:val="24"/>
          <w:szCs w:val="24"/>
        </w:rPr>
      </w:pPr>
      <w:r>
        <w:rPr>
          <w:rFonts w:ascii="Times New Roman" w:eastAsia="黑体"/>
          <w:b/>
          <w:bCs/>
          <w:sz w:val="24"/>
          <w:szCs w:val="24"/>
        </w:rPr>
        <w:t>2</w:t>
      </w:r>
      <w:r>
        <w:rPr>
          <w:rFonts w:hint="eastAsia" w:cs="宋体"/>
          <w:sz w:val="24"/>
          <w:szCs w:val="24"/>
        </w:rPr>
        <w:t>　采用环保、耐久性好的粘结材料，</w:t>
      </w:r>
      <w:r>
        <w:rPr>
          <w:rFonts w:hint="eastAsia" w:cs="宋体"/>
          <w:sz w:val="24"/>
          <w:szCs w:val="24"/>
          <w:lang w:val="en-US" w:eastAsia="zh-CN"/>
        </w:rPr>
        <w:t>得</w:t>
      </w:r>
      <w:r>
        <w:rPr>
          <w:rFonts w:hint="eastAsia" w:cs="宋体"/>
          <w:sz w:val="24"/>
          <w:szCs w:val="24"/>
        </w:rPr>
        <w:t>1分；</w:t>
      </w:r>
    </w:p>
    <w:p w14:paraId="4BA7F424">
      <w:pPr>
        <w:spacing w:line="360" w:lineRule="auto"/>
        <w:ind w:firstLine="482" w:firstLineChars="200"/>
        <w:rPr>
          <w:rFonts w:cs="宋体"/>
          <w:sz w:val="24"/>
          <w:szCs w:val="24"/>
        </w:rPr>
      </w:pPr>
      <w:r>
        <w:rPr>
          <w:rFonts w:ascii="Times New Roman" w:eastAsia="黑体"/>
          <w:b/>
          <w:bCs/>
          <w:sz w:val="24"/>
          <w:szCs w:val="24"/>
        </w:rPr>
        <w:t>3</w:t>
      </w:r>
      <w:r>
        <w:rPr>
          <w:rFonts w:hint="eastAsia" w:cs="宋体"/>
          <w:sz w:val="24"/>
          <w:szCs w:val="24"/>
        </w:rPr>
        <w:t xml:space="preserve">  </w:t>
      </w:r>
      <w:r>
        <w:rPr>
          <w:rFonts w:hint="eastAsia" w:cs="宋体"/>
          <w:sz w:val="24"/>
          <w:szCs w:val="24"/>
          <w:highlight w:val="none"/>
        </w:rPr>
        <w:t>建筑新增外围护结构的设计工作年限同主体结构的面积比例达到30%，得</w:t>
      </w:r>
      <w:r>
        <w:rPr>
          <w:rFonts w:hint="eastAsia" w:cs="宋体"/>
          <w:sz w:val="24"/>
          <w:szCs w:val="24"/>
          <w:highlight w:val="none"/>
          <w:lang w:val="en-US" w:eastAsia="zh-CN"/>
        </w:rPr>
        <w:t>2</w:t>
      </w:r>
      <w:r>
        <w:rPr>
          <w:rFonts w:hint="eastAsia" w:cs="宋体"/>
          <w:sz w:val="24"/>
          <w:szCs w:val="24"/>
          <w:highlight w:val="none"/>
        </w:rPr>
        <w:t>分。</w:t>
      </w:r>
    </w:p>
    <w:p w14:paraId="5A959D68">
      <w:pPr>
        <w:spacing w:line="360" w:lineRule="auto"/>
        <w:rPr>
          <w:bCs/>
          <w:sz w:val="24"/>
          <w:szCs w:val="24"/>
        </w:rPr>
      </w:pPr>
      <w:r>
        <w:rPr>
          <w:rFonts w:ascii="Times New Roman" w:eastAsia="黑体"/>
          <w:b/>
          <w:bCs/>
          <w:sz w:val="24"/>
          <w:szCs w:val="24"/>
        </w:rPr>
        <w:t>7.2.</w:t>
      </w:r>
      <w:r>
        <w:rPr>
          <w:rFonts w:hint="default" w:ascii="Times New Roman" w:eastAsia="黑体"/>
          <w:b/>
          <w:bCs/>
          <w:sz w:val="24"/>
          <w:szCs w:val="24"/>
        </w:rPr>
        <w:t>3</w:t>
      </w:r>
      <w:r>
        <w:rPr>
          <w:rFonts w:hint="eastAsia"/>
          <w:sz w:val="24"/>
          <w:szCs w:val="24"/>
        </w:rPr>
        <w:t>　</w:t>
      </w:r>
      <w:r>
        <w:rPr>
          <w:rFonts w:hint="eastAsia" w:cs="宋体"/>
          <w:sz w:val="24"/>
          <w:szCs w:val="24"/>
        </w:rPr>
        <w:t>选用可再循环材料、可再利用材料及利废建材，</w:t>
      </w:r>
      <w:r>
        <w:rPr>
          <w:rFonts w:hint="eastAsia"/>
          <w:bCs/>
          <w:sz w:val="24"/>
          <w:szCs w:val="24"/>
        </w:rPr>
        <w:t>评价总分值为1</w:t>
      </w:r>
      <w:r>
        <w:rPr>
          <w:rFonts w:hint="eastAsia"/>
          <w:bCs/>
          <w:sz w:val="24"/>
          <w:szCs w:val="24"/>
          <w:lang w:val="en-US" w:eastAsia="zh-CN"/>
        </w:rPr>
        <w:t>5</w:t>
      </w:r>
      <w:r>
        <w:rPr>
          <w:rFonts w:hint="eastAsia"/>
          <w:bCs/>
          <w:sz w:val="24"/>
          <w:szCs w:val="24"/>
        </w:rPr>
        <w:t>分，并按下列规则分别评分并累计</w:t>
      </w:r>
      <w:r>
        <w:rPr>
          <w:bCs/>
          <w:sz w:val="24"/>
          <w:szCs w:val="24"/>
        </w:rPr>
        <w:t>：</w:t>
      </w:r>
    </w:p>
    <w:p w14:paraId="556DC2F0">
      <w:pPr>
        <w:spacing w:line="360" w:lineRule="auto"/>
        <w:ind w:firstLine="420"/>
        <w:rPr>
          <w:bCs/>
          <w:sz w:val="24"/>
          <w:szCs w:val="24"/>
        </w:rPr>
      </w:pPr>
      <w:r>
        <w:rPr>
          <w:b/>
          <w:bCs/>
          <w:sz w:val="24"/>
          <w:szCs w:val="24"/>
        </w:rPr>
        <w:t>1</w:t>
      </w:r>
      <w:r>
        <w:rPr>
          <w:bCs/>
          <w:sz w:val="24"/>
          <w:szCs w:val="24"/>
        </w:rPr>
        <w:t>可再循环材料和可再利用材料用量比例</w:t>
      </w:r>
      <w:r>
        <w:rPr>
          <w:rFonts w:hint="eastAsia"/>
          <w:bCs/>
          <w:sz w:val="24"/>
          <w:szCs w:val="24"/>
        </w:rPr>
        <w:t>达到10%</w:t>
      </w:r>
      <w:r>
        <w:rPr>
          <w:bCs/>
          <w:sz w:val="24"/>
          <w:szCs w:val="24"/>
        </w:rPr>
        <w:t>，得</w:t>
      </w:r>
      <w:r>
        <w:rPr>
          <w:rFonts w:hint="eastAsia"/>
          <w:bCs/>
          <w:sz w:val="24"/>
          <w:szCs w:val="24"/>
          <w:lang w:val="en-US" w:eastAsia="zh-CN"/>
        </w:rPr>
        <w:t>5</w:t>
      </w:r>
      <w:r>
        <w:rPr>
          <w:bCs/>
          <w:sz w:val="24"/>
          <w:szCs w:val="24"/>
        </w:rPr>
        <w:t>分</w:t>
      </w:r>
      <w:r>
        <w:rPr>
          <w:rFonts w:hint="eastAsia"/>
          <w:bCs/>
          <w:sz w:val="24"/>
          <w:szCs w:val="24"/>
        </w:rPr>
        <w:t>；达到15%</w:t>
      </w:r>
      <w:r>
        <w:rPr>
          <w:bCs/>
          <w:sz w:val="24"/>
          <w:szCs w:val="24"/>
        </w:rPr>
        <w:t>，得</w:t>
      </w:r>
      <w:r>
        <w:rPr>
          <w:rFonts w:hint="eastAsia"/>
          <w:bCs/>
          <w:sz w:val="24"/>
          <w:szCs w:val="24"/>
          <w:lang w:val="en-US" w:eastAsia="zh-CN"/>
        </w:rPr>
        <w:t>8</w:t>
      </w:r>
      <w:r>
        <w:rPr>
          <w:bCs/>
          <w:sz w:val="24"/>
          <w:szCs w:val="24"/>
        </w:rPr>
        <w:t>分</w:t>
      </w:r>
      <w:r>
        <w:rPr>
          <w:rFonts w:hint="eastAsia"/>
          <w:bCs/>
          <w:sz w:val="24"/>
          <w:szCs w:val="24"/>
        </w:rPr>
        <w:t>。</w:t>
      </w:r>
    </w:p>
    <w:p w14:paraId="6EDC4840">
      <w:pPr>
        <w:spacing w:line="360" w:lineRule="auto"/>
        <w:ind w:firstLine="482" w:firstLineChars="200"/>
        <w:rPr>
          <w:sz w:val="24"/>
          <w:szCs w:val="24"/>
        </w:rPr>
      </w:pPr>
      <w:r>
        <w:rPr>
          <w:rFonts w:hint="eastAsia"/>
          <w:b/>
          <w:sz w:val="24"/>
          <w:szCs w:val="24"/>
        </w:rPr>
        <w:t>2</w:t>
      </w:r>
      <w:r>
        <w:rPr>
          <w:rFonts w:hint="eastAsia"/>
          <w:sz w:val="24"/>
          <w:szCs w:val="24"/>
        </w:rPr>
        <w:t>利废建材选用及其用量比例，按下列规则评分：</w:t>
      </w:r>
    </w:p>
    <w:p w14:paraId="13CCC201">
      <w:pPr>
        <w:spacing w:line="360" w:lineRule="auto"/>
        <w:ind w:firstLine="720" w:firstLineChars="300"/>
        <w:rPr>
          <w:rFonts w:hint="eastAsia" w:eastAsia="宋体"/>
          <w:sz w:val="24"/>
          <w:szCs w:val="24"/>
          <w:lang w:eastAsia="zh-CN"/>
        </w:rPr>
      </w:pPr>
      <w:r>
        <w:rPr>
          <w:rFonts w:eastAsia="黑体" w:asciiTheme="minorAscii" w:hAnsiTheme="minorAscii"/>
          <w:sz w:val="24"/>
          <w:szCs w:val="24"/>
        </w:rPr>
        <w:t>1</w:t>
      </w:r>
      <w:r>
        <w:rPr>
          <w:rFonts w:hint="default" w:eastAsia="黑体" w:asciiTheme="minorAscii" w:hAnsiTheme="minorAscii"/>
          <w:sz w:val="24"/>
          <w:szCs w:val="24"/>
        </w:rPr>
        <w:t>）</w:t>
      </w:r>
      <w:r>
        <w:rPr>
          <w:rFonts w:hint="eastAsia"/>
          <w:sz w:val="24"/>
          <w:szCs w:val="24"/>
        </w:rPr>
        <w:t>采用一种利废建材，其占同类建材的用量比例不低于50%，得</w:t>
      </w:r>
      <w:r>
        <w:rPr>
          <w:rFonts w:hint="eastAsia"/>
          <w:sz w:val="24"/>
          <w:szCs w:val="24"/>
          <w:lang w:val="en-US" w:eastAsia="zh-CN"/>
        </w:rPr>
        <w:t>7</w:t>
      </w:r>
      <w:r>
        <w:rPr>
          <w:rFonts w:hint="eastAsia"/>
          <w:sz w:val="24"/>
          <w:szCs w:val="24"/>
        </w:rPr>
        <w:t>分</w:t>
      </w:r>
      <w:r>
        <w:rPr>
          <w:rFonts w:hint="eastAsia"/>
          <w:sz w:val="24"/>
          <w:szCs w:val="24"/>
          <w:lang w:eastAsia="zh-CN"/>
        </w:rPr>
        <w:t>；</w:t>
      </w:r>
    </w:p>
    <w:p w14:paraId="313B527E">
      <w:pPr>
        <w:spacing w:line="360" w:lineRule="auto"/>
        <w:ind w:firstLine="720" w:firstLineChars="300"/>
        <w:rPr>
          <w:sz w:val="24"/>
          <w:szCs w:val="24"/>
        </w:rPr>
      </w:pPr>
      <w:r>
        <w:rPr>
          <w:rFonts w:eastAsia="黑体" w:asciiTheme="minorAscii" w:hAnsiTheme="minorAscii"/>
          <w:sz w:val="24"/>
          <w:szCs w:val="24"/>
        </w:rPr>
        <w:t>2</w:t>
      </w:r>
      <w:r>
        <w:rPr>
          <w:rFonts w:hint="default" w:eastAsia="黑体" w:asciiTheme="minorAscii" w:hAnsiTheme="minorAscii"/>
          <w:sz w:val="24"/>
          <w:szCs w:val="24"/>
        </w:rPr>
        <w:t>）</w:t>
      </w:r>
      <w:r>
        <w:rPr>
          <w:rFonts w:hint="eastAsia"/>
          <w:sz w:val="24"/>
          <w:szCs w:val="24"/>
        </w:rPr>
        <w:t>选用二种及以上的利废建材，每一种占同类建材的用量比例均不低于30%，得</w:t>
      </w:r>
      <w:r>
        <w:rPr>
          <w:rFonts w:hint="eastAsia"/>
          <w:sz w:val="24"/>
          <w:szCs w:val="24"/>
          <w:lang w:val="en-US" w:eastAsia="zh-CN"/>
        </w:rPr>
        <w:t>7</w:t>
      </w:r>
      <w:r>
        <w:rPr>
          <w:rFonts w:hint="eastAsia"/>
          <w:sz w:val="24"/>
          <w:szCs w:val="24"/>
        </w:rPr>
        <w:t>分</w:t>
      </w:r>
      <w:r>
        <w:rPr>
          <w:sz w:val="24"/>
          <w:szCs w:val="24"/>
        </w:rPr>
        <w:t>。</w:t>
      </w:r>
    </w:p>
    <w:p w14:paraId="595BF64B">
      <w:pPr>
        <w:spacing w:line="360" w:lineRule="auto"/>
        <w:rPr>
          <w:rFonts w:cs="宋体"/>
          <w:sz w:val="24"/>
          <w:szCs w:val="24"/>
        </w:rPr>
      </w:pPr>
      <w:r>
        <w:rPr>
          <w:rFonts w:ascii="Times New Roman" w:eastAsia="黑体"/>
          <w:b/>
          <w:bCs/>
          <w:sz w:val="24"/>
          <w:szCs w:val="24"/>
        </w:rPr>
        <w:t>7.2.</w:t>
      </w:r>
      <w:r>
        <w:rPr>
          <w:rFonts w:hint="default" w:ascii="Times New Roman" w:eastAsia="黑体"/>
          <w:b/>
          <w:bCs/>
          <w:sz w:val="24"/>
          <w:szCs w:val="24"/>
        </w:rPr>
        <w:t>4</w:t>
      </w:r>
      <w:r>
        <w:rPr>
          <w:rFonts w:hint="eastAsia"/>
          <w:sz w:val="24"/>
          <w:szCs w:val="24"/>
        </w:rPr>
        <w:t>　</w:t>
      </w:r>
      <w:r>
        <w:rPr>
          <w:rFonts w:hint="eastAsia" w:cs="宋体"/>
          <w:sz w:val="24"/>
          <w:szCs w:val="24"/>
        </w:rPr>
        <w:t>选用绿色建材，评价总分值为</w:t>
      </w:r>
      <w:r>
        <w:rPr>
          <w:rFonts w:hint="eastAsia" w:cs="宋体"/>
          <w:sz w:val="24"/>
          <w:szCs w:val="24"/>
          <w:lang w:val="en-US" w:eastAsia="zh-CN"/>
        </w:rPr>
        <w:t>8</w:t>
      </w:r>
      <w:r>
        <w:rPr>
          <w:rFonts w:hint="eastAsia" w:cs="宋体"/>
          <w:sz w:val="24"/>
          <w:szCs w:val="24"/>
        </w:rPr>
        <w:t>分。选用一种绿色建材且占同类建材应用比例不低于10%，得</w:t>
      </w:r>
      <w:r>
        <w:rPr>
          <w:rFonts w:hint="eastAsia" w:cs="宋体"/>
          <w:sz w:val="24"/>
          <w:szCs w:val="24"/>
          <w:lang w:val="en-US" w:eastAsia="zh-CN"/>
        </w:rPr>
        <w:t>4</w:t>
      </w:r>
      <w:r>
        <w:rPr>
          <w:rFonts w:hint="eastAsia" w:cs="宋体"/>
          <w:sz w:val="24"/>
          <w:szCs w:val="24"/>
        </w:rPr>
        <w:t>分；选用一种绿色建材且占同类建材应用比例不低于30%，或选用两种或两种以上绿色建材且分别占同类建材应用比例不低于10%，得</w:t>
      </w:r>
      <w:r>
        <w:rPr>
          <w:rFonts w:hint="eastAsia" w:cs="宋体"/>
          <w:sz w:val="24"/>
          <w:szCs w:val="24"/>
          <w:lang w:val="en-US" w:eastAsia="zh-CN"/>
        </w:rPr>
        <w:t>8</w:t>
      </w:r>
      <w:r>
        <w:rPr>
          <w:rFonts w:hint="eastAsia" w:cs="宋体"/>
          <w:sz w:val="24"/>
          <w:szCs w:val="24"/>
        </w:rPr>
        <w:t>分。</w:t>
      </w:r>
    </w:p>
    <w:p w14:paraId="3C77BA6C">
      <w:pPr>
        <w:pStyle w:val="28"/>
        <w:spacing w:before="0" w:beforeLines="0" w:after="0" w:afterLines="0" w:line="360" w:lineRule="auto"/>
        <w:ind w:firstLine="0" w:firstLineChars="0"/>
        <w:jc w:val="center"/>
        <w:outlineLvl w:val="2"/>
        <w:rPr>
          <w:rFonts w:hint="eastAsia" w:ascii="仿宋" w:hAnsi="仿宋" w:eastAsia="仿宋" w:cs="仿宋"/>
          <w:bCs/>
          <w:sz w:val="28"/>
          <w:szCs w:val="28"/>
        </w:rPr>
      </w:pPr>
      <w:r>
        <w:rPr>
          <w:rFonts w:hint="eastAsia" w:cs="Times New Roman"/>
          <w:b/>
          <w:bCs/>
          <w:sz w:val="28"/>
          <w:szCs w:val="28"/>
        </w:rPr>
        <w:t xml:space="preserve">Ⅱ </w:t>
      </w:r>
      <w:r>
        <w:rPr>
          <w:rFonts w:hint="eastAsia" w:ascii="仿宋" w:hAnsi="仿宋" w:eastAsia="仿宋" w:cs="仿宋"/>
          <w:b/>
          <w:sz w:val="28"/>
          <w:szCs w:val="28"/>
        </w:rPr>
        <w:t>低碳结构设计</w:t>
      </w:r>
    </w:p>
    <w:p w14:paraId="20082436">
      <w:pPr>
        <w:spacing w:line="360" w:lineRule="auto"/>
        <w:rPr>
          <w:rFonts w:hint="eastAsia" w:ascii="宋体" w:hAnsi="宋体" w:cs="宋体"/>
          <w:sz w:val="24"/>
          <w:szCs w:val="24"/>
        </w:rPr>
      </w:pPr>
      <w:r>
        <w:rPr>
          <w:rFonts w:hint="default" w:ascii="Times New Roman" w:eastAsia="黑体"/>
          <w:b/>
          <w:bCs/>
          <w:sz w:val="24"/>
          <w:szCs w:val="24"/>
        </w:rPr>
        <w:t>7.2.5</w:t>
      </w:r>
      <w:r>
        <w:rPr>
          <w:rFonts w:hint="eastAsia"/>
          <w:sz w:val="24"/>
          <w:szCs w:val="24"/>
        </w:rPr>
        <w:t>　既有工业建筑民用化低碳改造应充分利用原结构构件，评价总分值为</w:t>
      </w:r>
      <w:r>
        <w:rPr>
          <w:rFonts w:hint="eastAsia"/>
          <w:sz w:val="24"/>
          <w:szCs w:val="24"/>
          <w:lang w:val="en-US" w:eastAsia="zh-CN"/>
        </w:rPr>
        <w:t>20</w:t>
      </w:r>
      <w:r>
        <w:rPr>
          <w:rFonts w:hint="eastAsia"/>
          <w:sz w:val="24"/>
          <w:szCs w:val="24"/>
        </w:rPr>
        <w:t>分。原结构构件利用率不小于50%，得</w:t>
      </w:r>
      <w:r>
        <w:rPr>
          <w:rFonts w:hint="eastAsia"/>
          <w:sz w:val="24"/>
          <w:szCs w:val="24"/>
          <w:lang w:val="en-US" w:eastAsia="zh-CN"/>
        </w:rPr>
        <w:t>10</w:t>
      </w:r>
      <w:r>
        <w:rPr>
          <w:rFonts w:hint="eastAsia"/>
          <w:sz w:val="24"/>
          <w:szCs w:val="24"/>
        </w:rPr>
        <w:t>分；不小于70%，得</w:t>
      </w:r>
      <w:r>
        <w:rPr>
          <w:rFonts w:hint="eastAsia"/>
          <w:sz w:val="24"/>
          <w:szCs w:val="24"/>
          <w:lang w:val="en-US" w:eastAsia="zh-CN"/>
        </w:rPr>
        <w:t>2</w:t>
      </w:r>
      <w:r>
        <w:rPr>
          <w:rFonts w:hint="eastAsia"/>
          <w:sz w:val="24"/>
          <w:szCs w:val="24"/>
        </w:rPr>
        <w:t>0分。</w:t>
      </w:r>
    </w:p>
    <w:p w14:paraId="4AD52C6E">
      <w:pPr>
        <w:spacing w:line="360" w:lineRule="auto"/>
        <w:rPr>
          <w:sz w:val="24"/>
          <w:szCs w:val="24"/>
        </w:rPr>
      </w:pPr>
      <w:r>
        <w:rPr>
          <w:rFonts w:ascii="Times New Roman" w:eastAsia="黑体"/>
          <w:b/>
          <w:bCs/>
          <w:sz w:val="24"/>
          <w:szCs w:val="24"/>
        </w:rPr>
        <w:t>7.2.</w:t>
      </w:r>
      <w:r>
        <w:rPr>
          <w:rFonts w:hint="default" w:ascii="Times New Roman" w:eastAsia="黑体"/>
          <w:b/>
          <w:bCs/>
          <w:sz w:val="24"/>
          <w:szCs w:val="24"/>
        </w:rPr>
        <w:t>6</w:t>
      </w:r>
      <w:r>
        <w:rPr>
          <w:rFonts w:hint="eastAsia"/>
          <w:sz w:val="24"/>
          <w:szCs w:val="24"/>
        </w:rPr>
        <w:t>　</w:t>
      </w:r>
      <w:r>
        <w:rPr>
          <w:rFonts w:hint="eastAsia" w:cs="宋体"/>
          <w:sz w:val="24"/>
          <w:szCs w:val="24"/>
        </w:rPr>
        <w:t>新增结构构件为低碳构件，</w:t>
      </w:r>
      <w:r>
        <w:rPr>
          <w:rFonts w:hint="eastAsia"/>
          <w:sz w:val="24"/>
          <w:szCs w:val="24"/>
        </w:rPr>
        <w:t>评价总分值为10分，并按下列规则评分：</w:t>
      </w:r>
    </w:p>
    <w:p w14:paraId="08526A68">
      <w:pPr>
        <w:spacing w:line="360" w:lineRule="auto"/>
        <w:ind w:firstLine="482" w:firstLineChars="200"/>
        <w:rPr>
          <w:sz w:val="24"/>
          <w:szCs w:val="24"/>
        </w:rPr>
      </w:pPr>
      <w:r>
        <w:rPr>
          <w:rFonts w:ascii="Times New Roman" w:eastAsia="黑体"/>
          <w:b/>
          <w:bCs/>
          <w:sz w:val="24"/>
          <w:szCs w:val="24"/>
        </w:rPr>
        <w:t>1</w:t>
      </w:r>
      <w:r>
        <w:rPr>
          <w:rFonts w:hint="eastAsia"/>
          <w:sz w:val="24"/>
          <w:szCs w:val="24"/>
        </w:rPr>
        <w:t xml:space="preserve">  选用木构件或竹构件，得10分。</w:t>
      </w:r>
    </w:p>
    <w:p w14:paraId="01421CB6">
      <w:pPr>
        <w:spacing w:line="360" w:lineRule="auto"/>
        <w:ind w:firstLine="482" w:firstLineChars="200"/>
        <w:rPr>
          <w:sz w:val="24"/>
          <w:szCs w:val="24"/>
        </w:rPr>
      </w:pPr>
      <w:r>
        <w:rPr>
          <w:rFonts w:ascii="Times New Roman" w:eastAsia="黑体"/>
          <w:b/>
          <w:bCs/>
          <w:sz w:val="24"/>
          <w:szCs w:val="24"/>
        </w:rPr>
        <w:t>2</w:t>
      </w:r>
      <w:r>
        <w:rPr>
          <w:rFonts w:hint="eastAsia"/>
          <w:sz w:val="24"/>
          <w:szCs w:val="24"/>
        </w:rPr>
        <w:t xml:space="preserve">  选用钢结构构件，且构件数量占比达到50%，得10分。</w:t>
      </w:r>
    </w:p>
    <w:p w14:paraId="3EFD37F9">
      <w:pPr>
        <w:spacing w:line="360" w:lineRule="auto"/>
        <w:rPr>
          <w:rFonts w:cs="宋体"/>
          <w:sz w:val="24"/>
          <w:szCs w:val="24"/>
        </w:rPr>
      </w:pPr>
      <w:r>
        <w:rPr>
          <w:rFonts w:ascii="Times New Roman" w:eastAsia="黑体"/>
          <w:b/>
          <w:bCs/>
          <w:sz w:val="24"/>
          <w:szCs w:val="24"/>
        </w:rPr>
        <w:t>7.2.</w:t>
      </w:r>
      <w:r>
        <w:rPr>
          <w:rFonts w:hint="default" w:ascii="Times New Roman" w:eastAsia="黑体"/>
          <w:b/>
          <w:bCs/>
          <w:sz w:val="24"/>
          <w:szCs w:val="24"/>
        </w:rPr>
        <w:t>7</w:t>
      </w:r>
      <w:r>
        <w:rPr>
          <w:rFonts w:hint="eastAsia"/>
          <w:sz w:val="24"/>
          <w:szCs w:val="24"/>
        </w:rPr>
        <w:t>　</w:t>
      </w:r>
      <w:r>
        <w:rPr>
          <w:rFonts w:hint="eastAsia" w:cs="宋体"/>
          <w:sz w:val="24"/>
          <w:szCs w:val="24"/>
        </w:rPr>
        <w:t>既有工业建筑民用化低碳改造的结构加固方案采用干作业施工工法，评价总分值为</w:t>
      </w:r>
      <w:r>
        <w:rPr>
          <w:rFonts w:hint="eastAsia" w:cs="宋体"/>
          <w:sz w:val="24"/>
          <w:szCs w:val="24"/>
          <w:lang w:val="en-US" w:eastAsia="zh-CN"/>
        </w:rPr>
        <w:t>20</w:t>
      </w:r>
      <w:r>
        <w:rPr>
          <w:rFonts w:hint="eastAsia" w:cs="宋体"/>
          <w:sz w:val="24"/>
          <w:szCs w:val="24"/>
        </w:rPr>
        <w:t>分，应按下列规则评分：</w:t>
      </w:r>
    </w:p>
    <w:p w14:paraId="55742B8C">
      <w:pPr>
        <w:spacing w:line="360" w:lineRule="auto"/>
        <w:ind w:firstLine="482" w:firstLineChars="200"/>
        <w:rPr>
          <w:rFonts w:cs="宋体"/>
          <w:sz w:val="24"/>
          <w:szCs w:val="24"/>
        </w:rPr>
      </w:pPr>
      <w:r>
        <w:rPr>
          <w:rFonts w:ascii="Times New Roman" w:eastAsia="黑体"/>
          <w:b/>
          <w:bCs/>
          <w:sz w:val="24"/>
          <w:szCs w:val="24"/>
        </w:rPr>
        <w:t>1</w:t>
      </w:r>
      <w:r>
        <w:rPr>
          <w:rFonts w:hint="eastAsia" w:cs="宋体"/>
          <w:sz w:val="24"/>
          <w:szCs w:val="24"/>
        </w:rPr>
        <w:t>　结构不进行加固时，得</w:t>
      </w:r>
      <w:r>
        <w:rPr>
          <w:rFonts w:hint="eastAsia" w:cs="宋体"/>
          <w:sz w:val="24"/>
          <w:szCs w:val="24"/>
          <w:lang w:val="en-US" w:eastAsia="zh-CN"/>
        </w:rPr>
        <w:t>20</w:t>
      </w:r>
      <w:r>
        <w:rPr>
          <w:rFonts w:hint="eastAsia" w:cs="宋体"/>
          <w:sz w:val="24"/>
          <w:szCs w:val="24"/>
        </w:rPr>
        <w:t>分；</w:t>
      </w:r>
    </w:p>
    <w:p w14:paraId="63548DFA">
      <w:pPr>
        <w:spacing w:line="360" w:lineRule="auto"/>
        <w:ind w:firstLine="482" w:firstLineChars="200"/>
        <w:rPr>
          <w:rFonts w:cs="宋体"/>
          <w:sz w:val="24"/>
          <w:szCs w:val="24"/>
        </w:rPr>
      </w:pPr>
      <w:r>
        <w:rPr>
          <w:rFonts w:ascii="Times New Roman" w:eastAsia="黑体"/>
          <w:b/>
          <w:bCs/>
          <w:sz w:val="24"/>
          <w:szCs w:val="24"/>
        </w:rPr>
        <w:t>2</w:t>
      </w:r>
      <w:r>
        <w:rPr>
          <w:rFonts w:hint="eastAsia" w:cs="宋体"/>
          <w:sz w:val="24"/>
          <w:szCs w:val="24"/>
        </w:rPr>
        <w:t xml:space="preserve">  竖向构件采用钢材加固时，得</w:t>
      </w:r>
      <w:r>
        <w:rPr>
          <w:rFonts w:hint="eastAsia" w:cs="宋体"/>
          <w:sz w:val="24"/>
          <w:szCs w:val="24"/>
          <w:lang w:val="en-US" w:eastAsia="zh-CN"/>
        </w:rPr>
        <w:t>10</w:t>
      </w:r>
      <w:r>
        <w:rPr>
          <w:rFonts w:hint="eastAsia" w:cs="宋体"/>
          <w:sz w:val="24"/>
          <w:szCs w:val="24"/>
        </w:rPr>
        <w:t>分；采用纤维复合材加固时，得</w:t>
      </w:r>
      <w:r>
        <w:rPr>
          <w:rFonts w:hint="eastAsia" w:cs="宋体"/>
          <w:sz w:val="24"/>
          <w:szCs w:val="24"/>
          <w:lang w:val="en-US" w:eastAsia="zh-CN"/>
        </w:rPr>
        <w:t>5</w:t>
      </w:r>
      <w:r>
        <w:rPr>
          <w:rFonts w:hint="eastAsia" w:cs="宋体"/>
          <w:sz w:val="24"/>
          <w:szCs w:val="24"/>
        </w:rPr>
        <w:t>分；</w:t>
      </w:r>
    </w:p>
    <w:p w14:paraId="788EE796">
      <w:pPr>
        <w:spacing w:line="360" w:lineRule="auto"/>
        <w:ind w:firstLine="482" w:firstLineChars="200"/>
        <w:rPr>
          <w:rFonts w:cs="宋体"/>
          <w:sz w:val="24"/>
          <w:szCs w:val="24"/>
        </w:rPr>
      </w:pPr>
      <w:r>
        <w:rPr>
          <w:rFonts w:ascii="Times New Roman" w:eastAsia="黑体"/>
          <w:b/>
          <w:bCs/>
          <w:sz w:val="24"/>
          <w:szCs w:val="24"/>
        </w:rPr>
        <w:t>3</w:t>
      </w:r>
      <w:r>
        <w:rPr>
          <w:rFonts w:hint="eastAsia" w:cs="宋体"/>
          <w:sz w:val="24"/>
          <w:szCs w:val="24"/>
        </w:rPr>
        <w:t xml:space="preserve">  水平构件采用钢材加固时，得</w:t>
      </w:r>
      <w:r>
        <w:rPr>
          <w:rFonts w:hint="eastAsia" w:cs="宋体"/>
          <w:sz w:val="24"/>
          <w:szCs w:val="24"/>
          <w:lang w:val="en-US" w:eastAsia="zh-CN"/>
        </w:rPr>
        <w:t>10</w:t>
      </w:r>
      <w:r>
        <w:rPr>
          <w:rFonts w:hint="eastAsia" w:cs="宋体"/>
          <w:sz w:val="24"/>
          <w:szCs w:val="24"/>
        </w:rPr>
        <w:t>分；采用纤维复合材加固时，得</w:t>
      </w:r>
      <w:r>
        <w:rPr>
          <w:rFonts w:hint="eastAsia" w:cs="宋体"/>
          <w:sz w:val="24"/>
          <w:szCs w:val="24"/>
          <w:lang w:val="en-US" w:eastAsia="zh-CN"/>
        </w:rPr>
        <w:t>5</w:t>
      </w:r>
      <w:r>
        <w:rPr>
          <w:rFonts w:hint="eastAsia" w:cs="宋体"/>
          <w:sz w:val="24"/>
          <w:szCs w:val="24"/>
        </w:rPr>
        <w:t>分。</w:t>
      </w:r>
    </w:p>
    <w:p w14:paraId="079120DE">
      <w:pPr>
        <w:spacing w:line="360" w:lineRule="auto"/>
        <w:rPr>
          <w:rFonts w:cs="宋体"/>
          <w:sz w:val="24"/>
          <w:szCs w:val="24"/>
        </w:rPr>
      </w:pPr>
      <w:r>
        <w:rPr>
          <w:rFonts w:ascii="Times New Roman" w:eastAsia="黑体"/>
          <w:b/>
          <w:bCs/>
          <w:sz w:val="24"/>
          <w:szCs w:val="24"/>
        </w:rPr>
        <w:t>7.2.</w:t>
      </w:r>
      <w:r>
        <w:rPr>
          <w:rFonts w:hint="default" w:ascii="Times New Roman" w:eastAsia="黑体"/>
          <w:b/>
          <w:bCs/>
          <w:sz w:val="24"/>
          <w:szCs w:val="24"/>
        </w:rPr>
        <w:t>8</w:t>
      </w:r>
      <w:r>
        <w:rPr>
          <w:rFonts w:hint="eastAsia"/>
          <w:sz w:val="24"/>
          <w:szCs w:val="24"/>
        </w:rPr>
        <w:t>　</w:t>
      </w:r>
      <w:r>
        <w:rPr>
          <w:rFonts w:hint="eastAsia" w:cs="宋体"/>
          <w:sz w:val="24"/>
          <w:szCs w:val="24"/>
        </w:rPr>
        <w:t>采用易于拆卸节点连接结构形式，评价分值为5分。</w:t>
      </w:r>
    </w:p>
    <w:p w14:paraId="69AED8DA">
      <w:pPr>
        <w:spacing w:line="360" w:lineRule="auto"/>
        <w:rPr>
          <w:sz w:val="24"/>
          <w:szCs w:val="24"/>
        </w:rPr>
      </w:pPr>
      <w:r>
        <w:rPr>
          <w:rFonts w:ascii="Times New Roman" w:eastAsia="黑体"/>
          <w:b/>
          <w:bCs/>
          <w:sz w:val="24"/>
          <w:szCs w:val="24"/>
        </w:rPr>
        <w:t>7.2.</w:t>
      </w:r>
      <w:r>
        <w:rPr>
          <w:rFonts w:hint="default" w:ascii="Times New Roman" w:eastAsia="黑体"/>
          <w:b/>
          <w:bCs/>
          <w:sz w:val="24"/>
          <w:szCs w:val="24"/>
        </w:rPr>
        <w:t>9</w:t>
      </w:r>
      <w:r>
        <w:rPr>
          <w:rFonts w:hint="eastAsia"/>
          <w:sz w:val="24"/>
          <w:szCs w:val="24"/>
        </w:rPr>
        <w:t>　</w:t>
      </w:r>
      <w:r>
        <w:rPr>
          <w:rFonts w:hint="eastAsia" w:cs="宋体"/>
          <w:sz w:val="24"/>
          <w:szCs w:val="24"/>
        </w:rPr>
        <w:t>合理采用隔震或消能减震加固技术，评价分值为5分。</w:t>
      </w:r>
    </w:p>
    <w:p w14:paraId="58F31D17">
      <w:pPr>
        <w:pStyle w:val="28"/>
        <w:spacing w:before="0" w:beforeLines="0" w:after="0" w:afterLines="0" w:line="360" w:lineRule="auto"/>
        <w:ind w:firstLine="0" w:firstLineChars="0"/>
        <w:jc w:val="center"/>
        <w:outlineLvl w:val="2"/>
        <w:rPr>
          <w:rFonts w:eastAsia="仿宋" w:cs="Times New Roman"/>
          <w:b/>
          <w:bCs/>
          <w:sz w:val="28"/>
          <w:szCs w:val="28"/>
        </w:rPr>
      </w:pPr>
      <w:r>
        <w:rPr>
          <w:rFonts w:hint="eastAsia" w:cs="Times New Roman"/>
          <w:b/>
          <w:bCs/>
          <w:sz w:val="28"/>
          <w:szCs w:val="28"/>
        </w:rPr>
        <w:t>Ⅲ</w:t>
      </w:r>
      <w:r>
        <w:rPr>
          <w:rFonts w:cs="Times New Roman"/>
          <w:b/>
          <w:bCs/>
          <w:sz w:val="28"/>
          <w:szCs w:val="28"/>
        </w:rPr>
        <w:t xml:space="preserve"> </w:t>
      </w:r>
      <w:r>
        <w:rPr>
          <w:rFonts w:hint="eastAsia" w:ascii="仿宋" w:hAnsi="仿宋" w:eastAsia="仿宋" w:cs="仿宋"/>
          <w:b/>
          <w:bCs/>
          <w:sz w:val="28"/>
          <w:szCs w:val="28"/>
        </w:rPr>
        <w:t>低碳施工</w:t>
      </w:r>
    </w:p>
    <w:p w14:paraId="2FE02322">
      <w:pPr>
        <w:spacing w:line="360" w:lineRule="auto"/>
        <w:rPr>
          <w:rFonts w:cs="宋体"/>
          <w:sz w:val="24"/>
          <w:szCs w:val="24"/>
        </w:rPr>
      </w:pPr>
      <w:r>
        <w:rPr>
          <w:rFonts w:ascii="Times New Roman" w:eastAsia="黑体"/>
          <w:b/>
          <w:bCs/>
          <w:sz w:val="24"/>
          <w:szCs w:val="24"/>
        </w:rPr>
        <w:t>7.2.1</w:t>
      </w:r>
      <w:r>
        <w:rPr>
          <w:rFonts w:hint="default" w:ascii="Times New Roman" w:eastAsia="黑体"/>
          <w:b/>
          <w:bCs/>
          <w:sz w:val="24"/>
          <w:szCs w:val="24"/>
        </w:rPr>
        <w:t>0</w:t>
      </w:r>
      <w:r>
        <w:rPr>
          <w:rFonts w:hint="eastAsia"/>
          <w:sz w:val="24"/>
          <w:szCs w:val="24"/>
        </w:rPr>
        <w:t>　</w:t>
      </w:r>
      <w:r>
        <w:rPr>
          <w:rFonts w:hint="eastAsia" w:cs="宋体"/>
          <w:sz w:val="24"/>
          <w:szCs w:val="24"/>
        </w:rPr>
        <w:t>新增建筑材料采用500km以内生产的材料，评价总分值为1</w:t>
      </w:r>
      <w:r>
        <w:rPr>
          <w:rFonts w:hint="eastAsia" w:cs="宋体"/>
          <w:sz w:val="24"/>
          <w:szCs w:val="24"/>
          <w:lang w:val="en-US" w:eastAsia="zh-CN"/>
        </w:rPr>
        <w:t>5</w:t>
      </w:r>
      <w:r>
        <w:rPr>
          <w:rFonts w:hint="eastAsia" w:cs="宋体"/>
          <w:sz w:val="24"/>
          <w:szCs w:val="24"/>
        </w:rPr>
        <w:t>分。500km以内生产的新增建筑材料总重量占全部新增建筑材料总重量的比例大于60%，得</w:t>
      </w:r>
      <w:r>
        <w:rPr>
          <w:rFonts w:hint="eastAsia" w:cs="宋体"/>
          <w:sz w:val="24"/>
          <w:szCs w:val="24"/>
          <w:lang w:val="en-US" w:eastAsia="zh-CN"/>
        </w:rPr>
        <w:t>10</w:t>
      </w:r>
      <w:r>
        <w:rPr>
          <w:rFonts w:hint="eastAsia" w:cs="宋体"/>
          <w:sz w:val="24"/>
          <w:szCs w:val="24"/>
        </w:rPr>
        <w:t>分；大于80%，得1</w:t>
      </w:r>
      <w:r>
        <w:rPr>
          <w:rFonts w:hint="eastAsia" w:cs="宋体"/>
          <w:sz w:val="24"/>
          <w:szCs w:val="24"/>
          <w:lang w:val="en-US" w:eastAsia="zh-CN"/>
        </w:rPr>
        <w:t>5</w:t>
      </w:r>
      <w:r>
        <w:rPr>
          <w:rFonts w:hint="eastAsia" w:cs="宋体"/>
          <w:sz w:val="24"/>
          <w:szCs w:val="24"/>
        </w:rPr>
        <w:t>分。</w:t>
      </w:r>
    </w:p>
    <w:p w14:paraId="474B9214">
      <w:pPr>
        <w:spacing w:line="360" w:lineRule="auto"/>
        <w:rPr>
          <w:rFonts w:cs="宋体"/>
          <w:sz w:val="24"/>
          <w:szCs w:val="24"/>
        </w:rPr>
      </w:pPr>
      <w:r>
        <w:rPr>
          <w:rFonts w:ascii="Times New Roman" w:eastAsia="黑体"/>
          <w:b/>
          <w:bCs/>
          <w:sz w:val="24"/>
          <w:szCs w:val="24"/>
        </w:rPr>
        <w:t>7.2.1</w:t>
      </w:r>
      <w:r>
        <w:rPr>
          <w:rFonts w:hint="default" w:ascii="Times New Roman" w:eastAsia="黑体"/>
          <w:b/>
          <w:bCs/>
          <w:sz w:val="24"/>
          <w:szCs w:val="24"/>
        </w:rPr>
        <w:t>1</w:t>
      </w:r>
      <w:r>
        <w:rPr>
          <w:rFonts w:hint="eastAsia"/>
          <w:sz w:val="24"/>
          <w:szCs w:val="24"/>
        </w:rPr>
        <w:t>　</w:t>
      </w:r>
      <w:r>
        <w:rPr>
          <w:rFonts w:hint="eastAsia" w:cs="宋体"/>
          <w:sz w:val="24"/>
          <w:szCs w:val="24"/>
        </w:rPr>
        <w:t>施工过程中按水平衡测试的要求设置用水计量装置，评价总分值为</w:t>
      </w:r>
      <w:r>
        <w:rPr>
          <w:rFonts w:hint="eastAsia" w:cs="宋体"/>
          <w:sz w:val="24"/>
          <w:szCs w:val="24"/>
          <w:lang w:val="en-US" w:eastAsia="zh-CN"/>
        </w:rPr>
        <w:t>8</w:t>
      </w:r>
      <w:r>
        <w:rPr>
          <w:rFonts w:hint="eastAsia" w:cs="宋体"/>
          <w:sz w:val="24"/>
          <w:szCs w:val="24"/>
        </w:rPr>
        <w:t>分，应按下列规则分别评分并累计：</w:t>
      </w:r>
    </w:p>
    <w:p w14:paraId="025A0406">
      <w:pPr>
        <w:spacing w:line="360" w:lineRule="auto"/>
        <w:ind w:firstLine="482" w:firstLineChars="200"/>
        <w:rPr>
          <w:rFonts w:cs="宋体"/>
          <w:sz w:val="24"/>
          <w:szCs w:val="24"/>
        </w:rPr>
      </w:pPr>
      <w:r>
        <w:rPr>
          <w:rFonts w:ascii="Times New Roman" w:eastAsia="黑体"/>
          <w:b/>
          <w:bCs/>
          <w:sz w:val="24"/>
          <w:szCs w:val="24"/>
        </w:rPr>
        <w:t>1</w:t>
      </w:r>
      <w:r>
        <w:rPr>
          <w:rFonts w:hint="eastAsia" w:cs="宋体"/>
          <w:sz w:val="24"/>
          <w:szCs w:val="24"/>
        </w:rPr>
        <w:t>　按使用用途，对生产、生活等设置用水计量装置，统计用水量，得</w:t>
      </w:r>
      <w:r>
        <w:rPr>
          <w:rFonts w:hint="eastAsia" w:cs="宋体"/>
          <w:sz w:val="24"/>
          <w:szCs w:val="24"/>
          <w:lang w:val="en-US" w:eastAsia="zh-CN"/>
        </w:rPr>
        <w:t>4</w:t>
      </w:r>
      <w:r>
        <w:rPr>
          <w:rFonts w:hint="eastAsia" w:cs="宋体"/>
          <w:sz w:val="24"/>
          <w:szCs w:val="24"/>
        </w:rPr>
        <w:t>分；</w:t>
      </w:r>
    </w:p>
    <w:p w14:paraId="06F1172A">
      <w:pPr>
        <w:spacing w:line="360" w:lineRule="auto"/>
        <w:ind w:firstLine="482" w:firstLineChars="200"/>
        <w:rPr>
          <w:rFonts w:cs="宋体"/>
          <w:sz w:val="24"/>
          <w:szCs w:val="24"/>
        </w:rPr>
      </w:pPr>
      <w:r>
        <w:rPr>
          <w:rFonts w:ascii="Times New Roman" w:eastAsia="黑体"/>
          <w:b/>
          <w:bCs/>
          <w:sz w:val="24"/>
          <w:szCs w:val="24"/>
        </w:rPr>
        <w:t>2</w:t>
      </w:r>
      <w:r>
        <w:rPr>
          <w:rFonts w:hint="eastAsia" w:cs="宋体"/>
          <w:sz w:val="24"/>
          <w:szCs w:val="24"/>
        </w:rPr>
        <w:t>　按付费或管理单元，分别设置用水计量装置，统计用水量，得</w:t>
      </w:r>
      <w:r>
        <w:rPr>
          <w:rFonts w:hint="eastAsia" w:cs="宋体"/>
          <w:sz w:val="24"/>
          <w:szCs w:val="24"/>
          <w:lang w:val="en-US" w:eastAsia="zh-CN"/>
        </w:rPr>
        <w:t>4</w:t>
      </w:r>
      <w:r>
        <w:rPr>
          <w:rFonts w:hint="eastAsia" w:cs="宋体"/>
          <w:sz w:val="24"/>
          <w:szCs w:val="24"/>
        </w:rPr>
        <w:t>分。</w:t>
      </w:r>
    </w:p>
    <w:p w14:paraId="28D9E0DF">
      <w:pPr>
        <w:spacing w:line="360" w:lineRule="auto"/>
        <w:rPr>
          <w:rFonts w:cs="宋体"/>
          <w:sz w:val="24"/>
          <w:szCs w:val="24"/>
        </w:rPr>
      </w:pPr>
      <w:r>
        <w:rPr>
          <w:rFonts w:ascii="Times New Roman" w:eastAsia="黑体"/>
          <w:b/>
          <w:bCs/>
          <w:sz w:val="24"/>
          <w:szCs w:val="24"/>
        </w:rPr>
        <w:t>7.2.1</w:t>
      </w:r>
      <w:r>
        <w:rPr>
          <w:rFonts w:hint="default" w:ascii="Times New Roman" w:eastAsia="黑体"/>
          <w:b/>
          <w:bCs/>
          <w:sz w:val="24"/>
          <w:szCs w:val="24"/>
        </w:rPr>
        <w:t>2</w:t>
      </w:r>
      <w:r>
        <w:rPr>
          <w:rFonts w:hint="eastAsia"/>
          <w:sz w:val="24"/>
          <w:szCs w:val="24"/>
        </w:rPr>
        <w:t>　</w:t>
      </w:r>
      <w:r>
        <w:rPr>
          <w:rFonts w:hint="eastAsia" w:cs="宋体"/>
          <w:sz w:val="24"/>
          <w:szCs w:val="24"/>
        </w:rPr>
        <w:t>建立施工现场能耗实时监测系统，对办公区、生活区与施工区的能耗进行分项计量，评价分值为</w:t>
      </w:r>
      <w:r>
        <w:rPr>
          <w:rFonts w:hint="eastAsia" w:cs="宋体"/>
          <w:sz w:val="24"/>
          <w:szCs w:val="24"/>
          <w:lang w:val="en-US" w:eastAsia="zh-CN"/>
        </w:rPr>
        <w:t>7</w:t>
      </w:r>
      <w:r>
        <w:rPr>
          <w:rFonts w:hint="eastAsia" w:cs="宋体"/>
          <w:sz w:val="24"/>
          <w:szCs w:val="24"/>
        </w:rPr>
        <w:t>分。</w:t>
      </w:r>
    </w:p>
    <w:p w14:paraId="1AC7F815">
      <w:pPr>
        <w:spacing w:line="360" w:lineRule="auto"/>
        <w:rPr>
          <w:rFonts w:cs="宋体"/>
          <w:sz w:val="24"/>
          <w:szCs w:val="24"/>
        </w:rPr>
      </w:pPr>
      <w:r>
        <w:rPr>
          <w:rFonts w:ascii="Times New Roman" w:eastAsia="黑体"/>
          <w:b/>
          <w:bCs/>
          <w:sz w:val="24"/>
          <w:szCs w:val="24"/>
        </w:rPr>
        <w:t>7.2.1</w:t>
      </w:r>
      <w:r>
        <w:rPr>
          <w:rFonts w:hint="default" w:ascii="Times New Roman" w:eastAsia="黑体"/>
          <w:b/>
          <w:bCs/>
          <w:sz w:val="24"/>
          <w:szCs w:val="24"/>
        </w:rPr>
        <w:t>3</w:t>
      </w:r>
      <w:r>
        <w:rPr>
          <w:rFonts w:hint="eastAsia"/>
          <w:sz w:val="24"/>
          <w:szCs w:val="24"/>
        </w:rPr>
        <w:t>　</w:t>
      </w:r>
      <w:r>
        <w:rPr>
          <w:rFonts w:hint="eastAsia" w:cs="宋体"/>
          <w:sz w:val="24"/>
          <w:szCs w:val="24"/>
        </w:rPr>
        <w:t>对建筑垃圾进行资源化管理，评价总分值为</w:t>
      </w:r>
      <w:r>
        <w:rPr>
          <w:rFonts w:hint="eastAsia" w:cs="宋体"/>
          <w:sz w:val="24"/>
          <w:szCs w:val="24"/>
          <w:lang w:val="en-US" w:eastAsia="zh-CN"/>
        </w:rPr>
        <w:t>10</w:t>
      </w:r>
      <w:r>
        <w:rPr>
          <w:rFonts w:hint="eastAsia" w:cs="宋体"/>
          <w:sz w:val="24"/>
          <w:szCs w:val="24"/>
        </w:rPr>
        <w:t>分，并按下列规则分别评分并累计：</w:t>
      </w:r>
    </w:p>
    <w:p w14:paraId="1726913B">
      <w:pPr>
        <w:spacing w:line="360" w:lineRule="auto"/>
        <w:ind w:firstLine="482" w:firstLineChars="200"/>
        <w:rPr>
          <w:rFonts w:cs="宋体"/>
          <w:sz w:val="24"/>
          <w:szCs w:val="24"/>
        </w:rPr>
      </w:pPr>
      <w:r>
        <w:rPr>
          <w:rFonts w:ascii="Times New Roman" w:eastAsia="黑体"/>
          <w:b/>
          <w:bCs/>
          <w:sz w:val="24"/>
          <w:szCs w:val="24"/>
        </w:rPr>
        <w:t>1</w:t>
      </w:r>
      <w:r>
        <w:rPr>
          <w:rFonts w:hint="eastAsia" w:cs="宋体"/>
          <w:sz w:val="24"/>
          <w:szCs w:val="24"/>
        </w:rPr>
        <w:t>　建筑垃圾实施分类堆放管理，设置可回收利用材料的收集储存场地或设施，得</w:t>
      </w:r>
      <w:r>
        <w:rPr>
          <w:rFonts w:hint="eastAsia" w:cs="宋体"/>
          <w:sz w:val="24"/>
          <w:szCs w:val="24"/>
          <w:lang w:val="en-US" w:eastAsia="zh-CN"/>
        </w:rPr>
        <w:t>2</w:t>
      </w:r>
      <w:r>
        <w:rPr>
          <w:rFonts w:hint="eastAsia" w:cs="宋体"/>
          <w:sz w:val="24"/>
          <w:szCs w:val="24"/>
        </w:rPr>
        <w:t>分；</w:t>
      </w:r>
    </w:p>
    <w:p w14:paraId="05498F2F">
      <w:pPr>
        <w:spacing w:line="360" w:lineRule="auto"/>
        <w:ind w:firstLine="482" w:firstLineChars="200"/>
        <w:rPr>
          <w:rFonts w:cs="宋体"/>
          <w:sz w:val="24"/>
          <w:szCs w:val="24"/>
        </w:rPr>
      </w:pPr>
      <w:r>
        <w:rPr>
          <w:rFonts w:ascii="Times New Roman" w:eastAsia="黑体"/>
          <w:b/>
          <w:bCs/>
          <w:sz w:val="24"/>
          <w:szCs w:val="24"/>
        </w:rPr>
        <w:t>2</w:t>
      </w:r>
      <w:r>
        <w:rPr>
          <w:rFonts w:hint="eastAsia" w:cs="宋体"/>
          <w:sz w:val="24"/>
          <w:szCs w:val="24"/>
        </w:rPr>
        <w:t xml:space="preserve">  制定建筑垃圾可回收计划，得</w:t>
      </w:r>
      <w:r>
        <w:rPr>
          <w:rFonts w:hint="eastAsia" w:cs="宋体"/>
          <w:sz w:val="24"/>
          <w:szCs w:val="24"/>
          <w:lang w:val="en-US" w:eastAsia="zh-CN"/>
        </w:rPr>
        <w:t>4</w:t>
      </w:r>
      <w:r>
        <w:rPr>
          <w:rFonts w:hint="eastAsia" w:cs="宋体"/>
          <w:sz w:val="24"/>
          <w:szCs w:val="24"/>
        </w:rPr>
        <w:t>分；</w:t>
      </w:r>
    </w:p>
    <w:p w14:paraId="376F7732">
      <w:pPr>
        <w:spacing w:line="360" w:lineRule="auto"/>
        <w:ind w:firstLine="482" w:firstLineChars="200"/>
        <w:rPr>
          <w:rFonts w:cs="宋体"/>
          <w:sz w:val="24"/>
          <w:szCs w:val="24"/>
        </w:rPr>
      </w:pPr>
      <w:r>
        <w:rPr>
          <w:rFonts w:ascii="Times New Roman" w:eastAsia="黑体"/>
          <w:b/>
          <w:bCs/>
          <w:sz w:val="24"/>
          <w:szCs w:val="24"/>
        </w:rPr>
        <w:t>3</w:t>
      </w:r>
      <w:r>
        <w:rPr>
          <w:rFonts w:hint="eastAsia" w:cs="宋体"/>
          <w:sz w:val="24"/>
          <w:szCs w:val="24"/>
        </w:rPr>
        <w:t>　建筑垃圾的综合利用率达到40%，得1分；达到60%，得</w:t>
      </w:r>
      <w:r>
        <w:rPr>
          <w:rFonts w:hint="eastAsia" w:cs="宋体"/>
          <w:sz w:val="24"/>
          <w:szCs w:val="24"/>
          <w:lang w:val="en-US" w:eastAsia="zh-CN"/>
        </w:rPr>
        <w:t>4</w:t>
      </w:r>
      <w:r>
        <w:rPr>
          <w:rFonts w:hint="eastAsia" w:cs="宋体"/>
          <w:sz w:val="24"/>
          <w:szCs w:val="24"/>
        </w:rPr>
        <w:t>分。</w:t>
      </w:r>
    </w:p>
    <w:p w14:paraId="35A82AF1">
      <w:pPr>
        <w:spacing w:line="360" w:lineRule="auto"/>
        <w:rPr>
          <w:color w:val="0000FF"/>
          <w:sz w:val="24"/>
          <w:szCs w:val="24"/>
        </w:rPr>
      </w:pPr>
      <w:r>
        <w:rPr>
          <w:rFonts w:ascii="Times New Roman" w:eastAsia="黑体"/>
          <w:b/>
          <w:bCs/>
          <w:sz w:val="24"/>
          <w:szCs w:val="24"/>
        </w:rPr>
        <w:t>7.2.</w:t>
      </w:r>
      <w:r>
        <w:rPr>
          <w:rFonts w:hint="default" w:ascii="Times New Roman" w:eastAsia="黑体"/>
          <w:b/>
          <w:bCs/>
          <w:sz w:val="24"/>
          <w:szCs w:val="24"/>
        </w:rPr>
        <w:t>14</w:t>
      </w:r>
      <w:r>
        <w:rPr>
          <w:rFonts w:hint="eastAsia"/>
          <w:sz w:val="24"/>
          <w:szCs w:val="24"/>
        </w:rPr>
        <w:t>　</w:t>
      </w:r>
      <w:r>
        <w:rPr>
          <w:rFonts w:hint="eastAsia" w:cs="宋体"/>
          <w:sz w:val="24"/>
          <w:szCs w:val="24"/>
        </w:rPr>
        <w:t>合理选用建筑拆解方式，实现建筑材料回收利用，评价分值为5分。</w:t>
      </w:r>
    </w:p>
    <w:p w14:paraId="31521238">
      <w:pPr>
        <w:widowControl/>
        <w:snapToGrid w:val="0"/>
        <w:jc w:val="center"/>
        <w:rPr>
          <w:rFonts w:hint="eastAsia" w:ascii="宋体" w:hAnsi="宋体" w:cs="宋体"/>
          <w:b/>
          <w:bCs/>
          <w:kern w:val="44"/>
          <w:sz w:val="30"/>
          <w:szCs w:val="30"/>
        </w:rPr>
        <w:sectPr>
          <w:footerReference r:id="rId11" w:type="default"/>
          <w:pgSz w:w="11906" w:h="16838"/>
          <w:pgMar w:top="1440" w:right="1800" w:bottom="1440" w:left="1800" w:header="851" w:footer="992" w:gutter="0"/>
          <w:cols w:space="425" w:num="1"/>
          <w:docGrid w:type="lines" w:linePitch="312" w:charSpace="0"/>
        </w:sectPr>
      </w:pPr>
    </w:p>
    <w:bookmarkEnd w:id="98"/>
    <w:bookmarkEnd w:id="99"/>
    <w:bookmarkEnd w:id="100"/>
    <w:bookmarkEnd w:id="101"/>
    <w:bookmarkEnd w:id="102"/>
    <w:bookmarkEnd w:id="103"/>
    <w:bookmarkEnd w:id="104"/>
    <w:bookmarkEnd w:id="105"/>
    <w:bookmarkEnd w:id="106"/>
    <w:bookmarkEnd w:id="107"/>
    <w:bookmarkEnd w:id="108"/>
    <w:p w14:paraId="3159B312">
      <w:pPr>
        <w:widowControl/>
        <w:snapToGrid w:val="0"/>
        <w:spacing w:line="360" w:lineRule="auto"/>
        <w:jc w:val="center"/>
        <w:outlineLvl w:val="9"/>
        <w:rPr>
          <w:rFonts w:ascii="Times New Roman" w:hAnsi="Times New Roman" w:cs="Times New Roman"/>
          <w:b/>
          <w:bCs/>
          <w:kern w:val="44"/>
          <w:sz w:val="30"/>
          <w:szCs w:val="30"/>
        </w:rPr>
      </w:pPr>
      <w:bookmarkStart w:id="143" w:name="_Toc6840"/>
      <w:bookmarkStart w:id="144" w:name="_Toc21960"/>
      <w:bookmarkStart w:id="145" w:name="_Toc19939"/>
      <w:bookmarkStart w:id="146" w:name="_Toc29929"/>
      <w:bookmarkStart w:id="147" w:name="_Toc28306"/>
      <w:bookmarkStart w:id="148" w:name="_Toc28557"/>
      <w:bookmarkStart w:id="149" w:name="_Toc509"/>
      <w:bookmarkStart w:id="150" w:name="_Toc3682"/>
      <w:bookmarkStart w:id="151" w:name="_Toc16111"/>
      <w:bookmarkStart w:id="152" w:name="_Toc1895"/>
      <w:bookmarkStart w:id="153" w:name="_Toc19337"/>
      <w:bookmarkStart w:id="154" w:name="_Toc8123"/>
      <w:bookmarkStart w:id="155" w:name="_Toc6675"/>
      <w:bookmarkStart w:id="156" w:name="_Toc28977"/>
      <w:bookmarkStart w:id="157" w:name="_Toc7698"/>
      <w:bookmarkStart w:id="158" w:name="_Toc32299"/>
      <w:bookmarkStart w:id="159" w:name="_Toc13986"/>
      <w:bookmarkStart w:id="160" w:name="_Toc29830"/>
    </w:p>
    <w:p w14:paraId="13B71331">
      <w:pPr>
        <w:widowControl/>
        <w:snapToGrid w:val="0"/>
        <w:spacing w:line="360" w:lineRule="auto"/>
        <w:jc w:val="center"/>
        <w:outlineLvl w:val="0"/>
        <w:rPr>
          <w:rFonts w:ascii="宋体" w:hAnsi="宋体" w:cs="宋体"/>
          <w:b/>
          <w:bCs/>
          <w:kern w:val="44"/>
          <w:sz w:val="30"/>
          <w:szCs w:val="30"/>
        </w:rPr>
      </w:pPr>
      <w:bookmarkStart w:id="161" w:name="_Toc30252"/>
      <w:bookmarkStart w:id="162" w:name="_Toc23261"/>
      <w:r>
        <w:rPr>
          <w:rFonts w:ascii="Times New Roman" w:hAnsi="Times New Roman" w:cs="Times New Roman"/>
          <w:b/>
          <w:bCs/>
          <w:kern w:val="44"/>
          <w:sz w:val="30"/>
          <w:szCs w:val="30"/>
        </w:rPr>
        <w:t>8</w:t>
      </w:r>
      <w:r>
        <w:rPr>
          <w:rFonts w:hint="eastAsia" w:ascii="宋体" w:hAnsi="宋体" w:cs="宋体"/>
          <w:b/>
          <w:bCs/>
          <w:kern w:val="44"/>
          <w:sz w:val="30"/>
          <w:szCs w:val="30"/>
        </w:rPr>
        <w:t>　提高与创新</w:t>
      </w:r>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14:paraId="3C2DDACF">
      <w:pPr>
        <w:spacing w:line="360" w:lineRule="auto"/>
        <w:rPr>
          <w:kern w:val="0"/>
          <w:sz w:val="24"/>
          <w:szCs w:val="24"/>
        </w:rPr>
      </w:pPr>
      <w:r>
        <w:rPr>
          <w:rFonts w:ascii="Times New Roman" w:eastAsia="黑体"/>
          <w:b/>
          <w:bCs/>
          <w:sz w:val="24"/>
          <w:szCs w:val="24"/>
        </w:rPr>
        <w:t>8.0.</w:t>
      </w:r>
      <w:r>
        <w:rPr>
          <w:rFonts w:hint="default" w:ascii="Times New Roman" w:eastAsia="黑体"/>
          <w:b/>
          <w:bCs/>
          <w:sz w:val="24"/>
          <w:szCs w:val="24"/>
        </w:rPr>
        <w:t>1</w:t>
      </w:r>
      <w:r>
        <w:rPr>
          <w:rFonts w:hint="eastAsia" w:ascii="黑体" w:eastAsia="黑体"/>
          <w:b/>
          <w:bCs/>
          <w:sz w:val="24"/>
          <w:szCs w:val="24"/>
        </w:rPr>
        <w:t>　</w:t>
      </w:r>
      <w:r>
        <w:rPr>
          <w:rFonts w:hint="eastAsia"/>
          <w:kern w:val="0"/>
          <w:sz w:val="24"/>
          <w:szCs w:val="24"/>
        </w:rPr>
        <w:t>采取措施进一步降低建筑供暖空调系统的能耗，评价总分值为20分。建筑供暖空调系统能耗比现行国家标准《建筑节能与可再生能源利用通用规范》GB</w:t>
      </w:r>
      <w:r>
        <w:rPr>
          <w:kern w:val="0"/>
          <w:sz w:val="24"/>
          <w:szCs w:val="24"/>
        </w:rPr>
        <w:t xml:space="preserve"> </w:t>
      </w:r>
      <w:r>
        <w:rPr>
          <w:rFonts w:hint="eastAsia"/>
          <w:kern w:val="0"/>
          <w:sz w:val="24"/>
          <w:szCs w:val="24"/>
        </w:rPr>
        <w:t>55015的规定值降低10%，得10分，每再降低10％，再得5分，最高得20分。</w:t>
      </w:r>
    </w:p>
    <w:p w14:paraId="02E3157B">
      <w:pPr>
        <w:spacing w:line="360" w:lineRule="auto"/>
        <w:rPr>
          <w:kern w:val="0"/>
          <w:sz w:val="24"/>
          <w:szCs w:val="24"/>
        </w:rPr>
      </w:pPr>
      <w:r>
        <w:rPr>
          <w:rFonts w:ascii="Times New Roman" w:eastAsia="黑体"/>
          <w:b/>
          <w:bCs/>
          <w:sz w:val="24"/>
          <w:szCs w:val="24"/>
        </w:rPr>
        <w:t>8.0.</w:t>
      </w:r>
      <w:r>
        <w:rPr>
          <w:rFonts w:hint="default" w:ascii="Times New Roman" w:eastAsia="黑体"/>
          <w:b/>
          <w:bCs/>
          <w:sz w:val="24"/>
          <w:szCs w:val="24"/>
        </w:rPr>
        <w:t>2</w:t>
      </w:r>
      <w:r>
        <w:rPr>
          <w:rFonts w:hint="eastAsia" w:ascii="黑体" w:eastAsia="黑体"/>
          <w:b/>
          <w:bCs/>
          <w:sz w:val="24"/>
          <w:szCs w:val="24"/>
        </w:rPr>
        <w:t>　</w:t>
      </w:r>
      <w:r>
        <w:rPr>
          <w:rFonts w:hint="eastAsia"/>
          <w:kern w:val="0"/>
          <w:sz w:val="24"/>
          <w:szCs w:val="24"/>
        </w:rPr>
        <w:t>应用建筑信息模型（BIM）技术，评价总分值为15分。在既有建筑绿色改造设计、施工和运行维护阶段中的一个阶段应用，得5分；两个阶段应用，得10分；三个阶段应用，得15分。</w:t>
      </w:r>
    </w:p>
    <w:p w14:paraId="33DB0262">
      <w:pPr>
        <w:spacing w:line="360" w:lineRule="auto"/>
        <w:rPr>
          <w:kern w:val="0"/>
          <w:sz w:val="24"/>
          <w:szCs w:val="24"/>
        </w:rPr>
      </w:pPr>
      <w:r>
        <w:rPr>
          <w:rFonts w:ascii="Times New Roman" w:eastAsia="黑体"/>
          <w:b/>
          <w:bCs/>
          <w:sz w:val="24"/>
          <w:szCs w:val="24"/>
        </w:rPr>
        <w:t>8.0.3</w:t>
      </w:r>
      <w:r>
        <w:rPr>
          <w:rFonts w:hint="eastAsia"/>
          <w:sz w:val="24"/>
          <w:szCs w:val="24"/>
        </w:rPr>
        <w:t>　</w:t>
      </w:r>
      <w:r>
        <w:rPr>
          <w:rFonts w:hint="eastAsia"/>
          <w:kern w:val="0"/>
          <w:sz w:val="24"/>
          <w:szCs w:val="24"/>
        </w:rPr>
        <w:t>采用建筑电力交互技术，实现建筑用能负荷调节，评价总分值10分，并按下列规则分别评分并累计：</w:t>
      </w:r>
    </w:p>
    <w:p w14:paraId="73F743AA">
      <w:pPr>
        <w:spacing w:line="360" w:lineRule="auto"/>
        <w:ind w:firstLine="482" w:firstLineChars="200"/>
        <w:rPr>
          <w:sz w:val="24"/>
          <w:szCs w:val="24"/>
        </w:rPr>
      </w:pPr>
      <w:bookmarkStart w:id="163" w:name="_Toc31040"/>
      <w:r>
        <w:rPr>
          <w:rFonts w:ascii="Times New Roman" w:eastAsia="黑体"/>
          <w:b/>
          <w:bCs/>
          <w:sz w:val="24"/>
          <w:szCs w:val="24"/>
        </w:rPr>
        <w:t>1</w:t>
      </w:r>
      <w:r>
        <w:rPr>
          <w:rFonts w:hint="eastAsia"/>
          <w:sz w:val="24"/>
          <w:szCs w:val="24"/>
        </w:rPr>
        <w:t>　采用光储直柔技术，得5分；</w:t>
      </w:r>
      <w:bookmarkEnd w:id="163"/>
    </w:p>
    <w:p w14:paraId="6FEBB755">
      <w:pPr>
        <w:spacing w:line="360" w:lineRule="auto"/>
        <w:ind w:firstLine="482" w:firstLineChars="200"/>
        <w:rPr>
          <w:sz w:val="24"/>
          <w:szCs w:val="24"/>
        </w:rPr>
      </w:pPr>
      <w:r>
        <w:rPr>
          <w:rFonts w:ascii="Times New Roman" w:eastAsia="黑体"/>
          <w:b/>
          <w:bCs/>
          <w:sz w:val="24"/>
          <w:szCs w:val="24"/>
        </w:rPr>
        <w:t>2</w:t>
      </w:r>
      <w:r>
        <w:rPr>
          <w:rFonts w:hint="eastAsia"/>
          <w:sz w:val="24"/>
          <w:szCs w:val="24"/>
        </w:rPr>
        <w:t>　建筑采用直流配电，且直流负载至少包括照明、空调、插座等或直流配电容量不少于建筑总配电的30%，得5分。</w:t>
      </w:r>
    </w:p>
    <w:p w14:paraId="76A4D650">
      <w:pPr>
        <w:numPr>
          <w:ilvl w:val="2"/>
          <w:numId w:val="0"/>
        </w:numPr>
        <w:spacing w:line="360" w:lineRule="auto"/>
        <w:rPr>
          <w:sz w:val="24"/>
          <w:szCs w:val="24"/>
        </w:rPr>
      </w:pPr>
      <w:r>
        <w:rPr>
          <w:rFonts w:ascii="Times New Roman" w:eastAsia="黑体"/>
          <w:b/>
          <w:bCs/>
          <w:sz w:val="24"/>
          <w:szCs w:val="24"/>
        </w:rPr>
        <w:t>8.0.4</w:t>
      </w:r>
      <w:r>
        <w:rPr>
          <w:rFonts w:hint="eastAsia"/>
          <w:sz w:val="24"/>
          <w:szCs w:val="24"/>
        </w:rPr>
        <w:t>　采取措施降低单位建筑面积运行碳排放强度，评价总分值20分。单位建筑面积碳排放强度降低20%，得5分；每再降低10％，再得5分；最高得20分。</w:t>
      </w:r>
    </w:p>
    <w:p w14:paraId="3B773ED1">
      <w:pPr>
        <w:numPr>
          <w:ilvl w:val="2"/>
          <w:numId w:val="0"/>
        </w:numPr>
        <w:spacing w:line="360" w:lineRule="auto"/>
        <w:rPr>
          <w:sz w:val="24"/>
          <w:szCs w:val="24"/>
        </w:rPr>
      </w:pPr>
      <w:r>
        <w:rPr>
          <w:rFonts w:ascii="Times New Roman" w:eastAsia="黑体"/>
          <w:b/>
          <w:bCs/>
          <w:sz w:val="24"/>
          <w:szCs w:val="24"/>
        </w:rPr>
        <w:t>8.0.5</w:t>
      </w:r>
      <w:r>
        <w:rPr>
          <w:rFonts w:hint="eastAsia"/>
          <w:sz w:val="24"/>
          <w:szCs w:val="24"/>
        </w:rPr>
        <w:t>　工业建筑改造引入绿色电力交易和碳排放权交易等碳抵消方式实现，碳抵消不少于基准建筑碳排放量的30%，评价分值为10分。</w:t>
      </w:r>
    </w:p>
    <w:p w14:paraId="1F9BB341">
      <w:pPr>
        <w:spacing w:line="360" w:lineRule="auto"/>
        <w:rPr>
          <w:color w:val="0000FF"/>
          <w:sz w:val="24"/>
          <w:szCs w:val="24"/>
        </w:rPr>
      </w:pPr>
      <w:bookmarkStart w:id="164" w:name="_Toc23975"/>
      <w:bookmarkStart w:id="165" w:name="_Toc16311"/>
      <w:r>
        <w:rPr>
          <w:rFonts w:ascii="Times New Roman" w:eastAsia="黑体"/>
          <w:b/>
          <w:bCs/>
          <w:color w:val="000000" w:themeColor="text1"/>
          <w:sz w:val="24"/>
          <w:szCs w:val="24"/>
          <w14:textFill>
            <w14:solidFill>
              <w14:schemeClr w14:val="tx1"/>
            </w14:solidFill>
          </w14:textFill>
        </w:rPr>
        <w:t>8.0.6</w:t>
      </w:r>
      <w:r>
        <w:rPr>
          <w:rFonts w:hint="eastAsia"/>
          <w:sz w:val="24"/>
          <w:szCs w:val="24"/>
        </w:rPr>
        <w:t>　</w:t>
      </w:r>
      <w:r>
        <w:rPr>
          <w:rFonts w:hint="eastAsia" w:cs="宋体"/>
          <w:sz w:val="24"/>
          <w:szCs w:val="24"/>
        </w:rPr>
        <w:t>采用检测设计施工总承包模式，评价分值为10分。</w:t>
      </w:r>
      <w:bookmarkEnd w:id="164"/>
      <w:bookmarkEnd w:id="165"/>
    </w:p>
    <w:p w14:paraId="6E4F6E8C">
      <w:pPr>
        <w:spacing w:line="360" w:lineRule="auto"/>
        <w:rPr>
          <w:color w:val="0000FF"/>
          <w:sz w:val="24"/>
          <w:szCs w:val="24"/>
        </w:rPr>
      </w:pPr>
      <w:r>
        <w:rPr>
          <w:rFonts w:ascii="Times New Roman" w:eastAsia="黑体"/>
          <w:b/>
          <w:bCs/>
          <w:color w:val="000000" w:themeColor="text1"/>
          <w:sz w:val="24"/>
          <w:szCs w:val="24"/>
          <w14:textFill>
            <w14:solidFill>
              <w14:schemeClr w14:val="tx1"/>
            </w14:solidFill>
          </w14:textFill>
        </w:rPr>
        <w:t>8.0.7</w:t>
      </w:r>
      <w:r>
        <w:rPr>
          <w:rFonts w:hint="eastAsia"/>
          <w:sz w:val="24"/>
          <w:szCs w:val="24"/>
        </w:rPr>
        <w:t>　</w:t>
      </w:r>
      <w:r>
        <w:rPr>
          <w:rFonts w:hint="eastAsia" w:cs="宋体"/>
          <w:sz w:val="24"/>
          <w:szCs w:val="24"/>
        </w:rPr>
        <w:t>拆除产生的建筑垃圾，再利用或生产为再生建材的比例不小于9</w:t>
      </w:r>
      <w:r>
        <w:rPr>
          <w:rFonts w:cs="宋体"/>
          <w:sz w:val="24"/>
          <w:szCs w:val="24"/>
        </w:rPr>
        <w:t>0%</w:t>
      </w:r>
      <w:r>
        <w:rPr>
          <w:rFonts w:hint="eastAsia" w:cs="宋体"/>
          <w:sz w:val="24"/>
          <w:szCs w:val="24"/>
        </w:rPr>
        <w:t>，评价分值为10分。</w:t>
      </w:r>
    </w:p>
    <w:p w14:paraId="54FECBDE">
      <w:pPr>
        <w:spacing w:line="360" w:lineRule="auto"/>
        <w:rPr>
          <w:kern w:val="0"/>
          <w:sz w:val="24"/>
          <w:szCs w:val="24"/>
        </w:rPr>
      </w:pPr>
      <w:r>
        <w:rPr>
          <w:rFonts w:ascii="Times New Roman" w:eastAsia="黑体"/>
          <w:b/>
          <w:bCs/>
          <w:sz w:val="24"/>
          <w:szCs w:val="24"/>
        </w:rPr>
        <w:t>8.0.</w:t>
      </w:r>
      <w:r>
        <w:rPr>
          <w:rFonts w:hint="default" w:ascii="Times New Roman" w:eastAsia="黑体"/>
          <w:b/>
          <w:bCs/>
          <w:sz w:val="24"/>
          <w:szCs w:val="24"/>
        </w:rPr>
        <w:t>8</w:t>
      </w:r>
      <w:r>
        <w:rPr>
          <w:rFonts w:hint="eastAsia" w:ascii="黑体" w:eastAsia="黑体"/>
          <w:b/>
          <w:bCs/>
          <w:sz w:val="24"/>
          <w:szCs w:val="24"/>
        </w:rPr>
        <w:t>　</w:t>
      </w:r>
      <w:r>
        <w:rPr>
          <w:rFonts w:hint="eastAsia"/>
          <w:kern w:val="0"/>
          <w:sz w:val="24"/>
          <w:szCs w:val="24"/>
        </w:rPr>
        <w:t>采取模块化集成建筑，得15分。</w:t>
      </w:r>
    </w:p>
    <w:p w14:paraId="3E671842">
      <w:pPr>
        <w:spacing w:line="360" w:lineRule="auto"/>
        <w:rPr>
          <w:kern w:val="0"/>
          <w:sz w:val="24"/>
          <w:szCs w:val="24"/>
        </w:rPr>
      </w:pPr>
      <w:bookmarkStart w:id="166" w:name="_Hlk124932709"/>
      <w:r>
        <w:rPr>
          <w:rFonts w:hint="default" w:ascii="Times New Roman" w:eastAsia="黑体"/>
          <w:b/>
          <w:bCs/>
          <w:color w:val="000000" w:themeColor="text1"/>
          <w:sz w:val="24"/>
          <w:szCs w:val="24"/>
          <w14:textFill>
            <w14:solidFill>
              <w14:schemeClr w14:val="tx1"/>
            </w14:solidFill>
          </w14:textFill>
        </w:rPr>
        <w:t>8.0.9</w:t>
      </w:r>
      <w:r>
        <w:rPr>
          <w:rFonts w:ascii="Times New Roman" w:eastAsia="黑体"/>
          <w:b/>
          <w:bCs/>
          <w:color w:val="000000" w:themeColor="text1"/>
          <w:sz w:val="24"/>
          <w:szCs w:val="24"/>
          <w14:textFill>
            <w14:solidFill>
              <w14:schemeClr w14:val="tx1"/>
            </w14:solidFill>
          </w14:textFill>
        </w:rPr>
        <w:t xml:space="preserve"> </w:t>
      </w:r>
      <w:r>
        <w:rPr>
          <w:rFonts w:ascii="黑体" w:eastAsia="黑体"/>
          <w:b/>
          <w:bCs/>
          <w:color w:val="000000" w:themeColor="text1"/>
          <w:sz w:val="24"/>
          <w:szCs w:val="24"/>
          <w14:textFill>
            <w14:solidFill>
              <w14:schemeClr w14:val="tx1"/>
            </w14:solidFill>
          </w14:textFill>
        </w:rPr>
        <w:t xml:space="preserve"> </w:t>
      </w:r>
      <w:bookmarkEnd w:id="166"/>
      <w:r>
        <w:rPr>
          <w:kern w:val="0"/>
          <w:sz w:val="24"/>
          <w:szCs w:val="24"/>
        </w:rPr>
        <w:t>具有智能化服务系统，评价总分值为</w:t>
      </w:r>
      <w:r>
        <w:rPr>
          <w:rFonts w:hint="eastAsia"/>
          <w:kern w:val="0"/>
          <w:sz w:val="24"/>
          <w:szCs w:val="24"/>
        </w:rPr>
        <w:t>10</w:t>
      </w:r>
      <w:r>
        <w:rPr>
          <w:kern w:val="0"/>
          <w:sz w:val="24"/>
          <w:szCs w:val="24"/>
        </w:rPr>
        <w:t>分，并按下列规</w:t>
      </w:r>
      <w:bookmarkStart w:id="167" w:name="Ⅳ_物业管理"/>
      <w:bookmarkEnd w:id="167"/>
      <w:r>
        <w:rPr>
          <w:kern w:val="0"/>
          <w:sz w:val="24"/>
          <w:szCs w:val="24"/>
        </w:rPr>
        <w:t>则分别评分并累计：</w:t>
      </w:r>
    </w:p>
    <w:p w14:paraId="141A78F7">
      <w:pPr>
        <w:spacing w:line="360" w:lineRule="auto"/>
        <w:ind w:firstLine="482" w:firstLineChars="200"/>
        <w:rPr>
          <w:kern w:val="0"/>
          <w:sz w:val="24"/>
          <w:szCs w:val="24"/>
        </w:rPr>
      </w:pPr>
      <w:r>
        <w:rPr>
          <w:rFonts w:hint="default" w:ascii="Times New Roman" w:eastAsia="黑体"/>
          <w:b/>
          <w:bCs/>
          <w:sz w:val="24"/>
          <w:szCs w:val="24"/>
        </w:rPr>
        <w:t>1</w:t>
      </w:r>
      <w:r>
        <w:rPr>
          <w:rFonts w:hint="eastAsia"/>
          <w:kern w:val="0"/>
          <w:sz w:val="24"/>
          <w:szCs w:val="24"/>
        </w:rPr>
        <w:t xml:space="preserve">  </w:t>
      </w:r>
      <w:r>
        <w:rPr>
          <w:kern w:val="0"/>
          <w:sz w:val="24"/>
          <w:szCs w:val="24"/>
        </w:rPr>
        <w:t>具有安全报警、环境监测、建筑设备控制、工作生活服务等至少</w:t>
      </w:r>
      <w:r>
        <w:rPr>
          <w:rFonts w:hint="eastAsia"/>
          <w:kern w:val="0"/>
          <w:sz w:val="24"/>
          <w:szCs w:val="24"/>
        </w:rPr>
        <w:t>3</w:t>
      </w:r>
      <w:r>
        <w:rPr>
          <w:kern w:val="0"/>
          <w:sz w:val="24"/>
          <w:szCs w:val="24"/>
        </w:rPr>
        <w:t>种类型的服务功能，得</w:t>
      </w:r>
      <w:r>
        <w:rPr>
          <w:rFonts w:hint="eastAsia"/>
          <w:kern w:val="0"/>
          <w:sz w:val="24"/>
          <w:szCs w:val="24"/>
        </w:rPr>
        <w:t>5</w:t>
      </w:r>
      <w:r>
        <w:rPr>
          <w:kern w:val="0"/>
          <w:sz w:val="24"/>
          <w:szCs w:val="24"/>
        </w:rPr>
        <w:t>分；</w:t>
      </w:r>
    </w:p>
    <w:p w14:paraId="569F5F2A">
      <w:pPr>
        <w:spacing w:line="360" w:lineRule="auto"/>
        <w:ind w:firstLine="482" w:firstLineChars="200"/>
        <w:rPr>
          <w:kern w:val="0"/>
          <w:sz w:val="24"/>
          <w:szCs w:val="24"/>
        </w:rPr>
      </w:pPr>
      <w:r>
        <w:rPr>
          <w:rFonts w:ascii="Times New Roman" w:eastAsia="黑体"/>
          <w:b/>
          <w:bCs/>
          <w:sz w:val="24"/>
          <w:szCs w:val="24"/>
        </w:rPr>
        <w:t>2</w:t>
      </w:r>
      <w:r>
        <w:rPr>
          <w:rFonts w:hint="eastAsia"/>
          <w:kern w:val="0"/>
          <w:sz w:val="24"/>
          <w:szCs w:val="24"/>
        </w:rPr>
        <w:t xml:space="preserve">  </w:t>
      </w:r>
      <w:r>
        <w:rPr>
          <w:kern w:val="0"/>
          <w:sz w:val="24"/>
          <w:szCs w:val="24"/>
        </w:rPr>
        <w:t>具有接入智慧城市（城区、社区）的功能，得</w:t>
      </w:r>
      <w:r>
        <w:rPr>
          <w:rFonts w:hint="eastAsia"/>
          <w:kern w:val="0"/>
          <w:sz w:val="24"/>
          <w:szCs w:val="24"/>
        </w:rPr>
        <w:t>5</w:t>
      </w:r>
      <w:r>
        <w:rPr>
          <w:kern w:val="0"/>
          <w:sz w:val="24"/>
          <w:szCs w:val="24"/>
        </w:rPr>
        <w:t>分。</w:t>
      </w:r>
    </w:p>
    <w:p w14:paraId="5C89C3C8">
      <w:pPr>
        <w:spacing w:line="360" w:lineRule="auto"/>
        <w:rPr>
          <w:kern w:val="0"/>
          <w:sz w:val="24"/>
          <w:szCs w:val="24"/>
        </w:rPr>
      </w:pPr>
      <w:r>
        <w:rPr>
          <w:rFonts w:ascii="Times New Roman" w:eastAsia="黑体"/>
          <w:b/>
          <w:bCs/>
          <w:color w:val="000000" w:themeColor="text1"/>
          <w:sz w:val="24"/>
          <w:szCs w:val="24"/>
          <w14:textFill>
            <w14:solidFill>
              <w14:schemeClr w14:val="tx1"/>
            </w14:solidFill>
          </w14:textFill>
        </w:rPr>
        <w:t>8.0.</w:t>
      </w:r>
      <w:r>
        <w:rPr>
          <w:rFonts w:hint="default" w:ascii="Times New Roman" w:eastAsia="黑体"/>
          <w:b/>
          <w:bCs/>
          <w:color w:val="000000" w:themeColor="text1"/>
          <w:sz w:val="24"/>
          <w:szCs w:val="24"/>
          <w14:textFill>
            <w14:solidFill>
              <w14:schemeClr w14:val="tx1"/>
            </w14:solidFill>
          </w14:textFill>
        </w:rPr>
        <w:t>10</w:t>
      </w:r>
      <w:r>
        <w:rPr>
          <w:rFonts w:ascii="黑体" w:eastAsia="黑体"/>
          <w:b/>
          <w:bCs/>
          <w:color w:val="000000" w:themeColor="text1"/>
          <w:sz w:val="24"/>
          <w:szCs w:val="24"/>
          <w14:textFill>
            <w14:solidFill>
              <w14:schemeClr w14:val="tx1"/>
            </w14:solidFill>
          </w14:textFill>
        </w:rPr>
        <w:t xml:space="preserve">  </w:t>
      </w:r>
      <w:r>
        <w:rPr>
          <w:rFonts w:hint="eastAsia"/>
          <w:kern w:val="0"/>
          <w:sz w:val="24"/>
          <w:szCs w:val="24"/>
        </w:rPr>
        <w:t>采取安全耐久、节约资源、保护环境、提高品质、降低碳排放等其他创新项，并有明显效益，评价总分值为30分。每采取1项，得10分，最高得30分。</w:t>
      </w:r>
    </w:p>
    <w:p w14:paraId="607D26DA">
      <w:pPr>
        <w:widowControl/>
        <w:ind w:firstLine="602" w:firstLineChars="200"/>
        <w:jc w:val="left"/>
        <w:outlineLvl w:val="0"/>
        <w:rPr>
          <w:rFonts w:hint="eastAsia" w:ascii="宋体" w:hAnsi="宋体" w:cs="宋体"/>
          <w:b/>
          <w:bCs/>
          <w:kern w:val="44"/>
          <w:sz w:val="30"/>
          <w:szCs w:val="30"/>
        </w:rPr>
        <w:sectPr>
          <w:footerReference r:id="rId12" w:type="default"/>
          <w:pgSz w:w="11906" w:h="16838"/>
          <w:pgMar w:top="1440" w:right="1800" w:bottom="1440" w:left="1800" w:header="851" w:footer="992" w:gutter="0"/>
          <w:cols w:space="425" w:num="1"/>
          <w:docGrid w:type="lines" w:linePitch="312" w:charSpace="0"/>
        </w:sectPr>
      </w:pPr>
      <w:bookmarkStart w:id="168" w:name="_Toc1439"/>
      <w:bookmarkStart w:id="169" w:name="_Toc11013"/>
      <w:bookmarkStart w:id="170" w:name="_Toc15880"/>
      <w:bookmarkStart w:id="171" w:name="_Toc15285"/>
      <w:bookmarkStart w:id="172" w:name="_Toc22025"/>
      <w:bookmarkStart w:id="173" w:name="_Toc11385"/>
      <w:bookmarkStart w:id="174" w:name="_Toc17341"/>
      <w:bookmarkStart w:id="175" w:name="_Toc13098"/>
      <w:bookmarkStart w:id="176" w:name="_Toc3420"/>
      <w:bookmarkStart w:id="177" w:name="_Toc21524"/>
      <w:bookmarkStart w:id="178" w:name="_Toc238"/>
      <w:bookmarkStart w:id="179" w:name="_Toc30451"/>
      <w:bookmarkStart w:id="180" w:name="_Toc10907"/>
      <w:bookmarkStart w:id="181" w:name="_Toc16135"/>
    </w:p>
    <w:p w14:paraId="27312F88">
      <w:pPr>
        <w:widowControl/>
        <w:spacing w:line="360" w:lineRule="auto"/>
        <w:ind w:firstLine="602" w:firstLineChars="200"/>
        <w:jc w:val="left"/>
        <w:outlineLvl w:val="9"/>
        <w:rPr>
          <w:rFonts w:hint="eastAsia" w:ascii="宋体" w:hAnsi="宋体" w:cs="宋体"/>
          <w:b/>
          <w:bCs/>
          <w:kern w:val="44"/>
          <w:sz w:val="30"/>
          <w:szCs w:val="30"/>
        </w:rPr>
      </w:pPr>
    </w:p>
    <w:p w14:paraId="6CBB3E9B">
      <w:pPr>
        <w:widowControl/>
        <w:spacing w:line="360" w:lineRule="auto"/>
        <w:ind w:firstLine="0" w:firstLineChars="0"/>
        <w:jc w:val="center"/>
        <w:outlineLvl w:val="0"/>
        <w:rPr>
          <w:rFonts w:ascii="宋体" w:hAnsi="宋体" w:cs="宋体"/>
          <w:b/>
          <w:bCs/>
          <w:kern w:val="44"/>
          <w:sz w:val="30"/>
          <w:szCs w:val="30"/>
        </w:rPr>
      </w:pPr>
      <w:bookmarkStart w:id="182" w:name="_Toc24485"/>
      <w:bookmarkStart w:id="183" w:name="_Toc9133"/>
      <w:r>
        <w:rPr>
          <w:rFonts w:hint="eastAsia" w:ascii="宋体" w:hAnsi="宋体" w:cs="宋体"/>
          <w:b/>
          <w:bCs/>
          <w:kern w:val="44"/>
          <w:sz w:val="30"/>
          <w:szCs w:val="30"/>
        </w:rPr>
        <w:t>附录</w:t>
      </w:r>
      <w:r>
        <w:rPr>
          <w:rFonts w:hint="default" w:ascii="Times New Roman" w:hAnsi="Times New Roman" w:cs="Times New Roman"/>
          <w:b/>
          <w:bCs/>
          <w:kern w:val="44"/>
          <w:sz w:val="30"/>
          <w:szCs w:val="30"/>
        </w:rPr>
        <w:t>A</w:t>
      </w:r>
      <w:r>
        <w:rPr>
          <w:rFonts w:ascii="宋体" w:hAnsi="宋体" w:cs="宋体"/>
          <w:b/>
          <w:bCs/>
          <w:kern w:val="44"/>
          <w:sz w:val="30"/>
          <w:szCs w:val="30"/>
        </w:rPr>
        <w:t xml:space="preserve">  </w:t>
      </w:r>
      <w:bookmarkStart w:id="184" w:name="_Hlk156805434"/>
      <w:r>
        <w:rPr>
          <w:rFonts w:hint="eastAsia" w:ascii="宋体" w:hAnsi="宋体" w:cs="宋体"/>
          <w:b/>
          <w:bCs/>
          <w:kern w:val="44"/>
          <w:sz w:val="30"/>
          <w:szCs w:val="30"/>
        </w:rPr>
        <w:t>既有工业建筑</w:t>
      </w:r>
      <w:bookmarkEnd w:id="184"/>
      <w:r>
        <w:rPr>
          <w:rFonts w:hint="eastAsia" w:ascii="宋体" w:hAnsi="宋体" w:cs="宋体"/>
          <w:b/>
          <w:bCs/>
          <w:kern w:val="44"/>
          <w:sz w:val="30"/>
          <w:szCs w:val="30"/>
        </w:rPr>
        <w:t>民用化低碳改造碳排放计算</w:t>
      </w:r>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p>
    <w:p w14:paraId="493CB2B1">
      <w:pPr>
        <w:tabs>
          <w:tab w:val="left" w:pos="0"/>
        </w:tabs>
        <w:spacing w:before="0" w:beforeLines="0" w:after="0" w:afterLines="0" w:line="360" w:lineRule="auto"/>
        <w:jc w:val="center"/>
        <w:outlineLvl w:val="1"/>
        <w:rPr>
          <w:rFonts w:hint="eastAsia" w:ascii="Times New Roman" w:hAnsi="Times New Roman" w:eastAsia="黑体" w:cs="Times New Roman"/>
          <w:b/>
          <w:bCs/>
          <w:sz w:val="28"/>
          <w:szCs w:val="28"/>
        </w:rPr>
      </w:pPr>
      <w:bookmarkStart w:id="293" w:name="_GoBack"/>
      <w:bookmarkEnd w:id="293"/>
      <w:bookmarkStart w:id="185" w:name="_Toc16609"/>
      <w:bookmarkStart w:id="186" w:name="_Toc2605"/>
      <w:bookmarkStart w:id="187" w:name="_Toc13194"/>
      <w:bookmarkStart w:id="188" w:name="_Toc19321"/>
      <w:bookmarkStart w:id="189" w:name="_Toc17329"/>
      <w:bookmarkStart w:id="190" w:name="_Toc26340"/>
      <w:bookmarkStart w:id="191" w:name="_Toc16790"/>
      <w:bookmarkStart w:id="192" w:name="_Toc18691"/>
      <w:bookmarkStart w:id="193" w:name="_Toc14817"/>
      <w:bookmarkStart w:id="194" w:name="_Toc21116"/>
      <w:bookmarkStart w:id="195" w:name="_Toc2117"/>
      <w:bookmarkStart w:id="196" w:name="_Toc22715"/>
      <w:bookmarkStart w:id="197" w:name="_Toc12612"/>
      <w:bookmarkStart w:id="198" w:name="_Toc21491"/>
      <w:r>
        <w:rPr>
          <w:rFonts w:hint="default" w:ascii="Times New Roman" w:hAnsi="Times New Roman" w:eastAsia="黑体" w:cs="Times New Roman"/>
          <w:b/>
          <w:bCs/>
          <w:sz w:val="28"/>
          <w:szCs w:val="28"/>
        </w:rPr>
        <w:t xml:space="preserve">A.1  </w:t>
      </w:r>
      <w:bookmarkEnd w:id="185"/>
      <w:bookmarkEnd w:id="186"/>
      <w:bookmarkEnd w:id="187"/>
      <w:bookmarkEnd w:id="188"/>
      <w:bookmarkEnd w:id="189"/>
      <w:bookmarkEnd w:id="190"/>
      <w:r>
        <w:rPr>
          <w:rFonts w:hint="default" w:ascii="Times New Roman" w:hAnsi="Times New Roman" w:eastAsia="黑体" w:cs="Times New Roman"/>
          <w:b/>
          <w:bCs/>
          <w:sz w:val="28"/>
          <w:szCs w:val="28"/>
        </w:rPr>
        <w:t>碳排放计算方法</w:t>
      </w:r>
      <w:bookmarkEnd w:id="191"/>
      <w:bookmarkEnd w:id="192"/>
      <w:bookmarkEnd w:id="193"/>
      <w:bookmarkEnd w:id="194"/>
      <w:bookmarkEnd w:id="195"/>
      <w:bookmarkEnd w:id="196"/>
      <w:bookmarkEnd w:id="197"/>
      <w:bookmarkEnd w:id="198"/>
    </w:p>
    <w:p w14:paraId="38A01A7A">
      <w:pPr>
        <w:spacing w:line="360" w:lineRule="auto"/>
        <w:ind w:firstLine="422"/>
        <w:jc w:val="left"/>
        <w:rPr>
          <w:rFonts w:cs="宋体"/>
          <w:sz w:val="24"/>
          <w:szCs w:val="24"/>
        </w:rPr>
      </w:pPr>
      <w:r>
        <w:rPr>
          <w:rFonts w:hint="default" w:ascii="Times New Roman" w:hAnsi="Times New Roman" w:eastAsia="黑体" w:cs="Times New Roman"/>
          <w:b/>
          <w:bCs/>
          <w:sz w:val="24"/>
          <w:szCs w:val="24"/>
        </w:rPr>
        <w:t>A.1.1</w:t>
      </w:r>
      <w:r>
        <w:rPr>
          <w:rFonts w:hint="eastAsia"/>
          <w:sz w:val="24"/>
          <w:szCs w:val="24"/>
        </w:rPr>
        <w:t>　</w:t>
      </w:r>
      <w:r>
        <w:rPr>
          <w:rFonts w:hint="eastAsia" w:cs="宋体"/>
          <w:sz w:val="24"/>
          <w:szCs w:val="24"/>
        </w:rPr>
        <w:t>既有工业建筑民用化改造碳排放计算应包括改造阶段、运营阶段、拆除阶段的碳排放，并应按下式计算：</w:t>
      </w:r>
    </w:p>
    <w:p w14:paraId="71247C8E">
      <w:pPr>
        <w:tabs>
          <w:tab w:val="center" w:pos="4200"/>
          <w:tab w:val="right" w:pos="8200"/>
        </w:tabs>
        <w:spacing w:line="360" w:lineRule="auto"/>
        <w:jc w:val="center"/>
        <w:rPr>
          <w:rFonts w:hint="eastAsia" w:ascii="Cambria Math" w:hAnsi="Cambria Math" w:cs="宋体" w:eastAsiaTheme="minorEastAsia"/>
          <w:sz w:val="24"/>
          <w:szCs w:val="24"/>
        </w:rPr>
      </w:pPr>
      <w:r>
        <w:rPr>
          <w:rFonts w:hint="eastAsia" w:hAnsi="Cambria Math" w:cs="宋体" w:eastAsiaTheme="minorEastAsia"/>
          <w:sz w:val="24"/>
          <w:szCs w:val="24"/>
        </w:rPr>
        <w:tab/>
      </w:r>
      <m:oMath>
        <m:sSub>
          <m:sSubPr>
            <m:ctrlPr>
              <w:rPr>
                <w:rFonts w:ascii="Cambria Math" w:hAnsi="Cambria Math" w:cs="Times New Roman" w:eastAsiaTheme="minorEastAsia"/>
                <w:sz w:val="24"/>
                <w:szCs w:val="24"/>
              </w:rPr>
            </m:ctrlPr>
          </m:sSubPr>
          <m:e>
            <m:r>
              <m:rPr>
                <m:sty m:val="p"/>
              </m:rPr>
              <w:rPr>
                <w:rFonts w:ascii="Cambria Math" w:hAnsi="Cambria Math" w:cs="Times New Roman" w:eastAsiaTheme="minorEastAsia"/>
                <w:sz w:val="24"/>
                <w:szCs w:val="24"/>
              </w:rPr>
              <m:t>P</m:t>
            </m:r>
            <m:ctrlPr>
              <w:rPr>
                <w:rFonts w:ascii="Cambria Math" w:hAnsi="Cambria Math" w:cs="Times New Roman" w:eastAsiaTheme="minorEastAsia"/>
                <w:sz w:val="24"/>
                <w:szCs w:val="24"/>
              </w:rPr>
            </m:ctrlPr>
          </m:e>
          <m:sub>
            <m:r>
              <m:rPr>
                <m:sty m:val="p"/>
              </m:rPr>
              <w:rPr>
                <w:rFonts w:ascii="Cambria Math" w:hAnsi="Cambria Math" w:cs="Times New Roman" w:eastAsiaTheme="minorEastAsia"/>
                <w:sz w:val="24"/>
                <w:szCs w:val="24"/>
              </w:rPr>
              <m:t>t</m:t>
            </m:r>
            <m:ctrlPr>
              <w:rPr>
                <w:rFonts w:ascii="Cambria Math" w:hAnsi="Cambria Math" w:cs="Times New Roman" w:eastAsiaTheme="minorEastAsia"/>
                <w:sz w:val="24"/>
                <w:szCs w:val="24"/>
              </w:rPr>
            </m:ctrlPr>
          </m:sub>
        </m:sSub>
        <m:r>
          <m:rPr>
            <m:sty m:val="p"/>
          </m:rPr>
          <w:rPr>
            <w:rFonts w:ascii="Cambria Math" w:hAnsi="Cambria Math" w:cs="Times New Roman" w:eastAsiaTheme="minorEastAsia"/>
            <w:sz w:val="24"/>
            <w:szCs w:val="24"/>
          </w:rPr>
          <m:t>=</m:t>
        </m:r>
        <m:sSub>
          <m:sSubPr>
            <m:ctrlPr>
              <w:rPr>
                <w:rFonts w:ascii="Cambria Math" w:hAnsi="Cambria Math" w:cs="Times New Roman" w:eastAsiaTheme="minorEastAsia"/>
                <w:sz w:val="24"/>
                <w:szCs w:val="24"/>
              </w:rPr>
            </m:ctrlPr>
          </m:sSubPr>
          <m:e>
            <m:sSub>
              <m:sSubPr>
                <m:ctrlPr>
                  <w:rPr>
                    <w:rFonts w:ascii="Cambria Math" w:hAnsi="Cambria Math" w:cs="Times New Roman" w:eastAsiaTheme="minorEastAsia"/>
                    <w:sz w:val="24"/>
                    <w:szCs w:val="24"/>
                  </w:rPr>
                </m:ctrlPr>
              </m:sSubPr>
              <m:e>
                <m:r>
                  <m:rPr>
                    <m:sty m:val="p"/>
                  </m:rPr>
                  <w:rPr>
                    <w:rFonts w:ascii="Cambria Math" w:hAnsi="Cambria Math" w:cs="Times New Roman" w:eastAsiaTheme="minorEastAsia"/>
                    <w:sz w:val="24"/>
                    <w:szCs w:val="24"/>
                  </w:rPr>
                  <m:t>P</m:t>
                </m:r>
                <m:ctrlPr>
                  <w:rPr>
                    <w:rFonts w:ascii="Cambria Math" w:hAnsi="Cambria Math" w:cs="Times New Roman" w:eastAsiaTheme="minorEastAsia"/>
                    <w:sz w:val="24"/>
                    <w:szCs w:val="24"/>
                  </w:rPr>
                </m:ctrlPr>
              </m:e>
              <m:sub>
                <m:r>
                  <m:rPr>
                    <m:sty m:val="p"/>
                  </m:rPr>
                  <w:rPr>
                    <w:rFonts w:ascii="Cambria Math" w:hAnsi="Cambria Math" w:cs="Times New Roman" w:eastAsiaTheme="minorEastAsia"/>
                    <w:sz w:val="24"/>
                    <w:szCs w:val="24"/>
                  </w:rPr>
                  <m:t>re</m:t>
                </m:r>
                <m:ctrlPr>
                  <w:rPr>
                    <w:rFonts w:ascii="Cambria Math" w:hAnsi="Cambria Math" w:cs="Times New Roman" w:eastAsiaTheme="minorEastAsia"/>
                    <w:sz w:val="24"/>
                    <w:szCs w:val="24"/>
                  </w:rPr>
                </m:ctrlPr>
              </m:sub>
            </m:sSub>
            <m:r>
              <m:rPr>
                <m:sty m:val="p"/>
              </m:rPr>
              <w:rPr>
                <w:rFonts w:ascii="Cambria Math" w:hAnsi="Cambria Math" w:cs="Times New Roman" w:eastAsiaTheme="minorEastAsia"/>
                <w:sz w:val="24"/>
                <w:szCs w:val="24"/>
              </w:rPr>
              <m:t>+P</m:t>
            </m:r>
            <m:ctrlPr>
              <w:rPr>
                <w:rFonts w:ascii="Cambria Math" w:hAnsi="Cambria Math" w:cs="Times New Roman" w:eastAsiaTheme="minorEastAsia"/>
                <w:sz w:val="24"/>
                <w:szCs w:val="24"/>
              </w:rPr>
            </m:ctrlPr>
          </m:e>
          <m:sub>
            <m:r>
              <m:rPr>
                <m:sty m:val="p"/>
              </m:rPr>
              <w:rPr>
                <w:rFonts w:ascii="Cambria Math" w:hAnsi="Cambria Math" w:cs="Times New Roman" w:eastAsiaTheme="minorEastAsia"/>
                <w:sz w:val="24"/>
                <w:szCs w:val="24"/>
              </w:rPr>
              <m:t>op</m:t>
            </m:r>
            <m:ctrlPr>
              <w:rPr>
                <w:rFonts w:ascii="Cambria Math" w:hAnsi="Cambria Math" w:cs="Times New Roman" w:eastAsiaTheme="minorEastAsia"/>
                <w:sz w:val="24"/>
                <w:szCs w:val="24"/>
              </w:rPr>
            </m:ctrlPr>
          </m:sub>
        </m:sSub>
        <m:r>
          <m:rPr>
            <m:sty m:val="p"/>
          </m:rPr>
          <w:rPr>
            <w:rFonts w:ascii="Cambria Math" w:hAnsi="Cambria Math" w:cs="Times New Roman" w:eastAsiaTheme="minorEastAsia"/>
            <w:sz w:val="24"/>
            <w:szCs w:val="24"/>
          </w:rPr>
          <m:t>+</m:t>
        </m:r>
        <m:sSub>
          <m:sSubPr>
            <m:ctrlPr>
              <w:rPr>
                <w:rFonts w:ascii="Cambria Math" w:hAnsi="Cambria Math" w:cs="Times New Roman" w:eastAsiaTheme="minorEastAsia"/>
                <w:sz w:val="24"/>
                <w:szCs w:val="24"/>
              </w:rPr>
            </m:ctrlPr>
          </m:sSubPr>
          <m:e>
            <m:r>
              <m:rPr>
                <m:sty m:val="p"/>
              </m:rPr>
              <w:rPr>
                <w:rFonts w:ascii="Cambria Math" w:hAnsi="Cambria Math" w:cs="Times New Roman" w:eastAsiaTheme="minorEastAsia"/>
                <w:sz w:val="24"/>
                <w:szCs w:val="24"/>
              </w:rPr>
              <m:t>P</m:t>
            </m:r>
            <m:ctrlPr>
              <w:rPr>
                <w:rFonts w:ascii="Cambria Math" w:hAnsi="Cambria Math" w:cs="Times New Roman" w:eastAsiaTheme="minorEastAsia"/>
                <w:sz w:val="24"/>
                <w:szCs w:val="24"/>
              </w:rPr>
            </m:ctrlPr>
          </m:e>
          <m:sub>
            <m:r>
              <m:rPr>
                <m:sty m:val="p"/>
              </m:rPr>
              <w:rPr>
                <w:rFonts w:ascii="Cambria Math" w:hAnsi="Cambria Math" w:cs="Times New Roman" w:eastAsiaTheme="minorEastAsia"/>
                <w:sz w:val="24"/>
                <w:szCs w:val="24"/>
              </w:rPr>
              <m:t>ab</m:t>
            </m:r>
            <m:ctrlPr>
              <w:rPr>
                <w:rFonts w:ascii="Cambria Math" w:hAnsi="Cambria Math" w:cs="Times New Roman" w:eastAsiaTheme="minorEastAsia"/>
                <w:sz w:val="24"/>
                <w:szCs w:val="24"/>
              </w:rPr>
            </m:ctrlPr>
          </m:sub>
        </m:sSub>
      </m:oMath>
      <w:r>
        <w:rPr>
          <w:rFonts w:ascii="Times New Roman" w:hAnsi="Times New Roman" w:cs="Times New Roman" w:eastAsiaTheme="minorEastAsia"/>
          <w:sz w:val="24"/>
          <w:szCs w:val="24"/>
        </w:rPr>
        <w:t xml:space="preserve">   </w:t>
      </w:r>
      <w:r>
        <w:rPr>
          <w:rFonts w:hint="eastAsia" w:ascii="Cambria Math" w:hAnsi="Cambria Math" w:cs="宋体" w:eastAsiaTheme="minorEastAsia"/>
          <w:sz w:val="24"/>
          <w:szCs w:val="24"/>
        </w:rPr>
        <w:tab/>
      </w:r>
      <w:r>
        <w:rPr>
          <w:rFonts w:ascii="Cambria Math" w:hAnsi="Cambria Math" w:cs="宋体" w:eastAsiaTheme="minorEastAsia"/>
          <w:sz w:val="24"/>
          <w:szCs w:val="24"/>
        </w:rPr>
        <w:t>(</w:t>
      </w:r>
      <w:r>
        <w:rPr>
          <w:rFonts w:ascii="Times New Roman" w:hAnsi="Times New Roman" w:cs="Times New Roman" w:eastAsiaTheme="minorEastAsia"/>
          <w:sz w:val="24"/>
          <w:szCs w:val="24"/>
        </w:rPr>
        <w:t>A.1.1</w:t>
      </w:r>
      <w:r>
        <w:rPr>
          <w:rFonts w:ascii="Cambria Math" w:hAnsi="Cambria Math" w:cs="宋体" w:eastAsiaTheme="minorEastAsia"/>
          <w:sz w:val="24"/>
          <w:szCs w:val="24"/>
        </w:rPr>
        <w:t>)</w:t>
      </w:r>
    </w:p>
    <w:p w14:paraId="1FCB434E">
      <w:pPr>
        <w:spacing w:line="360" w:lineRule="auto"/>
        <w:jc w:val="left"/>
        <w:rPr>
          <w:rFonts w:cs="宋体"/>
          <w:sz w:val="24"/>
          <w:szCs w:val="24"/>
        </w:rPr>
      </w:pPr>
      <w:r>
        <w:rPr>
          <w:rFonts w:hint="eastAsia" w:cs="宋体"/>
          <w:sz w:val="24"/>
          <w:szCs w:val="24"/>
        </w:rPr>
        <w:t xml:space="preserve">式中： </w:t>
      </w:r>
      <m:oMath>
        <m:sSub>
          <m:sSubPr>
            <m:ctrlPr>
              <w:rPr>
                <w:rFonts w:ascii="Cambria Math" w:hAnsi="Cambria Math" w:cs="Times New Roman"/>
                <w:sz w:val="24"/>
                <w:szCs w:val="24"/>
              </w:rPr>
            </m:ctrlPr>
          </m:sSubPr>
          <m:e>
            <m:r>
              <m:rPr>
                <m:sty m:val="p"/>
              </m:rPr>
              <w:rPr>
                <w:rFonts w:ascii="Cambria Math" w:hAnsi="Cambria Math" w:cs="Times New Roman"/>
                <w:sz w:val="24"/>
                <w:szCs w:val="24"/>
              </w:rPr>
              <m:t>P</m:t>
            </m:r>
            <m:ctrlPr>
              <w:rPr>
                <w:rFonts w:ascii="Cambria Math" w:hAnsi="Cambria Math" w:cs="Times New Roman"/>
                <w:sz w:val="24"/>
                <w:szCs w:val="24"/>
              </w:rPr>
            </m:ctrlPr>
          </m:e>
          <m:sub>
            <m:r>
              <m:rPr>
                <m:sty m:val="p"/>
              </m:rPr>
              <w:rPr>
                <w:rFonts w:ascii="Cambria Math" w:hAnsi="Cambria Math" w:cs="Times New Roman"/>
                <w:sz w:val="24"/>
                <w:szCs w:val="24"/>
              </w:rPr>
              <m:t>t</m:t>
            </m:r>
            <m:ctrlPr>
              <w:rPr>
                <w:rFonts w:ascii="Cambria Math" w:hAnsi="Cambria Math" w:cs="Times New Roman"/>
                <w:sz w:val="24"/>
                <w:szCs w:val="24"/>
              </w:rPr>
            </m:ctrlPr>
          </m:sub>
        </m:sSub>
      </m:oMath>
      <w:r>
        <w:rPr>
          <w:rFonts w:hint="eastAsia" w:cs="宋体"/>
          <w:sz w:val="24"/>
          <w:szCs w:val="24"/>
        </w:rPr>
        <w:t>——建筑改造碳排放总量（kgCO</w:t>
      </w:r>
      <w:r>
        <w:rPr>
          <w:rFonts w:hint="eastAsia" w:cs="宋体"/>
          <w:sz w:val="24"/>
          <w:szCs w:val="24"/>
          <w:vertAlign w:val="subscript"/>
        </w:rPr>
        <w:t>2</w:t>
      </w:r>
      <w:r>
        <w:rPr>
          <w:rFonts w:hint="eastAsia" w:cs="宋体"/>
          <w:sz w:val="24"/>
          <w:szCs w:val="24"/>
        </w:rPr>
        <w:t>)；</w:t>
      </w:r>
    </w:p>
    <w:p w14:paraId="53E1DA95">
      <w:pPr>
        <w:spacing w:line="360" w:lineRule="auto"/>
        <w:ind w:firstLine="840" w:firstLineChars="350"/>
        <w:jc w:val="left"/>
        <w:rPr>
          <w:rFonts w:cs="宋体"/>
          <w:sz w:val="24"/>
          <w:szCs w:val="24"/>
        </w:rPr>
      </w:pPr>
      <m:oMath>
        <m:sSub>
          <m:sSubPr>
            <m:ctrlPr>
              <w:rPr>
                <w:rFonts w:ascii="Cambria Math" w:hAnsi="Cambria Math" w:cs="宋体"/>
                <w:sz w:val="24"/>
                <w:szCs w:val="24"/>
              </w:rPr>
            </m:ctrlPr>
          </m:sSubPr>
          <m:e>
            <m:r>
              <m:rPr>
                <m:sty m:val="p"/>
              </m:rPr>
              <w:rPr>
                <w:rFonts w:ascii="Cambria Math" w:hAnsi="Cambria Math" w:cs="宋体"/>
                <w:sz w:val="24"/>
                <w:szCs w:val="24"/>
              </w:rPr>
              <m:t>P</m:t>
            </m:r>
            <m:ctrlPr>
              <w:rPr>
                <w:rFonts w:ascii="Cambria Math" w:hAnsi="Cambria Math" w:cs="宋体"/>
                <w:sz w:val="24"/>
                <w:szCs w:val="24"/>
              </w:rPr>
            </m:ctrlPr>
          </m:e>
          <m:sub>
            <m:r>
              <m:rPr>
                <m:sty m:val="p"/>
              </m:rPr>
              <w:rPr>
                <w:rFonts w:ascii="Cambria Math" w:hAnsi="Cambria Math" w:cs="宋体"/>
                <w:sz w:val="24"/>
                <w:szCs w:val="24"/>
              </w:rPr>
              <m:t>re</m:t>
            </m:r>
            <m:ctrlPr>
              <w:rPr>
                <w:rFonts w:ascii="Cambria Math" w:hAnsi="Cambria Math" w:cs="宋体"/>
                <w:sz w:val="24"/>
                <w:szCs w:val="24"/>
              </w:rPr>
            </m:ctrlPr>
          </m:sub>
        </m:sSub>
      </m:oMath>
      <w:r>
        <w:rPr>
          <w:rFonts w:hint="eastAsia" w:cs="宋体"/>
          <w:sz w:val="24"/>
          <w:szCs w:val="24"/>
        </w:rPr>
        <w:t>——建筑改造阶段碳排放总量（kgCO</w:t>
      </w:r>
      <w:r>
        <w:rPr>
          <w:rFonts w:hint="eastAsia" w:cs="宋体"/>
          <w:sz w:val="24"/>
          <w:szCs w:val="24"/>
          <w:vertAlign w:val="subscript"/>
        </w:rPr>
        <w:t>2</w:t>
      </w:r>
      <w:r>
        <w:rPr>
          <w:rFonts w:hint="eastAsia" w:cs="宋体"/>
          <w:sz w:val="24"/>
          <w:szCs w:val="24"/>
        </w:rPr>
        <w:t>)；</w:t>
      </w:r>
    </w:p>
    <w:p w14:paraId="1A8B5867">
      <w:pPr>
        <w:spacing w:line="360" w:lineRule="auto"/>
        <w:ind w:firstLine="840" w:firstLineChars="350"/>
        <w:jc w:val="left"/>
        <w:rPr>
          <w:rFonts w:cs="宋体"/>
          <w:sz w:val="24"/>
          <w:szCs w:val="24"/>
        </w:rPr>
      </w:pPr>
      <m:oMath>
        <m:sSub>
          <m:sSubPr>
            <m:ctrlPr>
              <w:rPr>
                <w:rFonts w:ascii="Cambria Math" w:hAnsi="Cambria Math" w:cs="宋体"/>
                <w:sz w:val="24"/>
                <w:szCs w:val="24"/>
              </w:rPr>
            </m:ctrlPr>
          </m:sSubPr>
          <m:e>
            <m:r>
              <m:rPr>
                <m:sty m:val="p"/>
              </m:rPr>
              <w:rPr>
                <w:rFonts w:ascii="Cambria Math" w:hAnsi="Cambria Math" w:cs="宋体"/>
                <w:sz w:val="24"/>
                <w:szCs w:val="24"/>
              </w:rPr>
              <m:t>P</m:t>
            </m:r>
            <m:ctrlPr>
              <w:rPr>
                <w:rFonts w:ascii="Cambria Math" w:hAnsi="Cambria Math" w:cs="宋体"/>
                <w:sz w:val="24"/>
                <w:szCs w:val="24"/>
              </w:rPr>
            </m:ctrlPr>
          </m:e>
          <m:sub>
            <m:r>
              <m:rPr>
                <m:sty m:val="p"/>
              </m:rPr>
              <w:rPr>
                <w:rFonts w:ascii="Cambria Math" w:hAnsi="Cambria Math" w:cs="宋体"/>
                <w:sz w:val="24"/>
                <w:szCs w:val="24"/>
              </w:rPr>
              <m:t>op</m:t>
            </m:r>
            <m:ctrlPr>
              <w:rPr>
                <w:rFonts w:ascii="Cambria Math" w:hAnsi="Cambria Math" w:cs="宋体"/>
                <w:sz w:val="24"/>
                <w:szCs w:val="24"/>
              </w:rPr>
            </m:ctrlPr>
          </m:sub>
        </m:sSub>
      </m:oMath>
      <w:r>
        <w:rPr>
          <w:rFonts w:hint="eastAsia" w:cs="宋体"/>
          <w:sz w:val="24"/>
          <w:szCs w:val="24"/>
        </w:rPr>
        <w:t>——建筑运营阶段碳排放总量（kgCO</w:t>
      </w:r>
      <w:r>
        <w:rPr>
          <w:rFonts w:hint="eastAsia" w:cs="宋体"/>
          <w:sz w:val="24"/>
          <w:szCs w:val="24"/>
          <w:vertAlign w:val="subscript"/>
        </w:rPr>
        <w:t>2</w:t>
      </w:r>
      <w:r>
        <w:rPr>
          <w:rFonts w:hint="eastAsia" w:cs="宋体"/>
          <w:sz w:val="24"/>
          <w:szCs w:val="24"/>
        </w:rPr>
        <w:t>)；</w:t>
      </w:r>
    </w:p>
    <w:p w14:paraId="6ECB2BD3">
      <w:pPr>
        <w:spacing w:line="360" w:lineRule="auto"/>
        <w:ind w:firstLine="840" w:firstLineChars="350"/>
        <w:jc w:val="left"/>
        <w:rPr>
          <w:rFonts w:cs="宋体"/>
          <w:sz w:val="24"/>
          <w:szCs w:val="24"/>
        </w:rPr>
      </w:pPr>
      <m:oMath>
        <m:sSub>
          <m:sSubPr>
            <m:ctrlPr>
              <w:rPr>
                <w:rFonts w:ascii="Cambria Math" w:hAnsi="Cambria Math" w:cs="宋体"/>
                <w:sz w:val="24"/>
                <w:szCs w:val="24"/>
              </w:rPr>
            </m:ctrlPr>
          </m:sSubPr>
          <m:e>
            <m:r>
              <m:rPr>
                <m:sty m:val="p"/>
              </m:rPr>
              <w:rPr>
                <w:rFonts w:ascii="Cambria Math" w:hAnsi="Cambria Math" w:cs="宋体"/>
                <w:sz w:val="24"/>
                <w:szCs w:val="24"/>
              </w:rPr>
              <m:t>P</m:t>
            </m:r>
            <m:ctrlPr>
              <w:rPr>
                <w:rFonts w:ascii="Cambria Math" w:hAnsi="Cambria Math" w:cs="宋体"/>
                <w:sz w:val="24"/>
                <w:szCs w:val="24"/>
              </w:rPr>
            </m:ctrlPr>
          </m:e>
          <m:sub>
            <m:r>
              <m:rPr>
                <m:sty m:val="p"/>
              </m:rPr>
              <w:rPr>
                <w:rFonts w:ascii="Cambria Math" w:hAnsi="Cambria Math" w:cs="宋体"/>
                <w:sz w:val="24"/>
                <w:szCs w:val="24"/>
              </w:rPr>
              <m:t>ab</m:t>
            </m:r>
            <m:ctrlPr>
              <w:rPr>
                <w:rFonts w:ascii="Cambria Math" w:hAnsi="Cambria Math" w:cs="宋体"/>
                <w:sz w:val="24"/>
                <w:szCs w:val="24"/>
              </w:rPr>
            </m:ctrlPr>
          </m:sub>
        </m:sSub>
      </m:oMath>
      <w:r>
        <w:rPr>
          <w:rFonts w:hint="eastAsia" w:cs="宋体"/>
          <w:sz w:val="24"/>
          <w:szCs w:val="24"/>
        </w:rPr>
        <w:t>——建筑废弃阶段碳排放总量（kgCO</w:t>
      </w:r>
      <w:r>
        <w:rPr>
          <w:rFonts w:hint="eastAsia" w:cs="宋体"/>
          <w:sz w:val="24"/>
          <w:szCs w:val="24"/>
          <w:vertAlign w:val="subscript"/>
        </w:rPr>
        <w:t>2</w:t>
      </w:r>
      <w:r>
        <w:rPr>
          <w:rFonts w:hint="eastAsia" w:cs="宋体"/>
          <w:sz w:val="24"/>
          <w:szCs w:val="24"/>
        </w:rPr>
        <w:t>)。</w:t>
      </w:r>
    </w:p>
    <w:p w14:paraId="035D37A4">
      <w:pPr>
        <w:spacing w:line="360" w:lineRule="auto"/>
        <w:ind w:firstLine="422"/>
        <w:jc w:val="left"/>
        <w:rPr>
          <w:rFonts w:cs="宋体"/>
          <w:sz w:val="24"/>
          <w:szCs w:val="24"/>
        </w:rPr>
      </w:pPr>
      <w:r>
        <w:rPr>
          <w:rFonts w:hint="default" w:ascii="Times New Roman" w:hAnsi="Times New Roman" w:eastAsia="黑体" w:cs="Times New Roman"/>
          <w:b/>
          <w:bCs/>
          <w:sz w:val="24"/>
          <w:szCs w:val="24"/>
        </w:rPr>
        <w:t>A.1.2</w:t>
      </w:r>
      <w:r>
        <w:rPr>
          <w:rFonts w:hint="eastAsia"/>
          <w:sz w:val="24"/>
          <w:szCs w:val="24"/>
        </w:rPr>
        <w:t>　</w:t>
      </w:r>
      <w:r>
        <w:rPr>
          <w:rFonts w:hint="eastAsia" w:cs="宋体"/>
          <w:sz w:val="24"/>
          <w:szCs w:val="24"/>
        </w:rPr>
        <w:t>改造阶段碳排放应包括改造拆除和改造施工的碳排放，并应按下列公式计算：</w:t>
      </w:r>
    </w:p>
    <w:p w14:paraId="2A2C36F7">
      <w:pPr>
        <w:tabs>
          <w:tab w:val="center" w:pos="4200"/>
          <w:tab w:val="right" w:pos="8200"/>
        </w:tabs>
        <w:spacing w:line="360" w:lineRule="auto"/>
        <w:jc w:val="center"/>
        <w:rPr>
          <w:rFonts w:hint="eastAsia" w:ascii="Cambria Math" w:hAnsi="Cambria Math" w:cs="宋体" w:eastAsiaTheme="minorEastAsia"/>
          <w:sz w:val="24"/>
          <w:szCs w:val="24"/>
        </w:rPr>
      </w:pPr>
      <w:r>
        <w:rPr>
          <w:rFonts w:hint="eastAsia" w:hAnsi="Cambria Math" w:cs="宋体" w:eastAsiaTheme="minorEastAsia"/>
          <w:sz w:val="24"/>
          <w:szCs w:val="24"/>
        </w:rPr>
        <w:tab/>
      </w:r>
      <m:oMath>
        <m:sSub>
          <m:sSubPr>
            <m:ctrlPr>
              <w:rPr>
                <w:rFonts w:hint="eastAsia" w:ascii="Cambria Math" w:hAnsi="Cambria Math" w:cs="宋体" w:eastAsiaTheme="minorEastAsia"/>
                <w:sz w:val="24"/>
                <w:szCs w:val="24"/>
              </w:rPr>
            </m:ctrlPr>
          </m:sSubPr>
          <m:e>
            <m:r>
              <m:rPr>
                <m:sty m:val="p"/>
              </m:rPr>
              <w:rPr>
                <w:rFonts w:hint="eastAsia" w:ascii="Cambria Math" w:hAnsi="Cambria Math" w:cs="宋体" w:eastAsiaTheme="minorEastAsia"/>
                <w:sz w:val="24"/>
                <w:szCs w:val="24"/>
              </w:rPr>
              <m:t>P</m:t>
            </m:r>
            <m:ctrlPr>
              <w:rPr>
                <w:rFonts w:hint="eastAsia" w:ascii="Cambria Math" w:hAnsi="Cambria Math" w:cs="宋体" w:eastAsiaTheme="minorEastAsia"/>
                <w:sz w:val="24"/>
                <w:szCs w:val="24"/>
              </w:rPr>
            </m:ctrlPr>
          </m:e>
          <m:sub>
            <m:r>
              <m:rPr>
                <m:sty m:val="p"/>
              </m:rPr>
              <w:rPr>
                <w:rFonts w:hint="eastAsia" w:ascii="Cambria Math" w:hAnsi="Cambria Math" w:cs="宋体" w:eastAsiaTheme="minorEastAsia"/>
                <w:sz w:val="24"/>
                <w:szCs w:val="24"/>
              </w:rPr>
              <m:t>re</m:t>
            </m:r>
            <m:ctrlPr>
              <w:rPr>
                <w:rFonts w:hint="eastAsia" w:ascii="Cambria Math" w:hAnsi="Cambria Math" w:cs="宋体" w:eastAsiaTheme="minorEastAsia"/>
                <w:sz w:val="24"/>
                <w:szCs w:val="24"/>
              </w:rPr>
            </m:ctrlPr>
          </m:sub>
        </m:sSub>
        <m:r>
          <m:rPr>
            <m:sty m:val="p"/>
          </m:rPr>
          <w:rPr>
            <w:rFonts w:hint="eastAsia" w:ascii="Cambria Math" w:hAnsi="Cambria Math" w:cs="宋体" w:eastAsiaTheme="minorEastAsia"/>
            <w:sz w:val="24"/>
            <w:szCs w:val="24"/>
          </w:rPr>
          <m:t>=</m:t>
        </m:r>
        <m:sSub>
          <m:sSubPr>
            <m:ctrlPr>
              <w:rPr>
                <w:rFonts w:hint="eastAsia" w:ascii="Cambria Math" w:hAnsi="Cambria Math" w:cs="宋体" w:eastAsiaTheme="minorEastAsia"/>
                <w:sz w:val="24"/>
                <w:szCs w:val="24"/>
              </w:rPr>
            </m:ctrlPr>
          </m:sSubPr>
          <m:e>
            <m:sSub>
              <m:sSubPr>
                <m:ctrlPr>
                  <w:rPr>
                    <w:rFonts w:hint="eastAsia" w:ascii="Cambria Math" w:hAnsi="Cambria Math" w:cs="宋体" w:eastAsiaTheme="minorEastAsia"/>
                    <w:sz w:val="24"/>
                    <w:szCs w:val="24"/>
                  </w:rPr>
                </m:ctrlPr>
              </m:sSubPr>
              <m:e>
                <m:r>
                  <m:rPr>
                    <m:sty m:val="p"/>
                  </m:rPr>
                  <w:rPr>
                    <w:rFonts w:hint="eastAsia" w:ascii="Cambria Math" w:hAnsi="Cambria Math" w:cs="宋体" w:eastAsiaTheme="minorEastAsia"/>
                    <w:sz w:val="24"/>
                    <w:szCs w:val="24"/>
                  </w:rPr>
                  <m:t>P</m:t>
                </m:r>
                <m:ctrlPr>
                  <w:rPr>
                    <w:rFonts w:hint="eastAsia" w:ascii="Cambria Math" w:hAnsi="Cambria Math" w:cs="宋体" w:eastAsiaTheme="minorEastAsia"/>
                    <w:sz w:val="24"/>
                    <w:szCs w:val="24"/>
                  </w:rPr>
                </m:ctrlPr>
              </m:e>
              <m:sub>
                <m:r>
                  <m:rPr>
                    <m:sty m:val="p"/>
                  </m:rPr>
                  <w:rPr>
                    <w:rFonts w:hint="eastAsia" w:ascii="Cambria Math" w:hAnsi="Cambria Math" w:cs="宋体" w:eastAsiaTheme="minorEastAsia"/>
                    <w:sz w:val="24"/>
                    <w:szCs w:val="24"/>
                  </w:rPr>
                  <m:t>de</m:t>
                </m:r>
                <m:ctrlPr>
                  <w:rPr>
                    <w:rFonts w:hint="eastAsia" w:ascii="Cambria Math" w:hAnsi="Cambria Math" w:cs="宋体" w:eastAsiaTheme="minorEastAsia"/>
                    <w:sz w:val="24"/>
                    <w:szCs w:val="24"/>
                  </w:rPr>
                </m:ctrlPr>
              </m:sub>
            </m:sSub>
            <m:r>
              <m:rPr>
                <m:sty m:val="p"/>
              </m:rPr>
              <w:rPr>
                <w:rFonts w:hint="eastAsia" w:ascii="Cambria Math" w:hAnsi="Cambria Math" w:cs="宋体" w:eastAsiaTheme="minorEastAsia"/>
                <w:sz w:val="24"/>
                <w:szCs w:val="24"/>
              </w:rPr>
              <m:t>+P</m:t>
            </m:r>
            <m:ctrlPr>
              <w:rPr>
                <w:rFonts w:hint="eastAsia" w:ascii="Cambria Math" w:hAnsi="Cambria Math" w:cs="宋体" w:eastAsiaTheme="minorEastAsia"/>
                <w:sz w:val="24"/>
                <w:szCs w:val="24"/>
              </w:rPr>
            </m:ctrlPr>
          </m:e>
          <m:sub>
            <m:r>
              <m:rPr>
                <m:sty m:val="p"/>
              </m:rPr>
              <w:rPr>
                <w:rFonts w:hint="eastAsia" w:ascii="Cambria Math" w:hAnsi="Cambria Math" w:cs="宋体" w:eastAsiaTheme="minorEastAsia"/>
                <w:sz w:val="24"/>
                <w:szCs w:val="24"/>
              </w:rPr>
              <m:t>co</m:t>
            </m:r>
            <m:ctrlPr>
              <w:rPr>
                <w:rFonts w:hint="eastAsia" w:ascii="Cambria Math" w:hAnsi="Cambria Math" w:cs="宋体" w:eastAsiaTheme="minorEastAsia"/>
                <w:sz w:val="24"/>
                <w:szCs w:val="24"/>
              </w:rPr>
            </m:ctrlPr>
          </m:sub>
        </m:sSub>
      </m:oMath>
      <w:r>
        <w:rPr>
          <w:rFonts w:ascii="Cambria Math" w:hAnsi="Cambria Math" w:cs="宋体" w:eastAsiaTheme="minorEastAsia"/>
          <w:sz w:val="24"/>
          <w:szCs w:val="24"/>
        </w:rPr>
        <w:t xml:space="preserve">   </w:t>
      </w:r>
      <w:r>
        <w:rPr>
          <w:rFonts w:hint="eastAsia" w:ascii="Cambria Math" w:hAnsi="Cambria Math" w:cs="宋体" w:eastAsiaTheme="minorEastAsia"/>
          <w:sz w:val="24"/>
          <w:szCs w:val="24"/>
        </w:rPr>
        <w:tab/>
      </w:r>
      <w:r>
        <w:rPr>
          <w:rFonts w:hint="eastAsia" w:hAnsi="Cambria Math" w:cs="宋体" w:eastAsiaTheme="minorEastAsia"/>
          <w:sz w:val="24"/>
          <w:szCs w:val="24"/>
        </w:rPr>
        <w:t>(A.1.2-1)</w:t>
      </w:r>
    </w:p>
    <w:p w14:paraId="7D4577E5">
      <w:pPr>
        <w:tabs>
          <w:tab w:val="center" w:pos="4200"/>
          <w:tab w:val="right" w:pos="8200"/>
        </w:tabs>
        <w:spacing w:line="360" w:lineRule="auto"/>
        <w:jc w:val="center"/>
        <w:rPr>
          <w:rFonts w:hint="eastAsia" w:ascii="Cambria Math" w:hAnsi="Cambria Math" w:cs="宋体" w:eastAsiaTheme="minorEastAsia"/>
          <w:sz w:val="24"/>
          <w:szCs w:val="24"/>
        </w:rPr>
      </w:pPr>
      <w:r>
        <w:rPr>
          <w:rFonts w:hint="eastAsia" w:hAnsi="Cambria Math" w:cs="宋体" w:eastAsiaTheme="minorEastAsia"/>
          <w:sz w:val="24"/>
          <w:szCs w:val="24"/>
        </w:rPr>
        <w:tab/>
      </w:r>
      <m:oMath>
        <m:sSub>
          <m:sSubPr>
            <m:ctrlPr>
              <w:rPr>
                <w:rFonts w:ascii="Cambria Math" w:hAnsi="Cambria Math" w:cs="宋体"/>
                <w:sz w:val="24"/>
                <w:szCs w:val="24"/>
              </w:rPr>
            </m:ctrlPr>
          </m:sSubPr>
          <m:e>
            <m:r>
              <m:rPr>
                <m:sty m:val="p"/>
              </m:rPr>
              <w:rPr>
                <w:rFonts w:ascii="Cambria Math" w:hAnsi="Cambria Math" w:cs="宋体"/>
                <w:sz w:val="24"/>
                <w:szCs w:val="24"/>
              </w:rPr>
              <m:t>P</m:t>
            </m:r>
            <m:ctrlPr>
              <w:rPr>
                <w:rFonts w:ascii="Cambria Math" w:hAnsi="Cambria Math" w:cs="宋体"/>
                <w:sz w:val="24"/>
                <w:szCs w:val="24"/>
              </w:rPr>
            </m:ctrlPr>
          </m:e>
          <m:sub>
            <m:r>
              <m:rPr>
                <m:sty m:val="p"/>
              </m:rPr>
              <w:rPr>
                <w:rFonts w:ascii="Cambria Math" w:hAnsi="Cambria Math" w:cs="宋体"/>
                <w:sz w:val="24"/>
                <w:szCs w:val="24"/>
              </w:rPr>
              <m:t>de</m:t>
            </m:r>
            <m:ctrlPr>
              <w:rPr>
                <w:rFonts w:ascii="Cambria Math" w:hAnsi="Cambria Math" w:cs="宋体"/>
                <w:sz w:val="24"/>
                <w:szCs w:val="24"/>
              </w:rPr>
            </m:ctrlPr>
          </m:sub>
        </m:sSub>
        <m:r>
          <m:rPr>
            <m:sty m:val="p"/>
          </m:rPr>
          <w:rPr>
            <w:rFonts w:ascii="Cambria Math" w:hAnsi="Cambria Math" w:cs="宋体"/>
            <w:sz w:val="24"/>
            <w:szCs w:val="24"/>
          </w:rPr>
          <m:t>=</m:t>
        </m:r>
        <m:sSub>
          <m:sSubPr>
            <m:ctrlPr>
              <w:rPr>
                <w:rFonts w:ascii="Cambria Math" w:hAnsi="Cambria Math" w:cs="宋体"/>
                <w:sz w:val="24"/>
                <w:szCs w:val="24"/>
              </w:rPr>
            </m:ctrlPr>
          </m:sSubPr>
          <m:e>
            <m:r>
              <m:rPr>
                <m:sty m:val="p"/>
              </m:rPr>
              <w:rPr>
                <w:rFonts w:ascii="Cambria Math" w:hAnsi="Cambria Math" w:cs="宋体"/>
                <w:sz w:val="24"/>
                <w:szCs w:val="24"/>
              </w:rPr>
              <m:t>P</m:t>
            </m:r>
            <m:ctrlPr>
              <w:rPr>
                <w:rFonts w:ascii="Cambria Math" w:hAnsi="Cambria Math" w:cs="宋体"/>
                <w:sz w:val="24"/>
                <w:szCs w:val="24"/>
              </w:rPr>
            </m:ctrlPr>
          </m:e>
          <m:sub>
            <m:r>
              <m:rPr>
                <m:sty m:val="p"/>
              </m:rPr>
              <w:rPr>
                <w:rFonts w:ascii="Cambria Math" w:hAnsi="Cambria Math" w:cs="宋体"/>
                <w:sz w:val="24"/>
                <w:szCs w:val="24"/>
              </w:rPr>
              <m:t>de.p</m:t>
            </m:r>
            <m:ctrlPr>
              <w:rPr>
                <w:rFonts w:ascii="Cambria Math" w:hAnsi="Cambria Math" w:cs="宋体"/>
                <w:sz w:val="24"/>
                <w:szCs w:val="24"/>
              </w:rPr>
            </m:ctrlPr>
          </m:sub>
        </m:sSub>
        <m:r>
          <m:rPr>
            <m:sty m:val="p"/>
          </m:rPr>
          <w:rPr>
            <w:rFonts w:ascii="Cambria Math" w:hAnsi="Cambria Math" w:cs="宋体"/>
            <w:sz w:val="24"/>
            <w:szCs w:val="24"/>
          </w:rPr>
          <m:t>+</m:t>
        </m:r>
        <m:sSub>
          <m:sSubPr>
            <m:ctrlPr>
              <w:rPr>
                <w:rFonts w:ascii="Cambria Math" w:hAnsi="Cambria Math" w:cs="宋体"/>
                <w:sz w:val="24"/>
                <w:szCs w:val="24"/>
              </w:rPr>
            </m:ctrlPr>
          </m:sSubPr>
          <m:e>
            <m:r>
              <m:rPr>
                <m:sty m:val="p"/>
              </m:rPr>
              <w:rPr>
                <w:rFonts w:ascii="Cambria Math" w:hAnsi="Cambria Math" w:cs="宋体"/>
                <w:sz w:val="24"/>
                <w:szCs w:val="24"/>
              </w:rPr>
              <m:t>P</m:t>
            </m:r>
            <m:ctrlPr>
              <w:rPr>
                <w:rFonts w:ascii="Cambria Math" w:hAnsi="Cambria Math" w:cs="宋体"/>
                <w:sz w:val="24"/>
                <w:szCs w:val="24"/>
              </w:rPr>
            </m:ctrlPr>
          </m:e>
          <m:sub>
            <m:r>
              <m:rPr>
                <m:sty m:val="p"/>
              </m:rPr>
              <w:rPr>
                <w:rFonts w:ascii="Cambria Math" w:hAnsi="Cambria Math" w:cs="宋体"/>
                <w:sz w:val="24"/>
                <w:szCs w:val="24"/>
              </w:rPr>
              <m:t>de.t</m:t>
            </m:r>
            <m:ctrlPr>
              <w:rPr>
                <w:rFonts w:ascii="Cambria Math" w:hAnsi="Cambria Math" w:cs="宋体"/>
                <w:sz w:val="24"/>
                <w:szCs w:val="24"/>
              </w:rPr>
            </m:ctrlPr>
          </m:sub>
        </m:sSub>
      </m:oMath>
      <w:r>
        <w:rPr>
          <w:rFonts w:ascii="Cambria Math" w:hAnsi="Cambria Math" w:cs="宋体" w:eastAsiaTheme="minorEastAsia"/>
          <w:sz w:val="24"/>
          <w:szCs w:val="24"/>
        </w:rPr>
        <w:t xml:space="preserve">   </w:t>
      </w:r>
      <w:r>
        <w:rPr>
          <w:rFonts w:hint="eastAsia" w:ascii="Cambria Math" w:hAnsi="Cambria Math" w:cs="宋体" w:eastAsiaTheme="minorEastAsia"/>
          <w:sz w:val="24"/>
          <w:szCs w:val="24"/>
        </w:rPr>
        <w:tab/>
      </w:r>
      <w:r>
        <w:rPr>
          <w:rFonts w:ascii="Cambria Math" w:hAnsi="Cambria Math" w:cs="宋体" w:eastAsiaTheme="minorEastAsia"/>
          <w:sz w:val="24"/>
          <w:szCs w:val="24"/>
        </w:rPr>
        <w:t>(</w:t>
      </w:r>
      <w:r>
        <w:rPr>
          <w:rFonts w:ascii="Cambria Math" w:hAnsi="Cambria Math" w:cs="宋体"/>
          <w:sz w:val="24"/>
          <w:szCs w:val="24"/>
        </w:rPr>
        <w:t>A.1.2-2</w:t>
      </w:r>
      <w:r>
        <w:rPr>
          <w:rFonts w:ascii="Cambria Math" w:hAnsi="Cambria Math" w:cs="宋体" w:eastAsiaTheme="minorEastAsia"/>
          <w:sz w:val="24"/>
          <w:szCs w:val="24"/>
        </w:rPr>
        <w:t>)</w:t>
      </w:r>
    </w:p>
    <w:p w14:paraId="6D15880C">
      <w:pPr>
        <w:tabs>
          <w:tab w:val="center" w:pos="4200"/>
          <w:tab w:val="right" w:pos="8200"/>
        </w:tabs>
        <w:spacing w:line="360" w:lineRule="auto"/>
        <w:jc w:val="center"/>
        <w:rPr>
          <w:rFonts w:hint="eastAsia" w:ascii="Cambria Math" w:hAnsi="Cambria Math" w:cs="宋体" w:eastAsiaTheme="minorEastAsia"/>
          <w:sz w:val="24"/>
          <w:szCs w:val="24"/>
        </w:rPr>
      </w:pPr>
      <w:r>
        <w:rPr>
          <w:rFonts w:hint="eastAsia" w:hAnsi="Cambria Math" w:cs="宋体" w:eastAsiaTheme="minorEastAsia"/>
          <w:sz w:val="24"/>
          <w:szCs w:val="24"/>
        </w:rPr>
        <w:tab/>
      </w:r>
      <m:oMath>
        <m:sSub>
          <m:sSubPr>
            <m:ctrlPr>
              <w:rPr>
                <w:rFonts w:ascii="Cambria Math" w:hAnsi="Cambria Math" w:cs="宋体"/>
                <w:sz w:val="24"/>
                <w:szCs w:val="24"/>
              </w:rPr>
            </m:ctrlPr>
          </m:sSubPr>
          <m:e>
            <m:r>
              <m:rPr>
                <m:sty m:val="p"/>
              </m:rPr>
              <w:rPr>
                <w:rFonts w:ascii="Cambria Math" w:hAnsi="Cambria Math" w:cs="宋体"/>
                <w:sz w:val="24"/>
                <w:szCs w:val="24"/>
              </w:rPr>
              <m:t>P</m:t>
            </m:r>
            <m:ctrlPr>
              <w:rPr>
                <w:rFonts w:ascii="Cambria Math" w:hAnsi="Cambria Math" w:cs="宋体"/>
                <w:sz w:val="24"/>
                <w:szCs w:val="24"/>
              </w:rPr>
            </m:ctrlPr>
          </m:e>
          <m:sub>
            <m:r>
              <m:rPr>
                <m:sty m:val="p"/>
              </m:rPr>
              <w:rPr>
                <w:rFonts w:ascii="Cambria Math" w:hAnsi="Cambria Math" w:cs="宋体"/>
                <w:sz w:val="24"/>
                <w:szCs w:val="24"/>
              </w:rPr>
              <m:t>co</m:t>
            </m:r>
            <m:ctrlPr>
              <w:rPr>
                <w:rFonts w:ascii="Cambria Math" w:hAnsi="Cambria Math" w:cs="宋体"/>
                <w:sz w:val="24"/>
                <w:szCs w:val="24"/>
              </w:rPr>
            </m:ctrlPr>
          </m:sub>
        </m:sSub>
        <m:r>
          <m:rPr>
            <m:sty m:val="p"/>
          </m:rPr>
          <w:rPr>
            <w:rFonts w:ascii="Cambria Math" w:hAnsi="Cambria Math" w:cs="宋体"/>
            <w:sz w:val="24"/>
            <w:szCs w:val="24"/>
          </w:rPr>
          <m:t>=</m:t>
        </m:r>
        <m:sSub>
          <m:sSubPr>
            <m:ctrlPr>
              <w:rPr>
                <w:rFonts w:ascii="Cambria Math" w:hAnsi="Cambria Math" w:cs="宋体"/>
                <w:sz w:val="24"/>
                <w:szCs w:val="24"/>
              </w:rPr>
            </m:ctrlPr>
          </m:sSubPr>
          <m:e>
            <m:r>
              <m:rPr>
                <m:sty m:val="p"/>
              </m:rPr>
              <w:rPr>
                <w:rFonts w:ascii="Cambria Math" w:hAnsi="Cambria Math" w:cs="宋体"/>
                <w:sz w:val="24"/>
                <w:szCs w:val="24"/>
              </w:rPr>
              <m:t>P</m:t>
            </m:r>
            <m:ctrlPr>
              <w:rPr>
                <w:rFonts w:ascii="Cambria Math" w:hAnsi="Cambria Math" w:cs="宋体"/>
                <w:sz w:val="24"/>
                <w:szCs w:val="24"/>
              </w:rPr>
            </m:ctrlPr>
          </m:e>
          <m:sub>
            <m:r>
              <m:rPr>
                <m:sty m:val="p"/>
              </m:rPr>
              <w:rPr>
                <w:rFonts w:ascii="Cambria Math" w:hAnsi="Cambria Math" w:cs="宋体"/>
                <w:sz w:val="24"/>
                <w:szCs w:val="24"/>
              </w:rPr>
              <m:t>co.m</m:t>
            </m:r>
            <m:ctrlPr>
              <w:rPr>
                <w:rFonts w:ascii="Cambria Math" w:hAnsi="Cambria Math" w:cs="宋体"/>
                <w:sz w:val="24"/>
                <w:szCs w:val="24"/>
              </w:rPr>
            </m:ctrlPr>
          </m:sub>
        </m:sSub>
        <m:r>
          <m:rPr>
            <m:sty m:val="p"/>
          </m:rPr>
          <w:rPr>
            <w:rFonts w:ascii="Cambria Math" w:hAnsi="Cambria Math" w:cs="宋体"/>
            <w:sz w:val="24"/>
            <w:szCs w:val="24"/>
          </w:rPr>
          <m:t>+</m:t>
        </m:r>
        <m:sSub>
          <m:sSubPr>
            <m:ctrlPr>
              <w:rPr>
                <w:rFonts w:ascii="Cambria Math" w:hAnsi="Cambria Math" w:cs="宋体"/>
                <w:sz w:val="24"/>
                <w:szCs w:val="24"/>
              </w:rPr>
            </m:ctrlPr>
          </m:sSubPr>
          <m:e>
            <m:r>
              <m:rPr>
                <m:sty m:val="p"/>
              </m:rPr>
              <w:rPr>
                <w:rFonts w:ascii="Cambria Math" w:hAnsi="Cambria Math" w:cs="宋体"/>
                <w:sz w:val="24"/>
                <w:szCs w:val="24"/>
              </w:rPr>
              <m:t>P</m:t>
            </m:r>
            <m:ctrlPr>
              <w:rPr>
                <w:rFonts w:ascii="Cambria Math" w:hAnsi="Cambria Math" w:cs="宋体"/>
                <w:sz w:val="24"/>
                <w:szCs w:val="24"/>
              </w:rPr>
            </m:ctrlPr>
          </m:e>
          <m:sub>
            <m:r>
              <m:rPr>
                <m:sty m:val="p"/>
              </m:rPr>
              <w:rPr>
                <w:rFonts w:ascii="Cambria Math" w:hAnsi="Cambria Math" w:cs="宋体"/>
                <w:sz w:val="24"/>
                <w:szCs w:val="24"/>
              </w:rPr>
              <m:t>co.c</m:t>
            </m:r>
            <m:ctrlPr>
              <w:rPr>
                <w:rFonts w:ascii="Cambria Math" w:hAnsi="Cambria Math" w:cs="宋体"/>
                <w:sz w:val="24"/>
                <w:szCs w:val="24"/>
              </w:rPr>
            </m:ctrlPr>
          </m:sub>
        </m:sSub>
        <m:r>
          <m:rPr>
            <m:sty m:val="p"/>
          </m:rPr>
          <w:rPr>
            <w:rFonts w:ascii="Cambria Math" w:hAnsi="Cambria Math" w:cs="宋体"/>
            <w:sz w:val="24"/>
            <w:szCs w:val="24"/>
          </w:rPr>
          <m:t>+</m:t>
        </m:r>
        <m:sSub>
          <m:sSubPr>
            <m:ctrlPr>
              <w:rPr>
                <w:rFonts w:ascii="Cambria Math" w:hAnsi="Cambria Math" w:cs="宋体"/>
                <w:sz w:val="24"/>
                <w:szCs w:val="24"/>
              </w:rPr>
            </m:ctrlPr>
          </m:sSubPr>
          <m:e>
            <m:r>
              <m:rPr>
                <m:sty m:val="p"/>
              </m:rPr>
              <w:rPr>
                <w:rFonts w:ascii="Cambria Math" w:hAnsi="Cambria Math" w:cs="宋体"/>
                <w:sz w:val="24"/>
                <w:szCs w:val="24"/>
              </w:rPr>
              <m:t>P</m:t>
            </m:r>
            <m:ctrlPr>
              <w:rPr>
                <w:rFonts w:ascii="Cambria Math" w:hAnsi="Cambria Math" w:cs="宋体"/>
                <w:sz w:val="24"/>
                <w:szCs w:val="24"/>
              </w:rPr>
            </m:ctrlPr>
          </m:e>
          <m:sub>
            <m:r>
              <m:rPr>
                <m:sty m:val="p"/>
              </m:rPr>
              <w:rPr>
                <w:rFonts w:ascii="Cambria Math" w:hAnsi="Cambria Math" w:cs="宋体"/>
                <w:sz w:val="24"/>
                <w:szCs w:val="24"/>
              </w:rPr>
              <m:t>co.in</m:t>
            </m:r>
            <m:ctrlPr>
              <w:rPr>
                <w:rFonts w:ascii="Cambria Math" w:hAnsi="Cambria Math" w:cs="宋体"/>
                <w:sz w:val="24"/>
                <w:szCs w:val="24"/>
              </w:rPr>
            </m:ctrlPr>
          </m:sub>
        </m:sSub>
      </m:oMath>
      <w:r>
        <w:rPr>
          <w:rFonts w:ascii="Cambria Math" w:hAnsi="Cambria Math" w:cs="宋体" w:eastAsiaTheme="minorEastAsia"/>
          <w:sz w:val="24"/>
          <w:szCs w:val="24"/>
        </w:rPr>
        <w:t xml:space="preserve">   </w:t>
      </w:r>
      <w:r>
        <w:rPr>
          <w:rFonts w:hint="eastAsia" w:ascii="Cambria Math" w:hAnsi="Cambria Math" w:cs="宋体" w:eastAsiaTheme="minorEastAsia"/>
          <w:sz w:val="24"/>
          <w:szCs w:val="24"/>
        </w:rPr>
        <w:tab/>
      </w:r>
      <w:r>
        <w:rPr>
          <w:rFonts w:ascii="Cambria Math" w:hAnsi="Cambria Math" w:cs="宋体" w:eastAsiaTheme="minorEastAsia"/>
          <w:sz w:val="24"/>
          <w:szCs w:val="24"/>
        </w:rPr>
        <w:t>(A.1.2-3)</w:t>
      </w:r>
    </w:p>
    <w:p w14:paraId="6E1117F0">
      <w:pPr>
        <w:spacing w:line="360" w:lineRule="auto"/>
        <w:rPr>
          <w:rFonts w:cs="宋体"/>
          <w:sz w:val="24"/>
          <w:szCs w:val="24"/>
        </w:rPr>
      </w:pPr>
      <w:r>
        <w:rPr>
          <w:rFonts w:hint="eastAsia" w:cs="宋体"/>
          <w:sz w:val="24"/>
          <w:szCs w:val="24"/>
        </w:rPr>
        <w:t xml:space="preserve">式中： </w:t>
      </w:r>
      <m:oMath>
        <m:sSub>
          <m:sSubPr>
            <m:ctrlPr>
              <w:rPr>
                <w:rFonts w:ascii="Cambria Math" w:hAnsi="Cambria Math" w:cs="宋体"/>
                <w:sz w:val="24"/>
                <w:szCs w:val="24"/>
              </w:rPr>
            </m:ctrlPr>
          </m:sSubPr>
          <m:e>
            <m:r>
              <m:rPr>
                <m:sty m:val="p"/>
              </m:rPr>
              <w:rPr>
                <w:rFonts w:ascii="Cambria Math" w:hAnsi="Cambria Math" w:cs="宋体"/>
                <w:sz w:val="24"/>
                <w:szCs w:val="24"/>
              </w:rPr>
              <m:t>P</m:t>
            </m:r>
            <m:ctrlPr>
              <w:rPr>
                <w:rFonts w:ascii="Cambria Math" w:hAnsi="Cambria Math" w:cs="宋体"/>
                <w:sz w:val="24"/>
                <w:szCs w:val="24"/>
              </w:rPr>
            </m:ctrlPr>
          </m:e>
          <m:sub>
            <m:r>
              <m:rPr>
                <m:sty m:val="p"/>
              </m:rPr>
              <w:rPr>
                <w:rFonts w:ascii="Cambria Math" w:hAnsi="Cambria Math" w:cs="宋体"/>
                <w:sz w:val="24"/>
                <w:szCs w:val="24"/>
              </w:rPr>
              <m:t>de</m:t>
            </m:r>
            <m:ctrlPr>
              <w:rPr>
                <w:rFonts w:ascii="Cambria Math" w:hAnsi="Cambria Math" w:cs="宋体"/>
                <w:sz w:val="24"/>
                <w:szCs w:val="24"/>
              </w:rPr>
            </m:ctrlPr>
          </m:sub>
        </m:sSub>
      </m:oMath>
      <w:r>
        <w:rPr>
          <w:rFonts w:hint="eastAsia" w:cs="宋体"/>
          <w:sz w:val="24"/>
          <w:szCs w:val="24"/>
        </w:rPr>
        <w:t>——建筑拆除阶段碳排放总量（kgCO</w:t>
      </w:r>
      <w:r>
        <w:rPr>
          <w:rFonts w:hint="eastAsia" w:cs="宋体"/>
          <w:sz w:val="24"/>
          <w:szCs w:val="24"/>
          <w:vertAlign w:val="subscript"/>
        </w:rPr>
        <w:t>2</w:t>
      </w:r>
      <w:r>
        <w:rPr>
          <w:rFonts w:hint="eastAsia" w:cs="宋体"/>
          <w:sz w:val="24"/>
          <w:szCs w:val="24"/>
        </w:rPr>
        <w:t>)；</w:t>
      </w:r>
    </w:p>
    <w:p w14:paraId="20D03B77">
      <w:pPr>
        <w:spacing w:line="360" w:lineRule="auto"/>
        <w:ind w:firstLine="840" w:firstLineChars="350"/>
        <w:rPr>
          <w:rFonts w:cs="宋体"/>
          <w:sz w:val="24"/>
          <w:szCs w:val="24"/>
        </w:rPr>
      </w:pPr>
      <m:oMath>
        <m:sSub>
          <m:sSubPr>
            <m:ctrlPr>
              <w:rPr>
                <w:rFonts w:ascii="Cambria Math" w:hAnsi="Cambria Math" w:cs="宋体"/>
                <w:sz w:val="24"/>
                <w:szCs w:val="24"/>
              </w:rPr>
            </m:ctrlPr>
          </m:sSubPr>
          <m:e>
            <m:r>
              <m:rPr>
                <m:sty m:val="p"/>
              </m:rPr>
              <w:rPr>
                <w:rFonts w:ascii="Cambria Math" w:hAnsi="Cambria Math" w:cs="宋体"/>
                <w:sz w:val="24"/>
                <w:szCs w:val="24"/>
              </w:rPr>
              <m:t>P</m:t>
            </m:r>
            <m:ctrlPr>
              <w:rPr>
                <w:rFonts w:ascii="Cambria Math" w:hAnsi="Cambria Math" w:cs="宋体"/>
                <w:sz w:val="24"/>
                <w:szCs w:val="24"/>
              </w:rPr>
            </m:ctrlPr>
          </m:e>
          <m:sub>
            <m:r>
              <m:rPr>
                <m:sty m:val="p"/>
              </m:rPr>
              <w:rPr>
                <w:rFonts w:ascii="Cambria Math" w:hAnsi="Cambria Math" w:cs="宋体"/>
                <w:sz w:val="24"/>
                <w:szCs w:val="24"/>
              </w:rPr>
              <m:t>co</m:t>
            </m:r>
            <m:ctrlPr>
              <w:rPr>
                <w:rFonts w:ascii="Cambria Math" w:hAnsi="Cambria Math" w:cs="宋体"/>
                <w:sz w:val="24"/>
                <w:szCs w:val="24"/>
              </w:rPr>
            </m:ctrlPr>
          </m:sub>
        </m:sSub>
      </m:oMath>
      <w:r>
        <w:rPr>
          <w:rFonts w:hint="eastAsia" w:cs="宋体"/>
          <w:sz w:val="24"/>
          <w:szCs w:val="24"/>
        </w:rPr>
        <w:t>——建筑改造施工阶段碳排放总量（kgCO</w:t>
      </w:r>
      <w:r>
        <w:rPr>
          <w:rFonts w:hint="eastAsia" w:cs="宋体"/>
          <w:sz w:val="24"/>
          <w:szCs w:val="24"/>
          <w:vertAlign w:val="subscript"/>
        </w:rPr>
        <w:t>2</w:t>
      </w:r>
      <w:r>
        <w:rPr>
          <w:rFonts w:hint="eastAsia" w:cs="宋体"/>
          <w:sz w:val="24"/>
          <w:szCs w:val="24"/>
        </w:rPr>
        <w:t>)。</w:t>
      </w:r>
    </w:p>
    <w:p w14:paraId="6F85FFA5">
      <w:pPr>
        <w:spacing w:line="360" w:lineRule="auto"/>
        <w:rPr>
          <w:rFonts w:cs="宋体"/>
          <w:sz w:val="24"/>
          <w:szCs w:val="24"/>
        </w:rPr>
      </w:pPr>
      <w:r>
        <w:rPr>
          <w:rFonts w:hint="eastAsia" w:cs="宋体"/>
          <w:sz w:val="24"/>
          <w:szCs w:val="24"/>
        </w:rPr>
        <w:t xml:space="preserve">       </w:t>
      </w:r>
      <m:oMath>
        <m:sSub>
          <m:sSubPr>
            <m:ctrlPr>
              <w:rPr>
                <w:rFonts w:hint="eastAsia" w:ascii="Cambria Math" w:hAnsi="Cambria Math" w:cs="宋体"/>
                <w:sz w:val="24"/>
                <w:szCs w:val="24"/>
              </w:rPr>
            </m:ctrlPr>
          </m:sSubPr>
          <m:e>
            <m:r>
              <m:rPr>
                <m:sty m:val="p"/>
              </m:rPr>
              <w:rPr>
                <w:rFonts w:hint="eastAsia" w:ascii="Cambria Math" w:hAnsi="Cambria Math" w:cs="宋体"/>
                <w:sz w:val="24"/>
                <w:szCs w:val="24"/>
              </w:rPr>
              <m:t>P</m:t>
            </m:r>
            <m:ctrlPr>
              <w:rPr>
                <w:rFonts w:hint="eastAsia" w:ascii="Cambria Math" w:hAnsi="Cambria Math" w:cs="宋体"/>
                <w:sz w:val="24"/>
                <w:szCs w:val="24"/>
              </w:rPr>
            </m:ctrlPr>
          </m:e>
          <m:sub>
            <m:r>
              <m:rPr>
                <m:sty m:val="p"/>
              </m:rPr>
              <w:rPr>
                <w:rFonts w:hint="eastAsia" w:ascii="Cambria Math" w:hAnsi="Cambria Math" w:cs="宋体"/>
                <w:sz w:val="24"/>
                <w:szCs w:val="24"/>
              </w:rPr>
              <m:t>de.p</m:t>
            </m:r>
            <m:ctrlPr>
              <w:rPr>
                <w:rFonts w:hint="eastAsia" w:ascii="Cambria Math" w:hAnsi="Cambria Math" w:cs="宋体"/>
                <w:sz w:val="24"/>
                <w:szCs w:val="24"/>
              </w:rPr>
            </m:ctrlPr>
          </m:sub>
        </m:sSub>
      </m:oMath>
      <w:r>
        <w:rPr>
          <w:rFonts w:hint="eastAsia" w:cs="宋体"/>
          <w:sz w:val="24"/>
          <w:szCs w:val="24"/>
        </w:rPr>
        <w:t>——拆除施工时的碳排放量（kgCO</w:t>
      </w:r>
      <w:r>
        <w:rPr>
          <w:rFonts w:hint="eastAsia" w:cs="宋体"/>
          <w:sz w:val="24"/>
          <w:szCs w:val="24"/>
          <w:vertAlign w:val="subscript"/>
        </w:rPr>
        <w:t>2</w:t>
      </w:r>
      <w:r>
        <w:rPr>
          <w:rFonts w:hint="eastAsia" w:cs="宋体"/>
          <w:sz w:val="24"/>
          <w:szCs w:val="24"/>
        </w:rPr>
        <w:t>)；</w:t>
      </w:r>
    </w:p>
    <w:p w14:paraId="02AD5EB9">
      <w:pPr>
        <w:spacing w:line="360" w:lineRule="auto"/>
        <w:ind w:firstLine="840" w:firstLineChars="350"/>
        <w:rPr>
          <w:rFonts w:cs="宋体"/>
          <w:sz w:val="24"/>
          <w:szCs w:val="24"/>
        </w:rPr>
      </w:pPr>
      <m:oMath>
        <m:sSub>
          <m:sSubPr>
            <m:ctrlPr>
              <w:rPr>
                <w:rFonts w:ascii="Cambria Math" w:hAnsi="Cambria Math" w:cs="宋体"/>
                <w:sz w:val="24"/>
                <w:szCs w:val="24"/>
              </w:rPr>
            </m:ctrlPr>
          </m:sSubPr>
          <m:e>
            <m:r>
              <m:rPr>
                <m:sty m:val="p"/>
              </m:rPr>
              <w:rPr>
                <w:rFonts w:ascii="Cambria Math" w:hAnsi="Cambria Math" w:cs="宋体"/>
                <w:sz w:val="24"/>
                <w:szCs w:val="24"/>
              </w:rPr>
              <m:t>P</m:t>
            </m:r>
            <m:ctrlPr>
              <w:rPr>
                <w:rFonts w:ascii="Cambria Math" w:hAnsi="Cambria Math" w:cs="宋体"/>
                <w:sz w:val="24"/>
                <w:szCs w:val="24"/>
              </w:rPr>
            </m:ctrlPr>
          </m:e>
          <m:sub>
            <m:r>
              <m:rPr>
                <m:sty m:val="p"/>
              </m:rPr>
              <w:rPr>
                <w:rFonts w:ascii="Cambria Math" w:hAnsi="Cambria Math" w:cs="宋体"/>
                <w:sz w:val="24"/>
                <w:szCs w:val="24"/>
              </w:rPr>
              <m:t>de.t</m:t>
            </m:r>
            <m:ctrlPr>
              <w:rPr>
                <w:rFonts w:ascii="Cambria Math" w:hAnsi="Cambria Math" w:cs="宋体"/>
                <w:sz w:val="24"/>
                <w:szCs w:val="24"/>
              </w:rPr>
            </m:ctrlPr>
          </m:sub>
        </m:sSub>
      </m:oMath>
      <w:r>
        <w:rPr>
          <w:rFonts w:hint="eastAsia" w:cs="宋体"/>
          <w:sz w:val="24"/>
          <w:szCs w:val="24"/>
        </w:rPr>
        <w:t>——运输废弃物的碳排放量（kgCO</w:t>
      </w:r>
      <w:r>
        <w:rPr>
          <w:rFonts w:hint="eastAsia" w:cs="宋体"/>
          <w:sz w:val="24"/>
          <w:szCs w:val="24"/>
          <w:vertAlign w:val="subscript"/>
        </w:rPr>
        <w:t>2</w:t>
      </w:r>
      <w:r>
        <w:rPr>
          <w:rFonts w:hint="eastAsia" w:cs="宋体"/>
          <w:sz w:val="24"/>
          <w:szCs w:val="24"/>
        </w:rPr>
        <w:t>)。</w:t>
      </w:r>
    </w:p>
    <w:p w14:paraId="50178366">
      <w:pPr>
        <w:spacing w:line="360" w:lineRule="auto"/>
        <w:rPr>
          <w:rFonts w:cs="宋体"/>
          <w:sz w:val="24"/>
          <w:szCs w:val="24"/>
        </w:rPr>
      </w:pPr>
      <w:r>
        <w:rPr>
          <w:rFonts w:hint="eastAsia" w:cs="宋体"/>
          <w:sz w:val="24"/>
          <w:szCs w:val="24"/>
        </w:rPr>
        <w:t xml:space="preserve">       </w:t>
      </w:r>
      <m:oMath>
        <m:sSub>
          <m:sSubPr>
            <m:ctrlPr>
              <w:rPr>
                <w:rFonts w:ascii="Cambria Math" w:hAnsi="Cambria Math" w:cs="宋体"/>
                <w:sz w:val="24"/>
                <w:szCs w:val="24"/>
              </w:rPr>
            </m:ctrlPr>
          </m:sSubPr>
          <m:e>
            <m:r>
              <m:rPr>
                <m:sty m:val="p"/>
              </m:rPr>
              <w:rPr>
                <w:rFonts w:ascii="Cambria Math" w:hAnsi="Cambria Math" w:cs="宋体"/>
                <w:sz w:val="24"/>
                <w:szCs w:val="24"/>
              </w:rPr>
              <m:t>P</m:t>
            </m:r>
            <m:ctrlPr>
              <w:rPr>
                <w:rFonts w:ascii="Cambria Math" w:hAnsi="Cambria Math" w:cs="宋体"/>
                <w:sz w:val="24"/>
                <w:szCs w:val="24"/>
              </w:rPr>
            </m:ctrlPr>
          </m:e>
          <m:sub>
            <m:r>
              <m:rPr>
                <m:sty m:val="p"/>
              </m:rPr>
              <w:rPr>
                <w:rFonts w:ascii="Cambria Math" w:hAnsi="Cambria Math" w:cs="宋体"/>
                <w:sz w:val="24"/>
                <w:szCs w:val="24"/>
              </w:rPr>
              <m:t>co.m</m:t>
            </m:r>
            <m:ctrlPr>
              <w:rPr>
                <w:rFonts w:ascii="Cambria Math" w:hAnsi="Cambria Math" w:cs="宋体"/>
                <w:sz w:val="24"/>
                <w:szCs w:val="24"/>
              </w:rPr>
            </m:ctrlPr>
          </m:sub>
        </m:sSub>
      </m:oMath>
      <w:r>
        <w:rPr>
          <w:rFonts w:hint="eastAsia" w:cs="宋体"/>
          <w:sz w:val="24"/>
          <w:szCs w:val="24"/>
        </w:rPr>
        <w:t>——建材生产和运输的碳排放总量（</w:t>
      </w:r>
      <w:r>
        <w:rPr>
          <w:rFonts w:cs="宋体"/>
          <w:sz w:val="24"/>
          <w:szCs w:val="24"/>
        </w:rPr>
        <w:t>kgCO</w:t>
      </w:r>
      <w:r>
        <w:rPr>
          <w:rFonts w:cs="宋体"/>
          <w:sz w:val="24"/>
          <w:szCs w:val="24"/>
          <w:vertAlign w:val="subscript"/>
        </w:rPr>
        <w:t>2</w:t>
      </w:r>
      <w:r>
        <w:rPr>
          <w:rFonts w:cs="宋体"/>
          <w:sz w:val="24"/>
          <w:szCs w:val="24"/>
        </w:rPr>
        <w:t>);</w:t>
      </w:r>
    </w:p>
    <w:p w14:paraId="3118AFA2">
      <w:pPr>
        <w:spacing w:line="360" w:lineRule="auto"/>
        <w:ind w:firstLine="840" w:firstLineChars="350"/>
        <w:rPr>
          <w:rFonts w:cs="宋体"/>
          <w:sz w:val="24"/>
          <w:szCs w:val="24"/>
        </w:rPr>
      </w:pPr>
      <m:oMath>
        <m:sSub>
          <m:sSubPr>
            <m:ctrlPr>
              <w:rPr>
                <w:rFonts w:ascii="Cambria Math" w:hAnsi="Cambria Math" w:cs="宋体"/>
                <w:sz w:val="24"/>
                <w:szCs w:val="24"/>
              </w:rPr>
            </m:ctrlPr>
          </m:sSubPr>
          <m:e>
            <m:r>
              <m:rPr>
                <m:sty m:val="p"/>
              </m:rPr>
              <w:rPr>
                <w:rFonts w:ascii="Cambria Math" w:hAnsi="Cambria Math" w:cs="宋体"/>
                <w:sz w:val="24"/>
                <w:szCs w:val="24"/>
              </w:rPr>
              <m:t>P</m:t>
            </m:r>
            <m:ctrlPr>
              <w:rPr>
                <w:rFonts w:ascii="Cambria Math" w:hAnsi="Cambria Math" w:cs="宋体"/>
                <w:sz w:val="24"/>
                <w:szCs w:val="24"/>
              </w:rPr>
            </m:ctrlPr>
          </m:e>
          <m:sub>
            <m:r>
              <m:rPr>
                <m:sty m:val="p"/>
              </m:rPr>
              <w:rPr>
                <w:rFonts w:ascii="Cambria Math" w:hAnsi="Cambria Math" w:cs="宋体"/>
                <w:sz w:val="24"/>
                <w:szCs w:val="24"/>
              </w:rPr>
              <m:t>co.c</m:t>
            </m:r>
            <m:ctrlPr>
              <w:rPr>
                <w:rFonts w:ascii="Cambria Math" w:hAnsi="Cambria Math" w:cs="宋体"/>
                <w:sz w:val="24"/>
                <w:szCs w:val="24"/>
              </w:rPr>
            </m:ctrlPr>
          </m:sub>
        </m:sSub>
      </m:oMath>
      <w:r>
        <w:rPr>
          <w:rFonts w:hint="eastAsia" w:cs="宋体"/>
          <w:sz w:val="24"/>
          <w:szCs w:val="24"/>
        </w:rPr>
        <w:t>——建筑施工碳排放总量（kgCO</w:t>
      </w:r>
      <w:r>
        <w:rPr>
          <w:rFonts w:hint="eastAsia" w:cs="宋体"/>
          <w:sz w:val="24"/>
          <w:szCs w:val="24"/>
          <w:vertAlign w:val="subscript"/>
        </w:rPr>
        <w:t>2</w:t>
      </w:r>
      <w:r>
        <w:rPr>
          <w:rFonts w:hint="eastAsia" w:cs="宋体"/>
          <w:sz w:val="24"/>
          <w:szCs w:val="24"/>
        </w:rPr>
        <w:t>)；</w:t>
      </w:r>
    </w:p>
    <w:p w14:paraId="1B16A096">
      <w:pPr>
        <w:spacing w:line="360" w:lineRule="auto"/>
        <w:ind w:firstLine="840" w:firstLineChars="350"/>
        <w:rPr>
          <w:sz w:val="24"/>
          <w:szCs w:val="24"/>
          <w:highlight w:val="yellow"/>
        </w:rPr>
      </w:pPr>
      <m:oMath>
        <m:sSub>
          <m:sSubPr>
            <m:ctrlPr>
              <w:rPr>
                <w:rFonts w:ascii="Cambria Math" w:hAnsi="Cambria Math"/>
                <w:sz w:val="24"/>
                <w:szCs w:val="24"/>
              </w:rPr>
            </m:ctrlPr>
          </m:sSubPr>
          <m:e>
            <m:r>
              <m:rPr/>
              <w:rPr>
                <w:rFonts w:ascii="Cambria Math" w:hAnsi="Cambria Math"/>
                <w:sz w:val="24"/>
                <w:szCs w:val="24"/>
              </w:rPr>
              <m:t>P</m:t>
            </m:r>
            <m:ctrlPr>
              <w:rPr>
                <w:rFonts w:ascii="Cambria Math" w:hAnsi="Cambria Math"/>
                <w:sz w:val="24"/>
                <w:szCs w:val="24"/>
              </w:rPr>
            </m:ctrlPr>
          </m:e>
          <m:sub>
            <m:r>
              <m:rPr/>
              <w:rPr>
                <w:rFonts w:ascii="Cambria Math" w:hAnsi="Cambria Math"/>
                <w:sz w:val="24"/>
                <w:szCs w:val="24"/>
              </w:rPr>
              <m:t>co</m:t>
            </m:r>
            <m:r>
              <m:rPr>
                <m:sty m:val="p"/>
              </m:rPr>
              <w:rPr>
                <w:rFonts w:ascii="Cambria Math" w:hAnsi="Cambria Math"/>
                <w:sz w:val="24"/>
                <w:szCs w:val="24"/>
              </w:rPr>
              <m:t>.</m:t>
            </m:r>
            <m:r>
              <m:rPr/>
              <w:rPr>
                <w:rFonts w:ascii="Cambria Math" w:hAnsi="Cambria Math"/>
                <w:sz w:val="24"/>
                <w:szCs w:val="24"/>
              </w:rPr>
              <m:t>in</m:t>
            </m:r>
            <m:ctrlPr>
              <w:rPr>
                <w:rFonts w:ascii="Cambria Math" w:hAnsi="Cambria Math"/>
                <w:sz w:val="24"/>
                <w:szCs w:val="24"/>
              </w:rPr>
            </m:ctrlPr>
          </m:sub>
        </m:sSub>
      </m:oMath>
      <w:r>
        <w:rPr>
          <w:rFonts w:hint="eastAsia"/>
          <w:sz w:val="24"/>
          <w:szCs w:val="24"/>
        </w:rPr>
        <w:t>——建筑设备安装碳排放总量（</w:t>
      </w:r>
      <w:r>
        <w:rPr>
          <w:sz w:val="24"/>
          <w:szCs w:val="24"/>
        </w:rPr>
        <w:t>kgCO</w:t>
      </w:r>
      <w:r>
        <w:rPr>
          <w:sz w:val="24"/>
          <w:szCs w:val="24"/>
          <w:vertAlign w:val="subscript"/>
        </w:rPr>
        <w:t>2</w:t>
      </w:r>
      <w:r>
        <w:rPr>
          <w:sz w:val="24"/>
          <w:szCs w:val="24"/>
        </w:rPr>
        <w:t>)</w:t>
      </w:r>
      <w:r>
        <w:rPr>
          <w:rFonts w:hint="eastAsia"/>
          <w:sz w:val="24"/>
          <w:szCs w:val="24"/>
        </w:rPr>
        <w:t>。</w:t>
      </w:r>
    </w:p>
    <w:p w14:paraId="4E1B5FF3">
      <w:pPr>
        <w:spacing w:line="360" w:lineRule="auto"/>
        <w:ind w:firstLine="422"/>
        <w:jc w:val="left"/>
        <w:rPr>
          <w:rFonts w:cs="宋体"/>
          <w:sz w:val="24"/>
          <w:szCs w:val="24"/>
        </w:rPr>
      </w:pPr>
      <w:r>
        <w:rPr>
          <w:rFonts w:hint="default" w:ascii="Times New Roman" w:hAnsi="Times New Roman" w:eastAsia="黑体" w:cs="Times New Roman"/>
          <w:b/>
          <w:sz w:val="24"/>
          <w:szCs w:val="24"/>
        </w:rPr>
        <w:t>A.1.3</w:t>
      </w:r>
      <w:r>
        <w:rPr>
          <w:rFonts w:hint="eastAsia"/>
          <w:sz w:val="24"/>
          <w:szCs w:val="24"/>
        </w:rPr>
        <w:t>　建</w:t>
      </w:r>
      <w:r>
        <w:rPr>
          <w:rFonts w:hint="eastAsia" w:cs="宋体"/>
          <w:sz w:val="24"/>
          <w:szCs w:val="24"/>
        </w:rPr>
        <w:t>筑运营阶段碳排放应包括暖通空调系统、水系统、电气系统、厨房灶具、可再生能源系统、绿地等碳排放量，并应按下列公式计算：</w:t>
      </w:r>
    </w:p>
    <w:p w14:paraId="0B3CD5BB">
      <w:pPr>
        <w:tabs>
          <w:tab w:val="center" w:pos="4200"/>
          <w:tab w:val="right" w:pos="8200"/>
        </w:tabs>
        <w:spacing w:line="360" w:lineRule="auto"/>
        <w:jc w:val="center"/>
        <w:rPr>
          <w:rFonts w:hint="eastAsia" w:ascii="Cambria Math" w:hAnsi="Cambria Math" w:cs="宋体"/>
          <w:sz w:val="24"/>
          <w:szCs w:val="24"/>
        </w:rPr>
      </w:pPr>
      <w:r>
        <w:rPr>
          <w:rFonts w:hint="eastAsia" w:hAnsi="Cambria Math" w:cs="宋体" w:eastAsiaTheme="minorEastAsia"/>
          <w:sz w:val="24"/>
          <w:szCs w:val="24"/>
        </w:rPr>
        <w:tab/>
      </w:r>
      <m:oMath>
        <m:sSub>
          <m:sSubPr>
            <m:ctrlPr>
              <w:rPr>
                <w:rFonts w:hint="eastAsia" w:ascii="Cambria Math" w:hAnsi="Cambria Math" w:cs="宋体" w:eastAsiaTheme="minorEastAsia"/>
                <w:sz w:val="24"/>
                <w:szCs w:val="24"/>
              </w:rPr>
            </m:ctrlPr>
          </m:sSubPr>
          <m:e>
            <m:r>
              <m:rPr>
                <m:sty m:val="p"/>
              </m:rPr>
              <w:rPr>
                <w:rFonts w:hint="eastAsia" w:ascii="Cambria Math" w:hAnsi="Cambria Math" w:cs="宋体" w:eastAsiaTheme="minorEastAsia"/>
                <w:sz w:val="24"/>
                <w:szCs w:val="24"/>
              </w:rPr>
              <m:t>C</m:t>
            </m:r>
            <m:ctrlPr>
              <w:rPr>
                <w:rFonts w:hint="eastAsia" w:ascii="Cambria Math" w:hAnsi="Cambria Math" w:cs="宋体" w:eastAsiaTheme="minorEastAsia"/>
                <w:sz w:val="24"/>
                <w:szCs w:val="24"/>
              </w:rPr>
            </m:ctrlPr>
          </m:e>
          <m:sub>
            <m:r>
              <m:rPr>
                <m:sty m:val="p"/>
              </m:rPr>
              <w:rPr>
                <w:rFonts w:hint="eastAsia" w:ascii="Cambria Math" w:hAnsi="Cambria Math" w:cs="宋体" w:eastAsiaTheme="minorEastAsia"/>
                <w:sz w:val="24"/>
                <w:szCs w:val="24"/>
              </w:rPr>
              <m:t>op</m:t>
            </m:r>
            <m:ctrlPr>
              <w:rPr>
                <w:rFonts w:hint="eastAsia" w:ascii="Cambria Math" w:hAnsi="Cambria Math" w:cs="宋体" w:eastAsiaTheme="minorEastAsia"/>
                <w:sz w:val="24"/>
                <w:szCs w:val="24"/>
              </w:rPr>
            </m:ctrlPr>
          </m:sub>
        </m:sSub>
        <m:r>
          <m:rPr>
            <m:sty m:val="p"/>
          </m:rPr>
          <w:rPr>
            <w:rFonts w:hint="eastAsia" w:ascii="Cambria Math" w:hAnsi="Cambria Math" w:cs="宋体" w:eastAsiaTheme="minorEastAsia"/>
            <w:sz w:val="24"/>
            <w:szCs w:val="24"/>
          </w:rPr>
          <m:t>=</m:t>
        </m:r>
        <m:sSub>
          <m:sSubPr>
            <m:ctrlPr>
              <w:rPr>
                <w:rFonts w:hint="eastAsia" w:ascii="Cambria Math" w:hAnsi="Cambria Math" w:cs="宋体" w:eastAsiaTheme="minorEastAsia"/>
                <w:sz w:val="24"/>
                <w:szCs w:val="24"/>
              </w:rPr>
            </m:ctrlPr>
          </m:sSubPr>
          <m:e>
            <m:r>
              <m:rPr>
                <m:sty m:val="p"/>
              </m:rPr>
              <w:rPr>
                <w:rFonts w:hint="eastAsia" w:ascii="Cambria Math" w:hAnsi="Cambria Math" w:cs="宋体" w:eastAsiaTheme="minorEastAsia"/>
                <w:sz w:val="24"/>
                <w:szCs w:val="24"/>
              </w:rPr>
              <m:t>C</m:t>
            </m:r>
            <m:ctrlPr>
              <w:rPr>
                <w:rFonts w:hint="eastAsia" w:ascii="Cambria Math" w:hAnsi="Cambria Math" w:cs="宋体" w:eastAsiaTheme="minorEastAsia"/>
                <w:sz w:val="24"/>
                <w:szCs w:val="24"/>
              </w:rPr>
            </m:ctrlPr>
          </m:e>
          <m:sub>
            <m:r>
              <m:rPr>
                <m:sty m:val="p"/>
              </m:rPr>
              <w:rPr>
                <w:rFonts w:hint="eastAsia" w:ascii="Cambria Math" w:hAnsi="Cambria Math" w:cs="宋体" w:eastAsiaTheme="minorEastAsia"/>
                <w:sz w:val="24"/>
                <w:szCs w:val="24"/>
              </w:rPr>
              <m:t>hvac</m:t>
            </m:r>
            <m:ctrlPr>
              <w:rPr>
                <w:rFonts w:hint="eastAsia" w:ascii="Cambria Math" w:hAnsi="Cambria Math" w:cs="宋体" w:eastAsiaTheme="minorEastAsia"/>
                <w:sz w:val="24"/>
                <w:szCs w:val="24"/>
              </w:rPr>
            </m:ctrlPr>
          </m:sub>
        </m:sSub>
        <m:r>
          <m:rPr>
            <m:sty m:val="p"/>
          </m:rPr>
          <w:rPr>
            <w:rFonts w:hint="eastAsia" w:ascii="Cambria Math" w:hAnsi="Cambria Math" w:cs="宋体" w:eastAsiaTheme="minorEastAsia"/>
            <w:sz w:val="24"/>
            <w:szCs w:val="24"/>
          </w:rPr>
          <m:t>+</m:t>
        </m:r>
        <m:sSub>
          <m:sSubPr>
            <m:ctrlPr>
              <w:rPr>
                <w:rFonts w:hint="eastAsia" w:ascii="Cambria Math" w:hAnsi="Cambria Math" w:cs="宋体" w:eastAsiaTheme="minorEastAsia"/>
                <w:sz w:val="24"/>
                <w:szCs w:val="24"/>
              </w:rPr>
            </m:ctrlPr>
          </m:sSubPr>
          <m:e>
            <m:r>
              <m:rPr>
                <m:sty m:val="p"/>
              </m:rPr>
              <w:rPr>
                <w:rFonts w:hint="eastAsia" w:ascii="Cambria Math" w:hAnsi="Cambria Math" w:cs="宋体" w:eastAsiaTheme="minorEastAsia"/>
                <w:sz w:val="24"/>
                <w:szCs w:val="24"/>
              </w:rPr>
              <m:t>C</m:t>
            </m:r>
            <m:ctrlPr>
              <w:rPr>
                <w:rFonts w:hint="eastAsia" w:ascii="Cambria Math" w:hAnsi="Cambria Math" w:cs="宋体" w:eastAsiaTheme="minorEastAsia"/>
                <w:sz w:val="24"/>
                <w:szCs w:val="24"/>
              </w:rPr>
            </m:ctrlPr>
          </m:e>
          <m:sub>
            <m:r>
              <m:rPr>
                <m:sty m:val="p"/>
              </m:rPr>
              <w:rPr>
                <w:rFonts w:hint="eastAsia" w:ascii="Cambria Math" w:hAnsi="Cambria Math" w:cs="宋体" w:eastAsiaTheme="minorEastAsia"/>
                <w:sz w:val="24"/>
                <w:szCs w:val="24"/>
              </w:rPr>
              <m:t>w</m:t>
            </m:r>
            <m:ctrlPr>
              <w:rPr>
                <w:rFonts w:hint="eastAsia" w:ascii="Cambria Math" w:hAnsi="Cambria Math" w:cs="宋体" w:eastAsiaTheme="minorEastAsia"/>
                <w:sz w:val="24"/>
                <w:szCs w:val="24"/>
              </w:rPr>
            </m:ctrlPr>
          </m:sub>
        </m:sSub>
        <m:r>
          <m:rPr>
            <m:sty m:val="p"/>
          </m:rPr>
          <w:rPr>
            <w:rFonts w:hint="eastAsia" w:ascii="Cambria Math" w:hAnsi="Cambria Math" w:cs="宋体" w:eastAsiaTheme="minorEastAsia"/>
            <w:sz w:val="24"/>
            <w:szCs w:val="24"/>
          </w:rPr>
          <m:t>+</m:t>
        </m:r>
        <m:sSub>
          <m:sSubPr>
            <m:ctrlPr>
              <w:rPr>
                <w:rFonts w:hint="eastAsia" w:ascii="Cambria Math" w:hAnsi="Cambria Math" w:cs="宋体" w:eastAsiaTheme="minorEastAsia"/>
                <w:sz w:val="24"/>
                <w:szCs w:val="24"/>
              </w:rPr>
            </m:ctrlPr>
          </m:sSubPr>
          <m:e>
            <m:r>
              <m:rPr>
                <m:sty m:val="p"/>
              </m:rPr>
              <w:rPr>
                <w:rFonts w:hint="eastAsia" w:ascii="Cambria Math" w:hAnsi="Cambria Math" w:cs="宋体" w:eastAsiaTheme="minorEastAsia"/>
                <w:sz w:val="24"/>
                <w:szCs w:val="24"/>
              </w:rPr>
              <m:t>C</m:t>
            </m:r>
            <m:ctrlPr>
              <w:rPr>
                <w:rFonts w:hint="eastAsia" w:ascii="Cambria Math" w:hAnsi="Cambria Math" w:cs="宋体" w:eastAsiaTheme="minorEastAsia"/>
                <w:sz w:val="24"/>
                <w:szCs w:val="24"/>
              </w:rPr>
            </m:ctrlPr>
          </m:e>
          <m:sub>
            <m:r>
              <m:rPr>
                <m:sty m:val="p"/>
              </m:rPr>
              <w:rPr>
                <w:rFonts w:hint="eastAsia" w:ascii="Cambria Math" w:hAnsi="Cambria Math" w:cs="宋体" w:eastAsiaTheme="minorEastAsia"/>
                <w:sz w:val="24"/>
                <w:szCs w:val="24"/>
              </w:rPr>
              <m:t>ele</m:t>
            </m:r>
            <m:ctrlPr>
              <w:rPr>
                <w:rFonts w:hint="eastAsia" w:ascii="Cambria Math" w:hAnsi="Cambria Math" w:cs="宋体" w:eastAsiaTheme="minorEastAsia"/>
                <w:sz w:val="24"/>
                <w:szCs w:val="24"/>
              </w:rPr>
            </m:ctrlPr>
          </m:sub>
        </m:sSub>
        <m:r>
          <m:rPr>
            <m:sty m:val="p"/>
          </m:rPr>
          <w:rPr>
            <w:rFonts w:hint="eastAsia" w:ascii="Cambria Math" w:hAnsi="Cambria Math" w:cs="宋体" w:eastAsiaTheme="minorEastAsia"/>
            <w:sz w:val="24"/>
            <w:szCs w:val="24"/>
          </w:rPr>
          <m:t>+</m:t>
        </m:r>
        <m:sSub>
          <m:sSubPr>
            <m:ctrlPr>
              <w:rPr>
                <w:rFonts w:hint="eastAsia" w:ascii="Cambria Math" w:hAnsi="Cambria Math" w:cs="宋体" w:eastAsiaTheme="minorEastAsia"/>
                <w:sz w:val="24"/>
                <w:szCs w:val="24"/>
              </w:rPr>
            </m:ctrlPr>
          </m:sSubPr>
          <m:e>
            <m:r>
              <m:rPr>
                <m:sty m:val="p"/>
              </m:rPr>
              <w:rPr>
                <w:rFonts w:hint="eastAsia" w:ascii="Cambria Math" w:hAnsi="Cambria Math" w:cs="宋体" w:eastAsiaTheme="minorEastAsia"/>
                <w:sz w:val="24"/>
                <w:szCs w:val="24"/>
              </w:rPr>
              <m:t>C</m:t>
            </m:r>
            <m:ctrlPr>
              <w:rPr>
                <w:rFonts w:hint="eastAsia" w:ascii="Cambria Math" w:hAnsi="Cambria Math" w:cs="宋体" w:eastAsiaTheme="minorEastAsia"/>
                <w:sz w:val="24"/>
                <w:szCs w:val="24"/>
              </w:rPr>
            </m:ctrlPr>
          </m:e>
          <m:sub>
            <m:r>
              <m:rPr>
                <m:sty m:val="p"/>
              </m:rPr>
              <w:rPr>
                <w:rFonts w:hint="eastAsia" w:ascii="Cambria Math" w:hAnsi="Cambria Math" w:cs="宋体" w:eastAsiaTheme="minorEastAsia"/>
                <w:sz w:val="24"/>
                <w:szCs w:val="24"/>
              </w:rPr>
              <m:t>c</m:t>
            </m:r>
            <m:ctrlPr>
              <w:rPr>
                <w:rFonts w:hint="eastAsia" w:ascii="Cambria Math" w:hAnsi="Cambria Math" w:cs="宋体" w:eastAsiaTheme="minorEastAsia"/>
                <w:sz w:val="24"/>
                <w:szCs w:val="24"/>
              </w:rPr>
            </m:ctrlPr>
          </m:sub>
        </m:sSub>
        <m:r>
          <m:rPr>
            <m:sty m:val="p"/>
          </m:rPr>
          <w:rPr>
            <w:rFonts w:hint="eastAsia" w:ascii="Cambria Math" w:hAnsi="Cambria Math" w:cs="宋体" w:eastAsiaTheme="minorEastAsia"/>
            <w:sz w:val="24"/>
            <w:szCs w:val="24"/>
          </w:rPr>
          <m:t>−</m:t>
        </m:r>
        <m:sSub>
          <m:sSubPr>
            <m:ctrlPr>
              <w:rPr>
                <w:rFonts w:hint="eastAsia" w:ascii="Cambria Math" w:hAnsi="Cambria Math" w:cs="宋体" w:eastAsiaTheme="minorEastAsia"/>
                <w:sz w:val="24"/>
                <w:szCs w:val="24"/>
              </w:rPr>
            </m:ctrlPr>
          </m:sSubPr>
          <m:e>
            <m:r>
              <m:rPr>
                <m:sty m:val="p"/>
              </m:rPr>
              <w:rPr>
                <w:rFonts w:hint="eastAsia" w:ascii="Cambria Math" w:hAnsi="Cambria Math" w:cs="宋体" w:eastAsiaTheme="minorEastAsia"/>
                <w:sz w:val="24"/>
                <w:szCs w:val="24"/>
              </w:rPr>
              <m:t>C</m:t>
            </m:r>
            <m:ctrlPr>
              <w:rPr>
                <w:rFonts w:hint="eastAsia" w:ascii="Cambria Math" w:hAnsi="Cambria Math" w:cs="宋体" w:eastAsiaTheme="minorEastAsia"/>
                <w:sz w:val="24"/>
                <w:szCs w:val="24"/>
              </w:rPr>
            </m:ctrlPr>
          </m:e>
          <m:sub>
            <m:r>
              <m:rPr>
                <m:sty m:val="p"/>
              </m:rPr>
              <w:rPr>
                <w:rFonts w:hint="eastAsia" w:ascii="Cambria Math" w:hAnsi="Cambria Math" w:cs="宋体" w:eastAsiaTheme="minorEastAsia"/>
                <w:sz w:val="24"/>
                <w:szCs w:val="24"/>
              </w:rPr>
              <m:t>re</m:t>
            </m:r>
            <m:ctrlPr>
              <w:rPr>
                <w:rFonts w:hint="eastAsia" w:ascii="Cambria Math" w:hAnsi="Cambria Math" w:cs="宋体" w:eastAsiaTheme="minorEastAsia"/>
                <w:sz w:val="24"/>
                <w:szCs w:val="24"/>
              </w:rPr>
            </m:ctrlPr>
          </m:sub>
        </m:sSub>
        <m:r>
          <m:rPr>
            <m:sty m:val="p"/>
          </m:rPr>
          <w:rPr>
            <w:rFonts w:hint="eastAsia" w:ascii="Cambria Math" w:hAnsi="Cambria Math" w:cs="宋体" w:eastAsiaTheme="minorEastAsia"/>
            <w:sz w:val="24"/>
            <w:szCs w:val="24"/>
          </w:rPr>
          <m:t>−</m:t>
        </m:r>
        <m:sSub>
          <m:sSubPr>
            <m:ctrlPr>
              <w:rPr>
                <w:rFonts w:hint="eastAsia" w:ascii="Cambria Math" w:hAnsi="Cambria Math" w:cs="宋体" w:eastAsiaTheme="minorEastAsia"/>
                <w:sz w:val="24"/>
                <w:szCs w:val="24"/>
              </w:rPr>
            </m:ctrlPr>
          </m:sSubPr>
          <m:e>
            <m:r>
              <m:rPr>
                <m:sty m:val="p"/>
              </m:rPr>
              <w:rPr>
                <w:rFonts w:hint="eastAsia" w:ascii="Cambria Math" w:hAnsi="Cambria Math" w:cs="宋体" w:eastAsiaTheme="minorEastAsia"/>
                <w:sz w:val="24"/>
                <w:szCs w:val="24"/>
              </w:rPr>
              <m:t>C</m:t>
            </m:r>
            <m:ctrlPr>
              <w:rPr>
                <w:rFonts w:hint="eastAsia" w:ascii="Cambria Math" w:hAnsi="Cambria Math" w:cs="宋体" w:eastAsiaTheme="minorEastAsia"/>
                <w:sz w:val="24"/>
                <w:szCs w:val="24"/>
              </w:rPr>
            </m:ctrlPr>
          </m:e>
          <m:sub>
            <m:r>
              <m:rPr>
                <m:sty m:val="p"/>
              </m:rPr>
              <w:rPr>
                <w:rFonts w:hint="eastAsia" w:ascii="Cambria Math" w:hAnsi="Cambria Math" w:cs="宋体" w:eastAsiaTheme="minorEastAsia"/>
                <w:sz w:val="24"/>
                <w:szCs w:val="24"/>
              </w:rPr>
              <m:t>gr</m:t>
            </m:r>
            <m:ctrlPr>
              <w:rPr>
                <w:rFonts w:hint="eastAsia" w:ascii="Cambria Math" w:hAnsi="Cambria Math" w:cs="宋体" w:eastAsiaTheme="minorEastAsia"/>
                <w:sz w:val="24"/>
                <w:szCs w:val="24"/>
              </w:rPr>
            </m:ctrlPr>
          </m:sub>
        </m:sSub>
      </m:oMath>
      <w:r>
        <w:rPr>
          <w:rFonts w:ascii="Cambria Math" w:hAnsi="Cambria Math" w:cs="宋体" w:eastAsiaTheme="minorEastAsia"/>
          <w:sz w:val="24"/>
          <w:szCs w:val="24"/>
        </w:rPr>
        <w:t xml:space="preserve">   </w:t>
      </w:r>
      <w:r>
        <w:rPr>
          <w:rFonts w:hint="eastAsia" w:ascii="Cambria Math" w:hAnsi="Cambria Math" w:cs="宋体" w:eastAsiaTheme="minorEastAsia"/>
          <w:sz w:val="24"/>
          <w:szCs w:val="24"/>
        </w:rPr>
        <w:tab/>
      </w:r>
      <w:r>
        <w:rPr>
          <w:rFonts w:ascii="Cambria Math" w:hAnsi="Cambria Math" w:cs="宋体"/>
          <w:sz w:val="24"/>
          <w:szCs w:val="24"/>
        </w:rPr>
        <w:t>(A.1.3-1)</w:t>
      </w:r>
    </w:p>
    <w:p w14:paraId="37E0225A">
      <w:pPr>
        <w:tabs>
          <w:tab w:val="center" w:pos="4200"/>
          <w:tab w:val="right" w:pos="8200"/>
        </w:tabs>
        <w:spacing w:line="360" w:lineRule="auto"/>
        <w:jc w:val="center"/>
        <w:rPr>
          <w:rFonts w:hint="eastAsia" w:ascii="Cambria Math" w:hAnsi="Cambria Math" w:cs="宋体" w:eastAsiaTheme="minorEastAsia"/>
          <w:sz w:val="24"/>
          <w:szCs w:val="24"/>
        </w:rPr>
      </w:pPr>
      <w:r>
        <w:rPr>
          <w:rFonts w:hint="eastAsia" w:hAnsi="Cambria Math" w:cs="宋体" w:eastAsiaTheme="minorEastAsia"/>
          <w:sz w:val="24"/>
          <w:szCs w:val="24"/>
        </w:rPr>
        <w:tab/>
      </w:r>
      <m:oMath>
        <m:sSub>
          <m:sSubPr>
            <m:ctrlPr>
              <w:rPr>
                <w:rFonts w:ascii="Cambria Math" w:hAnsi="Cambria Math" w:cs="宋体"/>
                <w:sz w:val="24"/>
                <w:szCs w:val="24"/>
              </w:rPr>
            </m:ctrlPr>
          </m:sSubPr>
          <m:e>
            <m:r>
              <m:rPr>
                <m:sty m:val="p"/>
              </m:rPr>
              <w:rPr>
                <w:rFonts w:ascii="Cambria Math" w:hAnsi="Cambria Math" w:cs="宋体"/>
                <w:sz w:val="24"/>
                <w:szCs w:val="24"/>
              </w:rPr>
              <m:t>C</m:t>
            </m:r>
            <m:ctrlPr>
              <w:rPr>
                <w:rFonts w:ascii="Cambria Math" w:hAnsi="Cambria Math" w:cs="宋体"/>
                <w:sz w:val="24"/>
                <w:szCs w:val="24"/>
              </w:rPr>
            </m:ctrlPr>
          </m:e>
          <m:sub>
            <m:r>
              <m:rPr>
                <m:sty m:val="p"/>
              </m:rPr>
              <w:rPr>
                <w:rFonts w:ascii="Cambria Math" w:hAnsi="Cambria Math" w:cs="宋体"/>
                <w:sz w:val="24"/>
                <w:szCs w:val="24"/>
              </w:rPr>
              <m:t>hvac</m:t>
            </m:r>
            <m:ctrlPr>
              <w:rPr>
                <w:rFonts w:ascii="Cambria Math" w:hAnsi="Cambria Math" w:cs="宋体"/>
                <w:sz w:val="24"/>
                <w:szCs w:val="24"/>
              </w:rPr>
            </m:ctrlPr>
          </m:sub>
        </m:sSub>
        <m:r>
          <m:rPr>
            <m:sty m:val="p"/>
          </m:rPr>
          <w:rPr>
            <w:rFonts w:ascii="Cambria Math" w:hAnsi="Cambria Math" w:cs="宋体"/>
            <w:sz w:val="24"/>
            <w:szCs w:val="24"/>
          </w:rPr>
          <m:t>=</m:t>
        </m:r>
        <m:sSub>
          <m:sSubPr>
            <m:ctrlPr>
              <w:rPr>
                <w:rFonts w:ascii="Cambria Math" w:hAnsi="Cambria Math" w:cs="宋体"/>
                <w:sz w:val="24"/>
                <w:szCs w:val="24"/>
              </w:rPr>
            </m:ctrlPr>
          </m:sSubPr>
          <m:e>
            <m:r>
              <m:rPr>
                <m:sty m:val="p"/>
              </m:rPr>
              <w:rPr>
                <w:rFonts w:ascii="Cambria Math" w:hAnsi="Cambria Math" w:cs="宋体"/>
                <w:sz w:val="24"/>
                <w:szCs w:val="24"/>
              </w:rPr>
              <m:t>E</m:t>
            </m:r>
            <m:ctrlPr>
              <w:rPr>
                <w:rFonts w:ascii="Cambria Math" w:hAnsi="Cambria Math" w:cs="宋体"/>
                <w:sz w:val="24"/>
                <w:szCs w:val="24"/>
              </w:rPr>
            </m:ctrlPr>
          </m:e>
          <m:sub>
            <m:r>
              <m:rPr>
                <m:sty m:val="p"/>
              </m:rPr>
              <w:rPr>
                <w:rFonts w:ascii="Cambria Math" w:hAnsi="Cambria Math" w:cs="宋体"/>
                <w:sz w:val="24"/>
                <w:szCs w:val="24"/>
              </w:rPr>
              <m:t>h</m:t>
            </m:r>
            <m:ctrlPr>
              <w:rPr>
                <w:rFonts w:ascii="Cambria Math" w:hAnsi="Cambria Math" w:cs="宋体"/>
                <w:sz w:val="24"/>
                <w:szCs w:val="24"/>
              </w:rPr>
            </m:ctrlPr>
          </m:sub>
        </m:sSub>
        <m:sSub>
          <m:sSubPr>
            <m:ctrlPr>
              <w:rPr>
                <w:rFonts w:ascii="Cambria Math" w:hAnsi="Cambria Math" w:cs="宋体"/>
                <w:sz w:val="24"/>
                <w:szCs w:val="24"/>
              </w:rPr>
            </m:ctrlPr>
          </m:sSubPr>
          <m:e>
            <m:r>
              <m:rPr>
                <m:sty m:val="p"/>
              </m:rPr>
              <w:rPr>
                <w:rFonts w:ascii="Cambria Math" w:hAnsi="Cambria Math" w:cs="宋体"/>
                <w:sz w:val="24"/>
                <w:szCs w:val="24"/>
              </w:rPr>
              <m:t>F</m:t>
            </m:r>
            <m:ctrlPr>
              <w:rPr>
                <w:rFonts w:ascii="Cambria Math" w:hAnsi="Cambria Math" w:cs="宋体"/>
                <w:sz w:val="24"/>
                <w:szCs w:val="24"/>
              </w:rPr>
            </m:ctrlPr>
          </m:e>
          <m:sub>
            <m:r>
              <m:rPr>
                <m:sty m:val="p"/>
              </m:rPr>
              <w:rPr>
                <w:rFonts w:ascii="Cambria Math" w:hAnsi="Cambria Math" w:cs="宋体"/>
                <w:sz w:val="24"/>
                <w:szCs w:val="24"/>
              </w:rPr>
              <m:t>h</m:t>
            </m:r>
            <m:ctrlPr>
              <w:rPr>
                <w:rFonts w:ascii="Cambria Math" w:hAnsi="Cambria Math" w:cs="宋体"/>
                <w:sz w:val="24"/>
                <w:szCs w:val="24"/>
              </w:rPr>
            </m:ctrlPr>
          </m:sub>
        </m:sSub>
        <m:r>
          <m:rPr>
            <m:sty m:val="p"/>
          </m:rPr>
          <w:rPr>
            <w:rFonts w:ascii="Cambria Math" w:hAnsi="Cambria Math" w:cs="宋体"/>
            <w:sz w:val="24"/>
            <w:szCs w:val="24"/>
          </w:rPr>
          <m:t>+</m:t>
        </m:r>
        <m:sSub>
          <m:sSubPr>
            <m:ctrlPr>
              <w:rPr>
                <w:rFonts w:ascii="Cambria Math" w:hAnsi="Cambria Math" w:cs="宋体"/>
                <w:sz w:val="24"/>
                <w:szCs w:val="24"/>
              </w:rPr>
            </m:ctrlPr>
          </m:sSubPr>
          <m:e>
            <m:r>
              <m:rPr>
                <m:sty m:val="p"/>
              </m:rPr>
              <w:rPr>
                <w:rFonts w:ascii="Cambria Math" w:hAnsi="Cambria Math" w:cs="宋体"/>
                <w:sz w:val="24"/>
                <w:szCs w:val="24"/>
              </w:rPr>
              <m:t>E</m:t>
            </m:r>
            <m:ctrlPr>
              <w:rPr>
                <w:rFonts w:ascii="Cambria Math" w:hAnsi="Cambria Math" w:cs="宋体"/>
                <w:sz w:val="24"/>
                <w:szCs w:val="24"/>
              </w:rPr>
            </m:ctrlPr>
          </m:e>
          <m:sub>
            <m:r>
              <m:rPr>
                <m:sty m:val="p"/>
              </m:rPr>
              <w:rPr>
                <w:rFonts w:ascii="Cambria Math" w:hAnsi="Cambria Math" w:cs="宋体"/>
                <w:sz w:val="24"/>
                <w:szCs w:val="24"/>
              </w:rPr>
              <m:t>c</m:t>
            </m:r>
            <m:ctrlPr>
              <w:rPr>
                <w:rFonts w:ascii="Cambria Math" w:hAnsi="Cambria Math" w:cs="宋体"/>
                <w:sz w:val="24"/>
                <w:szCs w:val="24"/>
              </w:rPr>
            </m:ctrlPr>
          </m:sub>
        </m:sSub>
        <m:sSub>
          <m:sSubPr>
            <m:ctrlPr>
              <w:rPr>
                <w:rFonts w:ascii="Cambria Math" w:hAnsi="Cambria Math" w:cs="宋体"/>
                <w:sz w:val="24"/>
                <w:szCs w:val="24"/>
              </w:rPr>
            </m:ctrlPr>
          </m:sSubPr>
          <m:e>
            <m:r>
              <m:rPr>
                <m:sty m:val="p"/>
              </m:rPr>
              <w:rPr>
                <w:rFonts w:ascii="Cambria Math" w:hAnsi="Cambria Math" w:cs="宋体"/>
                <w:sz w:val="24"/>
                <w:szCs w:val="24"/>
              </w:rPr>
              <m:t>F</m:t>
            </m:r>
            <m:ctrlPr>
              <w:rPr>
                <w:rFonts w:ascii="Cambria Math" w:hAnsi="Cambria Math" w:cs="宋体"/>
                <w:sz w:val="24"/>
                <w:szCs w:val="24"/>
              </w:rPr>
            </m:ctrlPr>
          </m:e>
          <m:sub>
            <m:r>
              <m:rPr>
                <m:sty m:val="p"/>
              </m:rPr>
              <w:rPr>
                <w:rFonts w:ascii="Cambria Math" w:hAnsi="Cambria Math" w:cs="宋体"/>
                <w:sz w:val="24"/>
                <w:szCs w:val="24"/>
              </w:rPr>
              <m:t>c</m:t>
            </m:r>
            <m:ctrlPr>
              <w:rPr>
                <w:rFonts w:ascii="Cambria Math" w:hAnsi="Cambria Math" w:cs="宋体"/>
                <w:sz w:val="24"/>
                <w:szCs w:val="24"/>
              </w:rPr>
            </m:ctrlPr>
          </m:sub>
        </m:sSub>
        <m:r>
          <m:rPr>
            <m:sty m:val="p"/>
          </m:rPr>
          <w:rPr>
            <w:rFonts w:ascii="Cambria Math" w:hAnsi="Cambria Math" w:cs="宋体"/>
            <w:sz w:val="24"/>
            <w:szCs w:val="24"/>
          </w:rPr>
          <m:t>+(</m:t>
        </m:r>
        <m:sSub>
          <m:sSubPr>
            <m:ctrlPr>
              <w:rPr>
                <w:rFonts w:ascii="Cambria Math" w:hAnsi="Cambria Math" w:cs="宋体"/>
                <w:sz w:val="24"/>
                <w:szCs w:val="24"/>
              </w:rPr>
            </m:ctrlPr>
          </m:sSubPr>
          <m:e>
            <m:r>
              <m:rPr>
                <m:sty m:val="p"/>
              </m:rPr>
              <w:rPr>
                <w:rFonts w:ascii="Cambria Math" w:hAnsi="Cambria Math" w:cs="宋体"/>
                <w:sz w:val="24"/>
                <w:szCs w:val="24"/>
              </w:rPr>
              <m:t>E</m:t>
            </m:r>
            <m:ctrlPr>
              <w:rPr>
                <w:rFonts w:ascii="Cambria Math" w:hAnsi="Cambria Math" w:cs="宋体"/>
                <w:sz w:val="24"/>
                <w:szCs w:val="24"/>
              </w:rPr>
            </m:ctrlPr>
          </m:e>
          <m:sub>
            <m:r>
              <m:rPr>
                <m:sty m:val="p"/>
              </m:rPr>
              <w:rPr>
                <w:rFonts w:ascii="Cambria Math" w:hAnsi="Cambria Math" w:cs="宋体"/>
                <w:sz w:val="24"/>
                <w:szCs w:val="24"/>
              </w:rPr>
              <m:t>tr</m:t>
            </m:r>
            <m:ctrlPr>
              <w:rPr>
                <w:rFonts w:ascii="Cambria Math" w:hAnsi="Cambria Math" w:cs="宋体"/>
                <w:sz w:val="24"/>
                <w:szCs w:val="24"/>
              </w:rPr>
            </m:ctrlPr>
          </m:sub>
        </m:sSub>
        <m:r>
          <m:rPr>
            <m:sty m:val="p"/>
          </m:rPr>
          <w:rPr>
            <w:rFonts w:ascii="Cambria Math" w:hAnsi="Cambria Math" w:cs="宋体"/>
            <w:sz w:val="24"/>
            <w:szCs w:val="24"/>
          </w:rPr>
          <m:t>+</m:t>
        </m:r>
        <m:sSub>
          <m:sSubPr>
            <m:ctrlPr>
              <w:rPr>
                <w:rFonts w:ascii="Cambria Math" w:hAnsi="Cambria Math" w:cs="宋体"/>
                <w:sz w:val="24"/>
                <w:szCs w:val="24"/>
              </w:rPr>
            </m:ctrlPr>
          </m:sSubPr>
          <m:e>
            <m:r>
              <m:rPr>
                <m:sty m:val="p"/>
              </m:rPr>
              <w:rPr>
                <w:rFonts w:ascii="Cambria Math" w:hAnsi="Cambria Math" w:cs="宋体"/>
                <w:sz w:val="24"/>
                <w:szCs w:val="24"/>
              </w:rPr>
              <m:t>E</m:t>
            </m:r>
            <m:ctrlPr>
              <w:rPr>
                <w:rFonts w:ascii="Cambria Math" w:hAnsi="Cambria Math" w:cs="宋体"/>
                <w:sz w:val="24"/>
                <w:szCs w:val="24"/>
              </w:rPr>
            </m:ctrlPr>
          </m:e>
          <m:sub>
            <m:r>
              <m:rPr>
                <m:sty m:val="p"/>
              </m:rPr>
              <w:rPr>
                <w:rFonts w:ascii="Cambria Math" w:hAnsi="Cambria Math" w:cs="宋体"/>
                <w:sz w:val="24"/>
                <w:szCs w:val="24"/>
              </w:rPr>
              <m:t>ter</m:t>
            </m:r>
            <m:ctrlPr>
              <w:rPr>
                <w:rFonts w:ascii="Cambria Math" w:hAnsi="Cambria Math" w:cs="宋体"/>
                <w:sz w:val="24"/>
                <w:szCs w:val="24"/>
              </w:rPr>
            </m:ctrlPr>
          </m:sub>
        </m:sSub>
        <m:r>
          <m:rPr>
            <m:sty m:val="p"/>
          </m:rPr>
          <w:rPr>
            <w:rFonts w:ascii="Cambria Math" w:hAnsi="Cambria Math" w:cs="宋体"/>
            <w:sz w:val="24"/>
            <w:szCs w:val="24"/>
          </w:rPr>
          <m:t>)</m:t>
        </m:r>
        <m:sSub>
          <m:sSubPr>
            <m:ctrlPr>
              <w:rPr>
                <w:rFonts w:ascii="Cambria Math" w:hAnsi="Cambria Math" w:cs="宋体"/>
                <w:sz w:val="24"/>
                <w:szCs w:val="24"/>
              </w:rPr>
            </m:ctrlPr>
          </m:sSubPr>
          <m:e>
            <m:r>
              <m:rPr>
                <m:sty m:val="p"/>
              </m:rPr>
              <w:rPr>
                <w:rFonts w:ascii="Cambria Math" w:hAnsi="Cambria Math" w:cs="宋体"/>
                <w:sz w:val="24"/>
                <w:szCs w:val="24"/>
              </w:rPr>
              <m:t>F</m:t>
            </m:r>
            <m:ctrlPr>
              <w:rPr>
                <w:rFonts w:ascii="Cambria Math" w:hAnsi="Cambria Math" w:cs="宋体"/>
                <w:sz w:val="24"/>
                <w:szCs w:val="24"/>
              </w:rPr>
            </m:ctrlPr>
          </m:e>
          <m:sub>
            <m:r>
              <m:rPr>
                <m:sty m:val="p"/>
              </m:rPr>
              <w:rPr>
                <w:rFonts w:ascii="Cambria Math" w:hAnsi="Cambria Math" w:cs="宋体"/>
                <w:sz w:val="24"/>
                <w:szCs w:val="24"/>
              </w:rPr>
              <m:t>e</m:t>
            </m:r>
            <m:ctrlPr>
              <w:rPr>
                <w:rFonts w:ascii="Cambria Math" w:hAnsi="Cambria Math" w:cs="宋体"/>
                <w:sz w:val="24"/>
                <w:szCs w:val="24"/>
              </w:rPr>
            </m:ctrlPr>
          </m:sub>
        </m:sSub>
        <m:r>
          <m:rPr>
            <m:sty m:val="p"/>
          </m:rPr>
          <w:rPr>
            <w:rFonts w:ascii="Cambria Math" w:hAnsi="Cambria Math" w:cs="宋体"/>
            <w:sz w:val="24"/>
            <w:szCs w:val="24"/>
          </w:rPr>
          <m:t>+</m:t>
        </m:r>
        <m:sSub>
          <m:sSubPr>
            <m:ctrlPr>
              <w:rPr>
                <w:rFonts w:ascii="Cambria Math" w:hAnsi="Cambria Math" w:cs="宋体"/>
                <w:sz w:val="24"/>
                <w:szCs w:val="24"/>
              </w:rPr>
            </m:ctrlPr>
          </m:sSubPr>
          <m:e>
            <m:r>
              <m:rPr>
                <m:sty m:val="p"/>
              </m:rPr>
              <w:rPr>
                <w:rFonts w:ascii="Cambria Math" w:hAnsi="Cambria Math" w:cs="宋体"/>
                <w:sz w:val="24"/>
                <w:szCs w:val="24"/>
              </w:rPr>
              <m:t>C</m:t>
            </m:r>
            <m:ctrlPr>
              <w:rPr>
                <w:rFonts w:ascii="Cambria Math" w:hAnsi="Cambria Math" w:cs="宋体"/>
                <w:sz w:val="24"/>
                <w:szCs w:val="24"/>
              </w:rPr>
            </m:ctrlPr>
          </m:e>
          <m:sub>
            <m:r>
              <m:rPr>
                <m:sty m:val="p"/>
              </m:rPr>
              <w:rPr>
                <w:rFonts w:ascii="Cambria Math" w:hAnsi="Cambria Math" w:cs="宋体"/>
                <w:sz w:val="24"/>
                <w:szCs w:val="24"/>
              </w:rPr>
              <m:t>r</m:t>
            </m:r>
            <m:ctrlPr>
              <w:rPr>
                <w:rFonts w:ascii="Cambria Math" w:hAnsi="Cambria Math" w:cs="宋体"/>
                <w:sz w:val="24"/>
                <w:szCs w:val="24"/>
              </w:rPr>
            </m:ctrlPr>
          </m:sub>
        </m:sSub>
      </m:oMath>
      <w:r>
        <w:rPr>
          <w:rFonts w:ascii="Cambria Math" w:hAnsi="Cambria Math" w:cs="宋体" w:eastAsiaTheme="minorEastAsia"/>
          <w:sz w:val="24"/>
          <w:szCs w:val="24"/>
        </w:rPr>
        <w:t xml:space="preserve">   </w:t>
      </w:r>
      <w:r>
        <w:rPr>
          <w:rFonts w:hint="eastAsia" w:ascii="Cambria Math" w:hAnsi="Cambria Math" w:cs="宋体" w:eastAsiaTheme="minorEastAsia"/>
          <w:sz w:val="24"/>
          <w:szCs w:val="24"/>
        </w:rPr>
        <w:tab/>
      </w:r>
      <w:r>
        <w:rPr>
          <w:rFonts w:ascii="Cambria Math" w:hAnsi="Cambria Math" w:cs="宋体"/>
          <w:sz w:val="24"/>
          <w:szCs w:val="24"/>
        </w:rPr>
        <w:t>(A.1.3-2)</w:t>
      </w:r>
    </w:p>
    <w:p w14:paraId="2C92B21C">
      <w:pPr>
        <w:tabs>
          <w:tab w:val="center" w:pos="4200"/>
          <w:tab w:val="right" w:pos="8200"/>
        </w:tabs>
        <w:spacing w:line="360" w:lineRule="auto"/>
        <w:jc w:val="center"/>
        <w:rPr>
          <w:rFonts w:hint="eastAsia" w:ascii="Cambria Math" w:hAnsi="Cambria Math" w:cs="宋体" w:eastAsiaTheme="minorEastAsia"/>
          <w:sz w:val="24"/>
          <w:szCs w:val="24"/>
        </w:rPr>
      </w:pPr>
      <w:r>
        <w:rPr>
          <w:rFonts w:hint="eastAsia" w:hAnsi="Cambria Math" w:cs="宋体" w:eastAsiaTheme="minorEastAsia"/>
          <w:sz w:val="24"/>
          <w:szCs w:val="24"/>
        </w:rPr>
        <w:tab/>
      </w:r>
      <m:oMath>
        <m:sSub>
          <m:sSubPr>
            <m:ctrlPr>
              <w:rPr>
                <w:rFonts w:ascii="Cambria Math" w:hAnsi="Cambria Math" w:cs="宋体"/>
                <w:sz w:val="24"/>
                <w:szCs w:val="24"/>
              </w:rPr>
            </m:ctrlPr>
          </m:sSubPr>
          <m:e>
            <m:r>
              <m:rPr>
                <m:sty m:val="p"/>
              </m:rPr>
              <w:rPr>
                <w:rFonts w:ascii="Cambria Math" w:hAnsi="Cambria Math" w:cs="宋体"/>
                <w:sz w:val="24"/>
                <w:szCs w:val="24"/>
              </w:rPr>
              <m:t>C</m:t>
            </m:r>
            <m:ctrlPr>
              <w:rPr>
                <w:rFonts w:ascii="Cambria Math" w:hAnsi="Cambria Math" w:cs="宋体"/>
                <w:sz w:val="24"/>
                <w:szCs w:val="24"/>
              </w:rPr>
            </m:ctrlPr>
          </m:e>
          <m:sub>
            <m:r>
              <m:rPr>
                <m:sty m:val="p"/>
              </m:rPr>
              <w:rPr>
                <w:rFonts w:ascii="Cambria Math" w:hAnsi="Cambria Math" w:cs="宋体"/>
                <w:sz w:val="24"/>
                <w:szCs w:val="24"/>
              </w:rPr>
              <m:t>w</m:t>
            </m:r>
            <m:ctrlPr>
              <w:rPr>
                <w:rFonts w:ascii="Cambria Math" w:hAnsi="Cambria Math" w:cs="宋体"/>
                <w:sz w:val="24"/>
                <w:szCs w:val="24"/>
              </w:rPr>
            </m:ctrlPr>
          </m:sub>
        </m:sSub>
        <m:r>
          <m:rPr>
            <m:sty m:val="p"/>
          </m:rPr>
          <w:rPr>
            <w:rFonts w:ascii="Cambria Math" w:hAnsi="Cambria Math" w:cs="宋体"/>
            <w:sz w:val="24"/>
            <w:szCs w:val="24"/>
          </w:rPr>
          <m:t>=</m:t>
        </m:r>
        <m:sSub>
          <m:sSubPr>
            <m:ctrlPr>
              <w:rPr>
                <w:rFonts w:ascii="Cambria Math" w:hAnsi="Cambria Math" w:cs="宋体"/>
                <w:sz w:val="24"/>
                <w:szCs w:val="24"/>
              </w:rPr>
            </m:ctrlPr>
          </m:sSubPr>
          <m:e>
            <m:r>
              <m:rPr>
                <m:sty m:val="p"/>
              </m:rPr>
              <w:rPr>
                <w:rFonts w:ascii="Cambria Math" w:hAnsi="Cambria Math" w:cs="宋体"/>
                <w:sz w:val="24"/>
                <w:szCs w:val="24"/>
              </w:rPr>
              <m:t>C</m:t>
            </m:r>
            <m:ctrlPr>
              <w:rPr>
                <w:rFonts w:ascii="Cambria Math" w:hAnsi="Cambria Math" w:cs="宋体"/>
                <w:sz w:val="24"/>
                <w:szCs w:val="24"/>
              </w:rPr>
            </m:ctrlPr>
          </m:e>
          <m:sub>
            <m:r>
              <m:rPr>
                <m:sty m:val="p"/>
              </m:rPr>
              <w:rPr>
                <w:rFonts w:ascii="Cambria Math" w:hAnsi="Cambria Math" w:cs="宋体"/>
                <w:sz w:val="24"/>
                <w:szCs w:val="24"/>
              </w:rPr>
              <m:t>zy</m:t>
            </m:r>
            <m:ctrlPr>
              <w:rPr>
                <w:rFonts w:ascii="Cambria Math" w:hAnsi="Cambria Math" w:cs="宋体"/>
                <w:sz w:val="24"/>
                <w:szCs w:val="24"/>
              </w:rPr>
            </m:ctrlPr>
          </m:sub>
        </m:sSub>
        <m:r>
          <m:rPr>
            <m:sty m:val="p"/>
          </m:rPr>
          <w:rPr>
            <w:rFonts w:ascii="Cambria Math" w:hAnsi="Cambria Math" w:cs="宋体"/>
            <w:sz w:val="24"/>
            <w:szCs w:val="24"/>
          </w:rPr>
          <m:t>+</m:t>
        </m:r>
        <m:sSub>
          <m:sSubPr>
            <m:ctrlPr>
              <w:rPr>
                <w:rFonts w:ascii="Cambria Math" w:hAnsi="Cambria Math" w:cs="宋体"/>
                <w:sz w:val="24"/>
                <w:szCs w:val="24"/>
              </w:rPr>
            </m:ctrlPr>
          </m:sSubPr>
          <m:e>
            <m:r>
              <m:rPr>
                <m:sty m:val="p"/>
              </m:rPr>
              <w:rPr>
                <w:rFonts w:ascii="Cambria Math" w:hAnsi="Cambria Math" w:cs="宋体"/>
                <w:sz w:val="24"/>
                <w:szCs w:val="24"/>
              </w:rPr>
              <m:t>C</m:t>
            </m:r>
            <m:ctrlPr>
              <w:rPr>
                <w:rFonts w:ascii="Cambria Math" w:hAnsi="Cambria Math" w:cs="宋体"/>
                <w:sz w:val="24"/>
                <w:szCs w:val="24"/>
              </w:rPr>
            </m:ctrlPr>
          </m:e>
          <m:sub>
            <m:r>
              <m:rPr>
                <m:sty m:val="p"/>
              </m:rPr>
              <w:rPr>
                <w:rFonts w:ascii="Cambria Math" w:hAnsi="Cambria Math" w:cs="宋体"/>
                <w:sz w:val="24"/>
                <w:szCs w:val="24"/>
              </w:rPr>
              <m:t>dl</m:t>
            </m:r>
            <m:ctrlPr>
              <w:rPr>
                <w:rFonts w:ascii="Cambria Math" w:hAnsi="Cambria Math" w:cs="宋体"/>
                <w:sz w:val="24"/>
                <w:szCs w:val="24"/>
              </w:rPr>
            </m:ctrlPr>
          </m:sub>
        </m:sSub>
        <m:r>
          <m:rPr>
            <m:sty m:val="p"/>
          </m:rPr>
          <w:rPr>
            <w:rFonts w:ascii="Cambria Math" w:hAnsi="Cambria Math" w:cs="宋体"/>
            <w:sz w:val="24"/>
            <w:szCs w:val="24"/>
          </w:rPr>
          <m:t>+</m:t>
        </m:r>
        <m:sSub>
          <m:sSubPr>
            <m:ctrlPr>
              <w:rPr>
                <w:rFonts w:ascii="Cambria Math" w:hAnsi="Cambria Math" w:cs="宋体"/>
                <w:sz w:val="24"/>
                <w:szCs w:val="24"/>
              </w:rPr>
            </m:ctrlPr>
          </m:sSubPr>
          <m:e>
            <m:r>
              <m:rPr>
                <m:sty m:val="p"/>
              </m:rPr>
              <w:rPr>
                <w:rFonts w:ascii="Cambria Math" w:hAnsi="Cambria Math" w:cs="宋体"/>
                <w:sz w:val="24"/>
                <w:szCs w:val="24"/>
              </w:rPr>
              <m:t>C</m:t>
            </m:r>
            <m:ctrlPr>
              <w:rPr>
                <w:rFonts w:ascii="Cambria Math" w:hAnsi="Cambria Math" w:cs="宋体"/>
                <w:sz w:val="24"/>
                <w:szCs w:val="24"/>
              </w:rPr>
            </m:ctrlPr>
          </m:e>
          <m:sub>
            <m:r>
              <m:rPr>
                <m:sty m:val="p"/>
              </m:rPr>
              <w:rPr>
                <w:rFonts w:ascii="Cambria Math" w:hAnsi="Cambria Math" w:cs="宋体"/>
                <w:sz w:val="24"/>
                <w:szCs w:val="24"/>
              </w:rPr>
              <m:t>jr</m:t>
            </m:r>
            <m:ctrlPr>
              <w:rPr>
                <w:rFonts w:ascii="Cambria Math" w:hAnsi="Cambria Math" w:cs="宋体"/>
                <w:sz w:val="24"/>
                <w:szCs w:val="24"/>
              </w:rPr>
            </m:ctrlPr>
          </m:sub>
        </m:sSub>
        <m:r>
          <m:rPr>
            <m:sty m:val="p"/>
          </m:rPr>
          <w:rPr>
            <w:rFonts w:ascii="Cambria Math" w:hAnsi="Cambria Math" w:cs="宋体"/>
            <w:sz w:val="24"/>
            <w:szCs w:val="24"/>
          </w:rPr>
          <m:t>+</m:t>
        </m:r>
        <m:sSub>
          <m:sSubPr>
            <m:ctrlPr>
              <w:rPr>
                <w:rFonts w:ascii="Cambria Math" w:hAnsi="Cambria Math" w:cs="宋体"/>
                <w:sz w:val="24"/>
                <w:szCs w:val="24"/>
              </w:rPr>
            </m:ctrlPr>
          </m:sSubPr>
          <m:e>
            <m:r>
              <m:rPr>
                <m:sty m:val="p"/>
              </m:rPr>
              <w:rPr>
                <w:rFonts w:ascii="Cambria Math" w:hAnsi="Cambria Math" w:cs="宋体"/>
                <w:sz w:val="24"/>
                <w:szCs w:val="24"/>
              </w:rPr>
              <m:t>C</m:t>
            </m:r>
            <m:ctrlPr>
              <w:rPr>
                <w:rFonts w:ascii="Cambria Math" w:hAnsi="Cambria Math" w:cs="宋体"/>
                <w:sz w:val="24"/>
                <w:szCs w:val="24"/>
              </w:rPr>
            </m:ctrlPr>
          </m:e>
          <m:sub>
            <m:r>
              <m:rPr>
                <m:sty m:val="p"/>
              </m:rPr>
              <w:rPr>
                <w:rFonts w:ascii="Cambria Math" w:hAnsi="Cambria Math" w:cs="宋体"/>
                <w:sz w:val="24"/>
                <w:szCs w:val="24"/>
              </w:rPr>
              <m:t>cl</m:t>
            </m:r>
            <m:ctrlPr>
              <w:rPr>
                <w:rFonts w:ascii="Cambria Math" w:hAnsi="Cambria Math" w:cs="宋体"/>
                <w:sz w:val="24"/>
                <w:szCs w:val="24"/>
              </w:rPr>
            </m:ctrlPr>
          </m:sub>
        </m:sSub>
      </m:oMath>
      <w:r>
        <w:rPr>
          <w:rFonts w:ascii="Cambria Math" w:hAnsi="Cambria Math" w:cs="宋体" w:eastAsiaTheme="minorEastAsia"/>
          <w:sz w:val="24"/>
          <w:szCs w:val="24"/>
        </w:rPr>
        <w:t xml:space="preserve">   </w:t>
      </w:r>
      <w:r>
        <w:rPr>
          <w:rFonts w:hint="eastAsia" w:ascii="Cambria Math" w:hAnsi="Cambria Math" w:cs="宋体" w:eastAsiaTheme="minorEastAsia"/>
          <w:sz w:val="24"/>
          <w:szCs w:val="24"/>
        </w:rPr>
        <w:tab/>
      </w:r>
      <w:r>
        <w:rPr>
          <w:rFonts w:ascii="Cambria Math" w:hAnsi="Cambria Math" w:cs="宋体"/>
          <w:sz w:val="24"/>
          <w:szCs w:val="24"/>
        </w:rPr>
        <w:t>(A.1.3-3)</w:t>
      </w:r>
    </w:p>
    <w:p w14:paraId="12C7A6BB">
      <w:pPr>
        <w:tabs>
          <w:tab w:val="center" w:pos="4200"/>
          <w:tab w:val="right" w:pos="8200"/>
        </w:tabs>
        <w:spacing w:line="360" w:lineRule="auto"/>
        <w:jc w:val="center"/>
        <w:rPr>
          <w:rFonts w:hint="eastAsia" w:ascii="Cambria Math" w:hAnsi="Cambria Math" w:cs="宋体" w:eastAsiaTheme="minorEastAsia"/>
          <w:sz w:val="24"/>
          <w:szCs w:val="24"/>
        </w:rPr>
      </w:pPr>
      <w:r>
        <w:rPr>
          <w:rFonts w:hint="eastAsia" w:hAnsi="Cambria Math" w:cs="宋体" w:eastAsiaTheme="minorEastAsia"/>
          <w:sz w:val="24"/>
          <w:szCs w:val="24"/>
        </w:rPr>
        <w:tab/>
      </w:r>
      <m:oMath>
        <m:sSub>
          <m:sSubPr>
            <m:ctrlPr>
              <w:rPr>
                <w:rFonts w:ascii="Cambria Math" w:hAnsi="Cambria Math" w:cs="宋体"/>
                <w:sz w:val="24"/>
                <w:szCs w:val="24"/>
              </w:rPr>
            </m:ctrlPr>
          </m:sSubPr>
          <m:e>
            <m:r>
              <m:rPr>
                <m:sty m:val="p"/>
              </m:rPr>
              <w:rPr>
                <w:rFonts w:ascii="Cambria Math" w:hAnsi="Cambria Math" w:cs="宋体"/>
                <w:sz w:val="24"/>
                <w:szCs w:val="24"/>
              </w:rPr>
              <m:t>C</m:t>
            </m:r>
            <m:ctrlPr>
              <w:rPr>
                <w:rFonts w:ascii="Cambria Math" w:hAnsi="Cambria Math" w:cs="宋体"/>
                <w:sz w:val="24"/>
                <w:szCs w:val="24"/>
              </w:rPr>
            </m:ctrlPr>
          </m:e>
          <m:sub>
            <m:r>
              <m:rPr>
                <m:sty m:val="p"/>
              </m:rPr>
              <w:rPr>
                <w:rFonts w:ascii="Cambria Math" w:hAnsi="Cambria Math" w:cs="宋体"/>
                <w:sz w:val="24"/>
                <w:szCs w:val="24"/>
              </w:rPr>
              <m:t>ele</m:t>
            </m:r>
            <m:ctrlPr>
              <w:rPr>
                <w:rFonts w:ascii="Cambria Math" w:hAnsi="Cambria Math" w:cs="宋体"/>
                <w:sz w:val="24"/>
                <w:szCs w:val="24"/>
              </w:rPr>
            </m:ctrlPr>
          </m:sub>
        </m:sSub>
        <m:r>
          <m:rPr>
            <m:sty m:val="p"/>
          </m:rPr>
          <w:rPr>
            <w:rFonts w:ascii="Cambria Math" w:hAnsi="Cambria Math" w:cs="宋体"/>
            <w:sz w:val="24"/>
            <w:szCs w:val="24"/>
          </w:rPr>
          <m:t>=(</m:t>
        </m:r>
        <m:sSub>
          <m:sSubPr>
            <m:ctrlPr>
              <w:rPr>
                <w:rFonts w:ascii="Cambria Math" w:hAnsi="Cambria Math" w:cs="宋体"/>
                <w:sz w:val="24"/>
                <w:szCs w:val="24"/>
              </w:rPr>
            </m:ctrlPr>
          </m:sSubPr>
          <m:e>
            <m:r>
              <m:rPr>
                <m:sty m:val="p"/>
              </m:rPr>
              <w:rPr>
                <w:rFonts w:ascii="Cambria Math" w:hAnsi="Cambria Math" w:cs="宋体"/>
                <w:sz w:val="24"/>
                <w:szCs w:val="24"/>
              </w:rPr>
              <m:t>E</m:t>
            </m:r>
            <m:ctrlPr>
              <w:rPr>
                <w:rFonts w:ascii="Cambria Math" w:hAnsi="Cambria Math" w:cs="宋体"/>
                <w:sz w:val="24"/>
                <w:szCs w:val="24"/>
              </w:rPr>
            </m:ctrlPr>
          </m:e>
          <m:sub>
            <m:r>
              <m:rPr>
                <m:sty m:val="p"/>
              </m:rPr>
              <w:rPr>
                <w:rFonts w:ascii="Cambria Math" w:hAnsi="Cambria Math" w:cs="宋体"/>
                <w:sz w:val="24"/>
                <w:szCs w:val="24"/>
              </w:rPr>
              <m:t>zm</m:t>
            </m:r>
            <m:ctrlPr>
              <w:rPr>
                <w:rFonts w:ascii="Cambria Math" w:hAnsi="Cambria Math" w:cs="宋体"/>
                <w:sz w:val="24"/>
                <w:szCs w:val="24"/>
              </w:rPr>
            </m:ctrlPr>
          </m:sub>
        </m:sSub>
        <m:r>
          <m:rPr>
            <m:sty m:val="p"/>
          </m:rPr>
          <w:rPr>
            <w:rFonts w:ascii="Cambria Math" w:hAnsi="Cambria Math" w:cs="宋体"/>
            <w:sz w:val="24"/>
            <w:szCs w:val="24"/>
          </w:rPr>
          <m:t>+</m:t>
        </m:r>
        <m:sSub>
          <m:sSubPr>
            <m:ctrlPr>
              <w:rPr>
                <w:rFonts w:ascii="Cambria Math" w:hAnsi="Cambria Math" w:cs="宋体"/>
                <w:sz w:val="24"/>
                <w:szCs w:val="24"/>
              </w:rPr>
            </m:ctrlPr>
          </m:sSubPr>
          <m:e>
            <m:r>
              <m:rPr>
                <m:sty m:val="p"/>
              </m:rPr>
              <w:rPr>
                <w:rFonts w:ascii="Cambria Math" w:hAnsi="Cambria Math" w:cs="宋体"/>
                <w:sz w:val="24"/>
                <w:szCs w:val="24"/>
              </w:rPr>
              <m:t>E</m:t>
            </m:r>
            <m:ctrlPr>
              <w:rPr>
                <w:rFonts w:ascii="Cambria Math" w:hAnsi="Cambria Math" w:cs="宋体"/>
                <w:sz w:val="24"/>
                <w:szCs w:val="24"/>
              </w:rPr>
            </m:ctrlPr>
          </m:e>
          <m:sub>
            <m:r>
              <m:rPr>
                <m:sty m:val="p"/>
              </m:rPr>
              <w:rPr>
                <w:rFonts w:ascii="Cambria Math" w:hAnsi="Cambria Math" w:cs="宋体"/>
                <w:sz w:val="24"/>
                <w:szCs w:val="24"/>
              </w:rPr>
              <m:t>qd</m:t>
            </m:r>
            <m:ctrlPr>
              <w:rPr>
                <w:rFonts w:ascii="Cambria Math" w:hAnsi="Cambria Math" w:cs="宋体"/>
                <w:sz w:val="24"/>
                <w:szCs w:val="24"/>
              </w:rPr>
            </m:ctrlPr>
          </m:sub>
        </m:sSub>
        <m:r>
          <m:rPr>
            <m:sty m:val="p"/>
          </m:rPr>
          <w:rPr>
            <w:rFonts w:ascii="Cambria Math" w:hAnsi="Cambria Math" w:cs="宋体"/>
            <w:sz w:val="24"/>
            <w:szCs w:val="24"/>
          </w:rPr>
          <m:t>+</m:t>
        </m:r>
        <m:sSub>
          <m:sSubPr>
            <m:ctrlPr>
              <w:rPr>
                <w:rFonts w:ascii="Cambria Math" w:hAnsi="Cambria Math" w:cs="宋体"/>
                <w:sz w:val="24"/>
                <w:szCs w:val="24"/>
              </w:rPr>
            </m:ctrlPr>
          </m:sSubPr>
          <m:e>
            <m:r>
              <m:rPr>
                <m:sty m:val="p"/>
              </m:rPr>
              <w:rPr>
                <w:rFonts w:ascii="Cambria Math" w:hAnsi="Cambria Math" w:cs="宋体"/>
                <w:sz w:val="24"/>
                <w:szCs w:val="24"/>
              </w:rPr>
              <m:t>E</m:t>
            </m:r>
            <m:ctrlPr>
              <w:rPr>
                <w:rFonts w:ascii="Cambria Math" w:hAnsi="Cambria Math" w:cs="宋体"/>
                <w:sz w:val="24"/>
                <w:szCs w:val="24"/>
              </w:rPr>
            </m:ctrlPr>
          </m:e>
          <m:sub>
            <m:r>
              <m:rPr>
                <m:sty m:val="p"/>
              </m:rPr>
              <w:rPr>
                <w:rFonts w:ascii="Cambria Math" w:hAnsi="Cambria Math" w:cs="宋体"/>
                <w:sz w:val="24"/>
                <w:szCs w:val="24"/>
              </w:rPr>
              <m:t>rd</m:t>
            </m:r>
            <m:ctrlPr>
              <w:rPr>
                <w:rFonts w:ascii="Cambria Math" w:hAnsi="Cambria Math" w:cs="宋体"/>
                <w:sz w:val="24"/>
                <w:szCs w:val="24"/>
              </w:rPr>
            </m:ctrlPr>
          </m:sub>
        </m:sSub>
        <m:r>
          <m:rPr>
            <m:sty m:val="p"/>
          </m:rPr>
          <w:rPr>
            <w:rFonts w:ascii="Cambria Math" w:hAnsi="Cambria Math" w:cs="宋体"/>
            <w:sz w:val="24"/>
            <w:szCs w:val="24"/>
          </w:rPr>
          <m:t>)</m:t>
        </m:r>
        <m:sSub>
          <m:sSubPr>
            <m:ctrlPr>
              <w:rPr>
                <w:rFonts w:ascii="Cambria Math" w:hAnsi="Cambria Math" w:cs="宋体"/>
                <w:sz w:val="24"/>
                <w:szCs w:val="24"/>
              </w:rPr>
            </m:ctrlPr>
          </m:sSubPr>
          <m:e>
            <m:r>
              <m:rPr>
                <m:sty m:val="p"/>
              </m:rPr>
              <w:rPr>
                <w:rFonts w:ascii="Cambria Math" w:hAnsi="Cambria Math" w:cs="宋体"/>
                <w:sz w:val="24"/>
                <w:szCs w:val="24"/>
              </w:rPr>
              <m:t>F</m:t>
            </m:r>
            <m:ctrlPr>
              <w:rPr>
                <w:rFonts w:ascii="Cambria Math" w:hAnsi="Cambria Math" w:cs="宋体"/>
                <w:sz w:val="24"/>
                <w:szCs w:val="24"/>
              </w:rPr>
            </m:ctrlPr>
          </m:e>
          <m:sub>
            <m:r>
              <m:rPr>
                <m:sty m:val="p"/>
              </m:rPr>
              <w:rPr>
                <w:rFonts w:ascii="Cambria Math" w:hAnsi="Cambria Math" w:cs="宋体"/>
                <w:sz w:val="24"/>
                <w:szCs w:val="24"/>
              </w:rPr>
              <m:t>e</m:t>
            </m:r>
            <m:ctrlPr>
              <w:rPr>
                <w:rFonts w:ascii="Cambria Math" w:hAnsi="Cambria Math" w:cs="宋体"/>
                <w:sz w:val="24"/>
                <w:szCs w:val="24"/>
              </w:rPr>
            </m:ctrlPr>
          </m:sub>
        </m:sSub>
      </m:oMath>
      <w:r>
        <w:rPr>
          <w:rFonts w:ascii="Cambria Math" w:hAnsi="Cambria Math" w:cs="宋体" w:eastAsiaTheme="minorEastAsia"/>
          <w:sz w:val="24"/>
          <w:szCs w:val="24"/>
        </w:rPr>
        <w:t xml:space="preserve">   </w:t>
      </w:r>
      <w:r>
        <w:rPr>
          <w:rFonts w:hint="eastAsia" w:ascii="Cambria Math" w:hAnsi="Cambria Math" w:cs="宋体" w:eastAsiaTheme="minorEastAsia"/>
          <w:sz w:val="24"/>
          <w:szCs w:val="24"/>
        </w:rPr>
        <w:tab/>
      </w:r>
      <w:r>
        <w:rPr>
          <w:rFonts w:ascii="Cambria Math" w:hAnsi="Cambria Math" w:cs="宋体"/>
          <w:sz w:val="24"/>
          <w:szCs w:val="24"/>
        </w:rPr>
        <w:t>(A.1.3-4)</w:t>
      </w:r>
    </w:p>
    <w:p w14:paraId="1053FD26">
      <w:pPr>
        <w:tabs>
          <w:tab w:val="center" w:pos="4200"/>
          <w:tab w:val="right" w:pos="8200"/>
        </w:tabs>
        <w:spacing w:line="360" w:lineRule="auto"/>
        <w:jc w:val="center"/>
        <w:rPr>
          <w:rFonts w:hint="eastAsia" w:ascii="Cambria Math" w:hAnsi="Cambria Math" w:cs="宋体" w:eastAsiaTheme="minorEastAsia"/>
          <w:sz w:val="24"/>
          <w:szCs w:val="24"/>
        </w:rPr>
      </w:pPr>
      <w:r>
        <w:rPr>
          <w:rFonts w:hint="eastAsia" w:hAnsi="Cambria Math" w:cs="宋体" w:eastAsiaTheme="minorEastAsia"/>
          <w:sz w:val="24"/>
          <w:szCs w:val="24"/>
        </w:rPr>
        <w:tab/>
      </w:r>
      <m:oMath>
        <m:sSub>
          <m:sSubPr>
            <m:ctrlPr>
              <w:rPr>
                <w:rFonts w:ascii="Cambria Math" w:hAnsi="Cambria Math" w:cs="宋体"/>
                <w:sz w:val="24"/>
                <w:szCs w:val="24"/>
              </w:rPr>
            </m:ctrlPr>
          </m:sSubPr>
          <m:e>
            <m:r>
              <m:rPr>
                <m:sty m:val="p"/>
              </m:rPr>
              <w:rPr>
                <w:rFonts w:ascii="Cambria Math" w:hAnsi="Cambria Math" w:cs="宋体"/>
                <w:sz w:val="24"/>
                <w:szCs w:val="24"/>
              </w:rPr>
              <m:t>C</m:t>
            </m:r>
            <m:ctrlPr>
              <w:rPr>
                <w:rFonts w:ascii="Cambria Math" w:hAnsi="Cambria Math" w:cs="宋体"/>
                <w:sz w:val="24"/>
                <w:szCs w:val="24"/>
              </w:rPr>
            </m:ctrlPr>
          </m:e>
          <m:sub>
            <m:r>
              <m:rPr>
                <m:sty m:val="p"/>
              </m:rPr>
              <w:rPr>
                <w:rFonts w:ascii="Cambria Math" w:hAnsi="Cambria Math" w:cs="宋体"/>
                <w:sz w:val="24"/>
                <w:szCs w:val="24"/>
              </w:rPr>
              <m:t>c</m:t>
            </m:r>
            <m:ctrlPr>
              <w:rPr>
                <w:rFonts w:ascii="Cambria Math" w:hAnsi="Cambria Math" w:cs="宋体"/>
                <w:sz w:val="24"/>
                <w:szCs w:val="24"/>
              </w:rPr>
            </m:ctrlPr>
          </m:sub>
        </m:sSub>
        <m:r>
          <m:rPr>
            <m:sty m:val="p"/>
          </m:rPr>
          <w:rPr>
            <w:rFonts w:ascii="Cambria Math" w:hAnsi="Cambria Math" w:cs="宋体"/>
            <w:sz w:val="24"/>
            <w:szCs w:val="24"/>
          </w:rPr>
          <m:t>=</m:t>
        </m:r>
        <m:sSub>
          <m:sSubPr>
            <m:ctrlPr>
              <w:rPr>
                <w:rFonts w:ascii="Cambria Math" w:hAnsi="Cambria Math" w:cs="宋体"/>
                <w:sz w:val="24"/>
                <w:szCs w:val="24"/>
              </w:rPr>
            </m:ctrlPr>
          </m:sSubPr>
          <m:e>
            <m:r>
              <m:rPr>
                <m:sty m:val="p"/>
              </m:rPr>
              <w:rPr>
                <w:rFonts w:ascii="Cambria Math" w:hAnsi="Cambria Math" w:cs="宋体"/>
                <w:sz w:val="24"/>
                <w:szCs w:val="24"/>
              </w:rPr>
              <m:t>E</m:t>
            </m:r>
            <m:ctrlPr>
              <w:rPr>
                <w:rFonts w:ascii="Cambria Math" w:hAnsi="Cambria Math" w:cs="宋体"/>
                <w:sz w:val="24"/>
                <w:szCs w:val="24"/>
              </w:rPr>
            </m:ctrlPr>
          </m:e>
          <m:sub>
            <m:r>
              <m:rPr>
                <m:sty m:val="p"/>
              </m:rPr>
              <w:rPr>
                <w:rFonts w:ascii="Cambria Math" w:hAnsi="Cambria Math" w:cs="宋体"/>
                <w:sz w:val="24"/>
                <w:szCs w:val="24"/>
              </w:rPr>
              <m:t>c</m:t>
            </m:r>
            <m:ctrlPr>
              <w:rPr>
                <w:rFonts w:ascii="Cambria Math" w:hAnsi="Cambria Math" w:cs="宋体"/>
                <w:sz w:val="24"/>
                <w:szCs w:val="24"/>
              </w:rPr>
            </m:ctrlPr>
          </m:sub>
        </m:sSub>
        <m:sSub>
          <m:sSubPr>
            <m:ctrlPr>
              <w:rPr>
                <w:rFonts w:ascii="Cambria Math" w:hAnsi="Cambria Math" w:cs="宋体"/>
                <w:sz w:val="24"/>
                <w:szCs w:val="24"/>
              </w:rPr>
            </m:ctrlPr>
          </m:sSubPr>
          <m:e>
            <m:r>
              <m:rPr>
                <m:sty m:val="p"/>
              </m:rPr>
              <w:rPr>
                <w:rFonts w:ascii="Cambria Math" w:hAnsi="Cambria Math" w:cs="宋体"/>
                <w:sz w:val="24"/>
                <w:szCs w:val="24"/>
              </w:rPr>
              <m:t>F</m:t>
            </m:r>
            <m:ctrlPr>
              <w:rPr>
                <w:rFonts w:ascii="Cambria Math" w:hAnsi="Cambria Math" w:cs="宋体"/>
                <w:sz w:val="24"/>
                <w:szCs w:val="24"/>
              </w:rPr>
            </m:ctrlPr>
          </m:e>
          <m:sub>
            <m:r>
              <m:rPr>
                <m:sty m:val="p"/>
              </m:rPr>
              <w:rPr>
                <w:rFonts w:ascii="Cambria Math" w:hAnsi="Cambria Math" w:cs="宋体"/>
                <w:sz w:val="24"/>
                <w:szCs w:val="24"/>
              </w:rPr>
              <m:t>c</m:t>
            </m:r>
            <m:ctrlPr>
              <w:rPr>
                <w:rFonts w:ascii="Cambria Math" w:hAnsi="Cambria Math" w:cs="宋体"/>
                <w:sz w:val="24"/>
                <w:szCs w:val="24"/>
              </w:rPr>
            </m:ctrlPr>
          </m:sub>
        </m:sSub>
      </m:oMath>
      <w:r>
        <w:rPr>
          <w:rFonts w:ascii="Cambria Math" w:hAnsi="Cambria Math" w:cs="宋体" w:eastAsiaTheme="minorEastAsia"/>
          <w:sz w:val="24"/>
          <w:szCs w:val="24"/>
        </w:rPr>
        <w:t xml:space="preserve">   </w:t>
      </w:r>
      <w:r>
        <w:rPr>
          <w:rFonts w:hint="eastAsia" w:ascii="Cambria Math" w:hAnsi="Cambria Math" w:cs="宋体" w:eastAsiaTheme="minorEastAsia"/>
          <w:sz w:val="24"/>
          <w:szCs w:val="24"/>
        </w:rPr>
        <w:tab/>
      </w:r>
      <w:r>
        <w:rPr>
          <w:rFonts w:ascii="Cambria Math" w:hAnsi="Cambria Math" w:cs="宋体"/>
          <w:sz w:val="24"/>
          <w:szCs w:val="24"/>
        </w:rPr>
        <w:t>(A.1.3-5)</w:t>
      </w:r>
    </w:p>
    <w:p w14:paraId="01234A8A">
      <w:pPr>
        <w:tabs>
          <w:tab w:val="center" w:pos="4200"/>
          <w:tab w:val="right" w:pos="8200"/>
        </w:tabs>
        <w:spacing w:line="360" w:lineRule="auto"/>
        <w:jc w:val="center"/>
        <w:rPr>
          <w:rFonts w:hint="eastAsia" w:ascii="Cambria Math" w:hAnsi="Cambria Math" w:cs="宋体" w:eastAsiaTheme="minorEastAsia"/>
          <w:sz w:val="24"/>
          <w:szCs w:val="24"/>
        </w:rPr>
      </w:pPr>
      <w:r>
        <w:rPr>
          <w:rFonts w:hint="eastAsia" w:hAnsi="Cambria Math" w:cs="宋体" w:eastAsiaTheme="minorEastAsia"/>
          <w:sz w:val="24"/>
          <w:szCs w:val="24"/>
        </w:rPr>
        <w:tab/>
      </w:r>
      <m:oMath>
        <m:sSub>
          <m:sSubPr>
            <m:ctrlPr>
              <w:rPr>
                <w:rFonts w:ascii="Cambria Math" w:hAnsi="Cambria Math" w:cs="宋体"/>
                <w:sz w:val="24"/>
                <w:szCs w:val="24"/>
              </w:rPr>
            </m:ctrlPr>
          </m:sSubPr>
          <m:e>
            <m:r>
              <m:rPr>
                <m:sty m:val="p"/>
              </m:rPr>
              <w:rPr>
                <w:rFonts w:ascii="Cambria Math" w:hAnsi="Cambria Math" w:cs="宋体"/>
                <w:sz w:val="24"/>
                <w:szCs w:val="24"/>
              </w:rPr>
              <m:t>C</m:t>
            </m:r>
            <m:ctrlPr>
              <w:rPr>
                <w:rFonts w:ascii="Cambria Math" w:hAnsi="Cambria Math" w:cs="宋体"/>
                <w:sz w:val="24"/>
                <w:szCs w:val="24"/>
              </w:rPr>
            </m:ctrlPr>
          </m:e>
          <m:sub>
            <m:r>
              <m:rPr>
                <m:sty m:val="p"/>
              </m:rPr>
              <w:rPr>
                <w:rFonts w:ascii="Cambria Math" w:hAnsi="Cambria Math" w:cs="宋体"/>
                <w:sz w:val="24"/>
                <w:szCs w:val="24"/>
              </w:rPr>
              <m:t>re</m:t>
            </m:r>
            <m:ctrlPr>
              <w:rPr>
                <w:rFonts w:ascii="Cambria Math" w:hAnsi="Cambria Math" w:cs="宋体"/>
                <w:sz w:val="24"/>
                <w:szCs w:val="24"/>
              </w:rPr>
            </m:ctrlPr>
          </m:sub>
        </m:sSub>
        <m:r>
          <m:rPr>
            <m:sty m:val="p"/>
          </m:rPr>
          <w:rPr>
            <w:rFonts w:ascii="Cambria Math" w:hAnsi="Cambria Math" w:cs="宋体"/>
            <w:sz w:val="24"/>
            <w:szCs w:val="24"/>
          </w:rPr>
          <m:t>=</m:t>
        </m:r>
        <m:nary>
          <m:naryPr>
            <m:chr m:val="∑"/>
            <m:ctrlPr>
              <w:rPr>
                <w:rFonts w:ascii="Cambria Math" w:hAnsi="Cambria Math" w:cs="宋体"/>
                <w:sz w:val="24"/>
                <w:szCs w:val="24"/>
              </w:rPr>
            </m:ctrlPr>
          </m:naryPr>
          <m:sub>
            <m:r>
              <m:rPr>
                <m:sty m:val="p"/>
              </m:rPr>
              <w:rPr>
                <w:rFonts w:ascii="Cambria Math" w:hAnsi="Cambria Math" w:cs="宋体"/>
                <w:sz w:val="24"/>
                <w:szCs w:val="24"/>
              </w:rPr>
              <m:t>i=1</m:t>
            </m:r>
            <m:ctrlPr>
              <w:rPr>
                <w:rFonts w:ascii="Cambria Math" w:hAnsi="Cambria Math" w:cs="宋体"/>
                <w:sz w:val="24"/>
                <w:szCs w:val="24"/>
              </w:rPr>
            </m:ctrlPr>
          </m:sub>
          <m:sup>
            <m:r>
              <m:rPr>
                <m:sty m:val="p"/>
              </m:rPr>
              <w:rPr>
                <w:rFonts w:ascii="Cambria Math" w:hAnsi="Cambria Math" w:cs="宋体"/>
                <w:sz w:val="24"/>
                <w:szCs w:val="24"/>
              </w:rPr>
              <m:t>n</m:t>
            </m:r>
            <m:ctrlPr>
              <w:rPr>
                <w:rFonts w:ascii="Cambria Math" w:hAnsi="Cambria Math" w:cs="宋体"/>
                <w:sz w:val="24"/>
                <w:szCs w:val="24"/>
              </w:rPr>
            </m:ctrlPr>
          </m:sup>
          <m:e>
            <m:sSub>
              <m:sSubPr>
                <m:ctrlPr>
                  <w:rPr>
                    <w:rFonts w:ascii="Cambria Math" w:hAnsi="Cambria Math" w:cs="宋体"/>
                    <w:sz w:val="24"/>
                    <w:szCs w:val="24"/>
                  </w:rPr>
                </m:ctrlPr>
              </m:sSubPr>
              <m:e>
                <m:r>
                  <m:rPr>
                    <m:sty m:val="p"/>
                  </m:rPr>
                  <w:rPr>
                    <w:rFonts w:ascii="Cambria Math" w:hAnsi="Cambria Math" w:cs="宋体"/>
                    <w:sz w:val="24"/>
                    <w:szCs w:val="24"/>
                  </w:rPr>
                  <m:t>E</m:t>
                </m:r>
                <m:ctrlPr>
                  <w:rPr>
                    <w:rFonts w:ascii="Cambria Math" w:hAnsi="Cambria Math" w:cs="宋体"/>
                    <w:sz w:val="24"/>
                    <w:szCs w:val="24"/>
                  </w:rPr>
                </m:ctrlPr>
              </m:e>
              <m:sub>
                <m:r>
                  <m:rPr>
                    <m:sty m:val="p"/>
                  </m:rPr>
                  <w:rPr>
                    <w:rFonts w:ascii="Cambria Math" w:hAnsi="Cambria Math" w:cs="宋体"/>
                    <w:sz w:val="24"/>
                    <w:szCs w:val="24"/>
                  </w:rPr>
                  <m:t>i</m:t>
                </m:r>
                <m:ctrlPr>
                  <w:rPr>
                    <w:rFonts w:ascii="Cambria Math" w:hAnsi="Cambria Math" w:cs="宋体"/>
                    <w:sz w:val="24"/>
                    <w:szCs w:val="24"/>
                  </w:rPr>
                </m:ctrlPr>
              </m:sub>
            </m:sSub>
            <m:ctrlPr>
              <w:rPr>
                <w:rFonts w:ascii="Cambria Math" w:hAnsi="Cambria Math" w:cs="宋体"/>
                <w:sz w:val="24"/>
                <w:szCs w:val="24"/>
              </w:rPr>
            </m:ctrlPr>
          </m:e>
        </m:nary>
        <m:sSub>
          <m:sSubPr>
            <m:ctrlPr>
              <w:rPr>
                <w:rFonts w:ascii="Cambria Math" w:hAnsi="Cambria Math" w:cs="宋体"/>
                <w:sz w:val="24"/>
                <w:szCs w:val="24"/>
              </w:rPr>
            </m:ctrlPr>
          </m:sSubPr>
          <m:e>
            <m:r>
              <m:rPr>
                <m:sty m:val="p"/>
              </m:rPr>
              <w:rPr>
                <w:rFonts w:ascii="Cambria Math" w:hAnsi="Cambria Math" w:cs="宋体"/>
                <w:sz w:val="24"/>
                <w:szCs w:val="24"/>
              </w:rPr>
              <m:t>F</m:t>
            </m:r>
            <m:ctrlPr>
              <w:rPr>
                <w:rFonts w:ascii="Cambria Math" w:hAnsi="Cambria Math" w:cs="宋体"/>
                <w:sz w:val="24"/>
                <w:szCs w:val="24"/>
              </w:rPr>
            </m:ctrlPr>
          </m:e>
          <m:sub>
            <m:r>
              <m:rPr>
                <m:sty m:val="p"/>
              </m:rPr>
              <w:rPr>
                <w:rFonts w:ascii="Cambria Math" w:hAnsi="Cambria Math" w:cs="宋体"/>
                <w:sz w:val="24"/>
                <w:szCs w:val="24"/>
              </w:rPr>
              <m:t>e</m:t>
            </m:r>
            <m:ctrlPr>
              <w:rPr>
                <w:rFonts w:ascii="Cambria Math" w:hAnsi="Cambria Math" w:cs="宋体"/>
                <w:sz w:val="24"/>
                <w:szCs w:val="24"/>
              </w:rPr>
            </m:ctrlPr>
          </m:sub>
        </m:sSub>
      </m:oMath>
      <w:r>
        <w:rPr>
          <w:rFonts w:ascii="Cambria Math" w:hAnsi="Cambria Math" w:cs="宋体" w:eastAsiaTheme="minorEastAsia"/>
          <w:sz w:val="24"/>
          <w:szCs w:val="24"/>
        </w:rPr>
        <w:t xml:space="preserve">   </w:t>
      </w:r>
      <w:r>
        <w:rPr>
          <w:rFonts w:hint="eastAsia" w:ascii="Cambria Math" w:hAnsi="Cambria Math" w:cs="宋体" w:eastAsiaTheme="minorEastAsia"/>
          <w:sz w:val="24"/>
          <w:szCs w:val="24"/>
        </w:rPr>
        <w:tab/>
      </w:r>
      <w:r>
        <w:rPr>
          <w:rFonts w:ascii="Cambria Math" w:hAnsi="Cambria Math" w:cs="宋体"/>
          <w:sz w:val="24"/>
          <w:szCs w:val="24"/>
        </w:rPr>
        <w:t>(A.1.3-6)</w:t>
      </w:r>
    </w:p>
    <w:p w14:paraId="41EF384B">
      <w:pPr>
        <w:tabs>
          <w:tab w:val="center" w:pos="4200"/>
          <w:tab w:val="right" w:pos="8200"/>
        </w:tabs>
        <w:spacing w:line="360" w:lineRule="auto"/>
        <w:jc w:val="center"/>
        <w:rPr>
          <w:rFonts w:hint="eastAsia" w:ascii="Cambria Math" w:hAnsi="Cambria Math" w:cs="宋体" w:eastAsiaTheme="minorEastAsia"/>
          <w:sz w:val="24"/>
          <w:szCs w:val="24"/>
        </w:rPr>
      </w:pPr>
      <w:r>
        <w:rPr>
          <w:rFonts w:hint="eastAsia" w:hAnsi="Cambria Math" w:cs="宋体" w:eastAsiaTheme="minorEastAsia"/>
          <w:sz w:val="24"/>
          <w:szCs w:val="24"/>
        </w:rPr>
        <w:tab/>
      </w:r>
      <m:oMath>
        <m:sSub>
          <m:sSubPr>
            <m:ctrlPr>
              <w:rPr>
                <w:rFonts w:ascii="Cambria Math" w:hAnsi="Cambria Math" w:cs="宋体"/>
                <w:sz w:val="24"/>
                <w:szCs w:val="24"/>
              </w:rPr>
            </m:ctrlPr>
          </m:sSubPr>
          <m:e>
            <m:r>
              <m:rPr>
                <m:sty m:val="p"/>
              </m:rPr>
              <w:rPr>
                <w:rFonts w:ascii="Cambria Math" w:hAnsi="Cambria Math" w:cs="宋体"/>
                <w:sz w:val="24"/>
                <w:szCs w:val="24"/>
              </w:rPr>
              <m:t>C</m:t>
            </m:r>
            <m:ctrlPr>
              <w:rPr>
                <w:rFonts w:ascii="Cambria Math" w:hAnsi="Cambria Math" w:cs="宋体"/>
                <w:sz w:val="24"/>
                <w:szCs w:val="24"/>
              </w:rPr>
            </m:ctrlPr>
          </m:e>
          <m:sub>
            <m:r>
              <m:rPr>
                <m:sty m:val="p"/>
              </m:rPr>
              <w:rPr>
                <w:rFonts w:ascii="Cambria Math" w:hAnsi="Cambria Math" w:cs="宋体"/>
                <w:sz w:val="24"/>
                <w:szCs w:val="24"/>
              </w:rPr>
              <m:t>gr</m:t>
            </m:r>
            <m:ctrlPr>
              <w:rPr>
                <w:rFonts w:ascii="Cambria Math" w:hAnsi="Cambria Math" w:cs="宋体"/>
                <w:sz w:val="24"/>
                <w:szCs w:val="24"/>
              </w:rPr>
            </m:ctrlPr>
          </m:sub>
        </m:sSub>
        <m:r>
          <m:rPr>
            <m:sty m:val="p"/>
          </m:rPr>
          <w:rPr>
            <w:rFonts w:ascii="Cambria Math" w:hAnsi="Cambria Math" w:cs="宋体"/>
            <w:sz w:val="24"/>
            <w:szCs w:val="24"/>
          </w:rPr>
          <m:t>=</m:t>
        </m:r>
        <m:nary>
          <m:naryPr>
            <m:chr m:val="∑"/>
            <m:ctrlPr>
              <w:rPr>
                <w:rFonts w:ascii="Cambria Math" w:hAnsi="Cambria Math" w:cs="宋体"/>
                <w:sz w:val="24"/>
                <w:szCs w:val="24"/>
              </w:rPr>
            </m:ctrlPr>
          </m:naryPr>
          <m:sub>
            <m:r>
              <m:rPr>
                <m:sty m:val="p"/>
              </m:rPr>
              <w:rPr>
                <w:rFonts w:ascii="Cambria Math" w:hAnsi="Cambria Math" w:cs="宋体"/>
                <w:sz w:val="24"/>
                <w:szCs w:val="24"/>
              </w:rPr>
              <m:t>i=1</m:t>
            </m:r>
            <m:ctrlPr>
              <w:rPr>
                <w:rFonts w:ascii="Cambria Math" w:hAnsi="Cambria Math" w:cs="宋体"/>
                <w:sz w:val="24"/>
                <w:szCs w:val="24"/>
              </w:rPr>
            </m:ctrlPr>
          </m:sub>
          <m:sup>
            <m:r>
              <m:rPr>
                <m:sty m:val="p"/>
              </m:rPr>
              <w:rPr>
                <w:rFonts w:ascii="Cambria Math" w:hAnsi="Cambria Math" w:cs="宋体"/>
                <w:sz w:val="24"/>
                <w:szCs w:val="24"/>
              </w:rPr>
              <m:t>n</m:t>
            </m:r>
            <m:ctrlPr>
              <w:rPr>
                <w:rFonts w:ascii="Cambria Math" w:hAnsi="Cambria Math" w:cs="宋体"/>
                <w:sz w:val="24"/>
                <w:szCs w:val="24"/>
              </w:rPr>
            </m:ctrlPr>
          </m:sup>
          <m:e>
            <m:sSub>
              <m:sSubPr>
                <m:ctrlPr>
                  <w:rPr>
                    <w:rFonts w:ascii="Cambria Math" w:hAnsi="Cambria Math" w:cs="宋体"/>
                    <w:sz w:val="24"/>
                    <w:szCs w:val="24"/>
                  </w:rPr>
                </m:ctrlPr>
              </m:sSubPr>
              <m:e>
                <m:r>
                  <m:rPr>
                    <m:sty m:val="p"/>
                  </m:rPr>
                  <w:rPr>
                    <w:rFonts w:ascii="Cambria Math" w:hAnsi="Cambria Math" w:cs="宋体"/>
                    <w:sz w:val="24"/>
                    <w:szCs w:val="24"/>
                  </w:rPr>
                  <m:t>G</m:t>
                </m:r>
                <m:ctrlPr>
                  <w:rPr>
                    <w:rFonts w:ascii="Cambria Math" w:hAnsi="Cambria Math" w:cs="宋体"/>
                    <w:sz w:val="24"/>
                    <w:szCs w:val="24"/>
                  </w:rPr>
                </m:ctrlPr>
              </m:e>
              <m:sub>
                <m:r>
                  <m:rPr>
                    <m:sty m:val="p"/>
                  </m:rPr>
                  <w:rPr>
                    <w:rFonts w:ascii="Cambria Math" w:hAnsi="Cambria Math" w:cs="宋体"/>
                    <w:sz w:val="24"/>
                    <w:szCs w:val="24"/>
                  </w:rPr>
                  <m:t>i</m:t>
                </m:r>
                <m:ctrlPr>
                  <w:rPr>
                    <w:rFonts w:ascii="Cambria Math" w:hAnsi="Cambria Math" w:cs="宋体"/>
                    <w:sz w:val="24"/>
                    <w:szCs w:val="24"/>
                  </w:rPr>
                </m:ctrlPr>
              </m:sub>
            </m:sSub>
            <m:sSub>
              <m:sSubPr>
                <m:ctrlPr>
                  <w:rPr>
                    <w:rFonts w:ascii="Cambria Math" w:hAnsi="Cambria Math" w:cs="宋体"/>
                    <w:sz w:val="24"/>
                    <w:szCs w:val="24"/>
                  </w:rPr>
                </m:ctrlPr>
              </m:sSubPr>
              <m:e>
                <m:r>
                  <m:rPr>
                    <m:sty m:val="p"/>
                  </m:rPr>
                  <w:rPr>
                    <w:rFonts w:ascii="Cambria Math" w:hAnsi="Cambria Math" w:cs="宋体"/>
                    <w:sz w:val="24"/>
                    <w:szCs w:val="24"/>
                  </w:rPr>
                  <m:t>A</m:t>
                </m:r>
                <m:ctrlPr>
                  <w:rPr>
                    <w:rFonts w:ascii="Cambria Math" w:hAnsi="Cambria Math" w:cs="宋体"/>
                    <w:sz w:val="24"/>
                    <w:szCs w:val="24"/>
                  </w:rPr>
                </m:ctrlPr>
              </m:e>
              <m:sub>
                <m:r>
                  <m:rPr>
                    <m:sty m:val="p"/>
                  </m:rPr>
                  <w:rPr>
                    <w:rFonts w:ascii="Cambria Math" w:hAnsi="Cambria Math" w:cs="宋体"/>
                    <w:sz w:val="24"/>
                    <w:szCs w:val="24"/>
                  </w:rPr>
                  <m:t>i</m:t>
                </m:r>
                <m:ctrlPr>
                  <w:rPr>
                    <w:rFonts w:ascii="Cambria Math" w:hAnsi="Cambria Math" w:cs="宋体"/>
                    <w:sz w:val="24"/>
                    <w:szCs w:val="24"/>
                  </w:rPr>
                </m:ctrlPr>
              </m:sub>
            </m:sSub>
            <m:ctrlPr>
              <w:rPr>
                <w:rFonts w:ascii="Cambria Math" w:hAnsi="Cambria Math" w:cs="宋体"/>
                <w:sz w:val="24"/>
                <w:szCs w:val="24"/>
              </w:rPr>
            </m:ctrlPr>
          </m:e>
        </m:nary>
      </m:oMath>
      <w:r>
        <w:rPr>
          <w:rFonts w:ascii="Cambria Math" w:hAnsi="Cambria Math" w:cs="宋体" w:eastAsiaTheme="minorEastAsia"/>
          <w:sz w:val="24"/>
          <w:szCs w:val="24"/>
        </w:rPr>
        <w:t xml:space="preserve">   </w:t>
      </w:r>
      <w:r>
        <w:rPr>
          <w:rFonts w:hint="eastAsia" w:ascii="Cambria Math" w:hAnsi="Cambria Math" w:cs="宋体" w:eastAsiaTheme="minorEastAsia"/>
          <w:sz w:val="24"/>
          <w:szCs w:val="24"/>
        </w:rPr>
        <w:tab/>
      </w:r>
      <w:r>
        <w:rPr>
          <w:rFonts w:ascii="Cambria Math" w:hAnsi="Cambria Math" w:cs="宋体"/>
          <w:sz w:val="24"/>
          <w:szCs w:val="24"/>
        </w:rPr>
        <w:t>(A.1.3-7)</w:t>
      </w:r>
    </w:p>
    <w:p w14:paraId="311214F5">
      <w:pPr>
        <w:spacing w:line="360" w:lineRule="auto"/>
        <w:jc w:val="left"/>
        <w:rPr>
          <w:rFonts w:hAnsi="Cambria Math" w:cs="宋体"/>
          <w:sz w:val="24"/>
          <w:szCs w:val="24"/>
        </w:rPr>
      </w:pPr>
      <w:r>
        <w:rPr>
          <w:rFonts w:hint="eastAsia" w:cs="宋体"/>
          <w:sz w:val="24"/>
          <w:szCs w:val="24"/>
        </w:rPr>
        <w:t>式中：</w:t>
      </w:r>
      <m:oMath>
        <m:sSub>
          <m:sSubPr>
            <m:ctrlPr>
              <w:rPr>
                <w:rFonts w:ascii="Cambria Math" w:hAnsi="Cambria Math" w:cs="宋体"/>
                <w:sz w:val="24"/>
                <w:szCs w:val="24"/>
              </w:rPr>
            </m:ctrlPr>
          </m:sSubPr>
          <m:e>
            <m:r>
              <m:rPr>
                <m:sty m:val="p"/>
              </m:rPr>
              <w:rPr>
                <w:rFonts w:ascii="Cambria Math" w:hAnsi="Cambria Math" w:cs="宋体"/>
                <w:sz w:val="24"/>
                <w:szCs w:val="24"/>
              </w:rPr>
              <m:t>C</m:t>
            </m:r>
            <m:ctrlPr>
              <w:rPr>
                <w:rFonts w:ascii="Cambria Math" w:hAnsi="Cambria Math" w:cs="宋体"/>
                <w:sz w:val="24"/>
                <w:szCs w:val="24"/>
              </w:rPr>
            </m:ctrlPr>
          </m:e>
          <m:sub>
            <m:r>
              <m:rPr>
                <m:sty m:val="p"/>
              </m:rPr>
              <w:rPr>
                <w:rFonts w:ascii="Cambria Math" w:hAnsi="Cambria Math" w:cs="宋体"/>
                <w:sz w:val="24"/>
                <w:szCs w:val="24"/>
              </w:rPr>
              <m:t>hvac</m:t>
            </m:r>
            <m:ctrlPr>
              <w:rPr>
                <w:rFonts w:ascii="Cambria Math" w:hAnsi="Cambria Math" w:cs="宋体"/>
                <w:sz w:val="24"/>
                <w:szCs w:val="24"/>
              </w:rPr>
            </m:ctrlPr>
          </m:sub>
        </m:sSub>
      </m:oMath>
      <w:r>
        <w:rPr>
          <w:rFonts w:hint="default" w:hAnsi="Cambria Math" w:cs="宋体"/>
          <w:sz w:val="24"/>
          <w:szCs w:val="24"/>
        </w:rPr>
        <w:t>——暖通空调系统碳排放</w:t>
      </w:r>
      <w:bookmarkStart w:id="199" w:name="_Hlk89437330"/>
      <w:r>
        <w:rPr>
          <w:rFonts w:hint="default" w:hAnsi="Cambria Math" w:cs="宋体"/>
          <w:sz w:val="24"/>
          <w:szCs w:val="24"/>
        </w:rPr>
        <w:t>（kgCO</w:t>
      </w:r>
      <w:r>
        <w:rPr>
          <w:rFonts w:hint="default" w:hAnsi="Cambria Math" w:cs="宋体"/>
          <w:sz w:val="24"/>
          <w:szCs w:val="24"/>
          <w:vertAlign w:val="baseline"/>
        </w:rPr>
        <w:t>2</w:t>
      </w:r>
      <w:r>
        <w:rPr>
          <w:rFonts w:hint="default" w:hAnsi="Cambria Math" w:cs="宋体"/>
          <w:sz w:val="24"/>
          <w:szCs w:val="24"/>
        </w:rPr>
        <w:t>）；</w:t>
      </w:r>
      <w:bookmarkEnd w:id="199"/>
    </w:p>
    <w:p w14:paraId="31766455">
      <w:pPr>
        <w:spacing w:line="360" w:lineRule="auto"/>
        <w:ind w:firstLine="840" w:firstLineChars="350"/>
        <w:jc w:val="left"/>
        <w:rPr>
          <w:rFonts w:cs="宋体"/>
          <w:sz w:val="24"/>
          <w:szCs w:val="24"/>
        </w:rPr>
      </w:pPr>
      <w:bookmarkStart w:id="200" w:name="_Hlk93595729"/>
      <m:oMath>
        <m:sSub>
          <m:sSubPr>
            <m:ctrlPr>
              <w:rPr>
                <w:rFonts w:ascii="Cambria Math" w:hAnsi="Cambria Math" w:cs="宋体"/>
                <w:sz w:val="24"/>
                <w:szCs w:val="24"/>
              </w:rPr>
            </m:ctrlPr>
          </m:sSubPr>
          <m:e>
            <m:r>
              <m:rPr>
                <m:sty m:val="p"/>
              </m:rPr>
              <w:rPr>
                <w:rFonts w:ascii="Cambria Math" w:hAnsi="Cambria Math" w:cs="宋体"/>
                <w:sz w:val="24"/>
                <w:szCs w:val="24"/>
              </w:rPr>
              <m:t>C</m:t>
            </m:r>
            <m:ctrlPr>
              <w:rPr>
                <w:rFonts w:ascii="Cambria Math" w:hAnsi="Cambria Math" w:cs="宋体"/>
                <w:sz w:val="24"/>
                <w:szCs w:val="24"/>
              </w:rPr>
            </m:ctrlPr>
          </m:e>
          <m:sub>
            <m:r>
              <m:rPr>
                <m:sty m:val="p"/>
              </m:rPr>
              <w:rPr>
                <w:rFonts w:ascii="Cambria Math" w:hAnsi="Cambria Math" w:cs="宋体"/>
                <w:sz w:val="24"/>
                <w:szCs w:val="24"/>
              </w:rPr>
              <m:t>w</m:t>
            </m:r>
            <m:ctrlPr>
              <w:rPr>
                <w:rFonts w:ascii="Cambria Math" w:hAnsi="Cambria Math" w:cs="宋体"/>
                <w:sz w:val="24"/>
                <w:szCs w:val="24"/>
              </w:rPr>
            </m:ctrlPr>
          </m:sub>
        </m:sSub>
      </m:oMath>
      <w:r>
        <w:rPr>
          <w:rFonts w:hint="eastAsia" w:cs="宋体"/>
          <w:sz w:val="24"/>
          <w:szCs w:val="24"/>
        </w:rPr>
        <w:t>——水系统碳排放（kgCO</w:t>
      </w:r>
      <w:r>
        <w:rPr>
          <w:rFonts w:hint="eastAsia" w:cs="宋体"/>
          <w:sz w:val="24"/>
          <w:szCs w:val="24"/>
          <w:vertAlign w:val="subscript"/>
        </w:rPr>
        <w:t>2</w:t>
      </w:r>
      <w:r>
        <w:rPr>
          <w:rFonts w:hint="eastAsia" w:cs="宋体"/>
          <w:sz w:val="24"/>
          <w:szCs w:val="24"/>
        </w:rPr>
        <w:t>）；</w:t>
      </w:r>
    </w:p>
    <w:bookmarkEnd w:id="200"/>
    <w:p w14:paraId="25F3EB3F">
      <w:pPr>
        <w:spacing w:line="360" w:lineRule="auto"/>
        <w:ind w:firstLine="840" w:firstLineChars="350"/>
        <w:jc w:val="left"/>
        <w:rPr>
          <w:rFonts w:cs="宋体"/>
          <w:sz w:val="24"/>
          <w:szCs w:val="24"/>
        </w:rPr>
      </w:pPr>
      <m:oMath>
        <m:sSub>
          <m:sSubPr>
            <m:ctrlPr>
              <w:rPr>
                <w:rFonts w:ascii="Cambria Math" w:hAnsi="Cambria Math" w:cs="宋体"/>
                <w:sz w:val="24"/>
                <w:szCs w:val="24"/>
              </w:rPr>
            </m:ctrlPr>
          </m:sSubPr>
          <m:e>
            <m:r>
              <m:rPr>
                <m:sty m:val="p"/>
              </m:rPr>
              <w:rPr>
                <w:rFonts w:ascii="Cambria Math" w:hAnsi="Cambria Math" w:cs="宋体"/>
                <w:sz w:val="24"/>
                <w:szCs w:val="24"/>
              </w:rPr>
              <m:t>C</m:t>
            </m:r>
            <m:ctrlPr>
              <w:rPr>
                <w:rFonts w:ascii="Cambria Math" w:hAnsi="Cambria Math" w:cs="宋体"/>
                <w:sz w:val="24"/>
                <w:szCs w:val="24"/>
              </w:rPr>
            </m:ctrlPr>
          </m:e>
          <m:sub>
            <m:r>
              <m:rPr>
                <m:sty m:val="p"/>
              </m:rPr>
              <w:rPr>
                <w:rFonts w:ascii="Cambria Math" w:hAnsi="Cambria Math" w:cs="宋体"/>
                <w:sz w:val="24"/>
                <w:szCs w:val="24"/>
              </w:rPr>
              <m:t>ele</m:t>
            </m:r>
            <m:ctrlPr>
              <w:rPr>
                <w:rFonts w:ascii="Cambria Math" w:hAnsi="Cambria Math" w:cs="宋体"/>
                <w:sz w:val="24"/>
                <w:szCs w:val="24"/>
              </w:rPr>
            </m:ctrlPr>
          </m:sub>
        </m:sSub>
      </m:oMath>
      <w:r>
        <w:rPr>
          <w:rFonts w:hint="eastAsia" w:cs="宋体"/>
          <w:sz w:val="24"/>
          <w:szCs w:val="24"/>
        </w:rPr>
        <w:t>——电气系统碳排放（kgCO</w:t>
      </w:r>
      <w:r>
        <w:rPr>
          <w:rFonts w:hint="eastAsia" w:cs="宋体"/>
          <w:sz w:val="24"/>
          <w:szCs w:val="24"/>
          <w:vertAlign w:val="subscript"/>
        </w:rPr>
        <w:t>2</w:t>
      </w:r>
      <w:r>
        <w:rPr>
          <w:rFonts w:hint="eastAsia" w:cs="宋体"/>
          <w:sz w:val="24"/>
          <w:szCs w:val="24"/>
        </w:rPr>
        <w:t>）；</w:t>
      </w:r>
    </w:p>
    <w:p w14:paraId="1994859D">
      <w:pPr>
        <w:spacing w:line="360" w:lineRule="auto"/>
        <w:ind w:firstLine="840" w:firstLineChars="350"/>
        <w:jc w:val="left"/>
        <w:rPr>
          <w:rFonts w:cs="宋体"/>
          <w:sz w:val="24"/>
          <w:szCs w:val="24"/>
        </w:rPr>
      </w:pPr>
      <m:oMath>
        <m:sSub>
          <m:sSubPr>
            <m:ctrlPr>
              <w:rPr>
                <w:rFonts w:ascii="Cambria Math" w:hAnsi="Cambria Math" w:cs="宋体"/>
                <w:sz w:val="24"/>
                <w:szCs w:val="24"/>
              </w:rPr>
            </m:ctrlPr>
          </m:sSubPr>
          <m:e>
            <m:r>
              <m:rPr>
                <m:sty m:val="p"/>
              </m:rPr>
              <w:rPr>
                <w:rFonts w:ascii="Cambria Math" w:hAnsi="Cambria Math" w:cs="宋体"/>
                <w:sz w:val="24"/>
                <w:szCs w:val="24"/>
              </w:rPr>
              <m:t>C</m:t>
            </m:r>
            <m:ctrlPr>
              <w:rPr>
                <w:rFonts w:ascii="Cambria Math" w:hAnsi="Cambria Math" w:cs="宋体"/>
                <w:sz w:val="24"/>
                <w:szCs w:val="24"/>
              </w:rPr>
            </m:ctrlPr>
          </m:e>
          <m:sub>
            <m:r>
              <m:rPr>
                <m:sty m:val="p"/>
              </m:rPr>
              <w:rPr>
                <w:rFonts w:ascii="Cambria Math" w:hAnsi="Cambria Math" w:cs="宋体"/>
                <w:sz w:val="24"/>
                <w:szCs w:val="24"/>
              </w:rPr>
              <m:t>c</m:t>
            </m:r>
            <m:ctrlPr>
              <w:rPr>
                <w:rFonts w:ascii="Cambria Math" w:hAnsi="Cambria Math" w:cs="宋体"/>
                <w:sz w:val="24"/>
                <w:szCs w:val="24"/>
              </w:rPr>
            </m:ctrlPr>
          </m:sub>
        </m:sSub>
      </m:oMath>
      <w:r>
        <w:rPr>
          <w:rFonts w:hint="eastAsia" w:cs="宋体"/>
          <w:sz w:val="24"/>
          <w:szCs w:val="24"/>
        </w:rPr>
        <w:t>——灶具能源燃烧碳排放（kgCO</w:t>
      </w:r>
      <w:r>
        <w:rPr>
          <w:rFonts w:hint="eastAsia" w:cs="宋体"/>
          <w:sz w:val="24"/>
          <w:szCs w:val="24"/>
          <w:vertAlign w:val="subscript"/>
        </w:rPr>
        <w:t>2</w:t>
      </w:r>
      <w:r>
        <w:rPr>
          <w:rFonts w:hint="eastAsia" w:cs="宋体"/>
          <w:sz w:val="24"/>
          <w:szCs w:val="24"/>
        </w:rPr>
        <w:t>）；</w:t>
      </w:r>
    </w:p>
    <w:p w14:paraId="71D69493">
      <w:pPr>
        <w:spacing w:line="360" w:lineRule="auto"/>
        <w:ind w:firstLine="840" w:firstLineChars="350"/>
        <w:jc w:val="left"/>
        <w:rPr>
          <w:rFonts w:cs="宋体"/>
          <w:sz w:val="24"/>
          <w:szCs w:val="24"/>
        </w:rPr>
      </w:pPr>
      <m:oMath>
        <m:sSub>
          <m:sSubPr>
            <m:ctrlPr>
              <w:rPr>
                <w:rFonts w:ascii="Cambria Math" w:hAnsi="Cambria Math" w:cs="宋体"/>
                <w:sz w:val="24"/>
                <w:szCs w:val="24"/>
              </w:rPr>
            </m:ctrlPr>
          </m:sSubPr>
          <m:e>
            <m:r>
              <m:rPr>
                <m:sty m:val="p"/>
              </m:rPr>
              <w:rPr>
                <w:rFonts w:ascii="Cambria Math" w:hAnsi="Cambria Math" w:cs="宋体"/>
                <w:sz w:val="24"/>
                <w:szCs w:val="24"/>
              </w:rPr>
              <m:t>C</m:t>
            </m:r>
            <m:ctrlPr>
              <w:rPr>
                <w:rFonts w:ascii="Cambria Math" w:hAnsi="Cambria Math" w:cs="宋体"/>
                <w:sz w:val="24"/>
                <w:szCs w:val="24"/>
              </w:rPr>
            </m:ctrlPr>
          </m:e>
          <m:sub>
            <m:r>
              <m:rPr>
                <m:sty m:val="p"/>
              </m:rPr>
              <w:rPr>
                <w:rFonts w:ascii="Cambria Math" w:hAnsi="Cambria Math" w:cs="宋体"/>
                <w:sz w:val="24"/>
                <w:szCs w:val="24"/>
              </w:rPr>
              <m:t>re</m:t>
            </m:r>
            <m:ctrlPr>
              <w:rPr>
                <w:rFonts w:ascii="Cambria Math" w:hAnsi="Cambria Math" w:cs="宋体"/>
                <w:sz w:val="24"/>
                <w:szCs w:val="24"/>
              </w:rPr>
            </m:ctrlPr>
          </m:sub>
        </m:sSub>
      </m:oMath>
      <w:r>
        <w:rPr>
          <w:rFonts w:hint="eastAsia" w:cs="宋体"/>
          <w:sz w:val="24"/>
          <w:szCs w:val="24"/>
        </w:rPr>
        <w:t>——可再生能源发电系统减碳量（kgCO</w:t>
      </w:r>
      <w:r>
        <w:rPr>
          <w:rFonts w:hint="eastAsia" w:cs="宋体"/>
          <w:sz w:val="24"/>
          <w:szCs w:val="24"/>
          <w:vertAlign w:val="subscript"/>
        </w:rPr>
        <w:t>2</w:t>
      </w:r>
      <w:r>
        <w:rPr>
          <w:rFonts w:hint="eastAsia" w:cs="宋体"/>
          <w:sz w:val="24"/>
          <w:szCs w:val="24"/>
        </w:rPr>
        <w:t>）；</w:t>
      </w:r>
    </w:p>
    <w:p w14:paraId="500EC29D">
      <w:pPr>
        <w:spacing w:line="360" w:lineRule="auto"/>
        <w:ind w:firstLine="840" w:firstLineChars="350"/>
        <w:jc w:val="left"/>
        <w:rPr>
          <w:rFonts w:cs="宋体"/>
          <w:sz w:val="24"/>
          <w:szCs w:val="24"/>
        </w:rPr>
      </w:pPr>
      <m:oMath>
        <m:sSub>
          <m:sSubPr>
            <m:ctrlPr>
              <w:rPr>
                <w:rFonts w:ascii="Cambria Math" w:hAnsi="Cambria Math" w:cs="宋体"/>
                <w:sz w:val="24"/>
                <w:szCs w:val="24"/>
              </w:rPr>
            </m:ctrlPr>
          </m:sSubPr>
          <m:e>
            <m:r>
              <m:rPr>
                <m:sty m:val="p"/>
              </m:rPr>
              <w:rPr>
                <w:rFonts w:ascii="Cambria Math" w:hAnsi="Cambria Math" w:cs="宋体"/>
                <w:sz w:val="24"/>
                <w:szCs w:val="24"/>
              </w:rPr>
              <m:t>C</m:t>
            </m:r>
            <m:ctrlPr>
              <w:rPr>
                <w:rFonts w:ascii="Cambria Math" w:hAnsi="Cambria Math" w:cs="宋体"/>
                <w:sz w:val="24"/>
                <w:szCs w:val="24"/>
              </w:rPr>
            </m:ctrlPr>
          </m:e>
          <m:sub>
            <m:r>
              <m:rPr>
                <m:sty m:val="p"/>
              </m:rPr>
              <w:rPr>
                <w:rFonts w:ascii="Cambria Math" w:hAnsi="Cambria Math" w:cs="宋体"/>
                <w:sz w:val="24"/>
                <w:szCs w:val="24"/>
              </w:rPr>
              <m:t>gr</m:t>
            </m:r>
            <m:ctrlPr>
              <w:rPr>
                <w:rFonts w:ascii="Cambria Math" w:hAnsi="Cambria Math" w:cs="宋体"/>
                <w:sz w:val="24"/>
                <w:szCs w:val="24"/>
              </w:rPr>
            </m:ctrlPr>
          </m:sub>
        </m:sSub>
      </m:oMath>
      <w:r>
        <w:rPr>
          <w:rFonts w:hint="eastAsia" w:cs="宋体"/>
          <w:sz w:val="24"/>
          <w:szCs w:val="24"/>
        </w:rPr>
        <w:t>——绿地碳汇系统减碳量（kgCO</w:t>
      </w:r>
      <w:r>
        <w:rPr>
          <w:rFonts w:hint="eastAsia" w:cs="宋体"/>
          <w:sz w:val="24"/>
          <w:szCs w:val="24"/>
          <w:vertAlign w:val="subscript"/>
        </w:rPr>
        <w:t>2</w:t>
      </w:r>
      <w:r>
        <w:rPr>
          <w:rFonts w:hint="eastAsia" w:cs="宋体"/>
          <w:sz w:val="24"/>
          <w:szCs w:val="24"/>
        </w:rPr>
        <w:t>）。</w:t>
      </w:r>
    </w:p>
    <w:p w14:paraId="614CDA93">
      <w:pPr>
        <w:spacing w:line="360" w:lineRule="auto"/>
        <w:ind w:firstLine="720" w:firstLineChars="300"/>
        <w:jc w:val="left"/>
        <w:rPr>
          <w:rFonts w:cs="宋体"/>
          <w:sz w:val="24"/>
          <w:szCs w:val="24"/>
        </w:rPr>
      </w:pPr>
      <w:r>
        <w:rPr>
          <w:rFonts w:hint="eastAsia" w:hAnsi="Cambria Math" w:cs="宋体" w:eastAsiaTheme="minorEastAsia"/>
          <w:sz w:val="24"/>
          <w:szCs w:val="24"/>
          <w:lang w:val="en-US" w:eastAsia="zh-CN"/>
        </w:rPr>
        <w:t xml:space="preserve"> </w:t>
      </w:r>
      <m:oMath>
        <m:sSub>
          <m:sSubPr>
            <m:ctrlPr>
              <w:rPr>
                <w:rFonts w:ascii="Cambria Math" w:hAnsi="Cambria Math" w:cs="宋体"/>
                <w:sz w:val="24"/>
                <w:szCs w:val="24"/>
              </w:rPr>
            </m:ctrlPr>
          </m:sSubPr>
          <m:e>
            <m:r>
              <m:rPr>
                <m:sty m:val="p"/>
              </m:rPr>
              <w:rPr>
                <w:rFonts w:ascii="Cambria Math" w:hAnsi="Cambria Math" w:cs="宋体"/>
                <w:sz w:val="24"/>
                <w:szCs w:val="24"/>
              </w:rPr>
              <m:t>E</m:t>
            </m:r>
            <m:ctrlPr>
              <w:rPr>
                <w:rFonts w:ascii="Cambria Math" w:hAnsi="Cambria Math" w:cs="宋体"/>
                <w:sz w:val="24"/>
                <w:szCs w:val="24"/>
              </w:rPr>
            </m:ctrlPr>
          </m:e>
          <m:sub>
            <m:r>
              <m:rPr>
                <m:sty m:val="p"/>
              </m:rPr>
              <w:rPr>
                <w:rFonts w:ascii="Cambria Math" w:hAnsi="Cambria Math" w:cs="宋体"/>
                <w:sz w:val="24"/>
                <w:szCs w:val="24"/>
              </w:rPr>
              <m:t>h</m:t>
            </m:r>
            <m:ctrlPr>
              <w:rPr>
                <w:rFonts w:ascii="Cambria Math" w:hAnsi="Cambria Math" w:cs="宋体"/>
                <w:sz w:val="24"/>
                <w:szCs w:val="24"/>
              </w:rPr>
            </m:ctrlPr>
          </m:sub>
        </m:sSub>
      </m:oMath>
      <w:r>
        <w:rPr>
          <w:rFonts w:hint="eastAsia" w:cs="宋体"/>
          <w:sz w:val="24"/>
          <w:szCs w:val="24"/>
        </w:rPr>
        <w:t>——热源分项年能耗，单位视能源消耗种类而定（若消耗燃气，则单</w:t>
      </w:r>
      <w:r>
        <w:rPr>
          <w:rFonts w:hint="eastAsia" w:cs="宋体"/>
          <w:sz w:val="24"/>
          <w:szCs w:val="24"/>
        </w:rPr>
        <w:tab/>
      </w:r>
      <w:r>
        <w:rPr>
          <w:rFonts w:hint="eastAsia" w:cs="宋体"/>
          <w:sz w:val="24"/>
          <w:szCs w:val="24"/>
        </w:rPr>
        <w:t xml:space="preserve">         位为m³/a；若消耗电力，则单位为kWh/a；若使用市政热力，则</w:t>
      </w:r>
      <w:r>
        <w:rPr>
          <w:rFonts w:hint="eastAsia" w:cs="宋体"/>
          <w:sz w:val="24"/>
          <w:szCs w:val="24"/>
        </w:rPr>
        <w:tab/>
      </w:r>
      <w:r>
        <w:rPr>
          <w:rFonts w:hint="eastAsia" w:cs="宋体"/>
          <w:sz w:val="24"/>
          <w:szCs w:val="24"/>
        </w:rPr>
        <w:t xml:space="preserve">         单位为GJ/a)；</w:t>
      </w:r>
    </w:p>
    <w:p w14:paraId="5C6A1590">
      <w:pPr>
        <w:spacing w:line="360" w:lineRule="auto"/>
        <w:ind w:firstLine="840" w:firstLineChars="350"/>
        <w:jc w:val="left"/>
        <w:rPr>
          <w:rFonts w:cs="宋体"/>
          <w:sz w:val="24"/>
          <w:szCs w:val="24"/>
        </w:rPr>
      </w:pPr>
      <m:oMath>
        <m:sSub>
          <m:sSubPr>
            <m:ctrlPr>
              <w:rPr>
                <w:rFonts w:ascii="Cambria Math" w:hAnsi="Cambria Math" w:cs="宋体"/>
                <w:sz w:val="24"/>
                <w:szCs w:val="24"/>
              </w:rPr>
            </m:ctrlPr>
          </m:sSubPr>
          <m:e>
            <m:r>
              <m:rPr>
                <m:sty m:val="p"/>
              </m:rPr>
              <w:rPr>
                <w:rFonts w:ascii="Cambria Math" w:hAnsi="Cambria Math" w:cs="宋体"/>
                <w:sz w:val="24"/>
                <w:szCs w:val="24"/>
              </w:rPr>
              <m:t>E</m:t>
            </m:r>
            <m:ctrlPr>
              <w:rPr>
                <w:rFonts w:ascii="Cambria Math" w:hAnsi="Cambria Math" w:cs="宋体"/>
                <w:sz w:val="24"/>
                <w:szCs w:val="24"/>
              </w:rPr>
            </m:ctrlPr>
          </m:e>
          <m:sub>
            <m:r>
              <m:rPr>
                <m:sty m:val="p"/>
              </m:rPr>
              <w:rPr>
                <w:rFonts w:ascii="Cambria Math" w:hAnsi="Cambria Math" w:cs="宋体"/>
                <w:sz w:val="24"/>
                <w:szCs w:val="24"/>
              </w:rPr>
              <m:t>c</m:t>
            </m:r>
            <m:ctrlPr>
              <w:rPr>
                <w:rFonts w:ascii="Cambria Math" w:hAnsi="Cambria Math" w:cs="宋体"/>
                <w:sz w:val="24"/>
                <w:szCs w:val="24"/>
              </w:rPr>
            </m:ctrlPr>
          </m:sub>
        </m:sSub>
      </m:oMath>
      <w:r>
        <w:rPr>
          <w:rFonts w:hint="eastAsia" w:cs="宋体"/>
          <w:sz w:val="24"/>
          <w:szCs w:val="24"/>
        </w:rPr>
        <w:t>——冷源分项年能耗，单位视能源消耗种类而定（若消耗燃气，则单</w:t>
      </w:r>
      <w:r>
        <w:rPr>
          <w:rFonts w:hint="eastAsia" w:cs="宋体"/>
          <w:sz w:val="24"/>
          <w:szCs w:val="24"/>
        </w:rPr>
        <w:tab/>
      </w:r>
      <w:r>
        <w:rPr>
          <w:rFonts w:hint="eastAsia" w:cs="宋体"/>
          <w:sz w:val="24"/>
          <w:szCs w:val="24"/>
        </w:rPr>
        <w:t xml:space="preserve">         位为m³/a；若消耗电力，则单位为kWh/a；若使用市政热力，则</w:t>
      </w:r>
      <w:r>
        <w:rPr>
          <w:rFonts w:hint="eastAsia" w:cs="宋体"/>
          <w:sz w:val="24"/>
          <w:szCs w:val="24"/>
        </w:rPr>
        <w:tab/>
      </w:r>
      <w:r>
        <w:rPr>
          <w:rFonts w:hint="eastAsia" w:cs="宋体"/>
          <w:sz w:val="24"/>
          <w:szCs w:val="24"/>
        </w:rPr>
        <w:t xml:space="preserve">         单位为GJ/a)；</w:t>
      </w:r>
    </w:p>
    <w:p w14:paraId="6CCA1F2F">
      <w:pPr>
        <w:spacing w:line="360" w:lineRule="auto"/>
        <w:ind w:firstLine="840" w:firstLineChars="350"/>
        <w:jc w:val="left"/>
        <w:rPr>
          <w:rFonts w:cs="宋体"/>
          <w:sz w:val="24"/>
          <w:szCs w:val="24"/>
        </w:rPr>
      </w:pPr>
      <m:oMath>
        <m:sSub>
          <m:sSubPr>
            <m:ctrlPr>
              <w:rPr>
                <w:rFonts w:ascii="Cambria Math" w:hAnsi="Cambria Math" w:cs="宋体"/>
                <w:sz w:val="24"/>
                <w:szCs w:val="24"/>
              </w:rPr>
            </m:ctrlPr>
          </m:sSubPr>
          <m:e>
            <m:r>
              <m:rPr>
                <m:sty m:val="p"/>
              </m:rPr>
              <w:rPr>
                <w:rFonts w:ascii="Cambria Math" w:hAnsi="Cambria Math" w:cs="宋体"/>
                <w:sz w:val="24"/>
                <w:szCs w:val="24"/>
              </w:rPr>
              <m:t>E</m:t>
            </m:r>
            <m:ctrlPr>
              <w:rPr>
                <w:rFonts w:ascii="Cambria Math" w:hAnsi="Cambria Math" w:cs="宋体"/>
                <w:sz w:val="24"/>
                <w:szCs w:val="24"/>
              </w:rPr>
            </m:ctrlPr>
          </m:e>
          <m:sub>
            <m:r>
              <m:rPr>
                <m:sty m:val="p"/>
              </m:rPr>
              <w:rPr>
                <w:rFonts w:ascii="Cambria Math" w:hAnsi="Cambria Math" w:cs="宋体"/>
                <w:sz w:val="24"/>
                <w:szCs w:val="24"/>
              </w:rPr>
              <m:t>tr</m:t>
            </m:r>
            <m:ctrlPr>
              <w:rPr>
                <w:rFonts w:ascii="Cambria Math" w:hAnsi="Cambria Math" w:cs="宋体"/>
                <w:sz w:val="24"/>
                <w:szCs w:val="24"/>
              </w:rPr>
            </m:ctrlPr>
          </m:sub>
        </m:sSub>
      </m:oMath>
      <w:r>
        <w:rPr>
          <w:rFonts w:hint="eastAsia" w:cs="宋体"/>
          <w:sz w:val="24"/>
          <w:szCs w:val="24"/>
        </w:rPr>
        <w:t>——输配系统的年电力消耗（输配系统包括冷热源循环水泵、冷却</w:t>
      </w:r>
      <w:r>
        <w:rPr>
          <w:rFonts w:hint="eastAsia" w:cs="宋体"/>
          <w:sz w:val="24"/>
          <w:szCs w:val="24"/>
        </w:rPr>
        <w:tab/>
      </w:r>
      <w:r>
        <w:rPr>
          <w:rFonts w:hint="eastAsia" w:cs="宋体"/>
          <w:sz w:val="24"/>
          <w:szCs w:val="24"/>
        </w:rPr>
        <w:t xml:space="preserve">          水泵等输送装置）（kWh/a)；</w:t>
      </w:r>
    </w:p>
    <w:p w14:paraId="211B412B">
      <w:pPr>
        <w:spacing w:line="360" w:lineRule="auto"/>
        <w:ind w:firstLine="840" w:firstLineChars="350"/>
        <w:jc w:val="left"/>
        <w:rPr>
          <w:rFonts w:cs="宋体"/>
          <w:sz w:val="24"/>
          <w:szCs w:val="24"/>
        </w:rPr>
      </w:pPr>
      <m:oMath>
        <m:sSub>
          <m:sSubPr>
            <m:ctrlPr>
              <w:rPr>
                <w:rFonts w:ascii="Cambria Math" w:hAnsi="Cambria Math" w:cs="宋体"/>
                <w:sz w:val="24"/>
                <w:szCs w:val="24"/>
              </w:rPr>
            </m:ctrlPr>
          </m:sSubPr>
          <m:e>
            <m:r>
              <m:rPr>
                <m:sty m:val="p"/>
              </m:rPr>
              <w:rPr>
                <w:rFonts w:ascii="Cambria Math" w:hAnsi="Cambria Math" w:cs="宋体"/>
                <w:sz w:val="24"/>
                <w:szCs w:val="24"/>
              </w:rPr>
              <m:t>E</m:t>
            </m:r>
            <m:ctrlPr>
              <w:rPr>
                <w:rFonts w:ascii="Cambria Math" w:hAnsi="Cambria Math" w:cs="宋体"/>
                <w:sz w:val="24"/>
                <w:szCs w:val="24"/>
              </w:rPr>
            </m:ctrlPr>
          </m:e>
          <m:sub>
            <m:r>
              <m:rPr>
                <m:sty m:val="p"/>
              </m:rPr>
              <w:rPr>
                <w:rFonts w:ascii="Cambria Math" w:hAnsi="Cambria Math" w:cs="宋体"/>
                <w:sz w:val="24"/>
                <w:szCs w:val="24"/>
              </w:rPr>
              <m:t>ter</m:t>
            </m:r>
            <m:ctrlPr>
              <w:rPr>
                <w:rFonts w:ascii="Cambria Math" w:hAnsi="Cambria Math" w:cs="宋体"/>
                <w:sz w:val="24"/>
                <w:szCs w:val="24"/>
              </w:rPr>
            </m:ctrlPr>
          </m:sub>
        </m:sSub>
      </m:oMath>
      <w:r>
        <w:rPr>
          <w:rFonts w:hint="eastAsia" w:cs="宋体"/>
          <w:sz w:val="24"/>
          <w:szCs w:val="24"/>
        </w:rPr>
        <w:t>——末端设备（风机盘管、新风机组、空调机组、室内机等）的年</w:t>
      </w:r>
      <w:r>
        <w:rPr>
          <w:rFonts w:hint="eastAsia" w:cs="宋体"/>
          <w:sz w:val="24"/>
          <w:szCs w:val="24"/>
        </w:rPr>
        <w:tab/>
      </w:r>
      <w:r>
        <w:rPr>
          <w:rFonts w:hint="eastAsia" w:cs="宋体"/>
          <w:sz w:val="24"/>
          <w:szCs w:val="24"/>
        </w:rPr>
        <w:t xml:space="preserve">          电力消耗（kWh/a)；</w:t>
      </w:r>
    </w:p>
    <w:p w14:paraId="2D9FC219">
      <w:pPr>
        <w:spacing w:line="360" w:lineRule="auto"/>
        <w:ind w:firstLine="840" w:firstLineChars="350"/>
        <w:jc w:val="left"/>
        <w:rPr>
          <w:rFonts w:cs="宋体"/>
          <w:sz w:val="24"/>
          <w:szCs w:val="24"/>
        </w:rPr>
      </w:pPr>
      <m:oMath>
        <m:sSub>
          <m:sSubPr>
            <m:ctrlPr>
              <w:rPr>
                <w:rFonts w:ascii="Cambria Math" w:hAnsi="Cambria Math" w:cs="宋体"/>
                <w:sz w:val="24"/>
                <w:szCs w:val="24"/>
              </w:rPr>
            </m:ctrlPr>
          </m:sSubPr>
          <m:e>
            <m:r>
              <m:rPr>
                <m:sty m:val="p"/>
              </m:rPr>
              <w:rPr>
                <w:rFonts w:ascii="Cambria Math" w:hAnsi="Cambria Math" w:cs="宋体"/>
                <w:sz w:val="24"/>
                <w:szCs w:val="24"/>
              </w:rPr>
              <m:t>F</m:t>
            </m:r>
            <m:ctrlPr>
              <w:rPr>
                <w:rFonts w:ascii="Cambria Math" w:hAnsi="Cambria Math" w:cs="宋体"/>
                <w:sz w:val="24"/>
                <w:szCs w:val="24"/>
              </w:rPr>
            </m:ctrlPr>
          </m:e>
          <m:sub>
            <m:r>
              <m:rPr>
                <m:sty m:val="p"/>
              </m:rPr>
              <w:rPr>
                <w:rFonts w:ascii="Cambria Math" w:hAnsi="Cambria Math" w:cs="宋体"/>
                <w:sz w:val="24"/>
                <w:szCs w:val="24"/>
              </w:rPr>
              <m:t>h</m:t>
            </m:r>
            <m:ctrlPr>
              <w:rPr>
                <w:rFonts w:ascii="Cambria Math" w:hAnsi="Cambria Math" w:cs="宋体"/>
                <w:sz w:val="24"/>
                <w:szCs w:val="24"/>
              </w:rPr>
            </m:ctrlPr>
          </m:sub>
        </m:sSub>
      </m:oMath>
      <w:r>
        <w:rPr>
          <w:rFonts w:hint="eastAsia" w:cs="宋体"/>
          <w:sz w:val="24"/>
          <w:szCs w:val="24"/>
        </w:rPr>
        <w:t>——热源消耗能源种类的碳排放因子；</w:t>
      </w:r>
    </w:p>
    <w:p w14:paraId="64E60AC0">
      <w:pPr>
        <w:spacing w:line="360" w:lineRule="auto"/>
        <w:ind w:firstLine="840" w:firstLineChars="350"/>
        <w:jc w:val="left"/>
        <w:rPr>
          <w:rFonts w:cs="宋体"/>
          <w:sz w:val="24"/>
          <w:szCs w:val="24"/>
        </w:rPr>
      </w:pPr>
      <m:oMath>
        <m:sSub>
          <m:sSubPr>
            <m:ctrlPr>
              <w:rPr>
                <w:rFonts w:ascii="Cambria Math" w:hAnsi="Cambria Math" w:cs="宋体"/>
                <w:sz w:val="24"/>
                <w:szCs w:val="24"/>
              </w:rPr>
            </m:ctrlPr>
          </m:sSubPr>
          <m:e>
            <m:r>
              <m:rPr>
                <m:sty m:val="p"/>
              </m:rPr>
              <w:rPr>
                <w:rFonts w:ascii="Cambria Math" w:hAnsi="Cambria Math" w:cs="宋体"/>
                <w:sz w:val="24"/>
                <w:szCs w:val="24"/>
              </w:rPr>
              <m:t>F</m:t>
            </m:r>
            <m:ctrlPr>
              <w:rPr>
                <w:rFonts w:ascii="Cambria Math" w:hAnsi="Cambria Math" w:cs="宋体"/>
                <w:sz w:val="24"/>
                <w:szCs w:val="24"/>
              </w:rPr>
            </m:ctrlPr>
          </m:e>
          <m:sub>
            <m:r>
              <m:rPr>
                <m:sty m:val="p"/>
              </m:rPr>
              <w:rPr>
                <w:rFonts w:ascii="Cambria Math" w:hAnsi="Cambria Math" w:cs="宋体"/>
                <w:sz w:val="24"/>
                <w:szCs w:val="24"/>
              </w:rPr>
              <m:t>c</m:t>
            </m:r>
            <m:ctrlPr>
              <w:rPr>
                <w:rFonts w:ascii="Cambria Math" w:hAnsi="Cambria Math" w:cs="宋体"/>
                <w:sz w:val="24"/>
                <w:szCs w:val="24"/>
              </w:rPr>
            </m:ctrlPr>
          </m:sub>
        </m:sSub>
      </m:oMath>
      <w:r>
        <w:rPr>
          <w:rFonts w:hint="eastAsia" w:cs="宋体"/>
          <w:sz w:val="24"/>
          <w:szCs w:val="24"/>
        </w:rPr>
        <w:t>——冷源消耗能源种类的碳排放因子；</w:t>
      </w:r>
    </w:p>
    <w:p w14:paraId="68376780">
      <w:pPr>
        <w:spacing w:line="360" w:lineRule="auto"/>
        <w:ind w:firstLine="840" w:firstLineChars="350"/>
        <w:jc w:val="left"/>
        <w:rPr>
          <w:rFonts w:cs="宋体"/>
          <w:sz w:val="24"/>
          <w:szCs w:val="24"/>
        </w:rPr>
      </w:pPr>
      <m:oMath>
        <m:sSub>
          <m:sSubPr>
            <m:ctrlPr>
              <w:rPr>
                <w:rFonts w:ascii="Cambria Math" w:hAnsi="Cambria Math" w:cs="宋体"/>
                <w:sz w:val="24"/>
                <w:szCs w:val="24"/>
              </w:rPr>
            </m:ctrlPr>
          </m:sSubPr>
          <m:e>
            <m:r>
              <m:rPr>
                <m:sty m:val="p"/>
              </m:rPr>
              <w:rPr>
                <w:rFonts w:ascii="Cambria Math" w:hAnsi="Cambria Math" w:cs="宋体"/>
                <w:sz w:val="24"/>
                <w:szCs w:val="24"/>
              </w:rPr>
              <m:t>F</m:t>
            </m:r>
            <m:ctrlPr>
              <w:rPr>
                <w:rFonts w:ascii="Cambria Math" w:hAnsi="Cambria Math" w:cs="宋体"/>
                <w:sz w:val="24"/>
                <w:szCs w:val="24"/>
              </w:rPr>
            </m:ctrlPr>
          </m:e>
          <m:sub>
            <m:r>
              <m:rPr>
                <m:sty m:val="p"/>
              </m:rPr>
              <w:rPr>
                <w:rFonts w:ascii="Cambria Math" w:hAnsi="Cambria Math" w:cs="宋体"/>
                <w:sz w:val="24"/>
                <w:szCs w:val="24"/>
              </w:rPr>
              <m:t>e</m:t>
            </m:r>
            <m:ctrlPr>
              <w:rPr>
                <w:rFonts w:ascii="Cambria Math" w:hAnsi="Cambria Math" w:cs="宋体"/>
                <w:sz w:val="24"/>
                <w:szCs w:val="24"/>
              </w:rPr>
            </m:ctrlPr>
          </m:sub>
        </m:sSub>
      </m:oMath>
      <w:r>
        <w:rPr>
          <w:rFonts w:cs="宋体"/>
          <w:sz w:val="24"/>
          <w:szCs w:val="24"/>
        </w:rPr>
        <w:t>——</w:t>
      </w:r>
      <w:bookmarkStart w:id="201" w:name="_Hlk89501985"/>
      <w:r>
        <w:rPr>
          <w:rFonts w:hint="eastAsia" w:cs="宋体"/>
          <w:sz w:val="24"/>
          <w:szCs w:val="24"/>
        </w:rPr>
        <w:t>电网排放因子</w:t>
      </w:r>
      <w:bookmarkEnd w:id="201"/>
      <w:r>
        <w:rPr>
          <w:rFonts w:hint="eastAsia" w:cs="宋体"/>
          <w:sz w:val="24"/>
          <w:szCs w:val="24"/>
        </w:rPr>
        <w:t>；</w:t>
      </w:r>
    </w:p>
    <w:p w14:paraId="308A8E17">
      <w:pPr>
        <w:spacing w:line="360" w:lineRule="auto"/>
        <w:ind w:firstLine="840" w:firstLineChars="350"/>
        <w:jc w:val="left"/>
        <w:rPr>
          <w:rFonts w:cs="宋体"/>
          <w:sz w:val="24"/>
          <w:szCs w:val="24"/>
        </w:rPr>
      </w:pPr>
      <m:oMath>
        <m:sSub>
          <m:sSubPr>
            <m:ctrlPr>
              <w:rPr>
                <w:rFonts w:ascii="Cambria Math" w:hAnsi="Cambria Math" w:cs="宋体"/>
                <w:sz w:val="24"/>
                <w:szCs w:val="24"/>
              </w:rPr>
            </m:ctrlPr>
          </m:sSubPr>
          <m:e>
            <m:r>
              <m:rPr>
                <m:sty m:val="p"/>
              </m:rPr>
              <w:rPr>
                <w:rFonts w:ascii="Cambria Math" w:hAnsi="Cambria Math" w:cs="宋体"/>
                <w:sz w:val="24"/>
                <w:szCs w:val="24"/>
              </w:rPr>
              <m:t>C</m:t>
            </m:r>
            <m:ctrlPr>
              <w:rPr>
                <w:rFonts w:ascii="Cambria Math" w:hAnsi="Cambria Math" w:cs="宋体"/>
                <w:sz w:val="24"/>
                <w:szCs w:val="24"/>
              </w:rPr>
            </m:ctrlPr>
          </m:e>
          <m:sub>
            <m:r>
              <m:rPr>
                <m:sty m:val="p"/>
              </m:rPr>
              <w:rPr>
                <w:rFonts w:ascii="Cambria Math" w:hAnsi="Cambria Math" w:cs="宋体"/>
                <w:sz w:val="24"/>
                <w:szCs w:val="24"/>
              </w:rPr>
              <m:t>r</m:t>
            </m:r>
            <m:ctrlPr>
              <w:rPr>
                <w:rFonts w:ascii="Cambria Math" w:hAnsi="Cambria Math" w:cs="宋体"/>
                <w:sz w:val="24"/>
                <w:szCs w:val="24"/>
              </w:rPr>
            </m:ctrlPr>
          </m:sub>
        </m:sSub>
      </m:oMath>
      <w:r>
        <w:rPr>
          <w:rFonts w:hint="eastAsia" w:cs="宋体"/>
          <w:sz w:val="24"/>
          <w:szCs w:val="24"/>
        </w:rPr>
        <w:t>——制冷剂碳排放（kgCO</w:t>
      </w:r>
      <w:r>
        <w:rPr>
          <w:rFonts w:hint="eastAsia" w:cs="宋体"/>
          <w:sz w:val="24"/>
          <w:szCs w:val="24"/>
          <w:vertAlign w:val="subscript"/>
        </w:rPr>
        <w:t>2</w:t>
      </w:r>
      <w:r>
        <w:rPr>
          <w:rFonts w:hint="eastAsia" w:cs="宋体"/>
          <w:sz w:val="24"/>
          <w:szCs w:val="24"/>
        </w:rPr>
        <w:t>e/a)。</w:t>
      </w:r>
    </w:p>
    <w:p w14:paraId="4E79D41B">
      <w:pPr>
        <w:spacing w:line="360" w:lineRule="auto"/>
        <w:jc w:val="left"/>
        <w:rPr>
          <w:rFonts w:cs="宋体"/>
          <w:sz w:val="24"/>
          <w:szCs w:val="24"/>
        </w:rPr>
      </w:pPr>
      <w:r>
        <w:rPr>
          <w:rFonts w:hint="eastAsia" w:cs="宋体"/>
          <w:sz w:val="24"/>
          <w:szCs w:val="24"/>
        </w:rPr>
        <w:t xml:space="preserve">      </w:t>
      </w:r>
      <w:bookmarkStart w:id="202" w:name="_Hlk103328647"/>
      <w:r>
        <w:rPr>
          <w:rFonts w:hint="eastAsia" w:cs="宋体"/>
          <w:sz w:val="24"/>
          <w:szCs w:val="24"/>
        </w:rPr>
        <w:t xml:space="preserve"> </w:t>
      </w:r>
      <m:oMath>
        <m:sSub>
          <m:sSubPr>
            <m:ctrlPr>
              <w:rPr>
                <w:rFonts w:ascii="Cambria Math" w:hAnsi="Cambria Math" w:cs="宋体"/>
                <w:sz w:val="24"/>
                <w:szCs w:val="24"/>
              </w:rPr>
            </m:ctrlPr>
          </m:sSubPr>
          <m:e>
            <m:r>
              <m:rPr>
                <m:sty m:val="p"/>
              </m:rPr>
              <w:rPr>
                <w:rFonts w:ascii="Cambria Math" w:hAnsi="Cambria Math" w:cs="宋体"/>
                <w:sz w:val="24"/>
                <w:szCs w:val="24"/>
              </w:rPr>
              <m:t>C</m:t>
            </m:r>
            <m:ctrlPr>
              <w:rPr>
                <w:rFonts w:ascii="Cambria Math" w:hAnsi="Cambria Math" w:cs="宋体"/>
                <w:sz w:val="24"/>
                <w:szCs w:val="24"/>
              </w:rPr>
            </m:ctrlPr>
          </m:e>
          <m:sub>
            <m:r>
              <m:rPr>
                <m:sty m:val="p"/>
              </m:rPr>
              <w:rPr>
                <w:rFonts w:ascii="Cambria Math" w:hAnsi="Cambria Math" w:cs="宋体"/>
                <w:sz w:val="24"/>
                <w:szCs w:val="24"/>
              </w:rPr>
              <m:t>zy</m:t>
            </m:r>
            <m:ctrlPr>
              <w:rPr>
                <w:rFonts w:ascii="Cambria Math" w:hAnsi="Cambria Math" w:cs="宋体"/>
                <w:sz w:val="24"/>
                <w:szCs w:val="24"/>
              </w:rPr>
            </m:ctrlPr>
          </m:sub>
        </m:sSub>
      </m:oMath>
      <w:r>
        <w:rPr>
          <w:rFonts w:hint="eastAsia" w:cs="宋体"/>
          <w:sz w:val="24"/>
          <w:szCs w:val="24"/>
        </w:rPr>
        <w:t>——水资源消耗产生的年碳排放</w:t>
      </w:r>
      <w:bookmarkStart w:id="203" w:name="_Hlk89500873"/>
      <w:r>
        <w:rPr>
          <w:rFonts w:hint="eastAsia" w:cs="宋体"/>
          <w:sz w:val="24"/>
          <w:szCs w:val="24"/>
        </w:rPr>
        <w:t>（kgCO</w:t>
      </w:r>
      <w:r>
        <w:rPr>
          <w:rFonts w:hint="eastAsia" w:cs="宋体"/>
          <w:sz w:val="24"/>
          <w:szCs w:val="24"/>
          <w:vertAlign w:val="subscript"/>
        </w:rPr>
        <w:t>2</w:t>
      </w:r>
      <w:r>
        <w:rPr>
          <w:rFonts w:hint="eastAsia" w:cs="宋体"/>
          <w:sz w:val="24"/>
          <w:szCs w:val="24"/>
        </w:rPr>
        <w:t>)；</w:t>
      </w:r>
      <w:bookmarkEnd w:id="203"/>
    </w:p>
    <w:bookmarkEnd w:id="202"/>
    <w:p w14:paraId="32CB0226">
      <w:pPr>
        <w:spacing w:line="360" w:lineRule="auto"/>
        <w:ind w:firstLine="840" w:firstLineChars="350"/>
        <w:jc w:val="left"/>
        <w:rPr>
          <w:rFonts w:cs="宋体"/>
          <w:sz w:val="24"/>
          <w:szCs w:val="24"/>
        </w:rPr>
      </w:pPr>
      <m:oMath>
        <m:sSub>
          <m:sSubPr>
            <m:ctrlPr>
              <w:rPr>
                <w:rFonts w:ascii="Cambria Math" w:hAnsi="Cambria Math" w:cs="宋体"/>
                <w:sz w:val="24"/>
                <w:szCs w:val="24"/>
              </w:rPr>
            </m:ctrlPr>
          </m:sSubPr>
          <m:e>
            <m:r>
              <m:rPr>
                <m:sty m:val="p"/>
              </m:rPr>
              <w:rPr>
                <w:rFonts w:ascii="Cambria Math" w:hAnsi="Cambria Math" w:cs="宋体"/>
                <w:sz w:val="24"/>
                <w:szCs w:val="24"/>
              </w:rPr>
              <m:t>C</m:t>
            </m:r>
            <m:ctrlPr>
              <w:rPr>
                <w:rFonts w:ascii="Cambria Math" w:hAnsi="Cambria Math" w:cs="宋体"/>
                <w:sz w:val="24"/>
                <w:szCs w:val="24"/>
              </w:rPr>
            </m:ctrlPr>
          </m:e>
          <m:sub>
            <m:r>
              <m:rPr>
                <m:sty m:val="p"/>
              </m:rPr>
              <w:rPr>
                <w:rFonts w:ascii="Cambria Math" w:hAnsi="Cambria Math" w:cs="宋体"/>
                <w:sz w:val="24"/>
                <w:szCs w:val="24"/>
              </w:rPr>
              <m:t>dl</m:t>
            </m:r>
            <m:ctrlPr>
              <w:rPr>
                <w:rFonts w:ascii="Cambria Math" w:hAnsi="Cambria Math" w:cs="宋体"/>
                <w:sz w:val="24"/>
                <w:szCs w:val="24"/>
              </w:rPr>
            </m:ctrlPr>
          </m:sub>
        </m:sSub>
      </m:oMath>
      <w:r>
        <w:rPr>
          <w:rFonts w:hint="eastAsia" w:cs="宋体"/>
          <w:sz w:val="24"/>
          <w:szCs w:val="24"/>
        </w:rPr>
        <w:t>——水系统动力消耗所产生的年碳排放（kgCO</w:t>
      </w:r>
      <w:r>
        <w:rPr>
          <w:rFonts w:hint="eastAsia" w:cs="宋体"/>
          <w:sz w:val="24"/>
          <w:szCs w:val="24"/>
          <w:vertAlign w:val="subscript"/>
        </w:rPr>
        <w:t>2</w:t>
      </w:r>
      <w:r>
        <w:rPr>
          <w:rFonts w:hint="eastAsia" w:cs="宋体"/>
          <w:sz w:val="24"/>
          <w:szCs w:val="24"/>
        </w:rPr>
        <w:t xml:space="preserve">)； </w:t>
      </w:r>
    </w:p>
    <w:p w14:paraId="311E4CB0">
      <w:pPr>
        <w:spacing w:line="360" w:lineRule="auto"/>
        <w:ind w:firstLine="840" w:firstLineChars="350"/>
        <w:jc w:val="left"/>
        <w:rPr>
          <w:rFonts w:cs="宋体"/>
          <w:sz w:val="24"/>
          <w:szCs w:val="24"/>
        </w:rPr>
      </w:pPr>
      <w:bookmarkStart w:id="204" w:name="_Hlk103328783"/>
      <m:oMath>
        <m:sSub>
          <m:sSubPr>
            <m:ctrlPr>
              <w:rPr>
                <w:rFonts w:ascii="Cambria Math" w:hAnsi="Cambria Math" w:cs="宋体"/>
                <w:sz w:val="24"/>
                <w:szCs w:val="24"/>
              </w:rPr>
            </m:ctrlPr>
          </m:sSubPr>
          <m:e>
            <m:r>
              <m:rPr>
                <m:sty m:val="p"/>
              </m:rPr>
              <w:rPr>
                <w:rFonts w:ascii="Cambria Math" w:hAnsi="Cambria Math" w:cs="宋体"/>
                <w:sz w:val="24"/>
                <w:szCs w:val="24"/>
              </w:rPr>
              <m:t>C</m:t>
            </m:r>
            <m:ctrlPr>
              <w:rPr>
                <w:rFonts w:ascii="Cambria Math" w:hAnsi="Cambria Math" w:cs="宋体"/>
                <w:sz w:val="24"/>
                <w:szCs w:val="24"/>
              </w:rPr>
            </m:ctrlPr>
          </m:e>
          <m:sub>
            <m:r>
              <m:rPr>
                <m:sty m:val="p"/>
              </m:rPr>
              <w:rPr>
                <w:rFonts w:ascii="Cambria Math" w:hAnsi="Cambria Math" w:cs="宋体"/>
                <w:sz w:val="24"/>
                <w:szCs w:val="24"/>
              </w:rPr>
              <m:t>jr</m:t>
            </m:r>
            <m:ctrlPr>
              <w:rPr>
                <w:rFonts w:ascii="Cambria Math" w:hAnsi="Cambria Math" w:cs="宋体"/>
                <w:sz w:val="24"/>
                <w:szCs w:val="24"/>
              </w:rPr>
            </m:ctrlPr>
          </m:sub>
        </m:sSub>
      </m:oMath>
      <w:r>
        <w:rPr>
          <w:rFonts w:hint="eastAsia" w:cs="宋体"/>
          <w:sz w:val="24"/>
          <w:szCs w:val="24"/>
        </w:rPr>
        <w:t>——生活热水热源消耗产生的碳排放（kgCO</w:t>
      </w:r>
      <w:r>
        <w:rPr>
          <w:rFonts w:hint="eastAsia" w:cs="宋体"/>
          <w:sz w:val="24"/>
          <w:szCs w:val="24"/>
          <w:vertAlign w:val="subscript"/>
        </w:rPr>
        <w:t>2</w:t>
      </w:r>
      <w:r>
        <w:rPr>
          <w:rFonts w:hint="eastAsia" w:cs="宋体"/>
          <w:sz w:val="24"/>
          <w:szCs w:val="24"/>
        </w:rPr>
        <w:t>)；</w:t>
      </w:r>
    </w:p>
    <w:bookmarkEnd w:id="204"/>
    <w:p w14:paraId="7270D074">
      <w:pPr>
        <w:spacing w:line="360" w:lineRule="auto"/>
        <w:ind w:firstLine="840" w:firstLineChars="350"/>
        <w:jc w:val="left"/>
        <w:rPr>
          <w:rFonts w:cs="宋体"/>
          <w:sz w:val="24"/>
          <w:szCs w:val="24"/>
        </w:rPr>
      </w:pPr>
      <m:oMath>
        <m:sSub>
          <m:sSubPr>
            <m:ctrlPr>
              <w:rPr>
                <w:rFonts w:ascii="Cambria Math" w:hAnsi="Cambria Math" w:cs="宋体"/>
                <w:sz w:val="24"/>
                <w:szCs w:val="24"/>
              </w:rPr>
            </m:ctrlPr>
          </m:sSubPr>
          <m:e>
            <m:r>
              <m:rPr>
                <m:sty m:val="p"/>
              </m:rPr>
              <w:rPr>
                <w:rFonts w:ascii="Cambria Math" w:hAnsi="Cambria Math" w:cs="宋体"/>
                <w:sz w:val="24"/>
                <w:szCs w:val="24"/>
              </w:rPr>
              <m:t>C</m:t>
            </m:r>
            <m:ctrlPr>
              <w:rPr>
                <w:rFonts w:ascii="Cambria Math" w:hAnsi="Cambria Math" w:cs="宋体"/>
                <w:sz w:val="24"/>
                <w:szCs w:val="24"/>
              </w:rPr>
            </m:ctrlPr>
          </m:e>
          <m:sub>
            <m:r>
              <m:rPr>
                <m:sty m:val="p"/>
              </m:rPr>
              <w:rPr>
                <w:rFonts w:ascii="Cambria Math" w:hAnsi="Cambria Math" w:cs="宋体"/>
                <w:sz w:val="24"/>
                <w:szCs w:val="24"/>
              </w:rPr>
              <m:t>cl</m:t>
            </m:r>
            <m:ctrlPr>
              <w:rPr>
                <w:rFonts w:ascii="Cambria Math" w:hAnsi="Cambria Math" w:cs="宋体"/>
                <w:sz w:val="24"/>
                <w:szCs w:val="24"/>
              </w:rPr>
            </m:ctrlPr>
          </m:sub>
        </m:sSub>
      </m:oMath>
      <w:r>
        <w:rPr>
          <w:rFonts w:hint="eastAsia" w:cs="宋体"/>
          <w:sz w:val="24"/>
          <w:szCs w:val="24"/>
        </w:rPr>
        <w:t>——水处理产生的年碳排放（kgCO</w:t>
      </w:r>
      <w:r>
        <w:rPr>
          <w:rFonts w:hint="eastAsia" w:cs="宋体"/>
          <w:sz w:val="24"/>
          <w:szCs w:val="24"/>
          <w:vertAlign w:val="subscript"/>
        </w:rPr>
        <w:t>2</w:t>
      </w:r>
      <w:r>
        <w:rPr>
          <w:rFonts w:hint="eastAsia" w:cs="宋体"/>
          <w:sz w:val="24"/>
          <w:szCs w:val="24"/>
        </w:rPr>
        <w:t>)。</w:t>
      </w:r>
    </w:p>
    <w:p w14:paraId="6CF9EE25">
      <w:pPr>
        <w:spacing w:line="360" w:lineRule="auto"/>
        <w:jc w:val="left"/>
        <w:rPr>
          <w:rFonts w:cs="宋体"/>
          <w:sz w:val="24"/>
          <w:szCs w:val="24"/>
        </w:rPr>
      </w:pPr>
      <w:r>
        <w:rPr>
          <w:rFonts w:hint="eastAsia" w:cs="宋体"/>
          <w:sz w:val="24"/>
          <w:szCs w:val="24"/>
        </w:rPr>
        <w:t xml:space="preserve">      </w:t>
      </w:r>
      <w:bookmarkStart w:id="205" w:name="_Hlk90627167"/>
      <w:bookmarkStart w:id="206" w:name="_Hlk102981335"/>
      <w:r>
        <w:rPr>
          <w:rFonts w:hint="eastAsia" w:cs="宋体"/>
          <w:sz w:val="24"/>
          <w:szCs w:val="24"/>
        </w:rPr>
        <w:t xml:space="preserve"> </w:t>
      </w:r>
      <m:oMath>
        <m:sSub>
          <m:sSubPr>
            <m:ctrlPr>
              <w:rPr>
                <w:rFonts w:ascii="Cambria Math" w:hAnsi="Cambria Math" w:cs="宋体"/>
                <w:sz w:val="24"/>
                <w:szCs w:val="24"/>
              </w:rPr>
            </m:ctrlPr>
          </m:sSubPr>
          <m:e>
            <m:r>
              <m:rPr>
                <m:sty m:val="p"/>
              </m:rPr>
              <w:rPr>
                <w:rFonts w:ascii="Cambria Math" w:hAnsi="Cambria Math" w:cs="宋体"/>
                <w:sz w:val="24"/>
                <w:szCs w:val="24"/>
              </w:rPr>
              <m:t>E</m:t>
            </m:r>
            <m:ctrlPr>
              <w:rPr>
                <w:rFonts w:ascii="Cambria Math" w:hAnsi="Cambria Math" w:cs="宋体"/>
                <w:sz w:val="24"/>
                <w:szCs w:val="24"/>
              </w:rPr>
            </m:ctrlPr>
          </m:e>
          <m:sub>
            <m:r>
              <m:rPr>
                <m:sty m:val="p"/>
              </m:rPr>
              <w:rPr>
                <w:rFonts w:ascii="Cambria Math" w:hAnsi="Cambria Math" w:cs="宋体"/>
                <w:sz w:val="24"/>
                <w:szCs w:val="24"/>
              </w:rPr>
              <m:t>zm</m:t>
            </m:r>
            <m:ctrlPr>
              <w:rPr>
                <w:rFonts w:ascii="Cambria Math" w:hAnsi="Cambria Math" w:cs="宋体"/>
                <w:sz w:val="24"/>
                <w:szCs w:val="24"/>
              </w:rPr>
            </m:ctrlPr>
          </m:sub>
        </m:sSub>
      </m:oMath>
      <w:r>
        <w:rPr>
          <w:rFonts w:hint="eastAsia" w:cs="宋体"/>
          <w:sz w:val="24"/>
          <w:szCs w:val="24"/>
        </w:rPr>
        <w:t>——照明系统耗电量（kWh)；</w:t>
      </w:r>
      <w:bookmarkEnd w:id="205"/>
    </w:p>
    <w:p w14:paraId="4B31F2F5">
      <w:pPr>
        <w:spacing w:line="360" w:lineRule="auto"/>
        <w:ind w:firstLine="840" w:firstLineChars="350"/>
        <w:jc w:val="left"/>
        <w:rPr>
          <w:rFonts w:cs="宋体"/>
          <w:sz w:val="24"/>
          <w:szCs w:val="24"/>
        </w:rPr>
      </w:pPr>
      <m:oMath>
        <m:sSub>
          <m:sSubPr>
            <m:ctrlPr>
              <w:rPr>
                <w:rFonts w:ascii="Cambria Math" w:hAnsi="Cambria Math" w:cs="宋体"/>
                <w:sz w:val="24"/>
                <w:szCs w:val="24"/>
              </w:rPr>
            </m:ctrlPr>
          </m:sSubPr>
          <m:e>
            <m:r>
              <m:rPr>
                <m:sty m:val="p"/>
              </m:rPr>
              <w:rPr>
                <w:rFonts w:ascii="Cambria Math" w:hAnsi="Cambria Math" w:cs="宋体"/>
                <w:sz w:val="24"/>
                <w:szCs w:val="24"/>
              </w:rPr>
              <m:t>E</m:t>
            </m:r>
            <m:ctrlPr>
              <w:rPr>
                <w:rFonts w:ascii="Cambria Math" w:hAnsi="Cambria Math" w:cs="宋体"/>
                <w:sz w:val="24"/>
                <w:szCs w:val="24"/>
              </w:rPr>
            </m:ctrlPr>
          </m:e>
          <m:sub>
            <m:r>
              <m:rPr>
                <m:sty m:val="p"/>
              </m:rPr>
              <w:rPr>
                <w:rFonts w:ascii="Cambria Math" w:hAnsi="Cambria Math" w:cs="宋体"/>
                <w:sz w:val="24"/>
                <w:szCs w:val="24"/>
              </w:rPr>
              <m:t>qd</m:t>
            </m:r>
            <m:ctrlPr>
              <w:rPr>
                <w:rFonts w:ascii="Cambria Math" w:hAnsi="Cambria Math" w:cs="宋体"/>
                <w:sz w:val="24"/>
                <w:szCs w:val="24"/>
              </w:rPr>
            </m:ctrlPr>
          </m:sub>
        </m:sSub>
      </m:oMath>
      <w:r>
        <w:rPr>
          <w:rFonts w:cs="宋体"/>
          <w:sz w:val="24"/>
          <w:szCs w:val="24"/>
        </w:rPr>
        <w:t>——</w:t>
      </w:r>
      <w:bookmarkStart w:id="207" w:name="_Hlk89502994"/>
      <w:r>
        <w:rPr>
          <w:rFonts w:hint="eastAsia" w:cs="宋体"/>
          <w:sz w:val="24"/>
          <w:szCs w:val="24"/>
        </w:rPr>
        <w:t>强电系统年耗电量（kWh)；</w:t>
      </w:r>
      <w:bookmarkEnd w:id="207"/>
    </w:p>
    <w:p w14:paraId="56428209">
      <w:pPr>
        <w:spacing w:line="360" w:lineRule="auto"/>
        <w:ind w:firstLine="840" w:firstLineChars="350"/>
        <w:jc w:val="left"/>
        <w:rPr>
          <w:rFonts w:cs="宋体"/>
          <w:sz w:val="24"/>
          <w:szCs w:val="24"/>
        </w:rPr>
      </w:pPr>
      <m:oMath>
        <m:sSub>
          <m:sSubPr>
            <m:ctrlPr>
              <w:rPr>
                <w:rFonts w:ascii="Cambria Math" w:hAnsi="Cambria Math" w:cs="宋体"/>
                <w:sz w:val="24"/>
                <w:szCs w:val="24"/>
              </w:rPr>
            </m:ctrlPr>
          </m:sSubPr>
          <m:e>
            <m:r>
              <m:rPr>
                <m:sty m:val="p"/>
              </m:rPr>
              <w:rPr>
                <w:rFonts w:ascii="Cambria Math" w:hAnsi="Cambria Math" w:cs="宋体"/>
                <w:sz w:val="24"/>
                <w:szCs w:val="24"/>
              </w:rPr>
              <m:t>E</m:t>
            </m:r>
            <m:ctrlPr>
              <w:rPr>
                <w:rFonts w:ascii="Cambria Math" w:hAnsi="Cambria Math" w:cs="宋体"/>
                <w:sz w:val="24"/>
                <w:szCs w:val="24"/>
              </w:rPr>
            </m:ctrlPr>
          </m:e>
          <m:sub>
            <m:r>
              <m:rPr>
                <m:sty m:val="p"/>
              </m:rPr>
              <w:rPr>
                <w:rFonts w:ascii="Cambria Math" w:hAnsi="Cambria Math" w:cs="宋体"/>
                <w:sz w:val="24"/>
                <w:szCs w:val="24"/>
              </w:rPr>
              <m:t>rd</m:t>
            </m:r>
            <m:ctrlPr>
              <w:rPr>
                <w:rFonts w:ascii="Cambria Math" w:hAnsi="Cambria Math" w:cs="宋体"/>
                <w:sz w:val="24"/>
                <w:szCs w:val="24"/>
              </w:rPr>
            </m:ctrlPr>
          </m:sub>
        </m:sSub>
      </m:oMath>
      <w:r>
        <w:rPr>
          <w:rFonts w:hint="eastAsia" w:cs="宋体"/>
          <w:sz w:val="24"/>
          <w:szCs w:val="24"/>
        </w:rPr>
        <w:t>——弱电系统年耗电量（kWh)。</w:t>
      </w:r>
    </w:p>
    <w:bookmarkEnd w:id="206"/>
    <w:p w14:paraId="508375BA">
      <w:pPr>
        <w:spacing w:line="360" w:lineRule="auto"/>
        <w:jc w:val="left"/>
        <w:rPr>
          <w:rFonts w:cs="宋体"/>
          <w:sz w:val="24"/>
          <w:szCs w:val="24"/>
        </w:rPr>
      </w:pPr>
      <w:r>
        <w:rPr>
          <w:rFonts w:hint="eastAsia" w:cs="宋体"/>
          <w:sz w:val="24"/>
          <w:szCs w:val="24"/>
        </w:rPr>
        <w:t xml:space="preserve">      </w:t>
      </w:r>
      <w:bookmarkStart w:id="208" w:name="_Hlk104703719"/>
      <w:r>
        <w:rPr>
          <w:rFonts w:hint="eastAsia" w:cs="宋体"/>
          <w:sz w:val="24"/>
          <w:szCs w:val="24"/>
        </w:rPr>
        <w:t xml:space="preserve"> </w:t>
      </w:r>
      <m:oMath>
        <m:sSub>
          <m:sSubPr>
            <m:ctrlPr>
              <w:rPr>
                <w:rFonts w:ascii="Cambria Math" w:hAnsi="Cambria Math" w:cs="宋体"/>
                <w:sz w:val="24"/>
                <w:szCs w:val="24"/>
              </w:rPr>
            </m:ctrlPr>
          </m:sSubPr>
          <m:e>
            <m:r>
              <m:rPr>
                <m:sty m:val="p"/>
              </m:rPr>
              <w:rPr>
                <w:rFonts w:ascii="Cambria Math" w:hAnsi="Cambria Math" w:cs="宋体"/>
                <w:sz w:val="24"/>
                <w:szCs w:val="24"/>
              </w:rPr>
              <m:t>E</m:t>
            </m:r>
            <m:ctrlPr>
              <w:rPr>
                <w:rFonts w:ascii="Cambria Math" w:hAnsi="Cambria Math" w:cs="宋体"/>
                <w:sz w:val="24"/>
                <w:szCs w:val="24"/>
              </w:rPr>
            </m:ctrlPr>
          </m:e>
          <m:sub>
            <m:r>
              <m:rPr>
                <m:sty m:val="p"/>
              </m:rPr>
              <w:rPr>
                <w:rFonts w:ascii="Cambria Math" w:hAnsi="Cambria Math" w:cs="宋体"/>
                <w:sz w:val="24"/>
                <w:szCs w:val="24"/>
              </w:rPr>
              <m:t>c</m:t>
            </m:r>
            <m:ctrlPr>
              <w:rPr>
                <w:rFonts w:ascii="Cambria Math" w:hAnsi="Cambria Math" w:cs="宋体"/>
                <w:sz w:val="24"/>
                <w:szCs w:val="24"/>
              </w:rPr>
            </m:ctrlPr>
          </m:sub>
        </m:sSub>
      </m:oMath>
      <w:r>
        <w:rPr>
          <w:rFonts w:cs="宋体"/>
          <w:sz w:val="24"/>
          <w:szCs w:val="24"/>
        </w:rPr>
        <w:t>——</w:t>
      </w:r>
      <w:bookmarkEnd w:id="208"/>
      <w:r>
        <w:rPr>
          <w:rFonts w:hint="eastAsia" w:cs="宋体"/>
          <w:sz w:val="24"/>
          <w:szCs w:val="24"/>
        </w:rPr>
        <w:t>灶具能源年消耗量，包括天然气、液化石油气、生物质能等；</w:t>
      </w:r>
    </w:p>
    <w:p w14:paraId="5E482DF8">
      <w:pPr>
        <w:spacing w:line="360" w:lineRule="auto"/>
        <w:ind w:firstLine="840" w:firstLineChars="350"/>
        <w:jc w:val="left"/>
        <w:rPr>
          <w:rFonts w:cs="宋体"/>
          <w:sz w:val="24"/>
          <w:szCs w:val="24"/>
        </w:rPr>
      </w:pPr>
      <w:bookmarkStart w:id="209" w:name="_Hlk103329842"/>
      <m:oMath>
        <m:sSub>
          <m:sSubPr>
            <m:ctrlPr>
              <w:rPr>
                <w:rFonts w:ascii="Cambria Math" w:hAnsi="Cambria Math" w:cs="宋体"/>
                <w:sz w:val="24"/>
                <w:szCs w:val="24"/>
              </w:rPr>
            </m:ctrlPr>
          </m:sSubPr>
          <m:e>
            <m:r>
              <m:rPr>
                <m:sty m:val="p"/>
              </m:rPr>
              <w:rPr>
                <w:rFonts w:ascii="Cambria Math" w:hAnsi="Cambria Math" w:cs="宋体"/>
                <w:sz w:val="24"/>
                <w:szCs w:val="24"/>
              </w:rPr>
              <m:t>F</m:t>
            </m:r>
            <m:ctrlPr>
              <w:rPr>
                <w:rFonts w:ascii="Cambria Math" w:hAnsi="Cambria Math" w:cs="宋体"/>
                <w:sz w:val="24"/>
                <w:szCs w:val="24"/>
              </w:rPr>
            </m:ctrlPr>
          </m:e>
          <m:sub>
            <m:r>
              <m:rPr>
                <m:sty m:val="p"/>
              </m:rPr>
              <w:rPr>
                <w:rFonts w:ascii="Cambria Math" w:hAnsi="Cambria Math" w:cs="宋体"/>
                <w:sz w:val="24"/>
                <w:szCs w:val="24"/>
              </w:rPr>
              <m:t>c</m:t>
            </m:r>
            <m:ctrlPr>
              <w:rPr>
                <w:rFonts w:ascii="Cambria Math" w:hAnsi="Cambria Math" w:cs="宋体"/>
                <w:sz w:val="24"/>
                <w:szCs w:val="24"/>
              </w:rPr>
            </m:ctrlPr>
          </m:sub>
        </m:sSub>
      </m:oMath>
      <w:r>
        <w:rPr>
          <w:rFonts w:cs="宋体"/>
          <w:sz w:val="24"/>
          <w:szCs w:val="24"/>
        </w:rPr>
        <w:t>——</w:t>
      </w:r>
      <w:bookmarkEnd w:id="209"/>
      <w:r>
        <w:rPr>
          <w:rFonts w:hint="eastAsia" w:cs="宋体"/>
          <w:sz w:val="24"/>
          <w:szCs w:val="24"/>
        </w:rPr>
        <w:t>能源碳排放因子。</w:t>
      </w:r>
    </w:p>
    <w:p w14:paraId="1218754A">
      <w:pPr>
        <w:spacing w:line="360" w:lineRule="auto"/>
        <w:jc w:val="left"/>
        <w:rPr>
          <w:rFonts w:cs="宋体"/>
          <w:sz w:val="24"/>
          <w:szCs w:val="24"/>
        </w:rPr>
      </w:pPr>
      <w:r>
        <w:rPr>
          <w:rFonts w:hint="eastAsia" w:cs="宋体"/>
          <w:sz w:val="24"/>
          <w:szCs w:val="24"/>
        </w:rPr>
        <w:t xml:space="preserve">       </w:t>
      </w:r>
      <m:oMath>
        <m:sSub>
          <m:sSubPr>
            <m:ctrlPr>
              <w:rPr>
                <w:rFonts w:ascii="Cambria Math" w:hAnsi="Cambria Math" w:cs="宋体"/>
                <w:sz w:val="24"/>
                <w:szCs w:val="24"/>
              </w:rPr>
            </m:ctrlPr>
          </m:sSubPr>
          <m:e>
            <m:r>
              <m:rPr>
                <m:sty m:val="p"/>
              </m:rPr>
              <w:rPr>
                <w:rFonts w:ascii="Cambria Math" w:hAnsi="Cambria Math" w:cs="宋体"/>
                <w:sz w:val="24"/>
                <w:szCs w:val="24"/>
              </w:rPr>
              <m:t>E</m:t>
            </m:r>
            <m:ctrlPr>
              <w:rPr>
                <w:rFonts w:ascii="Cambria Math" w:hAnsi="Cambria Math" w:cs="宋体"/>
                <w:sz w:val="24"/>
                <w:szCs w:val="24"/>
              </w:rPr>
            </m:ctrlPr>
          </m:e>
          <m:sub>
            <m:r>
              <m:rPr>
                <m:sty m:val="p"/>
              </m:rPr>
              <w:rPr>
                <w:rFonts w:ascii="Cambria Math" w:hAnsi="Cambria Math" w:cs="宋体"/>
                <w:sz w:val="24"/>
                <w:szCs w:val="24"/>
              </w:rPr>
              <m:t>i</m:t>
            </m:r>
            <m:ctrlPr>
              <w:rPr>
                <w:rFonts w:ascii="Cambria Math" w:hAnsi="Cambria Math" w:cs="宋体"/>
                <w:sz w:val="24"/>
                <w:szCs w:val="24"/>
              </w:rPr>
            </m:ctrlPr>
          </m:sub>
        </m:sSub>
      </m:oMath>
      <w:r>
        <w:rPr>
          <w:rFonts w:hint="eastAsia" w:cs="宋体"/>
          <w:sz w:val="24"/>
          <w:szCs w:val="24"/>
        </w:rPr>
        <w:t>——第i种可再生能源发电量（kWh)。</w:t>
      </w:r>
    </w:p>
    <w:p w14:paraId="4F584477">
      <w:pPr>
        <w:spacing w:line="360" w:lineRule="auto"/>
        <w:jc w:val="left"/>
        <w:rPr>
          <w:rFonts w:cs="宋体"/>
          <w:sz w:val="24"/>
          <w:szCs w:val="24"/>
        </w:rPr>
      </w:pPr>
      <w:r>
        <w:rPr>
          <w:rFonts w:hint="eastAsia" w:cs="宋体"/>
          <w:sz w:val="24"/>
          <w:szCs w:val="24"/>
        </w:rPr>
        <w:t xml:space="preserve">       </w:t>
      </w:r>
      <m:oMath>
        <m:sSub>
          <m:sSubPr>
            <m:ctrlPr>
              <w:rPr>
                <w:rFonts w:ascii="Cambria Math" w:hAnsi="Cambria Math" w:cs="宋体"/>
                <w:sz w:val="24"/>
                <w:szCs w:val="24"/>
              </w:rPr>
            </m:ctrlPr>
          </m:sSubPr>
          <m:e>
            <m:r>
              <m:rPr>
                <m:sty m:val="p"/>
              </m:rPr>
              <w:rPr>
                <w:rFonts w:ascii="Cambria Math" w:hAnsi="Cambria Math" w:cs="宋体"/>
                <w:sz w:val="24"/>
                <w:szCs w:val="24"/>
              </w:rPr>
              <m:t>G</m:t>
            </m:r>
            <m:ctrlPr>
              <w:rPr>
                <w:rFonts w:ascii="Cambria Math" w:hAnsi="Cambria Math" w:cs="宋体"/>
                <w:sz w:val="24"/>
                <w:szCs w:val="24"/>
              </w:rPr>
            </m:ctrlPr>
          </m:e>
          <m:sub>
            <m:r>
              <m:rPr>
                <m:sty m:val="p"/>
              </m:rPr>
              <w:rPr>
                <w:rFonts w:ascii="Cambria Math" w:hAnsi="Cambria Math" w:cs="宋体"/>
                <w:sz w:val="24"/>
                <w:szCs w:val="24"/>
              </w:rPr>
              <m:t>c</m:t>
            </m:r>
            <m:ctrlPr>
              <w:rPr>
                <w:rFonts w:ascii="Cambria Math" w:hAnsi="Cambria Math" w:cs="宋体"/>
                <w:sz w:val="24"/>
                <w:szCs w:val="24"/>
              </w:rPr>
            </m:ctrlPr>
          </m:sub>
        </m:sSub>
      </m:oMath>
      <w:r>
        <w:rPr>
          <w:rFonts w:hint="eastAsia" w:cs="宋体"/>
          <w:sz w:val="24"/>
          <w:szCs w:val="24"/>
        </w:rPr>
        <w:t>——第i种绿植种类固碳系数；</w:t>
      </w:r>
    </w:p>
    <w:p w14:paraId="084765FF">
      <w:pPr>
        <w:spacing w:line="360" w:lineRule="auto"/>
        <w:ind w:firstLine="840" w:firstLineChars="350"/>
        <w:jc w:val="left"/>
        <w:rPr>
          <w:rFonts w:cs="宋体"/>
          <w:sz w:val="24"/>
          <w:szCs w:val="24"/>
        </w:rPr>
      </w:pPr>
      <m:oMath>
        <m:sSub>
          <m:sSubPr>
            <m:ctrlPr>
              <w:rPr>
                <w:rFonts w:ascii="Cambria Math" w:hAnsi="Cambria Math" w:cs="宋体"/>
                <w:sz w:val="24"/>
                <w:szCs w:val="24"/>
              </w:rPr>
            </m:ctrlPr>
          </m:sSubPr>
          <m:e>
            <m:r>
              <m:rPr>
                <m:sty m:val="p"/>
              </m:rPr>
              <w:rPr>
                <w:rFonts w:ascii="Cambria Math" w:hAnsi="Cambria Math" w:cs="宋体"/>
                <w:sz w:val="24"/>
                <w:szCs w:val="24"/>
              </w:rPr>
              <m:t>A</m:t>
            </m:r>
            <m:ctrlPr>
              <w:rPr>
                <w:rFonts w:ascii="Cambria Math" w:hAnsi="Cambria Math" w:cs="宋体"/>
                <w:sz w:val="24"/>
                <w:szCs w:val="24"/>
              </w:rPr>
            </m:ctrlPr>
          </m:e>
          <m:sub>
            <m:r>
              <m:rPr>
                <m:sty m:val="p"/>
              </m:rPr>
              <w:rPr>
                <w:rFonts w:ascii="Cambria Math" w:hAnsi="Cambria Math" w:cs="宋体"/>
                <w:sz w:val="24"/>
                <w:szCs w:val="24"/>
              </w:rPr>
              <m:t>g</m:t>
            </m:r>
            <m:ctrlPr>
              <w:rPr>
                <w:rFonts w:ascii="Cambria Math" w:hAnsi="Cambria Math" w:cs="宋体"/>
                <w:sz w:val="24"/>
                <w:szCs w:val="24"/>
              </w:rPr>
            </m:ctrlPr>
          </m:sub>
        </m:sSub>
      </m:oMath>
      <w:r>
        <w:rPr>
          <w:rFonts w:hint="eastAsia" w:cs="宋体"/>
          <w:sz w:val="24"/>
          <w:szCs w:val="24"/>
        </w:rPr>
        <w:t>——第i种植被种植面积（</w:t>
      </w:r>
      <w:r>
        <w:rPr>
          <w:rFonts w:cs="宋体"/>
          <w:sz w:val="24"/>
          <w:szCs w:val="24"/>
        </w:rPr>
        <w:t>m</w:t>
      </w:r>
      <w:r>
        <w:rPr>
          <w:rFonts w:cs="宋体"/>
          <w:sz w:val="24"/>
          <w:szCs w:val="24"/>
          <w:vertAlign w:val="superscript"/>
        </w:rPr>
        <w:t>2</w:t>
      </w:r>
      <w:r>
        <w:rPr>
          <w:rFonts w:hint="eastAsia" w:cs="宋体"/>
          <w:sz w:val="24"/>
          <w:szCs w:val="24"/>
        </w:rPr>
        <w:t>)。</w:t>
      </w:r>
    </w:p>
    <w:p w14:paraId="3620962B">
      <w:pPr>
        <w:spacing w:line="360" w:lineRule="auto"/>
        <w:ind w:firstLine="422"/>
        <w:jc w:val="left"/>
        <w:rPr>
          <w:rFonts w:cs="宋体"/>
        </w:rPr>
      </w:pPr>
      <w:r>
        <w:rPr>
          <w:rFonts w:hint="default" w:ascii="Times New Roman" w:hAnsi="Times New Roman" w:eastAsia="黑体" w:cs="Times New Roman"/>
          <w:b/>
          <w:bCs/>
          <w:sz w:val="24"/>
          <w:szCs w:val="24"/>
        </w:rPr>
        <w:t>A.1.4</w:t>
      </w:r>
      <w:r>
        <w:rPr>
          <w:rFonts w:hint="eastAsia"/>
          <w:sz w:val="24"/>
          <w:szCs w:val="24"/>
        </w:rPr>
        <w:t>　</w:t>
      </w:r>
      <w:r>
        <w:rPr>
          <w:rFonts w:hint="eastAsia" w:cs="宋体"/>
          <w:sz w:val="24"/>
          <w:szCs w:val="24"/>
        </w:rPr>
        <w:t>建筑废弃阶段应包含建筑拆除和废弃物运输碳排放，并应按式（A.1.2-2）计算碳排放。</w:t>
      </w:r>
    </w:p>
    <w:p w14:paraId="1B2DC1BF">
      <w:pPr>
        <w:tabs>
          <w:tab w:val="left" w:pos="0"/>
        </w:tabs>
        <w:spacing w:before="0" w:beforeLines="0" w:after="0" w:afterLines="0" w:line="360" w:lineRule="auto"/>
        <w:jc w:val="center"/>
        <w:outlineLvl w:val="1"/>
        <w:rPr>
          <w:rFonts w:ascii="Times New Roman" w:hAnsi="Times New Roman" w:eastAsia="黑体" w:cs="Times New Roman"/>
          <w:b/>
          <w:bCs/>
          <w:sz w:val="28"/>
          <w:szCs w:val="28"/>
        </w:rPr>
      </w:pPr>
      <w:bookmarkStart w:id="210" w:name="_Toc25729"/>
      <w:bookmarkStart w:id="211" w:name="_Toc4936"/>
      <w:bookmarkStart w:id="212" w:name="_Toc20882"/>
      <w:bookmarkStart w:id="213" w:name="_Toc6228"/>
      <w:bookmarkStart w:id="214" w:name="_Toc21913"/>
      <w:bookmarkStart w:id="215" w:name="_Toc11525"/>
      <w:bookmarkStart w:id="216" w:name="_Toc30795"/>
      <w:bookmarkStart w:id="217" w:name="_Toc25282"/>
      <w:bookmarkStart w:id="218" w:name="_Toc18703"/>
      <w:bookmarkStart w:id="219" w:name="_Toc29730"/>
      <w:bookmarkStart w:id="220" w:name="_Toc2108"/>
      <w:bookmarkStart w:id="221" w:name="_Toc31687"/>
      <w:bookmarkStart w:id="222" w:name="_Toc31594"/>
      <w:bookmarkStart w:id="223" w:name="_Toc20580"/>
      <w:r>
        <w:rPr>
          <w:rFonts w:hint="default" w:ascii="Times New Roman" w:hAnsi="Times New Roman" w:eastAsia="黑体" w:cs="Times New Roman"/>
          <w:b/>
          <w:bCs/>
          <w:sz w:val="28"/>
          <w:szCs w:val="28"/>
        </w:rPr>
        <w:t>A.2  碳减排效益</w:t>
      </w:r>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p>
    <w:p w14:paraId="456E72DC">
      <w:pPr>
        <w:spacing w:line="360" w:lineRule="auto"/>
        <w:ind w:firstLine="422"/>
        <w:rPr>
          <w:rFonts w:ascii="宋体" w:hAnsi="宋体" w:cs="宋体"/>
          <w:sz w:val="24"/>
          <w:szCs w:val="24"/>
        </w:rPr>
      </w:pPr>
      <w:r>
        <w:rPr>
          <w:rFonts w:hint="default" w:ascii="Times New Roman" w:hAnsi="Times New Roman" w:eastAsia="黑体" w:cs="Times New Roman"/>
          <w:b/>
          <w:bCs/>
          <w:sz w:val="24"/>
          <w:szCs w:val="24"/>
        </w:rPr>
        <w:t>A.2.1</w:t>
      </w:r>
      <w:r>
        <w:rPr>
          <w:rFonts w:hint="eastAsia"/>
          <w:sz w:val="24"/>
          <w:szCs w:val="24"/>
        </w:rPr>
        <w:t>　</w:t>
      </w:r>
      <w:r>
        <w:rPr>
          <w:rFonts w:hint="eastAsia" w:ascii="宋体" w:hAnsi="宋体" w:cs="宋体"/>
          <w:sz w:val="24"/>
          <w:szCs w:val="24"/>
        </w:rPr>
        <w:t>既有工业建筑单位面积年均碳排放量应按下式计算：</w:t>
      </w:r>
    </w:p>
    <w:p w14:paraId="39393DC9">
      <w:pPr>
        <w:tabs>
          <w:tab w:val="center" w:pos="4200"/>
          <w:tab w:val="right" w:pos="8200"/>
        </w:tabs>
        <w:spacing w:line="360" w:lineRule="auto"/>
        <w:jc w:val="center"/>
        <w:rPr>
          <w:rFonts w:hint="eastAsia" w:ascii="Cambria Math" w:hAnsi="Cambria Math" w:cs="宋体" w:eastAsiaTheme="minorEastAsia"/>
          <w:sz w:val="24"/>
          <w:szCs w:val="24"/>
        </w:rPr>
      </w:pPr>
      <w:r>
        <w:rPr>
          <w:rFonts w:hint="eastAsia" w:hAnsi="Cambria Math" w:cs="宋体" w:eastAsiaTheme="minorEastAsia"/>
          <w:sz w:val="24"/>
          <w:szCs w:val="24"/>
        </w:rPr>
        <w:tab/>
      </w:r>
      <m:oMath>
        <m:sSubSup>
          <m:sSubSupPr>
            <m:ctrlPr>
              <w:rPr>
                <w:rFonts w:hint="eastAsia" w:ascii="Cambria Math" w:hAnsi="Cambria Math" w:cs="宋体"/>
                <w:sz w:val="24"/>
                <w:szCs w:val="24"/>
              </w:rPr>
            </m:ctrlPr>
          </m:sSubSupPr>
          <m:e>
            <m:r>
              <m:rPr>
                <m:sty m:val="p"/>
              </m:rPr>
              <w:rPr>
                <w:rFonts w:ascii="Cambria Math" w:hAnsi="Cambria Math" w:cs="宋体"/>
                <w:sz w:val="24"/>
                <w:szCs w:val="24"/>
              </w:rPr>
              <m:t>P</m:t>
            </m:r>
            <m:ctrlPr>
              <w:rPr>
                <w:rFonts w:hint="eastAsia" w:ascii="Cambria Math" w:hAnsi="Cambria Math" w:cs="宋体"/>
                <w:sz w:val="24"/>
                <w:szCs w:val="24"/>
              </w:rPr>
            </m:ctrlPr>
          </m:e>
          <m:sub>
            <m:r>
              <m:rPr>
                <m:sty m:val="p"/>
              </m:rPr>
              <w:rPr>
                <w:rFonts w:ascii="Cambria Math" w:hAnsi="Cambria Math" w:cs="宋体"/>
                <w:sz w:val="24"/>
                <w:szCs w:val="24"/>
              </w:rPr>
              <m:t>t</m:t>
            </m:r>
            <m:ctrlPr>
              <w:rPr>
                <w:rFonts w:hint="eastAsia" w:ascii="Cambria Math" w:hAnsi="Cambria Math" w:cs="宋体"/>
                <w:sz w:val="24"/>
                <w:szCs w:val="24"/>
              </w:rPr>
            </m:ctrlPr>
          </m:sub>
          <m:sup>
            <m:r>
              <m:rPr>
                <m:sty m:val="p"/>
              </m:rPr>
              <w:rPr>
                <w:rFonts w:hint="eastAsia" w:ascii="Cambria Math" w:hAnsi="Cambria Math" w:cs="宋体"/>
                <w:sz w:val="24"/>
                <w:szCs w:val="24"/>
              </w:rPr>
              <m:t>'</m:t>
            </m:r>
            <m:ctrlPr>
              <w:rPr>
                <w:rFonts w:hint="eastAsia" w:ascii="Cambria Math" w:hAnsi="Cambria Math" w:cs="宋体"/>
                <w:sz w:val="24"/>
                <w:szCs w:val="24"/>
              </w:rPr>
            </m:ctrlPr>
          </m:sup>
        </m:sSubSup>
        <m:r>
          <m:rPr>
            <m:sty m:val="p"/>
          </m:rPr>
          <w:rPr>
            <w:rFonts w:ascii="Cambria Math" w:hAnsi="Cambria Math" w:cs="宋体"/>
            <w:sz w:val="24"/>
            <w:szCs w:val="24"/>
          </w:rPr>
          <m:t>=</m:t>
        </m:r>
        <m:f>
          <m:fPr>
            <m:ctrlPr>
              <w:rPr>
                <w:rFonts w:hint="eastAsia" w:ascii="Cambria Math" w:hAnsi="Cambria Math" w:cs="宋体"/>
                <w:sz w:val="24"/>
                <w:szCs w:val="24"/>
              </w:rPr>
            </m:ctrlPr>
          </m:fPr>
          <m:num>
            <m:sSub>
              <m:sSubPr>
                <m:ctrlPr>
                  <w:rPr>
                    <w:rFonts w:hint="eastAsia" w:ascii="Cambria Math" w:hAnsi="Cambria Math" w:cs="宋体"/>
                    <w:sz w:val="24"/>
                    <w:szCs w:val="24"/>
                  </w:rPr>
                </m:ctrlPr>
              </m:sSubPr>
              <m:e>
                <m:r>
                  <m:rPr>
                    <m:sty m:val="p"/>
                  </m:rPr>
                  <w:rPr>
                    <w:rFonts w:ascii="Cambria Math" w:hAnsi="Cambria Math" w:cs="宋体"/>
                    <w:sz w:val="24"/>
                    <w:szCs w:val="24"/>
                  </w:rPr>
                  <m:t>P</m:t>
                </m:r>
                <m:ctrlPr>
                  <w:rPr>
                    <w:rFonts w:hint="eastAsia" w:ascii="Cambria Math" w:hAnsi="Cambria Math" w:cs="宋体"/>
                    <w:sz w:val="24"/>
                    <w:szCs w:val="24"/>
                  </w:rPr>
                </m:ctrlPr>
              </m:e>
              <m:sub>
                <m:r>
                  <m:rPr>
                    <m:sty m:val="p"/>
                  </m:rPr>
                  <w:rPr>
                    <w:rFonts w:ascii="Cambria Math" w:hAnsi="Cambria Math" w:cs="宋体"/>
                    <w:sz w:val="24"/>
                    <w:szCs w:val="24"/>
                  </w:rPr>
                  <m:t>t</m:t>
                </m:r>
                <m:ctrlPr>
                  <w:rPr>
                    <w:rFonts w:hint="eastAsia" w:ascii="Cambria Math" w:hAnsi="Cambria Math" w:cs="宋体"/>
                    <w:sz w:val="24"/>
                    <w:szCs w:val="24"/>
                  </w:rPr>
                </m:ctrlPr>
              </m:sub>
            </m:sSub>
            <m:ctrlPr>
              <w:rPr>
                <w:rFonts w:hint="eastAsia" w:ascii="Cambria Math" w:hAnsi="Cambria Math" w:cs="宋体"/>
                <w:sz w:val="24"/>
                <w:szCs w:val="24"/>
              </w:rPr>
            </m:ctrlPr>
          </m:num>
          <m:den>
            <m:r>
              <m:rPr>
                <m:sty m:val="p"/>
              </m:rPr>
              <w:rPr>
                <w:rFonts w:ascii="Cambria Math" w:hAnsi="Cambria Math" w:cs="宋体"/>
                <w:sz w:val="24"/>
                <w:szCs w:val="24"/>
              </w:rPr>
              <m:t>A×y</m:t>
            </m:r>
            <m:ctrlPr>
              <w:rPr>
                <w:rFonts w:hint="eastAsia" w:ascii="Cambria Math" w:hAnsi="Cambria Math" w:cs="宋体"/>
                <w:sz w:val="24"/>
                <w:szCs w:val="24"/>
              </w:rPr>
            </m:ctrlPr>
          </m:den>
        </m:f>
      </m:oMath>
      <w:r>
        <w:rPr>
          <w:rFonts w:ascii="Cambria Math" w:hAnsi="Cambria Math" w:cs="宋体" w:eastAsiaTheme="minorEastAsia"/>
          <w:sz w:val="24"/>
          <w:szCs w:val="24"/>
        </w:rPr>
        <w:t xml:space="preserve">   </w:t>
      </w:r>
      <w:r>
        <w:rPr>
          <w:rFonts w:hint="eastAsia" w:ascii="Cambria Math" w:hAnsi="Cambria Math" w:cs="宋体" w:eastAsiaTheme="minorEastAsia"/>
          <w:sz w:val="24"/>
          <w:szCs w:val="24"/>
        </w:rPr>
        <w:tab/>
      </w:r>
      <w:r>
        <w:rPr>
          <w:rFonts w:ascii="Cambria Math" w:hAnsi="Cambria Math" w:cs="宋体"/>
          <w:sz w:val="24"/>
          <w:szCs w:val="24"/>
        </w:rPr>
        <w:t>(A.2.1)</w:t>
      </w:r>
    </w:p>
    <w:p w14:paraId="64041605">
      <w:pPr>
        <w:spacing w:line="360" w:lineRule="auto"/>
        <w:rPr>
          <w:rFonts w:ascii="宋体" w:hAnsi="宋体" w:cs="宋体"/>
          <w:sz w:val="24"/>
          <w:szCs w:val="24"/>
        </w:rPr>
      </w:pPr>
      <w:r>
        <w:rPr>
          <w:rFonts w:hint="eastAsia" w:ascii="宋体" w:hAnsi="宋体" w:cs="宋体"/>
          <w:sz w:val="24"/>
          <w:szCs w:val="24"/>
        </w:rPr>
        <w:t xml:space="preserve">式中： </w:t>
      </w:r>
      <m:oMath>
        <m:sSubSup>
          <m:sSubSupPr>
            <m:ctrlPr>
              <w:rPr>
                <w:rFonts w:hint="eastAsia" w:ascii="Cambria Math" w:hAnsi="Cambria Math" w:cs="宋体"/>
                <w:sz w:val="24"/>
                <w:szCs w:val="24"/>
              </w:rPr>
            </m:ctrlPr>
          </m:sSubSupPr>
          <m:e>
            <m:r>
              <m:rPr/>
              <w:rPr>
                <w:rFonts w:ascii="Cambria Math" w:hAnsi="Cambria Math" w:cs="宋体"/>
                <w:sz w:val="24"/>
                <w:szCs w:val="24"/>
              </w:rPr>
              <m:t>P</m:t>
            </m:r>
            <m:ctrlPr>
              <w:rPr>
                <w:rFonts w:hint="eastAsia" w:ascii="Cambria Math" w:hAnsi="Cambria Math" w:cs="宋体"/>
                <w:sz w:val="24"/>
                <w:szCs w:val="24"/>
              </w:rPr>
            </m:ctrlPr>
          </m:e>
          <m:sub>
            <m:r>
              <m:rPr/>
              <w:rPr>
                <w:rFonts w:ascii="Cambria Math" w:hAnsi="Cambria Math" w:cs="宋体"/>
                <w:sz w:val="24"/>
                <w:szCs w:val="24"/>
              </w:rPr>
              <m:t>t</m:t>
            </m:r>
            <m:ctrlPr>
              <w:rPr>
                <w:rFonts w:hint="eastAsia" w:ascii="Cambria Math" w:hAnsi="Cambria Math" w:cs="宋体"/>
                <w:sz w:val="24"/>
                <w:szCs w:val="24"/>
              </w:rPr>
            </m:ctrlPr>
          </m:sub>
          <m:sup>
            <m:r>
              <m:rPr/>
              <w:rPr>
                <w:rFonts w:hint="eastAsia" w:ascii="Cambria Math" w:hAnsi="Cambria Math" w:cs="宋体"/>
                <w:sz w:val="24"/>
                <w:szCs w:val="24"/>
              </w:rPr>
              <m:t>'</m:t>
            </m:r>
            <m:ctrlPr>
              <w:rPr>
                <w:rFonts w:hint="eastAsia" w:ascii="Cambria Math" w:hAnsi="Cambria Math" w:cs="宋体"/>
                <w:sz w:val="24"/>
                <w:szCs w:val="24"/>
              </w:rPr>
            </m:ctrlPr>
          </m:sup>
        </m:sSubSup>
      </m:oMath>
      <w:r>
        <w:rPr>
          <w:rFonts w:hint="eastAsia" w:ascii="宋体" w:hAnsi="宋体" w:cs="宋体"/>
          <w:bCs/>
          <w:sz w:val="24"/>
          <w:szCs w:val="24"/>
        </w:rPr>
        <w:t>——改造后建筑单位面积年均碳排放量</w:t>
      </w:r>
      <w:r>
        <w:rPr>
          <w:rFonts w:hint="default" w:ascii="Times New Roman" w:hAnsi="Times New Roman" w:cs="Times New Roman"/>
          <w:bCs/>
          <w:sz w:val="24"/>
          <w:szCs w:val="24"/>
        </w:rPr>
        <w:t>（</w:t>
      </w:r>
      <w:r>
        <w:rPr>
          <w:rFonts w:hint="default" w:ascii="Times New Roman" w:hAnsi="Times New Roman" w:cs="Times New Roman"/>
          <w:sz w:val="24"/>
          <w:szCs w:val="24"/>
        </w:rPr>
        <w:t>kgCO</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·a））</w:t>
      </w:r>
      <w:r>
        <w:rPr>
          <w:rFonts w:hint="eastAsia" w:ascii="宋体" w:hAnsi="宋体" w:cs="宋体"/>
          <w:bCs/>
          <w:sz w:val="24"/>
          <w:szCs w:val="24"/>
        </w:rPr>
        <w:t>；</w:t>
      </w:r>
    </w:p>
    <w:p w14:paraId="0BCD9B08">
      <w:pPr>
        <w:spacing w:line="360" w:lineRule="auto"/>
        <w:ind w:firstLine="840" w:firstLineChars="350"/>
        <w:rPr>
          <w:rFonts w:ascii="宋体" w:hAnsi="宋体" w:cs="宋体"/>
          <w:sz w:val="24"/>
          <w:szCs w:val="24"/>
        </w:rPr>
      </w:pPr>
      <m:oMath>
        <m:r>
          <m:rPr/>
          <w:rPr>
            <w:rFonts w:ascii="Cambria Math" w:hAnsi="Cambria Math" w:cs="宋体"/>
            <w:sz w:val="24"/>
            <w:szCs w:val="24"/>
          </w:rPr>
          <m:t>A</m:t>
        </m:r>
      </m:oMath>
      <w:r>
        <w:rPr>
          <w:rFonts w:hint="eastAsia" w:ascii="宋体" w:hAnsi="宋体" w:cs="宋体"/>
          <w:sz w:val="24"/>
          <w:szCs w:val="24"/>
        </w:rPr>
        <w:t>——改造后建筑面积（</w:t>
      </w:r>
      <w:r>
        <w:rPr>
          <w:rFonts w:hint="default" w:ascii="Times New Roman" w:hAnsi="Times New Roman" w:cs="Times New Roman"/>
          <w:sz w:val="24"/>
          <w:szCs w:val="24"/>
        </w:rPr>
        <w:t>m</w:t>
      </w:r>
      <w:r>
        <w:rPr>
          <w:rFonts w:hint="default" w:ascii="Times New Roman" w:hAnsi="Times New Roman" w:cs="Times New Roman"/>
          <w:sz w:val="24"/>
          <w:szCs w:val="24"/>
          <w:vertAlign w:val="superscript"/>
        </w:rPr>
        <w:t>2</w:t>
      </w:r>
      <w:r>
        <w:rPr>
          <w:rFonts w:hint="eastAsia" w:ascii="宋体" w:hAnsi="宋体" w:cs="宋体"/>
          <w:sz w:val="24"/>
          <w:szCs w:val="24"/>
        </w:rPr>
        <w:t>)；</w:t>
      </w:r>
    </w:p>
    <w:p w14:paraId="69C133E2">
      <w:pPr>
        <w:spacing w:line="360" w:lineRule="auto"/>
        <w:ind w:firstLine="840" w:firstLineChars="350"/>
        <w:rPr>
          <w:rFonts w:ascii="宋体" w:hAnsi="宋体" w:cs="宋体"/>
          <w:sz w:val="24"/>
          <w:szCs w:val="24"/>
        </w:rPr>
      </w:pPr>
      <m:oMath>
        <w:bookmarkStart w:id="224" w:name="_Hlk89437534"/>
        <m:r>
          <m:rPr/>
          <w:rPr>
            <w:rFonts w:ascii="Cambria Math" w:hAnsi="Cambria Math" w:cs="宋体"/>
            <w:sz w:val="24"/>
            <w:szCs w:val="24"/>
          </w:rPr>
          <m:t>y</m:t>
        </m:r>
      </m:oMath>
      <w:r>
        <w:rPr>
          <w:rFonts w:hint="eastAsia" w:ascii="宋体" w:hAnsi="宋体" w:cs="宋体"/>
          <w:sz w:val="24"/>
          <w:szCs w:val="24"/>
        </w:rPr>
        <w:t>——改造后建筑使用寿命</w:t>
      </w:r>
      <w:r>
        <w:rPr>
          <w:rFonts w:hint="default" w:ascii="Times New Roman" w:hAnsi="Times New Roman" w:cs="Times New Roman"/>
          <w:sz w:val="24"/>
          <w:szCs w:val="24"/>
        </w:rPr>
        <w:t>（a)</w:t>
      </w:r>
      <w:bookmarkEnd w:id="224"/>
      <w:r>
        <w:rPr>
          <w:rFonts w:hint="eastAsia" w:ascii="宋体" w:hAnsi="宋体" w:cs="宋体"/>
          <w:sz w:val="24"/>
          <w:szCs w:val="24"/>
        </w:rPr>
        <w:t>。</w:t>
      </w:r>
    </w:p>
    <w:p w14:paraId="33F044DC">
      <w:pPr>
        <w:spacing w:line="360" w:lineRule="auto"/>
        <w:rPr>
          <w:rFonts w:ascii="宋体" w:hAnsi="宋体" w:cs="宋体"/>
          <w:sz w:val="24"/>
          <w:szCs w:val="24"/>
        </w:rPr>
      </w:pPr>
    </w:p>
    <w:p w14:paraId="238E8B02">
      <w:pPr>
        <w:spacing w:line="360" w:lineRule="auto"/>
        <w:ind w:firstLine="422"/>
        <w:rPr>
          <w:rFonts w:ascii="宋体" w:hAnsi="宋体" w:cs="宋体"/>
          <w:sz w:val="24"/>
          <w:szCs w:val="24"/>
        </w:rPr>
      </w:pPr>
      <w:r>
        <w:rPr>
          <w:rFonts w:hint="default" w:ascii="Times New Roman" w:hAnsi="Times New Roman" w:eastAsia="黑体" w:cs="Times New Roman"/>
          <w:b/>
          <w:bCs/>
          <w:sz w:val="24"/>
          <w:szCs w:val="24"/>
        </w:rPr>
        <w:t>A.2.2</w:t>
      </w:r>
      <w:r>
        <w:rPr>
          <w:rFonts w:hint="eastAsia"/>
          <w:sz w:val="24"/>
          <w:szCs w:val="24"/>
        </w:rPr>
        <w:t>　</w:t>
      </w:r>
      <w:r>
        <w:rPr>
          <w:rFonts w:hint="eastAsia" w:ascii="宋体" w:hAnsi="宋体" w:cs="宋体"/>
          <w:sz w:val="24"/>
          <w:szCs w:val="24"/>
        </w:rPr>
        <w:t>既有工业建筑民用化改造减碳率应按下式计算：</w:t>
      </w:r>
    </w:p>
    <w:p w14:paraId="2E779276">
      <w:pPr>
        <w:tabs>
          <w:tab w:val="center" w:pos="4200"/>
          <w:tab w:val="right" w:pos="8200"/>
        </w:tabs>
        <w:spacing w:line="360" w:lineRule="auto"/>
        <w:jc w:val="center"/>
        <w:rPr>
          <w:rFonts w:hint="eastAsia" w:ascii="Cambria Math" w:hAnsi="Cambria Math" w:cs="宋体" w:eastAsiaTheme="minorEastAsia"/>
          <w:sz w:val="24"/>
          <w:szCs w:val="24"/>
        </w:rPr>
      </w:pPr>
      <w:r>
        <w:rPr>
          <w:rFonts w:hint="eastAsia" w:hAnsi="Cambria Math" w:cs="宋体" w:eastAsiaTheme="minorEastAsia"/>
          <w:sz w:val="24"/>
          <w:szCs w:val="24"/>
        </w:rPr>
        <w:tab/>
      </w:r>
      <m:oMath>
        <m:sSub>
          <m:sSubPr>
            <m:ctrlPr>
              <w:rPr>
                <w:rFonts w:hint="eastAsia" w:ascii="Cambria Math" w:hAnsi="Cambria Math" w:cs="宋体"/>
                <w:sz w:val="24"/>
                <w:szCs w:val="24"/>
              </w:rPr>
            </m:ctrlPr>
          </m:sSubPr>
          <m:e>
            <m:r>
              <m:rPr>
                <m:sty m:val="p"/>
              </m:rPr>
              <w:rPr>
                <w:rFonts w:hint="eastAsia" w:ascii="Cambria Math" w:hAnsi="Cambria Math" w:cs="宋体"/>
                <w:sz w:val="24"/>
                <w:szCs w:val="24"/>
              </w:rPr>
              <m:t>η</m:t>
            </m:r>
            <m:ctrlPr>
              <w:rPr>
                <w:rFonts w:hint="eastAsia" w:ascii="Cambria Math" w:hAnsi="Cambria Math" w:cs="宋体"/>
                <w:sz w:val="24"/>
                <w:szCs w:val="24"/>
              </w:rPr>
            </m:ctrlPr>
          </m:e>
          <m:sub>
            <m:r>
              <m:rPr>
                <m:sty m:val="p"/>
              </m:rPr>
              <w:rPr>
                <w:rFonts w:ascii="Cambria Math" w:hAnsi="Cambria Math" w:cs="宋体"/>
                <w:sz w:val="24"/>
                <w:szCs w:val="24"/>
              </w:rPr>
              <m:t>t</m:t>
            </m:r>
            <m:ctrlPr>
              <w:rPr>
                <w:rFonts w:hint="eastAsia" w:ascii="Cambria Math" w:hAnsi="Cambria Math" w:cs="宋体"/>
                <w:sz w:val="24"/>
                <w:szCs w:val="24"/>
              </w:rPr>
            </m:ctrlPr>
          </m:sub>
        </m:sSub>
        <m:r>
          <m:rPr>
            <m:sty m:val="p"/>
          </m:rPr>
          <w:rPr>
            <w:rFonts w:ascii="Cambria Math" w:hAnsi="Cambria Math" w:cs="宋体"/>
            <w:sz w:val="24"/>
            <w:szCs w:val="24"/>
          </w:rPr>
          <m:t>=</m:t>
        </m:r>
        <m:d>
          <m:dPr>
            <m:ctrlPr>
              <w:rPr>
                <w:rFonts w:hint="eastAsia" w:ascii="Cambria Math" w:hAnsi="Cambria Math" w:cs="宋体"/>
                <w:sz w:val="24"/>
                <w:szCs w:val="24"/>
              </w:rPr>
            </m:ctrlPr>
          </m:dPr>
          <m:e>
            <m:r>
              <m:rPr>
                <m:sty m:val="p"/>
              </m:rPr>
              <w:rPr>
                <w:rFonts w:ascii="Cambria Math" w:hAnsi="Cambria Math" w:cs="宋体"/>
                <w:sz w:val="24"/>
                <w:szCs w:val="24"/>
              </w:rPr>
              <m:t>1−</m:t>
            </m:r>
            <m:f>
              <m:fPr>
                <m:ctrlPr>
                  <w:rPr>
                    <w:rFonts w:hint="eastAsia" w:ascii="Cambria Math" w:hAnsi="Cambria Math" w:cs="宋体"/>
                    <w:sz w:val="24"/>
                    <w:szCs w:val="24"/>
                  </w:rPr>
                </m:ctrlPr>
              </m:fPr>
              <m:num>
                <m:sSubSup>
                  <m:sSubSupPr>
                    <m:ctrlPr>
                      <w:rPr>
                        <w:rFonts w:hint="eastAsia" w:ascii="Cambria Math" w:hAnsi="Cambria Math" w:cs="宋体"/>
                        <w:sz w:val="24"/>
                        <w:szCs w:val="24"/>
                      </w:rPr>
                    </m:ctrlPr>
                  </m:sSubSupPr>
                  <m:e>
                    <m:r>
                      <m:rPr>
                        <m:sty m:val="p"/>
                      </m:rPr>
                      <w:rPr>
                        <w:rFonts w:ascii="Cambria Math" w:hAnsi="Cambria Math" w:cs="宋体"/>
                        <w:sz w:val="24"/>
                        <w:szCs w:val="24"/>
                      </w:rPr>
                      <m:t>P</m:t>
                    </m:r>
                    <m:ctrlPr>
                      <w:rPr>
                        <w:rFonts w:hint="eastAsia" w:ascii="Cambria Math" w:hAnsi="Cambria Math" w:cs="宋体"/>
                        <w:sz w:val="24"/>
                        <w:szCs w:val="24"/>
                      </w:rPr>
                    </m:ctrlPr>
                  </m:e>
                  <m:sub>
                    <m:r>
                      <m:rPr>
                        <m:sty m:val="p"/>
                      </m:rPr>
                      <w:rPr>
                        <w:rFonts w:ascii="Cambria Math" w:hAnsi="Cambria Math" w:cs="宋体"/>
                        <w:sz w:val="24"/>
                        <w:szCs w:val="24"/>
                      </w:rPr>
                      <m:t>t</m:t>
                    </m:r>
                    <m:ctrlPr>
                      <w:rPr>
                        <w:rFonts w:hint="eastAsia" w:ascii="Cambria Math" w:hAnsi="Cambria Math" w:cs="宋体"/>
                        <w:sz w:val="24"/>
                        <w:szCs w:val="24"/>
                      </w:rPr>
                    </m:ctrlPr>
                  </m:sub>
                  <m:sup>
                    <m:r>
                      <m:rPr>
                        <m:sty m:val="p"/>
                      </m:rPr>
                      <w:rPr>
                        <w:rFonts w:hint="eastAsia" w:ascii="Cambria Math" w:hAnsi="Cambria Math" w:cs="宋体"/>
                        <w:sz w:val="24"/>
                        <w:szCs w:val="24"/>
                      </w:rPr>
                      <m:t>'</m:t>
                    </m:r>
                    <m:ctrlPr>
                      <w:rPr>
                        <w:rFonts w:hint="eastAsia" w:ascii="Cambria Math" w:hAnsi="Cambria Math" w:cs="宋体"/>
                        <w:sz w:val="24"/>
                        <w:szCs w:val="24"/>
                      </w:rPr>
                    </m:ctrlPr>
                  </m:sup>
                </m:sSubSup>
                <m:ctrlPr>
                  <w:rPr>
                    <w:rFonts w:hint="eastAsia" w:ascii="Cambria Math" w:hAnsi="Cambria Math" w:cs="宋体"/>
                    <w:sz w:val="24"/>
                    <w:szCs w:val="24"/>
                  </w:rPr>
                </m:ctrlPr>
              </m:num>
              <m:den>
                <m:sSubSup>
                  <m:sSubSupPr>
                    <m:ctrlPr>
                      <w:rPr>
                        <w:rFonts w:hint="eastAsia" w:ascii="Cambria Math" w:hAnsi="Cambria Math" w:cs="宋体"/>
                        <w:sz w:val="24"/>
                        <w:szCs w:val="24"/>
                      </w:rPr>
                    </m:ctrlPr>
                  </m:sSubSupPr>
                  <m:e>
                    <m:r>
                      <m:rPr>
                        <m:sty m:val="p"/>
                      </m:rPr>
                      <w:rPr>
                        <w:rFonts w:ascii="Cambria Math" w:hAnsi="Cambria Math" w:cs="宋体"/>
                        <w:sz w:val="24"/>
                        <w:szCs w:val="24"/>
                      </w:rPr>
                      <m:t>P</m:t>
                    </m:r>
                    <m:ctrlPr>
                      <w:rPr>
                        <w:rFonts w:hint="eastAsia" w:ascii="Cambria Math" w:hAnsi="Cambria Math" w:cs="宋体"/>
                        <w:sz w:val="24"/>
                        <w:szCs w:val="24"/>
                      </w:rPr>
                    </m:ctrlPr>
                  </m:e>
                  <m:sub>
                    <m:r>
                      <m:rPr>
                        <m:sty m:val="p"/>
                      </m:rPr>
                      <w:rPr>
                        <w:rFonts w:ascii="Cambria Math" w:hAnsi="Cambria Math" w:cs="宋体"/>
                        <w:sz w:val="24"/>
                        <w:szCs w:val="24"/>
                      </w:rPr>
                      <m:t>R</m:t>
                    </m:r>
                    <m:ctrlPr>
                      <w:rPr>
                        <w:rFonts w:hint="eastAsia" w:ascii="Cambria Math" w:hAnsi="Cambria Math" w:cs="宋体"/>
                        <w:sz w:val="24"/>
                        <w:szCs w:val="24"/>
                      </w:rPr>
                    </m:ctrlPr>
                  </m:sub>
                  <m:sup>
                    <m:r>
                      <m:rPr>
                        <m:sty m:val="p"/>
                      </m:rPr>
                      <w:rPr>
                        <w:rFonts w:hint="eastAsia" w:ascii="Cambria Math" w:hAnsi="Cambria Math" w:cs="宋体"/>
                        <w:sz w:val="24"/>
                        <w:szCs w:val="24"/>
                      </w:rPr>
                      <m:t>'</m:t>
                    </m:r>
                    <m:ctrlPr>
                      <w:rPr>
                        <w:rFonts w:hint="eastAsia" w:ascii="Cambria Math" w:hAnsi="Cambria Math" w:cs="宋体"/>
                        <w:sz w:val="24"/>
                        <w:szCs w:val="24"/>
                      </w:rPr>
                    </m:ctrlPr>
                  </m:sup>
                </m:sSubSup>
                <m:ctrlPr>
                  <w:rPr>
                    <w:rFonts w:hint="eastAsia" w:ascii="Cambria Math" w:hAnsi="Cambria Math" w:cs="宋体"/>
                    <w:sz w:val="24"/>
                    <w:szCs w:val="24"/>
                  </w:rPr>
                </m:ctrlPr>
              </m:den>
            </m:f>
            <m:ctrlPr>
              <w:rPr>
                <w:rFonts w:hint="eastAsia" w:ascii="Cambria Math" w:hAnsi="Cambria Math" w:cs="宋体"/>
                <w:sz w:val="24"/>
                <w:szCs w:val="24"/>
              </w:rPr>
            </m:ctrlPr>
          </m:e>
        </m:d>
        <m:r>
          <m:rPr>
            <m:sty m:val="p"/>
          </m:rPr>
          <w:rPr>
            <w:rFonts w:hint="eastAsia" w:ascii="Cambria Math" w:hAnsi="Cambria Math" w:cs="宋体"/>
            <w:sz w:val="24"/>
            <w:szCs w:val="24"/>
          </w:rPr>
          <m:t>×</m:t>
        </m:r>
        <m:r>
          <m:rPr>
            <m:sty m:val="p"/>
          </m:rPr>
          <w:rPr>
            <w:rFonts w:ascii="Cambria Math" w:hAnsi="Cambria Math" w:cs="宋体"/>
            <w:sz w:val="24"/>
            <w:szCs w:val="24"/>
          </w:rPr>
          <m:t>100%</m:t>
        </m:r>
      </m:oMath>
      <w:r>
        <w:rPr>
          <w:rFonts w:ascii="Cambria Math" w:hAnsi="Cambria Math" w:cs="宋体" w:eastAsiaTheme="minorEastAsia"/>
          <w:sz w:val="24"/>
          <w:szCs w:val="24"/>
        </w:rPr>
        <w:t xml:space="preserve">   </w:t>
      </w:r>
      <w:r>
        <w:rPr>
          <w:rFonts w:hint="eastAsia" w:ascii="Cambria Math" w:hAnsi="Cambria Math" w:cs="宋体" w:eastAsiaTheme="minorEastAsia"/>
          <w:sz w:val="24"/>
          <w:szCs w:val="24"/>
        </w:rPr>
        <w:tab/>
      </w:r>
      <w:r>
        <w:rPr>
          <w:rFonts w:ascii="Cambria Math" w:hAnsi="Cambria Math" w:cs="宋体"/>
          <w:sz w:val="24"/>
          <w:szCs w:val="24"/>
        </w:rPr>
        <w:t>(A.2.2)</w:t>
      </w:r>
    </w:p>
    <w:p w14:paraId="3C3A7E54">
      <w:pPr>
        <w:spacing w:line="360" w:lineRule="auto"/>
        <w:rPr>
          <w:rFonts w:ascii="宋体" w:hAnsi="宋体" w:cs="宋体"/>
          <w:sz w:val="24"/>
          <w:szCs w:val="24"/>
        </w:rPr>
      </w:pPr>
      <w:r>
        <w:rPr>
          <w:rFonts w:hint="eastAsia" w:ascii="宋体" w:hAnsi="宋体" w:cs="宋体"/>
          <w:sz w:val="24"/>
          <w:szCs w:val="24"/>
        </w:rPr>
        <w:t xml:space="preserve">式中： </w:t>
      </w:r>
      <m:oMath>
        <m:sSub>
          <m:sSubPr>
            <m:ctrlPr>
              <w:rPr>
                <w:rFonts w:hint="eastAsia" w:ascii="Cambria Math" w:hAnsi="Cambria Math" w:cs="宋体"/>
                <w:sz w:val="24"/>
                <w:szCs w:val="24"/>
              </w:rPr>
            </m:ctrlPr>
          </m:sSubPr>
          <m:e>
            <m:r>
              <m:rPr/>
              <w:rPr>
                <w:rFonts w:ascii="Cambria Math" w:hAnsi="Cambria Math" w:cs="宋体"/>
                <w:sz w:val="24"/>
                <w:szCs w:val="24"/>
              </w:rPr>
              <m:t>η</m:t>
            </m:r>
            <m:ctrlPr>
              <w:rPr>
                <w:rFonts w:hint="eastAsia" w:ascii="Cambria Math" w:hAnsi="Cambria Math" w:cs="宋体"/>
                <w:sz w:val="24"/>
                <w:szCs w:val="24"/>
              </w:rPr>
            </m:ctrlPr>
          </m:e>
          <m:sub>
            <m:r>
              <m:rPr/>
              <w:rPr>
                <w:rFonts w:ascii="Cambria Math" w:hAnsi="Cambria Math" w:cs="宋体"/>
                <w:sz w:val="24"/>
                <w:szCs w:val="24"/>
              </w:rPr>
              <m:t>t</m:t>
            </m:r>
            <m:ctrlPr>
              <w:rPr>
                <w:rFonts w:hint="eastAsia" w:ascii="Cambria Math" w:hAnsi="Cambria Math" w:cs="宋体"/>
                <w:sz w:val="24"/>
                <w:szCs w:val="24"/>
              </w:rPr>
            </m:ctrlPr>
          </m:sub>
        </m:sSub>
      </m:oMath>
      <w:r>
        <w:rPr>
          <w:rFonts w:hint="eastAsia" w:ascii="宋体" w:hAnsi="宋体" w:cs="宋体"/>
          <w:sz w:val="24"/>
          <w:szCs w:val="24"/>
        </w:rPr>
        <w:t>——改造减碳率</w:t>
      </w:r>
      <w:r>
        <w:rPr>
          <w:rFonts w:hint="default" w:ascii="Times New Roman" w:hAnsi="Times New Roman" w:cs="Times New Roman"/>
          <w:sz w:val="24"/>
          <w:szCs w:val="24"/>
        </w:rPr>
        <w:t>（%）</w:t>
      </w:r>
      <w:r>
        <w:rPr>
          <w:rFonts w:hint="eastAsia" w:ascii="宋体" w:hAnsi="宋体" w:cs="宋体"/>
          <w:sz w:val="24"/>
          <w:szCs w:val="24"/>
        </w:rPr>
        <w:t>；</w:t>
      </w:r>
    </w:p>
    <w:p w14:paraId="2B0D1E9B">
      <w:pPr>
        <w:spacing w:line="360" w:lineRule="auto"/>
        <w:ind w:firstLine="840" w:firstLineChars="350"/>
        <w:rPr>
          <w:rFonts w:ascii="宋体" w:hAnsi="宋体" w:cs="宋体"/>
          <w:sz w:val="24"/>
          <w:szCs w:val="24"/>
        </w:rPr>
      </w:pPr>
      <m:oMath>
        <m:sSubSup>
          <m:sSubSupPr>
            <m:ctrlPr>
              <w:rPr>
                <w:rFonts w:hint="eastAsia" w:ascii="Cambria Math" w:hAnsi="Cambria Math" w:cs="宋体"/>
                <w:sz w:val="24"/>
                <w:szCs w:val="24"/>
              </w:rPr>
            </m:ctrlPr>
          </m:sSubSupPr>
          <m:e>
            <m:r>
              <m:rPr/>
              <w:rPr>
                <w:rFonts w:ascii="Cambria Math" w:hAnsi="Cambria Math" w:cs="宋体"/>
                <w:sz w:val="24"/>
                <w:szCs w:val="24"/>
              </w:rPr>
              <m:t>P</m:t>
            </m:r>
            <m:ctrlPr>
              <w:rPr>
                <w:rFonts w:hint="eastAsia" w:ascii="Cambria Math" w:hAnsi="Cambria Math" w:cs="宋体"/>
                <w:sz w:val="24"/>
                <w:szCs w:val="24"/>
              </w:rPr>
            </m:ctrlPr>
          </m:e>
          <m:sub>
            <m:r>
              <m:rPr/>
              <w:rPr>
                <w:rFonts w:ascii="Cambria Math" w:hAnsi="Cambria Math" w:cs="宋体"/>
                <w:sz w:val="24"/>
                <w:szCs w:val="24"/>
              </w:rPr>
              <m:t>R</m:t>
            </m:r>
            <m:ctrlPr>
              <w:rPr>
                <w:rFonts w:hint="eastAsia" w:ascii="Cambria Math" w:hAnsi="Cambria Math" w:cs="宋体"/>
                <w:sz w:val="24"/>
                <w:szCs w:val="24"/>
              </w:rPr>
            </m:ctrlPr>
          </m:sub>
          <m:sup>
            <m:r>
              <m:rPr/>
              <w:rPr>
                <w:rFonts w:hint="eastAsia" w:ascii="Cambria Math" w:hAnsi="Cambria Math" w:cs="宋体"/>
                <w:sz w:val="24"/>
                <w:szCs w:val="24"/>
              </w:rPr>
              <m:t>'</m:t>
            </m:r>
            <m:ctrlPr>
              <w:rPr>
                <w:rFonts w:hint="eastAsia" w:ascii="Cambria Math" w:hAnsi="Cambria Math" w:cs="宋体"/>
                <w:sz w:val="24"/>
                <w:szCs w:val="24"/>
              </w:rPr>
            </m:ctrlPr>
          </m:sup>
        </m:sSubSup>
      </m:oMath>
      <w:r>
        <w:rPr>
          <w:rFonts w:hint="eastAsia" w:ascii="宋体" w:hAnsi="宋体" w:cs="宋体"/>
          <w:sz w:val="24"/>
          <w:szCs w:val="24"/>
        </w:rPr>
        <w:t>——基准建筑</w:t>
      </w:r>
      <w:r>
        <w:rPr>
          <w:rFonts w:hint="eastAsia" w:ascii="宋体" w:hAnsi="宋体" w:cs="宋体"/>
          <w:bCs/>
          <w:sz w:val="24"/>
          <w:szCs w:val="24"/>
        </w:rPr>
        <w:t>单位面积年均碳排放量</w:t>
      </w:r>
      <w:r>
        <w:rPr>
          <w:rFonts w:hint="default" w:ascii="Times New Roman" w:hAnsi="Times New Roman" w:cs="Times New Roman"/>
          <w:bCs/>
          <w:sz w:val="24"/>
          <w:szCs w:val="24"/>
        </w:rPr>
        <w:t>（</w:t>
      </w:r>
      <w:r>
        <w:rPr>
          <w:rFonts w:hint="default" w:ascii="Times New Roman" w:hAnsi="Times New Roman" w:cs="Times New Roman"/>
          <w:sz w:val="24"/>
          <w:szCs w:val="24"/>
        </w:rPr>
        <w:t>kgCO</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·a））</w:t>
      </w:r>
      <w:r>
        <w:rPr>
          <w:rFonts w:hint="eastAsia" w:ascii="宋体" w:hAnsi="宋体" w:cs="宋体"/>
          <w:sz w:val="24"/>
          <w:szCs w:val="24"/>
        </w:rPr>
        <w:t>。</w:t>
      </w:r>
    </w:p>
    <w:p w14:paraId="315BDBBA"/>
    <w:p w14:paraId="26EF39CC">
      <w:pPr>
        <w:sectPr>
          <w:pgSz w:w="11906" w:h="16838"/>
          <w:pgMar w:top="1440" w:right="1800" w:bottom="1440" w:left="1800" w:header="851" w:footer="992" w:gutter="0"/>
          <w:cols w:space="425" w:num="1"/>
          <w:docGrid w:type="lines" w:linePitch="312" w:charSpace="0"/>
        </w:sectPr>
      </w:pPr>
    </w:p>
    <w:p w14:paraId="59A8C0E3">
      <w:pPr>
        <w:pStyle w:val="35"/>
        <w:spacing w:line="360" w:lineRule="auto"/>
        <w:ind w:firstLine="0" w:firstLineChars="0"/>
        <w:jc w:val="center"/>
        <w:outlineLvl w:val="9"/>
        <w:rPr>
          <w:rFonts w:hint="eastAsia" w:ascii="宋体" w:hAnsi="宋体"/>
          <w:b/>
          <w:sz w:val="28"/>
          <w:szCs w:val="28"/>
        </w:rPr>
      </w:pPr>
      <w:bookmarkStart w:id="225" w:name="_Toc160550429"/>
      <w:bookmarkStart w:id="226" w:name="_Toc20424"/>
      <w:bookmarkStart w:id="227" w:name="_Toc14332"/>
    </w:p>
    <w:p w14:paraId="4EBE10BD">
      <w:pPr>
        <w:pStyle w:val="35"/>
        <w:spacing w:line="360" w:lineRule="auto"/>
        <w:ind w:firstLine="0" w:firstLineChars="0"/>
        <w:jc w:val="center"/>
        <w:outlineLvl w:val="0"/>
        <w:rPr>
          <w:rFonts w:ascii="宋体" w:hAnsi="宋体"/>
          <w:b/>
          <w:sz w:val="28"/>
          <w:szCs w:val="28"/>
        </w:rPr>
      </w:pPr>
      <w:bookmarkStart w:id="228" w:name="_Toc8042"/>
      <w:bookmarkStart w:id="229" w:name="_Toc8616"/>
      <w:r>
        <w:rPr>
          <w:rFonts w:hint="eastAsia" w:ascii="宋体" w:hAnsi="宋体"/>
          <w:b/>
          <w:sz w:val="28"/>
          <w:szCs w:val="28"/>
        </w:rPr>
        <w:t>用词说明</w:t>
      </w:r>
      <w:bookmarkEnd w:id="225"/>
      <w:bookmarkEnd w:id="226"/>
      <w:bookmarkEnd w:id="227"/>
      <w:bookmarkEnd w:id="228"/>
      <w:bookmarkEnd w:id="229"/>
    </w:p>
    <w:p w14:paraId="01901DC9">
      <w:pPr>
        <w:pStyle w:val="35"/>
        <w:spacing w:line="360" w:lineRule="auto"/>
        <w:ind w:firstLine="480" w:firstLineChars="200"/>
        <w:rPr>
          <w:sz w:val="24"/>
          <w:szCs w:val="24"/>
        </w:rPr>
      </w:pPr>
      <w:r>
        <w:rPr>
          <w:rFonts w:hint="eastAsia"/>
          <w:sz w:val="24"/>
          <w:szCs w:val="24"/>
        </w:rPr>
        <w:t>为便于在执行本规程条款时区别对待，对要求严格程度不同的用词说明如下：</w:t>
      </w:r>
    </w:p>
    <w:p w14:paraId="194FE3B2">
      <w:pPr>
        <w:pStyle w:val="35"/>
        <w:numPr>
          <w:ilvl w:val="2"/>
          <w:numId w:val="2"/>
        </w:numPr>
        <w:spacing w:line="360" w:lineRule="auto"/>
        <w:ind w:left="0" w:firstLine="480" w:firstLineChars="200"/>
        <w:rPr>
          <w:sz w:val="24"/>
          <w:szCs w:val="24"/>
        </w:rPr>
      </w:pPr>
      <w:r>
        <w:rPr>
          <w:rFonts w:hint="eastAsia"/>
          <w:sz w:val="24"/>
          <w:szCs w:val="24"/>
        </w:rPr>
        <w:t>表示很严格，非这样做不可的：</w:t>
      </w:r>
    </w:p>
    <w:p w14:paraId="59B8EDCE">
      <w:pPr>
        <w:pStyle w:val="35"/>
        <w:spacing w:line="360" w:lineRule="auto"/>
        <w:ind w:left="0" w:leftChars="0" w:firstLine="480" w:firstLineChars="200"/>
        <w:rPr>
          <w:sz w:val="24"/>
          <w:szCs w:val="24"/>
        </w:rPr>
      </w:pPr>
      <w:r>
        <w:rPr>
          <w:rFonts w:hint="eastAsia"/>
          <w:sz w:val="24"/>
          <w:szCs w:val="24"/>
        </w:rPr>
        <w:t>正面词采用“必须”，反面词采用“严禁”；</w:t>
      </w:r>
    </w:p>
    <w:p w14:paraId="29A35A52">
      <w:pPr>
        <w:pStyle w:val="35"/>
        <w:numPr>
          <w:ilvl w:val="2"/>
          <w:numId w:val="2"/>
        </w:numPr>
        <w:spacing w:line="360" w:lineRule="auto"/>
        <w:ind w:left="0" w:firstLine="480" w:firstLineChars="200"/>
        <w:rPr>
          <w:sz w:val="24"/>
          <w:szCs w:val="24"/>
        </w:rPr>
      </w:pPr>
      <w:r>
        <w:rPr>
          <w:rFonts w:hint="eastAsia"/>
          <w:sz w:val="24"/>
          <w:szCs w:val="24"/>
        </w:rPr>
        <w:t>表示严格，在正常情况下均应这样做的：</w:t>
      </w:r>
    </w:p>
    <w:p w14:paraId="3A3BC989">
      <w:pPr>
        <w:pStyle w:val="35"/>
        <w:spacing w:line="360" w:lineRule="auto"/>
        <w:ind w:left="0" w:leftChars="0" w:firstLine="480" w:firstLineChars="200"/>
        <w:rPr>
          <w:sz w:val="24"/>
          <w:szCs w:val="24"/>
        </w:rPr>
      </w:pPr>
      <w:r>
        <w:rPr>
          <w:rFonts w:hint="eastAsia"/>
          <w:sz w:val="24"/>
          <w:szCs w:val="24"/>
        </w:rPr>
        <w:t>正面词采用“应”，反面词采用“不应”或“不得”；</w:t>
      </w:r>
    </w:p>
    <w:p w14:paraId="7F27B843">
      <w:pPr>
        <w:pStyle w:val="35"/>
        <w:numPr>
          <w:ilvl w:val="2"/>
          <w:numId w:val="2"/>
        </w:numPr>
        <w:spacing w:line="360" w:lineRule="auto"/>
        <w:ind w:left="0" w:firstLine="480" w:firstLineChars="200"/>
        <w:rPr>
          <w:sz w:val="24"/>
          <w:szCs w:val="24"/>
        </w:rPr>
      </w:pPr>
      <w:r>
        <w:rPr>
          <w:rFonts w:hint="eastAsia"/>
          <w:sz w:val="24"/>
          <w:szCs w:val="24"/>
        </w:rPr>
        <w:t>表示允许稍有选择，在条件许可时首先应这样做的：</w:t>
      </w:r>
    </w:p>
    <w:p w14:paraId="75100916">
      <w:pPr>
        <w:pStyle w:val="35"/>
        <w:spacing w:line="360" w:lineRule="auto"/>
        <w:ind w:left="0" w:leftChars="0" w:firstLine="480" w:firstLineChars="200"/>
        <w:rPr>
          <w:sz w:val="24"/>
          <w:szCs w:val="24"/>
        </w:rPr>
      </w:pPr>
      <w:r>
        <w:rPr>
          <w:rFonts w:hint="eastAsia"/>
          <w:sz w:val="24"/>
          <w:szCs w:val="24"/>
        </w:rPr>
        <w:t>正面词采用“宜”，反面词采用“不宜”；</w:t>
      </w:r>
    </w:p>
    <w:p w14:paraId="6E3194CF">
      <w:pPr>
        <w:pStyle w:val="35"/>
        <w:numPr>
          <w:ilvl w:val="2"/>
          <w:numId w:val="2"/>
        </w:numPr>
        <w:spacing w:line="360" w:lineRule="auto"/>
        <w:ind w:left="0" w:firstLine="480" w:firstLineChars="200"/>
        <w:rPr>
          <w:sz w:val="24"/>
          <w:szCs w:val="24"/>
        </w:rPr>
      </w:pPr>
      <w:r>
        <w:rPr>
          <w:rFonts w:hint="eastAsia"/>
          <w:sz w:val="24"/>
          <w:szCs w:val="24"/>
        </w:rPr>
        <w:t>表示有选择，在一定条件下可以这样做的，采用“可”。</w:t>
      </w:r>
    </w:p>
    <w:p w14:paraId="2B8D929B">
      <w:pPr>
        <w:spacing w:line="360" w:lineRule="auto"/>
        <w:sectPr>
          <w:pgSz w:w="11906" w:h="16838"/>
          <w:pgMar w:top="1440" w:right="1800" w:bottom="1440" w:left="1800" w:header="851" w:footer="992" w:gutter="0"/>
          <w:cols w:space="425" w:num="1"/>
          <w:docGrid w:type="lines" w:linePitch="312" w:charSpace="0"/>
        </w:sectPr>
      </w:pPr>
    </w:p>
    <w:p w14:paraId="43B95E25">
      <w:pPr>
        <w:pStyle w:val="35"/>
        <w:ind w:firstLine="0" w:firstLineChars="0"/>
        <w:jc w:val="center"/>
        <w:outlineLvl w:val="9"/>
        <w:rPr>
          <w:rFonts w:hint="eastAsia" w:ascii="宋体" w:hAnsi="宋体"/>
          <w:b/>
          <w:sz w:val="28"/>
          <w:szCs w:val="28"/>
        </w:rPr>
      </w:pPr>
      <w:bookmarkStart w:id="230" w:name="_Toc19684"/>
      <w:bookmarkStart w:id="231" w:name="_Toc160550430"/>
      <w:bookmarkStart w:id="232" w:name="_Toc28717"/>
    </w:p>
    <w:p w14:paraId="67821FC1">
      <w:pPr>
        <w:pStyle w:val="35"/>
        <w:ind w:firstLine="0" w:firstLineChars="0"/>
        <w:jc w:val="center"/>
        <w:outlineLvl w:val="0"/>
        <w:rPr>
          <w:rFonts w:ascii="宋体" w:hAnsi="宋体"/>
          <w:b/>
          <w:sz w:val="28"/>
          <w:szCs w:val="28"/>
        </w:rPr>
      </w:pPr>
      <w:bookmarkStart w:id="233" w:name="_Toc8742"/>
      <w:bookmarkStart w:id="234" w:name="_Toc25810"/>
      <w:r>
        <w:rPr>
          <w:rFonts w:hint="eastAsia" w:ascii="宋体" w:hAnsi="宋体"/>
          <w:b/>
          <w:sz w:val="28"/>
          <w:szCs w:val="28"/>
        </w:rPr>
        <w:t>引用标准名录</w:t>
      </w:r>
      <w:bookmarkEnd w:id="230"/>
      <w:bookmarkEnd w:id="231"/>
      <w:bookmarkEnd w:id="232"/>
      <w:bookmarkEnd w:id="233"/>
      <w:bookmarkEnd w:id="234"/>
    </w:p>
    <w:p w14:paraId="56694A2E">
      <w:pPr>
        <w:spacing w:line="360" w:lineRule="auto"/>
        <w:ind w:firstLine="480" w:firstLineChars="200"/>
        <w:rPr>
          <w:sz w:val="24"/>
          <w:szCs w:val="24"/>
        </w:rPr>
      </w:pPr>
      <w:r>
        <w:rPr>
          <w:rFonts w:hint="eastAsia"/>
          <w:sz w:val="24"/>
          <w:szCs w:val="24"/>
        </w:rPr>
        <w:t>本</w:t>
      </w:r>
      <w:r>
        <w:rPr>
          <w:rFonts w:hint="eastAsia"/>
          <w:sz w:val="24"/>
          <w:szCs w:val="24"/>
          <w:lang w:val="en-US" w:eastAsia="zh-CN"/>
        </w:rPr>
        <w:t>标准</w:t>
      </w:r>
      <w:r>
        <w:rPr>
          <w:rFonts w:hint="eastAsia"/>
          <w:sz w:val="24"/>
          <w:szCs w:val="24"/>
        </w:rPr>
        <w:t>引用下列标准。其中，注日期的，仅对该日期对应的版本适用本</w:t>
      </w:r>
      <w:r>
        <w:rPr>
          <w:rFonts w:hint="eastAsia"/>
          <w:sz w:val="24"/>
          <w:szCs w:val="24"/>
          <w:lang w:val="en-US" w:eastAsia="zh-CN"/>
        </w:rPr>
        <w:t>标准</w:t>
      </w:r>
      <w:r>
        <w:rPr>
          <w:rFonts w:hint="eastAsia"/>
          <w:sz w:val="24"/>
          <w:szCs w:val="24"/>
        </w:rPr>
        <w:t>；不注日期的，其最新版适用于本</w:t>
      </w:r>
      <w:r>
        <w:rPr>
          <w:rFonts w:hint="eastAsia"/>
          <w:sz w:val="24"/>
          <w:szCs w:val="24"/>
          <w:lang w:val="en-US" w:eastAsia="zh-CN"/>
        </w:rPr>
        <w:t>标准</w:t>
      </w:r>
      <w:r>
        <w:rPr>
          <w:rFonts w:hint="eastAsia"/>
          <w:sz w:val="24"/>
          <w:szCs w:val="24"/>
        </w:rPr>
        <w:t>。</w:t>
      </w:r>
    </w:p>
    <w:p w14:paraId="54859F05">
      <w:pPr>
        <w:spacing w:line="360" w:lineRule="auto"/>
        <w:ind w:firstLine="480" w:firstLineChars="200"/>
        <w:rPr>
          <w:rFonts w:hint="eastAsia" w:ascii="宋体"/>
          <w:sz w:val="24"/>
        </w:rPr>
      </w:pPr>
      <w:r>
        <w:rPr>
          <w:rFonts w:hint="eastAsia" w:ascii="宋体"/>
          <w:sz w:val="24"/>
        </w:rPr>
        <w:t>《中小型三相异步电动机能效限定值及能效等级》</w:t>
      </w:r>
      <w:r>
        <w:rPr>
          <w:rFonts w:hint="default" w:ascii="Times New Roman"/>
          <w:sz w:val="24"/>
        </w:rPr>
        <w:t>GB</w:t>
      </w:r>
      <w:r>
        <w:rPr>
          <w:rFonts w:hint="default" w:ascii="Times New Roman"/>
          <w:sz w:val="24"/>
          <w:lang w:val="en-US" w:eastAsia="zh-CN"/>
        </w:rPr>
        <w:t xml:space="preserve"> </w:t>
      </w:r>
      <w:r>
        <w:rPr>
          <w:rFonts w:hint="default" w:ascii="Times New Roman"/>
          <w:sz w:val="24"/>
        </w:rPr>
        <w:t>18613</w:t>
      </w:r>
    </w:p>
    <w:p w14:paraId="3F5488C9">
      <w:pPr>
        <w:spacing w:line="360" w:lineRule="auto"/>
        <w:ind w:firstLine="480" w:firstLineChars="200"/>
        <w:rPr>
          <w:rFonts w:hint="eastAsia" w:ascii="宋体"/>
          <w:sz w:val="24"/>
        </w:rPr>
      </w:pPr>
      <w:r>
        <w:rPr>
          <w:rFonts w:hint="eastAsia" w:ascii="宋体"/>
          <w:sz w:val="24"/>
        </w:rPr>
        <w:t>《三相配电变压器能效限定值及能效等级》</w:t>
      </w:r>
      <w:r>
        <w:rPr>
          <w:rFonts w:hint="default" w:ascii="Times New Roman"/>
          <w:sz w:val="24"/>
        </w:rPr>
        <w:t>GB 20052</w:t>
      </w:r>
    </w:p>
    <w:p w14:paraId="03B9D512">
      <w:pPr>
        <w:spacing w:line="360" w:lineRule="auto"/>
        <w:ind w:firstLine="480" w:firstLineChars="200"/>
        <w:rPr>
          <w:rFonts w:hint="eastAsia" w:ascii="宋体"/>
          <w:sz w:val="24"/>
        </w:rPr>
      </w:pPr>
      <w:r>
        <w:rPr>
          <w:rFonts w:hint="eastAsia" w:ascii="宋体"/>
          <w:sz w:val="24"/>
        </w:rPr>
        <w:t>《水（地）源热泵机组能效限定值及能效等级》</w:t>
      </w:r>
      <w:r>
        <w:rPr>
          <w:rFonts w:hint="default" w:ascii="Times New Roman"/>
          <w:sz w:val="24"/>
        </w:rPr>
        <w:t>GB</w:t>
      </w:r>
      <w:r>
        <w:rPr>
          <w:rFonts w:hint="default" w:ascii="Times New Roman"/>
          <w:sz w:val="24"/>
          <w:lang w:val="en-US" w:eastAsia="zh-CN"/>
        </w:rPr>
        <w:t xml:space="preserve"> </w:t>
      </w:r>
      <w:r>
        <w:rPr>
          <w:rFonts w:hint="default" w:ascii="Times New Roman"/>
          <w:sz w:val="24"/>
        </w:rPr>
        <w:t>30721</w:t>
      </w:r>
    </w:p>
    <w:p w14:paraId="5E4971FC">
      <w:pPr>
        <w:spacing w:line="360" w:lineRule="auto"/>
        <w:ind w:firstLine="480" w:firstLineChars="200"/>
        <w:rPr>
          <w:rFonts w:hint="eastAsia" w:ascii="宋体"/>
          <w:sz w:val="24"/>
        </w:rPr>
      </w:pPr>
      <w:r>
        <w:rPr>
          <w:rFonts w:hint="eastAsia" w:ascii="宋体"/>
          <w:sz w:val="24"/>
        </w:rPr>
        <w:t>《建筑照明设计标准》</w:t>
      </w:r>
      <w:r>
        <w:rPr>
          <w:rFonts w:hint="default" w:ascii="Times New Roman"/>
          <w:sz w:val="24"/>
        </w:rPr>
        <w:t>GB/T 50034</w:t>
      </w:r>
    </w:p>
    <w:p w14:paraId="2D549021">
      <w:pPr>
        <w:spacing w:line="360" w:lineRule="auto"/>
        <w:ind w:firstLine="480" w:firstLineChars="200"/>
        <w:rPr>
          <w:rFonts w:hint="eastAsia" w:ascii="宋体"/>
          <w:sz w:val="24"/>
        </w:rPr>
      </w:pPr>
      <w:r>
        <w:rPr>
          <w:rFonts w:hint="eastAsia" w:ascii="宋体"/>
          <w:sz w:val="24"/>
        </w:rPr>
        <w:t>《公共建筑节能设计标准》</w:t>
      </w:r>
      <w:r>
        <w:rPr>
          <w:rFonts w:hint="default" w:ascii="Times New Roman"/>
          <w:sz w:val="24"/>
        </w:rPr>
        <w:t>GB 50189</w:t>
      </w:r>
    </w:p>
    <w:p w14:paraId="77B4E2F7">
      <w:pPr>
        <w:spacing w:line="360" w:lineRule="auto"/>
        <w:ind w:firstLine="480" w:firstLineChars="200"/>
        <w:rPr>
          <w:rFonts w:hint="eastAsia" w:ascii="宋体"/>
          <w:sz w:val="24"/>
        </w:rPr>
      </w:pPr>
      <w:r>
        <w:rPr>
          <w:rFonts w:hint="eastAsia" w:ascii="宋体"/>
          <w:sz w:val="24"/>
        </w:rPr>
        <w:t>《智能建筑设计标准》</w:t>
      </w:r>
      <w:r>
        <w:rPr>
          <w:rFonts w:hint="default" w:ascii="Times New Roman"/>
          <w:sz w:val="24"/>
        </w:rPr>
        <w:t>GB 50314</w:t>
      </w:r>
    </w:p>
    <w:p w14:paraId="1FB93073">
      <w:pPr>
        <w:spacing w:line="360" w:lineRule="auto"/>
        <w:ind w:firstLine="480" w:firstLineChars="200"/>
        <w:rPr>
          <w:rFonts w:hint="eastAsia" w:ascii="宋体"/>
          <w:sz w:val="24"/>
        </w:rPr>
      </w:pPr>
      <w:r>
        <w:rPr>
          <w:rFonts w:hint="eastAsia" w:ascii="宋体"/>
          <w:sz w:val="24"/>
        </w:rPr>
        <w:t>《民用建筑供暖通风与空气调节设计规范》</w:t>
      </w:r>
      <w:r>
        <w:rPr>
          <w:rFonts w:hint="default" w:ascii="Times New Roman"/>
          <w:sz w:val="24"/>
        </w:rPr>
        <w:t>GB</w:t>
      </w:r>
      <w:r>
        <w:rPr>
          <w:rFonts w:hint="default" w:ascii="Times New Roman"/>
          <w:sz w:val="24"/>
          <w:lang w:val="en-US" w:eastAsia="zh-CN"/>
        </w:rPr>
        <w:t xml:space="preserve"> </w:t>
      </w:r>
      <w:r>
        <w:rPr>
          <w:rFonts w:hint="default" w:ascii="Times New Roman"/>
          <w:sz w:val="24"/>
        </w:rPr>
        <w:t>50736</w:t>
      </w:r>
    </w:p>
    <w:p w14:paraId="4449AB4F">
      <w:pPr>
        <w:spacing w:line="360" w:lineRule="auto"/>
        <w:ind w:firstLine="480" w:firstLineChars="200"/>
        <w:rPr>
          <w:rFonts w:hint="eastAsia" w:ascii="宋体"/>
          <w:sz w:val="24"/>
        </w:rPr>
      </w:pPr>
      <w:r>
        <w:rPr>
          <w:rFonts w:hint="eastAsia" w:ascii="宋体"/>
          <w:sz w:val="24"/>
        </w:rPr>
        <w:fldChar w:fldCharType="begin"/>
      </w:r>
      <w:r>
        <w:rPr>
          <w:rFonts w:hint="eastAsia" w:ascii="宋体"/>
          <w:sz w:val="24"/>
        </w:rPr>
        <w:instrText xml:space="preserve"> HYPERLINK "https://www.waizi.org.cn/bz/130895.html" \l ":~:text=%E3%80%8A%E4%BD%8F%E6%88%BF%E5%92%8C%E5%9F%8E%E4%B9%A1%E5%BB%BA%E8%AE%BE%E9%83%A8%E5%85%B3%E4%BA%8E%E5%8F%91%E5%B8%83%E5%9B%BD%E5%AE%B6%E6%A0%87%E5%87%86%E3%80%88%E6%B0%91%E7%94%A8%E5%BB%BA%E7%AD%91%E7%94%B5%E6%B0%94%E8%AE%BE%E8%AE%A1%E6%A0%87%E5%87%86%E3%80%89%E7%9A%84%E5%85%AC%E5%91%8A%E3%80%8B %E4%BD%8F%E6%88%BF%E5%92%8C%E5%9F%8E%E4%B9%A1%E5%BB%BA%E8%AE%BE%E9%83%A8%E5%85%AC%E5%91%8A2019%E5%B9%B4%E7%AC%AC314%E5%8F%B7,%E7%8E%B0%E6%89%B9%E5%87%86%E3%80%8A%E6%B0%91%E7%94%A8%E5%BB%BA%E7%AD%91%E7%94%B5%E6%B0%94%E8%AE%BE%E8%AE%A1%E6%A0%87%E5%87%86%E3%80%8B%E4%B8%BA%E5%9B%BD%E5%AE%B6%E6%A0%87%E5%87%86%EF%BC%8C%E7%BC%96%E5%8F%B7%E4%B8%BAGB51348-2019%EF%BC%8C%E8%87%AA2020%E5%B9%B48%E6%9C%881%E6%97%A5%E8%B5%B7%E5%AE%9E%E6%96%BD%E3%80%82 %E5%85%B6%E4%B8%AD%EF%BC%8C%E7%AC%AC3.2.1%E3%80%813.2.8%E3%80%813.3.4%E3%80%814.3.5%E3%80%814.7.3%E3%80%814.10.1%E3%80%817.2.4%E3%80%817.4.6%E3%80%817.5.2%E3%80%817.6.3%E3%80%818.1.6%E3%80%819.4.5%E3%80%8111.2.3%E3%80%8111.2.4%E3%80%8111.8.8%E3%80%8112.4.10%E3%80%8112.4.14%E3%80%8112.5.8%E3%80%8113.4.6%E3%80%8113.7.6%E3%80%8114.4.3%E3%80%8114.9.4%E6%9D%A1%E4%B8%BA%E5%BC%BA%E5%88%B6%E6%80%A7%E6%9D%A1%E6%96%87%EF%BC%8C%E5%BF%85%E9%A1%BB%E4%B8%A5%E6%A0%BC%E6%89%A7%E8%A1%8C%E3%80%82" \t "https://cn.bing.com/_blank" </w:instrText>
      </w:r>
      <w:r>
        <w:rPr>
          <w:rFonts w:hint="eastAsia" w:ascii="宋体"/>
          <w:sz w:val="24"/>
        </w:rPr>
        <w:fldChar w:fldCharType="separate"/>
      </w:r>
      <w:r>
        <w:rPr>
          <w:rFonts w:hint="eastAsia" w:ascii="宋体"/>
          <w:sz w:val="24"/>
        </w:rPr>
        <w:t>《民用建筑电气设计标准》</w:t>
      </w:r>
      <w:r>
        <w:rPr>
          <w:rFonts w:hint="default" w:ascii="Times New Roman"/>
          <w:sz w:val="24"/>
        </w:rPr>
        <w:t>GB</w:t>
      </w:r>
      <w:r>
        <w:rPr>
          <w:rFonts w:hint="default" w:ascii="Times New Roman"/>
          <w:sz w:val="24"/>
          <w:lang w:val="en-US" w:eastAsia="zh-CN"/>
        </w:rPr>
        <w:t xml:space="preserve"> </w:t>
      </w:r>
      <w:r>
        <w:rPr>
          <w:rFonts w:hint="default" w:ascii="Times New Roman"/>
          <w:sz w:val="24"/>
        </w:rPr>
        <w:t>51348</w:t>
      </w:r>
      <w:r>
        <w:rPr>
          <w:rFonts w:hint="eastAsia" w:ascii="宋体"/>
          <w:sz w:val="24"/>
        </w:rPr>
        <w:fldChar w:fldCharType="end"/>
      </w:r>
    </w:p>
    <w:p w14:paraId="50588FCA">
      <w:pPr>
        <w:spacing w:line="360" w:lineRule="auto"/>
        <w:ind w:firstLine="480" w:firstLineChars="200"/>
        <w:rPr>
          <w:rFonts w:hint="eastAsia" w:ascii="宋体"/>
          <w:sz w:val="24"/>
        </w:rPr>
      </w:pPr>
      <w:r>
        <w:rPr>
          <w:rFonts w:hint="eastAsia" w:ascii="宋体"/>
          <w:sz w:val="24"/>
        </w:rPr>
        <w:t>《建筑节能与可再生能源利用通用规范》</w:t>
      </w:r>
      <w:r>
        <w:rPr>
          <w:rFonts w:hint="default" w:ascii="Times New Roman"/>
          <w:sz w:val="24"/>
        </w:rPr>
        <w:t>GB</w:t>
      </w:r>
      <w:r>
        <w:rPr>
          <w:rFonts w:hint="default" w:ascii="Times New Roman"/>
          <w:sz w:val="24"/>
          <w:lang w:val="en-US" w:eastAsia="zh-CN"/>
        </w:rPr>
        <w:t xml:space="preserve"> </w:t>
      </w:r>
      <w:r>
        <w:rPr>
          <w:rFonts w:hint="default" w:ascii="Times New Roman"/>
          <w:sz w:val="24"/>
        </w:rPr>
        <w:t>55015</w:t>
      </w:r>
    </w:p>
    <w:p w14:paraId="010CBC84">
      <w:pPr>
        <w:spacing w:line="360" w:lineRule="auto"/>
        <w:ind w:firstLine="480" w:firstLineChars="200"/>
        <w:rPr>
          <w:rFonts w:hint="eastAsia" w:ascii="宋体"/>
          <w:sz w:val="24"/>
          <w:szCs w:val="21"/>
        </w:rPr>
      </w:pPr>
      <w:r>
        <w:rPr>
          <w:rFonts w:hint="eastAsia" w:ascii="宋体"/>
          <w:sz w:val="24"/>
          <w:szCs w:val="21"/>
        </w:rPr>
        <w:t>《塑料门窗工程技术规程》</w:t>
      </w:r>
      <w:r>
        <w:rPr>
          <w:rFonts w:hint="default" w:ascii="Times New Roman"/>
          <w:sz w:val="24"/>
          <w:szCs w:val="21"/>
        </w:rPr>
        <w:t>JGJ 103</w:t>
      </w:r>
    </w:p>
    <w:p w14:paraId="7F3C0FC1">
      <w:pPr>
        <w:spacing w:line="360" w:lineRule="auto"/>
        <w:ind w:firstLine="480" w:firstLineChars="200"/>
        <w:rPr>
          <w:rFonts w:hint="eastAsia" w:ascii="宋体"/>
          <w:sz w:val="24"/>
          <w:szCs w:val="21"/>
        </w:rPr>
      </w:pPr>
      <w:r>
        <w:rPr>
          <w:rFonts w:hint="eastAsia" w:ascii="宋体"/>
          <w:sz w:val="24"/>
          <w:szCs w:val="21"/>
        </w:rPr>
        <w:t>《公共建筑节能改造技术规范》</w:t>
      </w:r>
      <w:r>
        <w:rPr>
          <w:rFonts w:hint="default" w:ascii="Times New Roman"/>
          <w:sz w:val="24"/>
          <w:szCs w:val="21"/>
        </w:rPr>
        <w:t>JGJ 176</w:t>
      </w:r>
    </w:p>
    <w:p w14:paraId="1E9F7880">
      <w:pPr>
        <w:spacing w:line="360" w:lineRule="auto"/>
        <w:ind w:firstLine="480" w:firstLineChars="200"/>
        <w:rPr>
          <w:rFonts w:hint="eastAsia" w:ascii="宋体"/>
          <w:sz w:val="24"/>
          <w:szCs w:val="21"/>
        </w:rPr>
      </w:pPr>
      <w:r>
        <w:rPr>
          <w:rFonts w:hint="eastAsia" w:ascii="宋体"/>
          <w:sz w:val="24"/>
          <w:szCs w:val="21"/>
        </w:rPr>
        <w:t>《铝合金门窗工程技术规范》</w:t>
      </w:r>
      <w:r>
        <w:rPr>
          <w:rFonts w:hint="default" w:ascii="Times New Roman"/>
          <w:sz w:val="24"/>
          <w:szCs w:val="21"/>
        </w:rPr>
        <w:t>JGJ 214</w:t>
      </w:r>
    </w:p>
    <w:p w14:paraId="64677AAC">
      <w:pPr>
        <w:spacing w:line="360" w:lineRule="auto"/>
        <w:ind w:firstLine="480" w:firstLineChars="200"/>
        <w:rPr>
          <w:rFonts w:hint="eastAsia" w:ascii="宋体"/>
          <w:sz w:val="24"/>
        </w:rPr>
      </w:pPr>
      <w:r>
        <w:rPr>
          <w:rFonts w:hint="eastAsia" w:ascii="宋体"/>
          <w:sz w:val="24"/>
        </w:rPr>
        <w:t>《民用建筑绿色性能计算标准》</w:t>
      </w:r>
      <w:r>
        <w:rPr>
          <w:rFonts w:hint="default" w:ascii="Times New Roman"/>
          <w:sz w:val="24"/>
        </w:rPr>
        <w:t>JGJ/T 449</w:t>
      </w:r>
    </w:p>
    <w:p w14:paraId="379C3486">
      <w:pPr>
        <w:spacing w:line="360" w:lineRule="auto"/>
        <w:ind w:firstLine="480" w:firstLineChars="200"/>
        <w:rPr>
          <w:rFonts w:hint="eastAsia" w:ascii="宋体"/>
          <w:sz w:val="24"/>
        </w:rPr>
        <w:sectPr>
          <w:pgSz w:w="11906" w:h="16838"/>
          <w:pgMar w:top="1440" w:right="1800" w:bottom="1440" w:left="1800" w:header="851" w:footer="992" w:gutter="0"/>
          <w:cols w:space="425" w:num="1"/>
          <w:docGrid w:type="lines" w:linePitch="312" w:charSpace="0"/>
        </w:sectPr>
      </w:pPr>
    </w:p>
    <w:p w14:paraId="4F41A16D">
      <w:pPr>
        <w:widowControl/>
        <w:rPr>
          <w:sz w:val="24"/>
          <w:szCs w:val="24"/>
        </w:rPr>
      </w:pPr>
    </w:p>
    <w:p w14:paraId="10CC1A98">
      <w:pPr>
        <w:spacing w:line="600" w:lineRule="exact"/>
        <w:jc w:val="center"/>
        <w:rPr>
          <w:rFonts w:ascii="宋体"/>
          <w:sz w:val="36"/>
          <w:szCs w:val="36"/>
        </w:rPr>
      </w:pPr>
    </w:p>
    <w:p w14:paraId="2AF96976">
      <w:pPr>
        <w:spacing w:line="600" w:lineRule="exact"/>
        <w:jc w:val="center"/>
        <w:rPr>
          <w:rFonts w:ascii="宋体"/>
          <w:sz w:val="36"/>
          <w:szCs w:val="36"/>
        </w:rPr>
      </w:pPr>
    </w:p>
    <w:p w14:paraId="782BDD5A">
      <w:pPr>
        <w:spacing w:line="600" w:lineRule="exact"/>
        <w:jc w:val="center"/>
        <w:rPr>
          <w:rFonts w:ascii="宋体"/>
          <w:sz w:val="36"/>
          <w:szCs w:val="36"/>
        </w:rPr>
      </w:pPr>
      <w:r>
        <w:rPr>
          <w:rFonts w:hint="eastAsia" w:ascii="宋体"/>
          <w:sz w:val="36"/>
          <w:szCs w:val="36"/>
        </w:rPr>
        <w:t>中国工程建设标准化协会标准</w:t>
      </w:r>
    </w:p>
    <w:p w14:paraId="32D9A2D1">
      <w:pPr>
        <w:spacing w:after="156" w:afterLines="50" w:line="600" w:lineRule="exact"/>
        <w:jc w:val="center"/>
        <w:rPr>
          <w:rFonts w:ascii="仿宋_GB2312" w:eastAsia="仿宋_GB2312"/>
          <w:sz w:val="24"/>
        </w:rPr>
      </w:pPr>
    </w:p>
    <w:p w14:paraId="3D28A606">
      <w:pPr>
        <w:spacing w:line="600" w:lineRule="exact"/>
        <w:jc w:val="center"/>
        <w:rPr>
          <w:rFonts w:hint="eastAsia" w:ascii="宋体"/>
          <w:sz w:val="36"/>
          <w:szCs w:val="36"/>
        </w:rPr>
      </w:pPr>
      <w:r>
        <w:rPr>
          <w:rFonts w:hint="eastAsia" w:ascii="宋体"/>
          <w:sz w:val="36"/>
          <w:szCs w:val="36"/>
        </w:rPr>
        <w:t>既有工业建筑民用化低碳改造评价标准</w:t>
      </w:r>
    </w:p>
    <w:p w14:paraId="10B55FA4">
      <w:pPr>
        <w:spacing w:line="600" w:lineRule="exact"/>
        <w:jc w:val="center"/>
        <w:rPr>
          <w:rFonts w:hint="eastAsia" w:ascii="宋体"/>
          <w:sz w:val="36"/>
          <w:szCs w:val="36"/>
        </w:rPr>
      </w:pPr>
    </w:p>
    <w:p w14:paraId="73747751">
      <w:pPr>
        <w:spacing w:line="600" w:lineRule="exact"/>
        <w:jc w:val="center"/>
        <w:rPr>
          <w:rFonts w:hint="eastAsia" w:ascii="宋体"/>
          <w:sz w:val="36"/>
          <w:szCs w:val="36"/>
        </w:rPr>
      </w:pPr>
    </w:p>
    <w:p w14:paraId="29163754">
      <w:pPr>
        <w:spacing w:line="380" w:lineRule="atLeast"/>
        <w:ind w:left="1" w:firstLine="260"/>
        <w:jc w:val="center"/>
        <w:rPr>
          <w:rFonts w:hint="eastAsia"/>
          <w:sz w:val="30"/>
          <w:szCs w:val="30"/>
        </w:rPr>
      </w:pPr>
      <w:r>
        <w:rPr>
          <w:rFonts w:hint="eastAsia"/>
          <w:sz w:val="30"/>
          <w:szCs w:val="30"/>
        </w:rPr>
        <w:t>T/CECS 1×××-2</w:t>
      </w:r>
      <w:r>
        <w:rPr>
          <w:sz w:val="30"/>
          <w:szCs w:val="30"/>
        </w:rPr>
        <w:t>02</w:t>
      </w:r>
      <w:r>
        <w:rPr>
          <w:rFonts w:hint="eastAsia"/>
          <w:sz w:val="30"/>
          <w:szCs w:val="30"/>
        </w:rPr>
        <w:t>×</w:t>
      </w:r>
    </w:p>
    <w:p w14:paraId="239F9BB2">
      <w:pPr>
        <w:spacing w:line="380" w:lineRule="atLeast"/>
        <w:ind w:left="1" w:firstLine="260"/>
        <w:jc w:val="center"/>
        <w:rPr>
          <w:rFonts w:hint="eastAsia"/>
          <w:sz w:val="30"/>
          <w:szCs w:val="30"/>
        </w:rPr>
      </w:pPr>
    </w:p>
    <w:p w14:paraId="202B2A18">
      <w:pPr>
        <w:spacing w:line="380" w:lineRule="atLeast"/>
        <w:ind w:firstLine="238"/>
        <w:jc w:val="center"/>
        <w:outlineLvl w:val="0"/>
        <w:rPr>
          <w:rFonts w:ascii="宋体"/>
          <w:sz w:val="32"/>
          <w:szCs w:val="32"/>
        </w:rPr>
      </w:pPr>
      <w:bookmarkStart w:id="235" w:name="_Toc123206088"/>
      <w:bookmarkStart w:id="236" w:name="_Toc27583"/>
      <w:bookmarkStart w:id="237" w:name="_Toc5661"/>
      <w:bookmarkStart w:id="238" w:name="_Toc160550431"/>
      <w:bookmarkStart w:id="239" w:name="_Toc28236"/>
      <w:bookmarkStart w:id="240" w:name="_Toc4129"/>
      <w:bookmarkStart w:id="241" w:name="_Toc123206319"/>
      <w:r>
        <w:rPr>
          <w:rFonts w:hint="eastAsia" w:ascii="宋体"/>
          <w:sz w:val="32"/>
          <w:szCs w:val="32"/>
        </w:rPr>
        <w:t>条文说明</w:t>
      </w:r>
      <w:bookmarkEnd w:id="235"/>
      <w:bookmarkEnd w:id="236"/>
      <w:bookmarkEnd w:id="237"/>
      <w:bookmarkEnd w:id="238"/>
      <w:bookmarkEnd w:id="239"/>
      <w:bookmarkEnd w:id="240"/>
      <w:bookmarkEnd w:id="241"/>
    </w:p>
    <w:p w14:paraId="6CBEAAB4">
      <w:pPr>
        <w:spacing w:line="380" w:lineRule="atLeast"/>
        <w:ind w:firstLine="240"/>
        <w:jc w:val="center"/>
        <w:rPr>
          <w:rFonts w:ascii="宋体"/>
          <w:sz w:val="32"/>
          <w:szCs w:val="32"/>
        </w:rPr>
      </w:pPr>
    </w:p>
    <w:p w14:paraId="5D2BDFE5">
      <w:pPr>
        <w:spacing w:line="380" w:lineRule="atLeast"/>
        <w:ind w:firstLine="240"/>
        <w:jc w:val="center"/>
        <w:rPr>
          <w:rFonts w:ascii="宋体"/>
          <w:sz w:val="32"/>
          <w:szCs w:val="32"/>
        </w:rPr>
      </w:pPr>
    </w:p>
    <w:p w14:paraId="41D4003B">
      <w:pPr>
        <w:spacing w:line="360" w:lineRule="auto"/>
        <w:ind w:firstLine="480" w:firstLineChars="200"/>
        <w:rPr>
          <w:rFonts w:hint="eastAsia" w:ascii="宋体"/>
          <w:sz w:val="24"/>
        </w:rPr>
        <w:sectPr>
          <w:pgSz w:w="11906" w:h="16838"/>
          <w:pgMar w:top="1440" w:right="1800" w:bottom="1440" w:left="1800" w:header="851" w:footer="992" w:gutter="0"/>
          <w:cols w:space="425" w:num="1"/>
          <w:docGrid w:type="lines" w:linePitch="312" w:charSpace="0"/>
        </w:sectPr>
      </w:pPr>
    </w:p>
    <w:p w14:paraId="2B7BBB43">
      <w:pPr>
        <w:widowControl/>
        <w:spacing w:line="360" w:lineRule="auto"/>
        <w:rPr>
          <w:rFonts w:ascii="宋体" w:hAnsi="Calibri"/>
          <w:sz w:val="32"/>
          <w:szCs w:val="32"/>
        </w:rPr>
      </w:pPr>
    </w:p>
    <w:p w14:paraId="6AECC677">
      <w:pPr>
        <w:spacing w:line="600" w:lineRule="auto"/>
        <w:jc w:val="center"/>
        <w:outlineLvl w:val="0"/>
        <w:rPr>
          <w:rFonts w:ascii="宋体" w:hAnsi="宋体"/>
          <w:bCs/>
          <w:sz w:val="30"/>
          <w:szCs w:val="30"/>
        </w:rPr>
      </w:pPr>
      <w:bookmarkStart w:id="242" w:name="_Toc20203"/>
      <w:bookmarkStart w:id="243" w:name="_Toc11493"/>
      <w:bookmarkStart w:id="244" w:name="_Toc135901643"/>
      <w:bookmarkStart w:id="245" w:name="_Toc2372"/>
      <w:bookmarkStart w:id="246" w:name="_Toc123206089"/>
      <w:bookmarkStart w:id="247" w:name="_Toc123206320"/>
      <w:bookmarkStart w:id="248" w:name="_Toc160550432"/>
      <w:bookmarkStart w:id="249" w:name="_Toc141175293"/>
      <w:bookmarkStart w:id="250" w:name="_Toc135901712"/>
      <w:bookmarkStart w:id="251" w:name="_Toc137131850"/>
      <w:bookmarkStart w:id="252" w:name="_Toc123212920"/>
      <w:bookmarkStart w:id="253" w:name="_Toc30182"/>
      <w:r>
        <w:rPr>
          <w:rFonts w:ascii="宋体" w:hAnsi="宋体"/>
          <w:bCs/>
          <w:sz w:val="30"/>
          <w:szCs w:val="30"/>
        </w:rPr>
        <w:t>制</w:t>
      </w:r>
      <w:r>
        <w:rPr>
          <w:rFonts w:hint="eastAsia" w:ascii="宋体" w:hAnsi="宋体"/>
          <w:bCs/>
          <w:sz w:val="30"/>
          <w:szCs w:val="30"/>
        </w:rPr>
        <w:t xml:space="preserve"> </w:t>
      </w:r>
      <w:r>
        <w:rPr>
          <w:rFonts w:ascii="宋体" w:hAnsi="宋体"/>
          <w:bCs/>
          <w:sz w:val="30"/>
          <w:szCs w:val="30"/>
        </w:rPr>
        <w:t>定</w:t>
      </w:r>
      <w:r>
        <w:rPr>
          <w:rFonts w:hint="eastAsia" w:ascii="宋体" w:hAnsi="宋体"/>
          <w:bCs/>
          <w:sz w:val="30"/>
          <w:szCs w:val="30"/>
        </w:rPr>
        <w:t xml:space="preserve"> </w:t>
      </w:r>
      <w:r>
        <w:rPr>
          <w:rFonts w:ascii="宋体" w:hAnsi="宋体"/>
          <w:bCs/>
          <w:sz w:val="30"/>
          <w:szCs w:val="30"/>
        </w:rPr>
        <w:t>说</w:t>
      </w:r>
      <w:r>
        <w:rPr>
          <w:rFonts w:hint="eastAsia" w:ascii="宋体" w:hAnsi="宋体"/>
          <w:bCs/>
          <w:sz w:val="30"/>
          <w:szCs w:val="30"/>
        </w:rPr>
        <w:t xml:space="preserve"> </w:t>
      </w:r>
      <w:r>
        <w:rPr>
          <w:rFonts w:ascii="宋体" w:hAnsi="宋体"/>
          <w:bCs/>
          <w:sz w:val="30"/>
          <w:szCs w:val="30"/>
        </w:rPr>
        <w:t>明</w:t>
      </w:r>
      <w:bookmarkEnd w:id="242"/>
      <w:bookmarkEnd w:id="243"/>
      <w:bookmarkEnd w:id="244"/>
      <w:bookmarkEnd w:id="245"/>
      <w:bookmarkEnd w:id="246"/>
      <w:bookmarkEnd w:id="247"/>
      <w:bookmarkEnd w:id="248"/>
      <w:bookmarkEnd w:id="249"/>
      <w:bookmarkEnd w:id="250"/>
      <w:bookmarkEnd w:id="251"/>
      <w:bookmarkEnd w:id="252"/>
      <w:bookmarkEnd w:id="253"/>
    </w:p>
    <w:p w14:paraId="4B7D2F4D">
      <w:pPr>
        <w:spacing w:line="360" w:lineRule="auto"/>
        <w:ind w:firstLine="480" w:firstLineChars="200"/>
        <w:rPr>
          <w:rFonts w:ascii="Calibri" w:hAnsi="Calibri"/>
          <w:sz w:val="24"/>
          <w:szCs w:val="22"/>
        </w:rPr>
      </w:pPr>
    </w:p>
    <w:p w14:paraId="77133FC8">
      <w:pPr>
        <w:spacing w:line="360" w:lineRule="auto"/>
        <w:ind w:firstLine="480" w:firstLineChars="200"/>
        <w:rPr>
          <w:rFonts w:ascii="Calibri" w:hAnsi="Calibri"/>
          <w:sz w:val="24"/>
          <w:szCs w:val="22"/>
        </w:rPr>
      </w:pPr>
      <w:r>
        <w:rPr>
          <w:rFonts w:hint="eastAsia" w:ascii="Calibri" w:hAnsi="Calibri"/>
          <w:sz w:val="24"/>
          <w:szCs w:val="22"/>
        </w:rPr>
        <w:t>本</w:t>
      </w:r>
      <w:r>
        <w:rPr>
          <w:rFonts w:hint="eastAsia" w:ascii="Calibri" w:hAnsi="Calibri"/>
          <w:sz w:val="24"/>
          <w:szCs w:val="22"/>
          <w:lang w:val="en-US" w:eastAsia="zh-CN"/>
        </w:rPr>
        <w:t>标准</w:t>
      </w:r>
      <w:r>
        <w:rPr>
          <w:rFonts w:hint="eastAsia" w:ascii="Calibri" w:hAnsi="Calibri"/>
          <w:sz w:val="24"/>
          <w:szCs w:val="22"/>
        </w:rPr>
        <w:t>制定过程中，编制组对各地既有工业建筑民用化</w:t>
      </w:r>
      <w:r>
        <w:rPr>
          <w:rFonts w:hint="eastAsia" w:ascii="Calibri" w:hAnsi="Calibri"/>
          <w:sz w:val="24"/>
          <w:szCs w:val="22"/>
          <w:lang w:val="en-US" w:eastAsia="zh-CN"/>
        </w:rPr>
        <w:t>低碳</w:t>
      </w:r>
      <w:r>
        <w:rPr>
          <w:rFonts w:hint="eastAsia" w:ascii="Calibri" w:hAnsi="Calibri"/>
          <w:sz w:val="24"/>
          <w:szCs w:val="22"/>
        </w:rPr>
        <w:t>改造项目进行了</w:t>
      </w:r>
      <w:r>
        <w:rPr>
          <w:rFonts w:hint="default" w:ascii="Calibri" w:hAnsi="Calibri"/>
          <w:sz w:val="24"/>
          <w:szCs w:val="22"/>
          <w:lang w:val="en-US"/>
        </w:rPr>
        <w:t>广泛的</w:t>
      </w:r>
      <w:r>
        <w:rPr>
          <w:rFonts w:hint="eastAsia" w:ascii="Calibri" w:hAnsi="Calibri"/>
          <w:sz w:val="24"/>
          <w:szCs w:val="22"/>
        </w:rPr>
        <w:t>调查研究，总结了我国既有工业建筑及园区更新的实践经验，同时参考了国内外先进技术法规、技术标准和工程实践经验，通过细致研究编制了本</w:t>
      </w:r>
      <w:r>
        <w:rPr>
          <w:rFonts w:hint="eastAsia" w:ascii="Calibri" w:hAnsi="Calibri"/>
          <w:sz w:val="24"/>
          <w:szCs w:val="22"/>
          <w:lang w:val="en-US" w:eastAsia="zh-CN"/>
        </w:rPr>
        <w:t>标准</w:t>
      </w:r>
      <w:r>
        <w:rPr>
          <w:rFonts w:hint="eastAsia" w:ascii="Calibri" w:hAnsi="Calibri"/>
          <w:sz w:val="24"/>
          <w:szCs w:val="22"/>
        </w:rPr>
        <w:t>。</w:t>
      </w:r>
    </w:p>
    <w:p w14:paraId="26F15E18">
      <w:pPr>
        <w:spacing w:line="360" w:lineRule="auto"/>
        <w:ind w:firstLine="480" w:firstLineChars="200"/>
        <w:rPr>
          <w:rFonts w:ascii="Calibri" w:hAnsi="Calibri"/>
          <w:sz w:val="24"/>
          <w:szCs w:val="22"/>
        </w:rPr>
      </w:pPr>
      <w:r>
        <w:rPr>
          <w:rFonts w:hint="eastAsia" w:ascii="Calibri" w:hAnsi="Calibri"/>
          <w:sz w:val="24"/>
          <w:szCs w:val="22"/>
        </w:rPr>
        <w:t>为便于广大技术和管理人员在使用本</w:t>
      </w:r>
      <w:r>
        <w:rPr>
          <w:rFonts w:hint="eastAsia" w:ascii="Calibri" w:hAnsi="Calibri"/>
          <w:sz w:val="24"/>
          <w:szCs w:val="22"/>
          <w:lang w:val="en-US" w:eastAsia="zh-CN"/>
        </w:rPr>
        <w:t>标准</w:t>
      </w:r>
      <w:r>
        <w:rPr>
          <w:rFonts w:hint="eastAsia" w:ascii="Calibri" w:hAnsi="Calibri"/>
          <w:sz w:val="24"/>
          <w:szCs w:val="22"/>
        </w:rPr>
        <w:t>时能正确理解和执行条款规定，《既有工业建筑民用化低碳改造评价标准》编制组按章、节、条顺序编制了本</w:t>
      </w:r>
      <w:r>
        <w:rPr>
          <w:rFonts w:hint="eastAsia" w:ascii="Calibri" w:hAnsi="Calibri"/>
          <w:sz w:val="24"/>
          <w:szCs w:val="22"/>
          <w:lang w:val="en-US" w:eastAsia="zh-CN"/>
        </w:rPr>
        <w:t>标准</w:t>
      </w:r>
      <w:r>
        <w:rPr>
          <w:rFonts w:hint="eastAsia" w:ascii="Calibri" w:hAnsi="Calibri"/>
          <w:sz w:val="24"/>
          <w:szCs w:val="22"/>
        </w:rPr>
        <w:t>的条文说明，对条款规定的目的、依据以及执行中需注意的有关事项等进行了说明。本条文说明不具备与标准正文及附录同等的法律效力，仅供使用者作为理解和把握标准规定的参考。</w:t>
      </w:r>
    </w:p>
    <w:p w14:paraId="0CD3E721">
      <w:pPr>
        <w:spacing w:line="360" w:lineRule="auto"/>
        <w:ind w:firstLine="480" w:firstLineChars="200"/>
        <w:rPr>
          <w:rFonts w:hint="eastAsia" w:ascii="宋体"/>
          <w:sz w:val="24"/>
        </w:rPr>
        <w:sectPr>
          <w:pgSz w:w="11906" w:h="16838"/>
          <w:pgMar w:top="1440" w:right="1800" w:bottom="1440" w:left="1800" w:header="851" w:footer="992" w:gutter="0"/>
          <w:cols w:space="425" w:num="1"/>
          <w:docGrid w:type="lines" w:linePitch="312" w:charSpace="0"/>
        </w:sectPr>
      </w:pPr>
    </w:p>
    <w:p w14:paraId="5D27BD7B">
      <w:pPr>
        <w:spacing w:line="360" w:lineRule="auto"/>
        <w:ind w:firstLine="562" w:firstLineChars="200"/>
        <w:jc w:val="center"/>
        <w:outlineLvl w:val="0"/>
        <w:rPr>
          <w:rFonts w:hint="eastAsia"/>
          <w:b/>
          <w:sz w:val="28"/>
        </w:rPr>
      </w:pPr>
      <w:bookmarkStart w:id="254" w:name="_Toc2569"/>
      <w:bookmarkStart w:id="255" w:name="_Toc6913"/>
      <w:bookmarkStart w:id="256" w:name="_Toc4224"/>
      <w:r>
        <w:rPr>
          <w:rFonts w:hint="eastAsia"/>
          <w:b/>
          <w:sz w:val="28"/>
        </w:rPr>
        <w:t>目次</w:t>
      </w:r>
      <w:bookmarkEnd w:id="254"/>
      <w:bookmarkEnd w:id="255"/>
      <w:bookmarkEnd w:id="256"/>
    </w:p>
    <w:p w14:paraId="502840E8">
      <w:pPr>
        <w:spacing w:line="360" w:lineRule="auto"/>
        <w:ind w:firstLine="562" w:firstLineChars="200"/>
        <w:jc w:val="center"/>
        <w:rPr>
          <w:rFonts w:hint="eastAsia"/>
          <w:b/>
          <w:sz w:val="28"/>
        </w:rPr>
      </w:pPr>
    </w:p>
    <w:p w14:paraId="2939A64A">
      <w:pPr>
        <w:pStyle w:val="11"/>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_Toc16267 </w:instrText>
      </w:r>
      <w:r>
        <w:rPr>
          <w:rFonts w:hint="eastAsia" w:ascii="宋体" w:hAnsi="宋体" w:cs="宋体"/>
          <w:sz w:val="24"/>
          <w:szCs w:val="24"/>
        </w:rPr>
        <w:fldChar w:fldCharType="separate"/>
      </w:r>
      <w:r>
        <w:rPr>
          <w:rFonts w:hint="eastAsia" w:ascii="宋体" w:hAnsi="宋体" w:cs="宋体"/>
          <w:bCs w:val="0"/>
          <w:kern w:val="2"/>
          <w:sz w:val="24"/>
          <w:szCs w:val="24"/>
        </w:rPr>
        <w:t>1  总则</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_Toc16267 \h </w:instrText>
      </w:r>
      <w:r>
        <w:rPr>
          <w:rFonts w:hint="eastAsia" w:ascii="宋体" w:hAnsi="宋体" w:cs="宋体"/>
          <w:sz w:val="24"/>
          <w:szCs w:val="24"/>
        </w:rPr>
        <w:fldChar w:fldCharType="separate"/>
      </w:r>
      <w:r>
        <w:rPr>
          <w:rFonts w:hint="eastAsia" w:ascii="宋体" w:hAnsi="宋体" w:cs="宋体"/>
          <w:sz w:val="24"/>
          <w:szCs w:val="24"/>
        </w:rPr>
        <w:t>29</w:t>
      </w:r>
      <w:r>
        <w:rPr>
          <w:rFonts w:hint="eastAsia" w:ascii="宋体" w:hAnsi="宋体" w:cs="宋体"/>
          <w:sz w:val="24"/>
          <w:szCs w:val="24"/>
        </w:rPr>
        <w:fldChar w:fldCharType="end"/>
      </w:r>
      <w:r>
        <w:rPr>
          <w:rFonts w:hint="eastAsia" w:ascii="宋体" w:hAnsi="宋体" w:cs="宋体"/>
          <w:sz w:val="24"/>
          <w:szCs w:val="24"/>
        </w:rPr>
        <w:fldChar w:fldCharType="end"/>
      </w:r>
    </w:p>
    <w:p w14:paraId="6F97717A">
      <w:pPr>
        <w:pStyle w:val="11"/>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_Toc27696 </w:instrText>
      </w:r>
      <w:r>
        <w:rPr>
          <w:rFonts w:hint="eastAsia" w:ascii="宋体" w:hAnsi="宋体" w:cs="宋体"/>
          <w:sz w:val="24"/>
          <w:szCs w:val="24"/>
        </w:rPr>
        <w:fldChar w:fldCharType="separate"/>
      </w:r>
      <w:r>
        <w:rPr>
          <w:rFonts w:hint="eastAsia" w:ascii="宋体" w:hAnsi="宋体" w:cs="宋体"/>
          <w:bCs w:val="0"/>
          <w:kern w:val="2"/>
          <w:sz w:val="24"/>
          <w:szCs w:val="24"/>
        </w:rPr>
        <w:t>2  术语</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_Toc27696 \h </w:instrText>
      </w:r>
      <w:r>
        <w:rPr>
          <w:rFonts w:hint="eastAsia" w:ascii="宋体" w:hAnsi="宋体" w:cs="宋体"/>
          <w:sz w:val="24"/>
          <w:szCs w:val="24"/>
        </w:rPr>
        <w:fldChar w:fldCharType="separate"/>
      </w:r>
      <w:r>
        <w:rPr>
          <w:rFonts w:hint="eastAsia" w:ascii="宋体" w:hAnsi="宋体" w:cs="宋体"/>
          <w:sz w:val="24"/>
          <w:szCs w:val="24"/>
        </w:rPr>
        <w:t>31</w:t>
      </w:r>
      <w:r>
        <w:rPr>
          <w:rFonts w:hint="eastAsia" w:ascii="宋体" w:hAnsi="宋体" w:cs="宋体"/>
          <w:sz w:val="24"/>
          <w:szCs w:val="24"/>
        </w:rPr>
        <w:fldChar w:fldCharType="end"/>
      </w:r>
      <w:r>
        <w:rPr>
          <w:rFonts w:hint="eastAsia" w:ascii="宋体" w:hAnsi="宋体" w:cs="宋体"/>
          <w:sz w:val="24"/>
          <w:szCs w:val="24"/>
        </w:rPr>
        <w:fldChar w:fldCharType="end"/>
      </w:r>
    </w:p>
    <w:p w14:paraId="140D0C7F">
      <w:pPr>
        <w:pStyle w:val="11"/>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_Toc21998 </w:instrText>
      </w:r>
      <w:r>
        <w:rPr>
          <w:rFonts w:hint="eastAsia" w:ascii="宋体" w:hAnsi="宋体" w:cs="宋体"/>
          <w:sz w:val="24"/>
          <w:szCs w:val="24"/>
        </w:rPr>
        <w:fldChar w:fldCharType="separate"/>
      </w:r>
      <w:r>
        <w:rPr>
          <w:rFonts w:hint="eastAsia" w:ascii="宋体" w:hAnsi="宋体" w:cs="宋体"/>
          <w:bCs w:val="0"/>
          <w:kern w:val="2"/>
          <w:sz w:val="24"/>
          <w:szCs w:val="24"/>
        </w:rPr>
        <w:t>3  基本规定</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_Toc21998 \h </w:instrText>
      </w:r>
      <w:r>
        <w:rPr>
          <w:rFonts w:hint="eastAsia" w:ascii="宋体" w:hAnsi="宋体" w:cs="宋体"/>
          <w:sz w:val="24"/>
          <w:szCs w:val="24"/>
        </w:rPr>
        <w:fldChar w:fldCharType="separate"/>
      </w:r>
      <w:r>
        <w:rPr>
          <w:rFonts w:hint="eastAsia" w:ascii="宋体" w:hAnsi="宋体" w:cs="宋体"/>
          <w:sz w:val="24"/>
          <w:szCs w:val="24"/>
        </w:rPr>
        <w:t>32</w:t>
      </w:r>
      <w:r>
        <w:rPr>
          <w:rFonts w:hint="eastAsia" w:ascii="宋体" w:hAnsi="宋体" w:cs="宋体"/>
          <w:sz w:val="24"/>
          <w:szCs w:val="24"/>
        </w:rPr>
        <w:fldChar w:fldCharType="end"/>
      </w:r>
      <w:r>
        <w:rPr>
          <w:rFonts w:hint="eastAsia" w:ascii="宋体" w:hAnsi="宋体" w:cs="宋体"/>
          <w:sz w:val="24"/>
          <w:szCs w:val="24"/>
        </w:rPr>
        <w:fldChar w:fldCharType="end"/>
      </w:r>
    </w:p>
    <w:p w14:paraId="57E31F58">
      <w:pPr>
        <w:pStyle w:val="12"/>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_Toc1058 </w:instrText>
      </w:r>
      <w:r>
        <w:rPr>
          <w:rFonts w:hint="eastAsia" w:ascii="宋体" w:hAnsi="宋体" w:cs="宋体"/>
          <w:sz w:val="24"/>
          <w:szCs w:val="24"/>
        </w:rPr>
        <w:fldChar w:fldCharType="separate"/>
      </w:r>
      <w:r>
        <w:rPr>
          <w:rFonts w:hint="eastAsia" w:ascii="宋体" w:hAnsi="宋体" w:eastAsia="宋体" w:cs="宋体"/>
          <w:bCs/>
          <w:sz w:val="24"/>
          <w:szCs w:val="24"/>
        </w:rPr>
        <w:t>3.1  一般规定</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_Toc1058 \h </w:instrText>
      </w:r>
      <w:r>
        <w:rPr>
          <w:rFonts w:hint="eastAsia" w:ascii="宋体" w:hAnsi="宋体" w:cs="宋体"/>
          <w:sz w:val="24"/>
          <w:szCs w:val="24"/>
        </w:rPr>
        <w:fldChar w:fldCharType="separate"/>
      </w:r>
      <w:r>
        <w:rPr>
          <w:rFonts w:hint="eastAsia" w:ascii="宋体" w:hAnsi="宋体" w:cs="宋体"/>
          <w:sz w:val="24"/>
          <w:szCs w:val="24"/>
        </w:rPr>
        <w:t>32</w:t>
      </w:r>
      <w:r>
        <w:rPr>
          <w:rFonts w:hint="eastAsia" w:ascii="宋体" w:hAnsi="宋体" w:cs="宋体"/>
          <w:sz w:val="24"/>
          <w:szCs w:val="24"/>
        </w:rPr>
        <w:fldChar w:fldCharType="end"/>
      </w:r>
      <w:r>
        <w:rPr>
          <w:rFonts w:hint="eastAsia" w:ascii="宋体" w:hAnsi="宋体" w:cs="宋体"/>
          <w:sz w:val="24"/>
          <w:szCs w:val="24"/>
        </w:rPr>
        <w:fldChar w:fldCharType="end"/>
      </w:r>
    </w:p>
    <w:p w14:paraId="1E5FFEBE">
      <w:pPr>
        <w:pStyle w:val="12"/>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_Toc18415 </w:instrText>
      </w:r>
      <w:r>
        <w:rPr>
          <w:rFonts w:hint="eastAsia" w:ascii="宋体" w:hAnsi="宋体" w:cs="宋体"/>
          <w:sz w:val="24"/>
          <w:szCs w:val="24"/>
        </w:rPr>
        <w:fldChar w:fldCharType="separate"/>
      </w:r>
      <w:r>
        <w:rPr>
          <w:rFonts w:hint="eastAsia" w:ascii="宋体" w:hAnsi="宋体" w:eastAsia="宋体" w:cs="宋体"/>
          <w:bCs/>
          <w:sz w:val="24"/>
          <w:szCs w:val="24"/>
        </w:rPr>
        <w:t>3.2  评价与等级划分</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_Toc18415 \h </w:instrText>
      </w:r>
      <w:r>
        <w:rPr>
          <w:rFonts w:hint="eastAsia" w:ascii="宋体" w:hAnsi="宋体" w:cs="宋体"/>
          <w:sz w:val="24"/>
          <w:szCs w:val="24"/>
        </w:rPr>
        <w:fldChar w:fldCharType="separate"/>
      </w:r>
      <w:r>
        <w:rPr>
          <w:rFonts w:hint="eastAsia" w:ascii="宋体" w:hAnsi="宋体" w:cs="宋体"/>
          <w:sz w:val="24"/>
          <w:szCs w:val="24"/>
        </w:rPr>
        <w:t>34</w:t>
      </w:r>
      <w:r>
        <w:rPr>
          <w:rFonts w:hint="eastAsia" w:ascii="宋体" w:hAnsi="宋体" w:cs="宋体"/>
          <w:sz w:val="24"/>
          <w:szCs w:val="24"/>
        </w:rPr>
        <w:fldChar w:fldCharType="end"/>
      </w:r>
      <w:r>
        <w:rPr>
          <w:rFonts w:hint="eastAsia" w:ascii="宋体" w:hAnsi="宋体" w:cs="宋体"/>
          <w:sz w:val="24"/>
          <w:szCs w:val="24"/>
        </w:rPr>
        <w:fldChar w:fldCharType="end"/>
      </w:r>
    </w:p>
    <w:p w14:paraId="647361B4">
      <w:pPr>
        <w:pStyle w:val="11"/>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_Toc7993 </w:instrText>
      </w:r>
      <w:r>
        <w:rPr>
          <w:rFonts w:hint="eastAsia" w:ascii="宋体" w:hAnsi="宋体" w:cs="宋体"/>
          <w:sz w:val="24"/>
          <w:szCs w:val="24"/>
        </w:rPr>
        <w:fldChar w:fldCharType="separate"/>
      </w:r>
      <w:r>
        <w:rPr>
          <w:rFonts w:hint="eastAsia" w:ascii="宋体" w:hAnsi="宋体" w:cs="宋体"/>
          <w:bCs w:val="0"/>
          <w:kern w:val="2"/>
          <w:sz w:val="24"/>
          <w:szCs w:val="24"/>
        </w:rPr>
        <w:t xml:space="preserve">4 </w:t>
      </w:r>
      <w:r>
        <w:rPr>
          <w:rFonts w:hint="eastAsia" w:ascii="宋体" w:hAnsi="宋体" w:cs="宋体"/>
          <w:bCs w:val="0"/>
          <w:kern w:val="2"/>
          <w:sz w:val="24"/>
          <w:szCs w:val="24"/>
          <w:lang w:val="en-US" w:eastAsia="zh-CN"/>
        </w:rPr>
        <w:t xml:space="preserve"> </w:t>
      </w:r>
      <w:r>
        <w:rPr>
          <w:rFonts w:hint="eastAsia" w:ascii="宋体" w:hAnsi="宋体" w:cs="宋体"/>
          <w:bCs w:val="0"/>
          <w:kern w:val="2"/>
          <w:sz w:val="24"/>
          <w:szCs w:val="24"/>
        </w:rPr>
        <w:t>场地与环境</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_Toc7993 \h </w:instrText>
      </w:r>
      <w:r>
        <w:rPr>
          <w:rFonts w:hint="eastAsia" w:ascii="宋体" w:hAnsi="宋体" w:cs="宋体"/>
          <w:sz w:val="24"/>
          <w:szCs w:val="24"/>
        </w:rPr>
        <w:fldChar w:fldCharType="separate"/>
      </w:r>
      <w:r>
        <w:rPr>
          <w:rFonts w:hint="eastAsia" w:ascii="宋体" w:hAnsi="宋体" w:cs="宋体"/>
          <w:sz w:val="24"/>
          <w:szCs w:val="24"/>
        </w:rPr>
        <w:t>36</w:t>
      </w:r>
      <w:r>
        <w:rPr>
          <w:rFonts w:hint="eastAsia" w:ascii="宋体" w:hAnsi="宋体" w:cs="宋体"/>
          <w:sz w:val="24"/>
          <w:szCs w:val="24"/>
        </w:rPr>
        <w:fldChar w:fldCharType="end"/>
      </w:r>
      <w:r>
        <w:rPr>
          <w:rFonts w:hint="eastAsia" w:ascii="宋体" w:hAnsi="宋体" w:cs="宋体"/>
          <w:sz w:val="24"/>
          <w:szCs w:val="24"/>
        </w:rPr>
        <w:fldChar w:fldCharType="end"/>
      </w:r>
    </w:p>
    <w:p w14:paraId="60ABBEB7">
      <w:pPr>
        <w:pStyle w:val="12"/>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_Toc18298 </w:instrText>
      </w:r>
      <w:r>
        <w:rPr>
          <w:rFonts w:hint="eastAsia" w:ascii="宋体" w:hAnsi="宋体" w:cs="宋体"/>
          <w:sz w:val="24"/>
          <w:szCs w:val="24"/>
        </w:rPr>
        <w:fldChar w:fldCharType="separate"/>
      </w:r>
      <w:r>
        <w:rPr>
          <w:rFonts w:hint="eastAsia" w:ascii="宋体" w:hAnsi="宋体" w:eastAsia="宋体" w:cs="宋体"/>
          <w:bCs/>
          <w:sz w:val="24"/>
          <w:szCs w:val="24"/>
        </w:rPr>
        <w:t>4.1</w:t>
      </w:r>
      <w:r>
        <w:rPr>
          <w:rFonts w:hint="eastAsia" w:ascii="宋体" w:hAnsi="宋体" w:cs="宋体"/>
          <w:bCs/>
          <w:sz w:val="24"/>
          <w:szCs w:val="24"/>
          <w:lang w:val="en-US" w:eastAsia="zh-CN"/>
        </w:rPr>
        <w:t xml:space="preserve">  </w:t>
      </w:r>
      <w:r>
        <w:rPr>
          <w:rFonts w:hint="eastAsia" w:ascii="宋体" w:hAnsi="宋体" w:eastAsia="宋体" w:cs="宋体"/>
          <w:bCs/>
          <w:sz w:val="24"/>
          <w:szCs w:val="24"/>
        </w:rPr>
        <w:t>控制项</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_Toc18298 \h </w:instrText>
      </w:r>
      <w:r>
        <w:rPr>
          <w:rFonts w:hint="eastAsia" w:ascii="宋体" w:hAnsi="宋体" w:cs="宋体"/>
          <w:sz w:val="24"/>
          <w:szCs w:val="24"/>
        </w:rPr>
        <w:fldChar w:fldCharType="separate"/>
      </w:r>
      <w:r>
        <w:rPr>
          <w:rFonts w:hint="eastAsia" w:ascii="宋体" w:hAnsi="宋体" w:cs="宋体"/>
          <w:sz w:val="24"/>
          <w:szCs w:val="24"/>
        </w:rPr>
        <w:t>36</w:t>
      </w:r>
      <w:r>
        <w:rPr>
          <w:rFonts w:hint="eastAsia" w:ascii="宋体" w:hAnsi="宋体" w:cs="宋体"/>
          <w:sz w:val="24"/>
          <w:szCs w:val="24"/>
        </w:rPr>
        <w:fldChar w:fldCharType="end"/>
      </w:r>
      <w:r>
        <w:rPr>
          <w:rFonts w:hint="eastAsia" w:ascii="宋体" w:hAnsi="宋体" w:cs="宋体"/>
          <w:sz w:val="24"/>
          <w:szCs w:val="24"/>
        </w:rPr>
        <w:fldChar w:fldCharType="end"/>
      </w:r>
    </w:p>
    <w:p w14:paraId="304215F2">
      <w:pPr>
        <w:pStyle w:val="12"/>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_Toc16837 </w:instrText>
      </w:r>
      <w:r>
        <w:rPr>
          <w:rFonts w:hint="eastAsia" w:ascii="宋体" w:hAnsi="宋体" w:cs="宋体"/>
          <w:sz w:val="24"/>
          <w:szCs w:val="24"/>
        </w:rPr>
        <w:fldChar w:fldCharType="separate"/>
      </w:r>
      <w:r>
        <w:rPr>
          <w:rFonts w:hint="eastAsia" w:ascii="宋体" w:hAnsi="宋体" w:eastAsia="宋体" w:cs="宋体"/>
          <w:bCs/>
          <w:sz w:val="24"/>
          <w:szCs w:val="24"/>
        </w:rPr>
        <w:t>4.2</w:t>
      </w:r>
      <w:r>
        <w:rPr>
          <w:rFonts w:hint="eastAsia" w:ascii="宋体" w:hAnsi="宋体" w:cs="宋体"/>
          <w:bCs/>
          <w:sz w:val="24"/>
          <w:szCs w:val="24"/>
          <w:lang w:val="en-US" w:eastAsia="zh-CN"/>
        </w:rPr>
        <w:t xml:space="preserve">  </w:t>
      </w:r>
      <w:r>
        <w:rPr>
          <w:rFonts w:hint="eastAsia" w:ascii="宋体" w:hAnsi="宋体" w:eastAsia="宋体" w:cs="宋体"/>
          <w:bCs/>
          <w:sz w:val="24"/>
          <w:szCs w:val="24"/>
        </w:rPr>
        <w:t>评分项</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_Toc16837 \h </w:instrText>
      </w:r>
      <w:r>
        <w:rPr>
          <w:rFonts w:hint="eastAsia" w:ascii="宋体" w:hAnsi="宋体" w:cs="宋体"/>
          <w:sz w:val="24"/>
          <w:szCs w:val="24"/>
        </w:rPr>
        <w:fldChar w:fldCharType="separate"/>
      </w:r>
      <w:r>
        <w:rPr>
          <w:rFonts w:hint="eastAsia" w:ascii="宋体" w:hAnsi="宋体" w:cs="宋体"/>
          <w:sz w:val="24"/>
          <w:szCs w:val="24"/>
        </w:rPr>
        <w:t>36</w:t>
      </w:r>
      <w:r>
        <w:rPr>
          <w:rFonts w:hint="eastAsia" w:ascii="宋体" w:hAnsi="宋体" w:cs="宋体"/>
          <w:sz w:val="24"/>
          <w:szCs w:val="24"/>
        </w:rPr>
        <w:fldChar w:fldCharType="end"/>
      </w:r>
      <w:r>
        <w:rPr>
          <w:rFonts w:hint="eastAsia" w:ascii="宋体" w:hAnsi="宋体" w:cs="宋体"/>
          <w:sz w:val="24"/>
          <w:szCs w:val="24"/>
        </w:rPr>
        <w:fldChar w:fldCharType="end"/>
      </w:r>
    </w:p>
    <w:p w14:paraId="22922289">
      <w:pPr>
        <w:pStyle w:val="11"/>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_Toc16747 </w:instrText>
      </w:r>
      <w:r>
        <w:rPr>
          <w:rFonts w:hint="eastAsia" w:ascii="宋体" w:hAnsi="宋体" w:cs="宋体"/>
          <w:sz w:val="24"/>
          <w:szCs w:val="24"/>
        </w:rPr>
        <w:fldChar w:fldCharType="separate"/>
      </w:r>
      <w:r>
        <w:rPr>
          <w:rFonts w:hint="eastAsia" w:ascii="宋体" w:hAnsi="宋体" w:cs="宋体"/>
          <w:bCs w:val="0"/>
          <w:kern w:val="2"/>
          <w:sz w:val="24"/>
          <w:szCs w:val="24"/>
        </w:rPr>
        <w:t xml:space="preserve">5 </w:t>
      </w:r>
      <w:r>
        <w:rPr>
          <w:rFonts w:hint="eastAsia" w:ascii="宋体" w:hAnsi="宋体" w:cs="宋体"/>
          <w:bCs w:val="0"/>
          <w:kern w:val="2"/>
          <w:sz w:val="24"/>
          <w:szCs w:val="24"/>
          <w:lang w:val="en-US" w:eastAsia="zh-CN"/>
        </w:rPr>
        <w:t xml:space="preserve"> </w:t>
      </w:r>
      <w:r>
        <w:rPr>
          <w:rFonts w:hint="eastAsia" w:ascii="宋体" w:hAnsi="宋体" w:cs="宋体"/>
          <w:bCs w:val="0"/>
          <w:kern w:val="2"/>
          <w:sz w:val="24"/>
          <w:szCs w:val="24"/>
        </w:rPr>
        <w:t>建筑改造与利用</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_Toc16747 \h </w:instrText>
      </w:r>
      <w:r>
        <w:rPr>
          <w:rFonts w:hint="eastAsia" w:ascii="宋体" w:hAnsi="宋体" w:cs="宋体"/>
          <w:sz w:val="24"/>
          <w:szCs w:val="24"/>
        </w:rPr>
        <w:fldChar w:fldCharType="separate"/>
      </w:r>
      <w:r>
        <w:rPr>
          <w:rFonts w:hint="eastAsia" w:ascii="宋体" w:hAnsi="宋体" w:cs="宋体"/>
          <w:sz w:val="24"/>
          <w:szCs w:val="24"/>
        </w:rPr>
        <w:t>41</w:t>
      </w:r>
      <w:r>
        <w:rPr>
          <w:rFonts w:hint="eastAsia" w:ascii="宋体" w:hAnsi="宋体" w:cs="宋体"/>
          <w:sz w:val="24"/>
          <w:szCs w:val="24"/>
        </w:rPr>
        <w:fldChar w:fldCharType="end"/>
      </w:r>
      <w:r>
        <w:rPr>
          <w:rFonts w:hint="eastAsia" w:ascii="宋体" w:hAnsi="宋体" w:cs="宋体"/>
          <w:sz w:val="24"/>
          <w:szCs w:val="24"/>
        </w:rPr>
        <w:fldChar w:fldCharType="end"/>
      </w:r>
    </w:p>
    <w:p w14:paraId="495C125C">
      <w:pPr>
        <w:pStyle w:val="12"/>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_Toc24537 </w:instrText>
      </w:r>
      <w:r>
        <w:rPr>
          <w:rFonts w:hint="eastAsia" w:ascii="宋体" w:hAnsi="宋体" w:cs="宋体"/>
          <w:sz w:val="24"/>
          <w:szCs w:val="24"/>
        </w:rPr>
        <w:fldChar w:fldCharType="separate"/>
      </w:r>
      <w:r>
        <w:rPr>
          <w:rFonts w:hint="eastAsia" w:ascii="宋体" w:hAnsi="宋体" w:eastAsia="宋体" w:cs="宋体"/>
          <w:bCs/>
          <w:sz w:val="24"/>
          <w:szCs w:val="24"/>
        </w:rPr>
        <w:t>5.1</w:t>
      </w:r>
      <w:r>
        <w:rPr>
          <w:rFonts w:hint="eastAsia" w:ascii="宋体" w:hAnsi="宋体" w:cs="宋体"/>
          <w:bCs/>
          <w:sz w:val="24"/>
          <w:szCs w:val="24"/>
          <w:lang w:val="en-US" w:eastAsia="zh-CN"/>
        </w:rPr>
        <w:t xml:space="preserve">  </w:t>
      </w:r>
      <w:r>
        <w:rPr>
          <w:rFonts w:hint="eastAsia" w:ascii="宋体" w:hAnsi="宋体" w:eastAsia="宋体" w:cs="宋体"/>
          <w:bCs/>
          <w:sz w:val="24"/>
          <w:szCs w:val="24"/>
        </w:rPr>
        <w:t>控制项</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_Toc24537 \h </w:instrText>
      </w:r>
      <w:r>
        <w:rPr>
          <w:rFonts w:hint="eastAsia" w:ascii="宋体" w:hAnsi="宋体" w:cs="宋体"/>
          <w:sz w:val="24"/>
          <w:szCs w:val="24"/>
        </w:rPr>
        <w:fldChar w:fldCharType="separate"/>
      </w:r>
      <w:r>
        <w:rPr>
          <w:rFonts w:hint="eastAsia" w:ascii="宋体" w:hAnsi="宋体" w:cs="宋体"/>
          <w:sz w:val="24"/>
          <w:szCs w:val="24"/>
        </w:rPr>
        <w:t>41</w:t>
      </w:r>
      <w:r>
        <w:rPr>
          <w:rFonts w:hint="eastAsia" w:ascii="宋体" w:hAnsi="宋体" w:cs="宋体"/>
          <w:sz w:val="24"/>
          <w:szCs w:val="24"/>
        </w:rPr>
        <w:fldChar w:fldCharType="end"/>
      </w:r>
      <w:r>
        <w:rPr>
          <w:rFonts w:hint="eastAsia" w:ascii="宋体" w:hAnsi="宋体" w:cs="宋体"/>
          <w:sz w:val="24"/>
          <w:szCs w:val="24"/>
        </w:rPr>
        <w:fldChar w:fldCharType="end"/>
      </w:r>
    </w:p>
    <w:p w14:paraId="72B765EA">
      <w:pPr>
        <w:pStyle w:val="12"/>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_Toc12704 </w:instrText>
      </w:r>
      <w:r>
        <w:rPr>
          <w:rFonts w:hint="eastAsia" w:ascii="宋体" w:hAnsi="宋体" w:cs="宋体"/>
          <w:sz w:val="24"/>
          <w:szCs w:val="24"/>
        </w:rPr>
        <w:fldChar w:fldCharType="separate"/>
      </w:r>
      <w:r>
        <w:rPr>
          <w:rFonts w:hint="eastAsia" w:ascii="宋体" w:hAnsi="宋体" w:eastAsia="宋体" w:cs="宋体"/>
          <w:bCs/>
          <w:sz w:val="24"/>
          <w:szCs w:val="24"/>
        </w:rPr>
        <w:t>5.2</w:t>
      </w:r>
      <w:r>
        <w:rPr>
          <w:rFonts w:hint="eastAsia" w:ascii="宋体" w:hAnsi="宋体" w:cs="宋体"/>
          <w:bCs/>
          <w:sz w:val="24"/>
          <w:szCs w:val="24"/>
          <w:lang w:val="en-US" w:eastAsia="zh-CN"/>
        </w:rPr>
        <w:t xml:space="preserve">  </w:t>
      </w:r>
      <w:r>
        <w:rPr>
          <w:rFonts w:hint="eastAsia" w:ascii="宋体" w:hAnsi="宋体" w:eastAsia="宋体" w:cs="宋体"/>
          <w:bCs/>
          <w:sz w:val="24"/>
          <w:szCs w:val="24"/>
        </w:rPr>
        <w:t>评分项</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_Toc12704 \h </w:instrText>
      </w:r>
      <w:r>
        <w:rPr>
          <w:rFonts w:hint="eastAsia" w:ascii="宋体" w:hAnsi="宋体" w:cs="宋体"/>
          <w:sz w:val="24"/>
          <w:szCs w:val="24"/>
        </w:rPr>
        <w:fldChar w:fldCharType="separate"/>
      </w:r>
      <w:r>
        <w:rPr>
          <w:rFonts w:hint="eastAsia" w:ascii="宋体" w:hAnsi="宋体" w:cs="宋体"/>
          <w:sz w:val="24"/>
          <w:szCs w:val="24"/>
        </w:rPr>
        <w:t>42</w:t>
      </w:r>
      <w:r>
        <w:rPr>
          <w:rFonts w:hint="eastAsia" w:ascii="宋体" w:hAnsi="宋体" w:cs="宋体"/>
          <w:sz w:val="24"/>
          <w:szCs w:val="24"/>
        </w:rPr>
        <w:fldChar w:fldCharType="end"/>
      </w:r>
      <w:r>
        <w:rPr>
          <w:rFonts w:hint="eastAsia" w:ascii="宋体" w:hAnsi="宋体" w:cs="宋体"/>
          <w:sz w:val="24"/>
          <w:szCs w:val="24"/>
        </w:rPr>
        <w:fldChar w:fldCharType="end"/>
      </w:r>
    </w:p>
    <w:p w14:paraId="762AAB92">
      <w:pPr>
        <w:pStyle w:val="11"/>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_Toc25990 </w:instrText>
      </w:r>
      <w:r>
        <w:rPr>
          <w:rFonts w:hint="eastAsia" w:ascii="宋体" w:hAnsi="宋体" w:cs="宋体"/>
          <w:sz w:val="24"/>
          <w:szCs w:val="24"/>
        </w:rPr>
        <w:fldChar w:fldCharType="separate"/>
      </w:r>
      <w:r>
        <w:rPr>
          <w:rFonts w:hint="eastAsia" w:ascii="宋体" w:hAnsi="宋体" w:cs="宋体"/>
          <w:bCs w:val="0"/>
          <w:kern w:val="2"/>
          <w:sz w:val="24"/>
          <w:szCs w:val="24"/>
        </w:rPr>
        <w:t xml:space="preserve">6 </w:t>
      </w:r>
      <w:r>
        <w:rPr>
          <w:rFonts w:hint="eastAsia" w:ascii="宋体" w:hAnsi="宋体" w:cs="宋体"/>
          <w:bCs w:val="0"/>
          <w:kern w:val="2"/>
          <w:sz w:val="24"/>
          <w:szCs w:val="24"/>
          <w:lang w:val="en-US" w:eastAsia="zh-CN"/>
        </w:rPr>
        <w:t xml:space="preserve"> </w:t>
      </w:r>
      <w:r>
        <w:rPr>
          <w:rFonts w:hint="eastAsia" w:ascii="宋体" w:hAnsi="宋体" w:cs="宋体"/>
          <w:bCs w:val="0"/>
          <w:kern w:val="2"/>
          <w:sz w:val="24"/>
          <w:szCs w:val="24"/>
        </w:rPr>
        <w:t>能源与水资源利用</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_Toc25990 \h </w:instrText>
      </w:r>
      <w:r>
        <w:rPr>
          <w:rFonts w:hint="eastAsia" w:ascii="宋体" w:hAnsi="宋体" w:cs="宋体"/>
          <w:sz w:val="24"/>
          <w:szCs w:val="24"/>
        </w:rPr>
        <w:fldChar w:fldCharType="separate"/>
      </w:r>
      <w:r>
        <w:rPr>
          <w:rFonts w:hint="eastAsia" w:ascii="宋体" w:hAnsi="宋体" w:cs="宋体"/>
          <w:sz w:val="24"/>
          <w:szCs w:val="24"/>
        </w:rPr>
        <w:t>48</w:t>
      </w:r>
      <w:r>
        <w:rPr>
          <w:rFonts w:hint="eastAsia" w:ascii="宋体" w:hAnsi="宋体" w:cs="宋体"/>
          <w:sz w:val="24"/>
          <w:szCs w:val="24"/>
        </w:rPr>
        <w:fldChar w:fldCharType="end"/>
      </w:r>
      <w:r>
        <w:rPr>
          <w:rFonts w:hint="eastAsia" w:ascii="宋体" w:hAnsi="宋体" w:cs="宋体"/>
          <w:sz w:val="24"/>
          <w:szCs w:val="24"/>
        </w:rPr>
        <w:fldChar w:fldCharType="end"/>
      </w:r>
    </w:p>
    <w:p w14:paraId="28694701">
      <w:pPr>
        <w:pStyle w:val="12"/>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_Toc31953 </w:instrText>
      </w:r>
      <w:r>
        <w:rPr>
          <w:rFonts w:hint="eastAsia" w:ascii="宋体" w:hAnsi="宋体" w:cs="宋体"/>
          <w:sz w:val="24"/>
          <w:szCs w:val="24"/>
        </w:rPr>
        <w:fldChar w:fldCharType="separate"/>
      </w:r>
      <w:r>
        <w:rPr>
          <w:rFonts w:hint="eastAsia" w:ascii="宋体" w:hAnsi="宋体" w:eastAsia="宋体" w:cs="宋体"/>
          <w:bCs/>
          <w:sz w:val="24"/>
          <w:szCs w:val="24"/>
        </w:rPr>
        <w:t xml:space="preserve">6.1 </w:t>
      </w:r>
      <w:r>
        <w:rPr>
          <w:rFonts w:hint="eastAsia" w:ascii="宋体" w:hAnsi="宋体" w:cs="宋体"/>
          <w:bCs/>
          <w:sz w:val="24"/>
          <w:szCs w:val="24"/>
          <w:lang w:val="en-US" w:eastAsia="zh-CN"/>
        </w:rPr>
        <w:t xml:space="preserve"> </w:t>
      </w:r>
      <w:r>
        <w:rPr>
          <w:rFonts w:hint="eastAsia" w:ascii="宋体" w:hAnsi="宋体" w:eastAsia="宋体" w:cs="宋体"/>
          <w:bCs/>
          <w:sz w:val="24"/>
          <w:szCs w:val="24"/>
        </w:rPr>
        <w:t>控制项</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_Toc31953 \h </w:instrText>
      </w:r>
      <w:r>
        <w:rPr>
          <w:rFonts w:hint="eastAsia" w:ascii="宋体" w:hAnsi="宋体" w:cs="宋体"/>
          <w:sz w:val="24"/>
          <w:szCs w:val="24"/>
        </w:rPr>
        <w:fldChar w:fldCharType="separate"/>
      </w:r>
      <w:r>
        <w:rPr>
          <w:rFonts w:hint="eastAsia" w:ascii="宋体" w:hAnsi="宋体" w:cs="宋体"/>
          <w:sz w:val="24"/>
          <w:szCs w:val="24"/>
        </w:rPr>
        <w:t>48</w:t>
      </w:r>
      <w:r>
        <w:rPr>
          <w:rFonts w:hint="eastAsia" w:ascii="宋体" w:hAnsi="宋体" w:cs="宋体"/>
          <w:sz w:val="24"/>
          <w:szCs w:val="24"/>
        </w:rPr>
        <w:fldChar w:fldCharType="end"/>
      </w:r>
      <w:r>
        <w:rPr>
          <w:rFonts w:hint="eastAsia" w:ascii="宋体" w:hAnsi="宋体" w:cs="宋体"/>
          <w:sz w:val="24"/>
          <w:szCs w:val="24"/>
        </w:rPr>
        <w:fldChar w:fldCharType="end"/>
      </w:r>
    </w:p>
    <w:p w14:paraId="1D9619B0">
      <w:pPr>
        <w:pStyle w:val="12"/>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_Toc20971 </w:instrText>
      </w:r>
      <w:r>
        <w:rPr>
          <w:rFonts w:hint="eastAsia" w:ascii="宋体" w:hAnsi="宋体" w:cs="宋体"/>
          <w:sz w:val="24"/>
          <w:szCs w:val="24"/>
        </w:rPr>
        <w:fldChar w:fldCharType="separate"/>
      </w:r>
      <w:r>
        <w:rPr>
          <w:rFonts w:hint="eastAsia" w:ascii="宋体" w:hAnsi="宋体" w:eastAsia="宋体" w:cs="宋体"/>
          <w:bCs/>
          <w:sz w:val="24"/>
          <w:szCs w:val="24"/>
        </w:rPr>
        <w:t>6.2</w:t>
      </w:r>
      <w:r>
        <w:rPr>
          <w:rFonts w:hint="eastAsia" w:ascii="宋体" w:hAnsi="宋体" w:cs="宋体"/>
          <w:bCs/>
          <w:sz w:val="24"/>
          <w:szCs w:val="24"/>
          <w:lang w:val="en-US" w:eastAsia="zh-CN"/>
        </w:rPr>
        <w:t xml:space="preserve">  </w:t>
      </w:r>
      <w:r>
        <w:rPr>
          <w:rFonts w:hint="eastAsia" w:ascii="宋体" w:hAnsi="宋体" w:eastAsia="宋体" w:cs="宋体"/>
          <w:bCs/>
          <w:sz w:val="24"/>
          <w:szCs w:val="24"/>
        </w:rPr>
        <w:t>评分项</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_Toc20971 \h </w:instrText>
      </w:r>
      <w:r>
        <w:rPr>
          <w:rFonts w:hint="eastAsia" w:ascii="宋体" w:hAnsi="宋体" w:cs="宋体"/>
          <w:sz w:val="24"/>
          <w:szCs w:val="24"/>
        </w:rPr>
        <w:fldChar w:fldCharType="separate"/>
      </w:r>
      <w:r>
        <w:rPr>
          <w:rFonts w:hint="eastAsia" w:ascii="宋体" w:hAnsi="宋体" w:cs="宋体"/>
          <w:sz w:val="24"/>
          <w:szCs w:val="24"/>
        </w:rPr>
        <w:t>51</w:t>
      </w:r>
      <w:r>
        <w:rPr>
          <w:rFonts w:hint="eastAsia" w:ascii="宋体" w:hAnsi="宋体" w:cs="宋体"/>
          <w:sz w:val="24"/>
          <w:szCs w:val="24"/>
        </w:rPr>
        <w:fldChar w:fldCharType="end"/>
      </w:r>
      <w:r>
        <w:rPr>
          <w:rFonts w:hint="eastAsia" w:ascii="宋体" w:hAnsi="宋体" w:cs="宋体"/>
          <w:sz w:val="24"/>
          <w:szCs w:val="24"/>
        </w:rPr>
        <w:fldChar w:fldCharType="end"/>
      </w:r>
    </w:p>
    <w:p w14:paraId="0F8F6457">
      <w:pPr>
        <w:pStyle w:val="11"/>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_Toc9691 </w:instrText>
      </w:r>
      <w:r>
        <w:rPr>
          <w:rFonts w:hint="eastAsia" w:ascii="宋体" w:hAnsi="宋体" w:cs="宋体"/>
          <w:sz w:val="24"/>
          <w:szCs w:val="24"/>
        </w:rPr>
        <w:fldChar w:fldCharType="separate"/>
      </w:r>
      <w:r>
        <w:rPr>
          <w:rFonts w:hint="eastAsia" w:ascii="宋体" w:hAnsi="宋体" w:cs="宋体"/>
          <w:bCs w:val="0"/>
          <w:kern w:val="2"/>
          <w:sz w:val="24"/>
          <w:szCs w:val="24"/>
        </w:rPr>
        <w:t>7　建材与建造</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_Toc9691 \h </w:instrText>
      </w:r>
      <w:r>
        <w:rPr>
          <w:rFonts w:hint="eastAsia" w:ascii="宋体" w:hAnsi="宋体" w:cs="宋体"/>
          <w:sz w:val="24"/>
          <w:szCs w:val="24"/>
        </w:rPr>
        <w:fldChar w:fldCharType="separate"/>
      </w:r>
      <w:r>
        <w:rPr>
          <w:rFonts w:hint="eastAsia" w:ascii="宋体" w:hAnsi="宋体" w:cs="宋体"/>
          <w:sz w:val="24"/>
          <w:szCs w:val="24"/>
        </w:rPr>
        <w:t>61</w:t>
      </w:r>
      <w:r>
        <w:rPr>
          <w:rFonts w:hint="eastAsia" w:ascii="宋体" w:hAnsi="宋体" w:cs="宋体"/>
          <w:sz w:val="24"/>
          <w:szCs w:val="24"/>
        </w:rPr>
        <w:fldChar w:fldCharType="end"/>
      </w:r>
      <w:r>
        <w:rPr>
          <w:rFonts w:hint="eastAsia" w:ascii="宋体" w:hAnsi="宋体" w:cs="宋体"/>
          <w:sz w:val="24"/>
          <w:szCs w:val="24"/>
        </w:rPr>
        <w:fldChar w:fldCharType="end"/>
      </w:r>
    </w:p>
    <w:p w14:paraId="1E11EE4B">
      <w:pPr>
        <w:pStyle w:val="12"/>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_Toc961 </w:instrText>
      </w:r>
      <w:r>
        <w:rPr>
          <w:rFonts w:hint="eastAsia" w:ascii="宋体" w:hAnsi="宋体" w:cs="宋体"/>
          <w:sz w:val="24"/>
          <w:szCs w:val="24"/>
        </w:rPr>
        <w:fldChar w:fldCharType="separate"/>
      </w:r>
      <w:r>
        <w:rPr>
          <w:rFonts w:hint="eastAsia" w:ascii="宋体" w:hAnsi="宋体" w:eastAsia="宋体" w:cs="宋体"/>
          <w:bCs/>
          <w:sz w:val="24"/>
          <w:szCs w:val="24"/>
        </w:rPr>
        <w:t>7.1　控制项</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_Toc961 \h </w:instrText>
      </w:r>
      <w:r>
        <w:rPr>
          <w:rFonts w:hint="eastAsia" w:ascii="宋体" w:hAnsi="宋体" w:cs="宋体"/>
          <w:sz w:val="24"/>
          <w:szCs w:val="24"/>
        </w:rPr>
        <w:fldChar w:fldCharType="separate"/>
      </w:r>
      <w:r>
        <w:rPr>
          <w:rFonts w:hint="eastAsia" w:ascii="宋体" w:hAnsi="宋体" w:cs="宋体"/>
          <w:sz w:val="24"/>
          <w:szCs w:val="24"/>
        </w:rPr>
        <w:t>61</w:t>
      </w:r>
      <w:r>
        <w:rPr>
          <w:rFonts w:hint="eastAsia" w:ascii="宋体" w:hAnsi="宋体" w:cs="宋体"/>
          <w:sz w:val="24"/>
          <w:szCs w:val="24"/>
        </w:rPr>
        <w:fldChar w:fldCharType="end"/>
      </w:r>
      <w:r>
        <w:rPr>
          <w:rFonts w:hint="eastAsia" w:ascii="宋体" w:hAnsi="宋体" w:cs="宋体"/>
          <w:sz w:val="24"/>
          <w:szCs w:val="24"/>
        </w:rPr>
        <w:fldChar w:fldCharType="end"/>
      </w:r>
    </w:p>
    <w:p w14:paraId="2D53961D">
      <w:pPr>
        <w:pStyle w:val="12"/>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_Toc8861 </w:instrText>
      </w:r>
      <w:r>
        <w:rPr>
          <w:rFonts w:hint="eastAsia" w:ascii="宋体" w:hAnsi="宋体" w:cs="宋体"/>
          <w:sz w:val="24"/>
          <w:szCs w:val="24"/>
        </w:rPr>
        <w:fldChar w:fldCharType="separate"/>
      </w:r>
      <w:r>
        <w:rPr>
          <w:rFonts w:hint="eastAsia" w:ascii="宋体" w:hAnsi="宋体" w:eastAsia="宋体" w:cs="宋体"/>
          <w:bCs/>
          <w:sz w:val="24"/>
          <w:szCs w:val="24"/>
        </w:rPr>
        <w:t>7.2　评分项</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_Toc8861 \h </w:instrText>
      </w:r>
      <w:r>
        <w:rPr>
          <w:rFonts w:hint="eastAsia" w:ascii="宋体" w:hAnsi="宋体" w:cs="宋体"/>
          <w:sz w:val="24"/>
          <w:szCs w:val="24"/>
        </w:rPr>
        <w:fldChar w:fldCharType="separate"/>
      </w:r>
      <w:r>
        <w:rPr>
          <w:rFonts w:hint="eastAsia" w:ascii="宋体" w:hAnsi="宋体" w:cs="宋体"/>
          <w:sz w:val="24"/>
          <w:szCs w:val="24"/>
        </w:rPr>
        <w:t>62</w:t>
      </w:r>
      <w:r>
        <w:rPr>
          <w:rFonts w:hint="eastAsia" w:ascii="宋体" w:hAnsi="宋体" w:cs="宋体"/>
          <w:sz w:val="24"/>
          <w:szCs w:val="24"/>
        </w:rPr>
        <w:fldChar w:fldCharType="end"/>
      </w:r>
      <w:r>
        <w:rPr>
          <w:rFonts w:hint="eastAsia" w:ascii="宋体" w:hAnsi="宋体" w:cs="宋体"/>
          <w:sz w:val="24"/>
          <w:szCs w:val="24"/>
        </w:rPr>
        <w:fldChar w:fldCharType="end"/>
      </w:r>
    </w:p>
    <w:p w14:paraId="13A2D46A">
      <w:pPr>
        <w:pStyle w:val="11"/>
        <w:tabs>
          <w:tab w:val="right" w:leader="dot" w:pos="8306"/>
        </w:tabs>
        <w:spacing w:line="360" w:lineRule="auto"/>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_Toc9691 </w:instrText>
      </w:r>
      <w:r>
        <w:rPr>
          <w:rFonts w:hint="eastAsia" w:ascii="宋体" w:hAnsi="宋体" w:cs="宋体"/>
          <w:sz w:val="24"/>
          <w:szCs w:val="24"/>
        </w:rPr>
        <w:fldChar w:fldCharType="separate"/>
      </w:r>
      <w:r>
        <w:rPr>
          <w:rFonts w:hint="eastAsia" w:ascii="宋体" w:hAnsi="宋体" w:cs="宋体"/>
          <w:bCs w:val="0"/>
          <w:kern w:val="2"/>
          <w:sz w:val="24"/>
          <w:szCs w:val="24"/>
        </w:rPr>
        <w:t>8　提高与创新</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_Toc2893 \h </w:instrText>
      </w:r>
      <w:r>
        <w:rPr>
          <w:rFonts w:hint="eastAsia" w:ascii="宋体" w:hAnsi="宋体" w:cs="宋体"/>
          <w:sz w:val="24"/>
          <w:szCs w:val="24"/>
        </w:rPr>
        <w:fldChar w:fldCharType="separate"/>
      </w:r>
      <w:r>
        <w:rPr>
          <w:rFonts w:hint="eastAsia" w:ascii="宋体" w:hAnsi="宋体" w:cs="宋体"/>
          <w:sz w:val="24"/>
          <w:szCs w:val="24"/>
        </w:rPr>
        <w:t>67</w:t>
      </w:r>
      <w:r>
        <w:rPr>
          <w:rFonts w:hint="eastAsia" w:ascii="宋体" w:hAnsi="宋体" w:cs="宋体"/>
          <w:sz w:val="24"/>
          <w:szCs w:val="24"/>
        </w:rPr>
        <w:fldChar w:fldCharType="end"/>
      </w:r>
      <w:r>
        <w:rPr>
          <w:rFonts w:hint="eastAsia" w:ascii="宋体" w:hAnsi="宋体" w:cs="宋体"/>
          <w:sz w:val="24"/>
          <w:szCs w:val="24"/>
        </w:rPr>
        <w:fldChar w:fldCharType="end"/>
      </w:r>
    </w:p>
    <w:p w14:paraId="1AD59D8F">
      <w:pPr>
        <w:spacing w:line="360" w:lineRule="auto"/>
        <w:ind w:firstLine="0" w:firstLineChars="0"/>
        <w:jc w:val="both"/>
        <w:rPr>
          <w:rFonts w:hint="eastAsia" w:eastAsia="宋体"/>
          <w:b/>
          <w:sz w:val="28"/>
          <w:lang w:val="en-US" w:eastAsia="zh-CN"/>
        </w:rPr>
        <w:sectPr>
          <w:pgSz w:w="11906" w:h="16838"/>
          <w:pgMar w:top="1440" w:right="1800" w:bottom="1440" w:left="1800" w:header="851" w:footer="992" w:gutter="0"/>
          <w:cols w:space="425" w:num="1"/>
          <w:docGrid w:type="lines" w:linePitch="312" w:charSpace="0"/>
        </w:sectPr>
      </w:pPr>
    </w:p>
    <w:p w14:paraId="5AE56A13">
      <w:pPr>
        <w:widowControl/>
        <w:snapToGrid w:val="0"/>
        <w:spacing w:line="360" w:lineRule="auto"/>
        <w:jc w:val="both"/>
        <w:outlineLvl w:val="9"/>
        <w:rPr>
          <w:rFonts w:ascii="Times New Roman" w:hAnsi="Times New Roman" w:cs="Times New Roman"/>
          <w:b/>
          <w:bCs w:val="0"/>
          <w:kern w:val="2"/>
          <w:sz w:val="30"/>
          <w:szCs w:val="30"/>
        </w:rPr>
      </w:pPr>
    </w:p>
    <w:p w14:paraId="21726898">
      <w:pPr>
        <w:widowControl/>
        <w:snapToGrid w:val="0"/>
        <w:spacing w:line="360" w:lineRule="auto"/>
        <w:jc w:val="center"/>
        <w:outlineLvl w:val="0"/>
        <w:rPr>
          <w:b/>
          <w:bCs w:val="0"/>
          <w:kern w:val="2"/>
          <w:sz w:val="30"/>
          <w:szCs w:val="30"/>
        </w:rPr>
      </w:pPr>
      <w:bookmarkStart w:id="257" w:name="_Toc16267"/>
      <w:bookmarkStart w:id="258" w:name="_Toc25092"/>
      <w:r>
        <w:rPr>
          <w:rFonts w:ascii="Times New Roman" w:hAnsi="Times New Roman" w:cs="Times New Roman"/>
          <w:b/>
          <w:bCs w:val="0"/>
          <w:kern w:val="2"/>
          <w:sz w:val="30"/>
          <w:szCs w:val="30"/>
        </w:rPr>
        <w:t xml:space="preserve">1  </w:t>
      </w:r>
      <w:r>
        <w:rPr>
          <w:rFonts w:hint="default" w:ascii="Times New Roman" w:hAnsi="Times New Roman" w:cs="Times New Roman"/>
          <w:b/>
          <w:bCs w:val="0"/>
          <w:kern w:val="2"/>
          <w:sz w:val="30"/>
          <w:szCs w:val="30"/>
        </w:rPr>
        <w:t>总则</w:t>
      </w:r>
      <w:bookmarkEnd w:id="257"/>
      <w:bookmarkEnd w:id="258"/>
    </w:p>
    <w:p w14:paraId="41065CCE">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1.0.1</w:t>
      </w:r>
      <w:r>
        <w:rPr>
          <w:rFonts w:hint="eastAsia" w:ascii="宋体" w:hAnsi="宋体" w:cs="宋体"/>
          <w:sz w:val="24"/>
          <w:szCs w:val="24"/>
        </w:rPr>
        <w:t xml:space="preserve">  </w:t>
      </w:r>
      <w:r>
        <w:rPr>
          <w:rFonts w:hint="eastAsia" w:ascii="宋体" w:hAnsi="宋体" w:eastAsia="宋体" w:cs="宋体"/>
          <w:sz w:val="24"/>
          <w:szCs w:val="24"/>
        </w:rPr>
        <w:t>本条规定了标准的制定目的。</w:t>
      </w:r>
    </w:p>
    <w:p w14:paraId="6442E98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我国现存既有工业建筑数量多、面积大。根据国家相关资料的统计，我国现有既有工业建筑总面积约有</w:t>
      </w:r>
      <w:r>
        <w:rPr>
          <w:rFonts w:hint="default" w:ascii="Times New Roman" w:hAnsi="Times New Roman" w:eastAsia="宋体" w:cs="Times New Roman"/>
          <w:sz w:val="24"/>
          <w:szCs w:val="24"/>
        </w:rPr>
        <w:t>120</w:t>
      </w:r>
      <w:r>
        <w:rPr>
          <w:rFonts w:hint="eastAsia" w:ascii="宋体" w:hAnsi="宋体" w:eastAsia="宋体" w:cs="宋体"/>
          <w:sz w:val="24"/>
          <w:szCs w:val="24"/>
        </w:rPr>
        <w:t>亿m</w:t>
      </w:r>
      <w:r>
        <w:rPr>
          <w:rFonts w:hint="eastAsia" w:ascii="宋体" w:hAnsi="宋体" w:eastAsia="宋体" w:cs="宋体"/>
          <w:sz w:val="24"/>
          <w:szCs w:val="24"/>
          <w:vertAlign w:val="superscript"/>
        </w:rPr>
        <w:t>2</w:t>
      </w:r>
      <w:r>
        <w:rPr>
          <w:rFonts w:hint="eastAsia" w:ascii="宋体" w:hAnsi="宋体" w:eastAsia="宋体" w:cs="宋体"/>
          <w:sz w:val="24"/>
          <w:szCs w:val="24"/>
        </w:rPr>
        <w:t>，其中具有民用化改造潜力的约有</w:t>
      </w:r>
      <w:r>
        <w:rPr>
          <w:rFonts w:hint="default" w:ascii="Times New Roman" w:hAnsi="Times New Roman" w:eastAsia="宋体" w:cs="Times New Roman"/>
          <w:sz w:val="24"/>
          <w:szCs w:val="24"/>
        </w:rPr>
        <w:t>30</w:t>
      </w:r>
      <w:r>
        <w:rPr>
          <w:rFonts w:hint="eastAsia" w:ascii="宋体" w:hAnsi="宋体" w:eastAsia="宋体" w:cs="宋体"/>
          <w:sz w:val="24"/>
          <w:szCs w:val="24"/>
        </w:rPr>
        <w:t>亿m</w:t>
      </w:r>
      <w:r>
        <w:rPr>
          <w:rFonts w:hint="eastAsia" w:ascii="宋体" w:hAnsi="宋体" w:eastAsia="宋体" w:cs="宋体"/>
          <w:sz w:val="24"/>
          <w:szCs w:val="24"/>
          <w:vertAlign w:val="superscript"/>
        </w:rPr>
        <w:t>2</w:t>
      </w:r>
      <w:r>
        <w:rPr>
          <w:rFonts w:hint="eastAsia" w:ascii="宋体" w:hAnsi="宋体" w:eastAsia="宋体" w:cs="宋体"/>
          <w:sz w:val="24"/>
          <w:szCs w:val="24"/>
        </w:rPr>
        <w:t>。近年来我国开展了各类既有工业建筑民用化改造探索，如首钢老工业园区绿色改造探索，被习近平总书记、国际奥委会主席巴赫高度评价，成为既有工业建筑民用化改造的典范。将旧工业建筑改造为办公、宾馆、商场等类型的民用建筑，并使改造后的建筑最大限度地节约资源，保护环境和减少污染，为使用者提供健康、舒适的室内环境，这不仅是对工业建筑改造方式的拓展与提升，也是促进国内建筑低碳发展的有效措施。</w:t>
      </w:r>
    </w:p>
    <w:p w14:paraId="6BAAA25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在国家“</w:t>
      </w:r>
      <w:r>
        <w:rPr>
          <w:rFonts w:hint="default" w:ascii="Times New Roman" w:hAnsi="Times New Roman" w:eastAsia="宋体" w:cs="Times New Roman"/>
          <w:sz w:val="24"/>
          <w:szCs w:val="24"/>
        </w:rPr>
        <w:t>3060</w:t>
      </w:r>
      <w:r>
        <w:rPr>
          <w:rFonts w:hint="eastAsia" w:ascii="宋体" w:hAnsi="宋体" w:eastAsia="宋体" w:cs="宋体"/>
          <w:sz w:val="24"/>
          <w:szCs w:val="24"/>
        </w:rPr>
        <w:t>”双碳目标的要求下，伴随着产业结构调整升级和城市工业用地的更新，针对需</w:t>
      </w:r>
      <w:r>
        <w:rPr>
          <w:rFonts w:hint="eastAsia" w:ascii="宋体" w:hAnsi="宋体" w:eastAsia="宋体" w:cs="宋体"/>
          <w:sz w:val="24"/>
          <w:szCs w:val="24"/>
          <w:highlight w:val="none"/>
        </w:rPr>
        <w:t>进行功能化转型</w:t>
      </w:r>
      <w:r>
        <w:rPr>
          <w:rFonts w:hint="eastAsia" w:ascii="宋体" w:hAnsi="宋体" w:eastAsia="宋体" w:cs="宋体"/>
          <w:sz w:val="24"/>
          <w:szCs w:val="24"/>
        </w:rPr>
        <w:t>的存量工业建筑开展民用化低碳改造，对延续既有工业建筑寿命、推动我国既有工业建筑全寿命周期的可持续发展，推动建筑行业绿色低碳转型，服务于城市更新和城市综合复兴，具有重要的社会意义。</w:t>
      </w:r>
    </w:p>
    <w:p w14:paraId="6C3FB37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随着我国建筑行业由粗放型外延式发展调整为集约型内涵式发展，建设重点从增量建设转变为存量提升，国家出台了一系列既有建筑改造标准，如《既有建筑维护与改造通用规范》</w:t>
      </w:r>
      <w:r>
        <w:rPr>
          <w:rFonts w:hint="default" w:ascii="Times New Roman" w:hAnsi="Times New Roman" w:eastAsia="宋体" w:cs="Times New Roman"/>
          <w:sz w:val="24"/>
          <w:szCs w:val="24"/>
        </w:rPr>
        <w:t>GB 55022-2021</w:t>
      </w:r>
      <w:r>
        <w:rPr>
          <w:rFonts w:hint="eastAsia" w:ascii="宋体" w:hAnsi="宋体" w:eastAsia="宋体" w:cs="宋体"/>
          <w:sz w:val="24"/>
          <w:szCs w:val="24"/>
        </w:rPr>
        <w:t>，主要针对既有建筑的维护、修缮与改造提出了通用性的要求；《既有建筑鉴定与加固通用规范》</w:t>
      </w:r>
      <w:r>
        <w:rPr>
          <w:rFonts w:hint="default" w:ascii="Times New Roman" w:hAnsi="Times New Roman" w:eastAsia="宋体" w:cs="Times New Roman"/>
          <w:sz w:val="24"/>
          <w:szCs w:val="24"/>
        </w:rPr>
        <w:t>GB 55021-2021</w:t>
      </w:r>
      <w:r>
        <w:rPr>
          <w:rFonts w:hint="eastAsia" w:ascii="宋体" w:hAnsi="宋体" w:eastAsia="宋体" w:cs="宋体"/>
          <w:sz w:val="24"/>
          <w:szCs w:val="24"/>
        </w:rPr>
        <w:t>，重点对既有建筑的结构鉴定和加固提出了通用性技术要求；《既有建筑绿色改造评价标准》</w:t>
      </w:r>
      <w:r>
        <w:rPr>
          <w:rFonts w:hint="default" w:ascii="Times New Roman" w:hAnsi="Times New Roman" w:eastAsia="宋体" w:cs="Times New Roman"/>
          <w:sz w:val="24"/>
          <w:szCs w:val="24"/>
        </w:rPr>
        <w:t>GB/T 51141-2015</w:t>
      </w:r>
      <w:r>
        <w:rPr>
          <w:rFonts w:hint="eastAsia" w:ascii="宋体" w:hAnsi="宋体" w:eastAsia="宋体" w:cs="宋体"/>
          <w:sz w:val="24"/>
          <w:szCs w:val="24"/>
        </w:rPr>
        <w:t>，则是提出了既有民用建筑绿色改造的评价体系，为指导既有建筑绿色化改造提供了标准支撑。此外，针对既有工业建筑，北京、江苏等地区积极开展了民用化绿色改造的探索，并根据地域特点，编制了相应的既有工业建筑民用化绿色改造评价标准，如北京市地方标准《既有工业建筑民用化绿色改造评价标准》</w:t>
      </w:r>
      <w:r>
        <w:rPr>
          <w:rFonts w:hint="default" w:ascii="Times New Roman" w:hAnsi="Times New Roman" w:eastAsia="宋体" w:cs="Times New Roman"/>
          <w:sz w:val="24"/>
          <w:szCs w:val="24"/>
        </w:rPr>
        <w:t>DB11/T 1844-2021</w:t>
      </w:r>
      <w:r>
        <w:rPr>
          <w:rFonts w:hint="eastAsia" w:ascii="宋体" w:hAnsi="宋体" w:eastAsia="宋体" w:cs="宋体"/>
          <w:sz w:val="24"/>
          <w:szCs w:val="24"/>
        </w:rPr>
        <w:t>。</w:t>
      </w:r>
    </w:p>
    <w:p w14:paraId="24F1314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然而，目前我国现行的既有建筑改造类相关标准，一方面侧重于民用建筑，另一方面以安全性技术要求、绿色评价等方向为主</w:t>
      </w:r>
      <w:r>
        <w:rPr>
          <w:rFonts w:hint="eastAsia" w:ascii="宋体" w:hAnsi="宋体" w:cs="宋体"/>
          <w:sz w:val="24"/>
          <w:szCs w:val="24"/>
          <w:lang w:eastAsia="zh-CN"/>
        </w:rPr>
        <w:t>。</w:t>
      </w:r>
      <w:r>
        <w:rPr>
          <w:rFonts w:hint="eastAsia" w:ascii="宋体" w:hAnsi="宋体" w:eastAsia="宋体" w:cs="宋体"/>
          <w:sz w:val="24"/>
          <w:szCs w:val="24"/>
        </w:rPr>
        <w:t>一些经济发达地区，针对当地既有工业建筑的特性，也编制了针对绿色改造的技术标准，而对于既有工业建筑低碳改造方面，尚属空白。面对建筑行业实现碳达峰与碳中和的总目标，亟需编制一本适用于全国的既有工业建筑民用化低碳改造评价标准，从评价层面引领和推动既有工业建筑低碳有序发展，助力国家双碳目标的实现。</w:t>
      </w:r>
    </w:p>
    <w:p w14:paraId="56DFDBD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标准对既有工业建筑民用化低碳改造进行评价和等级的划分，实现既有工业建筑民用化低碳改造性能认定从定性向定量的转换，助力既有工业建筑更新建设品质和人居环境质量提升，为城市更新的现代化建设和可持续发展创造条件，推动城市综合治理水平有序提高。</w:t>
      </w:r>
    </w:p>
    <w:p w14:paraId="1BBB4B0C">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1.0.2</w:t>
      </w:r>
      <w:r>
        <w:rPr>
          <w:rFonts w:hint="eastAsia" w:ascii="宋体" w:hAnsi="宋体" w:cs="宋体"/>
          <w:sz w:val="24"/>
          <w:szCs w:val="24"/>
        </w:rPr>
        <w:t xml:space="preserve">  </w:t>
      </w:r>
      <w:r>
        <w:rPr>
          <w:rFonts w:hint="eastAsia" w:ascii="宋体" w:hAnsi="宋体" w:eastAsia="宋体" w:cs="宋体"/>
          <w:sz w:val="24"/>
          <w:szCs w:val="24"/>
        </w:rPr>
        <w:t>本条规定了标准的适用范围。本标准适用于既有工业厂房、车间、作坊、库房等建筑物、构筑物及其附属设备、基础设施等改造为民用建筑的低碳性能改造评价。</w:t>
      </w:r>
    </w:p>
    <w:p w14:paraId="31880BAF">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1.0.3</w:t>
      </w:r>
      <w:r>
        <w:rPr>
          <w:rFonts w:hint="eastAsia" w:ascii="宋体" w:hAnsi="宋体" w:cs="宋体"/>
          <w:sz w:val="24"/>
          <w:szCs w:val="24"/>
        </w:rPr>
        <w:t xml:space="preserve">  </w:t>
      </w:r>
      <w:r>
        <w:rPr>
          <w:rFonts w:hint="eastAsia" w:ascii="宋体" w:hAnsi="宋体" w:eastAsia="宋体" w:cs="宋体"/>
          <w:sz w:val="24"/>
          <w:szCs w:val="24"/>
        </w:rPr>
        <w:t>既有工业建筑民用化低碳改造时，应注重改造项目自身特点，充分考虑当地的气候、资源、自然环境、经济、文化等。从既有工业建筑民用化低碳改造设计到施工、运营及最终的拆除，构成一个全寿命期。关注建筑的全寿命期，意味着不仅在改造设计阶段充分考虑并利用环境因素，而且确保施工过程中对环境的碳排放影响最低，运营阶段能为人们提供低碳的活动空间，以及拆除后又对环境危害最低。本标准以“以人为本”为核心要求，对既有工业建筑民用化低碳改造全寿命期内的场地与环境、建筑改造与利用、能源与水资源利用、建材与建造等性能进行综合评价。</w:t>
      </w:r>
    </w:p>
    <w:p w14:paraId="0D1B6483">
      <w:pPr>
        <w:spacing w:line="360" w:lineRule="auto"/>
        <w:ind w:firstLine="0" w:firstLineChars="0"/>
        <w:rPr>
          <w:rFonts w:hint="eastAsia" w:ascii="宋体" w:hAnsi="宋体" w:cs="宋体"/>
          <w:sz w:val="24"/>
          <w:szCs w:val="24"/>
        </w:rPr>
        <w:sectPr>
          <w:footerReference r:id="rId13" w:type="default"/>
          <w:pgSz w:w="11906" w:h="16838"/>
          <w:pgMar w:top="1440" w:right="1800" w:bottom="1440" w:left="1800" w:header="851" w:footer="992" w:gutter="0"/>
          <w:cols w:space="425" w:num="1"/>
          <w:docGrid w:type="lines" w:linePitch="312" w:charSpace="0"/>
        </w:sectPr>
      </w:pPr>
      <w:r>
        <w:rPr>
          <w:rFonts w:hint="default" w:ascii="Times New Roman" w:hAnsi="Times New Roman" w:eastAsia="宋体" w:cs="Times New Roman"/>
          <w:b/>
          <w:bCs/>
          <w:sz w:val="24"/>
          <w:szCs w:val="24"/>
        </w:rPr>
        <w:t>1.0.4</w:t>
      </w:r>
      <w:r>
        <w:rPr>
          <w:rFonts w:hint="eastAsia" w:ascii="宋体" w:hAnsi="宋体" w:cs="宋体"/>
          <w:sz w:val="24"/>
          <w:szCs w:val="24"/>
        </w:rPr>
        <w:t xml:space="preserve">  </w:t>
      </w:r>
      <w:r>
        <w:rPr>
          <w:rFonts w:hint="eastAsia" w:ascii="宋体" w:hAnsi="宋体" w:eastAsia="宋体" w:cs="宋体"/>
          <w:sz w:val="24"/>
          <w:szCs w:val="24"/>
        </w:rPr>
        <w:t>本标准重点针对既有工业建筑民用化低碳改造过程中低碳性能进行评价，并未涵盖建筑所应有的全部功能和性能要求，故参评建筑尚应符合国家及中国工程建设标准化协会现行有关标准的规定。</w:t>
      </w:r>
    </w:p>
    <w:p w14:paraId="0FC13DB4">
      <w:pPr>
        <w:widowControl/>
        <w:snapToGrid w:val="0"/>
        <w:spacing w:line="360" w:lineRule="auto"/>
        <w:jc w:val="both"/>
        <w:outlineLvl w:val="9"/>
        <w:rPr>
          <w:rFonts w:ascii="Times New Roman" w:hAnsi="Times New Roman" w:cs="Times New Roman"/>
          <w:b/>
          <w:bCs w:val="0"/>
          <w:kern w:val="2"/>
          <w:sz w:val="30"/>
          <w:szCs w:val="30"/>
        </w:rPr>
      </w:pPr>
    </w:p>
    <w:p w14:paraId="4DEF9E69">
      <w:pPr>
        <w:widowControl/>
        <w:snapToGrid w:val="0"/>
        <w:spacing w:line="360" w:lineRule="auto"/>
        <w:jc w:val="center"/>
        <w:outlineLvl w:val="0"/>
        <w:rPr>
          <w:rFonts w:ascii="Times New Roman" w:hAnsi="Times New Roman" w:cs="Times New Roman"/>
          <w:b/>
          <w:bCs w:val="0"/>
          <w:kern w:val="2"/>
          <w:sz w:val="30"/>
          <w:szCs w:val="30"/>
        </w:rPr>
      </w:pPr>
      <w:bookmarkStart w:id="259" w:name="_Toc27696"/>
      <w:bookmarkStart w:id="260" w:name="_Toc7906"/>
      <w:r>
        <w:rPr>
          <w:rFonts w:ascii="Times New Roman" w:hAnsi="Times New Roman" w:cs="Times New Roman"/>
          <w:b/>
          <w:bCs w:val="0"/>
          <w:kern w:val="2"/>
          <w:sz w:val="30"/>
          <w:szCs w:val="30"/>
        </w:rPr>
        <w:t xml:space="preserve">2  </w:t>
      </w:r>
      <w:r>
        <w:rPr>
          <w:rFonts w:hint="default" w:ascii="Times New Roman" w:hAnsi="Times New Roman" w:cs="Times New Roman"/>
          <w:b/>
          <w:bCs w:val="0"/>
          <w:kern w:val="2"/>
          <w:sz w:val="30"/>
          <w:szCs w:val="30"/>
        </w:rPr>
        <w:t>术语</w:t>
      </w:r>
      <w:bookmarkEnd w:id="259"/>
      <w:bookmarkEnd w:id="260"/>
    </w:p>
    <w:p w14:paraId="1DD5A2A8">
      <w:pPr>
        <w:widowControl/>
        <w:spacing w:line="360" w:lineRule="auto"/>
        <w:ind w:firstLine="0" w:firstLineChars="0"/>
        <w:jc w:val="both"/>
        <w:rPr>
          <w:rFonts w:hint="eastAsia" w:ascii="宋体" w:hAnsi="宋体" w:eastAsia="宋体" w:cs="宋体"/>
          <w:sz w:val="24"/>
          <w:szCs w:val="24"/>
        </w:rPr>
      </w:pPr>
      <w:r>
        <w:rPr>
          <w:rFonts w:hint="default" w:ascii="Times New Roman" w:hAnsi="Times New Roman" w:eastAsia="宋体" w:cs="Times New Roman"/>
          <w:b/>
          <w:bCs/>
          <w:sz w:val="24"/>
          <w:szCs w:val="24"/>
        </w:rPr>
        <w:t>2.0.4</w:t>
      </w:r>
      <w:r>
        <w:rPr>
          <w:rFonts w:hint="eastAsia" w:ascii="宋体" w:hAnsi="宋体" w:cs="宋体"/>
          <w:sz w:val="24"/>
          <w:szCs w:val="24"/>
        </w:rPr>
        <w:t xml:space="preserve">  </w:t>
      </w:r>
      <w:r>
        <w:rPr>
          <w:rFonts w:hint="eastAsia" w:ascii="宋体" w:hAnsi="宋体" w:eastAsia="宋体" w:cs="宋体"/>
          <w:sz w:val="24"/>
          <w:szCs w:val="24"/>
        </w:rPr>
        <w:t>众所周知，材料强度越高对应碳排放因子越高，因此无法明确因采用高强度材料减少了材料用量是否一定会降低碳排放。为更好衡量材料强度与碳排放间关系，给出碳强比概念，即建筑材料每单位强度需求或产生的碳排放量，从而更清晰明确材料强度与碳排放关系。</w:t>
      </w:r>
    </w:p>
    <w:p w14:paraId="79D0013A">
      <w:pPr>
        <w:widowControl/>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碳强比计算公式为：材料碳排放因子/材料强度，单位为</w:t>
      </w:r>
      <w:r>
        <w:rPr>
          <w:rFonts w:hint="default" w:ascii="Times New Roman" w:hAnsi="Times New Roman" w:eastAsia="宋体" w:cs="Times New Roman"/>
          <w:sz w:val="24"/>
          <w:szCs w:val="24"/>
        </w:rPr>
        <w:t>mm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 xml:space="preserve"> CO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e/t（㎡或m³）</w:t>
      </w:r>
      <w:r>
        <w:rPr>
          <w:rFonts w:hint="eastAsia" w:ascii="宋体" w:hAnsi="宋体" w:eastAsia="宋体" w:cs="宋体"/>
          <w:sz w:val="24"/>
          <w:szCs w:val="24"/>
        </w:rPr>
        <w:t>。</w:t>
      </w:r>
    </w:p>
    <w:p w14:paraId="60F31E68">
      <w:pPr>
        <w:widowControl/>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以三级钢筋为例，其碳排放因子为</w:t>
      </w:r>
      <w:r>
        <w:rPr>
          <w:rFonts w:hint="default" w:ascii="Times New Roman" w:hAnsi="Times New Roman" w:eastAsia="宋体" w:cs="Times New Roman"/>
          <w:sz w:val="24"/>
          <w:szCs w:val="24"/>
        </w:rPr>
        <w:t>2050kg CO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e/t</w:t>
      </w:r>
      <w:r>
        <w:rPr>
          <w:rFonts w:hint="eastAsia" w:ascii="宋体" w:hAnsi="宋体" w:eastAsia="宋体" w:cs="宋体"/>
          <w:sz w:val="24"/>
          <w:szCs w:val="24"/>
        </w:rPr>
        <w:t>,抗拉强度设计值为</w:t>
      </w:r>
      <w:r>
        <w:rPr>
          <w:rFonts w:hint="default" w:ascii="Times New Roman" w:hAnsi="Times New Roman" w:eastAsia="宋体" w:cs="Times New Roman"/>
          <w:sz w:val="24"/>
          <w:szCs w:val="24"/>
        </w:rPr>
        <w:t>360N/mm</w:t>
      </w:r>
      <w:r>
        <w:rPr>
          <w:rFonts w:hint="default" w:ascii="Times New Roman" w:hAnsi="Times New Roman" w:eastAsia="宋体" w:cs="Times New Roman"/>
          <w:sz w:val="24"/>
          <w:szCs w:val="24"/>
          <w:vertAlign w:val="superscript"/>
        </w:rPr>
        <w:t>2</w:t>
      </w:r>
      <w:r>
        <w:rPr>
          <w:rFonts w:hint="eastAsia" w:ascii="宋体" w:hAnsi="宋体" w:eastAsia="宋体" w:cs="宋体"/>
          <w:sz w:val="24"/>
          <w:szCs w:val="24"/>
        </w:rPr>
        <w:t>，其碳排放因子为</w:t>
      </w:r>
      <w:r>
        <w:rPr>
          <w:rFonts w:hint="default" w:ascii="Times New Roman" w:hAnsi="Times New Roman" w:eastAsia="宋体" w:cs="Times New Roman"/>
          <w:sz w:val="24"/>
          <w:szCs w:val="24"/>
        </w:rPr>
        <w:t>2050/360=0.581mm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 xml:space="preserve"> CO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e/t</w:t>
      </w:r>
      <w:r>
        <w:rPr>
          <w:rFonts w:hint="eastAsia" w:ascii="宋体" w:hAnsi="宋体" w:eastAsia="宋体" w:cs="宋体"/>
          <w:sz w:val="24"/>
          <w:szCs w:val="24"/>
        </w:rPr>
        <w:t>。</w:t>
      </w:r>
    </w:p>
    <w:p w14:paraId="54D80E45"/>
    <w:p w14:paraId="2D889666"/>
    <w:p w14:paraId="3ACFC52D">
      <w:r>
        <w:rPr>
          <w:rFonts w:hint="eastAsia"/>
        </w:rPr>
        <w:br w:type="page"/>
      </w:r>
    </w:p>
    <w:p w14:paraId="16CF99BC">
      <w:pPr>
        <w:widowControl/>
        <w:snapToGrid w:val="0"/>
        <w:spacing w:line="360" w:lineRule="auto"/>
        <w:jc w:val="both"/>
        <w:outlineLvl w:val="9"/>
        <w:rPr>
          <w:rFonts w:ascii="Times New Roman" w:hAnsi="Times New Roman" w:cs="Times New Roman"/>
          <w:b/>
          <w:bCs w:val="0"/>
          <w:kern w:val="2"/>
          <w:sz w:val="30"/>
          <w:szCs w:val="30"/>
        </w:rPr>
      </w:pPr>
    </w:p>
    <w:p w14:paraId="48E91EF2">
      <w:pPr>
        <w:widowControl/>
        <w:snapToGrid w:val="0"/>
        <w:spacing w:line="360" w:lineRule="auto"/>
        <w:jc w:val="center"/>
        <w:outlineLvl w:val="0"/>
        <w:rPr>
          <w:rFonts w:ascii="Times New Roman" w:hAnsi="Times New Roman" w:cs="Times New Roman"/>
          <w:b/>
          <w:bCs w:val="0"/>
          <w:kern w:val="2"/>
          <w:sz w:val="30"/>
          <w:szCs w:val="30"/>
        </w:rPr>
      </w:pPr>
      <w:bookmarkStart w:id="261" w:name="_Toc21998"/>
      <w:bookmarkStart w:id="262" w:name="_Toc8392"/>
      <w:r>
        <w:rPr>
          <w:rFonts w:ascii="Times New Roman" w:hAnsi="Times New Roman" w:cs="Times New Roman"/>
          <w:b/>
          <w:bCs w:val="0"/>
          <w:kern w:val="2"/>
          <w:sz w:val="30"/>
          <w:szCs w:val="30"/>
        </w:rPr>
        <w:t xml:space="preserve">3  </w:t>
      </w:r>
      <w:r>
        <w:rPr>
          <w:rFonts w:hint="default" w:ascii="Times New Roman" w:hAnsi="Times New Roman" w:cs="Times New Roman"/>
          <w:b/>
          <w:bCs w:val="0"/>
          <w:kern w:val="2"/>
          <w:sz w:val="30"/>
          <w:szCs w:val="30"/>
        </w:rPr>
        <w:t>基本规定</w:t>
      </w:r>
      <w:bookmarkEnd w:id="261"/>
      <w:bookmarkEnd w:id="262"/>
    </w:p>
    <w:p w14:paraId="52FC4D45">
      <w:pPr>
        <w:tabs>
          <w:tab w:val="left" w:pos="0"/>
        </w:tabs>
        <w:spacing w:before="0" w:beforeLines="0" w:after="0" w:afterLines="0" w:line="360" w:lineRule="auto"/>
        <w:jc w:val="center"/>
        <w:outlineLvl w:val="1"/>
        <w:rPr>
          <w:rFonts w:ascii="黑体" w:hAnsi="黑体" w:eastAsia="黑体" w:cs="黑体"/>
          <w:b/>
          <w:bCs/>
          <w:sz w:val="28"/>
          <w:szCs w:val="28"/>
        </w:rPr>
      </w:pPr>
      <w:bookmarkStart w:id="263" w:name="_Toc26377"/>
      <w:bookmarkStart w:id="264" w:name="_Toc1058"/>
      <w:r>
        <w:rPr>
          <w:rFonts w:ascii="Times New Roman" w:hAnsi="Times New Roman" w:eastAsia="黑体" w:cs="Times New Roman"/>
          <w:b/>
          <w:bCs/>
          <w:sz w:val="28"/>
          <w:szCs w:val="28"/>
        </w:rPr>
        <w:t>3.1</w:t>
      </w:r>
      <w:r>
        <w:rPr>
          <w:rFonts w:ascii="黑体" w:hAnsi="黑体" w:eastAsia="黑体" w:cs="黑体"/>
          <w:b/>
          <w:bCs/>
          <w:sz w:val="28"/>
          <w:szCs w:val="28"/>
        </w:rPr>
        <w:t xml:space="preserve">  </w:t>
      </w:r>
      <w:r>
        <w:rPr>
          <w:rFonts w:hint="eastAsia" w:ascii="黑体" w:hAnsi="黑体" w:eastAsia="黑体" w:cs="黑体"/>
          <w:b/>
          <w:bCs/>
          <w:sz w:val="28"/>
          <w:szCs w:val="28"/>
        </w:rPr>
        <w:t>一般规定</w:t>
      </w:r>
      <w:bookmarkEnd w:id="263"/>
      <w:bookmarkEnd w:id="264"/>
    </w:p>
    <w:p w14:paraId="46C73EF8">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3.1.1</w:t>
      </w:r>
      <w:r>
        <w:rPr>
          <w:rFonts w:hint="eastAsia" w:ascii="宋体" w:hAnsi="宋体" w:cs="宋体"/>
          <w:sz w:val="24"/>
          <w:szCs w:val="24"/>
        </w:rPr>
        <w:t>　</w:t>
      </w:r>
      <w:r>
        <w:rPr>
          <w:rFonts w:hint="eastAsia" w:ascii="宋体" w:hAnsi="宋体" w:eastAsia="宋体" w:cs="宋体"/>
          <w:sz w:val="24"/>
          <w:szCs w:val="24"/>
        </w:rPr>
        <w:t>既有工业建筑民用化低碳改造完成后的建筑单体和同一功能的建筑群均可以参评低碳建筑，临时建筑不得参评。单栋建筑应为完整的建筑，不得从中剔除部分区域。</w:t>
      </w:r>
    </w:p>
    <w:p w14:paraId="0A1997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既有工业建筑民用化低碳改造的评价，首先应基于评价对象的性能要求。当需要对某工程项目中的单栋建筑或同一功能的建筑群进行评价时，由于有些评价指标是针对该工程项目设定的，或该工程项目中其他建筑也采用了相同的技术方案，难以仅基于该单栋建筑进行评价，此时，应以该栋建筑所属工程项目的总体为基准进行评价。也就是说，评价内容涉及工程建设项目总体要求时（如绿地率、室外景观水体等控制指标），应依据该项目的整体控制指标，即所在地城乡规划行政主管部门核发的工程建设规划许可证及其设计条件提出的控制要求，进行评价。</w:t>
      </w:r>
    </w:p>
    <w:p w14:paraId="7D4393D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同一功能的建筑群是指位置毗邻、功能相同、权属相同、技术体系相同或相近的两个及以上单体建筑组成的群体。当对建筑群进行评价时，可先用本标准评分项和加分项对各单体建筑进行评价，得到各单体建筑的总得分，再按各单体建筑的建筑面积进行加权计算得到建筑群的总得分，最后按建筑群的总得分确定既有工业建筑群的低碳建筑等级。</w:t>
      </w:r>
    </w:p>
    <w:p w14:paraId="7237E99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无论评价对象为单栋建筑还是同一功能的建筑群，计算系统性、整体性指标时，边界应选取合理、口径一致。</w:t>
      </w:r>
    </w:p>
    <w:p w14:paraId="086B9FEC">
      <w:pPr>
        <w:spacing w:line="360" w:lineRule="auto"/>
        <w:ind w:firstLine="480" w:firstLineChars="200"/>
        <w:rPr>
          <w:rFonts w:hint="eastAsia" w:ascii="宋体" w:hAnsi="宋体" w:eastAsia="宋体" w:cs="宋体"/>
          <w:sz w:val="24"/>
          <w:szCs w:val="24"/>
          <w:highlight w:val="yellow"/>
        </w:rPr>
      </w:pPr>
      <w:r>
        <w:rPr>
          <w:rFonts w:hint="eastAsia" w:ascii="宋体" w:hAnsi="宋体" w:eastAsia="宋体" w:cs="宋体"/>
          <w:sz w:val="24"/>
          <w:szCs w:val="24"/>
        </w:rPr>
        <w:t>对于民用化改造后的工业建筑，可能会存在两个或两个以上业主的多功能综合性建筑，此情况下可灵活处理，首先仍应考虑“以一栋完整的建筑为基本对象”的原则，鼓励其业主联合申请低碳建筑评价；如所有业主无法联合申请，但有业主有意愿单独申请时，可对建筑中的部分区域进行评价，但申请评价的区域，有相对独立的暖通空调、给水排水等设备系统，此区域的电、气、热、水耗也能独立计量，还应明确物业产权和运行管理涵盖的区域，涉及的系统性、整体性指标，还应按照本条的规定执行。</w:t>
      </w:r>
    </w:p>
    <w:p w14:paraId="58839A92">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3.1.2</w:t>
      </w:r>
      <w:r>
        <w:rPr>
          <w:rFonts w:hint="eastAsia" w:ascii="宋体" w:hAnsi="宋体" w:cs="宋体"/>
          <w:sz w:val="24"/>
          <w:szCs w:val="24"/>
        </w:rPr>
        <w:t>　</w:t>
      </w:r>
      <w:r>
        <w:rPr>
          <w:rFonts w:hint="eastAsia" w:ascii="宋体" w:hAnsi="宋体" w:eastAsia="宋体" w:cs="宋体"/>
          <w:sz w:val="24"/>
          <w:szCs w:val="24"/>
        </w:rPr>
        <w:t>国家发展改革委、住房城乡建设部《加快推动建筑领域节能降碳工作方案》明确提出促进经济社会发展全面绿色转型，加快推动建筑领域节能降碳。与常规建筑领域降碳的发展方向相同，既有工业建筑民用化低碳改造也需要注重向运行实效方向发展，所以既有工业建筑民用化低碳改造性能评价应该设置在改造工程竣工后进行。</w:t>
      </w:r>
    </w:p>
    <w:p w14:paraId="4C62DDC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此外，本条提出“在建筑工程施工图设计完成后，应进行预评价”，主要是考虑预评价能够更早地掌握改造过程中可能实现的低碳性能，可以及时优化或调整改造方案或技术措施，为建成后的运行管理做准备。</w:t>
      </w:r>
    </w:p>
    <w:p w14:paraId="46F1EFD8">
      <w:pPr>
        <w:spacing w:line="360" w:lineRule="auto"/>
        <w:ind w:firstLine="0"/>
        <w:rPr>
          <w:rFonts w:hint="eastAsia" w:ascii="宋体" w:hAnsi="宋体" w:eastAsia="宋体" w:cs="宋体"/>
          <w:sz w:val="24"/>
          <w:szCs w:val="24"/>
        </w:rPr>
      </w:pPr>
      <w:r>
        <w:rPr>
          <w:rFonts w:hint="default" w:ascii="Times New Roman" w:hAnsi="Times New Roman" w:eastAsia="宋体" w:cs="Times New Roman"/>
          <w:b/>
          <w:bCs/>
          <w:sz w:val="24"/>
          <w:szCs w:val="24"/>
        </w:rPr>
        <w:t>3.1.3</w:t>
      </w:r>
      <w:r>
        <w:rPr>
          <w:rFonts w:hint="eastAsia" w:ascii="宋体" w:hAnsi="宋体" w:cs="宋体"/>
          <w:sz w:val="24"/>
          <w:szCs w:val="24"/>
        </w:rPr>
        <w:t>　</w:t>
      </w:r>
      <w:r>
        <w:rPr>
          <w:rFonts w:hint="eastAsia" w:ascii="宋体" w:hAnsi="宋体" w:eastAsia="宋体" w:cs="宋体"/>
          <w:sz w:val="24"/>
          <w:szCs w:val="24"/>
        </w:rPr>
        <w:t>本条对既有工业建筑参与评价的条件进行了要求。</w:t>
      </w:r>
    </w:p>
    <w:p w14:paraId="2236AEFD">
      <w:pPr>
        <w:spacing w:line="360" w:lineRule="auto"/>
        <w:ind w:firstLine="420"/>
        <w:rPr>
          <w:rFonts w:hint="eastAsia" w:ascii="宋体" w:hAnsi="宋体" w:eastAsia="宋体" w:cs="宋体"/>
          <w:sz w:val="24"/>
          <w:szCs w:val="24"/>
        </w:rPr>
      </w:pPr>
      <w:r>
        <w:rPr>
          <w:rFonts w:hint="eastAsia" w:ascii="宋体" w:hAnsi="宋体" w:eastAsia="宋体" w:cs="宋体"/>
          <w:sz w:val="24"/>
          <w:szCs w:val="24"/>
        </w:rPr>
        <w:t>本标准针对既有工业建筑民用化低碳改造制定，其参与评价的前提是在保护既有工业建筑的基础上改造再利用，从而保留城市文化的记忆。为此，在建筑结构、场地环境、土壤状况、构筑物等安全可靠的前提下，本条将既有建筑空间、构配件、设备和系统、构筑物等综合改造再利用作为参与评价的基本条件。如果完全拆除既有工业建筑，在原址上重建、仿建，或者改造后建筑面积或占地面积远超改造前既有工业建筑的建筑面积或占地面积，则与本标准的编制目的相违背，标准中的相关技术条文也不适用。故参与本标准评价时，应充分利用既有建筑空间、构配件、设备和系统、构筑物等，并提交相关分析论证的报告。</w:t>
      </w:r>
    </w:p>
    <w:p w14:paraId="55C75739">
      <w:pPr>
        <w:spacing w:line="360" w:lineRule="auto"/>
        <w:ind w:firstLine="420"/>
        <w:rPr>
          <w:rFonts w:hint="eastAsia" w:ascii="宋体" w:hAnsi="宋体" w:eastAsia="宋体" w:cs="宋体"/>
          <w:sz w:val="24"/>
          <w:szCs w:val="24"/>
        </w:rPr>
      </w:pPr>
      <w:r>
        <w:rPr>
          <w:rFonts w:hint="eastAsia" w:ascii="宋体" w:hAnsi="宋体" w:eastAsia="宋体" w:cs="宋体"/>
          <w:sz w:val="24"/>
          <w:szCs w:val="24"/>
        </w:rPr>
        <w:t>既有工业建筑民用化低碳改造前要综合考虑项目现状、改造模式、功能需求等因素,从而进行改造前评估、策划并在此基础上制定低碳改造方案和改造目标。通过改造前评估与策划可以对既有工业建筑各方面的性能现状进行全面了解，可充分考虑既有工业建筑所处区域的整体规划要求、改造采用的投、融资模式，改造前后建筑功能变化等，确定既有工业建筑民用化低碳改造的潜力和可行性，保证改造方案的合理性和经济性。改造前评估可采用现场查勘、问卷调研、资料审阅、现场检测、软件模拟等办法，确定建筑现状及运行效果。可行性研究报告或改造方案可包括：项目概况、改造方案的分析、经济性分析、资源利用分析、社会环境效益分析、环境保护措施、风险控制策略、结论与建议等。</w:t>
      </w:r>
    </w:p>
    <w:p w14:paraId="0874DAC1">
      <w:pPr>
        <w:spacing w:line="360" w:lineRule="auto"/>
        <w:ind w:firstLine="0"/>
        <w:rPr>
          <w:rFonts w:hint="eastAsia" w:ascii="宋体" w:hAnsi="宋体" w:eastAsia="宋体" w:cs="宋体"/>
          <w:sz w:val="24"/>
          <w:szCs w:val="24"/>
        </w:rPr>
      </w:pPr>
      <w:r>
        <w:rPr>
          <w:rFonts w:hint="default" w:ascii="Times New Roman" w:hAnsi="Times New Roman" w:eastAsia="宋体" w:cs="Times New Roman"/>
          <w:b/>
          <w:bCs/>
          <w:sz w:val="24"/>
          <w:szCs w:val="24"/>
        </w:rPr>
        <w:t>3.1.4</w:t>
      </w:r>
      <w:r>
        <w:rPr>
          <w:rFonts w:hint="eastAsia" w:ascii="宋体" w:hAnsi="宋体" w:cs="宋体"/>
          <w:sz w:val="24"/>
          <w:szCs w:val="24"/>
        </w:rPr>
        <w:t>　</w:t>
      </w:r>
      <w:r>
        <w:rPr>
          <w:rFonts w:hint="eastAsia" w:ascii="宋体" w:hAnsi="宋体" w:eastAsia="宋体" w:cs="宋体"/>
          <w:sz w:val="24"/>
          <w:szCs w:val="24"/>
        </w:rPr>
        <w:t>本条对申请评价方的相关工作提出要求。申请评价方依据有关管理制度文件确定。申请评价方应对建筑全寿命期内各个阶段进行控制，优化建筑技术、设备和材料选用，综合评估建筑规模、建筑技术与投资之间的总体平衡，并按本标准的要求提交相应分析、测试报告和相关文件，涉及计算和测试的结果，应明确计算方法和测试方法。申请评价方对所提交资料的真实性和完整性负责。</w:t>
      </w:r>
    </w:p>
    <w:p w14:paraId="46070FFC">
      <w:pPr>
        <w:spacing w:line="360" w:lineRule="auto"/>
        <w:ind w:firstLine="420"/>
        <w:rPr>
          <w:rFonts w:hint="eastAsia" w:ascii="宋体" w:hAnsi="宋体" w:eastAsia="宋体" w:cs="宋体"/>
          <w:sz w:val="24"/>
          <w:szCs w:val="24"/>
        </w:rPr>
      </w:pPr>
      <w:r>
        <w:rPr>
          <w:rFonts w:hint="eastAsia" w:ascii="宋体" w:hAnsi="宋体" w:eastAsia="宋体" w:cs="宋体"/>
          <w:sz w:val="24"/>
          <w:szCs w:val="24"/>
        </w:rPr>
        <w:t>本条对既有工业建筑民用化低碳改造评价机构的相关工作提出要求。既有工业建筑民用化低碳改造评价机构依据有关管理制度文件确定。既有工业建筑民用化低碳改造评价机构应按照本标准的有关要求审查申请评价方提交的报告、文档，并在评价报告中确定等级。</w:t>
      </w:r>
    </w:p>
    <w:p w14:paraId="6765F349">
      <w:pPr>
        <w:spacing w:line="360" w:lineRule="auto"/>
        <w:ind w:firstLine="0"/>
        <w:rPr>
          <w:rFonts w:hint="eastAsia" w:ascii="宋体" w:hAnsi="宋体" w:eastAsia="宋体" w:cs="宋体"/>
          <w:sz w:val="24"/>
          <w:szCs w:val="24"/>
        </w:rPr>
      </w:pPr>
      <w:r>
        <w:rPr>
          <w:rFonts w:hint="default" w:ascii="Times New Roman" w:hAnsi="Times New Roman" w:eastAsia="宋体" w:cs="Times New Roman"/>
          <w:b/>
          <w:bCs/>
          <w:sz w:val="24"/>
          <w:szCs w:val="24"/>
        </w:rPr>
        <w:t>3.1.5</w:t>
      </w:r>
      <w:r>
        <w:rPr>
          <w:rFonts w:hint="eastAsia" w:ascii="宋体" w:hAnsi="宋体" w:cs="宋体"/>
          <w:sz w:val="24"/>
          <w:szCs w:val="24"/>
        </w:rPr>
        <w:t>　</w:t>
      </w:r>
      <w:r>
        <w:rPr>
          <w:rFonts w:hint="eastAsia" w:ascii="宋体" w:hAnsi="宋体" w:eastAsia="宋体" w:cs="宋体"/>
          <w:sz w:val="24"/>
          <w:szCs w:val="24"/>
        </w:rPr>
        <w:t>本条对既有工业建筑民用化低碳改造全寿命期单位面积碳排放计算方法和专项报告进行了规定。与新建建筑类似，既有工业建筑民用化低碳改造全寿命期碳排放包含建筑物化阶段碳排放（建材生产、运输、建筑施工、维护加固、拆除等过程中产生的碳排放，又称为建筑隐含碳）和建筑运行阶段碳排放。不同的是，改造保留的建筑构件，因已经在改造前的履约周期或建筑碳管理工作中计算和考核过，故这部分的建筑隐含碳可以不计算。此外，既有工业建筑在进行结构加固改造后，建筑的预期使用年限会发生变化，在进行全寿命期碳排放计算时应采用更新后的建筑使用年限。建筑全寿命期单位建筑面积碳排放强度是全寿命期碳排放与建筑面积的比值，单位是</w:t>
      </w:r>
      <w:r>
        <w:rPr>
          <w:rFonts w:hint="default" w:ascii="Times New Roman" w:hAnsi="Times New Roman" w:eastAsia="宋体" w:cs="Times New Roman"/>
          <w:sz w:val="24"/>
          <w:szCs w:val="24"/>
        </w:rPr>
        <w:t>kgCO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/m</w:t>
      </w:r>
      <w:r>
        <w:rPr>
          <w:rFonts w:hint="default" w:ascii="Times New Roman" w:hAnsi="Times New Roman" w:eastAsia="宋体" w:cs="Times New Roman"/>
          <w:sz w:val="24"/>
          <w:szCs w:val="24"/>
          <w:vertAlign w:val="superscript"/>
        </w:rPr>
        <w:t>2</w:t>
      </w:r>
      <w:r>
        <w:rPr>
          <w:rFonts w:hint="eastAsia" w:ascii="宋体" w:hAnsi="宋体" w:eastAsia="宋体" w:cs="宋体"/>
          <w:sz w:val="24"/>
          <w:szCs w:val="24"/>
        </w:rPr>
        <w:t>。</w:t>
      </w:r>
    </w:p>
    <w:p w14:paraId="6C84E7A6">
      <w:pPr>
        <w:tabs>
          <w:tab w:val="left" w:pos="0"/>
        </w:tabs>
        <w:spacing w:before="0" w:beforeLines="0" w:after="0" w:afterLines="0" w:line="360" w:lineRule="auto"/>
        <w:jc w:val="center"/>
        <w:outlineLvl w:val="1"/>
        <w:rPr>
          <w:rFonts w:ascii="黑体" w:hAnsi="黑体" w:eastAsia="黑体" w:cs="黑体"/>
          <w:b/>
          <w:bCs/>
          <w:sz w:val="28"/>
          <w:szCs w:val="28"/>
        </w:rPr>
      </w:pPr>
      <w:bookmarkStart w:id="265" w:name="_Toc18415"/>
      <w:bookmarkStart w:id="266" w:name="_Toc4120"/>
      <w:r>
        <w:rPr>
          <w:rFonts w:ascii="Times New Roman" w:hAnsi="Times New Roman" w:eastAsia="黑体" w:cs="Times New Roman"/>
          <w:b/>
          <w:bCs/>
          <w:sz w:val="28"/>
          <w:szCs w:val="28"/>
        </w:rPr>
        <w:t>3.2</w:t>
      </w:r>
      <w:r>
        <w:rPr>
          <w:rFonts w:ascii="黑体" w:hAnsi="黑体" w:eastAsia="黑体" w:cs="黑体"/>
          <w:b/>
          <w:bCs/>
          <w:sz w:val="28"/>
          <w:szCs w:val="28"/>
        </w:rPr>
        <w:t xml:space="preserve">  </w:t>
      </w:r>
      <w:r>
        <w:rPr>
          <w:rFonts w:hint="eastAsia" w:ascii="黑体" w:hAnsi="黑体" w:eastAsia="黑体" w:cs="黑体"/>
          <w:b/>
          <w:bCs/>
          <w:sz w:val="28"/>
          <w:szCs w:val="28"/>
        </w:rPr>
        <w:t>评价与等级划分</w:t>
      </w:r>
      <w:bookmarkEnd w:id="265"/>
      <w:bookmarkEnd w:id="266"/>
    </w:p>
    <w:p w14:paraId="0C901B14">
      <w:pPr>
        <w:spacing w:line="360" w:lineRule="auto"/>
        <w:ind w:firstLine="0"/>
        <w:rPr>
          <w:rFonts w:hint="eastAsia" w:ascii="宋体" w:hAnsi="宋体" w:eastAsia="宋体" w:cs="宋体"/>
          <w:sz w:val="24"/>
          <w:szCs w:val="24"/>
        </w:rPr>
      </w:pPr>
      <w:r>
        <w:rPr>
          <w:rFonts w:hint="default" w:ascii="Times New Roman" w:hAnsi="Times New Roman" w:eastAsia="宋体" w:cs="Times New Roman"/>
          <w:b/>
          <w:bCs/>
          <w:sz w:val="24"/>
          <w:szCs w:val="24"/>
        </w:rPr>
        <w:t>3.2.1</w:t>
      </w:r>
      <w:r>
        <w:rPr>
          <w:rFonts w:hint="eastAsia" w:ascii="宋体" w:hAnsi="宋体" w:cs="宋体"/>
          <w:sz w:val="24"/>
          <w:szCs w:val="24"/>
        </w:rPr>
        <w:t>　</w:t>
      </w:r>
      <w:r>
        <w:rPr>
          <w:rFonts w:hint="eastAsia" w:ascii="宋体" w:hAnsi="宋体" w:eastAsia="宋体" w:cs="宋体"/>
          <w:sz w:val="24"/>
          <w:szCs w:val="24"/>
        </w:rPr>
        <w:t>既有工业建筑民用化改造后，要以“四节一环保”为基本约束，遵循以人民为中心的发展理念。</w:t>
      </w:r>
    </w:p>
    <w:p w14:paraId="6F5E4319">
      <w:pPr>
        <w:spacing w:line="360" w:lineRule="auto"/>
        <w:ind w:firstLine="420"/>
        <w:rPr>
          <w:rFonts w:hint="eastAsia" w:ascii="宋体" w:hAnsi="宋体" w:eastAsia="宋体" w:cs="宋体"/>
          <w:sz w:val="24"/>
          <w:szCs w:val="24"/>
        </w:rPr>
      </w:pPr>
      <w:r>
        <w:rPr>
          <w:rFonts w:hint="eastAsia" w:ascii="宋体" w:hAnsi="宋体" w:eastAsia="宋体" w:cs="宋体"/>
          <w:sz w:val="24"/>
          <w:szCs w:val="24"/>
        </w:rPr>
        <w:t>每类指标均包括控制项和评分项。为了鼓励既有工业建筑民用化低碳改造过程中采用提高、创新的建筑技术和产品建造更高性能的低碳建筑，评价指标体系还统一设置“提高创新”加分项。</w:t>
      </w:r>
    </w:p>
    <w:p w14:paraId="0B1DDE00">
      <w:pPr>
        <w:spacing w:line="360" w:lineRule="auto"/>
        <w:ind w:firstLine="0"/>
        <w:rPr>
          <w:rFonts w:hint="eastAsia" w:ascii="宋体" w:hAnsi="宋体" w:eastAsia="宋体" w:cs="宋体"/>
          <w:sz w:val="24"/>
          <w:szCs w:val="24"/>
        </w:rPr>
      </w:pPr>
      <w:r>
        <w:rPr>
          <w:rFonts w:hint="default" w:ascii="Times New Roman" w:hAnsi="Times New Roman" w:eastAsia="宋体" w:cs="Times New Roman"/>
          <w:b/>
          <w:bCs/>
          <w:sz w:val="24"/>
          <w:szCs w:val="24"/>
        </w:rPr>
        <w:t>3.2.2</w:t>
      </w:r>
      <w:r>
        <w:rPr>
          <w:rFonts w:hint="eastAsia" w:ascii="宋体" w:hAnsi="宋体" w:cs="宋体"/>
          <w:sz w:val="24"/>
          <w:szCs w:val="24"/>
        </w:rPr>
        <w:t>　</w:t>
      </w:r>
      <w:r>
        <w:rPr>
          <w:rFonts w:hint="eastAsia" w:ascii="宋体" w:hAnsi="宋体" w:eastAsia="宋体" w:cs="宋体"/>
          <w:sz w:val="24"/>
          <w:szCs w:val="24"/>
        </w:rPr>
        <w:t>评分项的评价，依据评价条文的规定确定得分或不得分，得分时根据需要对具体评分子项确定得分值，或根据具体达标程度确定得分值。加分项的评价，依据评价条文的规定确定得分或不得分。</w:t>
      </w:r>
    </w:p>
    <w:p w14:paraId="06F0AA63">
      <w:pPr>
        <w:spacing w:line="360" w:lineRule="auto"/>
        <w:ind w:firstLine="420"/>
        <w:rPr>
          <w:rFonts w:hint="eastAsia" w:ascii="宋体" w:hAnsi="宋体" w:eastAsia="宋体" w:cs="宋体"/>
          <w:sz w:val="24"/>
          <w:szCs w:val="24"/>
        </w:rPr>
      </w:pPr>
      <w:r>
        <w:rPr>
          <w:rFonts w:hint="eastAsia" w:ascii="宋体" w:hAnsi="宋体" w:eastAsia="宋体" w:cs="宋体"/>
          <w:sz w:val="24"/>
          <w:szCs w:val="24"/>
        </w:rPr>
        <w:t>本标准中评分项和加分项条文主干部分给出了该条文的“评价分值”或“评价总分值”，是该条可能得到的最高分值。</w:t>
      </w:r>
    </w:p>
    <w:p w14:paraId="55F1DE16">
      <w:pPr>
        <w:spacing w:line="360" w:lineRule="auto"/>
        <w:ind w:firstLine="0"/>
        <w:rPr>
          <w:rFonts w:hint="eastAsia" w:ascii="宋体" w:hAnsi="宋体" w:eastAsia="宋体" w:cs="宋体"/>
          <w:sz w:val="24"/>
          <w:szCs w:val="24"/>
        </w:rPr>
      </w:pPr>
      <w:r>
        <w:rPr>
          <w:rFonts w:hint="default" w:ascii="Times New Roman" w:hAnsi="Times New Roman" w:eastAsia="宋体" w:cs="Times New Roman"/>
          <w:b/>
          <w:bCs/>
          <w:sz w:val="24"/>
          <w:szCs w:val="24"/>
        </w:rPr>
        <w:t>3.2.3</w:t>
      </w:r>
      <w:r>
        <w:rPr>
          <w:rFonts w:hint="eastAsia" w:ascii="宋体" w:hAnsi="宋体" w:cs="宋体"/>
          <w:sz w:val="24"/>
          <w:szCs w:val="24"/>
        </w:rPr>
        <w:t>　</w:t>
      </w:r>
      <w:r>
        <w:rPr>
          <w:rFonts w:hint="eastAsia" w:ascii="宋体" w:hAnsi="宋体" w:eastAsia="宋体" w:cs="宋体"/>
          <w:sz w:val="24"/>
          <w:szCs w:val="24"/>
        </w:rPr>
        <w:t>不论建筑功能是否综合，均以各个条/款为基本评判单元。对于某一条文，只要建筑中有相关区域涉及，则该建筑就参评并确定得分。总体原则为：只要有涉及即全部参评；系统性、整体性指标应总体评价；所有部分均满足要求才给分；递进分档的条文，按“就低不就高”的原则确定得分；上述情况之外的特殊情况可特殊处理。标准后文中不再一一说明。建筑整体的等级仍按本标准的规定确定。</w:t>
      </w:r>
    </w:p>
    <w:p w14:paraId="2073578D">
      <w:pPr>
        <w:spacing w:line="360" w:lineRule="auto"/>
        <w:ind w:firstLine="0"/>
        <w:rPr>
          <w:rFonts w:hint="eastAsia" w:ascii="宋体" w:hAnsi="宋体" w:eastAsia="宋体" w:cs="宋体"/>
          <w:sz w:val="24"/>
          <w:szCs w:val="24"/>
        </w:rPr>
      </w:pPr>
      <w:r>
        <w:rPr>
          <w:rFonts w:hint="default" w:ascii="Times New Roman" w:hAnsi="Times New Roman" w:eastAsia="宋体" w:cs="Times New Roman"/>
          <w:b/>
          <w:bCs/>
          <w:sz w:val="24"/>
          <w:szCs w:val="24"/>
        </w:rPr>
        <w:t>3.2.4</w:t>
      </w:r>
      <w:r>
        <w:rPr>
          <w:rFonts w:hint="eastAsia" w:ascii="宋体" w:hAnsi="宋体" w:cs="宋体"/>
          <w:sz w:val="24"/>
          <w:szCs w:val="24"/>
        </w:rPr>
        <w:t>　</w:t>
      </w:r>
      <w:r>
        <w:rPr>
          <w:rFonts w:hint="eastAsia" w:ascii="宋体" w:hAnsi="宋体" w:eastAsia="宋体" w:cs="宋体"/>
          <w:sz w:val="24"/>
          <w:szCs w:val="24"/>
        </w:rPr>
        <w:t>本标准中既有工业建筑民用化低碳改造评价控制项基础分值的获得条件是满足本标准所有控制项的要求。“能源与水资源利用”指标包含了能源综合利用、节水与水资源利用、电气与智能化的相关内容，包括内容较多，是既有工业建筑民用化低碳改造关注的重点，故该指标的总分值高于其他指标。“提高创新”为加分项，鼓励低碳改造性能提升和技术创新。</w:t>
      </w:r>
    </w:p>
    <w:p w14:paraId="0E0048B0">
      <w:pPr>
        <w:spacing w:line="360" w:lineRule="auto"/>
        <w:ind w:firstLine="420"/>
        <w:rPr>
          <w:rFonts w:hint="eastAsia" w:ascii="宋体" w:hAnsi="宋体" w:eastAsia="宋体" w:cs="宋体"/>
          <w:sz w:val="24"/>
          <w:szCs w:val="24"/>
        </w:rPr>
      </w:pPr>
      <w:r>
        <w:rPr>
          <w:rFonts w:hint="eastAsia" w:ascii="宋体" w:hAnsi="宋体" w:eastAsia="宋体" w:cs="宋体"/>
          <w:sz w:val="24"/>
          <w:szCs w:val="24"/>
        </w:rPr>
        <w:t>当某项评价指标的评分项存在不参评时，应对该指标的得分率进行计算，即为该指标的最终得分。例如，场地与环境指标的参评分数为</w:t>
      </w:r>
      <w:r>
        <w:rPr>
          <w:rFonts w:hint="default" w:ascii="Times New Roman" w:hAnsi="Times New Roman" w:eastAsia="宋体" w:cs="Times New Roman"/>
          <w:sz w:val="24"/>
          <w:szCs w:val="24"/>
        </w:rPr>
        <w:t>90</w:t>
      </w:r>
      <w:r>
        <w:rPr>
          <w:rFonts w:hint="eastAsia" w:ascii="宋体" w:hAnsi="宋体" w:eastAsia="宋体" w:cs="宋体"/>
          <w:sz w:val="24"/>
          <w:szCs w:val="24"/>
        </w:rPr>
        <w:t>分，实际评价得分为</w:t>
      </w:r>
      <w:r>
        <w:rPr>
          <w:rFonts w:hint="default" w:ascii="Times New Roman" w:hAnsi="Times New Roman" w:eastAsia="宋体" w:cs="Times New Roman"/>
          <w:sz w:val="24"/>
          <w:szCs w:val="24"/>
        </w:rPr>
        <w:t>72</w:t>
      </w:r>
      <w:r>
        <w:rPr>
          <w:rFonts w:hint="eastAsia" w:ascii="宋体" w:hAnsi="宋体" w:eastAsia="宋体" w:cs="宋体"/>
          <w:sz w:val="24"/>
          <w:szCs w:val="24"/>
        </w:rPr>
        <w:t>分，则该指标的最终得分为：</w:t>
      </w:r>
      <w:r>
        <w:rPr>
          <w:rFonts w:hint="default" w:ascii="Times New Roman" w:hAnsi="Times New Roman" w:eastAsia="宋体" w:cs="Times New Roman"/>
          <w:sz w:val="24"/>
          <w:szCs w:val="24"/>
        </w:rPr>
        <w:t>（72÷90）×100=80</w:t>
      </w:r>
      <w:r>
        <w:rPr>
          <w:rFonts w:hint="eastAsia" w:ascii="宋体" w:hAnsi="宋体" w:eastAsia="宋体" w:cs="宋体"/>
          <w:sz w:val="24"/>
          <w:szCs w:val="24"/>
        </w:rPr>
        <w:t>分。</w:t>
      </w:r>
    </w:p>
    <w:p w14:paraId="6035E501">
      <w:pPr>
        <w:spacing w:line="360" w:lineRule="auto"/>
        <w:ind w:firstLine="420"/>
        <w:rPr>
          <w:rFonts w:hint="eastAsia" w:ascii="宋体" w:hAnsi="宋体" w:eastAsia="宋体" w:cs="宋体"/>
          <w:sz w:val="24"/>
          <w:szCs w:val="24"/>
        </w:rPr>
      </w:pPr>
      <w:r>
        <w:rPr>
          <w:rFonts w:hint="eastAsia" w:ascii="宋体" w:hAnsi="宋体" w:eastAsia="宋体" w:cs="宋体"/>
          <w:sz w:val="24"/>
          <w:szCs w:val="24"/>
        </w:rPr>
        <w:t>本条规定的评价指标评分项满分值、提高与创新加分项满分值均为最高可能的分值。提高与创新项得分为加分项得分之和，当得分大于</w:t>
      </w:r>
      <w:r>
        <w:rPr>
          <w:rFonts w:hint="default" w:ascii="Times New Roman" w:hAnsi="Times New Roman" w:eastAsia="宋体" w:cs="Times New Roman"/>
          <w:sz w:val="24"/>
          <w:szCs w:val="24"/>
        </w:rPr>
        <w:t>100</w:t>
      </w:r>
      <w:r>
        <w:rPr>
          <w:rFonts w:hint="eastAsia" w:ascii="宋体" w:hAnsi="宋体" w:eastAsia="宋体" w:cs="宋体"/>
          <w:sz w:val="24"/>
          <w:szCs w:val="24"/>
        </w:rPr>
        <w:t>分时，应取为</w:t>
      </w:r>
      <w:r>
        <w:rPr>
          <w:rFonts w:hint="default" w:ascii="Times New Roman" w:hAnsi="Times New Roman" w:eastAsia="宋体" w:cs="Times New Roman"/>
          <w:sz w:val="24"/>
          <w:szCs w:val="24"/>
        </w:rPr>
        <w:t>100</w:t>
      </w:r>
      <w:r>
        <w:rPr>
          <w:rFonts w:hint="eastAsia" w:ascii="宋体" w:hAnsi="宋体" w:eastAsia="宋体" w:cs="宋体"/>
          <w:sz w:val="24"/>
          <w:szCs w:val="24"/>
        </w:rPr>
        <w:t>分。民用化低碳改造评价应在建筑工程竣工后进行，对于刚刚竣工后即评价的建筑，部分与运行有关的条文仍无法得分。</w:t>
      </w:r>
    </w:p>
    <w:p w14:paraId="396883FB">
      <w:pPr>
        <w:spacing w:line="360" w:lineRule="auto"/>
        <w:ind w:firstLine="0" w:firstLineChars="0"/>
        <w:rPr>
          <w:rFonts w:hint="eastAsia" w:ascii="宋体" w:hAnsi="宋体" w:cs="宋体"/>
          <w:sz w:val="24"/>
          <w:szCs w:val="24"/>
        </w:rPr>
      </w:pPr>
      <w:r>
        <w:rPr>
          <w:rFonts w:hint="default" w:ascii="Times New Roman" w:hAnsi="Times New Roman" w:eastAsia="宋体" w:cs="Times New Roman"/>
          <w:b/>
          <w:bCs/>
          <w:sz w:val="24"/>
          <w:szCs w:val="24"/>
        </w:rPr>
        <w:t>3.2.5</w:t>
      </w:r>
      <w:r>
        <w:rPr>
          <w:rFonts w:hint="eastAsia" w:ascii="宋体" w:hAnsi="宋体" w:cs="宋体"/>
          <w:sz w:val="24"/>
          <w:szCs w:val="24"/>
        </w:rPr>
        <w:t>　</w:t>
      </w:r>
      <w:r>
        <w:rPr>
          <w:rFonts w:hint="eastAsia" w:ascii="宋体" w:hAnsi="宋体" w:eastAsia="宋体" w:cs="宋体"/>
          <w:sz w:val="24"/>
          <w:szCs w:val="24"/>
        </w:rPr>
        <w:t>本条对既有工业建筑民用化低碳改造评价中的总得分的计算方法作出了规定。参评建筑的总得分由控制项基础分值、评分项得分和提高创新项得分三部分组成，总得分满分为</w:t>
      </w:r>
      <w:r>
        <w:rPr>
          <w:rFonts w:hint="default" w:ascii="Times New Roman" w:hAnsi="Times New Roman" w:eastAsia="宋体" w:cs="Times New Roman"/>
          <w:sz w:val="24"/>
          <w:szCs w:val="24"/>
        </w:rPr>
        <w:t>110</w:t>
      </w:r>
      <w:r>
        <w:rPr>
          <w:rFonts w:hint="eastAsia" w:ascii="宋体" w:hAnsi="宋体" w:eastAsia="宋体" w:cs="宋体"/>
          <w:sz w:val="24"/>
          <w:szCs w:val="24"/>
        </w:rPr>
        <w:t>分。控制项基础分值的获得条件是满足本标准所有控制项的要求，提高创新的得分应按本标准第</w:t>
      </w:r>
      <w:r>
        <w:rPr>
          <w:rFonts w:hint="default" w:ascii="Times New Roman" w:hAnsi="Times New Roman" w:eastAsia="宋体" w:cs="Times New Roman"/>
          <w:sz w:val="24"/>
          <w:szCs w:val="24"/>
        </w:rPr>
        <w:t>8</w:t>
      </w:r>
      <w:r>
        <w:rPr>
          <w:rFonts w:hint="eastAsia" w:ascii="宋体" w:hAnsi="宋体" w:eastAsia="宋体" w:cs="宋体"/>
          <w:sz w:val="24"/>
          <w:szCs w:val="24"/>
        </w:rPr>
        <w:t>章的相关要求确定。</w:t>
      </w:r>
    </w:p>
    <w:p w14:paraId="5AC6AFF9">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3.2.6</w:t>
      </w:r>
      <w:r>
        <w:rPr>
          <w:rFonts w:hint="eastAsia" w:ascii="宋体" w:hAnsi="宋体" w:cs="宋体"/>
          <w:sz w:val="24"/>
          <w:szCs w:val="24"/>
        </w:rPr>
        <w:t>　</w:t>
      </w:r>
      <w:r>
        <w:rPr>
          <w:rFonts w:hint="eastAsia" w:ascii="宋体" w:hAnsi="宋体" w:eastAsia="宋体" w:cs="宋体"/>
          <w:sz w:val="24"/>
          <w:szCs w:val="24"/>
        </w:rPr>
        <w:t>本标准中设置“基本级”，扩大既有工业建筑民用化低碳改造的覆盖面。基本级的设置，考虑了全国不同地区既有工业建筑本身状况的差异、低碳改造发展的不平衡性。</w:t>
      </w:r>
    </w:p>
    <w:p w14:paraId="7EC11A6F">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3.2.7</w:t>
      </w:r>
      <w:r>
        <w:rPr>
          <w:rFonts w:hint="eastAsia" w:ascii="宋体" w:hAnsi="宋体" w:cs="宋体"/>
          <w:sz w:val="24"/>
          <w:szCs w:val="24"/>
        </w:rPr>
        <w:t>　</w:t>
      </w:r>
      <w:r>
        <w:rPr>
          <w:rFonts w:hint="eastAsia" w:ascii="宋体" w:hAnsi="宋体" w:eastAsia="宋体" w:cs="宋体"/>
          <w:sz w:val="24"/>
          <w:szCs w:val="24"/>
        </w:rPr>
        <w:t>控制项是低碳建筑参与评价的必要条件，保证既有工业建筑民用化低碳改造完成后的基本性能，所有参与评价的既有工业建筑均应满足。当建筑项目满足本标准全部控制项的要求时，既有工业建筑民用化低碳改造的等级即达到基本级。</w:t>
      </w:r>
    </w:p>
    <w:p w14:paraId="2D33532E">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3.2.8</w:t>
      </w:r>
      <w:r>
        <w:rPr>
          <w:rFonts w:hint="eastAsia" w:ascii="宋体" w:hAnsi="宋体" w:cs="宋体"/>
          <w:sz w:val="24"/>
          <w:szCs w:val="24"/>
        </w:rPr>
        <w:t>　</w:t>
      </w:r>
      <w:r>
        <w:rPr>
          <w:rFonts w:hint="eastAsia" w:ascii="宋体" w:hAnsi="宋体" w:eastAsia="宋体" w:cs="宋体"/>
          <w:sz w:val="24"/>
          <w:szCs w:val="24"/>
        </w:rPr>
        <w:t>当对既有工业建筑民用化低碳改造进行星级评价时，首先应该满足本标准规定的全部控制项要求，同时规定了每类评价指标的最低得分要求，以实现低碳建筑的性能均衡。按本标准第</w:t>
      </w:r>
      <w:r>
        <w:rPr>
          <w:rFonts w:hint="default" w:ascii="Times New Roman" w:hAnsi="Times New Roman" w:eastAsia="宋体" w:cs="Times New Roman"/>
          <w:sz w:val="24"/>
          <w:szCs w:val="24"/>
        </w:rPr>
        <w:t>3.2.5</w:t>
      </w:r>
      <w:r>
        <w:rPr>
          <w:rFonts w:hint="eastAsia" w:ascii="宋体" w:hAnsi="宋体" w:eastAsia="宋体" w:cs="宋体"/>
          <w:sz w:val="24"/>
          <w:szCs w:val="24"/>
        </w:rPr>
        <w:t>条的规定计算得到既有工业建筑民用化低碳改造总得分，当总得分分别达到</w:t>
      </w:r>
      <w:r>
        <w:rPr>
          <w:rFonts w:hint="default" w:ascii="Times New Roman" w:hAnsi="Times New Roman" w:eastAsia="宋体" w:cs="Times New Roman"/>
          <w:sz w:val="24"/>
          <w:szCs w:val="24"/>
        </w:rPr>
        <w:t>60</w:t>
      </w:r>
      <w:r>
        <w:rPr>
          <w:rFonts w:hint="eastAsia" w:ascii="宋体" w:hAnsi="宋体" w:eastAsia="宋体" w:cs="宋体"/>
          <w:sz w:val="24"/>
          <w:szCs w:val="24"/>
        </w:rPr>
        <w:t>分、</w:t>
      </w:r>
      <w:r>
        <w:rPr>
          <w:rFonts w:hint="default" w:ascii="Times New Roman" w:hAnsi="Times New Roman" w:eastAsia="宋体" w:cs="Times New Roman"/>
          <w:sz w:val="24"/>
          <w:szCs w:val="24"/>
        </w:rPr>
        <w:t>70</w:t>
      </w:r>
      <w:r>
        <w:rPr>
          <w:rFonts w:hint="eastAsia" w:ascii="宋体" w:hAnsi="宋体" w:eastAsia="宋体" w:cs="宋体"/>
          <w:sz w:val="24"/>
          <w:szCs w:val="24"/>
        </w:rPr>
        <w:t>分、</w:t>
      </w:r>
      <w:r>
        <w:rPr>
          <w:rFonts w:hint="default" w:ascii="Times New Roman" w:hAnsi="Times New Roman" w:eastAsia="宋体" w:cs="Times New Roman"/>
          <w:sz w:val="24"/>
          <w:szCs w:val="24"/>
        </w:rPr>
        <w:t>85</w:t>
      </w:r>
      <w:r>
        <w:rPr>
          <w:rFonts w:hint="eastAsia" w:ascii="宋体" w:hAnsi="宋体" w:eastAsia="宋体" w:cs="宋体"/>
          <w:sz w:val="24"/>
          <w:szCs w:val="24"/>
        </w:rPr>
        <w:t>分且满足本条第</w:t>
      </w:r>
      <w:r>
        <w:rPr>
          <w:rFonts w:hint="default" w:ascii="Times New Roman" w:hAnsi="Times New Roman" w:eastAsia="宋体" w:cs="Times New Roman"/>
          <w:sz w:val="24"/>
          <w:szCs w:val="24"/>
        </w:rPr>
        <w:t>1</w:t>
      </w:r>
      <w:r>
        <w:rPr>
          <w:rFonts w:hint="eastAsia" w:ascii="宋体" w:hAnsi="宋体" w:eastAsia="宋体" w:cs="宋体"/>
          <w:sz w:val="24"/>
          <w:szCs w:val="24"/>
        </w:rPr>
        <w:t>款的要求时，既有工业建筑民用化低碳改造性能等级分别为一星级、二星级、三星级。</w:t>
      </w:r>
    </w:p>
    <w:p w14:paraId="44B53516"/>
    <w:p w14:paraId="689ACBFE">
      <w:pPr>
        <w:widowControl/>
        <w:jc w:val="left"/>
        <w:rPr>
          <w:b/>
          <w:bCs/>
          <w:kern w:val="44"/>
          <w:sz w:val="32"/>
          <w:szCs w:val="32"/>
        </w:rPr>
        <w:sectPr>
          <w:pgSz w:w="11906" w:h="16838"/>
          <w:pgMar w:top="1440" w:right="1800" w:bottom="1440" w:left="1800" w:header="851" w:footer="992" w:gutter="0"/>
          <w:cols w:space="425" w:num="1"/>
          <w:docGrid w:type="lines" w:linePitch="312" w:charSpace="0"/>
        </w:sectPr>
      </w:pPr>
      <w:r>
        <w:br w:type="page"/>
      </w:r>
    </w:p>
    <w:p w14:paraId="459E537D">
      <w:pPr>
        <w:widowControl/>
        <w:snapToGrid w:val="0"/>
        <w:spacing w:line="360" w:lineRule="auto"/>
        <w:jc w:val="both"/>
        <w:outlineLvl w:val="9"/>
        <w:rPr>
          <w:rFonts w:ascii="Times New Roman" w:hAnsi="Times New Roman" w:cs="Times New Roman"/>
          <w:b/>
          <w:bCs w:val="0"/>
          <w:kern w:val="2"/>
          <w:sz w:val="30"/>
          <w:szCs w:val="30"/>
        </w:rPr>
      </w:pPr>
    </w:p>
    <w:p w14:paraId="04A2FFB8">
      <w:pPr>
        <w:widowControl/>
        <w:snapToGrid w:val="0"/>
        <w:spacing w:line="360" w:lineRule="auto"/>
        <w:jc w:val="center"/>
        <w:outlineLvl w:val="0"/>
        <w:rPr>
          <w:rFonts w:hint="default" w:eastAsia="宋体"/>
          <w:b/>
          <w:sz w:val="30"/>
          <w:szCs w:val="30"/>
          <w:lang w:eastAsia="zh-CN"/>
        </w:rPr>
      </w:pPr>
      <w:bookmarkStart w:id="267" w:name="_Toc7993"/>
      <w:bookmarkStart w:id="268" w:name="_Toc16993"/>
      <w:r>
        <w:rPr>
          <w:rFonts w:ascii="Times New Roman" w:hAnsi="Times New Roman" w:cs="Times New Roman"/>
          <w:b/>
          <w:bCs w:val="0"/>
          <w:kern w:val="2"/>
          <w:sz w:val="30"/>
          <w:szCs w:val="30"/>
        </w:rPr>
        <w:t xml:space="preserve">4 </w:t>
      </w:r>
      <w:r>
        <w:rPr>
          <w:rFonts w:hint="default" w:ascii="Times New Roman" w:hAnsi="Times New Roman" w:cs="Times New Roman"/>
          <w:b/>
          <w:bCs w:val="0"/>
          <w:kern w:val="2"/>
          <w:sz w:val="30"/>
          <w:szCs w:val="30"/>
        </w:rPr>
        <w:t>场地与环境</w:t>
      </w:r>
      <w:bookmarkEnd w:id="267"/>
      <w:bookmarkEnd w:id="268"/>
    </w:p>
    <w:p w14:paraId="28C8B224">
      <w:pPr>
        <w:tabs>
          <w:tab w:val="left" w:pos="0"/>
        </w:tabs>
        <w:spacing w:before="0" w:beforeLines="0" w:after="0" w:afterLines="0" w:line="360" w:lineRule="auto"/>
        <w:jc w:val="center"/>
        <w:outlineLvl w:val="1"/>
        <w:rPr>
          <w:rFonts w:ascii="黑体" w:hAnsi="黑体" w:eastAsia="黑体" w:cs="黑体"/>
          <w:b/>
          <w:bCs/>
          <w:sz w:val="28"/>
          <w:szCs w:val="28"/>
        </w:rPr>
      </w:pPr>
      <w:bookmarkStart w:id="269" w:name="_Toc86"/>
      <w:bookmarkStart w:id="270" w:name="_Toc18298"/>
      <w:r>
        <w:rPr>
          <w:rFonts w:hint="default" w:ascii="Times New Roman" w:hAnsi="Times New Roman" w:eastAsia="黑体" w:cs="Times New Roman"/>
          <w:b/>
          <w:bCs/>
          <w:sz w:val="28"/>
          <w:szCs w:val="28"/>
        </w:rPr>
        <w:t>4.1</w:t>
      </w:r>
      <w:r>
        <w:rPr>
          <w:rFonts w:hint="eastAsia" w:ascii="黑体" w:hAnsi="黑体" w:eastAsia="黑体" w:cs="黑体"/>
          <w:b/>
          <w:bCs/>
          <w:sz w:val="28"/>
          <w:szCs w:val="28"/>
        </w:rPr>
        <w:t>控制项</w:t>
      </w:r>
      <w:bookmarkEnd w:id="269"/>
      <w:bookmarkEnd w:id="270"/>
    </w:p>
    <w:p w14:paraId="1D441FD3">
      <w:pPr>
        <w:pStyle w:val="28"/>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4.1.1</w:t>
      </w:r>
      <w:r>
        <w:rPr>
          <w:rFonts w:hint="eastAsia" w:ascii="宋体" w:hAnsi="宋体" w:cs="宋体"/>
          <w:sz w:val="24"/>
          <w:szCs w:val="24"/>
        </w:rPr>
        <w:t>　</w:t>
      </w:r>
      <w:r>
        <w:rPr>
          <w:rFonts w:hint="eastAsia" w:ascii="宋体" w:hAnsi="宋体" w:eastAsia="宋体" w:cs="宋体"/>
          <w:sz w:val="24"/>
          <w:szCs w:val="24"/>
        </w:rPr>
        <w:t>本条适用于预评价和评价。</w:t>
      </w:r>
    </w:p>
    <w:p w14:paraId="499816F3">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在进行既有工业建筑民用化低碳改造时，应对场地进行全面的规划评估。宜采用复层绿化等方式，在满足功能需求的同时，加强对场地绿化的利用，尽可能保留场地内的现有乔木。进行绿化品类选择时应选择适应当地气候和土壤的物种，避免使用有毒害或难以维护的植物。种植区域的覆土深度和排水能力应根据所选植物的生长需求进行合理设计，满足《园林绿化工程项目规范》</w:t>
      </w:r>
      <w:r>
        <w:rPr>
          <w:rFonts w:hint="default" w:ascii="Times New Roman" w:hAnsi="Times New Roman" w:eastAsia="宋体" w:cs="Times New Roman"/>
          <w:sz w:val="24"/>
          <w:szCs w:val="24"/>
        </w:rPr>
        <w:t>GB 55014-2021</w:t>
      </w:r>
      <w:r>
        <w:rPr>
          <w:rFonts w:hint="eastAsia" w:ascii="宋体" w:hAnsi="宋体" w:eastAsia="宋体" w:cs="宋体"/>
          <w:sz w:val="24"/>
          <w:szCs w:val="24"/>
        </w:rPr>
        <w:t>中的有关规定。</w:t>
      </w:r>
    </w:p>
    <w:p w14:paraId="604F3B5D">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本条的评价方法为：预评价查阅相关设计文件；评价查阅相关竣工图，必要时现场核验。</w:t>
      </w:r>
    </w:p>
    <w:p w14:paraId="64E74C59">
      <w:pPr>
        <w:pStyle w:val="28"/>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4.1.2</w:t>
      </w:r>
      <w:r>
        <w:rPr>
          <w:rFonts w:hint="eastAsia" w:ascii="宋体" w:hAnsi="宋体" w:cs="宋体"/>
          <w:sz w:val="24"/>
          <w:szCs w:val="24"/>
        </w:rPr>
        <w:t>　</w:t>
      </w:r>
      <w:r>
        <w:rPr>
          <w:rFonts w:hint="eastAsia" w:ascii="宋体" w:hAnsi="宋体" w:eastAsia="宋体" w:cs="宋体"/>
          <w:sz w:val="24"/>
          <w:szCs w:val="24"/>
        </w:rPr>
        <w:t>本条适用于预评价和评价。</w:t>
      </w:r>
    </w:p>
    <w:p w14:paraId="4624AFCA">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在既有工业建筑民用化低碳改造前，应对原场地的物理环境，包括能源供给和可再生能源条件（如太阳能、风能等）进行评估，并依据地方能源供给状况预留可行的可再生能源设施安装空间。</w:t>
      </w:r>
    </w:p>
    <w:p w14:paraId="0A16521D">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本条的评价方法为：预评价查阅城市电网规划、环境影响评估报告（含既有周边系统运行情况、既有设施利用的可行性分析等、采用新能源系统对周边环境造成可能的影响）及相关设计文件；评价查阅相关改造竣工图，可持续能源发电量评估报告，必要时现场核验。</w:t>
      </w:r>
    </w:p>
    <w:p w14:paraId="658EE38A">
      <w:pPr>
        <w:pStyle w:val="28"/>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4.1.3</w:t>
      </w:r>
      <w:r>
        <w:rPr>
          <w:rFonts w:hint="eastAsia" w:ascii="宋体" w:hAnsi="宋体" w:cs="宋体"/>
          <w:sz w:val="24"/>
          <w:szCs w:val="24"/>
        </w:rPr>
        <w:t>　</w:t>
      </w:r>
      <w:r>
        <w:rPr>
          <w:rFonts w:hint="eastAsia" w:ascii="宋体" w:hAnsi="宋体" w:eastAsia="宋体" w:cs="宋体"/>
          <w:sz w:val="24"/>
          <w:szCs w:val="24"/>
        </w:rPr>
        <w:t>本条适用于预评价和评价。</w:t>
      </w:r>
    </w:p>
    <w:p w14:paraId="5C511011">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在既有工业建筑民用化低碳改造项目中，场地内的机动车停车设施应设置充电桩。在规划、设计和改造过程中，需充分考虑电动汽车的充电需求，合理布局充电桩的位置和数量，确保其与停车设施的协调性和便利性。充电桩的设置应符合相关技术标准和安全要求，确保充电过程的安全性和可靠性。</w:t>
      </w:r>
    </w:p>
    <w:p w14:paraId="73C6C726">
      <w:pPr>
        <w:pStyle w:val="28"/>
        <w:spacing w:line="360" w:lineRule="auto"/>
        <w:ind w:firstLine="420"/>
        <w:rPr>
          <w:rFonts w:ascii="仿宋" w:hAnsi="仿宋" w:eastAsia="仿宋" w:cs="仿宋"/>
          <w:sz w:val="21"/>
          <w:szCs w:val="18"/>
        </w:rPr>
      </w:pPr>
      <w:r>
        <w:rPr>
          <w:rFonts w:hint="eastAsia" w:ascii="宋体" w:hAnsi="宋体" w:eastAsia="宋体" w:cs="宋体"/>
          <w:sz w:val="24"/>
          <w:szCs w:val="24"/>
        </w:rPr>
        <w:t>本条的评价方法为：预评价查阅相关设计文件（包含预计车流量、充电桩设置数量及场地规划、充电桩品类选择及相关参数）；评价查阅竣工图、现场影像材料。</w:t>
      </w:r>
    </w:p>
    <w:p w14:paraId="2B24E53B">
      <w:pPr>
        <w:tabs>
          <w:tab w:val="left" w:pos="0"/>
        </w:tabs>
        <w:spacing w:before="0" w:beforeLines="0" w:after="0" w:afterLines="0" w:line="360" w:lineRule="auto"/>
        <w:jc w:val="center"/>
        <w:outlineLvl w:val="1"/>
        <w:rPr>
          <w:rFonts w:ascii="黑体" w:hAnsi="黑体" w:eastAsia="黑体" w:cs="黑体"/>
          <w:b/>
          <w:bCs/>
          <w:sz w:val="28"/>
          <w:szCs w:val="28"/>
        </w:rPr>
      </w:pPr>
      <w:bookmarkStart w:id="271" w:name="_Toc16837"/>
      <w:bookmarkStart w:id="272" w:name="_Toc28793"/>
      <w:r>
        <w:rPr>
          <w:rFonts w:hint="default" w:ascii="Times New Roman" w:hAnsi="Times New Roman" w:eastAsia="黑体" w:cs="Times New Roman"/>
          <w:b/>
          <w:bCs/>
          <w:sz w:val="28"/>
          <w:szCs w:val="28"/>
        </w:rPr>
        <w:t>4.2</w:t>
      </w:r>
      <w:r>
        <w:rPr>
          <w:rFonts w:hint="eastAsia" w:ascii="黑体" w:hAnsi="黑体" w:eastAsia="黑体" w:cs="黑体"/>
          <w:b/>
          <w:bCs/>
          <w:sz w:val="28"/>
          <w:szCs w:val="28"/>
        </w:rPr>
        <w:t>评分项</w:t>
      </w:r>
      <w:bookmarkEnd w:id="271"/>
      <w:bookmarkEnd w:id="272"/>
    </w:p>
    <w:p w14:paraId="74352AB2">
      <w:pPr>
        <w:pStyle w:val="28"/>
        <w:spacing w:before="0" w:beforeLines="0" w:after="0" w:afterLines="0" w:line="360" w:lineRule="auto"/>
        <w:ind w:firstLine="0" w:firstLineChars="0"/>
        <w:jc w:val="center"/>
        <w:outlineLvl w:val="2"/>
        <w:rPr>
          <w:rFonts w:cs="Times New Roman"/>
          <w:b/>
          <w:bCs/>
          <w:sz w:val="28"/>
          <w:szCs w:val="28"/>
        </w:rPr>
      </w:pPr>
      <w:r>
        <w:rPr>
          <w:rFonts w:cs="Times New Roman"/>
          <w:b/>
          <w:bCs/>
          <w:sz w:val="28"/>
          <w:szCs w:val="28"/>
        </w:rPr>
        <w:fldChar w:fldCharType="begin"/>
      </w:r>
      <w:r>
        <w:rPr>
          <w:rFonts w:cs="Times New Roman"/>
          <w:b/>
          <w:bCs/>
          <w:sz w:val="28"/>
          <w:szCs w:val="28"/>
        </w:rPr>
        <w:instrText xml:space="preserve"> = 1 \* ROMAN </w:instrText>
      </w:r>
      <w:r>
        <w:rPr>
          <w:rFonts w:cs="Times New Roman"/>
          <w:b/>
          <w:bCs/>
          <w:sz w:val="28"/>
          <w:szCs w:val="28"/>
        </w:rPr>
        <w:fldChar w:fldCharType="separate"/>
      </w:r>
      <w:r>
        <w:rPr>
          <w:rFonts w:cs="Times New Roman"/>
          <w:b/>
          <w:bCs/>
          <w:sz w:val="28"/>
          <w:szCs w:val="28"/>
        </w:rPr>
        <w:t>I</w:t>
      </w:r>
      <w:r>
        <w:rPr>
          <w:rFonts w:cs="Times New Roman"/>
          <w:b/>
          <w:bCs/>
          <w:sz w:val="28"/>
          <w:szCs w:val="28"/>
        </w:rPr>
        <w:fldChar w:fldCharType="end"/>
      </w:r>
      <w:r>
        <w:rPr>
          <w:rFonts w:cs="Times New Roman"/>
          <w:b/>
          <w:bCs/>
          <w:sz w:val="28"/>
          <w:szCs w:val="28"/>
        </w:rPr>
        <w:t xml:space="preserve"> </w:t>
      </w:r>
      <w:r>
        <w:rPr>
          <w:rFonts w:hint="eastAsia" w:ascii="仿宋" w:hAnsi="仿宋" w:eastAsia="仿宋" w:cs="仿宋"/>
          <w:b/>
          <w:bCs/>
          <w:sz w:val="28"/>
          <w:szCs w:val="28"/>
        </w:rPr>
        <w:t>场地</w:t>
      </w:r>
    </w:p>
    <w:p w14:paraId="23A5FC0D">
      <w:pPr>
        <w:pStyle w:val="28"/>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4.2.1</w:t>
      </w:r>
      <w:r>
        <w:rPr>
          <w:rFonts w:hint="eastAsia" w:ascii="宋体" w:hAnsi="宋体" w:cs="宋体"/>
          <w:sz w:val="24"/>
          <w:szCs w:val="24"/>
        </w:rPr>
        <w:t>　</w:t>
      </w:r>
      <w:r>
        <w:rPr>
          <w:rFonts w:hint="eastAsia" w:ascii="宋体" w:hAnsi="宋体" w:eastAsia="宋体" w:cs="宋体"/>
          <w:sz w:val="24"/>
          <w:szCs w:val="24"/>
        </w:rPr>
        <w:t>本条适用于预评价和评价。</w:t>
      </w:r>
    </w:p>
    <w:p w14:paraId="6E7C1815">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本条文旨在对室内外场地中的原有结构、设备等元素进行创新和再利用设计。通过对现有资源的有效整合和再利用，提升场地的整体功能和价值。进行再利用设计前应全面评估场地内的工业建筑辅助设施、景观小品等构筑物的现状，通过保留改造，赋予新的使用功能或展示功能，从而激发场地的活力和潜力。同时，对于场地内既有的设备管沟、管井、管线、设备、机房等用地或空间，应充分考虑其再利用的可能性，使其继续承担原有功能或发挥其他新功能，实现资源的最大化利用。</w:t>
      </w:r>
    </w:p>
    <w:p w14:paraId="7D2FFBAC">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本条的评价方法为：预评价查阅相关设计文件，园区整体平面设计图；评价查阅相关竣工图、改造利用报告、现场影像材料，必要时现场核验。</w:t>
      </w:r>
    </w:p>
    <w:p w14:paraId="7A78407A">
      <w:pPr>
        <w:pStyle w:val="28"/>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4.2.2</w:t>
      </w:r>
      <w:r>
        <w:rPr>
          <w:rFonts w:hint="eastAsia" w:ascii="宋体" w:hAnsi="宋体" w:cs="宋体"/>
          <w:sz w:val="24"/>
          <w:szCs w:val="24"/>
        </w:rPr>
        <w:t>　</w:t>
      </w:r>
      <w:r>
        <w:rPr>
          <w:rFonts w:hint="eastAsia" w:ascii="宋体" w:hAnsi="宋体" w:eastAsia="宋体" w:cs="宋体"/>
          <w:sz w:val="24"/>
          <w:szCs w:val="24"/>
        </w:rPr>
        <w:t>本条适用于预评价和评价。</w:t>
      </w:r>
    </w:p>
    <w:p w14:paraId="4D657DAB">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本条文针对机动车与非机动车停放场地的管理提出了具体的评分标准和要求，旨在推动停车场地实现更加合理、安全、便捷的管理，并促进绿色出行。</w:t>
      </w:r>
    </w:p>
    <w:p w14:paraId="5251956D">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本条的评价方法为：预评价查阅相关设计文件（包含预计车流量、充电桩设置数量及场地规划、充电桩品类选择及相关参数）；评价查阅相关竣工图、现场影像材料，必要时现场核验。</w:t>
      </w:r>
    </w:p>
    <w:p w14:paraId="036A7A2F">
      <w:pPr>
        <w:pStyle w:val="28"/>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4.2.3</w:t>
      </w:r>
      <w:r>
        <w:rPr>
          <w:rFonts w:hint="eastAsia" w:ascii="宋体" w:hAnsi="宋体" w:cs="宋体"/>
          <w:sz w:val="24"/>
          <w:szCs w:val="24"/>
        </w:rPr>
        <w:t>　</w:t>
      </w:r>
      <w:r>
        <w:rPr>
          <w:rFonts w:hint="eastAsia" w:ascii="宋体" w:hAnsi="宋体" w:eastAsia="宋体" w:cs="宋体"/>
          <w:sz w:val="24"/>
          <w:szCs w:val="24"/>
        </w:rPr>
        <w:t>本条适用于预评价和评价。</w:t>
      </w:r>
    </w:p>
    <w:p w14:paraId="5B06604D">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本条文旨在通过绿化景观的合理利用来提升场地的碳汇能力，对场地的植物碳汇能力进行全面而具体的评价。这一评价机制有助于指导场地绿化工作，提升碳汇水平，促进生态环境的改善和可持续发展。</w:t>
      </w:r>
    </w:p>
    <w:p w14:paraId="21831C21">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本条的评价方法为：预评价查阅相关设计文件，绿化布局说明；评价查阅相关竣工图、植物采购合同等。</w:t>
      </w:r>
    </w:p>
    <w:p w14:paraId="50538D5E">
      <w:pPr>
        <w:pStyle w:val="28"/>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4.2.4</w:t>
      </w:r>
      <w:r>
        <w:rPr>
          <w:rFonts w:hint="eastAsia" w:ascii="宋体" w:hAnsi="宋体" w:cs="宋体"/>
          <w:sz w:val="24"/>
          <w:szCs w:val="24"/>
        </w:rPr>
        <w:t>　</w:t>
      </w:r>
      <w:r>
        <w:rPr>
          <w:rFonts w:hint="eastAsia" w:ascii="宋体" w:hAnsi="宋体" w:eastAsia="宋体" w:cs="宋体"/>
          <w:sz w:val="24"/>
          <w:szCs w:val="24"/>
        </w:rPr>
        <w:t>本条适用于预评价和评价。</w:t>
      </w:r>
    </w:p>
    <w:p w14:paraId="4298CBA1">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生活垃圾总体上可分为四类：可回收垃圾、有害垃圾、厨余垃圾（湿垃圾）、其他垃圾（干垃圾）。垃圾分类收集可以提高可再生资源的利用；减少垃圾对人员和土壤、水源、大气等自然环境的危害，通过减少场地内异味和减少蚊虫滋生而提高环境质量等。</w:t>
      </w:r>
    </w:p>
    <w:p w14:paraId="57E10823">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本条的评价方法为：预评价查阅相关设计文件；垃圾处理实施方案、垃圾收集站或气力管道装置专项设计图纸；评价查阅相关竣工图、垃圾收集站或气力管道装置现场照片，必要时现场核验。</w:t>
      </w:r>
    </w:p>
    <w:p w14:paraId="1AB8AAD9">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4.2.5</w:t>
      </w:r>
      <w:r>
        <w:rPr>
          <w:rFonts w:hint="eastAsia" w:ascii="宋体" w:hAnsi="宋体" w:cs="宋体"/>
          <w:sz w:val="24"/>
          <w:szCs w:val="24"/>
        </w:rPr>
        <w:t>　</w:t>
      </w:r>
      <w:r>
        <w:rPr>
          <w:rFonts w:hint="eastAsia" w:ascii="宋体" w:hAnsi="宋体" w:eastAsia="宋体" w:cs="宋体"/>
          <w:sz w:val="24"/>
          <w:szCs w:val="24"/>
        </w:rPr>
        <w:t>本条适用于预评价和评价。</w:t>
      </w:r>
    </w:p>
    <w:p w14:paraId="5D0CFACF">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交通规划应充分利用工业园区内既有的道路系统，通过合理的布局调整和增设辅助道路，提升园区的交通效率和使用体验。还可以增设与行人路线一致的健身步道，再结合遮阴的植被，形成舒适的慢行系统，吸引更多人选择低碳步行。</w:t>
      </w:r>
    </w:p>
    <w:p w14:paraId="3C96E48E">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在一些大型工业园区改造中，可借鉴景区模式，尝试提供园区内不同区域间的电动接驳车；而对于中小园区，则应该允许社会共享单车的通行，或者参考一些大学校园的做法，配置园区内部可共享的单车。总之，尽量提升园区内部公共交通工具的使用效率。</w:t>
      </w:r>
    </w:p>
    <w:p w14:paraId="44860C85">
      <w:pPr>
        <w:widowControl/>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本条的评价方法为：预评价查阅功能区域规划及相关设计文件；评价查阅相关竣工图、现场影像材料，必要时现场核验。</w:t>
      </w:r>
    </w:p>
    <w:p w14:paraId="0CC00F2D">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4.2.6</w:t>
      </w:r>
      <w:r>
        <w:rPr>
          <w:rFonts w:hint="eastAsia" w:ascii="宋体" w:hAnsi="宋体" w:cs="宋体"/>
          <w:sz w:val="24"/>
          <w:szCs w:val="24"/>
        </w:rPr>
        <w:t>　</w:t>
      </w:r>
      <w:r>
        <w:rPr>
          <w:rFonts w:hint="eastAsia" w:ascii="宋体" w:hAnsi="宋体" w:eastAsia="宋体" w:cs="宋体"/>
          <w:sz w:val="24"/>
          <w:szCs w:val="24"/>
        </w:rPr>
        <w:t>本条适用于评价。</w:t>
      </w:r>
    </w:p>
    <w:p w14:paraId="07729A21">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场地内可利用现有连廊、宣传墙、公共大厅等专设为低碳展示专门区域，日常定期张贴和布置低碳政策、低碳知识、低碳技术、低碳产品等宣传资料，提升园区示范意义及进行低碳效果展示。</w:t>
      </w:r>
    </w:p>
    <w:p w14:paraId="4239889C">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可利用自身资源，组织外部或内部为主导的大型低碳教育展，可采取多种形式，如与发改、生态等相关部门联合举办低碳行为方式绘画大赛、“金点子”大赛等。另外，还可邀请低碳领域的社会专家或</w:t>
      </w:r>
      <w:r>
        <w:rPr>
          <w:rFonts w:hint="eastAsia" w:ascii="宋体" w:hAnsi="宋体" w:eastAsia="宋体" w:cs="宋体"/>
          <w:sz w:val="24"/>
          <w:szCs w:val="24"/>
          <w:highlight w:val="none"/>
        </w:rPr>
        <w:t>驻场建筑内的专家</w:t>
      </w:r>
      <w:r>
        <w:rPr>
          <w:rFonts w:hint="eastAsia" w:ascii="宋体" w:hAnsi="宋体" w:eastAsia="宋体" w:cs="宋体"/>
          <w:sz w:val="24"/>
          <w:szCs w:val="24"/>
        </w:rPr>
        <w:t>举办公益讲座，为大家普及低碳知识。</w:t>
      </w:r>
    </w:p>
    <w:p w14:paraId="3566D8D5">
      <w:pPr>
        <w:widowControl/>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本条的评价方法为：评价查阅相关竣工图、相关文字和影像证明材料，必要时现场核查。</w:t>
      </w:r>
    </w:p>
    <w:p w14:paraId="218D9DC1">
      <w:pPr>
        <w:pStyle w:val="28"/>
        <w:spacing w:before="0" w:beforeLines="0" w:after="0" w:afterLines="0" w:line="360" w:lineRule="auto"/>
        <w:ind w:firstLine="0" w:firstLineChars="0"/>
        <w:jc w:val="center"/>
        <w:outlineLvl w:val="2"/>
        <w:rPr>
          <w:rFonts w:cs="Times New Roman"/>
          <w:b/>
          <w:bCs/>
          <w:sz w:val="28"/>
          <w:szCs w:val="28"/>
        </w:rPr>
      </w:pPr>
      <w:r>
        <w:rPr>
          <w:rFonts w:cs="Times New Roman"/>
          <w:b/>
          <w:bCs/>
          <w:sz w:val="28"/>
          <w:szCs w:val="28"/>
        </w:rPr>
        <w:fldChar w:fldCharType="begin"/>
      </w:r>
      <w:r>
        <w:rPr>
          <w:rFonts w:cs="Times New Roman"/>
          <w:b/>
          <w:bCs/>
          <w:sz w:val="28"/>
          <w:szCs w:val="28"/>
        </w:rPr>
        <w:instrText xml:space="preserve"> = 1 \* ROMAN </w:instrText>
      </w:r>
      <w:r>
        <w:rPr>
          <w:rFonts w:cs="Times New Roman"/>
          <w:b/>
          <w:bCs/>
          <w:sz w:val="28"/>
          <w:szCs w:val="28"/>
        </w:rPr>
        <w:fldChar w:fldCharType="separate"/>
      </w:r>
      <w:r>
        <w:rPr>
          <w:rFonts w:cs="Times New Roman"/>
          <w:b/>
          <w:bCs/>
          <w:sz w:val="28"/>
          <w:szCs w:val="28"/>
        </w:rPr>
        <w:t>I</w:t>
      </w:r>
      <w:r>
        <w:rPr>
          <w:rFonts w:cs="Times New Roman"/>
          <w:b/>
          <w:bCs/>
          <w:sz w:val="28"/>
          <w:szCs w:val="28"/>
        </w:rPr>
        <w:fldChar w:fldCharType="end"/>
      </w:r>
      <w:r>
        <w:rPr>
          <w:rFonts w:cs="Times New Roman"/>
          <w:b/>
          <w:bCs/>
          <w:sz w:val="28"/>
          <w:szCs w:val="28"/>
        </w:rPr>
        <w:t xml:space="preserve">I </w:t>
      </w:r>
      <w:r>
        <w:rPr>
          <w:rFonts w:hint="eastAsia" w:ascii="仿宋" w:hAnsi="仿宋" w:eastAsia="仿宋" w:cs="仿宋"/>
          <w:b/>
          <w:bCs/>
          <w:sz w:val="28"/>
          <w:szCs w:val="28"/>
        </w:rPr>
        <w:t>室外环境</w:t>
      </w:r>
    </w:p>
    <w:p w14:paraId="45BFB66F">
      <w:pPr>
        <w:pStyle w:val="28"/>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4.2.7</w:t>
      </w:r>
      <w:r>
        <w:rPr>
          <w:rFonts w:hint="eastAsia" w:ascii="宋体" w:hAnsi="宋体" w:cs="宋体"/>
          <w:sz w:val="24"/>
          <w:szCs w:val="24"/>
        </w:rPr>
        <w:t>　</w:t>
      </w:r>
      <w:r>
        <w:rPr>
          <w:rFonts w:hint="eastAsia" w:ascii="宋体" w:hAnsi="宋体" w:eastAsia="宋体" w:cs="宋体"/>
          <w:sz w:val="24"/>
          <w:szCs w:val="24"/>
        </w:rPr>
        <w:t>本条适用于预评价和评价。</w:t>
      </w:r>
    </w:p>
    <w:p w14:paraId="78556545">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热环境是评价一个场地舒适度的重要指标之一，尤其是在炎热的夏季，一个舒适的热环境能够极大地提升人们的活动体验和幸福感。通过合理的绿化和构筑物遮阴设计，可以有效地改善场地的热环境，提高使用者的舒适度。这些措施不仅具有生态效益，还能够为人们提供更加宜居的活动空间。</w:t>
      </w:r>
    </w:p>
    <w:p w14:paraId="3AD97AAB">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本条的评价方法为：预评价查阅相关设计文件、计算分析报告；评价查阅相关竣工图、计算分析报告。</w:t>
      </w:r>
    </w:p>
    <w:p w14:paraId="6217EFB5">
      <w:pPr>
        <w:pStyle w:val="28"/>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4.2.8</w:t>
      </w:r>
      <w:r>
        <w:rPr>
          <w:rFonts w:hint="eastAsia" w:ascii="宋体" w:hAnsi="宋体" w:cs="宋体"/>
          <w:sz w:val="24"/>
          <w:szCs w:val="24"/>
        </w:rPr>
        <w:t>　</w:t>
      </w:r>
      <w:r>
        <w:rPr>
          <w:rFonts w:hint="eastAsia" w:ascii="宋体" w:hAnsi="宋体" w:eastAsia="宋体" w:cs="宋体"/>
          <w:sz w:val="24"/>
          <w:szCs w:val="24"/>
        </w:rPr>
        <w:t>本条适用于预评价和评价。</w:t>
      </w:r>
    </w:p>
    <w:p w14:paraId="6910E04D">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场地开发应遵循低影响开发原则，合理利用场地空间设置绿色雨水基础设施。绿色雨水基础设施有雨水花园、下凹式绿地、屋顶绿化、植被浅沟、截污设施、渗透设施、雨水塘、雨水湿地、景观水体等。绿色雨水基础设施有别于传统的灰色雨水设施（雨水口、雨水管道、调蓄池等），能够以自然的方式削减雨水径流、控制径流污染、保护水环境。</w:t>
      </w:r>
    </w:p>
    <w:p w14:paraId="290970ED">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第1款利用场地内的水塘、湿地、低洼地等作为雨水调蓄设施，或利用场地内设计景观（如景观绿地、旱溪和景观水体）来调蓄雨水，可实现有限土地资源综合利用的目标。能调蓄雨水的景观绿地包括下凹式绿地、雨水花园、树池、干塘等。</w:t>
      </w:r>
    </w:p>
    <w:p w14:paraId="0058D5BF">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2、3</w:t>
      </w:r>
      <w:r>
        <w:rPr>
          <w:rFonts w:hint="eastAsia" w:ascii="宋体" w:hAnsi="宋体" w:eastAsia="宋体" w:cs="宋体"/>
          <w:sz w:val="24"/>
          <w:szCs w:val="24"/>
        </w:rPr>
        <w:t>款屋面雨水和道路雨水是建筑场地产生径流的重要源头，易被污染并形成污染源，故宜合理引导其进入地面生态设施进行调蓄、下渗和利用，并采取相应截污措施。地面生态设施是指下凹式绿地、植草沟、树池等，即在地势较低的区域种植植物，通过植物截流、土壤过滤滞留处理小流量径流雨水，达到控制径流污染的目的。洗衣废水若排入绿地，将危害植物的生长，物业应定期检查并杜绝阳台洗衣废水接入雨水管的情况发生。</w:t>
      </w:r>
    </w:p>
    <w:p w14:paraId="072C26E2">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4</w:t>
      </w:r>
      <w:r>
        <w:rPr>
          <w:rFonts w:hint="eastAsia" w:ascii="宋体" w:hAnsi="宋体" w:eastAsia="宋体" w:cs="宋体"/>
          <w:sz w:val="24"/>
          <w:szCs w:val="24"/>
        </w:rPr>
        <w:t>款雨水下渗也是消减径流和径流污染的重要途径之一。“硬质铺装地面”指场地中停车场、道路和室外活动场地等，不包括建筑占地（屋面）、绿地、水面等。“透水铺装”指既能满足路用及铺地强度和耐久性要求，又能使雨水通过本身与铺装下基层相通的渗水路径直接渗入下部土壤的地面铺装系统，包括采用透水铺装方式或使用植草砖、透水沥青、透水混凝土、透水地砖等透水铺装材料。当透水铺装下为地下室顶板时，若地下室顶板设有疏水板及导水管等可将渗透雨水导入与地下室顶板接壤的实土，或地下室顶板上覆土深度能满足当地园林绿化部门要求时，仍可认定其为透水铺装地面，但覆土深度不得小于</w:t>
      </w:r>
      <w:r>
        <w:rPr>
          <w:rFonts w:hint="default" w:ascii="Times New Roman" w:hAnsi="Times New Roman" w:eastAsia="宋体" w:cs="Times New Roman"/>
          <w:sz w:val="24"/>
          <w:szCs w:val="24"/>
        </w:rPr>
        <w:t>600mm</w:t>
      </w:r>
      <w:r>
        <w:rPr>
          <w:rFonts w:hint="eastAsia" w:ascii="宋体" w:hAnsi="宋体" w:eastAsia="宋体" w:cs="宋体"/>
          <w:sz w:val="24"/>
          <w:szCs w:val="24"/>
        </w:rPr>
        <w:t>。评价时以场地硬质铺装地面中透水铺装所占的面积比例为依据。申报材料中应提供场地铺装图，要求明确透水铺装地面位置、面积、铺装材料和透水铺装做法大样等。</w:t>
      </w:r>
    </w:p>
    <w:p w14:paraId="106808E0">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本条的评价方法为：预评价查阅相关设计文件（含总平面竖向设计图、景观设计图、室外给排水总平面图等）、计算书；评价查阅相关竣工图、计算书和现场影像材料，必要时现场核验。</w:t>
      </w:r>
    </w:p>
    <w:p w14:paraId="13D331A6">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4.2.9</w:t>
      </w:r>
      <w:r>
        <w:rPr>
          <w:rFonts w:hint="eastAsia" w:ascii="宋体" w:hAnsi="宋体" w:cs="宋体"/>
          <w:sz w:val="24"/>
          <w:szCs w:val="24"/>
        </w:rPr>
        <w:t>　</w:t>
      </w:r>
      <w:r>
        <w:rPr>
          <w:rFonts w:hint="eastAsia" w:ascii="宋体" w:hAnsi="宋体" w:eastAsia="宋体" w:cs="宋体"/>
          <w:sz w:val="24"/>
          <w:szCs w:val="24"/>
        </w:rPr>
        <w:t>本条适用于预评价和评价。</w:t>
      </w:r>
    </w:p>
    <w:p w14:paraId="2ED2E4E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1</w:t>
      </w:r>
      <w:r>
        <w:rPr>
          <w:rFonts w:hint="eastAsia" w:ascii="宋体" w:hAnsi="宋体" w:eastAsia="宋体" w:cs="宋体"/>
          <w:sz w:val="24"/>
          <w:szCs w:val="24"/>
        </w:rPr>
        <w:t>款，虽然利用非传统水源是节水最直接、最有效的措施之一，但由于既有建筑的特殊性，本标准对非传统水源的利用率要求及分值均较新建建筑适当降低。本条中“某用途采用非传统水源的用水量占其总用水量的比例＝该用途采用非传统水源的年用水量/该用途的年总用水量（包含传统和非传统水量）”。该比例与非传统水源利用率是不同的概念，在计算时，应明确分子分母的针对性。利用非传统水源进行绿化灌溉、车库及道路冲洗、洗车用水时，其水质指标应满足《城市污水再生利用城市杂用水水质》</w:t>
      </w:r>
      <w:r>
        <w:rPr>
          <w:rFonts w:hint="default" w:ascii="Times New Roman" w:hAnsi="Times New Roman" w:eastAsia="宋体" w:cs="Times New Roman"/>
          <w:sz w:val="24"/>
          <w:szCs w:val="24"/>
        </w:rPr>
        <w:t>GB/T 18920</w:t>
      </w:r>
      <w:r>
        <w:rPr>
          <w:rFonts w:hint="eastAsia" w:ascii="宋体" w:hAnsi="宋体" w:eastAsia="宋体" w:cs="宋体"/>
          <w:sz w:val="24"/>
          <w:szCs w:val="24"/>
        </w:rPr>
        <w:t>的水质要求。本款绿化灌溉、车库及道路冲洗、洗车用水三者总用水量比例达标，方可得分。</w:t>
      </w:r>
    </w:p>
    <w:p w14:paraId="10CD96F0">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    第</w:t>
      </w:r>
      <w:r>
        <w:rPr>
          <w:rFonts w:hint="default" w:ascii="Times New Roman" w:hAnsi="Times New Roman" w:eastAsia="宋体" w:cs="Times New Roman"/>
          <w:sz w:val="24"/>
          <w:szCs w:val="24"/>
        </w:rPr>
        <w:t>2</w:t>
      </w:r>
      <w:r>
        <w:rPr>
          <w:rFonts w:hint="eastAsia" w:ascii="宋体" w:hAnsi="宋体" w:eastAsia="宋体" w:cs="宋体"/>
          <w:sz w:val="24"/>
          <w:szCs w:val="24"/>
        </w:rPr>
        <w:t>款，绿化灌溉应采用喷灌、微灌、渗灌、低压管灌等节水灌溉方式，同时还可采用湿度传感器或根据气候变化的调节控制器。目前普遍采用的绿化节水灌溉方式是喷灌，其比地面漫灌要省水</w:t>
      </w:r>
      <w:r>
        <w:rPr>
          <w:rFonts w:hint="default" w:ascii="Times New Roman" w:hAnsi="Times New Roman" w:eastAsia="宋体" w:cs="Times New Roman"/>
          <w:sz w:val="24"/>
          <w:szCs w:val="24"/>
        </w:rPr>
        <w:t>30％～50％</w:t>
      </w:r>
      <w:r>
        <w:rPr>
          <w:rFonts w:hint="eastAsia" w:ascii="宋体" w:hAnsi="宋体" w:eastAsia="宋体" w:cs="宋体"/>
          <w:sz w:val="24"/>
          <w:szCs w:val="24"/>
        </w:rPr>
        <w:t>。但是，采用再生水灌溉时，因水中微生物在空气中极易传播，应避免采用喷灌方式。微灌包括滴灌、微喷灌、涌流灌和地下渗灌，比地面漫灌省水</w:t>
      </w:r>
      <w:r>
        <w:rPr>
          <w:rFonts w:hint="default" w:ascii="Times New Roman" w:hAnsi="Times New Roman" w:eastAsia="宋体" w:cs="Times New Roman"/>
          <w:sz w:val="24"/>
          <w:szCs w:val="24"/>
        </w:rPr>
        <w:t>50％～70％</w:t>
      </w:r>
      <w:r>
        <w:rPr>
          <w:rFonts w:hint="eastAsia" w:ascii="宋体" w:hAnsi="宋体" w:eastAsia="宋体" w:cs="宋体"/>
          <w:sz w:val="24"/>
          <w:szCs w:val="24"/>
        </w:rPr>
        <w:t>，比喷灌省水</w:t>
      </w:r>
      <w:r>
        <w:rPr>
          <w:rFonts w:hint="default" w:ascii="Times New Roman" w:hAnsi="Times New Roman" w:eastAsia="宋体" w:cs="Times New Roman"/>
          <w:sz w:val="24"/>
          <w:szCs w:val="24"/>
        </w:rPr>
        <w:t>15％～20％</w:t>
      </w:r>
      <w:r>
        <w:rPr>
          <w:rFonts w:hint="eastAsia" w:ascii="宋体" w:hAnsi="宋体" w:eastAsia="宋体" w:cs="宋体"/>
          <w:sz w:val="24"/>
          <w:szCs w:val="24"/>
        </w:rPr>
        <w:t>。其中微喷灌射程较近，一般在</w:t>
      </w:r>
      <w:r>
        <w:rPr>
          <w:rFonts w:hint="default" w:ascii="Times New Roman" w:hAnsi="Times New Roman" w:eastAsia="宋体" w:cs="Times New Roman"/>
          <w:sz w:val="24"/>
          <w:szCs w:val="24"/>
        </w:rPr>
        <w:t>5m</w:t>
      </w:r>
      <w:r>
        <w:rPr>
          <w:rFonts w:hint="eastAsia" w:ascii="宋体" w:hAnsi="宋体" w:eastAsia="宋体" w:cs="宋体"/>
          <w:sz w:val="24"/>
          <w:szCs w:val="24"/>
        </w:rPr>
        <w:t>以内，喷水量为</w:t>
      </w:r>
      <w:r>
        <w:rPr>
          <w:rFonts w:hint="default" w:ascii="Times New Roman" w:hAnsi="Times New Roman" w:eastAsia="宋体" w:cs="Times New Roman"/>
          <w:sz w:val="24"/>
          <w:szCs w:val="24"/>
        </w:rPr>
        <w:t>200L/h～400L/h</w:t>
      </w:r>
      <w:r>
        <w:rPr>
          <w:rFonts w:hint="eastAsia" w:ascii="宋体" w:hAnsi="宋体" w:eastAsia="宋体" w:cs="宋体"/>
          <w:sz w:val="24"/>
          <w:szCs w:val="24"/>
        </w:rPr>
        <w:t>。鼓励采用湿度传感器或根据气候变化的调节控制器，根据土壤的湿度或气候的变化，自动控制浇洒系统的启停，从而提高浇洒效率。无需永久灌溉植物是指适应当地气候，仅依靠自然降雨即可维持良好的生长状态的植物，或在干旱时体内水分丧失，全株呈风干状态而不死亡的植物。无需永久灌溉植物仅在生根时需进行人工灌溉，因而不需设置永久的灌溉系统，但临时灌溉系统应在安装后一年之内移走。当</w:t>
      </w:r>
      <w:r>
        <w:rPr>
          <w:rFonts w:hint="default" w:ascii="Times New Roman" w:hAnsi="Times New Roman" w:eastAsia="宋体" w:cs="Times New Roman"/>
          <w:sz w:val="24"/>
          <w:szCs w:val="24"/>
        </w:rPr>
        <w:t>60%</w:t>
      </w:r>
      <w:r>
        <w:rPr>
          <w:rFonts w:hint="eastAsia" w:ascii="宋体" w:hAnsi="宋体" w:eastAsia="宋体" w:cs="宋体"/>
          <w:sz w:val="24"/>
          <w:szCs w:val="24"/>
        </w:rPr>
        <w:t>以上的绿化面积采用了高效节水灌溉方式，方可判定按“采用节水灌溉系统”得分；采用移动喷灌头，本条不得分。当</w:t>
      </w:r>
      <w:r>
        <w:rPr>
          <w:rFonts w:hint="default" w:ascii="Times New Roman" w:hAnsi="Times New Roman" w:eastAsia="宋体" w:cs="Times New Roman"/>
          <w:sz w:val="24"/>
          <w:szCs w:val="24"/>
        </w:rPr>
        <w:t>30%</w:t>
      </w:r>
      <w:r>
        <w:rPr>
          <w:rFonts w:hint="eastAsia" w:ascii="宋体" w:hAnsi="宋体" w:eastAsia="宋体" w:cs="宋体"/>
          <w:sz w:val="24"/>
          <w:szCs w:val="24"/>
        </w:rPr>
        <w:t>以上的绿化面积设置了节水控制措施，或种植了无需永久灌溉植物，且其余部分绿化采用了节水灌溉方式时，可判定得分。当选用无需永久灌溉植物时，设计文件中应提供植物配置表，并说明是否属无需永久灌溉植物，申报方应提供当地植物名录，说明所用植物的耐旱性能，可判定得分。</w:t>
      </w:r>
    </w:p>
    <w:p w14:paraId="20BE58E3">
      <w:pPr>
        <w:spacing w:line="360" w:lineRule="auto"/>
        <w:ind w:firstLine="480" w:firstLineChars="200"/>
        <w:rPr>
          <w:rFonts w:hint="eastAsia" w:ascii="宋体" w:hAnsi="宋体" w:eastAsia="宋体" w:cs="宋体"/>
          <w:b/>
          <w:bCs/>
          <w:sz w:val="24"/>
          <w:szCs w:val="24"/>
        </w:rPr>
      </w:pPr>
      <w:r>
        <w:rPr>
          <w:rFonts w:hint="eastAsia" w:ascii="宋体" w:hAnsi="宋体" w:eastAsia="宋体" w:cs="宋体"/>
          <w:sz w:val="24"/>
          <w:szCs w:val="24"/>
        </w:rPr>
        <w:t>本条的评价方法为：预评价查阅相关设计文件、分析论证报告及相关证明材料；评价查阅现场影像材料，必要时进行现场核验。</w:t>
      </w:r>
    </w:p>
    <w:p w14:paraId="64DA1D76">
      <w:pPr>
        <w:rPr>
          <w:rFonts w:ascii="仿宋" w:hAnsi="仿宋" w:eastAsia="仿宋" w:cs="仿宋"/>
        </w:rPr>
      </w:pPr>
    </w:p>
    <w:p w14:paraId="522F24DE">
      <w:pPr>
        <w:widowControl/>
        <w:snapToGrid w:val="0"/>
        <w:jc w:val="center"/>
        <w:outlineLvl w:val="0"/>
        <w:rPr>
          <w:rFonts w:ascii="宋体" w:hAnsi="宋体" w:cs="宋体"/>
          <w:b/>
          <w:bCs/>
          <w:kern w:val="44"/>
          <w:sz w:val="30"/>
          <w:szCs w:val="30"/>
        </w:rPr>
        <w:sectPr>
          <w:footerReference r:id="rId14" w:type="default"/>
          <w:pgSz w:w="11906" w:h="16838"/>
          <w:pgMar w:top="1440" w:right="1800" w:bottom="1440" w:left="1800" w:header="851" w:footer="992" w:gutter="0"/>
          <w:cols w:space="425" w:num="1"/>
          <w:docGrid w:type="lines" w:linePitch="312" w:charSpace="0"/>
        </w:sectPr>
      </w:pPr>
    </w:p>
    <w:p w14:paraId="42527D0B">
      <w:pPr>
        <w:widowControl/>
        <w:snapToGrid w:val="0"/>
        <w:spacing w:line="360" w:lineRule="auto"/>
        <w:jc w:val="both"/>
        <w:outlineLvl w:val="9"/>
        <w:rPr>
          <w:rFonts w:ascii="Times New Roman" w:hAnsi="Times New Roman" w:cs="Times New Roman"/>
          <w:b/>
          <w:bCs w:val="0"/>
          <w:kern w:val="2"/>
          <w:sz w:val="30"/>
          <w:szCs w:val="30"/>
        </w:rPr>
      </w:pPr>
    </w:p>
    <w:p w14:paraId="47BC7FB7">
      <w:pPr>
        <w:widowControl/>
        <w:snapToGrid w:val="0"/>
        <w:spacing w:line="360" w:lineRule="auto"/>
        <w:jc w:val="center"/>
        <w:outlineLvl w:val="0"/>
        <w:rPr>
          <w:rFonts w:hint="default" w:ascii="Times New Roman" w:hAnsi="Times New Roman" w:eastAsia="宋体" w:cs="Times New Roman"/>
          <w:b/>
          <w:bCs w:val="0"/>
          <w:kern w:val="2"/>
          <w:sz w:val="30"/>
          <w:szCs w:val="30"/>
          <w:lang w:eastAsia="zh-CN"/>
        </w:rPr>
      </w:pPr>
      <w:bookmarkStart w:id="273" w:name="_Toc16747"/>
      <w:bookmarkStart w:id="274" w:name="_Toc26810"/>
      <w:r>
        <w:rPr>
          <w:rFonts w:ascii="Times New Roman" w:hAnsi="Times New Roman" w:cs="Times New Roman"/>
          <w:b/>
          <w:bCs w:val="0"/>
          <w:kern w:val="2"/>
          <w:sz w:val="30"/>
          <w:szCs w:val="30"/>
        </w:rPr>
        <w:t xml:space="preserve">5 </w:t>
      </w:r>
      <w:r>
        <w:rPr>
          <w:rFonts w:hint="default" w:ascii="Times New Roman" w:hAnsi="Times New Roman" w:cs="Times New Roman"/>
          <w:b/>
          <w:bCs w:val="0"/>
          <w:kern w:val="2"/>
          <w:sz w:val="30"/>
          <w:szCs w:val="30"/>
        </w:rPr>
        <w:t>建筑改造与利用</w:t>
      </w:r>
      <w:bookmarkEnd w:id="273"/>
      <w:bookmarkEnd w:id="274"/>
    </w:p>
    <w:p w14:paraId="23B9C55C">
      <w:pPr>
        <w:tabs>
          <w:tab w:val="left" w:pos="0"/>
        </w:tabs>
        <w:spacing w:before="0" w:beforeLines="0" w:after="0" w:afterLines="0" w:line="360" w:lineRule="auto"/>
        <w:jc w:val="center"/>
        <w:outlineLvl w:val="1"/>
        <w:rPr>
          <w:rFonts w:ascii="黑体" w:hAnsi="黑体" w:eastAsia="黑体" w:cs="黑体"/>
          <w:b/>
          <w:bCs/>
          <w:sz w:val="28"/>
          <w:szCs w:val="28"/>
        </w:rPr>
      </w:pPr>
      <w:bookmarkStart w:id="275" w:name="_Toc4586"/>
      <w:bookmarkStart w:id="276" w:name="_Toc24537"/>
      <w:r>
        <w:rPr>
          <w:rFonts w:ascii="Times New Roman" w:hAnsi="Times New Roman" w:eastAsia="黑体" w:cs="Times New Roman"/>
          <w:b/>
          <w:bCs/>
          <w:sz w:val="28"/>
          <w:szCs w:val="28"/>
        </w:rPr>
        <w:t>5.1</w:t>
      </w:r>
      <w:r>
        <w:rPr>
          <w:rFonts w:hint="eastAsia" w:ascii="黑体" w:hAnsi="黑体" w:eastAsia="黑体" w:cs="黑体"/>
          <w:b/>
          <w:bCs/>
          <w:sz w:val="28"/>
          <w:szCs w:val="28"/>
        </w:rPr>
        <w:t>控制项</w:t>
      </w:r>
      <w:bookmarkEnd w:id="275"/>
      <w:bookmarkEnd w:id="276"/>
    </w:p>
    <w:p w14:paraId="684C27BF">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5.1.1</w:t>
      </w:r>
      <w:r>
        <w:rPr>
          <w:rFonts w:hint="eastAsia" w:ascii="宋体" w:hAnsi="宋体" w:cs="宋体"/>
          <w:sz w:val="24"/>
          <w:szCs w:val="24"/>
        </w:rPr>
        <w:t>　</w:t>
      </w:r>
      <w:r>
        <w:rPr>
          <w:rFonts w:hint="eastAsia" w:ascii="宋体" w:hAnsi="宋体" w:eastAsia="宋体" w:cs="宋体"/>
          <w:sz w:val="24"/>
          <w:szCs w:val="24"/>
        </w:rPr>
        <w:t>本条适用于预评价和评价。</w:t>
      </w:r>
    </w:p>
    <w:p w14:paraId="714913E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既有工业建筑的使用保存情况差异较大，改造前应结合现状和今后的使用功能制定详细改造策略，使空间、层数、结构形式等要素尽可能满足改造后的使用状态。建筑的空间改造宜充分利用原有的空间层高、空间尺度、结构形式、采光通风等条件，避免因方案设计考虑欠缺导致过度改造。</w:t>
      </w:r>
    </w:p>
    <w:p w14:paraId="6751432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本条的评价方法为：预评价查阅相关设计文件（整体空间布局）；评价查阅相关竣工图</w:t>
      </w:r>
      <w:r>
        <w:rPr>
          <w:rFonts w:hint="eastAsia" w:ascii="宋体" w:hAnsi="宋体" w:cs="宋体"/>
          <w:sz w:val="24"/>
          <w:szCs w:val="24"/>
          <w:lang w:eastAsia="zh-CN"/>
        </w:rPr>
        <w:t>，</w:t>
      </w:r>
      <w:r>
        <w:rPr>
          <w:rFonts w:hint="eastAsia" w:ascii="宋体" w:hAnsi="宋体" w:eastAsia="宋体" w:cs="宋体"/>
          <w:sz w:val="24"/>
          <w:szCs w:val="24"/>
        </w:rPr>
        <w:t>现场勘察并进行地域适应性分析。</w:t>
      </w:r>
    </w:p>
    <w:p w14:paraId="72ED34B6">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5.1.2</w:t>
      </w:r>
      <w:r>
        <w:rPr>
          <w:rFonts w:hint="eastAsia" w:ascii="宋体" w:hAnsi="宋体" w:cs="宋体"/>
          <w:sz w:val="24"/>
          <w:szCs w:val="24"/>
        </w:rPr>
        <w:t>　</w:t>
      </w:r>
      <w:r>
        <w:rPr>
          <w:rFonts w:hint="eastAsia" w:ascii="宋体" w:hAnsi="宋体" w:eastAsia="宋体" w:cs="宋体"/>
          <w:sz w:val="24"/>
          <w:szCs w:val="24"/>
        </w:rPr>
        <w:t>本条适用于预评价和评价。</w:t>
      </w:r>
    </w:p>
    <w:p w14:paraId="320507C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单层排架结构工业建筑垂直方向设置夹层时，宜局部保留原有的高大空间及侧窗导风模式，形成垂直拔风中庭，并可兼顾良好的自然采光。单层排架结构工业建筑水平方向设置隔断或脱开原有建筑结构在室内新增建筑体量时，宜充分考虑自然风在室内的气流组织模式，保证气流通道畅通；对于多层及高层框架结构工业建筑，中庭是最常用的空间营造方法，也是改善室内自然采光与自然通风的常用手段，由于工业空间尺度与民用建筑有很大的不同，空间氛围也有很大差异，因此往往需要穿插通高空间调节，同时对于工业厂房原有的大进深空间，中庭也有利于引入自然光与风。</w:t>
      </w:r>
    </w:p>
    <w:p w14:paraId="65315AE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本条的评价方法为：预评价查阅相关设计文件，查阅光环境和自然通风模拟分析报告，查阅建筑空间优化分析报告；评价查阅相关竣工图，查阅光环境和自然通风模拟分析报告，查阅建筑空间优化分析报告。</w:t>
      </w:r>
    </w:p>
    <w:p w14:paraId="3D49A166">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5.1.3</w:t>
      </w:r>
      <w:r>
        <w:rPr>
          <w:rFonts w:hint="eastAsia" w:ascii="宋体" w:hAnsi="宋体" w:cs="宋体"/>
          <w:sz w:val="24"/>
          <w:szCs w:val="24"/>
        </w:rPr>
        <w:t>　</w:t>
      </w:r>
      <w:r>
        <w:rPr>
          <w:rFonts w:hint="eastAsia" w:ascii="宋体" w:hAnsi="宋体" w:eastAsia="宋体" w:cs="宋体"/>
          <w:sz w:val="24"/>
          <w:szCs w:val="24"/>
        </w:rPr>
        <w:t>本条适用于预评价和评价。</w:t>
      </w:r>
    </w:p>
    <w:p w14:paraId="643C9F0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对于尚可使用的生产配套空间，可根据设计要求保留或改变其原有使用性质对其合理利用。减少新建材的使用量，降低建造活动对资源、能源的消耗，减少建筑垃圾的排放。</w:t>
      </w:r>
    </w:p>
    <w:p w14:paraId="002F8C6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本条的评价方法为：预评价查阅相关设计文件；评价查阅相关竣工图和结构相关规范。</w:t>
      </w:r>
    </w:p>
    <w:p w14:paraId="1DC0AF31">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5.1.4</w:t>
      </w:r>
      <w:r>
        <w:rPr>
          <w:rFonts w:hint="eastAsia" w:ascii="宋体" w:hAnsi="宋体" w:cs="宋体"/>
          <w:sz w:val="24"/>
          <w:szCs w:val="24"/>
        </w:rPr>
        <w:t>　</w:t>
      </w:r>
      <w:r>
        <w:rPr>
          <w:rFonts w:hint="eastAsia" w:ascii="宋体" w:hAnsi="宋体" w:eastAsia="宋体" w:cs="宋体"/>
          <w:sz w:val="24"/>
          <w:szCs w:val="24"/>
        </w:rPr>
        <w:t>国内存量既有工业建筑建成年代跨度较大，但围护结构热工性能指标大多无法满足现行节能技术规范要求。在改造过程中，多涉及围护结构的局部修缮乃至全部更新，应保证改造的外围护结构符合现行行业标准《公共建筑节能改造技术规范》</w:t>
      </w:r>
      <w:r>
        <w:rPr>
          <w:rFonts w:hint="default" w:ascii="Times New Roman" w:hAnsi="Times New Roman" w:eastAsia="宋体" w:cs="Times New Roman"/>
          <w:sz w:val="24"/>
          <w:szCs w:val="24"/>
        </w:rPr>
        <w:t>JGJ 176</w:t>
      </w:r>
      <w:r>
        <w:rPr>
          <w:rFonts w:hint="eastAsia" w:ascii="宋体" w:hAnsi="宋体" w:eastAsia="宋体" w:cs="宋体"/>
          <w:sz w:val="24"/>
          <w:szCs w:val="24"/>
        </w:rPr>
        <w:t>的有关规定。</w:t>
      </w:r>
    </w:p>
    <w:p w14:paraId="197B6AB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本条的评价方法为：预评价查阅相关设计文件；评价查阅相关竣工图、节能计算书和保温材料检测报告。</w:t>
      </w:r>
    </w:p>
    <w:p w14:paraId="079958B7">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5.1.5</w:t>
      </w:r>
      <w:r>
        <w:rPr>
          <w:rFonts w:hint="eastAsia" w:ascii="宋体" w:hAnsi="宋体" w:cs="宋体"/>
          <w:sz w:val="24"/>
          <w:szCs w:val="24"/>
        </w:rPr>
        <w:t>　</w:t>
      </w:r>
      <w:r>
        <w:rPr>
          <w:rFonts w:hint="eastAsia" w:ascii="宋体" w:hAnsi="宋体" w:eastAsia="宋体" w:cs="宋体"/>
          <w:sz w:val="24"/>
          <w:szCs w:val="24"/>
        </w:rPr>
        <w:t>当前较多既有工业建筑项目在局部区域将墙体改造为玻璃幕墙，以增加室内通透性，应注意保证玻璃幕墙满足安全、节能、气密性、水密性及抗风压性能要求。</w:t>
      </w:r>
    </w:p>
    <w:p w14:paraId="349A2B6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本条的评价方法为：预评价查阅相关设计文件；评价查阅相关竣工图、相关测试报告。</w:t>
      </w:r>
    </w:p>
    <w:p w14:paraId="25B4AF0C">
      <w:pPr>
        <w:tabs>
          <w:tab w:val="left" w:pos="0"/>
        </w:tabs>
        <w:spacing w:before="0" w:beforeLines="0" w:after="0" w:afterLines="0" w:line="360" w:lineRule="auto"/>
        <w:jc w:val="center"/>
        <w:outlineLvl w:val="1"/>
        <w:rPr>
          <w:rFonts w:ascii="黑体" w:hAnsi="黑体" w:eastAsia="黑体" w:cs="黑体"/>
          <w:b/>
          <w:bCs/>
          <w:sz w:val="28"/>
          <w:szCs w:val="28"/>
        </w:rPr>
      </w:pPr>
      <w:bookmarkStart w:id="277" w:name="_Toc12704"/>
      <w:bookmarkStart w:id="278" w:name="_Toc23733"/>
      <w:r>
        <w:rPr>
          <w:rFonts w:hint="default" w:ascii="Times New Roman" w:hAnsi="Times New Roman" w:eastAsia="黑体" w:cs="Times New Roman"/>
          <w:b/>
          <w:bCs/>
          <w:sz w:val="28"/>
          <w:szCs w:val="28"/>
        </w:rPr>
        <w:t>5.2</w:t>
      </w:r>
      <w:r>
        <w:rPr>
          <w:rFonts w:hint="eastAsia" w:ascii="黑体" w:hAnsi="黑体" w:eastAsia="黑体" w:cs="黑体"/>
          <w:b/>
          <w:bCs/>
          <w:sz w:val="28"/>
          <w:szCs w:val="28"/>
        </w:rPr>
        <w:t>评分项</w:t>
      </w:r>
      <w:bookmarkEnd w:id="277"/>
      <w:bookmarkEnd w:id="278"/>
    </w:p>
    <w:p w14:paraId="5326FE95">
      <w:pPr>
        <w:pStyle w:val="28"/>
        <w:spacing w:before="0" w:beforeLines="0" w:after="0" w:afterLines="0" w:line="360" w:lineRule="auto"/>
        <w:ind w:firstLine="0" w:firstLineChars="0"/>
        <w:jc w:val="center"/>
        <w:outlineLvl w:val="2"/>
        <w:rPr>
          <w:rFonts w:hint="eastAsia" w:eastAsia="宋体" w:cs="Times New Roman"/>
          <w:b/>
          <w:bCs/>
          <w:sz w:val="28"/>
          <w:szCs w:val="28"/>
          <w:lang w:eastAsia="zh-CN"/>
        </w:rPr>
      </w:pPr>
      <w:r>
        <w:rPr>
          <w:rFonts w:hint="eastAsia" w:cs="Times New Roman"/>
          <w:b/>
          <w:bCs/>
          <w:sz w:val="28"/>
          <w:szCs w:val="28"/>
        </w:rPr>
        <w:t xml:space="preserve">Ⅰ </w:t>
      </w:r>
      <w:r>
        <w:rPr>
          <w:rFonts w:hint="eastAsia" w:ascii="仿宋" w:hAnsi="仿宋" w:eastAsia="仿宋" w:cs="仿宋"/>
          <w:b/>
          <w:bCs/>
          <w:sz w:val="28"/>
          <w:szCs w:val="28"/>
        </w:rPr>
        <w:t>建筑与构件</w:t>
      </w:r>
    </w:p>
    <w:p w14:paraId="37D8E717">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5.2.1</w:t>
      </w:r>
      <w:r>
        <w:rPr>
          <w:rFonts w:hint="eastAsia" w:ascii="宋体" w:hAnsi="宋体" w:cs="宋体"/>
          <w:sz w:val="24"/>
          <w:szCs w:val="24"/>
        </w:rPr>
        <w:t>　</w:t>
      </w:r>
      <w:r>
        <w:rPr>
          <w:rFonts w:hint="eastAsia" w:ascii="宋体" w:hAnsi="宋体" w:eastAsia="宋体" w:cs="宋体"/>
          <w:sz w:val="24"/>
          <w:szCs w:val="24"/>
        </w:rPr>
        <w:t>本条天然采光不仅有利于照明节能，而且有利于增加室内外的自然信息交流，改善空间卫生环境，调节室内人员的心情，有利于身体健康。既有工业建筑通常存在大体量、大进深等特点，在改造为民用建筑时，建筑内区的采光设计是难点，改造设计时可结合工业建筑的空间与屋面特征，通过利用天窗、中庭、采光井等措施来改善内区和主要功能房间的采光效果。充分利用原有高侧窗的自然采光模式，并可适当增加采光天窗，可采用电动控制方式，以改善自然采光与遮阳的条件。</w:t>
      </w:r>
    </w:p>
    <w:p w14:paraId="2881ACC2">
      <w:pPr>
        <w:spacing w:line="360" w:lineRule="auto"/>
        <w:ind w:firstLine="422"/>
        <w:rPr>
          <w:rFonts w:hint="eastAsia" w:ascii="宋体" w:hAnsi="宋体" w:eastAsia="宋体" w:cs="宋体"/>
          <w:b/>
          <w:bCs/>
          <w:sz w:val="24"/>
          <w:szCs w:val="24"/>
        </w:rPr>
      </w:pPr>
      <w:r>
        <w:rPr>
          <w:rFonts w:hint="eastAsia" w:ascii="宋体" w:hAnsi="宋体" w:eastAsia="宋体" w:cs="宋体"/>
          <w:sz w:val="24"/>
          <w:szCs w:val="24"/>
        </w:rPr>
        <w:t>本条的评价方法为：预评价查阅相关设计文件；评价查阅相关竣工图。</w:t>
      </w:r>
    </w:p>
    <w:p w14:paraId="7ADE78BB">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5.2.2</w:t>
      </w:r>
      <w:r>
        <w:rPr>
          <w:rFonts w:hint="eastAsia" w:ascii="宋体" w:hAnsi="宋体" w:cs="宋体"/>
          <w:sz w:val="24"/>
          <w:szCs w:val="24"/>
        </w:rPr>
        <w:t>　</w:t>
      </w:r>
      <w:r>
        <w:rPr>
          <w:rFonts w:hint="eastAsia" w:ascii="宋体" w:hAnsi="宋体" w:eastAsia="宋体" w:cs="宋体"/>
          <w:sz w:val="24"/>
          <w:szCs w:val="24"/>
        </w:rPr>
        <w:t>拔风井、导风墙、反光板、导光管、遮阳板等构造方法可以配合空间布局与改造，改善内部空间的采光、通风环境。内庭院、天井、中庭等空间改造措施可有效改善既有工业建筑大进深带来的通风不畅的问题。</w:t>
      </w:r>
    </w:p>
    <w:p w14:paraId="385AFED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本条的评价方法为：预评价查阅相关设计文件；评价查阅相关竣工图。</w:t>
      </w:r>
    </w:p>
    <w:p w14:paraId="7E31D200">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5.2.3</w:t>
      </w:r>
      <w:r>
        <w:rPr>
          <w:rFonts w:hint="eastAsia" w:ascii="宋体" w:hAnsi="宋体" w:cs="宋体"/>
          <w:sz w:val="24"/>
          <w:szCs w:val="24"/>
        </w:rPr>
        <w:t>　</w:t>
      </w:r>
      <w:r>
        <w:rPr>
          <w:rFonts w:hint="eastAsia" w:ascii="宋体" w:hAnsi="宋体" w:eastAsia="宋体" w:cs="宋体"/>
          <w:sz w:val="24"/>
          <w:szCs w:val="24"/>
        </w:rPr>
        <w:t>本条适用于预评价和评价。</w:t>
      </w:r>
    </w:p>
    <w:p w14:paraId="447D6E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既有工业建筑民用化低碳改造过程中，宜积极推广屋顶绿化、墙面绿化等多维度绿化方式，不仅有助于改善建筑的环境质量，增加绿地面积，还能提供隔热、保温、降噪等多重效益。在进行绿化作物选择时，应根据不同地区的气候、土壤等条件，因地制宜地选择合适的绿化作物。</w:t>
      </w:r>
    </w:p>
    <w:p w14:paraId="01B43D84">
      <w:pPr>
        <w:spacing w:line="360" w:lineRule="auto"/>
        <w:ind w:firstLine="480" w:firstLineChars="200"/>
        <w:rPr>
          <w:rFonts w:hint="eastAsia" w:ascii="宋体" w:hAnsi="宋体" w:cs="宋体"/>
          <w:sz w:val="24"/>
          <w:szCs w:val="24"/>
        </w:rPr>
      </w:pPr>
      <w:r>
        <w:rPr>
          <w:rFonts w:hint="eastAsia" w:ascii="宋体" w:hAnsi="宋体" w:eastAsia="宋体" w:cs="宋体"/>
          <w:sz w:val="24"/>
          <w:szCs w:val="24"/>
        </w:rPr>
        <w:t>本条的评价方法为：预评价查阅相关设计文件（屋顶绿化设置的可行性分析）；评价查阅相关竣工图、植物选择及养护报告</w:t>
      </w:r>
      <w:r>
        <w:rPr>
          <w:rFonts w:hint="eastAsia" w:ascii="宋体" w:hAnsi="宋体" w:cs="宋体"/>
          <w:sz w:val="24"/>
          <w:szCs w:val="24"/>
        </w:rPr>
        <w:t>。</w:t>
      </w:r>
    </w:p>
    <w:p w14:paraId="47BF73FF">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5.2.4</w:t>
      </w:r>
      <w:r>
        <w:rPr>
          <w:rFonts w:hint="eastAsia" w:ascii="宋体" w:hAnsi="宋体" w:cs="宋体"/>
          <w:sz w:val="24"/>
          <w:szCs w:val="24"/>
        </w:rPr>
        <w:t>　</w:t>
      </w:r>
      <w:r>
        <w:rPr>
          <w:rFonts w:hint="eastAsia" w:ascii="宋体" w:hAnsi="宋体" w:eastAsia="宋体" w:cs="宋体"/>
          <w:sz w:val="24"/>
          <w:szCs w:val="24"/>
        </w:rPr>
        <w:t>本条适用于预评价和评价。</w:t>
      </w:r>
    </w:p>
    <w:p w14:paraId="524C2B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设备设计及施工，应充分利用现有资源，以减少项目投资。由于管线、管沟、管井、设备用房自身的耐久性问题，不适合继续利用，对其原位替换的方式，也满足本条款。</w:t>
      </w:r>
    </w:p>
    <w:p w14:paraId="21936DE9">
      <w:pPr>
        <w:spacing w:line="360" w:lineRule="auto"/>
        <w:ind w:firstLine="480" w:firstLineChars="200"/>
        <w:rPr>
          <w:rFonts w:hint="eastAsia" w:ascii="宋体" w:hAnsi="宋体" w:eastAsia="宋体" w:cs="宋体"/>
          <w:b/>
          <w:bCs/>
          <w:sz w:val="24"/>
          <w:szCs w:val="24"/>
        </w:rPr>
      </w:pPr>
      <w:r>
        <w:rPr>
          <w:rFonts w:hint="eastAsia" w:ascii="宋体" w:hAnsi="宋体" w:eastAsia="宋体" w:cs="宋体"/>
          <w:sz w:val="24"/>
          <w:szCs w:val="24"/>
        </w:rPr>
        <w:t>本条的评价方法为：预评价查阅厂区现状地形图、原有老图纸、照片、机电各专业施工图等资料，查阅土建施工图及其他证明文件；评价查阅土建、机电各专业竣工图及其他证明文件，并现场核实。</w:t>
      </w:r>
    </w:p>
    <w:p w14:paraId="4A4F42C4">
      <w:pPr>
        <w:pStyle w:val="28"/>
        <w:tabs>
          <w:tab w:val="left" w:pos="0"/>
        </w:tabs>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Cs w:val="24"/>
        </w:rPr>
        <w:t>5.2.5</w:t>
      </w:r>
      <w:r>
        <w:rPr>
          <w:rFonts w:hint="eastAsia" w:ascii="宋体" w:hAnsi="宋体" w:cs="宋体"/>
          <w:sz w:val="24"/>
          <w:szCs w:val="24"/>
        </w:rPr>
        <w:t>　</w:t>
      </w:r>
      <w:r>
        <w:rPr>
          <w:rFonts w:hint="eastAsia" w:ascii="宋体" w:hAnsi="宋体" w:eastAsia="宋体" w:cs="宋体"/>
          <w:sz w:val="24"/>
          <w:szCs w:val="24"/>
        </w:rPr>
        <w:t>高大空间对建筑空调负荷影响较大。在原有高大空间工业建筑空间内采用加层等方式植入新的空间，能够减少空调房间的使用负荷。本条高大空间是指建筑内层高超过</w:t>
      </w:r>
      <w:r>
        <w:rPr>
          <w:rFonts w:hint="default" w:ascii="Times New Roman" w:hAnsi="Times New Roman" w:eastAsia="宋体" w:cs="Times New Roman"/>
          <w:sz w:val="24"/>
          <w:szCs w:val="24"/>
        </w:rPr>
        <w:t>5</w:t>
      </w:r>
      <w:r>
        <w:rPr>
          <w:rFonts w:hint="eastAsia" w:ascii="宋体" w:hAnsi="宋体" w:eastAsia="宋体" w:cs="宋体"/>
          <w:sz w:val="24"/>
          <w:szCs w:val="24"/>
        </w:rPr>
        <w:t>米的部位。</w:t>
      </w:r>
    </w:p>
    <w:p w14:paraId="77FA1FF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本条的评价方法为：预评定查阅装修施工图纸。评定查阅装修专业竣工图，并现场核实。</w:t>
      </w:r>
    </w:p>
    <w:p w14:paraId="43773020">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5.2.6</w:t>
      </w:r>
      <w:r>
        <w:rPr>
          <w:rFonts w:hint="eastAsia" w:ascii="宋体" w:hAnsi="宋体" w:cs="宋体"/>
          <w:sz w:val="24"/>
          <w:szCs w:val="24"/>
        </w:rPr>
        <w:t>　</w:t>
      </w:r>
      <w:r>
        <w:rPr>
          <w:rFonts w:hint="eastAsia" w:ascii="宋体" w:hAnsi="宋体" w:eastAsia="宋体" w:cs="宋体"/>
          <w:sz w:val="24"/>
          <w:szCs w:val="24"/>
        </w:rPr>
        <w:t>推动建筑与装修一体化设计。建筑、结构、设备管线、智能化等专业设计与装修设计相互衔接，实现固定面、设备管线、开关插座及基本设施等设计同步到位，从而避免专业矛盾引起的返工和材料的浪费。</w:t>
      </w:r>
    </w:p>
    <w:p w14:paraId="6E1BFEB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定查阅装修施工图纸（包含设计说明、平面布置图、顶面布置图、地面布置图、灯具定位图、开关定位图、插座定位图、立面图、剖面图、装配工艺节点图等）。评定查阅预评定涉及内容的竣工文件。</w:t>
      </w:r>
    </w:p>
    <w:p w14:paraId="200C0C1C">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5.2.7</w:t>
      </w:r>
      <w:r>
        <w:rPr>
          <w:rFonts w:hint="eastAsia" w:ascii="宋体" w:hAnsi="宋体" w:cs="宋体"/>
          <w:sz w:val="24"/>
          <w:szCs w:val="24"/>
        </w:rPr>
        <w:t>　</w:t>
      </w:r>
      <w:r>
        <w:rPr>
          <w:rFonts w:hint="eastAsia" w:ascii="宋体" w:hAnsi="宋体" w:eastAsia="宋体" w:cs="宋体"/>
          <w:sz w:val="24"/>
          <w:szCs w:val="24"/>
        </w:rPr>
        <w:t>土建装修一体化设计、施工，对节约能源资源有重要作用。土建和装修一体化设计，要求对土建设计和装修设计统一协调，在土建设计时考虑装修设计需求，事先进行孔洞预留和装修面层固定件的预埋，避免在装修时对已有建筑构件打凿、穿孔。这样既可减少设计的反复，又可保证结构的安全，减少材料消耗，并降低装修成本。实践中，可由建设单位统一组织建筑主体工程和装修施工。在选材和施工方面尽可能采取工业化制造，具备稳定性、耐久性、环保性和通用性的设备和装修装饰材料，从而在工程竣工验收时室内装修一步到位，避免破坏建筑构件和设施。</w:t>
      </w:r>
    </w:p>
    <w:p w14:paraId="594BAD6A">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5.2.8</w:t>
      </w:r>
      <w:r>
        <w:rPr>
          <w:rFonts w:hint="eastAsia" w:ascii="宋体" w:hAnsi="宋体" w:eastAsia="宋体" w:cs="宋体"/>
          <w:sz w:val="24"/>
          <w:szCs w:val="24"/>
        </w:rPr>
        <w:t>第</w:t>
      </w:r>
      <w:r>
        <w:rPr>
          <w:rFonts w:hint="default" w:ascii="Times New Roman" w:hAnsi="Times New Roman" w:eastAsia="宋体" w:cs="Times New Roman"/>
          <w:sz w:val="24"/>
          <w:szCs w:val="24"/>
        </w:rPr>
        <w:t>1</w:t>
      </w:r>
      <w:r>
        <w:rPr>
          <w:rFonts w:hint="eastAsia" w:ascii="宋体" w:hAnsi="宋体" w:eastAsia="宋体" w:cs="宋体"/>
          <w:sz w:val="24"/>
          <w:szCs w:val="24"/>
        </w:rPr>
        <w:t>款，非砌筑是新型建筑墙体的共同特征之一。非砌筑围护墙体包括各种中大型板材、幕墙、木骨架或轻钢骨架复合墙体等，应满足工厂生产、现场安装、以“干法”施工为主的要求。</w:t>
      </w:r>
    </w:p>
    <w:p w14:paraId="09CC193B">
      <w:pPr>
        <w:spacing w:line="360" w:lineRule="auto"/>
        <w:ind w:firstLine="480" w:firstLineChars="200"/>
        <w:rPr>
          <w:rFonts w:hint="eastAsia" w:ascii="宋体" w:hAnsi="宋体" w:eastAsia="宋体" w:cs="宋体"/>
          <w:sz w:val="24"/>
          <w:szCs w:val="24"/>
        </w:rPr>
      </w:pPr>
      <w:r>
        <w:rPr>
          <w:rFonts w:hint="default" w:ascii="Times New Roman" w:hAnsi="Times New Roman" w:eastAsia="宋体" w:cs="Times New Roman"/>
          <w:sz w:val="24"/>
          <w:szCs w:val="24"/>
        </w:rPr>
        <w:t>1)</w:t>
      </w:r>
      <w:r>
        <w:rPr>
          <w:rFonts w:hint="eastAsia" w:ascii="宋体" w:hAnsi="宋体" w:eastAsia="宋体" w:cs="宋体"/>
          <w:sz w:val="24"/>
          <w:szCs w:val="24"/>
        </w:rPr>
        <w:t xml:space="preserve"> 非砌筑围护墙的应用比例应按下式计算：</w:t>
      </w:r>
    </w:p>
    <w:p w14:paraId="31F7BB8B">
      <w:pPr>
        <w:tabs>
          <w:tab w:val="center" w:pos="4200"/>
          <w:tab w:val="right" w:pos="8200"/>
        </w:tabs>
        <w:jc w:val="center"/>
        <w:rPr>
          <w:rFonts w:hint="eastAsia" w:ascii="Cambria Math" w:hAnsi="Cambria Math" w:cs="宋体" w:eastAsiaTheme="minorEastAsia"/>
          <w:sz w:val="24"/>
          <w:szCs w:val="24"/>
        </w:rPr>
      </w:pPr>
      <w:r>
        <w:rPr>
          <w:rFonts w:hint="eastAsia" w:hAnsi="Cambria Math" w:cs="宋体" w:eastAsiaTheme="minorEastAsia"/>
          <w:sz w:val="24"/>
          <w:szCs w:val="24"/>
        </w:rPr>
        <w:tab/>
      </w:r>
      <m:oMath>
        <m:sSub>
          <m:sSubPr>
            <m:ctrlPr>
              <w:rPr>
                <w:rFonts w:hint="eastAsia" w:ascii="Cambria Math" w:hAnsi="Cambria Math" w:eastAsia="仿宋" w:cs="仿宋"/>
                <w:szCs w:val="20"/>
              </w:rPr>
            </m:ctrlPr>
          </m:sSubPr>
          <m:e>
            <m:r>
              <m:rPr>
                <m:sty m:val="p"/>
              </m:rPr>
              <w:rPr>
                <w:rFonts w:hint="eastAsia" w:ascii="Cambria Math" w:hAnsi="Cambria Math" w:eastAsia="仿宋" w:cs="仿宋"/>
                <w:szCs w:val="20"/>
              </w:rPr>
              <m:t>q</m:t>
            </m:r>
            <m:ctrlPr>
              <w:rPr>
                <w:rFonts w:hint="eastAsia" w:ascii="Cambria Math" w:hAnsi="Cambria Math" w:eastAsia="仿宋" w:cs="仿宋"/>
                <w:szCs w:val="20"/>
              </w:rPr>
            </m:ctrlPr>
          </m:e>
          <m:sub>
            <m:r>
              <m:rPr>
                <m:sty m:val="p"/>
              </m:rPr>
              <w:rPr>
                <w:rFonts w:hint="eastAsia" w:ascii="Cambria Math" w:hAnsi="Cambria Math" w:eastAsia="仿宋" w:cs="仿宋"/>
                <w:szCs w:val="20"/>
              </w:rPr>
              <m:t>1a</m:t>
            </m:r>
            <m:ctrlPr>
              <w:rPr>
                <w:rFonts w:hint="eastAsia" w:ascii="Cambria Math" w:hAnsi="Cambria Math" w:eastAsia="仿宋" w:cs="仿宋"/>
                <w:szCs w:val="20"/>
              </w:rPr>
            </m:ctrlPr>
          </m:sub>
        </m:sSub>
        <m:r>
          <m:rPr>
            <m:sty m:val="p"/>
          </m:rPr>
          <w:rPr>
            <w:rFonts w:hint="eastAsia" w:ascii="Cambria Math" w:hAnsi="Cambria Math" w:eastAsia="仿宋" w:cs="仿宋"/>
            <w:szCs w:val="20"/>
          </w:rPr>
          <m:t>=</m:t>
        </m:r>
        <m:f>
          <m:fPr>
            <m:ctrlPr>
              <w:rPr>
                <w:rFonts w:hint="eastAsia" w:ascii="Cambria Math" w:hAnsi="Cambria Math" w:eastAsia="仿宋" w:cs="仿宋"/>
                <w:szCs w:val="20"/>
              </w:rPr>
            </m:ctrlPr>
          </m:fPr>
          <m:num>
            <m:sSub>
              <m:sSubPr>
                <m:ctrlPr>
                  <w:rPr>
                    <w:rFonts w:hint="eastAsia" w:ascii="Cambria Math" w:hAnsi="Cambria Math" w:eastAsia="仿宋" w:cs="仿宋"/>
                    <w:szCs w:val="20"/>
                  </w:rPr>
                </m:ctrlPr>
              </m:sSubPr>
              <m:e>
                <m:r>
                  <m:rPr>
                    <m:sty m:val="p"/>
                  </m:rPr>
                  <w:rPr>
                    <w:rFonts w:hint="eastAsia" w:ascii="Cambria Math" w:hAnsi="Cambria Math" w:eastAsia="仿宋" w:cs="仿宋"/>
                    <w:szCs w:val="20"/>
                  </w:rPr>
                  <m:t>A</m:t>
                </m:r>
                <m:ctrlPr>
                  <w:rPr>
                    <w:rFonts w:hint="eastAsia" w:ascii="Cambria Math" w:hAnsi="Cambria Math" w:eastAsia="仿宋" w:cs="仿宋"/>
                    <w:szCs w:val="20"/>
                  </w:rPr>
                </m:ctrlPr>
              </m:e>
              <m:sub>
                <m:r>
                  <m:rPr>
                    <m:sty m:val="p"/>
                  </m:rPr>
                  <w:rPr>
                    <w:rFonts w:hint="eastAsia" w:ascii="Cambria Math" w:hAnsi="Cambria Math" w:eastAsia="仿宋" w:cs="仿宋"/>
                    <w:szCs w:val="20"/>
                  </w:rPr>
                  <m:t>1a</m:t>
                </m:r>
                <m:ctrlPr>
                  <w:rPr>
                    <w:rFonts w:hint="eastAsia" w:ascii="Cambria Math" w:hAnsi="Cambria Math" w:eastAsia="仿宋" w:cs="仿宋"/>
                    <w:szCs w:val="20"/>
                  </w:rPr>
                </m:ctrlPr>
              </m:sub>
            </m:sSub>
            <m:ctrlPr>
              <w:rPr>
                <w:rFonts w:hint="eastAsia" w:ascii="Cambria Math" w:hAnsi="Cambria Math" w:eastAsia="仿宋" w:cs="仿宋"/>
                <w:szCs w:val="20"/>
              </w:rPr>
            </m:ctrlPr>
          </m:num>
          <m:den>
            <m:sSub>
              <m:sSubPr>
                <m:ctrlPr>
                  <w:rPr>
                    <w:rFonts w:hint="eastAsia" w:ascii="Cambria Math" w:hAnsi="Cambria Math" w:eastAsia="仿宋" w:cs="仿宋"/>
                    <w:szCs w:val="20"/>
                  </w:rPr>
                </m:ctrlPr>
              </m:sSubPr>
              <m:e>
                <m:r>
                  <m:rPr>
                    <m:sty m:val="p"/>
                  </m:rPr>
                  <w:rPr>
                    <w:rFonts w:hint="eastAsia" w:ascii="Cambria Math" w:hAnsi="Cambria Math" w:eastAsia="仿宋" w:cs="仿宋"/>
                    <w:szCs w:val="20"/>
                  </w:rPr>
                  <m:t>A</m:t>
                </m:r>
                <m:ctrlPr>
                  <w:rPr>
                    <w:rFonts w:hint="eastAsia" w:ascii="Cambria Math" w:hAnsi="Cambria Math" w:eastAsia="仿宋" w:cs="仿宋"/>
                    <w:szCs w:val="20"/>
                  </w:rPr>
                </m:ctrlPr>
              </m:e>
              <m:sub>
                <m:r>
                  <m:rPr>
                    <m:sty m:val="p"/>
                  </m:rPr>
                  <w:rPr>
                    <w:rFonts w:hint="eastAsia" w:ascii="Cambria Math" w:hAnsi="Cambria Math" w:eastAsia="仿宋" w:cs="仿宋"/>
                    <w:szCs w:val="20"/>
                  </w:rPr>
                  <m:t>w1</m:t>
                </m:r>
                <m:ctrlPr>
                  <w:rPr>
                    <w:rFonts w:hint="eastAsia" w:ascii="Cambria Math" w:hAnsi="Cambria Math" w:eastAsia="仿宋" w:cs="仿宋"/>
                    <w:szCs w:val="20"/>
                  </w:rPr>
                </m:ctrlPr>
              </m:sub>
            </m:sSub>
            <m:ctrlPr>
              <w:rPr>
                <w:rFonts w:hint="eastAsia" w:ascii="Cambria Math" w:hAnsi="Cambria Math" w:eastAsia="仿宋" w:cs="仿宋"/>
                <w:szCs w:val="20"/>
              </w:rPr>
            </m:ctrlPr>
          </m:den>
        </m:f>
        <m:r>
          <m:rPr>
            <m:sty m:val="p"/>
          </m:rPr>
          <w:rPr>
            <w:rFonts w:hint="eastAsia" w:ascii="Cambria Math" w:hAnsi="Cambria Math" w:eastAsia="仿宋" w:cs="仿宋"/>
            <w:szCs w:val="20"/>
          </w:rPr>
          <m:t>×100%</m:t>
        </m:r>
      </m:oMath>
      <w:r>
        <w:rPr>
          <w:rFonts w:ascii="Cambria Math" w:hAnsi="Cambria Math" w:cs="宋体" w:eastAsiaTheme="minorEastAsia"/>
          <w:sz w:val="24"/>
          <w:szCs w:val="24"/>
        </w:rPr>
        <w:t xml:space="preserve">   </w:t>
      </w:r>
      <w:r>
        <w:rPr>
          <w:rFonts w:hint="eastAsia" w:ascii="Cambria Math" w:hAnsi="Cambria Math" w:cs="宋体" w:eastAsiaTheme="minorEastAsia"/>
          <w:sz w:val="24"/>
          <w:szCs w:val="24"/>
        </w:rPr>
        <w:tab/>
      </w:r>
      <w:r>
        <w:rPr>
          <w:rFonts w:hint="eastAsia" w:hAnsi="Cambria Math" w:eastAsia="仿宋" w:cs="仿宋"/>
          <w:szCs w:val="20"/>
        </w:rPr>
        <w:t>(</w:t>
      </w:r>
      <w:r>
        <w:rPr>
          <w:rFonts w:hint="default" w:ascii="Times New Roman" w:hAnsi="Times New Roman" w:eastAsia="仿宋" w:cs="Times New Roman"/>
          <w:szCs w:val="20"/>
        </w:rPr>
        <w:t>5.2.</w:t>
      </w:r>
      <w:r>
        <w:rPr>
          <w:rFonts w:hint="default" w:ascii="Times New Roman" w:hAnsi="Times New Roman" w:eastAsia="仿宋" w:cs="Times New Roman"/>
          <w:szCs w:val="20"/>
          <w:lang w:val="en-US" w:eastAsia="zh-CN"/>
        </w:rPr>
        <w:t>8</w:t>
      </w:r>
      <w:r>
        <w:rPr>
          <w:rFonts w:hint="default" w:ascii="Times New Roman" w:hAnsi="Times New Roman" w:eastAsia="仿宋" w:cs="Times New Roman"/>
          <w:szCs w:val="20"/>
        </w:rPr>
        <w:t>-</w:t>
      </w:r>
      <w:r>
        <w:rPr>
          <w:rFonts w:ascii="Times New Roman" w:hAnsi="Times New Roman" w:eastAsia="仿宋" w:cs="Times New Roman"/>
          <w:szCs w:val="20"/>
        </w:rPr>
        <w:t>1</w:t>
      </w:r>
      <w:r>
        <w:rPr>
          <w:rFonts w:hint="eastAsia" w:hAnsi="Cambria Math" w:eastAsia="仿宋" w:cs="仿宋"/>
          <w:szCs w:val="20"/>
        </w:rPr>
        <w:t>)</w:t>
      </w:r>
    </w:p>
    <w:p w14:paraId="4447F09C">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式中： </w:t>
      </w:r>
      <w:r>
        <w:rPr>
          <w:rFonts w:hint="default" w:ascii="Times New Roman" w:hAnsi="Times New Roman" w:eastAsia="宋体" w:cs="Times New Roman"/>
          <w:sz w:val="24"/>
          <w:szCs w:val="24"/>
        </w:rPr>
        <w:t>q</w:t>
      </w:r>
      <w:r>
        <w:rPr>
          <w:rFonts w:hint="default" w:ascii="Times New Roman" w:hAnsi="Times New Roman" w:eastAsia="宋体" w:cs="Times New Roman"/>
          <w:sz w:val="24"/>
          <w:szCs w:val="24"/>
          <w:vertAlign w:val="subscript"/>
        </w:rPr>
        <w:t>1a</w:t>
      </w:r>
      <w:r>
        <w:rPr>
          <w:rFonts w:hint="eastAsia" w:ascii="宋体" w:hAnsi="宋体" w:eastAsia="宋体" w:cs="宋体"/>
          <w:sz w:val="24"/>
          <w:szCs w:val="24"/>
        </w:rPr>
        <w:t>——非砌筑围护墙的应用比例；</w:t>
      </w:r>
    </w:p>
    <w:p w14:paraId="6E4F64CE">
      <w:pPr>
        <w:spacing w:line="360" w:lineRule="auto"/>
        <w:ind w:firstLine="960" w:firstLineChars="400"/>
        <w:rPr>
          <w:rFonts w:hint="eastAsia" w:ascii="宋体" w:hAnsi="宋体" w:eastAsia="宋体" w:cs="宋体"/>
          <w:sz w:val="24"/>
          <w:szCs w:val="24"/>
        </w:rPr>
      </w:pPr>
      <w:r>
        <w:rPr>
          <w:rFonts w:hint="default" w:ascii="Times New Roman" w:hAnsi="Times New Roman" w:eastAsia="宋体" w:cs="Times New Roman"/>
          <w:sz w:val="24"/>
          <w:szCs w:val="24"/>
        </w:rPr>
        <w:t>A</w:t>
      </w:r>
      <w:r>
        <w:rPr>
          <w:rFonts w:hint="default" w:ascii="Times New Roman" w:hAnsi="Times New Roman" w:eastAsia="宋体" w:cs="Times New Roman"/>
          <w:sz w:val="24"/>
          <w:szCs w:val="24"/>
          <w:vertAlign w:val="subscript"/>
        </w:rPr>
        <w:t>1a</w:t>
      </w:r>
      <w:r>
        <w:rPr>
          <w:rFonts w:hint="eastAsia" w:ascii="宋体" w:hAnsi="宋体" w:eastAsia="宋体" w:cs="宋体"/>
          <w:sz w:val="24"/>
          <w:szCs w:val="24"/>
        </w:rPr>
        <w:t>——各楼层非砌筑围护墙的外表面积之和，计算时可不扣除门、窗</w:t>
      </w:r>
      <w:r>
        <w:rPr>
          <w:rFonts w:hint="eastAsia" w:ascii="宋体" w:hAnsi="宋体" w:eastAsia="宋体" w:cs="宋体"/>
          <w:sz w:val="24"/>
          <w:szCs w:val="24"/>
        </w:rPr>
        <w:tab/>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及预留洞口等的面积；</w:t>
      </w:r>
    </w:p>
    <w:p w14:paraId="7C77B76F">
      <w:pPr>
        <w:spacing w:line="360" w:lineRule="auto"/>
        <w:ind w:firstLine="960" w:firstLineChars="400"/>
        <w:rPr>
          <w:rFonts w:hint="eastAsia" w:ascii="宋体" w:hAnsi="宋体" w:eastAsia="宋体" w:cs="宋体"/>
          <w:sz w:val="24"/>
          <w:szCs w:val="24"/>
        </w:rPr>
      </w:pPr>
      <w:r>
        <w:rPr>
          <w:rFonts w:hint="default" w:ascii="Times New Roman" w:hAnsi="Times New Roman" w:eastAsia="宋体" w:cs="Times New Roman"/>
          <w:sz w:val="24"/>
          <w:szCs w:val="24"/>
        </w:rPr>
        <w:t>A</w:t>
      </w:r>
      <w:r>
        <w:rPr>
          <w:rFonts w:hint="default" w:ascii="Times New Roman" w:hAnsi="Times New Roman" w:eastAsia="宋体" w:cs="Times New Roman"/>
          <w:sz w:val="24"/>
          <w:szCs w:val="24"/>
          <w:vertAlign w:val="subscript"/>
        </w:rPr>
        <w:t>w1</w:t>
      </w:r>
      <w:r>
        <w:rPr>
          <w:rFonts w:hint="eastAsia" w:ascii="宋体" w:hAnsi="宋体" w:eastAsia="宋体" w:cs="宋体"/>
          <w:sz w:val="24"/>
          <w:szCs w:val="24"/>
        </w:rPr>
        <w:t>——各楼层围护墙外表面总面积，计算时可不扣除门、窗及预留洞</w:t>
      </w:r>
      <w:r>
        <w:rPr>
          <w:rFonts w:hint="eastAsia" w:ascii="宋体" w:hAnsi="宋体" w:eastAsia="宋体" w:cs="宋体"/>
          <w:sz w:val="24"/>
          <w:szCs w:val="24"/>
        </w:rPr>
        <w:tab/>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口等的面积。</w:t>
      </w:r>
    </w:p>
    <w:p w14:paraId="56C15E26">
      <w:pPr>
        <w:spacing w:line="360" w:lineRule="auto"/>
        <w:ind w:firstLine="480" w:firstLineChars="200"/>
        <w:rPr>
          <w:rFonts w:hint="eastAsia" w:ascii="宋体" w:hAnsi="宋体" w:eastAsia="宋体" w:cs="宋体"/>
          <w:sz w:val="24"/>
          <w:szCs w:val="24"/>
        </w:rPr>
      </w:pPr>
      <w:r>
        <w:rPr>
          <w:rFonts w:hint="default" w:ascii="Times New Roman" w:hAnsi="Times New Roman" w:eastAsia="宋体" w:cs="Times New Roman"/>
          <w:sz w:val="24"/>
          <w:szCs w:val="24"/>
        </w:rPr>
        <w:t>2)</w:t>
      </w:r>
      <w:r>
        <w:rPr>
          <w:rFonts w:hint="eastAsia" w:ascii="宋体" w:hAnsi="宋体" w:eastAsia="宋体" w:cs="宋体"/>
          <w:sz w:val="24"/>
          <w:szCs w:val="24"/>
        </w:rPr>
        <w:t xml:space="preserve"> 围护墙内表面采用装修一体化的应用比例应按下式计算：</w:t>
      </w:r>
    </w:p>
    <w:p w14:paraId="701F9823">
      <w:pPr>
        <w:tabs>
          <w:tab w:val="center" w:pos="4200"/>
          <w:tab w:val="right" w:pos="8200"/>
        </w:tabs>
        <w:jc w:val="center"/>
        <w:rPr>
          <w:rFonts w:hint="eastAsia" w:ascii="Cambria Math" w:hAnsi="Cambria Math" w:cs="宋体" w:eastAsiaTheme="minorEastAsia"/>
          <w:sz w:val="24"/>
          <w:szCs w:val="24"/>
        </w:rPr>
      </w:pPr>
      <w:r>
        <w:rPr>
          <w:rFonts w:hint="eastAsia" w:hAnsi="Cambria Math" w:cs="宋体" w:eastAsiaTheme="minorEastAsia"/>
          <w:sz w:val="24"/>
          <w:szCs w:val="24"/>
        </w:rPr>
        <w:tab/>
      </w:r>
      <m:oMath>
        <m:sSub>
          <m:sSubPr>
            <m:ctrlPr>
              <w:rPr>
                <w:rFonts w:hint="eastAsia" w:ascii="Cambria Math" w:hAnsi="Cambria Math" w:eastAsia="仿宋" w:cs="仿宋"/>
                <w:szCs w:val="20"/>
              </w:rPr>
            </m:ctrlPr>
          </m:sSubPr>
          <m:e>
            <m:r>
              <m:rPr>
                <m:sty m:val="p"/>
              </m:rPr>
              <w:rPr>
                <w:rFonts w:hint="eastAsia" w:ascii="Cambria Math" w:hAnsi="Cambria Math" w:eastAsia="仿宋" w:cs="仿宋"/>
                <w:szCs w:val="20"/>
              </w:rPr>
              <m:t>q</m:t>
            </m:r>
            <m:ctrlPr>
              <w:rPr>
                <w:rFonts w:hint="eastAsia" w:ascii="Cambria Math" w:hAnsi="Cambria Math" w:eastAsia="仿宋" w:cs="仿宋"/>
                <w:szCs w:val="20"/>
              </w:rPr>
            </m:ctrlPr>
          </m:e>
          <m:sub>
            <m:r>
              <m:rPr>
                <m:sty m:val="p"/>
              </m:rPr>
              <w:rPr>
                <w:rFonts w:hint="eastAsia" w:ascii="Cambria Math" w:hAnsi="Cambria Math" w:eastAsia="仿宋" w:cs="仿宋"/>
                <w:szCs w:val="20"/>
              </w:rPr>
              <m:t>1b</m:t>
            </m:r>
            <m:ctrlPr>
              <w:rPr>
                <w:rFonts w:hint="eastAsia" w:ascii="Cambria Math" w:hAnsi="Cambria Math" w:eastAsia="仿宋" w:cs="仿宋"/>
                <w:szCs w:val="20"/>
              </w:rPr>
            </m:ctrlPr>
          </m:sub>
        </m:sSub>
        <m:r>
          <m:rPr>
            <m:sty m:val="p"/>
          </m:rPr>
          <w:rPr>
            <w:rFonts w:hint="eastAsia" w:ascii="Cambria Math" w:hAnsi="Cambria Math" w:eastAsia="仿宋" w:cs="仿宋"/>
            <w:szCs w:val="20"/>
          </w:rPr>
          <m:t>=</m:t>
        </m:r>
        <m:f>
          <m:fPr>
            <m:ctrlPr>
              <w:rPr>
                <w:rFonts w:hint="eastAsia" w:ascii="Cambria Math" w:hAnsi="Cambria Math" w:eastAsia="仿宋" w:cs="仿宋"/>
                <w:szCs w:val="20"/>
              </w:rPr>
            </m:ctrlPr>
          </m:fPr>
          <m:num>
            <m:sSub>
              <m:sSubPr>
                <m:ctrlPr>
                  <w:rPr>
                    <w:rFonts w:hint="eastAsia" w:ascii="Cambria Math" w:hAnsi="Cambria Math" w:eastAsia="仿宋" w:cs="仿宋"/>
                    <w:szCs w:val="20"/>
                  </w:rPr>
                </m:ctrlPr>
              </m:sSubPr>
              <m:e>
                <m:r>
                  <m:rPr>
                    <m:sty m:val="p"/>
                  </m:rPr>
                  <w:rPr>
                    <w:rFonts w:hint="eastAsia" w:ascii="Cambria Math" w:hAnsi="Cambria Math" w:eastAsia="仿宋" w:cs="仿宋"/>
                    <w:szCs w:val="20"/>
                  </w:rPr>
                  <m:t>A</m:t>
                </m:r>
                <m:ctrlPr>
                  <w:rPr>
                    <w:rFonts w:hint="eastAsia" w:ascii="Cambria Math" w:hAnsi="Cambria Math" w:eastAsia="仿宋" w:cs="仿宋"/>
                    <w:szCs w:val="20"/>
                  </w:rPr>
                </m:ctrlPr>
              </m:e>
              <m:sub>
                <m:r>
                  <m:rPr>
                    <m:sty m:val="p"/>
                  </m:rPr>
                  <w:rPr>
                    <w:rFonts w:hint="eastAsia" w:ascii="Cambria Math" w:hAnsi="Cambria Math" w:eastAsia="仿宋" w:cs="仿宋"/>
                    <w:szCs w:val="20"/>
                  </w:rPr>
                  <m:t>1b</m:t>
                </m:r>
                <m:ctrlPr>
                  <w:rPr>
                    <w:rFonts w:hint="eastAsia" w:ascii="Cambria Math" w:hAnsi="Cambria Math" w:eastAsia="仿宋" w:cs="仿宋"/>
                    <w:szCs w:val="20"/>
                  </w:rPr>
                </m:ctrlPr>
              </m:sub>
            </m:sSub>
            <m:ctrlPr>
              <w:rPr>
                <w:rFonts w:hint="eastAsia" w:ascii="Cambria Math" w:hAnsi="Cambria Math" w:eastAsia="仿宋" w:cs="仿宋"/>
                <w:szCs w:val="20"/>
              </w:rPr>
            </m:ctrlPr>
          </m:num>
          <m:den>
            <m:sSub>
              <m:sSubPr>
                <m:ctrlPr>
                  <w:rPr>
                    <w:rFonts w:hint="eastAsia" w:ascii="Cambria Math" w:hAnsi="Cambria Math" w:eastAsia="仿宋" w:cs="仿宋"/>
                    <w:szCs w:val="20"/>
                  </w:rPr>
                </m:ctrlPr>
              </m:sSubPr>
              <m:e>
                <m:r>
                  <m:rPr>
                    <m:sty m:val="p"/>
                  </m:rPr>
                  <w:rPr>
                    <w:rFonts w:hint="eastAsia" w:ascii="Cambria Math" w:hAnsi="Cambria Math" w:eastAsia="仿宋" w:cs="仿宋"/>
                    <w:szCs w:val="20"/>
                  </w:rPr>
                  <m:t>A</m:t>
                </m:r>
                <m:ctrlPr>
                  <w:rPr>
                    <w:rFonts w:hint="eastAsia" w:ascii="Cambria Math" w:hAnsi="Cambria Math" w:eastAsia="仿宋" w:cs="仿宋"/>
                    <w:szCs w:val="20"/>
                  </w:rPr>
                </m:ctrlPr>
              </m:e>
              <m:sub>
                <m:r>
                  <m:rPr>
                    <m:sty m:val="p"/>
                  </m:rPr>
                  <w:rPr>
                    <w:rFonts w:hint="eastAsia" w:ascii="Cambria Math" w:hAnsi="Cambria Math" w:eastAsia="仿宋" w:cs="仿宋"/>
                    <w:szCs w:val="20"/>
                  </w:rPr>
                  <m:t>w2</m:t>
                </m:r>
                <m:ctrlPr>
                  <w:rPr>
                    <w:rFonts w:hint="eastAsia" w:ascii="Cambria Math" w:hAnsi="Cambria Math" w:eastAsia="仿宋" w:cs="仿宋"/>
                    <w:szCs w:val="20"/>
                  </w:rPr>
                </m:ctrlPr>
              </m:sub>
            </m:sSub>
            <m:ctrlPr>
              <w:rPr>
                <w:rFonts w:hint="eastAsia" w:ascii="Cambria Math" w:hAnsi="Cambria Math" w:eastAsia="仿宋" w:cs="仿宋"/>
                <w:szCs w:val="20"/>
              </w:rPr>
            </m:ctrlPr>
          </m:den>
        </m:f>
        <m:r>
          <m:rPr>
            <m:sty m:val="p"/>
          </m:rPr>
          <w:rPr>
            <w:rFonts w:hint="eastAsia" w:ascii="Cambria Math" w:hAnsi="Cambria Math" w:eastAsia="仿宋" w:cs="仿宋"/>
            <w:szCs w:val="20"/>
          </w:rPr>
          <m:t>×100%</m:t>
        </m:r>
      </m:oMath>
      <w:r>
        <w:rPr>
          <w:rFonts w:ascii="Cambria Math" w:hAnsi="Cambria Math" w:cs="宋体" w:eastAsiaTheme="minorEastAsia"/>
          <w:sz w:val="24"/>
          <w:szCs w:val="24"/>
        </w:rPr>
        <w:t xml:space="preserve">   </w:t>
      </w:r>
      <w:r>
        <w:rPr>
          <w:rFonts w:hint="eastAsia" w:ascii="Cambria Math" w:hAnsi="Cambria Math" w:cs="宋体" w:eastAsiaTheme="minorEastAsia"/>
          <w:sz w:val="24"/>
          <w:szCs w:val="24"/>
        </w:rPr>
        <w:tab/>
      </w:r>
      <w:r>
        <w:rPr>
          <w:rFonts w:hint="eastAsia" w:hAnsi="Cambria Math" w:eastAsia="仿宋" w:cs="仿宋"/>
          <w:szCs w:val="20"/>
        </w:rPr>
        <w:t>(</w:t>
      </w:r>
      <w:r>
        <w:rPr>
          <w:rFonts w:hint="default" w:ascii="Times New Roman" w:hAnsi="Times New Roman" w:eastAsia="仿宋" w:cs="Times New Roman"/>
          <w:szCs w:val="20"/>
        </w:rPr>
        <w:t>5.2.</w:t>
      </w:r>
      <w:r>
        <w:rPr>
          <w:rFonts w:hint="default" w:ascii="Times New Roman" w:hAnsi="Times New Roman" w:eastAsia="仿宋" w:cs="Times New Roman"/>
          <w:szCs w:val="20"/>
          <w:lang w:val="en-US" w:eastAsia="zh-CN"/>
        </w:rPr>
        <w:t>8</w:t>
      </w:r>
      <w:r>
        <w:rPr>
          <w:rFonts w:hint="default" w:ascii="Times New Roman" w:hAnsi="Times New Roman" w:eastAsia="仿宋" w:cs="Times New Roman"/>
          <w:szCs w:val="20"/>
        </w:rPr>
        <w:t>-2</w:t>
      </w:r>
      <w:r>
        <w:rPr>
          <w:rFonts w:hint="default" w:hAnsi="Times New Roman" w:eastAsia="仿宋" w:cs="Times New Roman"/>
          <w:szCs w:val="20"/>
        </w:rPr>
        <w:t>)</w:t>
      </w:r>
    </w:p>
    <w:p w14:paraId="0049805F">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式中： </w:t>
      </w:r>
      <w:r>
        <w:rPr>
          <w:rFonts w:hint="default" w:ascii="Times New Roman" w:hAnsi="Times New Roman" w:eastAsia="宋体" w:cs="Times New Roman"/>
          <w:sz w:val="24"/>
          <w:szCs w:val="24"/>
        </w:rPr>
        <w:t>q</w:t>
      </w:r>
      <w:r>
        <w:rPr>
          <w:rFonts w:hint="default" w:ascii="Times New Roman" w:hAnsi="Times New Roman" w:eastAsia="宋体" w:cs="Times New Roman"/>
          <w:sz w:val="24"/>
          <w:szCs w:val="24"/>
          <w:vertAlign w:val="subscript"/>
        </w:rPr>
        <w:t>1b</w:t>
      </w:r>
      <w:r>
        <w:rPr>
          <w:rFonts w:hint="eastAsia" w:ascii="宋体" w:hAnsi="宋体" w:eastAsia="宋体" w:cs="宋体"/>
          <w:sz w:val="24"/>
          <w:szCs w:val="24"/>
        </w:rPr>
        <w:t>——围护墙内表面采用装修一体化的应用比例；</w:t>
      </w:r>
    </w:p>
    <w:p w14:paraId="3297C3B7">
      <w:pPr>
        <w:spacing w:line="360" w:lineRule="auto"/>
        <w:ind w:firstLine="960" w:firstLineChars="400"/>
        <w:rPr>
          <w:rFonts w:hint="eastAsia" w:ascii="宋体" w:hAnsi="宋体" w:eastAsia="宋体" w:cs="宋体"/>
          <w:sz w:val="24"/>
          <w:szCs w:val="24"/>
        </w:rPr>
      </w:pPr>
      <w:r>
        <w:rPr>
          <w:rFonts w:hint="default" w:ascii="Times New Roman" w:hAnsi="Times New Roman" w:eastAsia="宋体" w:cs="Times New Roman"/>
          <w:sz w:val="24"/>
          <w:szCs w:val="24"/>
        </w:rPr>
        <w:t>A</w:t>
      </w:r>
      <w:r>
        <w:rPr>
          <w:rFonts w:hint="default" w:ascii="Times New Roman" w:hAnsi="Times New Roman" w:eastAsia="宋体" w:cs="Times New Roman"/>
          <w:sz w:val="24"/>
          <w:szCs w:val="24"/>
          <w:vertAlign w:val="subscript"/>
        </w:rPr>
        <w:t>1b</w:t>
      </w:r>
      <w:r>
        <w:rPr>
          <w:rFonts w:hint="eastAsia" w:ascii="宋体" w:hAnsi="宋体" w:eastAsia="宋体" w:cs="宋体"/>
          <w:sz w:val="24"/>
          <w:szCs w:val="24"/>
        </w:rPr>
        <w:t>——各楼层围护墙内表面采用装修一体化的墙面面积之和，计算时</w:t>
      </w:r>
      <w:r>
        <w:rPr>
          <w:rFonts w:hint="eastAsia" w:ascii="宋体" w:hAnsi="宋体" w:eastAsia="宋体" w:cs="宋体"/>
          <w:sz w:val="24"/>
          <w:szCs w:val="24"/>
        </w:rPr>
        <w:tab/>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可不扣除门、窗及预留洞口等的面积；</w:t>
      </w:r>
    </w:p>
    <w:p w14:paraId="7C8BBB60">
      <w:pPr>
        <w:spacing w:line="360" w:lineRule="auto"/>
        <w:ind w:firstLine="960" w:firstLineChars="400"/>
        <w:rPr>
          <w:rFonts w:hint="eastAsia" w:ascii="宋体" w:hAnsi="宋体" w:eastAsia="宋体" w:cs="宋体"/>
          <w:sz w:val="24"/>
          <w:szCs w:val="24"/>
        </w:rPr>
      </w:pPr>
      <w:r>
        <w:rPr>
          <w:rFonts w:hint="default" w:ascii="Times New Roman" w:hAnsi="Times New Roman" w:eastAsia="宋体" w:cs="Times New Roman"/>
          <w:sz w:val="24"/>
          <w:szCs w:val="24"/>
        </w:rPr>
        <w:t>A</w:t>
      </w:r>
      <w:r>
        <w:rPr>
          <w:rFonts w:hint="default" w:ascii="Times New Roman" w:hAnsi="Times New Roman" w:eastAsia="宋体" w:cs="Times New Roman"/>
          <w:sz w:val="24"/>
          <w:szCs w:val="24"/>
          <w:vertAlign w:val="subscript"/>
        </w:rPr>
        <w:t>w2</w:t>
      </w:r>
      <w:r>
        <w:rPr>
          <w:rFonts w:hint="eastAsia" w:ascii="宋体" w:hAnsi="宋体" w:eastAsia="宋体" w:cs="宋体"/>
          <w:sz w:val="24"/>
          <w:szCs w:val="24"/>
        </w:rPr>
        <w:t>——各楼层围护墙内表面总面积，计算时可不扣除门、窗及预留洞</w:t>
      </w:r>
      <w:r>
        <w:rPr>
          <w:rFonts w:hint="eastAsia" w:ascii="宋体" w:hAnsi="宋体" w:eastAsia="宋体" w:cs="宋体"/>
          <w:sz w:val="24"/>
          <w:szCs w:val="24"/>
        </w:rPr>
        <w:tab/>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口等的面积。</w:t>
      </w:r>
    </w:p>
    <w:p w14:paraId="3069B3C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2</w:t>
      </w:r>
      <w:r>
        <w:rPr>
          <w:rFonts w:hint="eastAsia" w:ascii="宋体" w:hAnsi="宋体" w:eastAsia="宋体" w:cs="宋体"/>
          <w:sz w:val="24"/>
          <w:szCs w:val="24"/>
        </w:rPr>
        <w:t>款，非砌筑内隔墙体内部骨架可采用龙骨类或条板类支撑体系，应满足工厂生产、现场安装、以“干法”施工为主的要求。</w:t>
      </w:r>
    </w:p>
    <w:p w14:paraId="5A1E8780">
      <w:pPr>
        <w:numPr>
          <w:ilvl w:val="255"/>
          <w:numId w:val="0"/>
        </w:numPr>
        <w:spacing w:line="360" w:lineRule="auto"/>
        <w:ind w:firstLine="480" w:firstLineChars="200"/>
        <w:rPr>
          <w:rFonts w:hint="eastAsia" w:ascii="宋体" w:hAnsi="宋体" w:eastAsia="宋体" w:cs="宋体"/>
          <w:sz w:val="24"/>
          <w:szCs w:val="24"/>
        </w:rPr>
      </w:pPr>
      <w:r>
        <w:rPr>
          <w:rFonts w:hint="default" w:ascii="Times New Roman" w:hAnsi="Times New Roman" w:eastAsia="宋体" w:cs="Times New Roman"/>
          <w:sz w:val="24"/>
          <w:szCs w:val="24"/>
        </w:rPr>
        <w:t>1)</w:t>
      </w:r>
      <w:r>
        <w:rPr>
          <w:rFonts w:hint="eastAsia" w:ascii="宋体" w:hAnsi="宋体" w:eastAsia="宋体" w:cs="宋体"/>
          <w:sz w:val="24"/>
          <w:szCs w:val="24"/>
        </w:rPr>
        <w:t xml:space="preserve"> 非砌筑内隔墙的应用比例应按下式计算：</w:t>
      </w:r>
    </w:p>
    <w:p w14:paraId="18A48BD2">
      <w:pPr>
        <w:tabs>
          <w:tab w:val="center" w:pos="4200"/>
          <w:tab w:val="right" w:pos="8200"/>
        </w:tabs>
        <w:jc w:val="center"/>
        <w:rPr>
          <w:rFonts w:hint="eastAsia" w:ascii="Cambria Math" w:hAnsi="Cambria Math" w:cs="宋体" w:eastAsiaTheme="minorEastAsia"/>
          <w:sz w:val="24"/>
          <w:szCs w:val="24"/>
        </w:rPr>
      </w:pPr>
      <w:r>
        <w:rPr>
          <w:rFonts w:hint="eastAsia" w:hAnsi="Cambria Math" w:cs="宋体" w:eastAsiaTheme="minorEastAsia"/>
          <w:sz w:val="24"/>
          <w:szCs w:val="24"/>
        </w:rPr>
        <w:tab/>
      </w:r>
      <m:oMath>
        <m:sSub>
          <m:sSubPr>
            <m:ctrlPr>
              <w:rPr>
                <w:rFonts w:hint="eastAsia" w:ascii="Cambria Math" w:hAnsi="Cambria Math" w:eastAsia="仿宋" w:cs="仿宋"/>
                <w:szCs w:val="20"/>
              </w:rPr>
            </m:ctrlPr>
          </m:sSubPr>
          <m:e>
            <m:r>
              <m:rPr>
                <m:sty m:val="p"/>
              </m:rPr>
              <w:rPr>
                <w:rFonts w:hint="eastAsia" w:ascii="Cambria Math" w:hAnsi="Cambria Math" w:eastAsia="仿宋" w:cs="仿宋"/>
                <w:szCs w:val="20"/>
              </w:rPr>
              <m:t>q</m:t>
            </m:r>
            <m:ctrlPr>
              <w:rPr>
                <w:rFonts w:hint="eastAsia" w:ascii="Cambria Math" w:hAnsi="Cambria Math" w:eastAsia="仿宋" w:cs="仿宋"/>
                <w:szCs w:val="20"/>
              </w:rPr>
            </m:ctrlPr>
          </m:e>
          <m:sub>
            <m:r>
              <m:rPr>
                <m:sty m:val="p"/>
              </m:rPr>
              <w:rPr>
                <w:rFonts w:hint="eastAsia" w:ascii="Cambria Math" w:hAnsi="Cambria Math" w:eastAsia="仿宋" w:cs="仿宋"/>
                <w:szCs w:val="20"/>
              </w:rPr>
              <m:t>1c</m:t>
            </m:r>
            <m:ctrlPr>
              <w:rPr>
                <w:rFonts w:hint="eastAsia" w:ascii="Cambria Math" w:hAnsi="Cambria Math" w:eastAsia="仿宋" w:cs="仿宋"/>
                <w:szCs w:val="20"/>
              </w:rPr>
            </m:ctrlPr>
          </m:sub>
        </m:sSub>
        <m:r>
          <m:rPr>
            <m:sty m:val="p"/>
          </m:rPr>
          <w:rPr>
            <w:rFonts w:hint="eastAsia" w:ascii="Cambria Math" w:hAnsi="Cambria Math" w:eastAsia="仿宋" w:cs="仿宋"/>
            <w:szCs w:val="20"/>
          </w:rPr>
          <m:t>=</m:t>
        </m:r>
        <m:f>
          <m:fPr>
            <m:ctrlPr>
              <w:rPr>
                <w:rFonts w:hint="eastAsia" w:ascii="Cambria Math" w:hAnsi="Cambria Math" w:eastAsia="仿宋" w:cs="仿宋"/>
                <w:szCs w:val="20"/>
              </w:rPr>
            </m:ctrlPr>
          </m:fPr>
          <m:num>
            <m:sSub>
              <m:sSubPr>
                <m:ctrlPr>
                  <w:rPr>
                    <w:rFonts w:hint="eastAsia" w:ascii="Cambria Math" w:hAnsi="Cambria Math" w:eastAsia="仿宋" w:cs="仿宋"/>
                    <w:szCs w:val="20"/>
                  </w:rPr>
                </m:ctrlPr>
              </m:sSubPr>
              <m:e>
                <m:r>
                  <m:rPr>
                    <m:sty m:val="p"/>
                  </m:rPr>
                  <w:rPr>
                    <w:rFonts w:hint="eastAsia" w:ascii="Cambria Math" w:hAnsi="Cambria Math" w:eastAsia="仿宋" w:cs="仿宋"/>
                    <w:szCs w:val="20"/>
                  </w:rPr>
                  <m:t>A</m:t>
                </m:r>
                <m:ctrlPr>
                  <w:rPr>
                    <w:rFonts w:hint="eastAsia" w:ascii="Cambria Math" w:hAnsi="Cambria Math" w:eastAsia="仿宋" w:cs="仿宋"/>
                    <w:szCs w:val="20"/>
                  </w:rPr>
                </m:ctrlPr>
              </m:e>
              <m:sub>
                <m:r>
                  <m:rPr>
                    <m:sty m:val="p"/>
                  </m:rPr>
                  <w:rPr>
                    <w:rFonts w:hint="eastAsia" w:ascii="Cambria Math" w:hAnsi="Cambria Math" w:eastAsia="仿宋" w:cs="仿宋"/>
                    <w:szCs w:val="20"/>
                  </w:rPr>
                  <m:t>1c</m:t>
                </m:r>
                <m:ctrlPr>
                  <w:rPr>
                    <w:rFonts w:hint="eastAsia" w:ascii="Cambria Math" w:hAnsi="Cambria Math" w:eastAsia="仿宋" w:cs="仿宋"/>
                    <w:szCs w:val="20"/>
                  </w:rPr>
                </m:ctrlPr>
              </m:sub>
            </m:sSub>
            <m:ctrlPr>
              <w:rPr>
                <w:rFonts w:hint="eastAsia" w:ascii="Cambria Math" w:hAnsi="Cambria Math" w:eastAsia="仿宋" w:cs="仿宋"/>
                <w:szCs w:val="20"/>
              </w:rPr>
            </m:ctrlPr>
          </m:num>
          <m:den>
            <m:sSub>
              <m:sSubPr>
                <m:ctrlPr>
                  <w:rPr>
                    <w:rFonts w:hint="eastAsia" w:ascii="Cambria Math" w:hAnsi="Cambria Math" w:eastAsia="仿宋" w:cs="仿宋"/>
                    <w:szCs w:val="20"/>
                  </w:rPr>
                </m:ctrlPr>
              </m:sSubPr>
              <m:e>
                <m:r>
                  <m:rPr>
                    <m:sty m:val="p"/>
                  </m:rPr>
                  <w:rPr>
                    <w:rFonts w:hint="eastAsia" w:ascii="Cambria Math" w:hAnsi="Cambria Math" w:eastAsia="仿宋" w:cs="仿宋"/>
                    <w:szCs w:val="20"/>
                  </w:rPr>
                  <m:t>A</m:t>
                </m:r>
                <m:ctrlPr>
                  <w:rPr>
                    <w:rFonts w:hint="eastAsia" w:ascii="Cambria Math" w:hAnsi="Cambria Math" w:eastAsia="仿宋" w:cs="仿宋"/>
                    <w:szCs w:val="20"/>
                  </w:rPr>
                </m:ctrlPr>
              </m:e>
              <m:sub>
                <m:r>
                  <m:rPr>
                    <m:sty m:val="p"/>
                  </m:rPr>
                  <w:rPr>
                    <w:rFonts w:hint="eastAsia" w:ascii="Cambria Math" w:hAnsi="Cambria Math" w:eastAsia="仿宋" w:cs="仿宋"/>
                    <w:szCs w:val="20"/>
                  </w:rPr>
                  <m:t>w3</m:t>
                </m:r>
                <m:ctrlPr>
                  <w:rPr>
                    <w:rFonts w:hint="eastAsia" w:ascii="Cambria Math" w:hAnsi="Cambria Math" w:eastAsia="仿宋" w:cs="仿宋"/>
                    <w:szCs w:val="20"/>
                  </w:rPr>
                </m:ctrlPr>
              </m:sub>
            </m:sSub>
            <m:ctrlPr>
              <w:rPr>
                <w:rFonts w:hint="eastAsia" w:ascii="Cambria Math" w:hAnsi="Cambria Math" w:eastAsia="仿宋" w:cs="仿宋"/>
                <w:szCs w:val="20"/>
              </w:rPr>
            </m:ctrlPr>
          </m:den>
        </m:f>
        <m:r>
          <m:rPr>
            <m:sty m:val="p"/>
          </m:rPr>
          <w:rPr>
            <w:rFonts w:hint="eastAsia" w:ascii="Cambria Math" w:hAnsi="Cambria Math" w:eastAsia="仿宋" w:cs="仿宋"/>
            <w:szCs w:val="20"/>
          </w:rPr>
          <m:t>×100%</m:t>
        </m:r>
      </m:oMath>
      <w:r>
        <w:rPr>
          <w:rFonts w:ascii="Cambria Math" w:hAnsi="Cambria Math" w:cs="宋体" w:eastAsiaTheme="minorEastAsia"/>
          <w:sz w:val="24"/>
          <w:szCs w:val="24"/>
        </w:rPr>
        <w:t xml:space="preserve">   </w:t>
      </w:r>
      <w:r>
        <w:rPr>
          <w:rFonts w:hint="eastAsia" w:ascii="Cambria Math" w:hAnsi="Cambria Math" w:cs="宋体" w:eastAsiaTheme="minorEastAsia"/>
          <w:sz w:val="24"/>
          <w:szCs w:val="24"/>
        </w:rPr>
        <w:tab/>
      </w:r>
      <w:r>
        <w:rPr>
          <w:rFonts w:hint="eastAsia" w:hAnsi="Cambria Math" w:eastAsia="仿宋" w:cs="仿宋"/>
          <w:szCs w:val="20"/>
        </w:rPr>
        <w:t>(</w:t>
      </w:r>
      <w:r>
        <w:rPr>
          <w:rFonts w:hint="default" w:ascii="Times New Roman" w:hAnsi="Times New Roman" w:eastAsia="仿宋" w:cs="Times New Roman"/>
          <w:szCs w:val="20"/>
        </w:rPr>
        <w:t>5.2.</w:t>
      </w:r>
      <w:r>
        <w:rPr>
          <w:rFonts w:hint="default" w:ascii="Times New Roman" w:hAnsi="Times New Roman" w:eastAsia="仿宋" w:cs="Times New Roman"/>
          <w:szCs w:val="20"/>
          <w:lang w:val="en-US" w:eastAsia="zh-CN"/>
        </w:rPr>
        <w:t>8</w:t>
      </w:r>
      <w:r>
        <w:rPr>
          <w:rFonts w:hint="default" w:ascii="Times New Roman" w:hAnsi="Times New Roman" w:eastAsia="仿宋" w:cs="Times New Roman"/>
          <w:szCs w:val="20"/>
        </w:rPr>
        <w:t>-3</w:t>
      </w:r>
      <w:r>
        <w:rPr>
          <w:rFonts w:hint="default" w:hAnsi="Times New Roman" w:eastAsia="仿宋" w:cs="Times New Roman"/>
          <w:szCs w:val="20"/>
        </w:rPr>
        <w:t>)</w:t>
      </w:r>
    </w:p>
    <w:p w14:paraId="6B0F755E">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式中： </w:t>
      </w:r>
      <w:r>
        <w:rPr>
          <w:rFonts w:hint="default" w:ascii="Times New Roman" w:hAnsi="Times New Roman" w:eastAsia="宋体" w:cs="Times New Roman"/>
          <w:sz w:val="24"/>
          <w:szCs w:val="24"/>
        </w:rPr>
        <w:t>q</w:t>
      </w:r>
      <w:r>
        <w:rPr>
          <w:rFonts w:hint="default" w:ascii="Times New Roman" w:hAnsi="Times New Roman" w:eastAsia="宋体" w:cs="Times New Roman"/>
          <w:sz w:val="24"/>
          <w:szCs w:val="24"/>
          <w:vertAlign w:val="subscript"/>
        </w:rPr>
        <w:t>1c</w:t>
      </w:r>
      <w:r>
        <w:rPr>
          <w:rFonts w:hint="eastAsia" w:ascii="宋体" w:hAnsi="宋体" w:eastAsia="宋体" w:cs="宋体"/>
          <w:sz w:val="24"/>
          <w:szCs w:val="24"/>
        </w:rPr>
        <w:t>——非砌筑内隔墙体的应用比例；</w:t>
      </w:r>
    </w:p>
    <w:p w14:paraId="2E176B24">
      <w:pPr>
        <w:spacing w:line="360" w:lineRule="auto"/>
        <w:ind w:firstLine="960" w:firstLineChars="400"/>
        <w:rPr>
          <w:rFonts w:hint="eastAsia" w:ascii="宋体" w:hAnsi="宋体" w:eastAsia="宋体" w:cs="宋体"/>
          <w:sz w:val="24"/>
          <w:szCs w:val="24"/>
        </w:rPr>
      </w:pPr>
      <w:r>
        <w:rPr>
          <w:rFonts w:hint="default" w:ascii="Times New Roman" w:hAnsi="Times New Roman" w:eastAsia="宋体" w:cs="Times New Roman"/>
          <w:sz w:val="24"/>
          <w:szCs w:val="24"/>
        </w:rPr>
        <w:t>A</w:t>
      </w:r>
      <w:r>
        <w:rPr>
          <w:rFonts w:hint="default" w:ascii="Times New Roman" w:hAnsi="Times New Roman" w:eastAsia="宋体" w:cs="Times New Roman"/>
          <w:sz w:val="24"/>
          <w:szCs w:val="24"/>
          <w:vertAlign w:val="subscript"/>
        </w:rPr>
        <w:t>1c</w:t>
      </w:r>
      <w:r>
        <w:rPr>
          <w:rFonts w:hint="eastAsia" w:ascii="宋体" w:hAnsi="宋体" w:eastAsia="宋体" w:cs="宋体"/>
          <w:sz w:val="24"/>
          <w:szCs w:val="24"/>
        </w:rPr>
        <w:t>——各楼层非砌筑内隔墙体的墙面面积之和，计算时可不扣除门、</w:t>
      </w:r>
      <w:r>
        <w:rPr>
          <w:rFonts w:hint="eastAsia" w:ascii="宋体" w:hAnsi="宋体" w:eastAsia="宋体" w:cs="宋体"/>
          <w:sz w:val="24"/>
          <w:szCs w:val="24"/>
        </w:rPr>
        <w:tab/>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窗及预留洞口等的面积；</w:t>
      </w:r>
    </w:p>
    <w:p w14:paraId="01FABE62">
      <w:pPr>
        <w:spacing w:line="360" w:lineRule="auto"/>
        <w:ind w:firstLine="960" w:firstLineChars="400"/>
        <w:rPr>
          <w:rFonts w:hint="eastAsia" w:ascii="宋体" w:hAnsi="宋体" w:eastAsia="宋体" w:cs="宋体"/>
          <w:sz w:val="24"/>
          <w:szCs w:val="24"/>
        </w:rPr>
      </w:pPr>
      <w:r>
        <w:rPr>
          <w:rFonts w:hint="default" w:ascii="Times New Roman" w:hAnsi="Times New Roman" w:eastAsia="宋体" w:cs="Times New Roman"/>
          <w:sz w:val="24"/>
          <w:szCs w:val="24"/>
        </w:rPr>
        <w:t>A</w:t>
      </w:r>
      <w:r>
        <w:rPr>
          <w:rFonts w:hint="default" w:ascii="Times New Roman" w:hAnsi="Times New Roman" w:eastAsia="宋体" w:cs="Times New Roman"/>
          <w:sz w:val="24"/>
          <w:szCs w:val="24"/>
          <w:vertAlign w:val="subscript"/>
        </w:rPr>
        <w:t>w3</w:t>
      </w:r>
      <w:r>
        <w:rPr>
          <w:rFonts w:hint="eastAsia" w:ascii="宋体" w:hAnsi="宋体" w:eastAsia="宋体" w:cs="宋体"/>
          <w:sz w:val="24"/>
          <w:szCs w:val="24"/>
        </w:rPr>
        <w:t>——各楼层内隔墙墙面总面积，计算时可不扣除门、窗及预留洞口</w:t>
      </w:r>
      <w:r>
        <w:rPr>
          <w:rFonts w:hint="eastAsia" w:ascii="宋体" w:hAnsi="宋体" w:eastAsia="宋体" w:cs="宋体"/>
          <w:sz w:val="24"/>
          <w:szCs w:val="24"/>
        </w:rPr>
        <w:tab/>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等的面积。</w:t>
      </w:r>
    </w:p>
    <w:p w14:paraId="2B10ABA7">
      <w:pPr>
        <w:numPr>
          <w:ilvl w:val="255"/>
          <w:numId w:val="0"/>
        </w:num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 地上内隔墙采用成品饰面应用比例应按下式计算：</w:t>
      </w:r>
    </w:p>
    <w:p w14:paraId="67E4E21C">
      <w:pPr>
        <w:tabs>
          <w:tab w:val="center" w:pos="4200"/>
          <w:tab w:val="right" w:pos="8200"/>
        </w:tabs>
        <w:jc w:val="center"/>
        <w:rPr>
          <w:rFonts w:hint="eastAsia" w:ascii="Cambria Math" w:hAnsi="Cambria Math" w:cs="宋体" w:eastAsiaTheme="minorEastAsia"/>
          <w:sz w:val="24"/>
          <w:szCs w:val="24"/>
        </w:rPr>
      </w:pPr>
      <w:r>
        <w:rPr>
          <w:rFonts w:hint="eastAsia" w:hAnsi="Cambria Math" w:cs="宋体" w:eastAsiaTheme="minorEastAsia"/>
          <w:sz w:val="24"/>
          <w:szCs w:val="24"/>
        </w:rPr>
        <w:tab/>
      </w:r>
      <m:oMath>
        <m:sSub>
          <m:sSubPr>
            <m:ctrlPr>
              <w:rPr>
                <w:rFonts w:hint="eastAsia" w:ascii="Cambria Math" w:hAnsi="Cambria Math" w:eastAsia="仿宋" w:cs="仿宋"/>
                <w:szCs w:val="20"/>
              </w:rPr>
            </m:ctrlPr>
          </m:sSubPr>
          <m:e>
            <m:r>
              <m:rPr>
                <m:sty m:val="p"/>
              </m:rPr>
              <w:rPr>
                <w:rFonts w:hint="eastAsia" w:ascii="Cambria Math" w:hAnsi="Cambria Math" w:eastAsia="仿宋" w:cs="仿宋"/>
                <w:szCs w:val="20"/>
              </w:rPr>
              <m:t>q</m:t>
            </m:r>
            <m:ctrlPr>
              <w:rPr>
                <w:rFonts w:hint="eastAsia" w:ascii="Cambria Math" w:hAnsi="Cambria Math" w:eastAsia="仿宋" w:cs="仿宋"/>
                <w:szCs w:val="20"/>
              </w:rPr>
            </m:ctrlPr>
          </m:e>
          <m:sub>
            <m:r>
              <m:rPr>
                <m:sty m:val="p"/>
              </m:rPr>
              <w:rPr>
                <w:rFonts w:hint="eastAsia" w:ascii="Cambria Math" w:hAnsi="Cambria Math" w:eastAsia="仿宋" w:cs="仿宋"/>
                <w:szCs w:val="20"/>
              </w:rPr>
              <m:t>1d</m:t>
            </m:r>
            <m:ctrlPr>
              <w:rPr>
                <w:rFonts w:hint="eastAsia" w:ascii="Cambria Math" w:hAnsi="Cambria Math" w:eastAsia="仿宋" w:cs="仿宋"/>
                <w:szCs w:val="20"/>
              </w:rPr>
            </m:ctrlPr>
          </m:sub>
        </m:sSub>
        <m:r>
          <m:rPr>
            <m:sty m:val="p"/>
          </m:rPr>
          <w:rPr>
            <w:rFonts w:hint="eastAsia" w:ascii="Cambria Math" w:hAnsi="Cambria Math" w:eastAsia="仿宋" w:cs="仿宋"/>
            <w:szCs w:val="20"/>
          </w:rPr>
          <m:t>=</m:t>
        </m:r>
        <m:f>
          <m:fPr>
            <m:ctrlPr>
              <w:rPr>
                <w:rFonts w:hint="eastAsia" w:ascii="Cambria Math" w:hAnsi="Cambria Math" w:eastAsia="仿宋" w:cs="仿宋"/>
                <w:szCs w:val="20"/>
              </w:rPr>
            </m:ctrlPr>
          </m:fPr>
          <m:num>
            <m:sSub>
              <m:sSubPr>
                <m:ctrlPr>
                  <w:rPr>
                    <w:rFonts w:hint="eastAsia" w:ascii="Cambria Math" w:hAnsi="Cambria Math" w:eastAsia="仿宋" w:cs="仿宋"/>
                    <w:szCs w:val="20"/>
                  </w:rPr>
                </m:ctrlPr>
              </m:sSubPr>
              <m:e>
                <m:r>
                  <m:rPr>
                    <m:sty m:val="p"/>
                  </m:rPr>
                  <w:rPr>
                    <w:rFonts w:hint="eastAsia" w:ascii="Cambria Math" w:hAnsi="Cambria Math" w:eastAsia="仿宋" w:cs="仿宋"/>
                    <w:szCs w:val="20"/>
                  </w:rPr>
                  <m:t>A</m:t>
                </m:r>
                <m:ctrlPr>
                  <w:rPr>
                    <w:rFonts w:hint="eastAsia" w:ascii="Cambria Math" w:hAnsi="Cambria Math" w:eastAsia="仿宋" w:cs="仿宋"/>
                    <w:szCs w:val="20"/>
                  </w:rPr>
                </m:ctrlPr>
              </m:e>
              <m:sub>
                <m:r>
                  <m:rPr>
                    <m:sty m:val="p"/>
                  </m:rPr>
                  <w:rPr>
                    <w:rFonts w:hint="eastAsia" w:ascii="Cambria Math" w:hAnsi="Cambria Math" w:eastAsia="仿宋" w:cs="仿宋"/>
                    <w:szCs w:val="20"/>
                  </w:rPr>
                  <m:t>1d</m:t>
                </m:r>
                <m:ctrlPr>
                  <w:rPr>
                    <w:rFonts w:hint="eastAsia" w:ascii="Cambria Math" w:hAnsi="Cambria Math" w:eastAsia="仿宋" w:cs="仿宋"/>
                    <w:szCs w:val="20"/>
                  </w:rPr>
                </m:ctrlPr>
              </m:sub>
            </m:sSub>
            <m:ctrlPr>
              <w:rPr>
                <w:rFonts w:hint="eastAsia" w:ascii="Cambria Math" w:hAnsi="Cambria Math" w:eastAsia="仿宋" w:cs="仿宋"/>
                <w:szCs w:val="20"/>
              </w:rPr>
            </m:ctrlPr>
          </m:num>
          <m:den>
            <m:sSub>
              <m:sSubPr>
                <m:ctrlPr>
                  <w:rPr>
                    <w:rFonts w:hint="eastAsia" w:ascii="Cambria Math" w:hAnsi="Cambria Math" w:eastAsia="仿宋" w:cs="仿宋"/>
                    <w:szCs w:val="20"/>
                  </w:rPr>
                </m:ctrlPr>
              </m:sSubPr>
              <m:e>
                <m:r>
                  <m:rPr>
                    <m:sty m:val="p"/>
                  </m:rPr>
                  <w:rPr>
                    <w:rFonts w:hint="eastAsia" w:ascii="Cambria Math" w:hAnsi="Cambria Math" w:eastAsia="仿宋" w:cs="仿宋"/>
                    <w:szCs w:val="20"/>
                  </w:rPr>
                  <m:t>A</m:t>
                </m:r>
                <m:ctrlPr>
                  <w:rPr>
                    <w:rFonts w:hint="eastAsia" w:ascii="Cambria Math" w:hAnsi="Cambria Math" w:eastAsia="仿宋" w:cs="仿宋"/>
                    <w:szCs w:val="20"/>
                  </w:rPr>
                </m:ctrlPr>
              </m:e>
              <m:sub>
                <m:r>
                  <m:rPr>
                    <m:sty m:val="p"/>
                  </m:rPr>
                  <w:rPr>
                    <w:rFonts w:hint="eastAsia" w:ascii="Cambria Math" w:hAnsi="Cambria Math" w:eastAsia="仿宋" w:cs="仿宋"/>
                    <w:szCs w:val="20"/>
                  </w:rPr>
                  <m:t>w4</m:t>
                </m:r>
                <m:ctrlPr>
                  <w:rPr>
                    <w:rFonts w:hint="eastAsia" w:ascii="Cambria Math" w:hAnsi="Cambria Math" w:eastAsia="仿宋" w:cs="仿宋"/>
                    <w:szCs w:val="20"/>
                  </w:rPr>
                </m:ctrlPr>
              </m:sub>
            </m:sSub>
            <m:ctrlPr>
              <w:rPr>
                <w:rFonts w:hint="eastAsia" w:ascii="Cambria Math" w:hAnsi="Cambria Math" w:eastAsia="仿宋" w:cs="仿宋"/>
                <w:szCs w:val="20"/>
              </w:rPr>
            </m:ctrlPr>
          </m:den>
        </m:f>
        <m:r>
          <m:rPr>
            <m:sty m:val="p"/>
          </m:rPr>
          <w:rPr>
            <w:rFonts w:hint="eastAsia" w:ascii="Cambria Math" w:hAnsi="Cambria Math" w:eastAsia="仿宋" w:cs="仿宋"/>
            <w:szCs w:val="20"/>
          </w:rPr>
          <m:t>×100%</m:t>
        </m:r>
      </m:oMath>
      <w:r>
        <w:rPr>
          <w:rFonts w:ascii="Cambria Math" w:hAnsi="Cambria Math" w:cs="宋体" w:eastAsiaTheme="minorEastAsia"/>
          <w:sz w:val="24"/>
          <w:szCs w:val="24"/>
        </w:rPr>
        <w:t xml:space="preserve">   </w:t>
      </w:r>
      <w:r>
        <w:rPr>
          <w:rFonts w:hint="eastAsia" w:ascii="Cambria Math" w:hAnsi="Cambria Math" w:cs="宋体" w:eastAsiaTheme="minorEastAsia"/>
          <w:sz w:val="24"/>
          <w:szCs w:val="24"/>
        </w:rPr>
        <w:tab/>
      </w:r>
      <w:r>
        <w:rPr>
          <w:rFonts w:hint="eastAsia" w:hAnsi="Cambria Math" w:eastAsia="仿宋" w:cs="仿宋"/>
          <w:szCs w:val="20"/>
        </w:rPr>
        <w:t>(</w:t>
      </w:r>
      <w:r>
        <w:rPr>
          <w:rFonts w:hint="default" w:ascii="Times New Roman" w:hAnsi="Times New Roman" w:eastAsia="仿宋" w:cs="Times New Roman"/>
          <w:szCs w:val="20"/>
        </w:rPr>
        <w:t>5.2.</w:t>
      </w:r>
      <w:r>
        <w:rPr>
          <w:rFonts w:hint="default" w:ascii="Times New Roman" w:hAnsi="Times New Roman" w:eastAsia="仿宋" w:cs="Times New Roman"/>
          <w:szCs w:val="20"/>
          <w:lang w:val="en-US" w:eastAsia="zh-CN"/>
        </w:rPr>
        <w:t>8</w:t>
      </w:r>
      <w:r>
        <w:rPr>
          <w:rFonts w:hint="default" w:ascii="Times New Roman" w:hAnsi="Times New Roman" w:eastAsia="仿宋" w:cs="Times New Roman"/>
          <w:szCs w:val="20"/>
        </w:rPr>
        <w:t>-4</w:t>
      </w:r>
      <w:r>
        <w:rPr>
          <w:rFonts w:hint="eastAsia" w:hAnsi="Cambria Math" w:eastAsia="仿宋" w:cs="仿宋"/>
          <w:szCs w:val="20"/>
        </w:rPr>
        <w:t>)</w:t>
      </w:r>
    </w:p>
    <w:p w14:paraId="47EC8BDD">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式中： </w:t>
      </w:r>
      <w:r>
        <w:rPr>
          <w:rFonts w:hint="default" w:ascii="Times New Roman" w:hAnsi="Times New Roman" w:eastAsia="宋体" w:cs="Times New Roman"/>
          <w:sz w:val="24"/>
          <w:szCs w:val="24"/>
        </w:rPr>
        <w:t>q</w:t>
      </w:r>
      <w:r>
        <w:rPr>
          <w:rFonts w:hint="default" w:ascii="Times New Roman" w:hAnsi="Times New Roman" w:eastAsia="宋体" w:cs="Times New Roman"/>
          <w:sz w:val="24"/>
          <w:szCs w:val="24"/>
          <w:vertAlign w:val="subscript"/>
        </w:rPr>
        <w:t>1d</w:t>
      </w:r>
      <w:r>
        <w:rPr>
          <w:rFonts w:hint="eastAsia" w:ascii="宋体" w:hAnsi="宋体" w:eastAsia="宋体" w:cs="宋体"/>
          <w:sz w:val="24"/>
          <w:szCs w:val="24"/>
        </w:rPr>
        <w:t>——地上内隔墙采用成品饰面应用比例；</w:t>
      </w:r>
    </w:p>
    <w:p w14:paraId="56A2BF9A">
      <w:pPr>
        <w:spacing w:line="360" w:lineRule="auto"/>
        <w:ind w:firstLine="960" w:firstLineChars="400"/>
        <w:rPr>
          <w:rFonts w:hint="eastAsia" w:ascii="宋体" w:hAnsi="宋体" w:eastAsia="宋体" w:cs="宋体"/>
          <w:sz w:val="24"/>
          <w:szCs w:val="24"/>
        </w:rPr>
      </w:pPr>
      <w:r>
        <w:rPr>
          <w:rFonts w:hint="default" w:ascii="Times New Roman" w:hAnsi="Times New Roman" w:eastAsia="宋体" w:cs="Times New Roman"/>
          <w:sz w:val="24"/>
          <w:szCs w:val="24"/>
        </w:rPr>
        <w:t>A</w:t>
      </w:r>
      <w:r>
        <w:rPr>
          <w:rFonts w:hint="default" w:ascii="Times New Roman" w:hAnsi="Times New Roman" w:eastAsia="宋体" w:cs="Times New Roman"/>
          <w:sz w:val="24"/>
          <w:szCs w:val="24"/>
          <w:vertAlign w:val="subscript"/>
        </w:rPr>
        <w:t>1d</w:t>
      </w:r>
      <w:r>
        <w:rPr>
          <w:rFonts w:hint="eastAsia" w:ascii="宋体" w:hAnsi="宋体" w:eastAsia="宋体" w:cs="宋体"/>
          <w:sz w:val="24"/>
          <w:szCs w:val="24"/>
        </w:rPr>
        <w:t>——地上内隔墙采用成品饰面面积，计算时可不扣除门、窗及预留</w:t>
      </w:r>
      <w:r>
        <w:rPr>
          <w:rFonts w:hint="eastAsia" w:ascii="宋体" w:hAnsi="宋体" w:eastAsia="宋体" w:cs="宋体"/>
          <w:sz w:val="24"/>
          <w:szCs w:val="24"/>
        </w:rPr>
        <w:tab/>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洞口等的面积；</w:t>
      </w:r>
    </w:p>
    <w:p w14:paraId="7120AB80">
      <w:pPr>
        <w:spacing w:line="360" w:lineRule="auto"/>
        <w:ind w:firstLine="960" w:firstLineChars="400"/>
        <w:rPr>
          <w:rFonts w:hint="eastAsia" w:ascii="宋体" w:hAnsi="宋体" w:eastAsia="宋体" w:cs="宋体"/>
          <w:sz w:val="24"/>
          <w:szCs w:val="24"/>
        </w:rPr>
      </w:pPr>
      <w:r>
        <w:rPr>
          <w:rFonts w:hint="default" w:ascii="Times New Roman" w:hAnsi="Times New Roman" w:eastAsia="宋体" w:cs="Times New Roman"/>
          <w:sz w:val="24"/>
          <w:szCs w:val="24"/>
        </w:rPr>
        <w:t>A</w:t>
      </w:r>
      <w:r>
        <w:rPr>
          <w:rFonts w:hint="default" w:ascii="Times New Roman" w:hAnsi="Times New Roman" w:eastAsia="宋体" w:cs="Times New Roman"/>
          <w:sz w:val="24"/>
          <w:szCs w:val="24"/>
          <w:vertAlign w:val="subscript"/>
        </w:rPr>
        <w:t>w4</w:t>
      </w:r>
      <w:r>
        <w:rPr>
          <w:rFonts w:hint="eastAsia" w:ascii="宋体" w:hAnsi="宋体" w:eastAsia="宋体" w:cs="宋体"/>
          <w:sz w:val="24"/>
          <w:szCs w:val="24"/>
        </w:rPr>
        <w:t>——地上内隔墙内饰面总面积，计算时可不扣除门、窗及预留洞口</w:t>
      </w:r>
      <w:r>
        <w:rPr>
          <w:rFonts w:hint="eastAsia" w:ascii="宋体" w:hAnsi="宋体" w:eastAsia="宋体" w:cs="宋体"/>
          <w:sz w:val="24"/>
          <w:szCs w:val="24"/>
        </w:rPr>
        <w:tab/>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等的面积。</w:t>
      </w:r>
    </w:p>
    <w:p w14:paraId="764F7F92">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5.2.9</w:t>
      </w:r>
      <w:r>
        <w:rPr>
          <w:rFonts w:hint="eastAsia" w:ascii="宋体" w:hAnsi="宋体" w:cs="宋体"/>
          <w:sz w:val="24"/>
          <w:szCs w:val="24"/>
        </w:rPr>
        <w:t>　</w:t>
      </w:r>
      <w:r>
        <w:rPr>
          <w:rFonts w:hint="eastAsia" w:ascii="宋体" w:hAnsi="宋体" w:eastAsia="宋体" w:cs="宋体"/>
          <w:sz w:val="24"/>
          <w:szCs w:val="24"/>
        </w:rPr>
        <w:t>干式工法楼（地）面可以避免抹灰等湿作业，提高施工效率，同时可以一次性实现在地板下部空间敷设管线、支撑面层、找平和装饰的作用。干式地面的构造内部的骨架应满足架空、调平、支撑的要求。饰面材料应采用平整、耐磨、抗污染、易清洁、耐腐蚀的成品饰面材料。</w:t>
      </w:r>
    </w:p>
    <w:p w14:paraId="1362BC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干式工法楼（地）面的应用比例应按下式计算：</w:t>
      </w:r>
    </w:p>
    <w:p w14:paraId="4068E057">
      <w:pPr>
        <w:tabs>
          <w:tab w:val="center" w:pos="4200"/>
          <w:tab w:val="right" w:pos="8200"/>
        </w:tabs>
        <w:jc w:val="center"/>
        <w:rPr>
          <w:rFonts w:hint="eastAsia" w:ascii="Cambria Math" w:hAnsi="Cambria Math" w:cs="宋体" w:eastAsiaTheme="minorEastAsia"/>
          <w:sz w:val="24"/>
          <w:szCs w:val="24"/>
        </w:rPr>
      </w:pPr>
      <w:r>
        <w:rPr>
          <w:rFonts w:hint="eastAsia" w:hAnsi="Cambria Math" w:cs="宋体" w:eastAsiaTheme="minorEastAsia"/>
          <w:sz w:val="24"/>
          <w:szCs w:val="24"/>
        </w:rPr>
        <w:tab/>
      </w:r>
      <m:oMath>
        <m:sSub>
          <m:sSubPr>
            <m:ctrlPr>
              <w:rPr>
                <w:rFonts w:hint="eastAsia" w:ascii="Cambria Math" w:hAnsi="Cambria Math" w:eastAsia="仿宋" w:cs="仿宋"/>
                <w:szCs w:val="20"/>
              </w:rPr>
            </m:ctrlPr>
          </m:sSubPr>
          <m:e>
            <m:r>
              <m:rPr>
                <m:sty m:val="p"/>
              </m:rPr>
              <w:rPr>
                <w:rFonts w:hint="eastAsia" w:ascii="Cambria Math" w:hAnsi="Cambria Math" w:eastAsia="仿宋" w:cs="仿宋"/>
                <w:szCs w:val="20"/>
              </w:rPr>
              <m:t>q</m:t>
            </m:r>
            <m:ctrlPr>
              <w:rPr>
                <w:rFonts w:hint="eastAsia" w:ascii="Cambria Math" w:hAnsi="Cambria Math" w:eastAsia="仿宋" w:cs="仿宋"/>
                <w:szCs w:val="20"/>
              </w:rPr>
            </m:ctrlPr>
          </m:e>
          <m:sub>
            <m:r>
              <m:rPr>
                <m:sty m:val="p"/>
              </m:rPr>
              <w:rPr>
                <w:rFonts w:hint="eastAsia" w:ascii="Cambria Math" w:hAnsi="Cambria Math" w:eastAsia="仿宋" w:cs="仿宋"/>
                <w:szCs w:val="20"/>
              </w:rPr>
              <m:t>2a</m:t>
            </m:r>
            <m:ctrlPr>
              <w:rPr>
                <w:rFonts w:hint="eastAsia" w:ascii="Cambria Math" w:hAnsi="Cambria Math" w:eastAsia="仿宋" w:cs="仿宋"/>
                <w:szCs w:val="20"/>
              </w:rPr>
            </m:ctrlPr>
          </m:sub>
        </m:sSub>
        <m:r>
          <m:rPr>
            <m:sty m:val="p"/>
          </m:rPr>
          <w:rPr>
            <w:rFonts w:hint="eastAsia" w:ascii="Cambria Math" w:hAnsi="Cambria Math" w:eastAsia="仿宋" w:cs="仿宋"/>
            <w:szCs w:val="20"/>
          </w:rPr>
          <m:t>=</m:t>
        </m:r>
        <m:f>
          <m:fPr>
            <m:ctrlPr>
              <w:rPr>
                <w:rFonts w:hint="eastAsia" w:ascii="Cambria Math" w:hAnsi="Cambria Math" w:eastAsia="仿宋" w:cs="仿宋"/>
                <w:szCs w:val="20"/>
              </w:rPr>
            </m:ctrlPr>
          </m:fPr>
          <m:num>
            <m:sSub>
              <m:sSubPr>
                <m:ctrlPr>
                  <w:rPr>
                    <w:rFonts w:hint="eastAsia" w:ascii="Cambria Math" w:hAnsi="Cambria Math" w:eastAsia="仿宋" w:cs="仿宋"/>
                    <w:szCs w:val="20"/>
                  </w:rPr>
                </m:ctrlPr>
              </m:sSubPr>
              <m:e>
                <m:r>
                  <m:rPr>
                    <m:sty m:val="p"/>
                  </m:rPr>
                  <w:rPr>
                    <w:rFonts w:hint="eastAsia" w:ascii="Cambria Math" w:hAnsi="Cambria Math" w:eastAsia="仿宋" w:cs="仿宋"/>
                    <w:szCs w:val="20"/>
                  </w:rPr>
                  <m:t>A</m:t>
                </m:r>
                <m:ctrlPr>
                  <w:rPr>
                    <w:rFonts w:hint="eastAsia" w:ascii="Cambria Math" w:hAnsi="Cambria Math" w:eastAsia="仿宋" w:cs="仿宋"/>
                    <w:szCs w:val="20"/>
                  </w:rPr>
                </m:ctrlPr>
              </m:e>
              <m:sub>
                <m:r>
                  <m:rPr>
                    <m:sty m:val="p"/>
                  </m:rPr>
                  <w:rPr>
                    <w:rFonts w:hint="eastAsia" w:ascii="Cambria Math" w:hAnsi="Cambria Math" w:eastAsia="仿宋" w:cs="仿宋"/>
                    <w:szCs w:val="20"/>
                  </w:rPr>
                  <m:t>2a</m:t>
                </m:r>
                <m:ctrlPr>
                  <w:rPr>
                    <w:rFonts w:hint="eastAsia" w:ascii="Cambria Math" w:hAnsi="Cambria Math" w:eastAsia="仿宋" w:cs="仿宋"/>
                    <w:szCs w:val="20"/>
                  </w:rPr>
                </m:ctrlPr>
              </m:sub>
            </m:sSub>
            <m:ctrlPr>
              <w:rPr>
                <w:rFonts w:hint="eastAsia" w:ascii="Cambria Math" w:hAnsi="Cambria Math" w:eastAsia="仿宋" w:cs="仿宋"/>
                <w:szCs w:val="20"/>
              </w:rPr>
            </m:ctrlPr>
          </m:num>
          <m:den>
            <m:r>
              <m:rPr>
                <m:sty m:val="p"/>
              </m:rPr>
              <w:rPr>
                <w:rFonts w:hint="eastAsia" w:ascii="Cambria Math" w:hAnsi="Cambria Math" w:eastAsia="仿宋" w:cs="仿宋"/>
                <w:szCs w:val="20"/>
              </w:rPr>
              <m:t>A</m:t>
            </m:r>
            <m:ctrlPr>
              <w:rPr>
                <w:rFonts w:hint="eastAsia" w:ascii="Cambria Math" w:hAnsi="Cambria Math" w:eastAsia="仿宋" w:cs="仿宋"/>
                <w:szCs w:val="20"/>
              </w:rPr>
            </m:ctrlPr>
          </m:den>
        </m:f>
        <m:r>
          <m:rPr>
            <m:sty m:val="p"/>
          </m:rPr>
          <w:rPr>
            <w:rFonts w:hint="eastAsia" w:ascii="Cambria Math" w:hAnsi="Cambria Math" w:eastAsia="仿宋" w:cs="仿宋"/>
            <w:szCs w:val="20"/>
          </w:rPr>
          <m:t>×100%</m:t>
        </m:r>
      </m:oMath>
      <w:r>
        <w:rPr>
          <w:rFonts w:ascii="Cambria Math" w:hAnsi="Cambria Math" w:cs="宋体" w:eastAsiaTheme="minorEastAsia"/>
          <w:sz w:val="24"/>
          <w:szCs w:val="24"/>
        </w:rPr>
        <w:t xml:space="preserve">   </w:t>
      </w:r>
      <w:r>
        <w:rPr>
          <w:rFonts w:hint="eastAsia" w:ascii="Cambria Math" w:hAnsi="Cambria Math" w:cs="宋体" w:eastAsiaTheme="minorEastAsia"/>
          <w:sz w:val="24"/>
          <w:szCs w:val="24"/>
        </w:rPr>
        <w:tab/>
      </w:r>
      <w:r>
        <w:rPr>
          <w:rFonts w:hint="eastAsia" w:ascii="仿宋" w:hAnsi="仿宋" w:eastAsia="仿宋" w:cs="仿宋"/>
          <w:szCs w:val="20"/>
        </w:rPr>
        <w:t>（</w:t>
      </w:r>
      <w:r>
        <w:rPr>
          <w:rFonts w:hint="default" w:ascii="Times New Roman" w:hAnsi="Times New Roman" w:eastAsia="仿宋" w:cs="Times New Roman"/>
          <w:szCs w:val="20"/>
        </w:rPr>
        <w:t>5.2.11</w:t>
      </w:r>
      <w:r>
        <w:rPr>
          <w:rFonts w:hint="eastAsia" w:ascii="仿宋" w:hAnsi="仿宋" w:eastAsia="仿宋" w:cs="仿宋"/>
          <w:szCs w:val="20"/>
        </w:rPr>
        <w:t>）</w:t>
      </w:r>
    </w:p>
    <w:p w14:paraId="4AB74CDE">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式中： </w:t>
      </w:r>
      <w:r>
        <w:rPr>
          <w:rFonts w:hint="default" w:ascii="Times New Roman" w:hAnsi="Times New Roman" w:eastAsia="宋体" w:cs="Times New Roman"/>
          <w:sz w:val="24"/>
          <w:szCs w:val="24"/>
        </w:rPr>
        <w:t>q</w:t>
      </w:r>
      <w:r>
        <w:rPr>
          <w:rFonts w:hint="default" w:ascii="Times New Roman" w:hAnsi="Times New Roman" w:eastAsia="宋体" w:cs="Times New Roman"/>
          <w:sz w:val="24"/>
          <w:szCs w:val="24"/>
          <w:vertAlign w:val="subscript"/>
        </w:rPr>
        <w:t>2a</w:t>
      </w:r>
      <w:r>
        <w:rPr>
          <w:rFonts w:hint="eastAsia" w:ascii="宋体" w:hAnsi="宋体" w:eastAsia="宋体" w:cs="宋体"/>
          <w:sz w:val="24"/>
          <w:szCs w:val="24"/>
        </w:rPr>
        <w:t>——干式工法楼（地）面的应用比例；</w:t>
      </w:r>
    </w:p>
    <w:p w14:paraId="2415D8B1">
      <w:pPr>
        <w:spacing w:line="360" w:lineRule="auto"/>
        <w:ind w:firstLine="960" w:firstLineChars="400"/>
        <w:rPr>
          <w:rFonts w:hint="eastAsia" w:ascii="宋体" w:hAnsi="宋体" w:eastAsia="宋体" w:cs="宋体"/>
          <w:sz w:val="24"/>
          <w:szCs w:val="24"/>
        </w:rPr>
      </w:pPr>
      <w:r>
        <w:rPr>
          <w:rFonts w:hint="default" w:ascii="Times New Roman" w:hAnsi="Times New Roman" w:eastAsia="宋体" w:cs="Times New Roman"/>
          <w:sz w:val="24"/>
          <w:szCs w:val="24"/>
        </w:rPr>
        <w:t>A</w:t>
      </w:r>
      <w:r>
        <w:rPr>
          <w:rFonts w:hint="default" w:ascii="Times New Roman" w:hAnsi="Times New Roman" w:eastAsia="宋体" w:cs="Times New Roman"/>
          <w:sz w:val="24"/>
          <w:szCs w:val="24"/>
          <w:vertAlign w:val="subscript"/>
        </w:rPr>
        <w:t>2a</w:t>
      </w:r>
      <w:r>
        <w:rPr>
          <w:rFonts w:hint="eastAsia" w:ascii="宋体" w:hAnsi="宋体" w:eastAsia="宋体" w:cs="宋体"/>
          <w:sz w:val="24"/>
          <w:szCs w:val="24"/>
        </w:rPr>
        <w:t>——干式工法楼（地）面的面积；</w:t>
      </w:r>
    </w:p>
    <w:p w14:paraId="6AD9512E">
      <w:pPr>
        <w:spacing w:line="360" w:lineRule="auto"/>
        <w:ind w:firstLine="967" w:firstLineChars="403"/>
        <w:rPr>
          <w:rFonts w:hint="eastAsia" w:ascii="宋体" w:hAnsi="宋体" w:eastAsia="宋体" w:cs="宋体"/>
          <w:sz w:val="24"/>
          <w:szCs w:val="24"/>
        </w:rPr>
      </w:pPr>
      <w:r>
        <w:rPr>
          <w:rFonts w:hint="default" w:ascii="Times New Roman" w:hAnsi="Times New Roman" w:eastAsia="宋体" w:cs="Times New Roman"/>
          <w:sz w:val="24"/>
          <w:szCs w:val="24"/>
        </w:rPr>
        <w:t>A</w:t>
      </w:r>
      <w:r>
        <w:rPr>
          <w:rFonts w:hint="eastAsia" w:ascii="宋体" w:hAnsi="宋体" w:eastAsia="宋体" w:cs="宋体"/>
          <w:sz w:val="24"/>
          <w:szCs w:val="24"/>
        </w:rPr>
        <w:t>——各楼层建筑平面总面积。</w:t>
      </w:r>
    </w:p>
    <w:p w14:paraId="71F6AA1D">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5.2.10</w:t>
      </w:r>
      <w:r>
        <w:rPr>
          <w:rFonts w:hint="eastAsia" w:ascii="宋体" w:hAnsi="宋体" w:cs="宋体"/>
          <w:sz w:val="24"/>
          <w:szCs w:val="24"/>
        </w:rPr>
        <w:t>　</w:t>
      </w:r>
      <w:r>
        <w:rPr>
          <w:rFonts w:hint="eastAsia" w:ascii="宋体" w:hAnsi="宋体" w:eastAsia="宋体" w:cs="宋体"/>
          <w:sz w:val="24"/>
          <w:szCs w:val="24"/>
        </w:rPr>
        <w:t>第</w:t>
      </w:r>
      <w:r>
        <w:rPr>
          <w:rFonts w:hint="default" w:ascii="Times New Roman" w:hAnsi="Times New Roman" w:eastAsia="宋体" w:cs="Times New Roman"/>
          <w:sz w:val="24"/>
          <w:szCs w:val="24"/>
        </w:rPr>
        <w:t>1</w:t>
      </w:r>
      <w:r>
        <w:rPr>
          <w:rFonts w:hint="eastAsia" w:ascii="宋体" w:hAnsi="宋体" w:eastAsia="宋体" w:cs="宋体"/>
          <w:sz w:val="24"/>
          <w:szCs w:val="24"/>
        </w:rPr>
        <w:t>款，没有厨房的建筑本条不参评。集成厨房多指居住建筑中的厨房，本条强调了厨房的“集成性”和“功能性”。集成厨房是装配式建筑装饰装修的重要组成部分，其设计应按照标准化、系列化原则，并符合干式工法施工的要求，在制作和加工阶段实现装配化。当评价项目各楼层厨房中的橱柜、厨房设备等全部安装到位，且墙面、顶面（或地面）采用干式工法的应用比例</w:t>
      </w:r>
      <w:r>
        <w:rPr>
          <w:rFonts w:hint="default" w:ascii="Times New Roman" w:hAnsi="Times New Roman" w:eastAsia="宋体" w:cs="Times New Roman"/>
          <w:sz w:val="24"/>
          <w:szCs w:val="24"/>
        </w:rPr>
        <w:t>≥90％</w:t>
      </w:r>
      <w:r>
        <w:rPr>
          <w:rFonts w:hint="eastAsia" w:ascii="宋体" w:hAnsi="宋体" w:eastAsia="宋体" w:cs="宋体"/>
          <w:sz w:val="24"/>
          <w:szCs w:val="24"/>
        </w:rPr>
        <w:t>时，应认定为该项目采用了干式工法。</w:t>
      </w:r>
    </w:p>
    <w:p w14:paraId="39F70CE8">
      <w:pPr>
        <w:spacing w:line="360" w:lineRule="auto"/>
        <w:ind w:firstLine="480" w:firstLineChars="200"/>
        <w:rPr>
          <w:rFonts w:hint="eastAsia" w:ascii="宋体" w:hAnsi="宋体" w:eastAsia="宋体" w:cs="宋体"/>
          <w:color w:val="0000FF"/>
          <w:sz w:val="24"/>
          <w:szCs w:val="24"/>
        </w:rPr>
      </w:pPr>
      <w:r>
        <w:rPr>
          <w:rFonts w:hint="eastAsia" w:ascii="宋体" w:hAnsi="宋体" w:eastAsia="宋体" w:cs="宋体"/>
          <w:sz w:val="24"/>
          <w:szCs w:val="24"/>
        </w:rPr>
        <w:t>厨房中墙面、顶面（或地面）中干式工法的应用比例应按下式计算：</w:t>
      </w:r>
    </w:p>
    <w:p w14:paraId="25D17897">
      <w:pPr>
        <w:tabs>
          <w:tab w:val="center" w:pos="4200"/>
          <w:tab w:val="right" w:pos="8200"/>
        </w:tabs>
        <w:jc w:val="center"/>
        <w:rPr>
          <w:rFonts w:hint="eastAsia" w:ascii="Cambria Math" w:hAnsi="Cambria Math" w:cs="宋体" w:eastAsiaTheme="minorEastAsia"/>
          <w:sz w:val="24"/>
          <w:szCs w:val="24"/>
        </w:rPr>
      </w:pPr>
      <w:r>
        <w:rPr>
          <w:rFonts w:hint="eastAsia" w:hAnsi="Cambria Math" w:cs="宋体" w:eastAsiaTheme="minorEastAsia"/>
          <w:sz w:val="24"/>
          <w:szCs w:val="24"/>
        </w:rPr>
        <w:tab/>
      </w:r>
      <m:oMath>
        <m:sSub>
          <m:sSubPr>
            <m:ctrlPr>
              <w:rPr>
                <w:rFonts w:hint="eastAsia" w:ascii="Cambria Math" w:hAnsi="Cambria Math" w:eastAsia="仿宋" w:cs="仿宋"/>
                <w:szCs w:val="20"/>
              </w:rPr>
            </m:ctrlPr>
          </m:sSubPr>
          <m:e>
            <m:r>
              <m:rPr>
                <m:sty m:val="p"/>
              </m:rPr>
              <w:rPr>
                <w:rFonts w:hint="eastAsia" w:ascii="Cambria Math" w:hAnsi="Cambria Math" w:eastAsia="仿宋" w:cs="仿宋"/>
                <w:szCs w:val="20"/>
              </w:rPr>
              <m:t>q</m:t>
            </m:r>
            <m:ctrlPr>
              <w:rPr>
                <w:rFonts w:hint="eastAsia" w:ascii="Cambria Math" w:hAnsi="Cambria Math" w:eastAsia="仿宋" w:cs="仿宋"/>
                <w:szCs w:val="20"/>
              </w:rPr>
            </m:ctrlPr>
          </m:e>
          <m:sub>
            <m:r>
              <m:rPr>
                <m:sty m:val="p"/>
              </m:rPr>
              <w:rPr>
                <w:rFonts w:hint="eastAsia" w:ascii="Cambria Math" w:hAnsi="Cambria Math" w:eastAsia="仿宋" w:cs="仿宋"/>
                <w:szCs w:val="20"/>
              </w:rPr>
              <m:t>3a</m:t>
            </m:r>
            <m:ctrlPr>
              <w:rPr>
                <w:rFonts w:hint="eastAsia" w:ascii="Cambria Math" w:hAnsi="Cambria Math" w:eastAsia="仿宋" w:cs="仿宋"/>
                <w:szCs w:val="20"/>
              </w:rPr>
            </m:ctrlPr>
          </m:sub>
        </m:sSub>
        <m:r>
          <m:rPr>
            <m:sty m:val="p"/>
          </m:rPr>
          <w:rPr>
            <w:rFonts w:hint="eastAsia" w:ascii="Cambria Math" w:hAnsi="Cambria Math" w:eastAsia="仿宋" w:cs="仿宋"/>
            <w:szCs w:val="20"/>
          </w:rPr>
          <m:t>=</m:t>
        </m:r>
        <m:f>
          <m:fPr>
            <m:ctrlPr>
              <w:rPr>
                <w:rFonts w:hint="eastAsia" w:ascii="Cambria Math" w:hAnsi="Cambria Math" w:eastAsia="仿宋" w:cs="仿宋"/>
                <w:szCs w:val="20"/>
              </w:rPr>
            </m:ctrlPr>
          </m:fPr>
          <m:num>
            <m:sSub>
              <m:sSubPr>
                <m:ctrlPr>
                  <w:rPr>
                    <w:rFonts w:hint="eastAsia" w:ascii="Cambria Math" w:hAnsi="Cambria Math" w:eastAsia="仿宋" w:cs="仿宋"/>
                    <w:szCs w:val="20"/>
                  </w:rPr>
                </m:ctrlPr>
              </m:sSubPr>
              <m:e>
                <m:r>
                  <m:rPr>
                    <m:sty m:val="p"/>
                  </m:rPr>
                  <w:rPr>
                    <w:rFonts w:hint="eastAsia" w:ascii="Cambria Math" w:hAnsi="Cambria Math" w:eastAsia="仿宋" w:cs="仿宋"/>
                    <w:szCs w:val="20"/>
                  </w:rPr>
                  <m:t>A</m:t>
                </m:r>
                <m:ctrlPr>
                  <w:rPr>
                    <w:rFonts w:hint="eastAsia" w:ascii="Cambria Math" w:hAnsi="Cambria Math" w:eastAsia="仿宋" w:cs="仿宋"/>
                    <w:szCs w:val="20"/>
                  </w:rPr>
                </m:ctrlPr>
              </m:e>
              <m:sub>
                <m:r>
                  <m:rPr>
                    <m:sty m:val="p"/>
                  </m:rPr>
                  <w:rPr>
                    <w:rFonts w:hint="eastAsia" w:ascii="Cambria Math" w:hAnsi="Cambria Math" w:eastAsia="仿宋" w:cs="仿宋"/>
                    <w:szCs w:val="20"/>
                  </w:rPr>
                  <m:t>3a</m:t>
                </m:r>
                <m:ctrlPr>
                  <w:rPr>
                    <w:rFonts w:hint="eastAsia" w:ascii="Cambria Math" w:hAnsi="Cambria Math" w:eastAsia="仿宋" w:cs="仿宋"/>
                    <w:szCs w:val="20"/>
                  </w:rPr>
                </m:ctrlPr>
              </m:sub>
            </m:sSub>
            <m:ctrlPr>
              <w:rPr>
                <w:rFonts w:hint="eastAsia" w:ascii="Cambria Math" w:hAnsi="Cambria Math" w:eastAsia="仿宋" w:cs="仿宋"/>
                <w:szCs w:val="20"/>
              </w:rPr>
            </m:ctrlPr>
          </m:num>
          <m:den>
            <m:sSub>
              <m:sSubPr>
                <m:ctrlPr>
                  <w:rPr>
                    <w:rFonts w:hint="eastAsia" w:ascii="Cambria Math" w:hAnsi="Cambria Math" w:eastAsia="仿宋" w:cs="仿宋"/>
                    <w:szCs w:val="20"/>
                  </w:rPr>
                </m:ctrlPr>
              </m:sSubPr>
              <m:e>
                <m:r>
                  <m:rPr>
                    <m:sty m:val="p"/>
                  </m:rPr>
                  <w:rPr>
                    <w:rFonts w:hint="eastAsia" w:ascii="Cambria Math" w:hAnsi="Cambria Math" w:eastAsia="仿宋" w:cs="仿宋"/>
                    <w:szCs w:val="20"/>
                  </w:rPr>
                  <m:t>A</m:t>
                </m:r>
                <m:ctrlPr>
                  <w:rPr>
                    <w:rFonts w:hint="eastAsia" w:ascii="Cambria Math" w:hAnsi="Cambria Math" w:eastAsia="仿宋" w:cs="仿宋"/>
                    <w:szCs w:val="20"/>
                  </w:rPr>
                </m:ctrlPr>
              </m:e>
              <m:sub>
                <m:r>
                  <m:rPr>
                    <m:sty m:val="p"/>
                  </m:rPr>
                  <w:rPr>
                    <w:rFonts w:hint="eastAsia" w:ascii="Cambria Math" w:hAnsi="Cambria Math" w:eastAsia="仿宋" w:cs="仿宋"/>
                    <w:szCs w:val="20"/>
                  </w:rPr>
                  <m:t>k</m:t>
                </m:r>
                <m:ctrlPr>
                  <w:rPr>
                    <w:rFonts w:hint="eastAsia" w:ascii="Cambria Math" w:hAnsi="Cambria Math" w:eastAsia="仿宋" w:cs="仿宋"/>
                    <w:szCs w:val="20"/>
                  </w:rPr>
                </m:ctrlPr>
              </m:sub>
            </m:sSub>
            <m:ctrlPr>
              <w:rPr>
                <w:rFonts w:hint="eastAsia" w:ascii="Cambria Math" w:hAnsi="Cambria Math" w:eastAsia="仿宋" w:cs="仿宋"/>
                <w:szCs w:val="20"/>
              </w:rPr>
            </m:ctrlPr>
          </m:den>
        </m:f>
        <m:r>
          <m:rPr>
            <m:sty m:val="p"/>
          </m:rPr>
          <w:rPr>
            <w:rFonts w:hint="eastAsia" w:ascii="Cambria Math" w:hAnsi="Cambria Math" w:eastAsia="仿宋" w:cs="仿宋"/>
            <w:szCs w:val="20"/>
          </w:rPr>
          <m:t>×100%</m:t>
        </m:r>
      </m:oMath>
      <w:r>
        <w:rPr>
          <w:rFonts w:ascii="Cambria Math" w:hAnsi="Cambria Math" w:cs="宋体" w:eastAsiaTheme="minorEastAsia"/>
          <w:sz w:val="24"/>
          <w:szCs w:val="24"/>
        </w:rPr>
        <w:t xml:space="preserve">   </w:t>
      </w:r>
      <w:r>
        <w:rPr>
          <w:rFonts w:hint="eastAsia" w:ascii="Cambria Math" w:hAnsi="Cambria Math" w:cs="宋体" w:eastAsiaTheme="minorEastAsia"/>
          <w:sz w:val="24"/>
          <w:szCs w:val="24"/>
        </w:rPr>
        <w:tab/>
      </w:r>
      <w:r>
        <w:rPr>
          <w:rFonts w:hint="eastAsia" w:ascii="仿宋" w:hAnsi="仿宋" w:eastAsia="仿宋" w:cs="仿宋"/>
          <w:szCs w:val="20"/>
        </w:rPr>
        <w:t>（</w:t>
      </w:r>
      <w:r>
        <w:rPr>
          <w:rFonts w:hint="default" w:ascii="Times New Roman" w:hAnsi="Times New Roman" w:eastAsia="仿宋" w:cs="Times New Roman"/>
          <w:szCs w:val="20"/>
        </w:rPr>
        <w:t>5.2.1</w:t>
      </w:r>
      <w:r>
        <w:rPr>
          <w:rFonts w:hint="default" w:ascii="Times New Roman" w:hAnsi="Times New Roman" w:eastAsia="仿宋" w:cs="Times New Roman"/>
          <w:szCs w:val="20"/>
          <w:lang w:val="en-US" w:eastAsia="zh-CN"/>
        </w:rPr>
        <w:t>0</w:t>
      </w:r>
      <w:r>
        <w:rPr>
          <w:rFonts w:hint="default" w:ascii="Times New Roman" w:hAnsi="Times New Roman" w:eastAsia="仿宋" w:cs="Times New Roman"/>
          <w:szCs w:val="20"/>
        </w:rPr>
        <w:t>-1</w:t>
      </w:r>
      <w:r>
        <w:rPr>
          <w:rFonts w:hint="eastAsia" w:ascii="仿宋" w:hAnsi="仿宋" w:eastAsia="仿宋" w:cs="仿宋"/>
          <w:szCs w:val="20"/>
        </w:rPr>
        <w:t>）</w:t>
      </w:r>
    </w:p>
    <w:p w14:paraId="20530C5F">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式中： </w:t>
      </w:r>
      <w:r>
        <w:rPr>
          <w:rFonts w:hint="default" w:ascii="Times New Roman" w:hAnsi="Times New Roman" w:eastAsia="宋体" w:cs="Times New Roman"/>
          <w:sz w:val="24"/>
          <w:szCs w:val="24"/>
        </w:rPr>
        <w:t>q</w:t>
      </w:r>
      <w:r>
        <w:rPr>
          <w:rFonts w:hint="default" w:ascii="Times New Roman" w:hAnsi="Times New Roman" w:eastAsia="宋体" w:cs="Times New Roman"/>
          <w:sz w:val="24"/>
          <w:szCs w:val="24"/>
          <w:vertAlign w:val="subscript"/>
        </w:rPr>
        <w:t>3a</w:t>
      </w:r>
      <w:r>
        <w:rPr>
          <w:rFonts w:hint="eastAsia" w:ascii="宋体" w:hAnsi="宋体" w:eastAsia="宋体" w:cs="宋体"/>
          <w:sz w:val="24"/>
          <w:szCs w:val="24"/>
        </w:rPr>
        <w:t>——厨房中墙面、顶面（或地面）中干式工法的应用比例；</w:t>
      </w:r>
    </w:p>
    <w:p w14:paraId="376F8EC5">
      <w:pPr>
        <w:spacing w:line="360" w:lineRule="auto"/>
        <w:ind w:firstLine="960" w:firstLineChars="400"/>
        <w:rPr>
          <w:rFonts w:hint="eastAsia" w:ascii="宋体" w:hAnsi="宋体" w:eastAsia="宋体" w:cs="宋体"/>
          <w:sz w:val="24"/>
          <w:szCs w:val="24"/>
        </w:rPr>
      </w:pPr>
      <w:r>
        <w:rPr>
          <w:rFonts w:hint="default" w:ascii="Times New Roman" w:hAnsi="Times New Roman" w:eastAsia="宋体" w:cs="Times New Roman"/>
          <w:sz w:val="24"/>
          <w:szCs w:val="24"/>
        </w:rPr>
        <w:t>A</w:t>
      </w:r>
      <w:r>
        <w:rPr>
          <w:rFonts w:hint="default" w:ascii="Times New Roman" w:hAnsi="Times New Roman" w:eastAsia="宋体" w:cs="Times New Roman"/>
          <w:sz w:val="24"/>
          <w:szCs w:val="24"/>
          <w:vertAlign w:val="subscript"/>
        </w:rPr>
        <w:t>3a</w:t>
      </w:r>
      <w:r>
        <w:rPr>
          <w:rFonts w:hint="eastAsia" w:ascii="宋体" w:hAnsi="宋体" w:eastAsia="宋体" w:cs="宋体"/>
          <w:sz w:val="24"/>
          <w:szCs w:val="24"/>
        </w:rPr>
        <w:t>——各楼层厨房墙面、顶面（或地面）采用干式工法的面积之和；</w:t>
      </w:r>
    </w:p>
    <w:p w14:paraId="2034BE0C">
      <w:pPr>
        <w:spacing w:line="360" w:lineRule="auto"/>
        <w:ind w:firstLine="960" w:firstLineChars="400"/>
        <w:rPr>
          <w:rFonts w:hint="eastAsia" w:ascii="宋体" w:hAnsi="宋体" w:eastAsia="宋体" w:cs="宋体"/>
          <w:sz w:val="24"/>
          <w:szCs w:val="24"/>
        </w:rPr>
      </w:pPr>
      <w:r>
        <w:rPr>
          <w:rFonts w:hint="default" w:ascii="Times New Roman" w:hAnsi="Times New Roman" w:eastAsia="宋体" w:cs="Times New Roman"/>
          <w:sz w:val="24"/>
          <w:szCs w:val="24"/>
        </w:rPr>
        <w:t>A</w:t>
      </w:r>
      <w:r>
        <w:rPr>
          <w:rFonts w:hint="default" w:ascii="Times New Roman" w:hAnsi="Times New Roman" w:eastAsia="宋体" w:cs="Times New Roman"/>
          <w:sz w:val="24"/>
          <w:szCs w:val="24"/>
          <w:vertAlign w:val="subscript"/>
        </w:rPr>
        <w:t>k</w:t>
      </w:r>
      <w:r>
        <w:rPr>
          <w:rFonts w:hint="eastAsia" w:ascii="宋体" w:hAnsi="宋体" w:eastAsia="宋体" w:cs="宋体"/>
          <w:sz w:val="24"/>
          <w:szCs w:val="24"/>
        </w:rPr>
        <w:t>——各楼层厨房的墙面、顶面（或地面）的总面积。</w:t>
      </w:r>
    </w:p>
    <w:p w14:paraId="1467F74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2</w:t>
      </w:r>
      <w:r>
        <w:rPr>
          <w:rFonts w:hint="eastAsia" w:ascii="宋体" w:hAnsi="宋体" w:eastAsia="宋体" w:cs="宋体"/>
          <w:sz w:val="24"/>
          <w:szCs w:val="24"/>
        </w:rPr>
        <w:t>款中，集成卫生间充分考虑了卫生间空间的多样组合或分隔，包括多器具的集成卫生间产品和仅有洗面、洗浴或便溺等单一功能模块的集成卫生间产品。集成卫生间是装配式建筑装饰装修的重要组成部分，其设计应按照标准化、系列化原则，并符合干式工法施工的要求，在制作和加工阶段实现装配化。当评价项目各楼层卫生间中的洁具设备等全部安装到位，且墙面、顶面（或地面）采用干式工法的应用比例</w:t>
      </w:r>
      <w:r>
        <w:rPr>
          <w:rFonts w:hint="default" w:ascii="Times New Roman" w:hAnsi="Times New Roman" w:eastAsia="宋体" w:cs="Times New Roman"/>
          <w:sz w:val="24"/>
          <w:szCs w:val="24"/>
        </w:rPr>
        <w:t>≥90％</w:t>
      </w:r>
      <w:r>
        <w:rPr>
          <w:rFonts w:hint="eastAsia" w:ascii="宋体" w:hAnsi="宋体" w:eastAsia="宋体" w:cs="宋体"/>
          <w:sz w:val="24"/>
          <w:szCs w:val="24"/>
        </w:rPr>
        <w:t>时，应认定为该项目采用了干式工法。</w:t>
      </w:r>
    </w:p>
    <w:p w14:paraId="5ACC7F7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卫生间中墙面、顶面（或地面）中干式工法的应用比例应按下式计算：</w:t>
      </w:r>
    </w:p>
    <w:p w14:paraId="3F1920E1">
      <w:pPr>
        <w:tabs>
          <w:tab w:val="center" w:pos="4200"/>
          <w:tab w:val="right" w:pos="8200"/>
        </w:tabs>
        <w:jc w:val="center"/>
        <w:rPr>
          <w:rFonts w:hint="eastAsia" w:ascii="Cambria Math" w:hAnsi="Cambria Math" w:cs="宋体" w:eastAsiaTheme="minorEastAsia"/>
          <w:sz w:val="24"/>
          <w:szCs w:val="24"/>
        </w:rPr>
      </w:pPr>
      <w:r>
        <w:rPr>
          <w:rFonts w:hint="eastAsia" w:hAnsi="Cambria Math" w:cs="宋体" w:eastAsiaTheme="minorEastAsia"/>
          <w:sz w:val="24"/>
          <w:szCs w:val="24"/>
        </w:rPr>
        <w:tab/>
      </w:r>
      <m:oMath>
        <m:sSub>
          <m:sSubPr>
            <m:ctrlPr>
              <w:rPr>
                <w:rFonts w:hint="eastAsia" w:ascii="Cambria Math" w:hAnsi="Cambria Math" w:eastAsia="仿宋" w:cs="仿宋"/>
                <w:szCs w:val="20"/>
              </w:rPr>
            </m:ctrlPr>
          </m:sSubPr>
          <m:e>
            <m:r>
              <m:rPr>
                <m:sty m:val="p"/>
              </m:rPr>
              <w:rPr>
                <w:rFonts w:hint="eastAsia" w:ascii="Cambria Math" w:hAnsi="Cambria Math" w:eastAsia="仿宋" w:cs="仿宋"/>
                <w:szCs w:val="20"/>
              </w:rPr>
              <m:t>q</m:t>
            </m:r>
            <m:ctrlPr>
              <w:rPr>
                <w:rFonts w:hint="eastAsia" w:ascii="Cambria Math" w:hAnsi="Cambria Math" w:eastAsia="仿宋" w:cs="仿宋"/>
                <w:szCs w:val="20"/>
              </w:rPr>
            </m:ctrlPr>
          </m:e>
          <m:sub>
            <m:r>
              <m:rPr>
                <m:sty m:val="p"/>
              </m:rPr>
              <w:rPr>
                <w:rFonts w:hint="eastAsia" w:ascii="Cambria Math" w:hAnsi="Cambria Math" w:eastAsia="仿宋" w:cs="仿宋"/>
                <w:szCs w:val="20"/>
              </w:rPr>
              <m:t>3b</m:t>
            </m:r>
            <m:ctrlPr>
              <w:rPr>
                <w:rFonts w:hint="eastAsia" w:ascii="Cambria Math" w:hAnsi="Cambria Math" w:eastAsia="仿宋" w:cs="仿宋"/>
                <w:szCs w:val="20"/>
              </w:rPr>
            </m:ctrlPr>
          </m:sub>
        </m:sSub>
        <m:r>
          <m:rPr>
            <m:sty m:val="p"/>
          </m:rPr>
          <w:rPr>
            <w:rFonts w:hint="eastAsia" w:ascii="Cambria Math" w:hAnsi="Cambria Math" w:eastAsia="仿宋" w:cs="仿宋"/>
            <w:szCs w:val="20"/>
          </w:rPr>
          <m:t>=</m:t>
        </m:r>
        <m:f>
          <m:fPr>
            <m:ctrlPr>
              <w:rPr>
                <w:rFonts w:hint="eastAsia" w:ascii="Cambria Math" w:hAnsi="Cambria Math" w:eastAsia="仿宋" w:cs="仿宋"/>
                <w:szCs w:val="20"/>
              </w:rPr>
            </m:ctrlPr>
          </m:fPr>
          <m:num>
            <m:sSub>
              <m:sSubPr>
                <m:ctrlPr>
                  <w:rPr>
                    <w:rFonts w:hint="eastAsia" w:ascii="Cambria Math" w:hAnsi="Cambria Math" w:eastAsia="仿宋" w:cs="仿宋"/>
                    <w:szCs w:val="20"/>
                  </w:rPr>
                </m:ctrlPr>
              </m:sSubPr>
              <m:e>
                <m:r>
                  <m:rPr>
                    <m:sty m:val="p"/>
                  </m:rPr>
                  <w:rPr>
                    <w:rFonts w:hint="eastAsia" w:ascii="Cambria Math" w:hAnsi="Cambria Math" w:eastAsia="仿宋" w:cs="仿宋"/>
                    <w:szCs w:val="20"/>
                  </w:rPr>
                  <m:t>A</m:t>
                </m:r>
                <m:ctrlPr>
                  <w:rPr>
                    <w:rFonts w:hint="eastAsia" w:ascii="Cambria Math" w:hAnsi="Cambria Math" w:eastAsia="仿宋" w:cs="仿宋"/>
                    <w:szCs w:val="20"/>
                  </w:rPr>
                </m:ctrlPr>
              </m:e>
              <m:sub>
                <m:r>
                  <m:rPr>
                    <m:sty m:val="p"/>
                  </m:rPr>
                  <w:rPr>
                    <w:rFonts w:hint="eastAsia" w:ascii="Cambria Math" w:hAnsi="Cambria Math" w:eastAsia="仿宋" w:cs="仿宋"/>
                    <w:szCs w:val="20"/>
                  </w:rPr>
                  <m:t>3b</m:t>
                </m:r>
                <m:ctrlPr>
                  <w:rPr>
                    <w:rFonts w:hint="eastAsia" w:ascii="Cambria Math" w:hAnsi="Cambria Math" w:eastAsia="仿宋" w:cs="仿宋"/>
                    <w:szCs w:val="20"/>
                  </w:rPr>
                </m:ctrlPr>
              </m:sub>
            </m:sSub>
            <m:ctrlPr>
              <w:rPr>
                <w:rFonts w:hint="eastAsia" w:ascii="Cambria Math" w:hAnsi="Cambria Math" w:eastAsia="仿宋" w:cs="仿宋"/>
                <w:szCs w:val="20"/>
              </w:rPr>
            </m:ctrlPr>
          </m:num>
          <m:den>
            <m:sSub>
              <m:sSubPr>
                <m:ctrlPr>
                  <w:rPr>
                    <w:rFonts w:hint="eastAsia" w:ascii="Cambria Math" w:hAnsi="Cambria Math" w:eastAsia="仿宋" w:cs="仿宋"/>
                    <w:szCs w:val="20"/>
                  </w:rPr>
                </m:ctrlPr>
              </m:sSubPr>
              <m:e>
                <m:r>
                  <m:rPr>
                    <m:sty m:val="p"/>
                  </m:rPr>
                  <w:rPr>
                    <w:rFonts w:hint="eastAsia" w:ascii="Cambria Math" w:hAnsi="Cambria Math" w:eastAsia="仿宋" w:cs="仿宋"/>
                    <w:szCs w:val="20"/>
                  </w:rPr>
                  <m:t>A</m:t>
                </m:r>
                <m:ctrlPr>
                  <w:rPr>
                    <w:rFonts w:hint="eastAsia" w:ascii="Cambria Math" w:hAnsi="Cambria Math" w:eastAsia="仿宋" w:cs="仿宋"/>
                    <w:szCs w:val="20"/>
                  </w:rPr>
                </m:ctrlPr>
              </m:e>
              <m:sub>
                <m:r>
                  <m:rPr>
                    <m:sty m:val="p"/>
                  </m:rPr>
                  <w:rPr>
                    <w:rFonts w:hint="eastAsia" w:ascii="Cambria Math" w:hAnsi="Cambria Math" w:eastAsia="仿宋" w:cs="仿宋"/>
                    <w:szCs w:val="20"/>
                  </w:rPr>
                  <m:t>b</m:t>
                </m:r>
                <m:ctrlPr>
                  <w:rPr>
                    <w:rFonts w:hint="eastAsia" w:ascii="Cambria Math" w:hAnsi="Cambria Math" w:eastAsia="仿宋" w:cs="仿宋"/>
                    <w:szCs w:val="20"/>
                  </w:rPr>
                </m:ctrlPr>
              </m:sub>
            </m:sSub>
            <m:ctrlPr>
              <w:rPr>
                <w:rFonts w:hint="eastAsia" w:ascii="Cambria Math" w:hAnsi="Cambria Math" w:eastAsia="仿宋" w:cs="仿宋"/>
                <w:szCs w:val="20"/>
              </w:rPr>
            </m:ctrlPr>
          </m:den>
        </m:f>
        <m:r>
          <m:rPr>
            <m:sty m:val="p"/>
          </m:rPr>
          <w:rPr>
            <w:rFonts w:hint="eastAsia" w:ascii="Cambria Math" w:hAnsi="Cambria Math" w:eastAsia="仿宋" w:cs="仿宋"/>
            <w:szCs w:val="20"/>
          </w:rPr>
          <m:t>×100%</m:t>
        </m:r>
      </m:oMath>
      <w:r>
        <w:rPr>
          <w:rFonts w:ascii="Cambria Math" w:hAnsi="Cambria Math" w:cs="宋体" w:eastAsiaTheme="minorEastAsia"/>
          <w:sz w:val="24"/>
          <w:szCs w:val="24"/>
        </w:rPr>
        <w:t xml:space="preserve">   </w:t>
      </w:r>
      <w:r>
        <w:rPr>
          <w:rFonts w:hint="eastAsia" w:ascii="Cambria Math" w:hAnsi="Cambria Math" w:cs="宋体" w:eastAsiaTheme="minorEastAsia"/>
          <w:sz w:val="24"/>
          <w:szCs w:val="24"/>
        </w:rPr>
        <w:tab/>
      </w:r>
      <w:r>
        <w:rPr>
          <w:rFonts w:hint="eastAsia" w:ascii="仿宋" w:hAnsi="仿宋" w:eastAsia="仿宋" w:cs="仿宋"/>
          <w:szCs w:val="20"/>
        </w:rPr>
        <w:t>（</w:t>
      </w:r>
      <w:r>
        <w:rPr>
          <w:rFonts w:hint="default" w:ascii="Times New Roman" w:hAnsi="Times New Roman" w:eastAsia="仿宋" w:cs="Times New Roman"/>
          <w:szCs w:val="20"/>
        </w:rPr>
        <w:t>5.2.1</w:t>
      </w:r>
      <w:r>
        <w:rPr>
          <w:rFonts w:hint="default" w:ascii="Times New Roman" w:hAnsi="Times New Roman" w:eastAsia="仿宋" w:cs="Times New Roman"/>
          <w:szCs w:val="20"/>
          <w:lang w:val="en-US" w:eastAsia="zh-CN"/>
        </w:rPr>
        <w:t>0</w:t>
      </w:r>
      <w:r>
        <w:rPr>
          <w:rFonts w:hint="default" w:ascii="Times New Roman" w:hAnsi="Times New Roman" w:eastAsia="仿宋" w:cs="Times New Roman"/>
          <w:szCs w:val="20"/>
        </w:rPr>
        <w:t>-2</w:t>
      </w:r>
      <w:r>
        <w:rPr>
          <w:rFonts w:hint="eastAsia" w:ascii="仿宋" w:hAnsi="仿宋" w:eastAsia="仿宋" w:cs="仿宋"/>
          <w:szCs w:val="20"/>
        </w:rPr>
        <w:t>）</w:t>
      </w:r>
    </w:p>
    <w:p w14:paraId="7C5073F0">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式中： </w:t>
      </w:r>
      <w:r>
        <w:rPr>
          <w:rFonts w:hint="default" w:ascii="Times New Roman" w:hAnsi="Times New Roman" w:eastAsia="宋体" w:cs="Times New Roman"/>
          <w:sz w:val="24"/>
          <w:szCs w:val="24"/>
        </w:rPr>
        <w:t>q</w:t>
      </w:r>
      <w:r>
        <w:rPr>
          <w:rFonts w:hint="default" w:ascii="Times New Roman" w:hAnsi="Times New Roman" w:eastAsia="宋体" w:cs="Times New Roman"/>
          <w:sz w:val="24"/>
          <w:szCs w:val="24"/>
          <w:vertAlign w:val="subscript"/>
        </w:rPr>
        <w:t>3b</w:t>
      </w:r>
      <w:r>
        <w:rPr>
          <w:rFonts w:hint="eastAsia" w:ascii="宋体" w:hAnsi="宋体" w:eastAsia="宋体" w:cs="宋体"/>
          <w:sz w:val="24"/>
          <w:szCs w:val="24"/>
        </w:rPr>
        <w:t>——卫生间中墙面、顶面（或地面）中干式工法的应用比例；</w:t>
      </w:r>
    </w:p>
    <w:p w14:paraId="52E7A4D3">
      <w:pPr>
        <w:spacing w:line="360" w:lineRule="auto"/>
        <w:ind w:firstLine="729" w:firstLineChars="304"/>
        <w:rPr>
          <w:rFonts w:hint="eastAsia" w:ascii="宋体" w:hAnsi="宋体" w:eastAsia="宋体" w:cs="宋体"/>
          <w:sz w:val="24"/>
          <w:szCs w:val="24"/>
        </w:rPr>
      </w:pPr>
      <w:r>
        <w:rPr>
          <w:rFonts w:hint="default" w:ascii="Times New Roman" w:hAnsi="Times New Roman" w:eastAsia="宋体" w:cs="Times New Roman"/>
          <w:sz w:val="24"/>
          <w:szCs w:val="24"/>
        </w:rPr>
        <w:t>A</w:t>
      </w:r>
      <w:r>
        <w:rPr>
          <w:rFonts w:hint="default" w:ascii="Times New Roman" w:hAnsi="Times New Roman" w:eastAsia="宋体" w:cs="Times New Roman"/>
          <w:sz w:val="24"/>
          <w:szCs w:val="24"/>
          <w:vertAlign w:val="subscript"/>
        </w:rPr>
        <w:t>3b</w:t>
      </w:r>
      <w:r>
        <w:rPr>
          <w:rFonts w:hint="eastAsia" w:ascii="宋体" w:hAnsi="宋体" w:eastAsia="宋体" w:cs="宋体"/>
          <w:sz w:val="24"/>
          <w:szCs w:val="24"/>
        </w:rPr>
        <w:t>——楼层卫生间墙面、顶面（或地面）采用干式工法的面积之和；</w:t>
      </w:r>
    </w:p>
    <w:p w14:paraId="1BE42946">
      <w:pPr>
        <w:spacing w:line="360" w:lineRule="auto"/>
        <w:ind w:firstLine="729" w:firstLineChars="304"/>
        <w:rPr>
          <w:rFonts w:hint="eastAsia" w:ascii="宋体" w:hAnsi="宋体" w:eastAsia="宋体" w:cs="宋体"/>
          <w:sz w:val="24"/>
          <w:szCs w:val="24"/>
        </w:rPr>
      </w:pPr>
      <w:r>
        <w:rPr>
          <w:rFonts w:hint="default" w:ascii="Times New Roman" w:hAnsi="Times New Roman" w:eastAsia="宋体" w:cs="Times New Roman"/>
          <w:sz w:val="24"/>
          <w:szCs w:val="24"/>
        </w:rPr>
        <w:t>A</w:t>
      </w:r>
      <w:r>
        <w:rPr>
          <w:rFonts w:hint="default" w:ascii="Times New Roman" w:hAnsi="Times New Roman" w:eastAsia="宋体" w:cs="Times New Roman"/>
          <w:sz w:val="24"/>
          <w:szCs w:val="24"/>
          <w:vertAlign w:val="subscript"/>
        </w:rPr>
        <w:t>b</w:t>
      </w:r>
      <w:r>
        <w:rPr>
          <w:rFonts w:hint="eastAsia" w:ascii="宋体" w:hAnsi="宋体" w:eastAsia="宋体" w:cs="宋体"/>
          <w:sz w:val="24"/>
          <w:szCs w:val="24"/>
        </w:rPr>
        <w:t>——各楼层卫生间的墙面、顶面（或地面）的总面积。</w:t>
      </w:r>
    </w:p>
    <w:p w14:paraId="2BEE214D">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5.2.11</w:t>
      </w:r>
      <w:r>
        <w:rPr>
          <w:rFonts w:hint="eastAsia" w:ascii="宋体" w:hAnsi="宋体" w:cs="宋体"/>
          <w:sz w:val="24"/>
          <w:szCs w:val="24"/>
        </w:rPr>
        <w:t>　</w:t>
      </w:r>
      <w:r>
        <w:rPr>
          <w:rFonts w:hint="eastAsia" w:ascii="宋体" w:hAnsi="宋体" w:eastAsia="宋体" w:cs="宋体"/>
          <w:sz w:val="24"/>
          <w:szCs w:val="24"/>
        </w:rPr>
        <w:t>工业建筑低碳改造，宜充分考虑太阳能技术的利用，有条件时采取太阳能与建筑一体化。对屋面进行改造时，设计时考虑太阳能光伏组件、太阳能集热器的布置，对结构荷载进行复核，并通过改造屋面预留连接构件，使太阳能组件与建筑很好地结合。当立面日照条件较好时，可结合立面在窗间墙设置光伏组件。太阳能光伏/光热提供的能量比例，参考《绿色建筑评价标准》</w:t>
      </w:r>
      <w:r>
        <w:rPr>
          <w:rFonts w:hint="default" w:ascii="Times New Roman" w:hAnsi="Times New Roman" w:eastAsia="宋体" w:cs="Times New Roman"/>
          <w:sz w:val="24"/>
          <w:szCs w:val="24"/>
        </w:rPr>
        <w:t>7.2.9</w:t>
      </w:r>
      <w:r>
        <w:rPr>
          <w:rFonts w:hint="eastAsia" w:ascii="宋体" w:hAnsi="宋体" w:eastAsia="宋体" w:cs="宋体"/>
          <w:sz w:val="24"/>
          <w:szCs w:val="24"/>
        </w:rPr>
        <w:t>条确定。</w:t>
      </w:r>
    </w:p>
    <w:p w14:paraId="2ECF3B3E">
      <w:pPr>
        <w:pStyle w:val="28"/>
        <w:spacing w:before="0" w:beforeLines="0" w:after="0" w:afterLines="0" w:line="360" w:lineRule="auto"/>
        <w:ind w:firstLine="0" w:firstLineChars="0"/>
        <w:jc w:val="center"/>
        <w:outlineLvl w:val="2"/>
        <w:rPr>
          <w:rFonts w:hint="eastAsia" w:eastAsia="宋体" w:cs="Times New Roman"/>
          <w:b/>
          <w:bCs/>
          <w:sz w:val="28"/>
          <w:szCs w:val="28"/>
          <w:lang w:eastAsia="zh-CN"/>
        </w:rPr>
      </w:pPr>
      <w:r>
        <w:rPr>
          <w:rFonts w:hint="eastAsia" w:cs="Times New Roman"/>
          <w:b/>
          <w:bCs/>
          <w:sz w:val="28"/>
          <w:szCs w:val="28"/>
        </w:rPr>
        <w:t xml:space="preserve">Ⅱ </w:t>
      </w:r>
      <w:r>
        <w:rPr>
          <w:rFonts w:hint="eastAsia" w:ascii="仿宋" w:hAnsi="仿宋" w:eastAsia="仿宋" w:cs="仿宋"/>
          <w:b/>
          <w:bCs/>
          <w:sz w:val="28"/>
          <w:szCs w:val="28"/>
        </w:rPr>
        <w:t>建筑围护结构</w:t>
      </w:r>
    </w:p>
    <w:p w14:paraId="7757789D">
      <w:pPr>
        <w:widowControl/>
        <w:spacing w:line="360" w:lineRule="auto"/>
        <w:ind w:firstLine="0" w:firstLineChars="0"/>
        <w:jc w:val="both"/>
        <w:rPr>
          <w:rFonts w:hint="eastAsia" w:ascii="宋体" w:hAnsi="宋体" w:eastAsia="宋体" w:cs="宋体"/>
          <w:sz w:val="24"/>
          <w:szCs w:val="24"/>
        </w:rPr>
      </w:pPr>
      <w:r>
        <w:rPr>
          <w:rFonts w:hint="default" w:ascii="Times New Roman" w:hAnsi="Times New Roman" w:eastAsia="宋体" w:cs="Times New Roman"/>
          <w:b/>
          <w:bCs/>
          <w:sz w:val="24"/>
          <w:szCs w:val="24"/>
        </w:rPr>
        <w:t>5.2.12</w:t>
      </w:r>
      <w:r>
        <w:rPr>
          <w:rFonts w:hint="eastAsia" w:ascii="宋体" w:hAnsi="宋体" w:cs="宋体"/>
          <w:sz w:val="24"/>
          <w:szCs w:val="24"/>
        </w:rPr>
        <w:t>　</w:t>
      </w:r>
      <w:r>
        <w:rPr>
          <w:rFonts w:hint="eastAsia" w:ascii="宋体" w:hAnsi="宋体" w:eastAsia="宋体" w:cs="宋体"/>
          <w:color w:val="000000"/>
          <w:kern w:val="0"/>
          <w:sz w:val="24"/>
          <w:szCs w:val="24"/>
          <w:lang w:bidi="ar"/>
        </w:rPr>
        <w:t xml:space="preserve">本条适用于预评价和评价。 </w:t>
      </w:r>
    </w:p>
    <w:p w14:paraId="07666913">
      <w:pPr>
        <w:widowControl/>
        <w:spacing w:line="360" w:lineRule="auto"/>
        <w:ind w:firstLine="422"/>
        <w:jc w:val="both"/>
        <w:rPr>
          <w:rFonts w:hint="eastAsia" w:ascii="宋体" w:hAnsi="宋体" w:eastAsia="宋体" w:cs="宋体"/>
          <w:sz w:val="24"/>
          <w:szCs w:val="24"/>
        </w:rPr>
      </w:pPr>
      <w:r>
        <w:rPr>
          <w:rFonts w:hint="eastAsia" w:ascii="宋体" w:hAnsi="宋体" w:eastAsia="宋体" w:cs="宋体"/>
          <w:sz w:val="24"/>
          <w:szCs w:val="24"/>
          <w:lang w:bidi="ar"/>
        </w:rPr>
        <w:t>与新建建筑相比，既有工业建筑民用化低碳改造时，如果需要对建筑外立面进行保护，</w:t>
      </w:r>
      <w:r>
        <w:rPr>
          <w:rFonts w:hint="eastAsia" w:ascii="宋体" w:hAnsi="宋体" w:cs="宋体"/>
          <w:sz w:val="24"/>
          <w:szCs w:val="24"/>
          <w:lang w:val="en-US" w:eastAsia="zh-CN" w:bidi="ar"/>
        </w:rPr>
        <w:t>则</w:t>
      </w:r>
      <w:r>
        <w:rPr>
          <w:rFonts w:hint="eastAsia" w:ascii="宋体" w:hAnsi="宋体" w:eastAsia="宋体" w:cs="宋体"/>
          <w:sz w:val="24"/>
          <w:szCs w:val="24"/>
          <w:lang w:bidi="ar"/>
        </w:rPr>
        <w:t>很大程度上限制了采用外墙外保温措施提升建筑围护结构的热工性能。故本标准控制项第</w:t>
      </w:r>
      <w:r>
        <w:rPr>
          <w:rFonts w:hint="default" w:ascii="Times New Roman" w:hAnsi="Times New Roman" w:eastAsia="宋体" w:cs="Times New Roman"/>
          <w:sz w:val="24"/>
          <w:szCs w:val="24"/>
          <w:lang w:bidi="ar"/>
        </w:rPr>
        <w:t>5.2.7</w:t>
      </w:r>
      <w:r>
        <w:rPr>
          <w:rFonts w:hint="eastAsia" w:ascii="宋体" w:hAnsi="宋体" w:eastAsia="宋体" w:cs="宋体"/>
          <w:sz w:val="24"/>
          <w:szCs w:val="24"/>
          <w:lang w:bidi="ar"/>
        </w:rPr>
        <w:t>第</w:t>
      </w:r>
      <w:r>
        <w:rPr>
          <w:rFonts w:hint="default" w:ascii="Times New Roman" w:hAnsi="Times New Roman" w:eastAsia="宋体" w:cs="Times New Roman"/>
          <w:sz w:val="24"/>
          <w:szCs w:val="24"/>
          <w:lang w:bidi="ar"/>
        </w:rPr>
        <w:t>1</w:t>
      </w:r>
      <w:r>
        <w:rPr>
          <w:rFonts w:hint="eastAsia" w:ascii="宋体" w:hAnsi="宋体" w:eastAsia="宋体" w:cs="宋体"/>
          <w:sz w:val="24"/>
          <w:szCs w:val="24"/>
          <w:lang w:bidi="ar"/>
        </w:rPr>
        <w:t xml:space="preserve">款对既有工业建筑民用化低碳改造时的新增围护结构热工性能提出了要求。但是，围护结构的热工性能对建筑冬季供暖和夏季空调的能耗，以及室内热舒适度的影响很大，国家对此制定了专门的技术标准，故本条鼓励采取合理措施，提升改造建筑整体围护结构热工性能。 </w:t>
      </w:r>
    </w:p>
    <w:p w14:paraId="45906B5D">
      <w:pPr>
        <w:widowControl/>
        <w:spacing w:line="360" w:lineRule="auto"/>
        <w:ind w:firstLine="422"/>
        <w:jc w:val="both"/>
        <w:rPr>
          <w:rFonts w:hint="eastAsia" w:ascii="宋体" w:hAnsi="宋体" w:eastAsia="宋体" w:cs="宋体"/>
          <w:sz w:val="24"/>
          <w:szCs w:val="24"/>
        </w:rPr>
      </w:pPr>
      <w:r>
        <w:rPr>
          <w:rFonts w:hint="eastAsia" w:ascii="宋体" w:hAnsi="宋体" w:eastAsia="宋体" w:cs="宋体"/>
          <w:sz w:val="24"/>
          <w:szCs w:val="24"/>
          <w:lang w:bidi="ar"/>
        </w:rPr>
        <w:t>第</w:t>
      </w:r>
      <w:r>
        <w:rPr>
          <w:rFonts w:hint="default" w:ascii="Times New Roman" w:hAnsi="Times New Roman" w:eastAsia="宋体" w:cs="Times New Roman"/>
          <w:sz w:val="24"/>
          <w:szCs w:val="24"/>
          <w:lang w:bidi="ar"/>
        </w:rPr>
        <w:t>1</w:t>
      </w:r>
      <w:r>
        <w:rPr>
          <w:rFonts w:hint="eastAsia" w:ascii="宋体" w:hAnsi="宋体" w:eastAsia="宋体" w:cs="宋体"/>
          <w:sz w:val="24"/>
          <w:szCs w:val="24"/>
          <w:lang w:bidi="ar"/>
        </w:rPr>
        <w:t>款，要求既有工业建筑民用化低碳改造时，建筑整体围护结构热工性能达到或优于《公共建筑节能改造技术规范》</w:t>
      </w:r>
      <w:r>
        <w:rPr>
          <w:rFonts w:hint="default" w:ascii="Times New Roman" w:hAnsi="Times New Roman" w:eastAsia="宋体" w:cs="Times New Roman"/>
          <w:sz w:val="24"/>
          <w:szCs w:val="24"/>
          <w:lang w:bidi="ar"/>
        </w:rPr>
        <w:t>JGJ</w:t>
      </w:r>
      <w:r>
        <w:rPr>
          <w:rFonts w:hint="eastAsia" w:cs="Times New Roman"/>
          <w:sz w:val="24"/>
          <w:szCs w:val="24"/>
          <w:lang w:val="en-US" w:eastAsia="zh-CN" w:bidi="ar"/>
        </w:rPr>
        <w:t xml:space="preserve"> </w:t>
      </w:r>
      <w:r>
        <w:rPr>
          <w:rFonts w:hint="default" w:ascii="Times New Roman" w:hAnsi="Times New Roman" w:eastAsia="宋体" w:cs="Times New Roman"/>
          <w:sz w:val="24"/>
          <w:szCs w:val="24"/>
          <w:lang w:bidi="ar"/>
        </w:rPr>
        <w:t>176</w:t>
      </w:r>
      <w:r>
        <w:rPr>
          <w:rFonts w:hint="eastAsia" w:ascii="宋体" w:hAnsi="宋体" w:eastAsia="宋体" w:cs="宋体"/>
          <w:sz w:val="24"/>
          <w:szCs w:val="24"/>
          <w:lang w:bidi="ar"/>
        </w:rPr>
        <w:t>等对外墙、屋顶、外窗、幕墙等围护结构主要部位的传热系数K和太阳得热系数</w:t>
      </w:r>
      <w:r>
        <w:rPr>
          <w:rFonts w:hint="default" w:ascii="Times New Roman" w:hAnsi="Times New Roman" w:eastAsia="宋体" w:cs="Times New Roman"/>
          <w:sz w:val="24"/>
          <w:szCs w:val="24"/>
          <w:lang w:bidi="ar"/>
        </w:rPr>
        <w:t>SHGC</w:t>
      </w:r>
      <w:r>
        <w:rPr>
          <w:rFonts w:hint="eastAsia" w:ascii="宋体" w:hAnsi="宋体" w:eastAsia="宋体" w:cs="宋体"/>
          <w:sz w:val="24"/>
          <w:szCs w:val="24"/>
          <w:lang w:bidi="ar"/>
        </w:rPr>
        <w:t xml:space="preserve">的要求。 </w:t>
      </w:r>
    </w:p>
    <w:p w14:paraId="596BA42B">
      <w:pPr>
        <w:widowControl/>
        <w:spacing w:line="360" w:lineRule="auto"/>
        <w:ind w:firstLine="422"/>
        <w:jc w:val="both"/>
        <w:rPr>
          <w:rFonts w:hint="eastAsia" w:ascii="宋体" w:hAnsi="宋体" w:eastAsia="宋体" w:cs="宋体"/>
          <w:sz w:val="24"/>
          <w:szCs w:val="24"/>
        </w:rPr>
      </w:pPr>
      <w:r>
        <w:rPr>
          <w:rFonts w:hint="eastAsia" w:ascii="宋体" w:hAnsi="宋体" w:eastAsia="宋体" w:cs="宋体"/>
          <w:sz w:val="24"/>
          <w:szCs w:val="24"/>
          <w:lang w:bidi="ar"/>
        </w:rPr>
        <w:t>第</w:t>
      </w:r>
      <w:r>
        <w:rPr>
          <w:rFonts w:hint="default" w:ascii="Times New Roman" w:hAnsi="Times New Roman" w:eastAsia="宋体" w:cs="Times New Roman"/>
          <w:sz w:val="24"/>
          <w:szCs w:val="24"/>
          <w:lang w:bidi="ar"/>
        </w:rPr>
        <w:t>2</w:t>
      </w:r>
      <w:r>
        <w:rPr>
          <w:rFonts w:hint="eastAsia" w:ascii="宋体" w:hAnsi="宋体" w:eastAsia="宋体" w:cs="宋体"/>
          <w:sz w:val="24"/>
          <w:szCs w:val="24"/>
          <w:lang w:bidi="ar"/>
        </w:rPr>
        <w:t>款，建筑围护结构节能率指的是，与参照建筑相比，设计建筑通过围护结构热工性能改善而使全年供暖空调负荷降低的百分数。本款规定只要既有工业建筑民用化低碳改造后的暖通空调负荷不低于参照建筑的负荷，同样可以得到满分。</w:t>
      </w:r>
    </w:p>
    <w:p w14:paraId="353B4BB9">
      <w:pPr>
        <w:widowControl/>
        <w:spacing w:line="360" w:lineRule="auto"/>
        <w:ind w:firstLine="422"/>
        <w:jc w:val="both"/>
        <w:rPr>
          <w:rFonts w:hint="eastAsia" w:ascii="宋体" w:hAnsi="宋体" w:eastAsia="宋体" w:cs="宋体"/>
          <w:sz w:val="24"/>
          <w:szCs w:val="24"/>
          <w:highlight w:val="yellow"/>
        </w:rPr>
      </w:pPr>
      <w:r>
        <w:rPr>
          <w:rFonts w:hint="eastAsia" w:ascii="宋体" w:hAnsi="宋体" w:eastAsia="宋体" w:cs="宋体"/>
          <w:sz w:val="24"/>
          <w:szCs w:val="24"/>
          <w:lang w:bidi="ar"/>
        </w:rPr>
        <w:t>本条的评价方法为：预评价查阅相关设计文件（设计说明、围护结构施工详图）、节能计算书、建筑围护结构节能率分析报告；评价查阅相关竣工图（设计说明、围护结构施工详图）、节能计算书、建筑围护结构节能率分析报告。</w:t>
      </w:r>
    </w:p>
    <w:p w14:paraId="699EA322">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5.2.13</w:t>
      </w:r>
      <w:r>
        <w:rPr>
          <w:rFonts w:hint="eastAsia" w:ascii="宋体" w:hAnsi="宋体" w:cs="宋体"/>
          <w:sz w:val="24"/>
          <w:szCs w:val="24"/>
        </w:rPr>
        <w:t>　</w:t>
      </w:r>
      <w:r>
        <w:rPr>
          <w:rFonts w:hint="eastAsia" w:ascii="宋体" w:hAnsi="宋体" w:eastAsia="宋体" w:cs="宋体"/>
          <w:sz w:val="24"/>
          <w:szCs w:val="24"/>
        </w:rPr>
        <w:t>由于工业建筑大多没有地下室，与土壤直接接触的地坪虽然结构较厚，但保温性能并不能满足要求。因此，在地坪的改造方面，建议结合室内外高差，参照上人保温屋面的做法，在原有地坪上设置防潮保温层。</w:t>
      </w:r>
    </w:p>
    <w:p w14:paraId="6CAA3E60">
      <w:pPr>
        <w:widowControl/>
        <w:spacing w:line="360" w:lineRule="auto"/>
        <w:ind w:firstLine="480" w:firstLineChars="200"/>
        <w:jc w:val="both"/>
        <w:rPr>
          <w:rFonts w:ascii="宋体" w:hAnsi="宋体" w:cs="宋体"/>
          <w:b/>
          <w:bCs/>
          <w:kern w:val="44"/>
          <w:sz w:val="24"/>
          <w:szCs w:val="24"/>
        </w:rPr>
      </w:pPr>
      <w:r>
        <w:rPr>
          <w:rFonts w:hint="eastAsia" w:ascii="宋体" w:hAnsi="宋体" w:eastAsia="宋体" w:cs="宋体"/>
          <w:sz w:val="24"/>
          <w:szCs w:val="24"/>
        </w:rPr>
        <w:t>本条的评价方法为：预评价查阅相关设计文件；评价查阅相关竣工图、相关测试报告。</w:t>
      </w:r>
    </w:p>
    <w:p w14:paraId="4EF804E9">
      <w:pPr>
        <w:widowControl/>
        <w:snapToGrid w:val="0"/>
        <w:spacing w:line="360" w:lineRule="auto"/>
        <w:jc w:val="both"/>
        <w:outlineLvl w:val="0"/>
        <w:rPr>
          <w:rFonts w:ascii="宋体" w:hAnsi="宋体" w:cs="宋体"/>
          <w:b/>
          <w:bCs/>
          <w:kern w:val="44"/>
          <w:sz w:val="24"/>
          <w:szCs w:val="24"/>
        </w:rPr>
        <w:sectPr>
          <w:footerReference r:id="rId15" w:type="default"/>
          <w:pgSz w:w="11906" w:h="16838"/>
          <w:pgMar w:top="1440" w:right="1800" w:bottom="1440" w:left="1800" w:header="851" w:footer="992" w:gutter="0"/>
          <w:cols w:space="425" w:num="1"/>
          <w:docGrid w:type="lines" w:linePitch="312" w:charSpace="0"/>
        </w:sectPr>
      </w:pPr>
    </w:p>
    <w:p w14:paraId="3EE0CF9B">
      <w:pPr>
        <w:widowControl/>
        <w:snapToGrid w:val="0"/>
        <w:spacing w:line="360" w:lineRule="auto"/>
        <w:jc w:val="both"/>
        <w:outlineLvl w:val="9"/>
        <w:rPr>
          <w:rFonts w:ascii="Times New Roman" w:hAnsi="Times New Roman" w:cs="Times New Roman"/>
          <w:b/>
          <w:bCs w:val="0"/>
          <w:kern w:val="2"/>
          <w:sz w:val="30"/>
          <w:szCs w:val="30"/>
        </w:rPr>
      </w:pPr>
    </w:p>
    <w:p w14:paraId="5BCF3D25">
      <w:pPr>
        <w:widowControl/>
        <w:snapToGrid w:val="0"/>
        <w:spacing w:line="360" w:lineRule="auto"/>
        <w:jc w:val="center"/>
        <w:outlineLvl w:val="0"/>
        <w:rPr>
          <w:rFonts w:hint="default" w:eastAsia="宋体"/>
          <w:b/>
          <w:sz w:val="30"/>
          <w:szCs w:val="30"/>
          <w:lang w:eastAsia="zh-CN"/>
        </w:rPr>
      </w:pPr>
      <w:bookmarkStart w:id="279" w:name="_Toc25990"/>
      <w:bookmarkStart w:id="280" w:name="_Toc29871"/>
      <w:r>
        <w:rPr>
          <w:rFonts w:ascii="Times New Roman" w:hAnsi="Times New Roman" w:cs="Times New Roman"/>
          <w:b/>
          <w:bCs w:val="0"/>
          <w:kern w:val="2"/>
          <w:sz w:val="30"/>
          <w:szCs w:val="30"/>
        </w:rPr>
        <w:t xml:space="preserve">6 </w:t>
      </w:r>
      <w:r>
        <w:rPr>
          <w:rFonts w:hint="default" w:ascii="Times New Roman" w:hAnsi="Times New Roman" w:cs="Times New Roman"/>
          <w:b/>
          <w:bCs w:val="0"/>
          <w:kern w:val="2"/>
          <w:sz w:val="30"/>
          <w:szCs w:val="30"/>
        </w:rPr>
        <w:t>能源与水资源利用</w:t>
      </w:r>
      <w:bookmarkEnd w:id="279"/>
      <w:bookmarkEnd w:id="280"/>
    </w:p>
    <w:p w14:paraId="0435A7A4">
      <w:pPr>
        <w:tabs>
          <w:tab w:val="left" w:pos="0"/>
        </w:tabs>
        <w:spacing w:before="0" w:beforeLines="0" w:after="0" w:afterLines="0" w:line="360" w:lineRule="auto"/>
        <w:jc w:val="center"/>
        <w:outlineLvl w:val="1"/>
        <w:rPr>
          <w:rFonts w:ascii="黑体" w:hAnsi="黑体" w:eastAsia="黑体" w:cs="黑体"/>
          <w:b/>
          <w:bCs/>
          <w:sz w:val="28"/>
          <w:szCs w:val="28"/>
        </w:rPr>
      </w:pPr>
      <w:bookmarkStart w:id="281" w:name="_Toc8542"/>
      <w:bookmarkStart w:id="282" w:name="_Toc31953"/>
      <w:r>
        <w:rPr>
          <w:rFonts w:ascii="Times New Roman" w:hAnsi="Times New Roman" w:eastAsia="黑体" w:cs="Times New Roman"/>
          <w:b/>
          <w:bCs/>
          <w:sz w:val="28"/>
          <w:szCs w:val="28"/>
        </w:rPr>
        <w:t>6.1</w:t>
      </w:r>
      <w:r>
        <w:rPr>
          <w:rFonts w:ascii="黑体" w:hAnsi="黑体" w:eastAsia="黑体" w:cs="黑体"/>
          <w:b/>
          <w:bCs/>
          <w:sz w:val="28"/>
          <w:szCs w:val="28"/>
        </w:rPr>
        <w:t xml:space="preserve"> </w:t>
      </w:r>
      <w:r>
        <w:rPr>
          <w:rFonts w:hint="eastAsia" w:ascii="黑体" w:hAnsi="黑体" w:eastAsia="黑体" w:cs="黑体"/>
          <w:b/>
          <w:bCs/>
          <w:sz w:val="28"/>
          <w:szCs w:val="28"/>
        </w:rPr>
        <w:t>控制项</w:t>
      </w:r>
      <w:bookmarkEnd w:id="281"/>
      <w:bookmarkEnd w:id="282"/>
    </w:p>
    <w:p w14:paraId="6D3AAE9F">
      <w:pPr>
        <w:pStyle w:val="28"/>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6.1.1</w:t>
      </w:r>
      <w:r>
        <w:rPr>
          <w:rFonts w:hint="eastAsia" w:ascii="宋体" w:hAnsi="宋体" w:cs="宋体"/>
          <w:sz w:val="24"/>
          <w:szCs w:val="24"/>
        </w:rPr>
        <w:t>　</w:t>
      </w:r>
      <w:r>
        <w:rPr>
          <w:rFonts w:hint="eastAsia" w:ascii="宋体" w:hAnsi="宋体" w:eastAsia="宋体" w:cs="宋体"/>
          <w:sz w:val="24"/>
          <w:szCs w:val="24"/>
        </w:rPr>
        <w:t>本条适用于预评价和评价。</w:t>
      </w:r>
    </w:p>
    <w:p w14:paraId="33C05BD3">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1</w:t>
      </w:r>
      <w:r>
        <w:rPr>
          <w:rFonts w:hint="eastAsia" w:ascii="宋体" w:hAnsi="宋体" w:eastAsia="宋体" w:cs="宋体"/>
          <w:sz w:val="24"/>
          <w:szCs w:val="24"/>
        </w:rPr>
        <w:t>款，建筑应满足室内热环境舒适度的要求。采用集中供暖空调系统的建筑，其房间的温度、湿度、新风量等是室内热环境的重要指标，应满足现行国家标准《民用建筑供暖通风与空气调节设计规范》</w:t>
      </w:r>
      <w:r>
        <w:rPr>
          <w:rFonts w:hint="default" w:ascii="Times New Roman" w:hAnsi="Times New Roman" w:eastAsia="宋体" w:cs="Times New Roman"/>
          <w:sz w:val="24"/>
          <w:szCs w:val="24"/>
        </w:rPr>
        <w:t>GB 50736</w:t>
      </w:r>
      <w:r>
        <w:rPr>
          <w:rFonts w:hint="eastAsia" w:ascii="宋体" w:hAnsi="宋体" w:eastAsia="宋体" w:cs="宋体"/>
          <w:sz w:val="24"/>
          <w:szCs w:val="24"/>
        </w:rPr>
        <w:t>中的有关规定。对于非集中供暖空调系统的建筑，应有保障室内热环境的措施或预留条件，如分体空调安装条件等。</w:t>
      </w:r>
    </w:p>
    <w:p w14:paraId="5031B194">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2</w:t>
      </w:r>
      <w:r>
        <w:rPr>
          <w:rFonts w:hint="eastAsia" w:ascii="宋体" w:hAnsi="宋体" w:eastAsia="宋体" w:cs="宋体"/>
          <w:sz w:val="24"/>
          <w:szCs w:val="24"/>
        </w:rPr>
        <w:t>款，对于工业建筑进行民用化改造过程中，原有的工业建筑机电系统因建筑功能的改变基本上无法适用，本款对于新增的机电系统和设备要求其应满足《建筑节能与可再生能源利用通用规范》</w:t>
      </w:r>
      <w:r>
        <w:rPr>
          <w:rFonts w:hint="default" w:ascii="Times New Roman" w:hAnsi="Times New Roman" w:eastAsia="宋体" w:cs="Times New Roman"/>
          <w:sz w:val="24"/>
          <w:szCs w:val="24"/>
        </w:rPr>
        <w:t>GB</w:t>
      </w:r>
      <w:r>
        <w:rPr>
          <w:rFonts w:hint="eastAsia" w:cs="Times New Roman"/>
          <w:sz w:val="24"/>
          <w:szCs w:val="24"/>
          <w:lang w:val="en-US" w:eastAsia="zh-CN"/>
        </w:rPr>
        <w:t xml:space="preserve"> </w:t>
      </w:r>
      <w:r>
        <w:rPr>
          <w:rFonts w:hint="default" w:ascii="Times New Roman" w:hAnsi="Times New Roman" w:eastAsia="宋体" w:cs="Times New Roman"/>
          <w:sz w:val="24"/>
          <w:szCs w:val="24"/>
        </w:rPr>
        <w:t>55015</w:t>
      </w:r>
      <w:r>
        <w:rPr>
          <w:rFonts w:hint="eastAsia" w:ascii="宋体" w:hAnsi="宋体" w:eastAsia="宋体" w:cs="宋体"/>
          <w:sz w:val="24"/>
          <w:szCs w:val="24"/>
        </w:rPr>
        <w:t>的要求。如经节能诊断和系统评估，现有设备、系统未达到设计使用年限，且运行正常，或系统已达到设计使用年限系统，但能满足现行国家标准的要求，可沿用现有系统，进行局部改造，改造设计可参考《公共建筑节能改造技术规范</w:t>
      </w:r>
      <w:r>
        <w:rPr>
          <w:rFonts w:hint="default" w:ascii="Times New Roman" w:hAnsi="Times New Roman" w:eastAsia="宋体" w:cs="Times New Roman"/>
          <w:sz w:val="24"/>
          <w:szCs w:val="24"/>
        </w:rPr>
        <w:t>》JGJ</w:t>
      </w:r>
      <w:r>
        <w:rPr>
          <w:rFonts w:hint="eastAsia" w:cs="Times New Roman"/>
          <w:sz w:val="24"/>
          <w:szCs w:val="24"/>
          <w:lang w:val="en-US" w:eastAsia="zh-CN"/>
        </w:rPr>
        <w:t xml:space="preserve"> </w:t>
      </w:r>
      <w:r>
        <w:rPr>
          <w:rFonts w:hint="default" w:ascii="Times New Roman" w:hAnsi="Times New Roman" w:eastAsia="宋体" w:cs="Times New Roman"/>
          <w:sz w:val="24"/>
          <w:szCs w:val="24"/>
        </w:rPr>
        <w:t>176</w:t>
      </w:r>
      <w:r>
        <w:rPr>
          <w:rFonts w:hint="eastAsia" w:ascii="宋体" w:hAnsi="宋体" w:eastAsia="宋体" w:cs="宋体"/>
          <w:sz w:val="24"/>
          <w:szCs w:val="24"/>
        </w:rPr>
        <w:t>。</w:t>
      </w:r>
    </w:p>
    <w:p w14:paraId="5F959172">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本条的评价方法为：预评价查阅相关设计文件；评价查阅相关竣工图、室内温湿度检测报告。</w:t>
      </w:r>
    </w:p>
    <w:p w14:paraId="3A12CD28">
      <w:pPr>
        <w:pStyle w:val="28"/>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6.1.2</w:t>
      </w:r>
      <w:r>
        <w:rPr>
          <w:rFonts w:hint="eastAsia" w:ascii="宋体" w:hAnsi="宋体" w:cs="宋体"/>
          <w:sz w:val="24"/>
          <w:szCs w:val="24"/>
        </w:rPr>
        <w:t>　</w:t>
      </w:r>
      <w:r>
        <w:rPr>
          <w:rFonts w:hint="eastAsia" w:ascii="宋体" w:hAnsi="宋体" w:eastAsia="宋体" w:cs="宋体"/>
          <w:sz w:val="24"/>
          <w:szCs w:val="24"/>
        </w:rPr>
        <w:t>本条适用于预评价和评价。本条适用于预评价和评价。</w:t>
      </w:r>
    </w:p>
    <w:p w14:paraId="112BFDBE">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既有工业建筑建成时间大都比较久远，由于历史原因可能存在排水系统不满足现有规范的情况，改造前应充分了解既有排水模式和排水水质的现状。如果项目周边市政排水已实现雨污分流，或有规划将进行雨污分流时，应对项目内的雨污合流系统进行相应的分流制改造。对于项目周边市政排水很难进行雨污分流改造的老旧城区，也可对项目内的雨水进行海绵化改造，雨水排水系统可以通过采取渗、滞、蓄、净、用、排的海绵设施进行雨水的控制与利用。雨污水的排水水质不满足国家和地方排放标准要求时，还应增设水处理设施，确保达标排放。</w:t>
      </w:r>
    </w:p>
    <w:p w14:paraId="7643CEDE">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本条的评价方法为：预评价查阅项目所在地区市政排水情况、既有项目雨污排水系统的调研评估报告、相关改造设计文件；评价查阅相关改造竣工图、雨污水达标排放情况报告、水处理设备设施管理制度、工作记录，必要时现场核查。</w:t>
      </w:r>
    </w:p>
    <w:p w14:paraId="1A18AD58">
      <w:pPr>
        <w:pStyle w:val="28"/>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6.1.3</w:t>
      </w:r>
      <w:r>
        <w:rPr>
          <w:rFonts w:hint="eastAsia" w:ascii="宋体" w:hAnsi="宋体" w:cs="宋体"/>
          <w:sz w:val="24"/>
          <w:szCs w:val="24"/>
        </w:rPr>
        <w:t>　</w:t>
      </w:r>
      <w:r>
        <w:rPr>
          <w:rFonts w:hint="eastAsia" w:ascii="宋体" w:hAnsi="宋体" w:eastAsia="宋体" w:cs="宋体"/>
          <w:sz w:val="24"/>
          <w:szCs w:val="24"/>
        </w:rPr>
        <w:t>本条适用于预评价和评价。对于改造后未应用可再生能源利用的项目，本条直接通过。</w:t>
      </w:r>
    </w:p>
    <w:p w14:paraId="5F51BAC6">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1</w:t>
      </w:r>
      <w:r>
        <w:rPr>
          <w:rFonts w:hint="eastAsia" w:ascii="宋体" w:hAnsi="宋体" w:eastAsia="宋体" w:cs="宋体"/>
          <w:sz w:val="24"/>
          <w:szCs w:val="24"/>
        </w:rPr>
        <w:t>款，可再生能源利用具有节能减排的综合效益，利用可再生能源提供生活热水、作为采暖或空调系统的冷热源等已有很多成功案例，适宜广泛推广。工业建筑一般有较为理想的屋面资源，可在结构荷载允许下，充分按照应铺尽铺原则设计，同时应注意光伏光热系统应用形式不应影响整体建筑风貌。本款要求如进行太阳能光热光电系统利用时，对其系统的基本要求要满足《建筑节能与可再生能源利用通用规范》</w:t>
      </w:r>
      <w:r>
        <w:rPr>
          <w:rFonts w:hint="default" w:ascii="Times New Roman" w:hAnsi="Times New Roman" w:eastAsia="宋体" w:cs="Times New Roman"/>
          <w:sz w:val="24"/>
          <w:szCs w:val="24"/>
        </w:rPr>
        <w:t>GB</w:t>
      </w:r>
      <w:r>
        <w:rPr>
          <w:rFonts w:hint="eastAsia" w:cs="Times New Roman"/>
          <w:sz w:val="24"/>
          <w:szCs w:val="24"/>
          <w:lang w:val="en-US" w:eastAsia="zh-CN"/>
        </w:rPr>
        <w:t xml:space="preserve"> </w:t>
      </w:r>
      <w:r>
        <w:rPr>
          <w:rFonts w:hint="default" w:ascii="Times New Roman" w:hAnsi="Times New Roman" w:eastAsia="宋体" w:cs="Times New Roman"/>
          <w:sz w:val="24"/>
          <w:szCs w:val="24"/>
        </w:rPr>
        <w:t>55015</w:t>
      </w:r>
      <w:r>
        <w:rPr>
          <w:rFonts w:hint="eastAsia" w:ascii="宋体" w:hAnsi="宋体" w:eastAsia="宋体" w:cs="宋体"/>
          <w:sz w:val="24"/>
          <w:szCs w:val="24"/>
        </w:rPr>
        <w:t>的规定。</w:t>
      </w:r>
    </w:p>
    <w:p w14:paraId="00697A11">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2</w:t>
      </w:r>
      <w:r>
        <w:rPr>
          <w:rFonts w:hint="eastAsia" w:ascii="宋体" w:hAnsi="宋体" w:eastAsia="宋体" w:cs="宋体"/>
          <w:sz w:val="24"/>
          <w:szCs w:val="24"/>
        </w:rPr>
        <w:t>款，地源热泵系统作为可再生能源利用的一种形式，设计及运行管理合理时，可以起到良好的节能效果。改造后以用热为主的建筑，在考虑相应的辅助热源后，可采用地埋管地源热泵系统。改造后以用冷为主的建筑，在考虑相应的辅助冷源后，可采用地源热泵系统。当工业建筑改造时采用地源热泵利用时，需结合所在气候区和改造后的功能类型进行地源热泵系统的适宜性判定，其影响因素包括所在地的土壤温度、建筑冷热负荷需求特征等。当建设项目临近江、河、湖水等地表淡水水源或污水水源，并征得相关部门同意后，建设项目应优先采用地表水地源热泵系统。当使用地埋管地源热泵系统时，须考虑埋管空间的可行性。本款从降碳节能的角度考虑，对地源泵系统的能效做出了限值要求。</w:t>
      </w:r>
    </w:p>
    <w:p w14:paraId="14472AC9">
      <w:pPr>
        <w:pStyle w:val="28"/>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6.1.4</w:t>
      </w:r>
      <w:r>
        <w:rPr>
          <w:rFonts w:hint="eastAsia" w:ascii="宋体" w:hAnsi="宋体" w:cs="宋体"/>
          <w:sz w:val="24"/>
          <w:szCs w:val="24"/>
        </w:rPr>
        <w:t>　</w:t>
      </w:r>
      <w:r>
        <w:rPr>
          <w:rFonts w:hint="eastAsia" w:ascii="宋体" w:hAnsi="宋体" w:eastAsia="宋体" w:cs="宋体"/>
          <w:sz w:val="24"/>
          <w:szCs w:val="24"/>
        </w:rPr>
        <w:t>本条适用于预评价和评价。</w:t>
      </w:r>
    </w:p>
    <w:p w14:paraId="4E4C5771">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现行国家标准《建筑照明设计标准》</w:t>
      </w:r>
      <w:r>
        <w:rPr>
          <w:rFonts w:hint="default" w:ascii="Times New Roman" w:hAnsi="Times New Roman" w:eastAsia="宋体" w:cs="Times New Roman"/>
          <w:sz w:val="24"/>
          <w:szCs w:val="24"/>
        </w:rPr>
        <w:t>GB 50034</w:t>
      </w:r>
      <w:r>
        <w:rPr>
          <w:rFonts w:hint="eastAsia" w:ascii="宋体" w:hAnsi="宋体" w:eastAsia="宋体" w:cs="宋体"/>
          <w:sz w:val="24"/>
          <w:szCs w:val="24"/>
        </w:rPr>
        <w:t>规定了各类房间或场所的照明功率密度值，分为“现行值”和“目标值”，其中“现行值”是新建建筑必须满足的最低要求，“目标值”要求更高。对于改造的主要功能房间，其改造后应满足现行国家标准《建筑照明设计标准》</w:t>
      </w:r>
      <w:r>
        <w:rPr>
          <w:rFonts w:hint="default" w:ascii="Times New Roman" w:hAnsi="Times New Roman" w:eastAsia="宋体" w:cs="Times New Roman"/>
          <w:sz w:val="24"/>
          <w:szCs w:val="24"/>
        </w:rPr>
        <w:t>GB/T 50034</w:t>
      </w:r>
      <w:r>
        <w:rPr>
          <w:rFonts w:hint="eastAsia" w:ascii="宋体" w:hAnsi="宋体" w:eastAsia="宋体" w:cs="宋体"/>
          <w:sz w:val="24"/>
          <w:szCs w:val="24"/>
        </w:rPr>
        <w:t>规定的现行值的要求。</w:t>
      </w:r>
    </w:p>
    <w:p w14:paraId="39B825DC">
      <w:pPr>
        <w:pStyle w:val="28"/>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6.1.5</w:t>
      </w:r>
      <w:r>
        <w:rPr>
          <w:rFonts w:hint="eastAsia" w:ascii="宋体" w:hAnsi="宋体" w:cs="宋体"/>
          <w:sz w:val="24"/>
          <w:szCs w:val="24"/>
        </w:rPr>
        <w:t>　</w:t>
      </w:r>
      <w:r>
        <w:rPr>
          <w:rFonts w:hint="eastAsia" w:ascii="宋体" w:hAnsi="宋体" w:eastAsia="宋体" w:cs="宋体"/>
          <w:sz w:val="24"/>
          <w:szCs w:val="24"/>
        </w:rPr>
        <w:t>本条适用于预评价和评价。</w:t>
      </w:r>
    </w:p>
    <w:p w14:paraId="0CE62021">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1</w:t>
      </w:r>
      <w:r>
        <w:rPr>
          <w:rFonts w:hint="eastAsia" w:ascii="宋体" w:hAnsi="宋体" w:eastAsia="宋体" w:cs="宋体"/>
          <w:sz w:val="24"/>
          <w:szCs w:val="24"/>
        </w:rPr>
        <w:t>款，调研评估现有给排水系统状况、市政给排水条件与要求，既有水源水量、水压等现状，结合改造后使用需求，对给排水设施系统进行设计，对于新增的给排水设施及系统设计，应符合现行有关国家标准的规定；</w:t>
      </w:r>
    </w:p>
    <w:p w14:paraId="7CDF8DCB">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2</w:t>
      </w:r>
      <w:r>
        <w:rPr>
          <w:rFonts w:hint="eastAsia" w:ascii="宋体" w:hAnsi="宋体" w:eastAsia="宋体" w:cs="宋体"/>
          <w:sz w:val="24"/>
          <w:szCs w:val="24"/>
        </w:rPr>
        <w:t>款，用水器具给水配件在单位时间内的出水量超过额定流量的现象，称超压出流现象，该流量与额定流量的差值，为超压出流量。超压出流量未产生使用效益，为无效用水量，即浪费的水量。给水系统设计时应采取措施控制超压出流现象，应合理进行压力分区，并适当地采取减压措施，避免造成浪费。</w:t>
      </w:r>
    </w:p>
    <w:p w14:paraId="73BDC835">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当选用自带减压装置的用水器具时，该部分管线的工作压力满足相关设计规范的要求即可。当建筑因功能需要，选用特殊水压要求的用水器具时，可根据产品要求采用适当的工作压力，但应当选用用水效率高的产品，并在说明中做相应描述。</w:t>
      </w:r>
    </w:p>
    <w:p w14:paraId="2F65EB21">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3</w:t>
      </w:r>
      <w:r>
        <w:rPr>
          <w:rFonts w:hint="eastAsia" w:ascii="宋体" w:hAnsi="宋体" w:eastAsia="宋体" w:cs="宋体"/>
          <w:sz w:val="24"/>
          <w:szCs w:val="24"/>
        </w:rPr>
        <w:t>款，更换的所有用水器具应满足现行标准《节水型产品技术条件与管理通则》</w:t>
      </w:r>
      <w:r>
        <w:rPr>
          <w:rFonts w:hint="default" w:ascii="Times New Roman" w:hAnsi="Times New Roman" w:eastAsia="宋体" w:cs="Times New Roman"/>
          <w:sz w:val="24"/>
          <w:szCs w:val="24"/>
        </w:rPr>
        <w:t>GB/T</w:t>
      </w:r>
      <w:r>
        <w:rPr>
          <w:rFonts w:hint="eastAsia" w:cs="Times New Roman"/>
          <w:sz w:val="24"/>
          <w:szCs w:val="24"/>
          <w:lang w:val="en-US" w:eastAsia="zh-CN"/>
        </w:rPr>
        <w:t xml:space="preserve"> </w:t>
      </w:r>
      <w:r>
        <w:rPr>
          <w:rFonts w:hint="default" w:ascii="Times New Roman" w:hAnsi="Times New Roman" w:eastAsia="宋体" w:cs="Times New Roman"/>
          <w:sz w:val="24"/>
          <w:szCs w:val="24"/>
        </w:rPr>
        <w:t>18870</w:t>
      </w:r>
      <w:r>
        <w:rPr>
          <w:rFonts w:hint="eastAsia" w:ascii="宋体" w:hAnsi="宋体" w:eastAsia="宋体" w:cs="宋体"/>
          <w:sz w:val="24"/>
          <w:szCs w:val="24"/>
        </w:rPr>
        <w:t>的要求。除特殊功能需求外，均应采用节水型用水器具。</w:t>
      </w:r>
    </w:p>
    <w:p w14:paraId="500FF383">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4</w:t>
      </w:r>
      <w:r>
        <w:rPr>
          <w:rFonts w:hint="eastAsia" w:ascii="宋体" w:hAnsi="宋体" w:eastAsia="宋体" w:cs="宋体"/>
          <w:sz w:val="24"/>
          <w:szCs w:val="24"/>
        </w:rPr>
        <w:t>款，当水池、水箱的补水管发生故障时，常出现水池、水箱的溢流现象，如不能及早发现，会导致水资源的大量浪费。强制性工程建设规范《建筑给水排水与节水通用规范》</w:t>
      </w:r>
      <w:r>
        <w:rPr>
          <w:rFonts w:hint="default" w:ascii="Times New Roman" w:hAnsi="Times New Roman" w:eastAsia="宋体" w:cs="Times New Roman"/>
          <w:sz w:val="24"/>
          <w:szCs w:val="24"/>
        </w:rPr>
        <w:t>GB 55020-2021</w:t>
      </w:r>
      <w:r>
        <w:rPr>
          <w:rFonts w:hint="eastAsia" w:ascii="宋体" w:hAnsi="宋体" w:eastAsia="宋体" w:cs="宋体"/>
          <w:sz w:val="24"/>
          <w:szCs w:val="24"/>
        </w:rPr>
        <w:t>第</w:t>
      </w:r>
      <w:r>
        <w:rPr>
          <w:rFonts w:hint="default" w:ascii="Times New Roman" w:hAnsi="Times New Roman" w:eastAsia="宋体" w:cs="Times New Roman"/>
          <w:sz w:val="24"/>
          <w:szCs w:val="24"/>
        </w:rPr>
        <w:t>3.4.6</w:t>
      </w:r>
      <w:r>
        <w:rPr>
          <w:rFonts w:hint="eastAsia" w:ascii="宋体" w:hAnsi="宋体" w:eastAsia="宋体" w:cs="宋体"/>
          <w:sz w:val="24"/>
          <w:szCs w:val="24"/>
        </w:rPr>
        <w:t>条规定“生活给水水池（箱）应设置水位控制和溢流报警装置”。</w:t>
      </w:r>
    </w:p>
    <w:p w14:paraId="78889D0F">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本条的评价方法为：预评价查阅既有工业建筑物给排水系统情况调研评估报告（含既有系统运行情况、既有设施再利用的可行性分析等）、相关改造设计文件（各层用水点用水压力计算图表、用水器具节水性能要求）；评价查阅相关改造竣工图，用水器具产品说明书或产品节水性能检测报告、影像资料，必要时现场核查。</w:t>
      </w:r>
    </w:p>
    <w:p w14:paraId="0E663CD7">
      <w:pPr>
        <w:pStyle w:val="28"/>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6.1.6</w:t>
      </w:r>
      <w:r>
        <w:rPr>
          <w:rFonts w:hint="eastAsia" w:ascii="宋体" w:hAnsi="宋体" w:cs="宋体"/>
          <w:sz w:val="24"/>
          <w:szCs w:val="24"/>
        </w:rPr>
        <w:t>　</w:t>
      </w:r>
      <w:r>
        <w:rPr>
          <w:rFonts w:hint="eastAsia" w:ascii="宋体" w:hAnsi="宋体" w:eastAsia="宋体" w:cs="宋体"/>
          <w:sz w:val="24"/>
          <w:szCs w:val="24"/>
        </w:rPr>
        <w:t>本条适用于预评价和评价。</w:t>
      </w:r>
    </w:p>
    <w:p w14:paraId="117DC8C9">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建筑运行能源消耗情况较为复杂，主要包括空调系统、照明系统、其他动力系统等。设置分项或分功能计量系统，有助于统计各类设备系统的能耗分布，发现能耗不合理之处。</w:t>
      </w:r>
    </w:p>
    <w:p w14:paraId="11A80938">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要求采用集中冷热源的公共建筑，在改造设计时，应考虑使建筑内各能耗环节如冷热源、输配系统、照明、热水能耗等都能实现独立分项计量；对非集中冷热源的公共建筑，在改造设计时，应考虑使建筑内根据面积或功能等实现分项计量。这有助于分析建筑各项能耗水平和能耗结构是否合理，发现问题并提出改进措施，从而有效地实施建筑节能。</w:t>
      </w:r>
    </w:p>
    <w:p w14:paraId="1E23DD00">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对于改造后作为住宅建筑，不要求户内各路用电的单独分项计量，但改造应实现分户计量。</w:t>
      </w:r>
    </w:p>
    <w:p w14:paraId="7D9CDA14">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本条的评价方法为：预评价查阅相关设计文件、计算书；评价时查阅相关竣工图、计算书、运行记录。</w:t>
      </w:r>
    </w:p>
    <w:p w14:paraId="00C64135">
      <w:pPr>
        <w:pStyle w:val="28"/>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6.1.7</w:t>
      </w:r>
      <w:r>
        <w:rPr>
          <w:rFonts w:hint="eastAsia" w:ascii="宋体" w:hAnsi="宋体" w:cs="宋体"/>
          <w:sz w:val="24"/>
          <w:szCs w:val="24"/>
        </w:rPr>
        <w:t>　</w:t>
      </w:r>
      <w:r>
        <w:rPr>
          <w:rFonts w:hint="eastAsia" w:ascii="宋体" w:hAnsi="宋体" w:eastAsia="宋体" w:cs="宋体"/>
          <w:sz w:val="24"/>
          <w:szCs w:val="24"/>
        </w:rPr>
        <w:t>本条适用于预评价和评价。经检测或评估，电梯和自动扶梯节能控制系统符合原设计要求，且能够满足建筑功能需求，不进行改造时，本条直接达标。</w:t>
      </w:r>
    </w:p>
    <w:p w14:paraId="5A11A8CE">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对垂直电梯，应具有群控、变频调速拖动、能量再生回馈等至少一项技术，实现电梯节能。对于扶梯，应采用变频感应启动技术来降低使用能耗。</w:t>
      </w:r>
    </w:p>
    <w:p w14:paraId="3E06E9F1">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本条的评价方法为：预评价查阅相关设计文件、电梯与自动扶梯人流平衡计算分析报告；评价查阅相关竣工图、相关产品型式检验报告。</w:t>
      </w:r>
    </w:p>
    <w:p w14:paraId="1ABB3621">
      <w:pPr>
        <w:pStyle w:val="28"/>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Cs w:val="24"/>
        </w:rPr>
        <w:t>6.1.8</w:t>
      </w:r>
      <w:r>
        <w:rPr>
          <w:rFonts w:hint="eastAsia" w:ascii="宋体" w:hAnsi="宋体" w:cs="宋体"/>
          <w:szCs w:val="24"/>
        </w:rPr>
        <w:t>　</w:t>
      </w:r>
      <w:r>
        <w:rPr>
          <w:rFonts w:hint="eastAsia" w:ascii="宋体" w:hAnsi="宋体" w:eastAsia="宋体" w:cs="宋体"/>
          <w:sz w:val="24"/>
          <w:szCs w:val="24"/>
        </w:rPr>
        <w:t>本条适用于预评价和评价。既有建筑电气改造工程的设计，应在对既有建筑供配电系统现场检查、评定的基础上，根据改造后建筑物的用电负荷情况和使用要求进行供配电系统设计，且应符合国家现行标准的规定。</w:t>
      </w:r>
    </w:p>
    <w:p w14:paraId="40B4B5C4">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本条的评价方法为：预评价查阅相关设计文件、分析报告；评价查阅相关竣工图、相关检验报告。</w:t>
      </w:r>
    </w:p>
    <w:p w14:paraId="46E0E437">
      <w:pPr>
        <w:numPr>
          <w:ilvl w:val="-1"/>
          <w:numId w:val="0"/>
        </w:numPr>
        <w:tabs>
          <w:tab w:val="left" w:pos="0"/>
        </w:tabs>
        <w:spacing w:before="0" w:beforeLines="0" w:after="0" w:afterLines="0" w:line="360" w:lineRule="auto"/>
        <w:jc w:val="center"/>
        <w:outlineLvl w:val="1"/>
        <w:rPr>
          <w:rFonts w:ascii="黑体" w:hAnsi="黑体" w:eastAsia="黑体" w:cs="黑体"/>
          <w:b/>
          <w:bCs/>
          <w:sz w:val="28"/>
          <w:szCs w:val="28"/>
        </w:rPr>
      </w:pPr>
      <w:bookmarkStart w:id="283" w:name="_Toc20971"/>
      <w:bookmarkStart w:id="284" w:name="_Toc25707"/>
      <w:r>
        <w:rPr>
          <w:rFonts w:hint="default" w:ascii="Times New Roman" w:hAnsi="Times New Roman" w:eastAsia="黑体" w:cs="Times New Roman"/>
          <w:b/>
          <w:bCs/>
          <w:sz w:val="28"/>
          <w:szCs w:val="28"/>
        </w:rPr>
        <w:t>6.2</w:t>
      </w:r>
      <w:r>
        <w:rPr>
          <w:rFonts w:hint="eastAsia" w:ascii="黑体" w:hAnsi="黑体" w:eastAsia="黑体" w:cs="黑体"/>
          <w:b/>
          <w:bCs/>
          <w:sz w:val="28"/>
          <w:szCs w:val="28"/>
        </w:rPr>
        <w:t>评分项</w:t>
      </w:r>
      <w:bookmarkEnd w:id="283"/>
      <w:bookmarkEnd w:id="284"/>
    </w:p>
    <w:p w14:paraId="2098A0E6">
      <w:pPr>
        <w:pStyle w:val="28"/>
        <w:spacing w:before="0" w:beforeLines="0" w:after="0" w:afterLines="0" w:line="360" w:lineRule="auto"/>
        <w:ind w:firstLine="0" w:firstLineChars="0"/>
        <w:jc w:val="center"/>
        <w:outlineLvl w:val="2"/>
        <w:rPr>
          <w:rFonts w:hint="eastAsia" w:eastAsia="仿宋" w:cs="Times New Roman"/>
          <w:b/>
          <w:bCs/>
          <w:sz w:val="28"/>
          <w:szCs w:val="28"/>
          <w:lang w:eastAsia="zh-CN"/>
        </w:rPr>
      </w:pPr>
      <w:r>
        <w:rPr>
          <w:rFonts w:hint="default" w:cs="Times New Roman"/>
          <w:b/>
          <w:bCs/>
          <w:sz w:val="28"/>
          <w:szCs w:val="28"/>
        </w:rPr>
        <w:t>Ⅰ</w:t>
      </w:r>
      <w:r>
        <w:rPr>
          <w:rFonts w:cs="Times New Roman"/>
          <w:b/>
          <w:bCs/>
          <w:sz w:val="28"/>
          <w:szCs w:val="28"/>
        </w:rPr>
        <w:t xml:space="preserve"> </w:t>
      </w:r>
      <w:r>
        <w:rPr>
          <w:rFonts w:hint="eastAsia" w:ascii="仿宋" w:hAnsi="仿宋" w:eastAsia="仿宋" w:cs="仿宋"/>
          <w:b/>
          <w:bCs/>
          <w:sz w:val="28"/>
          <w:szCs w:val="28"/>
        </w:rPr>
        <w:t>节能与能源</w:t>
      </w:r>
    </w:p>
    <w:p w14:paraId="613865B7">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6.2.1</w:t>
      </w:r>
      <w:r>
        <w:rPr>
          <w:rFonts w:hint="eastAsia" w:ascii="宋体" w:hAnsi="宋体" w:cs="宋体"/>
          <w:b/>
          <w:bCs/>
          <w:sz w:val="24"/>
          <w:szCs w:val="24"/>
        </w:rPr>
        <w:t xml:space="preserve">  </w:t>
      </w:r>
      <w:r>
        <w:rPr>
          <w:rFonts w:hint="eastAsia" w:ascii="宋体" w:hAnsi="宋体" w:eastAsia="宋体" w:cs="宋体"/>
          <w:sz w:val="24"/>
          <w:szCs w:val="24"/>
        </w:rPr>
        <w:t>本条适用于预评价和评价。</w:t>
      </w:r>
    </w:p>
    <w:p w14:paraId="5950933C">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针对供暖空调系统的冷、热源机组能效等级，发布了多部标准，具体见表</w:t>
      </w:r>
      <w:r>
        <w:rPr>
          <w:rFonts w:hint="default" w:ascii="Times New Roman" w:hAnsi="Times New Roman" w:eastAsia="宋体" w:cs="Times New Roman"/>
          <w:sz w:val="24"/>
          <w:szCs w:val="24"/>
        </w:rPr>
        <w:t>1</w:t>
      </w:r>
      <w:r>
        <w:rPr>
          <w:rFonts w:hint="eastAsia" w:ascii="宋体" w:hAnsi="宋体" w:eastAsia="宋体" w:cs="宋体"/>
          <w:sz w:val="24"/>
          <w:szCs w:val="24"/>
        </w:rPr>
        <w:t>。在现行标准的上版标准中能效等级一般为</w:t>
      </w:r>
      <w:r>
        <w:rPr>
          <w:rFonts w:hint="default" w:ascii="Times New Roman" w:hAnsi="Times New Roman" w:eastAsia="宋体" w:cs="Times New Roman"/>
          <w:sz w:val="24"/>
          <w:szCs w:val="24"/>
        </w:rPr>
        <w:t>5</w:t>
      </w:r>
      <w:r>
        <w:rPr>
          <w:rFonts w:hint="eastAsia" w:ascii="宋体" w:hAnsi="宋体" w:eastAsia="宋体" w:cs="宋体"/>
          <w:sz w:val="24"/>
          <w:szCs w:val="24"/>
        </w:rPr>
        <w:t>级或</w:t>
      </w:r>
      <w:r>
        <w:rPr>
          <w:rFonts w:hint="default" w:ascii="Times New Roman" w:hAnsi="Times New Roman" w:eastAsia="宋体" w:cs="Times New Roman"/>
          <w:sz w:val="24"/>
          <w:szCs w:val="24"/>
        </w:rPr>
        <w:t>3</w:t>
      </w:r>
      <w:r>
        <w:rPr>
          <w:rFonts w:hint="eastAsia" w:ascii="宋体" w:hAnsi="宋体" w:eastAsia="宋体" w:cs="宋体"/>
          <w:sz w:val="24"/>
          <w:szCs w:val="24"/>
        </w:rPr>
        <w:t>级，</w:t>
      </w:r>
      <w:r>
        <w:rPr>
          <w:rFonts w:hint="default" w:ascii="Times New Roman" w:hAnsi="Times New Roman" w:eastAsia="宋体" w:cs="Times New Roman"/>
          <w:sz w:val="24"/>
          <w:szCs w:val="24"/>
        </w:rPr>
        <w:t>1</w:t>
      </w:r>
      <w:r>
        <w:rPr>
          <w:rFonts w:hint="eastAsia" w:ascii="宋体" w:hAnsi="宋体" w:eastAsia="宋体" w:cs="宋体"/>
          <w:sz w:val="24"/>
          <w:szCs w:val="24"/>
        </w:rPr>
        <w:t>级为最高。为保证既有建筑低碳改造的经济性，避免过度改造，如果原有供暖空调系统的冷、热源机组运行良好，改造时未进行更换，且符合设计时产品标准的</w:t>
      </w:r>
      <w:r>
        <w:rPr>
          <w:rFonts w:hint="default" w:ascii="Times New Roman" w:hAnsi="Times New Roman" w:eastAsia="宋体" w:cs="Times New Roman"/>
          <w:sz w:val="24"/>
          <w:szCs w:val="24"/>
        </w:rPr>
        <w:t>3</w:t>
      </w:r>
      <w:r>
        <w:rPr>
          <w:rFonts w:hint="eastAsia" w:ascii="宋体" w:hAnsi="宋体" w:eastAsia="宋体" w:cs="宋体"/>
          <w:sz w:val="24"/>
          <w:szCs w:val="24"/>
        </w:rPr>
        <w:t>级能效等级，本条即可得分；达到设计时产品标准的节能评价值或现行标准</w:t>
      </w:r>
      <w:r>
        <w:rPr>
          <w:rFonts w:hint="default" w:ascii="Times New Roman" w:hAnsi="Times New Roman" w:eastAsia="宋体" w:cs="Times New Roman"/>
          <w:sz w:val="24"/>
          <w:szCs w:val="24"/>
        </w:rPr>
        <w:t>2</w:t>
      </w:r>
      <w:r>
        <w:rPr>
          <w:rFonts w:hint="eastAsia" w:ascii="宋体" w:hAnsi="宋体" w:eastAsia="宋体" w:cs="宋体"/>
          <w:sz w:val="24"/>
          <w:szCs w:val="24"/>
        </w:rPr>
        <w:t>级能效等级，本条可得满分。如果相关冷、热源机组之前未发布产品能效等级标准，可参照相关标准执行。</w:t>
      </w:r>
    </w:p>
    <w:p w14:paraId="2F75A9B4">
      <w:pPr>
        <w:widowControl/>
        <w:spacing w:line="360" w:lineRule="auto"/>
        <w:jc w:val="center"/>
        <w:rPr>
          <w:b/>
          <w:bCs/>
          <w:szCs w:val="24"/>
        </w:rPr>
      </w:pPr>
      <w:r>
        <w:rPr>
          <w:rFonts w:hint="eastAsia"/>
          <w:b/>
          <w:bCs/>
          <w:kern w:val="0"/>
          <w:szCs w:val="20"/>
        </w:rPr>
        <w:t>表1  不同版本供暖空调系统的冷、热源机组能效标准</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0"/>
        <w:gridCol w:w="1962"/>
        <w:gridCol w:w="1086"/>
        <w:gridCol w:w="2268"/>
        <w:gridCol w:w="784"/>
        <w:gridCol w:w="996"/>
      </w:tblGrid>
      <w:tr w14:paraId="5DAD4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00" w:type="dxa"/>
            <w:vMerge w:val="restart"/>
            <w:shd w:val="clear" w:color="auto" w:fill="auto"/>
            <w:vAlign w:val="center"/>
          </w:tcPr>
          <w:p w14:paraId="53ABD12C">
            <w:pPr>
              <w:spacing w:line="360" w:lineRule="auto"/>
              <w:jc w:val="center"/>
            </w:pPr>
            <w:r>
              <w:rPr>
                <w:rFonts w:hint="eastAsia"/>
              </w:rPr>
              <w:t>设备名称</w:t>
            </w:r>
          </w:p>
        </w:tc>
        <w:tc>
          <w:tcPr>
            <w:tcW w:w="3048" w:type="dxa"/>
            <w:gridSpan w:val="2"/>
            <w:shd w:val="clear" w:color="auto" w:fill="auto"/>
            <w:vAlign w:val="center"/>
          </w:tcPr>
          <w:p w14:paraId="0CB1C3AA">
            <w:pPr>
              <w:spacing w:line="360" w:lineRule="auto"/>
              <w:jc w:val="center"/>
            </w:pPr>
            <w:r>
              <w:rPr>
                <w:rFonts w:hint="eastAsia"/>
              </w:rPr>
              <w:t>现行标准</w:t>
            </w:r>
          </w:p>
        </w:tc>
        <w:tc>
          <w:tcPr>
            <w:tcW w:w="4048" w:type="dxa"/>
            <w:gridSpan w:val="3"/>
            <w:shd w:val="clear" w:color="auto" w:fill="auto"/>
            <w:vAlign w:val="center"/>
          </w:tcPr>
          <w:p w14:paraId="05074856">
            <w:pPr>
              <w:spacing w:line="360" w:lineRule="auto"/>
              <w:jc w:val="center"/>
            </w:pPr>
            <w:r>
              <w:rPr>
                <w:rFonts w:hint="eastAsia"/>
              </w:rPr>
              <w:t>上版标准</w:t>
            </w:r>
          </w:p>
        </w:tc>
      </w:tr>
      <w:tr w14:paraId="0D614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00" w:type="dxa"/>
            <w:vMerge w:val="continue"/>
            <w:vAlign w:val="center"/>
          </w:tcPr>
          <w:p w14:paraId="0AC6693A">
            <w:pPr>
              <w:spacing w:line="360" w:lineRule="auto"/>
              <w:jc w:val="center"/>
            </w:pPr>
          </w:p>
        </w:tc>
        <w:tc>
          <w:tcPr>
            <w:tcW w:w="1962" w:type="dxa"/>
            <w:shd w:val="clear" w:color="auto" w:fill="auto"/>
            <w:vAlign w:val="center"/>
          </w:tcPr>
          <w:p w14:paraId="574E99D6">
            <w:pPr>
              <w:spacing w:line="360" w:lineRule="auto"/>
              <w:jc w:val="center"/>
            </w:pPr>
            <w:r>
              <w:rPr>
                <w:rFonts w:hint="eastAsia"/>
              </w:rPr>
              <w:t>标准名称和标准号</w:t>
            </w:r>
          </w:p>
        </w:tc>
        <w:tc>
          <w:tcPr>
            <w:tcW w:w="1086" w:type="dxa"/>
            <w:shd w:val="clear" w:color="auto" w:fill="auto"/>
            <w:vAlign w:val="center"/>
          </w:tcPr>
          <w:p w14:paraId="307F2BDE">
            <w:pPr>
              <w:spacing w:line="360" w:lineRule="auto"/>
              <w:jc w:val="center"/>
            </w:pPr>
            <w:r>
              <w:rPr>
                <w:rFonts w:hint="eastAsia"/>
              </w:rPr>
              <w:t>能效等级</w:t>
            </w:r>
          </w:p>
        </w:tc>
        <w:tc>
          <w:tcPr>
            <w:tcW w:w="2268" w:type="dxa"/>
            <w:shd w:val="clear" w:color="auto" w:fill="auto"/>
            <w:vAlign w:val="center"/>
          </w:tcPr>
          <w:p w14:paraId="3951C888">
            <w:pPr>
              <w:spacing w:line="360" w:lineRule="auto"/>
              <w:jc w:val="center"/>
            </w:pPr>
            <w:r>
              <w:rPr>
                <w:rFonts w:hint="eastAsia"/>
              </w:rPr>
              <w:t>标准名称和标准号</w:t>
            </w:r>
          </w:p>
        </w:tc>
        <w:tc>
          <w:tcPr>
            <w:tcW w:w="784" w:type="dxa"/>
            <w:shd w:val="clear" w:color="auto" w:fill="auto"/>
            <w:vAlign w:val="center"/>
          </w:tcPr>
          <w:p w14:paraId="21651A86">
            <w:pPr>
              <w:spacing w:line="360" w:lineRule="auto"/>
              <w:jc w:val="center"/>
            </w:pPr>
            <w:r>
              <w:rPr>
                <w:rFonts w:hint="eastAsia"/>
              </w:rPr>
              <w:t>能效等级</w:t>
            </w:r>
          </w:p>
        </w:tc>
        <w:tc>
          <w:tcPr>
            <w:tcW w:w="996" w:type="dxa"/>
            <w:shd w:val="clear" w:color="auto" w:fill="auto"/>
            <w:vAlign w:val="center"/>
          </w:tcPr>
          <w:p w14:paraId="3B5153C4">
            <w:pPr>
              <w:spacing w:line="360" w:lineRule="auto"/>
              <w:jc w:val="center"/>
            </w:pPr>
            <w:r>
              <w:rPr>
                <w:rFonts w:hint="eastAsia"/>
              </w:rPr>
              <w:t>节能评价值</w:t>
            </w:r>
          </w:p>
        </w:tc>
      </w:tr>
      <w:tr w14:paraId="23485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00" w:type="dxa"/>
            <w:shd w:val="clear" w:color="auto" w:fill="auto"/>
            <w:vAlign w:val="center"/>
          </w:tcPr>
          <w:p w14:paraId="6FCAE50E">
            <w:pPr>
              <w:spacing w:line="360" w:lineRule="auto"/>
              <w:jc w:val="center"/>
            </w:pPr>
            <w:r>
              <w:rPr>
                <w:rFonts w:hint="eastAsia"/>
              </w:rPr>
              <w:t>冷水机组</w:t>
            </w:r>
          </w:p>
        </w:tc>
        <w:tc>
          <w:tcPr>
            <w:tcW w:w="1962" w:type="dxa"/>
            <w:shd w:val="clear" w:color="auto" w:fill="auto"/>
            <w:vAlign w:val="center"/>
          </w:tcPr>
          <w:p w14:paraId="0F07523B">
            <w:pPr>
              <w:spacing w:line="360" w:lineRule="auto"/>
              <w:jc w:val="center"/>
            </w:pPr>
            <w:r>
              <w:rPr>
                <w:rFonts w:hint="eastAsia"/>
              </w:rPr>
              <w:t xml:space="preserve">《冷水机组能效限定值及能效等级》GB 19577-2015 </w:t>
            </w:r>
          </w:p>
        </w:tc>
        <w:tc>
          <w:tcPr>
            <w:tcW w:w="1086" w:type="dxa"/>
            <w:shd w:val="clear" w:color="auto" w:fill="auto"/>
            <w:vAlign w:val="center"/>
          </w:tcPr>
          <w:p w14:paraId="3FBB29B0">
            <w:pPr>
              <w:spacing w:line="360" w:lineRule="auto"/>
              <w:jc w:val="center"/>
            </w:pPr>
            <w:r>
              <w:rPr>
                <w:rFonts w:hint="eastAsia"/>
              </w:rPr>
              <w:t>3级</w:t>
            </w:r>
          </w:p>
        </w:tc>
        <w:tc>
          <w:tcPr>
            <w:tcW w:w="2268" w:type="dxa"/>
            <w:shd w:val="clear" w:color="auto" w:fill="auto"/>
            <w:vAlign w:val="center"/>
          </w:tcPr>
          <w:p w14:paraId="334681F1">
            <w:pPr>
              <w:spacing w:line="360" w:lineRule="auto"/>
              <w:jc w:val="center"/>
            </w:pPr>
            <w:r>
              <w:rPr>
                <w:rFonts w:hint="eastAsia"/>
              </w:rPr>
              <w:t>《冷水机组能效限定值及能源效率等级》GB</w:t>
            </w:r>
            <w:r>
              <w:rPr>
                <w:rFonts w:hint="eastAsia"/>
                <w:lang w:val="en-US" w:eastAsia="zh-CN"/>
              </w:rPr>
              <w:t xml:space="preserve"> </w:t>
            </w:r>
            <w:r>
              <w:rPr>
                <w:rFonts w:hint="eastAsia"/>
              </w:rPr>
              <w:t xml:space="preserve">19577-2004 </w:t>
            </w:r>
          </w:p>
        </w:tc>
        <w:tc>
          <w:tcPr>
            <w:tcW w:w="784" w:type="dxa"/>
            <w:shd w:val="clear" w:color="auto" w:fill="auto"/>
            <w:vAlign w:val="center"/>
          </w:tcPr>
          <w:p w14:paraId="739183FE">
            <w:pPr>
              <w:spacing w:line="360" w:lineRule="auto"/>
              <w:jc w:val="center"/>
            </w:pPr>
            <w:r>
              <w:rPr>
                <w:rFonts w:hint="eastAsia"/>
              </w:rPr>
              <w:t>5级</w:t>
            </w:r>
          </w:p>
        </w:tc>
        <w:tc>
          <w:tcPr>
            <w:tcW w:w="996" w:type="dxa"/>
            <w:shd w:val="clear" w:color="auto" w:fill="auto"/>
            <w:vAlign w:val="center"/>
          </w:tcPr>
          <w:p w14:paraId="76A1BB00">
            <w:pPr>
              <w:spacing w:line="360" w:lineRule="auto"/>
              <w:jc w:val="center"/>
            </w:pPr>
            <w:r>
              <w:rPr>
                <w:rFonts w:hint="eastAsia"/>
              </w:rPr>
              <w:t>2级</w:t>
            </w:r>
          </w:p>
        </w:tc>
      </w:tr>
      <w:tr w14:paraId="7AA9F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00" w:type="dxa"/>
            <w:shd w:val="clear" w:color="auto" w:fill="auto"/>
            <w:vAlign w:val="center"/>
          </w:tcPr>
          <w:p w14:paraId="19978DDB">
            <w:pPr>
              <w:spacing w:line="360" w:lineRule="auto"/>
              <w:jc w:val="center"/>
            </w:pPr>
            <w:r>
              <w:rPr>
                <w:rFonts w:hint="eastAsia"/>
              </w:rPr>
              <w:t>多联式空调（热泵）机组</w:t>
            </w:r>
          </w:p>
        </w:tc>
        <w:tc>
          <w:tcPr>
            <w:tcW w:w="1962" w:type="dxa"/>
            <w:shd w:val="clear" w:color="auto" w:fill="auto"/>
            <w:vAlign w:val="center"/>
          </w:tcPr>
          <w:p w14:paraId="4860E4A5">
            <w:pPr>
              <w:spacing w:line="360" w:lineRule="auto"/>
              <w:jc w:val="center"/>
            </w:pPr>
            <w:r>
              <w:rPr>
                <w:rFonts w:hint="eastAsia"/>
              </w:rPr>
              <w:t>《多联式空调（热泵）机组能效限定值及能效等级》GB</w:t>
            </w:r>
            <w:r>
              <w:t xml:space="preserve"> 21454-2021</w:t>
            </w:r>
          </w:p>
        </w:tc>
        <w:tc>
          <w:tcPr>
            <w:tcW w:w="1086" w:type="dxa"/>
            <w:shd w:val="clear" w:color="auto" w:fill="auto"/>
            <w:vAlign w:val="center"/>
          </w:tcPr>
          <w:p w14:paraId="73001153">
            <w:pPr>
              <w:spacing w:line="360" w:lineRule="auto"/>
              <w:jc w:val="center"/>
            </w:pPr>
            <w:r>
              <w:rPr>
                <w:rFonts w:hint="eastAsia"/>
              </w:rPr>
              <w:t>3级</w:t>
            </w:r>
          </w:p>
        </w:tc>
        <w:tc>
          <w:tcPr>
            <w:tcW w:w="2268" w:type="dxa"/>
            <w:shd w:val="clear" w:color="auto" w:fill="auto"/>
            <w:vAlign w:val="center"/>
          </w:tcPr>
          <w:p w14:paraId="3A5CA872">
            <w:pPr>
              <w:spacing w:line="360" w:lineRule="auto"/>
              <w:jc w:val="center"/>
            </w:pPr>
            <w:r>
              <w:rPr>
                <w:rFonts w:hint="eastAsia"/>
              </w:rPr>
              <w:t xml:space="preserve">《多联式空调（热泵）机组能效限定值及能源效率等级标准》GB 21454-2008 </w:t>
            </w:r>
          </w:p>
        </w:tc>
        <w:tc>
          <w:tcPr>
            <w:tcW w:w="784" w:type="dxa"/>
            <w:shd w:val="clear" w:color="auto" w:fill="auto"/>
            <w:vAlign w:val="center"/>
          </w:tcPr>
          <w:p w14:paraId="30114F7E">
            <w:pPr>
              <w:spacing w:line="360" w:lineRule="auto"/>
              <w:jc w:val="center"/>
            </w:pPr>
            <w:r>
              <w:rPr>
                <w:rFonts w:hint="eastAsia"/>
              </w:rPr>
              <w:t>5级</w:t>
            </w:r>
          </w:p>
        </w:tc>
        <w:tc>
          <w:tcPr>
            <w:tcW w:w="996" w:type="dxa"/>
            <w:shd w:val="clear" w:color="auto" w:fill="auto"/>
            <w:vAlign w:val="center"/>
          </w:tcPr>
          <w:p w14:paraId="2D432BD9">
            <w:pPr>
              <w:spacing w:line="360" w:lineRule="auto"/>
              <w:jc w:val="center"/>
            </w:pPr>
            <w:r>
              <w:rPr>
                <w:rFonts w:hint="eastAsia"/>
              </w:rPr>
              <w:t>2级</w:t>
            </w:r>
          </w:p>
        </w:tc>
      </w:tr>
      <w:tr w14:paraId="21BCE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00" w:type="dxa"/>
            <w:shd w:val="clear" w:color="auto" w:fill="auto"/>
            <w:vAlign w:val="center"/>
          </w:tcPr>
          <w:p w14:paraId="779A8572">
            <w:pPr>
              <w:spacing w:line="360" w:lineRule="auto"/>
              <w:jc w:val="center"/>
            </w:pPr>
            <w:r>
              <w:rPr>
                <w:rFonts w:hint="eastAsia"/>
              </w:rPr>
              <w:t>单元式空气调节机</w:t>
            </w:r>
          </w:p>
        </w:tc>
        <w:tc>
          <w:tcPr>
            <w:tcW w:w="1962" w:type="dxa"/>
            <w:shd w:val="clear" w:color="auto" w:fill="auto"/>
            <w:vAlign w:val="center"/>
          </w:tcPr>
          <w:p w14:paraId="2C46BA1B">
            <w:pPr>
              <w:spacing w:line="360" w:lineRule="auto"/>
              <w:jc w:val="center"/>
            </w:pPr>
            <w:r>
              <w:rPr>
                <w:rFonts w:hint="eastAsia"/>
              </w:rPr>
              <w:t>《单元式空气调节机能效限定值及能效等级》GB</w:t>
            </w:r>
            <w:r>
              <w:t xml:space="preserve"> 19576-2019</w:t>
            </w:r>
          </w:p>
        </w:tc>
        <w:tc>
          <w:tcPr>
            <w:tcW w:w="1086" w:type="dxa"/>
            <w:shd w:val="clear" w:color="auto" w:fill="auto"/>
            <w:vAlign w:val="center"/>
          </w:tcPr>
          <w:p w14:paraId="4B28640A">
            <w:pPr>
              <w:spacing w:line="360" w:lineRule="auto"/>
              <w:jc w:val="center"/>
            </w:pPr>
            <w:r>
              <w:rPr>
                <w:rFonts w:hint="eastAsia"/>
              </w:rPr>
              <w:t>3级</w:t>
            </w:r>
          </w:p>
        </w:tc>
        <w:tc>
          <w:tcPr>
            <w:tcW w:w="2268" w:type="dxa"/>
            <w:shd w:val="clear" w:color="auto" w:fill="auto"/>
            <w:vAlign w:val="center"/>
          </w:tcPr>
          <w:p w14:paraId="383877EC">
            <w:pPr>
              <w:spacing w:line="360" w:lineRule="auto"/>
              <w:jc w:val="center"/>
            </w:pPr>
            <w:r>
              <w:rPr>
                <w:rFonts w:hint="eastAsia"/>
              </w:rPr>
              <w:t xml:space="preserve">《单元式空气调节机能效限定值及能源效率等级标准》GB 19576-2004 </w:t>
            </w:r>
          </w:p>
        </w:tc>
        <w:tc>
          <w:tcPr>
            <w:tcW w:w="784" w:type="dxa"/>
            <w:shd w:val="clear" w:color="auto" w:fill="auto"/>
            <w:vAlign w:val="center"/>
          </w:tcPr>
          <w:p w14:paraId="2F3F6BE8">
            <w:pPr>
              <w:spacing w:line="360" w:lineRule="auto"/>
              <w:jc w:val="center"/>
            </w:pPr>
            <w:r>
              <w:rPr>
                <w:rFonts w:hint="eastAsia"/>
              </w:rPr>
              <w:t>5级</w:t>
            </w:r>
          </w:p>
        </w:tc>
        <w:tc>
          <w:tcPr>
            <w:tcW w:w="996" w:type="dxa"/>
            <w:shd w:val="clear" w:color="auto" w:fill="auto"/>
            <w:vAlign w:val="center"/>
          </w:tcPr>
          <w:p w14:paraId="5B9B3183">
            <w:pPr>
              <w:spacing w:line="360" w:lineRule="auto"/>
              <w:jc w:val="center"/>
            </w:pPr>
            <w:r>
              <w:rPr>
                <w:rFonts w:hint="eastAsia"/>
              </w:rPr>
              <w:t>2级</w:t>
            </w:r>
          </w:p>
        </w:tc>
      </w:tr>
      <w:tr w14:paraId="2B2D4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00" w:type="dxa"/>
            <w:shd w:val="clear" w:color="auto" w:fill="auto"/>
            <w:vAlign w:val="center"/>
          </w:tcPr>
          <w:p w14:paraId="10EFDF2E">
            <w:pPr>
              <w:spacing w:line="360" w:lineRule="auto"/>
              <w:jc w:val="center"/>
            </w:pPr>
            <w:r>
              <w:rPr>
                <w:rFonts w:hint="eastAsia"/>
              </w:rPr>
              <w:t>房间空气调节器</w:t>
            </w:r>
          </w:p>
        </w:tc>
        <w:tc>
          <w:tcPr>
            <w:tcW w:w="1962" w:type="dxa"/>
            <w:shd w:val="clear" w:color="auto" w:fill="auto"/>
            <w:vAlign w:val="center"/>
          </w:tcPr>
          <w:p w14:paraId="5895BC34">
            <w:pPr>
              <w:spacing w:line="360" w:lineRule="auto"/>
              <w:jc w:val="center"/>
            </w:pPr>
            <w:r>
              <w:rPr>
                <w:rFonts w:hint="eastAsia"/>
              </w:rPr>
              <w:t>《房间空气调节器能效限定值及能效等级》GB</w:t>
            </w:r>
            <w:r>
              <w:t xml:space="preserve"> 21455-2019</w:t>
            </w:r>
          </w:p>
        </w:tc>
        <w:tc>
          <w:tcPr>
            <w:tcW w:w="1086" w:type="dxa"/>
            <w:shd w:val="clear" w:color="auto" w:fill="auto"/>
            <w:vAlign w:val="center"/>
          </w:tcPr>
          <w:p w14:paraId="30CC2506">
            <w:pPr>
              <w:spacing w:line="360" w:lineRule="auto"/>
              <w:jc w:val="center"/>
            </w:pPr>
            <w:r>
              <w:t>5</w:t>
            </w:r>
            <w:r>
              <w:rPr>
                <w:rFonts w:hint="eastAsia"/>
              </w:rPr>
              <w:t>级</w:t>
            </w:r>
          </w:p>
        </w:tc>
        <w:tc>
          <w:tcPr>
            <w:tcW w:w="2268" w:type="dxa"/>
            <w:shd w:val="clear" w:color="auto" w:fill="auto"/>
            <w:vAlign w:val="center"/>
          </w:tcPr>
          <w:p w14:paraId="6A2CA213">
            <w:pPr>
              <w:spacing w:line="360" w:lineRule="auto"/>
              <w:jc w:val="center"/>
            </w:pPr>
            <w:r>
              <w:rPr>
                <w:rFonts w:hint="eastAsia"/>
              </w:rPr>
              <w:t>《房间空气调节器能效限定值及能效等级》GB</w:t>
            </w:r>
            <w:r>
              <w:t xml:space="preserve"> 12021.3-2010</w:t>
            </w:r>
          </w:p>
        </w:tc>
        <w:tc>
          <w:tcPr>
            <w:tcW w:w="784" w:type="dxa"/>
            <w:shd w:val="clear" w:color="auto" w:fill="auto"/>
            <w:vAlign w:val="center"/>
          </w:tcPr>
          <w:p w14:paraId="2D8F7E61">
            <w:pPr>
              <w:spacing w:line="360" w:lineRule="auto"/>
              <w:jc w:val="center"/>
            </w:pPr>
            <w:r>
              <w:t>3</w:t>
            </w:r>
            <w:r>
              <w:rPr>
                <w:rFonts w:hint="eastAsia"/>
              </w:rPr>
              <w:t>级</w:t>
            </w:r>
          </w:p>
        </w:tc>
        <w:tc>
          <w:tcPr>
            <w:tcW w:w="996" w:type="dxa"/>
            <w:shd w:val="clear" w:color="auto" w:fill="auto"/>
            <w:vAlign w:val="center"/>
          </w:tcPr>
          <w:p w14:paraId="7EB5936A">
            <w:pPr>
              <w:spacing w:line="360" w:lineRule="auto"/>
              <w:jc w:val="center"/>
            </w:pPr>
            <w:r>
              <w:rPr>
                <w:rFonts w:hint="eastAsia"/>
              </w:rPr>
              <w:t>2级</w:t>
            </w:r>
          </w:p>
        </w:tc>
      </w:tr>
      <w:tr w14:paraId="6C813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00" w:type="dxa"/>
            <w:shd w:val="clear" w:color="auto" w:fill="auto"/>
            <w:vAlign w:val="center"/>
          </w:tcPr>
          <w:p w14:paraId="19A22685">
            <w:pPr>
              <w:spacing w:line="360" w:lineRule="auto"/>
              <w:jc w:val="center"/>
            </w:pPr>
            <w:r>
              <w:rPr>
                <w:rFonts w:hint="eastAsia"/>
              </w:rPr>
              <w:t>家用燃气快速热水器和燃气采暖热水炉</w:t>
            </w:r>
          </w:p>
        </w:tc>
        <w:tc>
          <w:tcPr>
            <w:tcW w:w="1962" w:type="dxa"/>
            <w:shd w:val="clear" w:color="auto" w:fill="auto"/>
            <w:vAlign w:val="center"/>
          </w:tcPr>
          <w:p w14:paraId="01F2EE5E">
            <w:pPr>
              <w:spacing w:line="360" w:lineRule="auto"/>
              <w:jc w:val="center"/>
            </w:pPr>
            <w:r>
              <w:rPr>
                <w:rFonts w:hint="eastAsia"/>
              </w:rPr>
              <w:t>《家用燃气快速热水器和燃气采暖热水炉能效限定值及能效等级》GB</w:t>
            </w:r>
            <w:r>
              <w:t xml:space="preserve"> 20665-2015</w:t>
            </w:r>
          </w:p>
        </w:tc>
        <w:tc>
          <w:tcPr>
            <w:tcW w:w="1086" w:type="dxa"/>
            <w:shd w:val="clear" w:color="auto" w:fill="auto"/>
            <w:vAlign w:val="center"/>
          </w:tcPr>
          <w:p w14:paraId="7F698A77">
            <w:pPr>
              <w:spacing w:line="360" w:lineRule="auto"/>
              <w:jc w:val="center"/>
            </w:pPr>
            <w:r>
              <w:rPr>
                <w:rFonts w:hint="eastAsia"/>
              </w:rPr>
              <w:t>3级</w:t>
            </w:r>
          </w:p>
        </w:tc>
        <w:tc>
          <w:tcPr>
            <w:tcW w:w="2268" w:type="dxa"/>
            <w:shd w:val="clear" w:color="auto" w:fill="auto"/>
            <w:vAlign w:val="center"/>
          </w:tcPr>
          <w:p w14:paraId="020F4DC4">
            <w:pPr>
              <w:spacing w:line="360" w:lineRule="auto"/>
              <w:jc w:val="center"/>
            </w:pPr>
            <w:r>
              <w:rPr>
                <w:rFonts w:hint="eastAsia"/>
              </w:rPr>
              <w:t>《家用燃气快速热水器和燃气采暖热水炉能效限定值及能效等级》GB</w:t>
            </w:r>
            <w:r>
              <w:t xml:space="preserve"> 20665-2006</w:t>
            </w:r>
          </w:p>
        </w:tc>
        <w:tc>
          <w:tcPr>
            <w:tcW w:w="784" w:type="dxa"/>
            <w:shd w:val="clear" w:color="auto" w:fill="auto"/>
            <w:vAlign w:val="center"/>
          </w:tcPr>
          <w:p w14:paraId="0E8FA834">
            <w:pPr>
              <w:spacing w:line="360" w:lineRule="auto"/>
              <w:jc w:val="center"/>
            </w:pPr>
            <w:r>
              <w:rPr>
                <w:rFonts w:hint="eastAsia"/>
              </w:rPr>
              <w:t>3级</w:t>
            </w:r>
          </w:p>
        </w:tc>
        <w:tc>
          <w:tcPr>
            <w:tcW w:w="996" w:type="dxa"/>
            <w:shd w:val="clear" w:color="auto" w:fill="auto"/>
            <w:vAlign w:val="center"/>
          </w:tcPr>
          <w:p w14:paraId="7C5A8B2B">
            <w:pPr>
              <w:spacing w:line="360" w:lineRule="auto"/>
              <w:jc w:val="center"/>
            </w:pPr>
            <w:r>
              <w:rPr>
                <w:rFonts w:hint="eastAsia"/>
              </w:rPr>
              <w:t>2级</w:t>
            </w:r>
          </w:p>
        </w:tc>
      </w:tr>
    </w:tbl>
    <w:p w14:paraId="352FB8F7">
      <w:pPr>
        <w:numPr>
          <w:ilvl w:val="255"/>
          <w:numId w:val="0"/>
        </w:num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本条的评价方法为：预评价查阅相关设计文件、运行记录；评价查阅相关竣工图、主要产品型式检验报告、能效标识、运行记录。</w:t>
      </w:r>
    </w:p>
    <w:p w14:paraId="6C67F1E2">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6.2.2</w:t>
      </w:r>
      <w:r>
        <w:rPr>
          <w:rFonts w:hint="eastAsia" w:ascii="宋体" w:hAnsi="宋体" w:cs="宋体"/>
          <w:sz w:val="24"/>
          <w:szCs w:val="24"/>
        </w:rPr>
        <w:t>　</w:t>
      </w:r>
      <w:r>
        <w:rPr>
          <w:rFonts w:hint="eastAsia" w:ascii="宋体" w:hAnsi="宋体" w:eastAsia="宋体" w:cs="宋体"/>
          <w:sz w:val="24"/>
          <w:szCs w:val="24"/>
        </w:rPr>
        <w:t>本条适用于预评价和评价。</w:t>
      </w:r>
    </w:p>
    <w:p w14:paraId="256414C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经检测或评估，供暖空调系统的末端系统及输配系统满足原设计标准要求，且未超设计工作年限并能满足建筑使用需求，不进行改造时，本条可直接得分。采用分体空调和多联机空调（热泵）机组，本条第</w:t>
      </w:r>
      <w:r>
        <w:rPr>
          <w:rFonts w:hint="default" w:ascii="Times New Roman" w:hAnsi="Times New Roman" w:eastAsia="宋体" w:cs="Times New Roman"/>
          <w:sz w:val="24"/>
          <w:szCs w:val="24"/>
        </w:rPr>
        <w:t>1</w:t>
      </w:r>
      <w:r>
        <w:rPr>
          <w:rFonts w:hint="eastAsia" w:ascii="宋体" w:hAnsi="宋体" w:eastAsia="宋体" w:cs="宋体"/>
          <w:sz w:val="24"/>
          <w:szCs w:val="24"/>
        </w:rPr>
        <w:t>款直接得分；供暖空调系统采用分体空调、多联机空调（热泵）机组、单元式空气调节机等，非集中供暖空调系统时，本条第</w:t>
      </w:r>
      <w:r>
        <w:rPr>
          <w:rFonts w:hint="default" w:ascii="Times New Roman" w:hAnsi="Times New Roman" w:eastAsia="宋体" w:cs="Times New Roman"/>
          <w:sz w:val="24"/>
          <w:szCs w:val="24"/>
        </w:rPr>
        <w:t>2</w:t>
      </w:r>
      <w:r>
        <w:rPr>
          <w:rFonts w:hint="eastAsia" w:ascii="宋体" w:hAnsi="宋体" w:eastAsia="宋体" w:cs="宋体"/>
          <w:sz w:val="24"/>
          <w:szCs w:val="24"/>
        </w:rPr>
        <w:t>款直接得分。</w:t>
      </w:r>
    </w:p>
    <w:p w14:paraId="7647D1F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在大量既有建筑中，输配系统的能耗可占到整个暖通空调系统能耗的</w:t>
      </w:r>
      <w:r>
        <w:rPr>
          <w:rFonts w:hint="default" w:ascii="Times New Roman" w:hAnsi="Times New Roman" w:eastAsia="宋体" w:cs="Times New Roman"/>
          <w:sz w:val="24"/>
          <w:szCs w:val="24"/>
        </w:rPr>
        <w:t>30%</w:t>
      </w:r>
      <w:r>
        <w:rPr>
          <w:rFonts w:hint="eastAsia" w:ascii="宋体" w:hAnsi="宋体" w:eastAsia="宋体" w:cs="宋体"/>
          <w:sz w:val="24"/>
          <w:szCs w:val="24"/>
        </w:rPr>
        <w:t>及以上，在低碳改造中要重视解决“大流量小温差”以及水泵、风机低效率运转等问题。对于设置新风机的项目，新风机需参与评价。</w:t>
      </w:r>
    </w:p>
    <w:p w14:paraId="783EE1D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2</w:t>
      </w:r>
      <w:r>
        <w:rPr>
          <w:rFonts w:hint="eastAsia" w:ascii="宋体" w:hAnsi="宋体" w:eastAsia="宋体" w:cs="宋体"/>
          <w:sz w:val="24"/>
          <w:szCs w:val="24"/>
        </w:rPr>
        <w:t>款，对于非集中供暖空调系统的项目，如分体空调、多联机空调（热泵）机组、单元式空气调节机等，本款可直接得分。</w:t>
      </w:r>
    </w:p>
    <w:p w14:paraId="30CE8D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本条的评价方法为：预评价查阅相关设计文件、计算书、影像资料；评价查阅相关竣工图、主要产品型式检验报告、计算书、影像资料。</w:t>
      </w:r>
    </w:p>
    <w:p w14:paraId="11EEFFD9">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6.2.3</w:t>
      </w:r>
      <w:r>
        <w:rPr>
          <w:rFonts w:hint="eastAsia" w:ascii="宋体" w:hAnsi="宋体" w:cs="宋体"/>
          <w:sz w:val="24"/>
          <w:szCs w:val="24"/>
        </w:rPr>
        <w:t>　</w:t>
      </w:r>
      <w:r>
        <w:rPr>
          <w:rFonts w:hint="eastAsia" w:ascii="宋体" w:hAnsi="宋体" w:eastAsia="宋体" w:cs="宋体"/>
          <w:sz w:val="24"/>
          <w:szCs w:val="24"/>
        </w:rPr>
        <w:t>本条适用于预评价和评价。</w:t>
      </w:r>
    </w:p>
    <w:p w14:paraId="4F2E244B">
      <w:pPr>
        <w:spacing w:line="360" w:lineRule="auto"/>
        <w:ind w:firstLine="480" w:firstLineChars="200"/>
        <w:rPr>
          <w:rFonts w:hint="eastAsia" w:ascii="宋体" w:hAnsi="宋体" w:eastAsia="宋体" w:cs="宋体"/>
          <w:sz w:val="24"/>
          <w:szCs w:val="24"/>
          <w:highlight w:val="yellow"/>
        </w:rPr>
      </w:pPr>
      <w:r>
        <w:rPr>
          <w:rFonts w:hint="eastAsia" w:ascii="宋体" w:hAnsi="宋体" w:eastAsia="宋体" w:cs="宋体"/>
          <w:sz w:val="24"/>
          <w:szCs w:val="24"/>
        </w:rPr>
        <w:t>可再生能源利用具有节能减排的综合效益，利用可再生能源提供生活热水、作为供暖或空调系统的冷热源等已有很多成功案例，具备了大范围推广的条件。因此，在建筑低碳改造时，应根据当地气候和自然资源条件合理利用太阳能、地热能等可再生能源。可再生能源利用率的具体算法可参照现行国家标准《绿色建筑评价标准》</w:t>
      </w:r>
      <w:r>
        <w:rPr>
          <w:rFonts w:hint="default" w:ascii="Times New Roman" w:hAnsi="Times New Roman" w:eastAsia="宋体" w:cs="Times New Roman"/>
          <w:sz w:val="24"/>
          <w:szCs w:val="24"/>
        </w:rPr>
        <w:t>GB/T 50378</w:t>
      </w:r>
      <w:r>
        <w:rPr>
          <w:rFonts w:hint="eastAsia" w:ascii="宋体" w:hAnsi="宋体" w:eastAsia="宋体" w:cs="宋体"/>
          <w:sz w:val="24"/>
          <w:szCs w:val="24"/>
        </w:rPr>
        <w:t>的有关规定。</w:t>
      </w:r>
    </w:p>
    <w:p w14:paraId="107B769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本条的评价方法为：预评价查阅相关设计文件、计算分析报告；运行评价查阅相关竣工图、计算分析报告、主要产品型式检验报告、运行记录。</w:t>
      </w:r>
    </w:p>
    <w:p w14:paraId="4210EB7E">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6.2.4</w:t>
      </w:r>
      <w:r>
        <w:rPr>
          <w:rFonts w:hint="eastAsia" w:ascii="宋体" w:hAnsi="宋体" w:cs="宋体"/>
          <w:sz w:val="24"/>
          <w:szCs w:val="24"/>
        </w:rPr>
        <w:t>　</w:t>
      </w:r>
      <w:r>
        <w:rPr>
          <w:rFonts w:hint="eastAsia" w:ascii="宋体" w:hAnsi="宋体" w:eastAsia="宋体" w:cs="宋体"/>
          <w:sz w:val="24"/>
          <w:szCs w:val="24"/>
        </w:rPr>
        <w:t>本条适用于预评价和评价。</w:t>
      </w:r>
    </w:p>
    <w:p w14:paraId="2A3084E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行业标准《民用建筑绿色性能计算标准》</w:t>
      </w:r>
      <w:r>
        <w:rPr>
          <w:rFonts w:hint="default" w:ascii="Times New Roman" w:hAnsi="Times New Roman" w:eastAsia="宋体" w:cs="Times New Roman"/>
          <w:sz w:val="24"/>
          <w:szCs w:val="24"/>
        </w:rPr>
        <w:t>JGJ/T 449-2018</w:t>
      </w:r>
      <w:r>
        <w:rPr>
          <w:rFonts w:hint="eastAsia" w:ascii="宋体" w:hAnsi="宋体" w:eastAsia="宋体" w:cs="宋体"/>
          <w:sz w:val="24"/>
          <w:szCs w:val="24"/>
        </w:rPr>
        <w:t>已经对暖通系统及照明系统的能耗计算方法进行了标准化。</w:t>
      </w:r>
    </w:p>
    <w:p w14:paraId="44FEFCE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根据现行行业标准《民用建筑绿色性能计算标准》</w:t>
      </w:r>
      <w:r>
        <w:rPr>
          <w:rFonts w:hint="default" w:ascii="Times New Roman" w:hAnsi="Times New Roman" w:eastAsia="宋体" w:cs="Times New Roman"/>
          <w:sz w:val="24"/>
          <w:szCs w:val="24"/>
        </w:rPr>
        <w:t>JGJ/T 449-2018</w:t>
      </w:r>
      <w:r>
        <w:rPr>
          <w:rFonts w:hint="eastAsia" w:ascii="宋体" w:hAnsi="宋体" w:eastAsia="宋体" w:cs="宋体"/>
          <w:sz w:val="24"/>
          <w:szCs w:val="24"/>
        </w:rPr>
        <w:t>的规定，建筑供暖和空调系统能耗应包括冷热源、输配系统及末端空气处理设备的能耗；建筑通风系统能耗应包括除消防及事故通风外的机械通风设备能耗；照明系统能耗应包括公共建筑或住宅建筑公共空间的照明系统能耗。本条涉及的设计建筑的供暖空调和照明系统能耗，以及参照建筑的供暖空调和照明系统能耗，应按照行业标准《民用建筑绿色性能计算标准》</w:t>
      </w:r>
      <w:r>
        <w:rPr>
          <w:rFonts w:hint="default" w:ascii="Times New Roman" w:hAnsi="Times New Roman" w:eastAsia="宋体" w:cs="Times New Roman"/>
          <w:sz w:val="24"/>
          <w:szCs w:val="24"/>
        </w:rPr>
        <w:t>JGJ/T 449-2018</w:t>
      </w:r>
      <w:r>
        <w:rPr>
          <w:rFonts w:hint="eastAsia" w:ascii="宋体" w:hAnsi="宋体" w:eastAsia="宋体" w:cs="宋体"/>
          <w:sz w:val="24"/>
          <w:szCs w:val="24"/>
        </w:rPr>
        <w:t>中第</w:t>
      </w:r>
      <w:r>
        <w:rPr>
          <w:rFonts w:hint="default" w:ascii="Times New Roman" w:hAnsi="Times New Roman" w:eastAsia="宋体" w:cs="Times New Roman"/>
          <w:sz w:val="24"/>
          <w:szCs w:val="24"/>
        </w:rPr>
        <w:t>5.3</w:t>
      </w:r>
      <w:r>
        <w:rPr>
          <w:rFonts w:hint="eastAsia" w:ascii="宋体" w:hAnsi="宋体" w:eastAsia="宋体" w:cs="宋体"/>
          <w:sz w:val="24"/>
          <w:szCs w:val="24"/>
        </w:rPr>
        <w:t>节的相关规定计算。</w:t>
      </w:r>
    </w:p>
    <w:p w14:paraId="0511E31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暖通、电气、内装专业施工图纸及设计说明、建筑暖通及照明系统能耗模拟计算书；评价查阅暖通、电气、内装专业竣工图纸及设计说明，建筑暖通系统及照明系统能耗模拟计算书、暖通系统运行调试记录等，已投入运行的项目尚应查阅能耗统计数据。</w:t>
      </w:r>
    </w:p>
    <w:p w14:paraId="10F49B3D">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6.2.5</w:t>
      </w:r>
      <w:r>
        <w:rPr>
          <w:rFonts w:hint="eastAsia" w:ascii="宋体" w:hAnsi="宋体" w:cs="宋体"/>
          <w:sz w:val="24"/>
          <w:szCs w:val="24"/>
        </w:rPr>
        <w:t>　</w:t>
      </w:r>
      <w:r>
        <w:rPr>
          <w:rFonts w:hint="eastAsia" w:ascii="宋体" w:hAnsi="宋体" w:eastAsia="宋体" w:cs="宋体"/>
          <w:sz w:val="24"/>
          <w:szCs w:val="24"/>
        </w:rPr>
        <w:t>本条适用于预评价和评价。</w:t>
      </w:r>
    </w:p>
    <w:p w14:paraId="3FC204A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文强调的室内热舒适的可调控性，包括主动式供暖空调末端的可调性及个性化的调节措施，目标是尽量地满足用户改善个人热舒适的差异化需求，从而最大限度地改善个体热舒适性，提高室内人员对室内热环境的满意率。同时，在满足热舒适的前提下，鼓励行为节能。对于采用集中供暖空调系统的建筑，应根据房间、区域的功能和所采用的系统形式，合理设置可现场独立调节的热环境调节装置。对于未采用集中供暖空调系统的建筑，应合理设计建筑热环境营造方案，具备满足个性化热舒适需求的</w:t>
      </w:r>
      <w:r>
        <w:rPr>
          <w:rFonts w:hint="eastAsia" w:ascii="宋体" w:hAnsi="宋体" w:cs="宋体"/>
          <w:sz w:val="24"/>
          <w:szCs w:val="24"/>
          <w:lang w:eastAsia="zh-CN"/>
        </w:rPr>
        <w:t>、</w:t>
      </w:r>
      <w:r>
        <w:rPr>
          <w:rFonts w:hint="eastAsia" w:ascii="宋体" w:hAnsi="宋体" w:eastAsia="宋体" w:cs="宋体"/>
          <w:sz w:val="24"/>
          <w:szCs w:val="24"/>
        </w:rPr>
        <w:t>可独立控制的热环境调节装置或功能。</w:t>
      </w:r>
    </w:p>
    <w:p w14:paraId="474EF6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本条的评价方法为：预评价查阅相关设计文件；评价查阅相关竣工图。</w:t>
      </w:r>
    </w:p>
    <w:p w14:paraId="4CFF5EED">
      <w:pPr>
        <w:spacing w:before="0" w:beforeLines="0" w:after="0" w:afterLines="0" w:line="360" w:lineRule="auto"/>
        <w:jc w:val="center"/>
        <w:outlineLvl w:val="2"/>
        <w:rPr>
          <w:rFonts w:hint="eastAsia" w:eastAsia="仿宋"/>
          <w:b/>
          <w:bCs/>
          <w:lang w:eastAsia="zh-CN"/>
        </w:rPr>
      </w:pPr>
      <w:r>
        <w:rPr>
          <w:b/>
          <w:bCs/>
          <w:sz w:val="28"/>
          <w:szCs w:val="28"/>
        </w:rPr>
        <w:fldChar w:fldCharType="begin"/>
      </w:r>
      <w:r>
        <w:rPr>
          <w:b/>
          <w:bCs/>
          <w:sz w:val="28"/>
          <w:szCs w:val="28"/>
        </w:rPr>
        <w:instrText xml:space="preserve"> = 3 \* ROMAN </w:instrText>
      </w:r>
      <w:r>
        <w:rPr>
          <w:b/>
          <w:bCs/>
          <w:sz w:val="28"/>
          <w:szCs w:val="28"/>
        </w:rPr>
        <w:fldChar w:fldCharType="separate"/>
      </w:r>
      <w:r>
        <w:rPr>
          <w:b/>
          <w:bCs/>
          <w:sz w:val="28"/>
          <w:szCs w:val="28"/>
        </w:rPr>
        <w:t>II</w:t>
      </w:r>
      <w:r>
        <w:rPr>
          <w:b/>
          <w:bCs/>
          <w:sz w:val="28"/>
          <w:szCs w:val="28"/>
        </w:rPr>
        <w:fldChar w:fldCharType="end"/>
      </w:r>
      <w:r>
        <w:rPr>
          <w:b/>
          <w:bCs/>
          <w:sz w:val="28"/>
          <w:szCs w:val="28"/>
        </w:rPr>
        <w:t xml:space="preserve"> </w:t>
      </w:r>
      <w:r>
        <w:rPr>
          <w:rFonts w:hint="eastAsia" w:ascii="仿宋" w:hAnsi="仿宋" w:eastAsia="仿宋" w:cs="仿宋"/>
          <w:b/>
          <w:bCs/>
          <w:sz w:val="28"/>
          <w:szCs w:val="28"/>
        </w:rPr>
        <w:t>节水与水资源</w:t>
      </w:r>
    </w:p>
    <w:p w14:paraId="57401EA6">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6.2.6</w:t>
      </w:r>
      <w:r>
        <w:rPr>
          <w:rFonts w:hint="eastAsia" w:ascii="宋体" w:hAnsi="宋体" w:cs="宋体"/>
          <w:sz w:val="24"/>
          <w:szCs w:val="24"/>
        </w:rPr>
        <w:t>　</w:t>
      </w:r>
      <w:r>
        <w:rPr>
          <w:rFonts w:hint="eastAsia" w:ascii="宋体" w:hAnsi="宋体" w:eastAsia="宋体" w:cs="宋体"/>
          <w:sz w:val="24"/>
          <w:szCs w:val="24"/>
        </w:rPr>
        <w:t>本条适用于预评价和评价。公共场所未设洗手盆水嘴时，本条第</w:t>
      </w:r>
      <w:r>
        <w:rPr>
          <w:rFonts w:hint="default" w:ascii="Times New Roman" w:hAnsi="Times New Roman" w:eastAsia="宋体" w:cs="Times New Roman"/>
          <w:sz w:val="24"/>
          <w:szCs w:val="24"/>
        </w:rPr>
        <w:t>2</w:t>
      </w:r>
      <w:r>
        <w:rPr>
          <w:rFonts w:hint="eastAsia" w:ascii="宋体" w:hAnsi="宋体" w:eastAsia="宋体" w:cs="宋体"/>
          <w:sz w:val="24"/>
          <w:szCs w:val="24"/>
        </w:rPr>
        <w:t>款直接得分。</w:t>
      </w:r>
    </w:p>
    <w:p w14:paraId="418D461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1</w:t>
      </w:r>
      <w:r>
        <w:rPr>
          <w:rFonts w:hint="eastAsia" w:ascii="宋体" w:hAnsi="宋体" w:eastAsia="宋体" w:cs="宋体"/>
          <w:sz w:val="24"/>
          <w:szCs w:val="24"/>
        </w:rPr>
        <w:t>款，采用节水型卫生器具是最明显、最直观的节水措施。既有建筑全面更换卫生器具存在一定难度，故本标准适当降低要求，用水效率等级达到</w:t>
      </w:r>
      <w:r>
        <w:rPr>
          <w:rFonts w:hint="default" w:ascii="Times New Roman" w:hAnsi="Times New Roman" w:eastAsia="宋体" w:cs="Times New Roman"/>
          <w:sz w:val="24"/>
          <w:szCs w:val="24"/>
        </w:rPr>
        <w:t>2</w:t>
      </w:r>
      <w:r>
        <w:rPr>
          <w:rFonts w:hint="eastAsia" w:ascii="宋体" w:hAnsi="宋体" w:eastAsia="宋体" w:cs="宋体"/>
          <w:sz w:val="24"/>
          <w:szCs w:val="24"/>
        </w:rPr>
        <w:t>级的卫生器具数量比例达到</w:t>
      </w:r>
      <w:r>
        <w:rPr>
          <w:rFonts w:hint="default" w:ascii="Times New Roman" w:hAnsi="Times New Roman" w:eastAsia="宋体" w:cs="Times New Roman"/>
          <w:sz w:val="24"/>
          <w:szCs w:val="24"/>
        </w:rPr>
        <w:t>50%</w:t>
      </w:r>
      <w:r>
        <w:rPr>
          <w:rFonts w:hint="eastAsia" w:ascii="宋体" w:hAnsi="宋体" w:eastAsia="宋体" w:cs="宋体"/>
          <w:sz w:val="24"/>
          <w:szCs w:val="24"/>
        </w:rPr>
        <w:t>即可得分。本条中的卫生器具仅包括有用水效率相关标准的卫生器具。</w:t>
      </w:r>
    </w:p>
    <w:p w14:paraId="3F25C12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我国对卫生器具的用水效率均制定了系列国家标准，如《水嘴用水效率限定值及用水效率等级》</w:t>
      </w:r>
      <w:r>
        <w:rPr>
          <w:rFonts w:hint="default" w:ascii="Times New Roman" w:hAnsi="Times New Roman" w:eastAsia="宋体" w:cs="Times New Roman"/>
          <w:sz w:val="24"/>
          <w:szCs w:val="24"/>
        </w:rPr>
        <w:t>GB 25501</w:t>
      </w:r>
      <w:r>
        <w:rPr>
          <w:rFonts w:hint="eastAsia" w:ascii="宋体" w:hAnsi="宋体" w:eastAsia="宋体" w:cs="宋体"/>
          <w:sz w:val="24"/>
          <w:szCs w:val="24"/>
        </w:rPr>
        <w:t>、《坐便器用水效率限定值及用水效率等级》</w:t>
      </w:r>
      <w:r>
        <w:rPr>
          <w:rFonts w:hint="default" w:ascii="Times New Roman" w:hAnsi="Times New Roman" w:eastAsia="宋体" w:cs="Times New Roman"/>
          <w:sz w:val="24"/>
          <w:szCs w:val="24"/>
        </w:rPr>
        <w:t>GB 25502</w:t>
      </w:r>
      <w:r>
        <w:rPr>
          <w:rFonts w:hint="eastAsia" w:ascii="宋体" w:hAnsi="宋体" w:eastAsia="宋体" w:cs="宋体"/>
          <w:sz w:val="24"/>
          <w:szCs w:val="24"/>
        </w:rPr>
        <w:t>，《小便器用水效率限定值及用水效率等级》</w:t>
      </w:r>
      <w:r>
        <w:rPr>
          <w:rFonts w:hint="default" w:ascii="Times New Roman" w:hAnsi="Times New Roman" w:eastAsia="宋体" w:cs="Times New Roman"/>
          <w:sz w:val="24"/>
          <w:szCs w:val="24"/>
        </w:rPr>
        <w:t>GB 28377</w:t>
      </w:r>
      <w:r>
        <w:rPr>
          <w:rFonts w:hint="eastAsia" w:ascii="宋体" w:hAnsi="宋体" w:eastAsia="宋体" w:cs="宋体"/>
          <w:sz w:val="24"/>
          <w:szCs w:val="24"/>
        </w:rPr>
        <w:t>、《淋浴器用水效率限定值及用水效率等级》</w:t>
      </w:r>
      <w:r>
        <w:rPr>
          <w:rFonts w:hint="default" w:ascii="Times New Roman" w:hAnsi="Times New Roman" w:eastAsia="宋体" w:cs="Times New Roman"/>
          <w:sz w:val="24"/>
          <w:szCs w:val="24"/>
        </w:rPr>
        <w:t>GB 28378</w:t>
      </w:r>
      <w:r>
        <w:rPr>
          <w:rFonts w:hint="eastAsia" w:ascii="宋体" w:hAnsi="宋体" w:eastAsia="宋体" w:cs="宋体"/>
          <w:sz w:val="24"/>
          <w:szCs w:val="24"/>
        </w:rPr>
        <w:t>、《便器冲洗阀用水效率限定值及用水效率等级》</w:t>
      </w:r>
      <w:r>
        <w:rPr>
          <w:rFonts w:hint="default" w:ascii="Times New Roman" w:hAnsi="Times New Roman" w:eastAsia="宋体" w:cs="Times New Roman"/>
          <w:sz w:val="24"/>
          <w:szCs w:val="24"/>
        </w:rPr>
        <w:t>GB 28379</w:t>
      </w:r>
      <w:r>
        <w:rPr>
          <w:rFonts w:hint="eastAsia" w:ascii="宋体" w:hAnsi="宋体" w:eastAsia="宋体" w:cs="宋体"/>
          <w:sz w:val="24"/>
          <w:szCs w:val="24"/>
        </w:rPr>
        <w:t>等。卫生器具的用水效率等级一般共有</w:t>
      </w:r>
      <w:r>
        <w:rPr>
          <w:rFonts w:hint="default" w:ascii="Times New Roman" w:hAnsi="Times New Roman" w:eastAsia="宋体" w:cs="Times New Roman"/>
          <w:sz w:val="24"/>
          <w:szCs w:val="24"/>
        </w:rPr>
        <w:t>3</w:t>
      </w:r>
      <w:r>
        <w:rPr>
          <w:rFonts w:hint="eastAsia" w:ascii="宋体" w:hAnsi="宋体" w:eastAsia="宋体" w:cs="宋体"/>
          <w:sz w:val="24"/>
          <w:szCs w:val="24"/>
        </w:rPr>
        <w:t>级或</w:t>
      </w:r>
      <w:r>
        <w:rPr>
          <w:rFonts w:hint="default" w:ascii="Times New Roman" w:hAnsi="Times New Roman" w:eastAsia="宋体" w:cs="Times New Roman"/>
          <w:sz w:val="24"/>
          <w:szCs w:val="24"/>
        </w:rPr>
        <w:t>5</w:t>
      </w:r>
      <w:r>
        <w:rPr>
          <w:rFonts w:hint="eastAsia" w:ascii="宋体" w:hAnsi="宋体" w:eastAsia="宋体" w:cs="宋体"/>
          <w:sz w:val="24"/>
          <w:szCs w:val="24"/>
        </w:rPr>
        <w:t>级，</w:t>
      </w:r>
      <w:r>
        <w:rPr>
          <w:rFonts w:hint="default" w:ascii="Times New Roman" w:hAnsi="Times New Roman" w:eastAsia="宋体" w:cs="Times New Roman"/>
          <w:sz w:val="24"/>
          <w:szCs w:val="24"/>
        </w:rPr>
        <w:t>1</w:t>
      </w:r>
      <w:r>
        <w:rPr>
          <w:rFonts w:hint="eastAsia" w:ascii="宋体" w:hAnsi="宋体" w:eastAsia="宋体" w:cs="宋体"/>
          <w:sz w:val="24"/>
          <w:szCs w:val="24"/>
        </w:rPr>
        <w:t>级表示用水效率最高。既有建筑低碳改造时，应在设计文件中注明所有卫生器具的用水效率等级及相应的参数，并计算出用水效率等级达到2级的卫生器具数量占卫生器具总量的比例。</w:t>
      </w:r>
    </w:p>
    <w:p w14:paraId="6CB7A86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2</w:t>
      </w:r>
      <w:r>
        <w:rPr>
          <w:rFonts w:hint="eastAsia" w:ascii="宋体" w:hAnsi="宋体" w:eastAsia="宋体" w:cs="宋体"/>
          <w:sz w:val="24"/>
          <w:szCs w:val="24"/>
        </w:rPr>
        <w:t>款，洗手盆采用感应式水嘴、延时自闭水嘴等非接触式水嘴，在使用者离开后，会自动定时断水，用于公共场所的卫生间时不仅节水，而且卫生。强制性工程建设规范《建筑给水排水与节水通用规范》</w:t>
      </w:r>
      <w:r>
        <w:rPr>
          <w:rFonts w:hint="default" w:ascii="Times New Roman" w:hAnsi="Times New Roman" w:eastAsia="宋体" w:cs="Times New Roman"/>
          <w:sz w:val="24"/>
          <w:szCs w:val="24"/>
        </w:rPr>
        <w:t>GB 55020-2021</w:t>
      </w:r>
      <w:r>
        <w:rPr>
          <w:rFonts w:hint="eastAsia" w:ascii="宋体" w:hAnsi="宋体" w:eastAsia="宋体" w:cs="宋体"/>
          <w:sz w:val="24"/>
          <w:szCs w:val="24"/>
        </w:rPr>
        <w:t>第</w:t>
      </w:r>
      <w:r>
        <w:rPr>
          <w:rFonts w:hint="default" w:ascii="Times New Roman" w:hAnsi="Times New Roman" w:eastAsia="宋体" w:cs="Times New Roman"/>
          <w:sz w:val="24"/>
          <w:szCs w:val="24"/>
        </w:rPr>
        <w:t>3.4.5</w:t>
      </w:r>
      <w:r>
        <w:rPr>
          <w:rFonts w:hint="eastAsia" w:ascii="宋体" w:hAnsi="宋体" w:eastAsia="宋体" w:cs="宋体"/>
          <w:sz w:val="24"/>
          <w:szCs w:val="24"/>
        </w:rPr>
        <w:t>条规定“公共场所的洗手盆水嘴应采用非接触式或延时自闭式水嘴”。公共场所</w:t>
      </w:r>
      <w:r>
        <w:rPr>
          <w:rFonts w:hint="default" w:ascii="Times New Roman" w:hAnsi="Times New Roman" w:eastAsia="宋体" w:cs="Times New Roman"/>
          <w:sz w:val="24"/>
          <w:szCs w:val="24"/>
        </w:rPr>
        <w:t>100%</w:t>
      </w:r>
      <w:r>
        <w:rPr>
          <w:rFonts w:hint="eastAsia" w:ascii="宋体" w:hAnsi="宋体" w:eastAsia="宋体" w:cs="宋体"/>
          <w:sz w:val="24"/>
          <w:szCs w:val="24"/>
        </w:rPr>
        <w:t>洗手盆水嘴采用非接触式水嘴，本款方可得分。</w:t>
      </w:r>
    </w:p>
    <w:p w14:paraId="6E50D32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本条的评价方法为：预评价查阅相关设计文件、计算书、产品说明书（含相关节水器具的性能参数）、影像资料；评价查阅竣工图、计算书、产品说明书或产品节水性能检测报告、影像资料。</w:t>
      </w:r>
    </w:p>
    <w:p w14:paraId="709BB800">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6.2.7</w:t>
      </w:r>
      <w:r>
        <w:rPr>
          <w:rFonts w:hint="eastAsia" w:ascii="宋体" w:hAnsi="宋体" w:cs="宋体"/>
          <w:sz w:val="24"/>
          <w:szCs w:val="24"/>
        </w:rPr>
        <w:t>　</w:t>
      </w:r>
      <w:r>
        <w:rPr>
          <w:rFonts w:hint="eastAsia" w:ascii="宋体" w:hAnsi="宋体" w:eastAsia="宋体" w:cs="宋体"/>
          <w:sz w:val="24"/>
          <w:szCs w:val="24"/>
        </w:rPr>
        <w:t>本条适用于预评价和评价。空调设备不包括冷却水系统时，本条直接得分。</w:t>
      </w:r>
    </w:p>
    <w:p w14:paraId="43F2D9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公共建筑集中空调系统的冷却水补水量很大，可能占据建筑物用水量的</w:t>
      </w:r>
      <w:r>
        <w:rPr>
          <w:rFonts w:hint="default" w:ascii="Times New Roman" w:hAnsi="Times New Roman" w:eastAsia="宋体" w:cs="Times New Roman"/>
          <w:sz w:val="24"/>
          <w:szCs w:val="24"/>
        </w:rPr>
        <w:t>30%～50%</w:t>
      </w:r>
      <w:r>
        <w:rPr>
          <w:rFonts w:hint="eastAsia" w:ascii="宋体" w:hAnsi="宋体" w:eastAsia="宋体" w:cs="宋体"/>
          <w:sz w:val="24"/>
          <w:szCs w:val="24"/>
        </w:rPr>
        <w:t xml:space="preserve">，减少冷却水系统不必要的耗水对整个建筑物的节水意义重大。 </w:t>
      </w:r>
    </w:p>
    <w:p w14:paraId="4C8783C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空调冷却水系统采用节水设备或技术主要如下：</w:t>
      </w:r>
    </w:p>
    <w:p w14:paraId="6FB93B2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1）循环冷却水系统</w:t>
      </w:r>
      <w:r>
        <w:rPr>
          <w:rFonts w:hint="eastAsia" w:ascii="宋体" w:hAnsi="宋体" w:cs="宋体"/>
          <w:sz w:val="24"/>
          <w:szCs w:val="24"/>
          <w:lang w:val="en-US" w:eastAsia="zh-CN"/>
        </w:rPr>
        <w:t>通过</w:t>
      </w:r>
      <w:r>
        <w:rPr>
          <w:rFonts w:hint="eastAsia" w:ascii="宋体" w:hAnsi="宋体" w:eastAsia="宋体" w:cs="宋体"/>
          <w:sz w:val="24"/>
          <w:szCs w:val="24"/>
        </w:rPr>
        <w:t>设置水处理措施、加大集水盘、设置平衡管或平衡水箱的方式，避免冷却水泵停泵时冷却水溢出。</w:t>
      </w:r>
    </w:p>
    <w:p w14:paraId="37B403F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采用无蒸发耗水量的冷却技术，包括采用分体空调、风冷式冷水机组、风冷式多联机、地源热泵、干式运行的闭式冷却塔等。风冷空调系统的冷凝排热以显热方式排到大气，并不直接耗费水资源，采用风冷方式替代水冷方式可以节省水资源。但由于风冷方式制冷机组的</w:t>
      </w:r>
      <w:r>
        <w:rPr>
          <w:rFonts w:hint="default" w:ascii="Times New Roman" w:hAnsi="Times New Roman" w:eastAsia="宋体" w:cs="Times New Roman"/>
          <w:sz w:val="24"/>
          <w:szCs w:val="24"/>
        </w:rPr>
        <w:t>COP</w:t>
      </w:r>
      <w:r>
        <w:rPr>
          <w:rFonts w:hint="eastAsia" w:ascii="宋体" w:hAnsi="宋体" w:eastAsia="宋体" w:cs="宋体"/>
          <w:sz w:val="24"/>
          <w:szCs w:val="24"/>
        </w:rPr>
        <w:t>通常较水冷方式的制冷机组低，所以需要综合评价工程所在地的水资源和电力资源情况，有条件时优先考虑风冷方式排出空调冷凝热。</w:t>
      </w:r>
    </w:p>
    <w:p w14:paraId="16E36CA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本条的评价方法为：预评价查阅相关设计文件、计算书、产品说明、影像资料；评价查阅相关竣工图纸、产品说明书、绿化灌溉用水量记录、冷却水系统用水计量、影像资料。</w:t>
      </w:r>
    </w:p>
    <w:p w14:paraId="17087B45">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6.2.8</w:t>
      </w:r>
      <w:r>
        <w:rPr>
          <w:rFonts w:hint="eastAsia" w:ascii="宋体" w:hAnsi="宋体" w:cs="宋体"/>
          <w:sz w:val="24"/>
          <w:szCs w:val="24"/>
        </w:rPr>
        <w:t>　</w:t>
      </w:r>
      <w:r>
        <w:rPr>
          <w:rFonts w:hint="eastAsia" w:ascii="宋体" w:hAnsi="宋体" w:eastAsia="宋体" w:cs="宋体"/>
          <w:sz w:val="24"/>
          <w:szCs w:val="24"/>
        </w:rPr>
        <w:t>本条适用于预评价和评价。</w:t>
      </w:r>
    </w:p>
    <w:p w14:paraId="1F519ED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虽然利用非传统水源是节水最直接、最有效的措施之一，但由于既有建筑的特殊性，本标准对非传统水源的利用率要求及分值均较新建建筑适当降低。</w:t>
      </w:r>
    </w:p>
    <w:p w14:paraId="7F6AB321">
      <w:pPr>
        <w:spacing w:line="360" w:lineRule="auto"/>
        <w:ind w:firstLine="480" w:firstLineChars="200"/>
        <w:rPr>
          <w:rFonts w:hint="eastAsia" w:ascii="宋体" w:hAnsi="宋体" w:eastAsia="宋体" w:cs="宋体"/>
          <w:sz w:val="24"/>
          <w:szCs w:val="24"/>
          <w:highlight w:val="yellow"/>
        </w:rPr>
      </w:pPr>
      <w:r>
        <w:rPr>
          <w:rFonts w:hint="eastAsia" w:ascii="宋体" w:hAnsi="宋体" w:eastAsia="宋体" w:cs="宋体"/>
          <w:sz w:val="24"/>
          <w:szCs w:val="24"/>
        </w:rPr>
        <w:t>本条中“某用途采用非传统水源的用水量占其总用水量的比例＝该用途采用非传统水源的年用水量/该用途的年总用水量（包含传统和非传统水量）”。该比例与非传统水源利用率是不同的概念，在计算时，应明确分子分母的针对性。</w:t>
      </w:r>
    </w:p>
    <w:p w14:paraId="12D0677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1</w:t>
      </w:r>
      <w:r>
        <w:rPr>
          <w:rFonts w:hint="eastAsia" w:ascii="宋体" w:hAnsi="宋体" w:eastAsia="宋体" w:cs="宋体"/>
          <w:sz w:val="24"/>
          <w:szCs w:val="24"/>
        </w:rPr>
        <w:t>款，利用非传统水源进行冲厕时，其水质指标应满足《城市污水再生利用城市杂用水水质》</w:t>
      </w:r>
      <w:r>
        <w:rPr>
          <w:rFonts w:hint="default" w:ascii="Times New Roman" w:hAnsi="Times New Roman" w:eastAsia="宋体" w:cs="Times New Roman"/>
          <w:sz w:val="24"/>
          <w:szCs w:val="24"/>
        </w:rPr>
        <w:t>GB/T 18920</w:t>
      </w:r>
      <w:r>
        <w:rPr>
          <w:rFonts w:hint="eastAsia" w:ascii="宋体" w:hAnsi="宋体" w:eastAsia="宋体" w:cs="宋体"/>
          <w:sz w:val="24"/>
          <w:szCs w:val="24"/>
        </w:rPr>
        <w:t>的水质要求；利用非传统水源作为冷却水补水水源时，其水质指标应满足现行国家标准《供暖空调系统水质》</w:t>
      </w:r>
      <w:r>
        <w:rPr>
          <w:rFonts w:hint="default" w:ascii="Times New Roman" w:hAnsi="Times New Roman" w:eastAsia="宋体" w:cs="Times New Roman"/>
          <w:sz w:val="24"/>
          <w:szCs w:val="24"/>
        </w:rPr>
        <w:t>GB/T 29044</w:t>
      </w:r>
      <w:r>
        <w:rPr>
          <w:rFonts w:hint="eastAsia" w:ascii="宋体" w:hAnsi="宋体" w:eastAsia="宋体" w:cs="宋体"/>
          <w:sz w:val="24"/>
          <w:szCs w:val="24"/>
        </w:rPr>
        <w:t>中规定的空调冷却水的水质要求。</w:t>
      </w:r>
    </w:p>
    <w:p w14:paraId="72139FC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当非传统水源利用市政再生水预评价时</w:t>
      </w:r>
      <w:r>
        <w:rPr>
          <w:rFonts w:hint="eastAsia" w:ascii="宋体" w:hAnsi="宋体" w:cs="宋体"/>
          <w:sz w:val="24"/>
          <w:szCs w:val="24"/>
          <w:lang w:eastAsia="zh-CN"/>
        </w:rPr>
        <w:t>，</w:t>
      </w:r>
      <w:r>
        <w:rPr>
          <w:rFonts w:hint="eastAsia" w:ascii="宋体" w:hAnsi="宋体" w:eastAsia="宋体" w:cs="宋体"/>
          <w:sz w:val="24"/>
          <w:szCs w:val="24"/>
        </w:rPr>
        <w:t>应提供相关主管部门确认的市政再生水接口资料；评价时，市政再生水</w:t>
      </w:r>
      <w:r>
        <w:rPr>
          <w:rFonts w:hint="eastAsia" w:ascii="宋体" w:hAnsi="宋体" w:eastAsia="宋体" w:cs="宋体"/>
          <w:sz w:val="24"/>
          <w:szCs w:val="24"/>
          <w:highlight w:val="none"/>
        </w:rPr>
        <w:t>须</w:t>
      </w:r>
      <w:r>
        <w:rPr>
          <w:rFonts w:hint="eastAsia" w:ascii="宋体" w:hAnsi="宋体" w:eastAsia="宋体" w:cs="宋体"/>
          <w:sz w:val="24"/>
          <w:szCs w:val="24"/>
        </w:rPr>
        <w:t>接通使用。当非传统水源利用自建中水处理站出水预评价时，应提供中水处理站的施工图；评价时，中水处理站须运行使用。</w:t>
      </w:r>
    </w:p>
    <w:p w14:paraId="0791B58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2</w:t>
      </w:r>
      <w:r>
        <w:rPr>
          <w:rFonts w:hint="eastAsia" w:ascii="宋体" w:hAnsi="宋体" w:eastAsia="宋体" w:cs="宋体"/>
          <w:sz w:val="24"/>
          <w:szCs w:val="24"/>
        </w:rPr>
        <w:t>款，储水设施的清洗废水水质较好，若白白放掉即造成资源浪费，也不符合节水理念，建议清洗废水在处理达标后，可用于绿化灌溉或场地冲洗等用途。</w:t>
      </w:r>
    </w:p>
    <w:p w14:paraId="26E531D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施工图设计说明、非传统水源利用计算书、中水供水管网平面及系统图、中水处理站图纸等相关文件；评价查阅相关竣工图、用水计量记录及统计报告、非传统水源的水质检测报告等相关文件。</w:t>
      </w:r>
    </w:p>
    <w:p w14:paraId="721F5A0B">
      <w:pPr>
        <w:spacing w:before="0" w:beforeLines="0" w:after="0" w:afterLines="0" w:line="360" w:lineRule="auto"/>
        <w:jc w:val="center"/>
        <w:outlineLvl w:val="2"/>
        <w:rPr>
          <w:rFonts w:hint="eastAsia" w:ascii="仿宋" w:hAnsi="仿宋" w:eastAsia="仿宋" w:cs="仿宋"/>
          <w:b/>
          <w:bCs/>
          <w:sz w:val="28"/>
          <w:szCs w:val="28"/>
          <w:lang w:eastAsia="zh-CN"/>
        </w:rPr>
      </w:pPr>
      <w:r>
        <w:rPr>
          <w:rFonts w:hint="eastAsia"/>
          <w:b/>
          <w:bCs/>
          <w:sz w:val="28"/>
          <w:szCs w:val="28"/>
        </w:rPr>
        <w:t xml:space="preserve">Ⅲ </w:t>
      </w:r>
      <w:r>
        <w:rPr>
          <w:rFonts w:hint="eastAsia" w:ascii="仿宋" w:hAnsi="仿宋" w:eastAsia="仿宋" w:cs="仿宋"/>
          <w:b/>
          <w:bCs/>
          <w:sz w:val="28"/>
          <w:szCs w:val="28"/>
        </w:rPr>
        <w:t>电气与智能化</w:t>
      </w:r>
    </w:p>
    <w:p w14:paraId="58C1BBCE">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6.2.9</w:t>
      </w:r>
      <w:r>
        <w:rPr>
          <w:rFonts w:hint="eastAsia" w:ascii="宋体" w:hAnsi="宋体" w:cs="宋体"/>
          <w:sz w:val="24"/>
          <w:szCs w:val="24"/>
        </w:rPr>
        <w:t>　</w:t>
      </w:r>
      <w:r>
        <w:rPr>
          <w:rFonts w:hint="eastAsia" w:ascii="宋体" w:hAnsi="宋体" w:eastAsia="宋体" w:cs="宋体"/>
          <w:sz w:val="24"/>
          <w:szCs w:val="24"/>
        </w:rPr>
        <w:t>本条适用于预评价和评价。</w:t>
      </w:r>
    </w:p>
    <w:p w14:paraId="6ED7AD0B">
      <w:pPr>
        <w:spacing w:line="360" w:lineRule="auto"/>
        <w:ind w:firstLine="480" w:firstLineChars="200"/>
        <w:rPr>
          <w:rFonts w:hint="eastAsia" w:ascii="宋体" w:hAnsi="宋体" w:cs="宋体"/>
          <w:sz w:val="24"/>
          <w:szCs w:val="24"/>
        </w:rPr>
      </w:pPr>
      <w:r>
        <w:rPr>
          <w:rFonts w:hint="eastAsia" w:ascii="宋体" w:hAnsi="宋体" w:eastAsia="宋体" w:cs="宋体"/>
          <w:sz w:val="24"/>
          <w:szCs w:val="24"/>
        </w:rPr>
        <w:t>合理的灯光控制需综合多方面因素。首先，照明灯具的布置与一次配电回路的设计应根据照明区域自然采光及业态功能情况进行分组并分回路配电，为运行控制的行为节能提供可能性。如在自然采光到达区域的人工照明采用同一分支回路配电时，可以根据天然光产生的照度，控制此分支回路供电的通断；如现场设置控制开关时，自然采光到达区域的人工照明应有自己的就地开关控制，这样在控制自然采光到达区域的人工照明时，不影响其他区域人工照明的运行。另外，大面积照明场所按照最小功能区域配电，可以在某个功能区域照明控制时，不影响其他功能区域照明的正常运行。</w:t>
      </w:r>
    </w:p>
    <w:p w14:paraId="0E6DCDBD">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6.2.10</w:t>
      </w:r>
      <w:r>
        <w:rPr>
          <w:rFonts w:hint="eastAsia" w:ascii="宋体" w:hAnsi="宋体" w:cs="宋体"/>
          <w:sz w:val="24"/>
          <w:szCs w:val="24"/>
        </w:rPr>
        <w:t>　</w:t>
      </w:r>
      <w:r>
        <w:rPr>
          <w:rFonts w:hint="eastAsia" w:ascii="宋体" w:hAnsi="宋体" w:eastAsia="宋体" w:cs="宋体"/>
          <w:sz w:val="24"/>
          <w:szCs w:val="24"/>
        </w:rPr>
        <w:t>本条适用于预评价和评价。</w:t>
      </w:r>
    </w:p>
    <w:p w14:paraId="697EE8B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1</w:t>
      </w:r>
      <w:r>
        <w:rPr>
          <w:rFonts w:hint="eastAsia" w:ascii="宋体" w:hAnsi="宋体" w:eastAsia="宋体" w:cs="宋体"/>
          <w:sz w:val="24"/>
          <w:szCs w:val="24"/>
        </w:rPr>
        <w:t>款，现行国家标准《建筑照明设计标准》</w:t>
      </w:r>
      <w:r>
        <w:rPr>
          <w:rFonts w:hint="default" w:ascii="Times New Roman" w:hAnsi="Times New Roman" w:eastAsia="宋体" w:cs="Times New Roman"/>
          <w:sz w:val="24"/>
          <w:szCs w:val="24"/>
        </w:rPr>
        <w:t>GB 50034</w:t>
      </w:r>
      <w:r>
        <w:rPr>
          <w:rFonts w:hint="eastAsia" w:ascii="宋体" w:hAnsi="宋体" w:eastAsia="宋体" w:cs="宋体"/>
          <w:sz w:val="24"/>
          <w:szCs w:val="24"/>
        </w:rPr>
        <w:t>规定了各类房间或场所的照明功率密度值，分为“现行值”和“目标值”，其中“现行值”是新建建筑必须满足的最低要求，“目标值”要求更高。</w:t>
      </w:r>
    </w:p>
    <w:p w14:paraId="457367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2</w:t>
      </w:r>
      <w:r>
        <w:rPr>
          <w:rFonts w:hint="eastAsia" w:ascii="宋体" w:hAnsi="宋体" w:eastAsia="宋体" w:cs="宋体"/>
          <w:sz w:val="24"/>
          <w:szCs w:val="24"/>
        </w:rPr>
        <w:t xml:space="preserve">款，要求所用配电变压器满足现行国家标准《三相配电变压器能效限定值及能效等级》 </w:t>
      </w:r>
      <w:r>
        <w:rPr>
          <w:rFonts w:hint="default" w:ascii="Times New Roman" w:hAnsi="Times New Roman" w:eastAsia="宋体" w:cs="Times New Roman"/>
          <w:sz w:val="24"/>
          <w:szCs w:val="24"/>
        </w:rPr>
        <w:t>GB 20052</w:t>
      </w:r>
      <w:r>
        <w:rPr>
          <w:rFonts w:hint="eastAsia" w:ascii="宋体" w:hAnsi="宋体" w:eastAsia="宋体" w:cs="宋体"/>
          <w:sz w:val="24"/>
          <w:szCs w:val="24"/>
        </w:rPr>
        <w:t xml:space="preserve"> 规定的节能评价值，油浸式配电变压器、干式配电变压器的空载损耗和负载损耗值均应不高于能效等级</w:t>
      </w:r>
      <w:r>
        <w:rPr>
          <w:rFonts w:hint="default" w:ascii="Times New Roman" w:hAnsi="Times New Roman" w:eastAsia="宋体" w:cs="Times New Roman"/>
          <w:sz w:val="24"/>
          <w:szCs w:val="24"/>
        </w:rPr>
        <w:t>2</w:t>
      </w:r>
      <w:r>
        <w:rPr>
          <w:rFonts w:hint="eastAsia" w:ascii="宋体" w:hAnsi="宋体" w:eastAsia="宋体" w:cs="宋体"/>
          <w:sz w:val="24"/>
          <w:szCs w:val="24"/>
        </w:rPr>
        <w:t>级的规定。照明产品、水泵、风机等其他电气设备也满足《室内照明用LED产品能效限定值及能效等级》</w:t>
      </w:r>
      <w:r>
        <w:rPr>
          <w:rFonts w:hint="default" w:ascii="Times New Roman" w:hAnsi="Times New Roman" w:eastAsia="宋体" w:cs="Times New Roman"/>
          <w:sz w:val="24"/>
          <w:szCs w:val="24"/>
        </w:rPr>
        <w:t>GB 30255</w:t>
      </w:r>
      <w:r>
        <w:rPr>
          <w:rFonts w:hint="eastAsia" w:ascii="宋体" w:hAnsi="宋体" w:eastAsia="宋体" w:cs="宋体"/>
          <w:sz w:val="24"/>
          <w:szCs w:val="24"/>
        </w:rPr>
        <w:t>、《清水离心泵能效限定值及节能评价值》</w:t>
      </w:r>
      <w:r>
        <w:rPr>
          <w:rFonts w:hint="default" w:ascii="Times New Roman" w:hAnsi="Times New Roman" w:eastAsia="宋体" w:cs="Times New Roman"/>
          <w:sz w:val="24"/>
          <w:szCs w:val="24"/>
        </w:rPr>
        <w:t>GB 19762</w:t>
      </w:r>
      <w:r>
        <w:rPr>
          <w:rFonts w:hint="eastAsia" w:ascii="宋体" w:hAnsi="宋体" w:eastAsia="宋体" w:cs="宋体"/>
          <w:sz w:val="24"/>
          <w:szCs w:val="24"/>
        </w:rPr>
        <w:t>、《通风机能效限定值及能效等级》</w:t>
      </w:r>
      <w:r>
        <w:rPr>
          <w:rFonts w:hint="default" w:ascii="Times New Roman" w:hAnsi="Times New Roman" w:eastAsia="宋体" w:cs="Times New Roman"/>
          <w:sz w:val="24"/>
          <w:szCs w:val="24"/>
        </w:rPr>
        <w:t>GB 19761</w:t>
      </w:r>
      <w:r>
        <w:rPr>
          <w:rFonts w:hint="eastAsia" w:ascii="宋体" w:hAnsi="宋体" w:eastAsia="宋体" w:cs="宋体"/>
          <w:sz w:val="24"/>
          <w:szCs w:val="24"/>
        </w:rPr>
        <w:t>等国家现行有关标准的节能评价。</w:t>
      </w:r>
    </w:p>
    <w:p w14:paraId="1A32ADF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3</w:t>
      </w:r>
      <w:r>
        <w:rPr>
          <w:rFonts w:hint="eastAsia" w:ascii="宋体" w:hAnsi="宋体" w:eastAsia="宋体" w:cs="宋体"/>
          <w:sz w:val="24"/>
          <w:szCs w:val="24"/>
        </w:rPr>
        <w:t>款，对于既有工业建筑低碳改造，与暖通空调系统一样，照明系统需要按照相关标准规范重新设计。通过改造，对人工照明进行分区、分组控制，可以根据实际需求调整照明水平，做到按需照明，有利于节能。与此同时，室内人员可以通过控制照明环境来划分照明空间，使空间的功能随之发生变化，还可以通过照明的调节在同一房间中营造不同的气氛，通过不同的视觉感受，从生理上、心理上给人积极的影响。</w:t>
      </w:r>
    </w:p>
    <w:p w14:paraId="1147EDE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4</w:t>
      </w:r>
      <w:r>
        <w:rPr>
          <w:rFonts w:hint="eastAsia" w:ascii="宋体" w:hAnsi="宋体" w:eastAsia="宋体" w:cs="宋体"/>
          <w:sz w:val="24"/>
          <w:szCs w:val="24"/>
        </w:rPr>
        <w:t>款，根据室外天气条件的变化，鼓励采取照度自动控制措施，降低人工照明的照度，避免室内亮度较高或较低对人们生理和心理造成不必要的负面影响，同时具有一定的节能作用。</w:t>
      </w:r>
    </w:p>
    <w:p w14:paraId="0DA8565F">
      <w:pPr>
        <w:spacing w:line="360" w:lineRule="auto"/>
        <w:ind w:firstLine="480" w:firstLineChars="200"/>
        <w:rPr>
          <w:rFonts w:hint="eastAsia" w:ascii="宋体" w:hAnsi="宋体" w:cs="宋体"/>
          <w:sz w:val="24"/>
          <w:szCs w:val="24"/>
        </w:rPr>
      </w:pPr>
      <w:r>
        <w:rPr>
          <w:rFonts w:hint="eastAsia" w:ascii="宋体" w:hAnsi="宋体" w:eastAsia="宋体" w:cs="宋体"/>
          <w:sz w:val="24"/>
          <w:szCs w:val="24"/>
        </w:rPr>
        <w:t>本条评价方法为：预评价查阅相关设计文件、照明计算书（其中应包含灯具选型参数）；评价查阅相关竣工图、主要产品型式检验报告、现场照度和照明功率密度检测报告。</w:t>
      </w:r>
    </w:p>
    <w:p w14:paraId="515C8115">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6.2.11</w:t>
      </w:r>
      <w:r>
        <w:rPr>
          <w:rFonts w:hint="eastAsia" w:ascii="宋体" w:hAnsi="宋体" w:cs="宋体"/>
          <w:sz w:val="24"/>
          <w:szCs w:val="24"/>
        </w:rPr>
        <w:t>　</w:t>
      </w:r>
      <w:r>
        <w:rPr>
          <w:rFonts w:hint="eastAsia" w:ascii="宋体" w:hAnsi="宋体" w:eastAsia="宋体" w:cs="宋体"/>
          <w:sz w:val="24"/>
          <w:szCs w:val="24"/>
        </w:rPr>
        <w:t>第</w:t>
      </w:r>
      <w:r>
        <w:rPr>
          <w:rFonts w:hint="default" w:ascii="Times New Roman" w:hAnsi="Times New Roman" w:eastAsia="宋体" w:cs="Times New Roman"/>
          <w:sz w:val="24"/>
          <w:szCs w:val="24"/>
        </w:rPr>
        <w:t>1-4</w:t>
      </w:r>
      <w:r>
        <w:rPr>
          <w:rFonts w:hint="eastAsia" w:ascii="宋体" w:hAnsi="宋体" w:eastAsia="宋体" w:cs="宋体"/>
          <w:sz w:val="24"/>
          <w:szCs w:val="24"/>
        </w:rPr>
        <w:t>款，分别对暖通系统、给排水系统、充电系统、变电系统、机房系统的电气设备能效进行评价，每个评价子项采用简化的单个指标。实际设计时，每个评价子项则需要考虑很多因素，包含很多指标，运行能效高低还与负载有关，要合理选型、优化控制，可另外参考机电系统能效分级评价的相关标准，不在本条评价中展开。</w:t>
      </w:r>
    </w:p>
    <w:p w14:paraId="1DF7325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3</w:t>
      </w:r>
      <w:r>
        <w:rPr>
          <w:rFonts w:hint="eastAsia" w:ascii="宋体" w:hAnsi="宋体" w:eastAsia="宋体" w:cs="宋体"/>
          <w:sz w:val="24"/>
          <w:szCs w:val="24"/>
        </w:rPr>
        <w:t>款，本条对充电系统综合能效进行了深入研究，归纳总结得到表</w:t>
      </w:r>
      <w:r>
        <w:rPr>
          <w:rFonts w:hint="eastAsia" w:cs="Times New Roman"/>
          <w:sz w:val="24"/>
          <w:szCs w:val="24"/>
          <w:lang w:eastAsia="zh-CN"/>
        </w:rPr>
        <w:t>2</w:t>
      </w:r>
      <w:r>
        <w:rPr>
          <w:rFonts w:hint="eastAsia" w:ascii="宋体" w:hAnsi="宋体" w:eastAsia="宋体" w:cs="宋体"/>
          <w:sz w:val="24"/>
          <w:szCs w:val="24"/>
        </w:rPr>
        <w:t>“充电系统综合能效”，便于在规划设计和以后的运营管理中区分、鉴定充电基础设施能效水平，针对工程项目采用适宜的节能技术措施，改进能源利用效率。</w:t>
      </w:r>
    </w:p>
    <w:p w14:paraId="6129B89C">
      <w:pPr>
        <w:widowControl/>
        <w:spacing w:line="360" w:lineRule="auto"/>
        <w:ind w:firstLine="0" w:firstLineChars="0"/>
        <w:jc w:val="center"/>
        <w:rPr>
          <w:rFonts w:hint="eastAsia" w:ascii="Times New Roman" w:hAnsi="Times New Roman" w:eastAsia="宋体" w:cs="Times New Roman"/>
          <w:b/>
          <w:bCs/>
          <w:kern w:val="0"/>
          <w:szCs w:val="20"/>
        </w:rPr>
      </w:pPr>
      <w:r>
        <w:rPr>
          <w:rFonts w:hint="eastAsia" w:ascii="Times New Roman" w:hAnsi="Times New Roman" w:eastAsia="宋体" w:cs="Times New Roman"/>
          <w:b/>
          <w:bCs/>
          <w:kern w:val="0"/>
          <w:szCs w:val="20"/>
        </w:rPr>
        <w:t>表2 充电系统综合能效</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9"/>
        <w:gridCol w:w="1659"/>
        <w:gridCol w:w="1659"/>
        <w:gridCol w:w="1659"/>
        <w:gridCol w:w="1660"/>
      </w:tblGrid>
      <w:tr w14:paraId="19FDB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4DDA0823">
            <w:pPr>
              <w:jc w:val="center"/>
              <w:rPr>
                <w:rFonts w:hint="eastAsia" w:ascii="宋体" w:hAnsi="宋体" w:eastAsia="宋体" w:cs="宋体"/>
              </w:rPr>
            </w:pPr>
            <w:r>
              <w:rPr>
                <w:rFonts w:hint="eastAsia" w:ascii="宋体" w:hAnsi="宋体" w:eastAsia="宋体" w:cs="宋体"/>
              </w:rPr>
              <w:t>充电系统</w:t>
            </w:r>
          </w:p>
        </w:tc>
        <w:tc>
          <w:tcPr>
            <w:tcW w:w="6637" w:type="dxa"/>
            <w:gridSpan w:val="4"/>
            <w:vAlign w:val="center"/>
          </w:tcPr>
          <w:p w14:paraId="2C8AA1AC">
            <w:pPr>
              <w:jc w:val="center"/>
              <w:rPr>
                <w:rFonts w:hint="eastAsia" w:ascii="宋体" w:hAnsi="宋体" w:eastAsia="宋体" w:cs="宋体"/>
              </w:rPr>
            </w:pPr>
            <w:r>
              <w:rPr>
                <w:rFonts w:hint="eastAsia" w:ascii="宋体" w:hAnsi="宋体" w:eastAsia="宋体" w:cs="宋体"/>
              </w:rPr>
              <w:t>综合能效限值</w:t>
            </w:r>
          </w:p>
        </w:tc>
      </w:tr>
      <w:tr w14:paraId="52AC6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2C582910">
            <w:pPr>
              <w:jc w:val="center"/>
              <w:rPr>
                <w:rFonts w:hint="eastAsia" w:ascii="宋体" w:hAnsi="宋体" w:eastAsia="宋体" w:cs="宋体"/>
              </w:rPr>
            </w:pPr>
          </w:p>
        </w:tc>
        <w:tc>
          <w:tcPr>
            <w:tcW w:w="3318" w:type="dxa"/>
            <w:gridSpan w:val="2"/>
            <w:vAlign w:val="center"/>
          </w:tcPr>
          <w:p w14:paraId="35BFFCB6">
            <w:pPr>
              <w:jc w:val="center"/>
              <w:rPr>
                <w:rFonts w:hint="eastAsia" w:ascii="宋体" w:hAnsi="宋体" w:eastAsia="宋体" w:cs="宋体"/>
              </w:rPr>
            </w:pPr>
            <w:r>
              <w:rPr>
                <w:rFonts w:hint="eastAsia" w:ascii="宋体" w:hAnsi="宋体" w:eastAsia="宋体" w:cs="宋体"/>
              </w:rPr>
              <w:t>室外</w:t>
            </w:r>
          </w:p>
        </w:tc>
        <w:tc>
          <w:tcPr>
            <w:tcW w:w="3319" w:type="dxa"/>
            <w:gridSpan w:val="2"/>
            <w:vAlign w:val="center"/>
          </w:tcPr>
          <w:p w14:paraId="3AC60DC9">
            <w:pPr>
              <w:jc w:val="center"/>
              <w:rPr>
                <w:rFonts w:hint="eastAsia" w:ascii="宋体" w:hAnsi="宋体" w:eastAsia="宋体" w:cs="宋体"/>
              </w:rPr>
            </w:pPr>
            <w:r>
              <w:rPr>
                <w:rFonts w:hint="eastAsia" w:ascii="宋体" w:hAnsi="宋体" w:eastAsia="宋体" w:cs="宋体"/>
              </w:rPr>
              <w:t>室内</w:t>
            </w:r>
          </w:p>
        </w:tc>
      </w:tr>
      <w:tr w14:paraId="32935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B13E689">
            <w:pPr>
              <w:jc w:val="center"/>
              <w:rPr>
                <w:rFonts w:hint="eastAsia" w:ascii="宋体" w:hAnsi="宋体" w:eastAsia="宋体" w:cs="宋体"/>
              </w:rPr>
            </w:pPr>
            <w:r>
              <w:rPr>
                <w:rFonts w:hint="eastAsia" w:ascii="宋体" w:hAnsi="宋体" w:eastAsia="宋体" w:cs="宋体"/>
              </w:rPr>
              <w:t>能源利用环节</w:t>
            </w:r>
          </w:p>
        </w:tc>
        <w:tc>
          <w:tcPr>
            <w:tcW w:w="1659" w:type="dxa"/>
            <w:vAlign w:val="center"/>
          </w:tcPr>
          <w:p w14:paraId="29CD0301">
            <w:pPr>
              <w:jc w:val="center"/>
              <w:rPr>
                <w:rFonts w:hint="eastAsia" w:ascii="宋体" w:hAnsi="宋体" w:eastAsia="宋体" w:cs="宋体"/>
              </w:rPr>
            </w:pPr>
            <w:r>
              <w:rPr>
                <w:rFonts w:hint="eastAsia" w:ascii="宋体" w:hAnsi="宋体" w:eastAsia="宋体" w:cs="宋体"/>
              </w:rPr>
              <w:t>现行值</w:t>
            </w:r>
          </w:p>
        </w:tc>
        <w:tc>
          <w:tcPr>
            <w:tcW w:w="1659" w:type="dxa"/>
            <w:vAlign w:val="center"/>
          </w:tcPr>
          <w:p w14:paraId="1F323D60">
            <w:pPr>
              <w:jc w:val="center"/>
              <w:rPr>
                <w:rFonts w:hint="eastAsia" w:ascii="宋体" w:hAnsi="宋体" w:eastAsia="宋体" w:cs="宋体"/>
              </w:rPr>
            </w:pPr>
            <w:r>
              <w:rPr>
                <w:rFonts w:hint="eastAsia" w:ascii="宋体" w:hAnsi="宋体" w:eastAsia="宋体" w:cs="宋体"/>
              </w:rPr>
              <w:t>目标值</w:t>
            </w:r>
          </w:p>
        </w:tc>
        <w:tc>
          <w:tcPr>
            <w:tcW w:w="1659" w:type="dxa"/>
            <w:vAlign w:val="center"/>
          </w:tcPr>
          <w:p w14:paraId="6FAEAC93">
            <w:pPr>
              <w:jc w:val="center"/>
              <w:rPr>
                <w:rFonts w:hint="eastAsia" w:ascii="宋体" w:hAnsi="宋体" w:eastAsia="宋体" w:cs="宋体"/>
              </w:rPr>
            </w:pPr>
            <w:r>
              <w:rPr>
                <w:rFonts w:hint="eastAsia" w:ascii="宋体" w:hAnsi="宋体" w:eastAsia="宋体" w:cs="宋体"/>
              </w:rPr>
              <w:t>现行值</w:t>
            </w:r>
          </w:p>
        </w:tc>
        <w:tc>
          <w:tcPr>
            <w:tcW w:w="1660" w:type="dxa"/>
            <w:vAlign w:val="center"/>
          </w:tcPr>
          <w:p w14:paraId="4764ACA8">
            <w:pPr>
              <w:jc w:val="center"/>
              <w:rPr>
                <w:rFonts w:hint="eastAsia" w:ascii="宋体" w:hAnsi="宋体" w:eastAsia="宋体" w:cs="宋体"/>
              </w:rPr>
            </w:pPr>
            <w:r>
              <w:rPr>
                <w:rFonts w:hint="eastAsia" w:ascii="宋体" w:hAnsi="宋体" w:eastAsia="宋体" w:cs="宋体"/>
              </w:rPr>
              <w:t>目标值</w:t>
            </w:r>
          </w:p>
        </w:tc>
      </w:tr>
      <w:tr w14:paraId="38733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1AD45C26">
            <w:pPr>
              <w:jc w:val="center"/>
              <w:rPr>
                <w:rFonts w:hint="eastAsia" w:ascii="宋体" w:hAnsi="宋体" w:eastAsia="宋体" w:cs="宋体"/>
                <w:vertAlign w:val="subscript"/>
              </w:rPr>
            </w:pPr>
            <w:r>
              <w:rPr>
                <w:rFonts w:hint="eastAsia" w:ascii="宋体" w:hAnsi="宋体" w:eastAsia="宋体" w:cs="宋体"/>
              </w:rPr>
              <w:t>变电效率</w:t>
            </w:r>
            <w:r>
              <w:rPr>
                <w:rFonts w:hint="default" w:ascii="Times New Roman" w:hAnsi="Times New Roman" w:cs="Times New Roman"/>
              </w:rPr>
              <w:t>η</w:t>
            </w:r>
            <w:r>
              <w:rPr>
                <w:rFonts w:hint="default" w:ascii="Times New Roman" w:hAnsi="Times New Roman" w:cs="Times New Roman"/>
                <w:vertAlign w:val="subscript"/>
              </w:rPr>
              <w:t>1</w:t>
            </w:r>
          </w:p>
        </w:tc>
        <w:tc>
          <w:tcPr>
            <w:tcW w:w="1659" w:type="dxa"/>
            <w:vAlign w:val="center"/>
          </w:tcPr>
          <w:p w14:paraId="5D34C5EB">
            <w:pPr>
              <w:jc w:val="center"/>
              <w:rPr>
                <w:rFonts w:hint="default" w:ascii="Times New Roman" w:hAnsi="Times New Roman" w:eastAsia="宋体" w:cs="Times New Roman"/>
              </w:rPr>
            </w:pPr>
            <w:r>
              <w:rPr>
                <w:rFonts w:hint="default" w:ascii="Times New Roman" w:hAnsi="Times New Roman" w:eastAsia="宋体" w:cs="Times New Roman"/>
              </w:rPr>
              <w:t>0.97</w:t>
            </w:r>
          </w:p>
        </w:tc>
        <w:tc>
          <w:tcPr>
            <w:tcW w:w="1659" w:type="dxa"/>
            <w:vAlign w:val="center"/>
          </w:tcPr>
          <w:p w14:paraId="730030B1">
            <w:pPr>
              <w:jc w:val="center"/>
              <w:rPr>
                <w:rFonts w:hint="default" w:ascii="Times New Roman" w:hAnsi="Times New Roman" w:eastAsia="宋体" w:cs="Times New Roman"/>
              </w:rPr>
            </w:pPr>
            <w:r>
              <w:rPr>
                <w:rFonts w:hint="default" w:ascii="Times New Roman" w:hAnsi="Times New Roman" w:eastAsia="宋体" w:cs="Times New Roman"/>
              </w:rPr>
              <w:t>0.98</w:t>
            </w:r>
          </w:p>
        </w:tc>
        <w:tc>
          <w:tcPr>
            <w:tcW w:w="1659" w:type="dxa"/>
            <w:vAlign w:val="center"/>
          </w:tcPr>
          <w:p w14:paraId="01262601">
            <w:pPr>
              <w:jc w:val="center"/>
              <w:rPr>
                <w:rFonts w:hint="default" w:ascii="Times New Roman" w:hAnsi="Times New Roman" w:eastAsia="宋体" w:cs="Times New Roman"/>
              </w:rPr>
            </w:pPr>
            <w:r>
              <w:rPr>
                <w:rFonts w:hint="default" w:ascii="Times New Roman" w:hAnsi="Times New Roman" w:eastAsia="宋体" w:cs="Times New Roman"/>
              </w:rPr>
              <w:t>0.97</w:t>
            </w:r>
          </w:p>
        </w:tc>
        <w:tc>
          <w:tcPr>
            <w:tcW w:w="1660" w:type="dxa"/>
            <w:vAlign w:val="center"/>
          </w:tcPr>
          <w:p w14:paraId="44BC77F3">
            <w:pPr>
              <w:jc w:val="center"/>
              <w:rPr>
                <w:rFonts w:hint="default" w:ascii="Times New Roman" w:hAnsi="Times New Roman" w:eastAsia="宋体" w:cs="Times New Roman"/>
              </w:rPr>
            </w:pPr>
            <w:r>
              <w:rPr>
                <w:rFonts w:hint="default" w:ascii="Times New Roman" w:hAnsi="Times New Roman" w:eastAsia="宋体" w:cs="Times New Roman"/>
              </w:rPr>
              <w:t>0.98</w:t>
            </w:r>
          </w:p>
        </w:tc>
      </w:tr>
      <w:tr w14:paraId="21B44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6AD25BC">
            <w:pPr>
              <w:jc w:val="center"/>
              <w:rPr>
                <w:rFonts w:hint="eastAsia" w:ascii="宋体" w:hAnsi="宋体" w:eastAsia="宋体" w:cs="宋体"/>
              </w:rPr>
            </w:pPr>
            <w:r>
              <w:rPr>
                <w:rFonts w:hint="eastAsia" w:ascii="宋体" w:hAnsi="宋体" w:eastAsia="宋体" w:cs="宋体"/>
              </w:rPr>
              <w:t>输电效率</w:t>
            </w:r>
            <w:r>
              <w:rPr>
                <w:rFonts w:hint="default" w:ascii="Times New Roman" w:hAnsi="Times New Roman" w:cs="Times New Roman"/>
              </w:rPr>
              <w:t>η</w:t>
            </w:r>
            <w:r>
              <w:rPr>
                <w:rFonts w:hint="default" w:ascii="Times New Roman" w:hAnsi="Times New Roman" w:cs="Times New Roman"/>
                <w:vertAlign w:val="subscript"/>
              </w:rPr>
              <w:t>2</w:t>
            </w:r>
          </w:p>
        </w:tc>
        <w:tc>
          <w:tcPr>
            <w:tcW w:w="1659" w:type="dxa"/>
            <w:vAlign w:val="center"/>
          </w:tcPr>
          <w:p w14:paraId="7344AF4A">
            <w:pPr>
              <w:jc w:val="center"/>
              <w:rPr>
                <w:rFonts w:hint="default" w:ascii="Times New Roman" w:hAnsi="Times New Roman" w:eastAsia="宋体" w:cs="Times New Roman"/>
              </w:rPr>
            </w:pPr>
            <w:r>
              <w:rPr>
                <w:rFonts w:hint="default" w:ascii="Times New Roman" w:hAnsi="Times New Roman" w:eastAsia="宋体" w:cs="Times New Roman"/>
              </w:rPr>
              <w:t>0.95</w:t>
            </w:r>
          </w:p>
        </w:tc>
        <w:tc>
          <w:tcPr>
            <w:tcW w:w="1659" w:type="dxa"/>
            <w:vAlign w:val="center"/>
          </w:tcPr>
          <w:p w14:paraId="29D08265">
            <w:pPr>
              <w:jc w:val="center"/>
              <w:rPr>
                <w:rFonts w:hint="default" w:ascii="Times New Roman" w:hAnsi="Times New Roman" w:eastAsia="宋体" w:cs="Times New Roman"/>
              </w:rPr>
            </w:pPr>
            <w:r>
              <w:rPr>
                <w:rFonts w:hint="default" w:ascii="Times New Roman" w:hAnsi="Times New Roman" w:eastAsia="宋体" w:cs="Times New Roman"/>
              </w:rPr>
              <w:t>0.95</w:t>
            </w:r>
          </w:p>
        </w:tc>
        <w:tc>
          <w:tcPr>
            <w:tcW w:w="1659" w:type="dxa"/>
            <w:vAlign w:val="center"/>
          </w:tcPr>
          <w:p w14:paraId="64913438">
            <w:pPr>
              <w:jc w:val="center"/>
              <w:rPr>
                <w:rFonts w:hint="default" w:ascii="Times New Roman" w:hAnsi="Times New Roman" w:eastAsia="宋体" w:cs="Times New Roman"/>
              </w:rPr>
            </w:pPr>
            <w:r>
              <w:rPr>
                <w:rFonts w:hint="default" w:ascii="Times New Roman" w:hAnsi="Times New Roman" w:eastAsia="宋体" w:cs="Times New Roman"/>
              </w:rPr>
              <w:t>0.97</w:t>
            </w:r>
          </w:p>
        </w:tc>
        <w:tc>
          <w:tcPr>
            <w:tcW w:w="1660" w:type="dxa"/>
            <w:vAlign w:val="center"/>
          </w:tcPr>
          <w:p w14:paraId="57E700EA">
            <w:pPr>
              <w:jc w:val="center"/>
              <w:rPr>
                <w:rFonts w:hint="default" w:ascii="Times New Roman" w:hAnsi="Times New Roman" w:eastAsia="宋体" w:cs="Times New Roman"/>
              </w:rPr>
            </w:pPr>
            <w:r>
              <w:rPr>
                <w:rFonts w:hint="default" w:ascii="Times New Roman" w:hAnsi="Times New Roman" w:eastAsia="宋体" w:cs="Times New Roman"/>
              </w:rPr>
              <w:t>0.97</w:t>
            </w:r>
          </w:p>
        </w:tc>
      </w:tr>
      <w:tr w14:paraId="3C1D3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585A9A9F">
            <w:pPr>
              <w:jc w:val="center"/>
              <w:rPr>
                <w:rFonts w:hint="eastAsia" w:ascii="宋体" w:hAnsi="宋体" w:eastAsia="宋体" w:cs="宋体"/>
              </w:rPr>
            </w:pPr>
            <w:r>
              <w:rPr>
                <w:rFonts w:hint="eastAsia" w:ascii="宋体" w:hAnsi="宋体" w:eastAsia="宋体" w:cs="宋体"/>
              </w:rPr>
              <w:t>设施效率</w:t>
            </w:r>
            <w:r>
              <w:rPr>
                <w:rFonts w:hint="default" w:ascii="Times New Roman" w:hAnsi="Times New Roman" w:cs="Times New Roman"/>
              </w:rPr>
              <w:t>η</w:t>
            </w:r>
            <w:r>
              <w:rPr>
                <w:rFonts w:hint="default" w:ascii="Times New Roman" w:hAnsi="Times New Roman" w:cs="Times New Roman"/>
                <w:vertAlign w:val="subscript"/>
              </w:rPr>
              <w:t>E7</w:t>
            </w:r>
          </w:p>
        </w:tc>
        <w:tc>
          <w:tcPr>
            <w:tcW w:w="1659" w:type="dxa"/>
            <w:vAlign w:val="center"/>
          </w:tcPr>
          <w:p w14:paraId="24C90C57">
            <w:pPr>
              <w:jc w:val="center"/>
              <w:rPr>
                <w:rFonts w:hint="default" w:ascii="Times New Roman" w:hAnsi="Times New Roman" w:eastAsia="宋体" w:cs="Times New Roman"/>
              </w:rPr>
            </w:pPr>
            <w:r>
              <w:rPr>
                <w:rFonts w:hint="default" w:ascii="Times New Roman" w:hAnsi="Times New Roman" w:eastAsia="宋体" w:cs="Times New Roman"/>
              </w:rPr>
              <w:t>0.97</w:t>
            </w:r>
          </w:p>
        </w:tc>
        <w:tc>
          <w:tcPr>
            <w:tcW w:w="1659" w:type="dxa"/>
            <w:vAlign w:val="center"/>
          </w:tcPr>
          <w:p w14:paraId="4A9E94A9">
            <w:pPr>
              <w:jc w:val="center"/>
              <w:rPr>
                <w:rFonts w:hint="default" w:ascii="Times New Roman" w:hAnsi="Times New Roman" w:eastAsia="宋体" w:cs="Times New Roman"/>
              </w:rPr>
            </w:pPr>
            <w:r>
              <w:rPr>
                <w:rFonts w:hint="default" w:ascii="Times New Roman" w:hAnsi="Times New Roman" w:eastAsia="宋体" w:cs="Times New Roman"/>
              </w:rPr>
              <w:t>0.99</w:t>
            </w:r>
          </w:p>
        </w:tc>
        <w:tc>
          <w:tcPr>
            <w:tcW w:w="1659" w:type="dxa"/>
            <w:vAlign w:val="center"/>
          </w:tcPr>
          <w:p w14:paraId="25820649">
            <w:pPr>
              <w:jc w:val="center"/>
              <w:rPr>
                <w:rFonts w:hint="default" w:ascii="Times New Roman" w:hAnsi="Times New Roman" w:eastAsia="宋体" w:cs="Times New Roman"/>
              </w:rPr>
            </w:pPr>
            <w:r>
              <w:rPr>
                <w:rFonts w:hint="default" w:ascii="Times New Roman" w:hAnsi="Times New Roman" w:eastAsia="宋体" w:cs="Times New Roman"/>
              </w:rPr>
              <w:t>0.96</w:t>
            </w:r>
          </w:p>
        </w:tc>
        <w:tc>
          <w:tcPr>
            <w:tcW w:w="1660" w:type="dxa"/>
            <w:vAlign w:val="center"/>
          </w:tcPr>
          <w:p w14:paraId="2C988BBE">
            <w:pPr>
              <w:jc w:val="center"/>
              <w:rPr>
                <w:rFonts w:hint="default" w:ascii="Times New Roman" w:hAnsi="Times New Roman" w:eastAsia="宋体" w:cs="Times New Roman"/>
              </w:rPr>
            </w:pPr>
            <w:r>
              <w:rPr>
                <w:rFonts w:hint="default" w:ascii="Times New Roman" w:hAnsi="Times New Roman" w:eastAsia="宋体" w:cs="Times New Roman"/>
              </w:rPr>
              <w:t>0.98</w:t>
            </w:r>
          </w:p>
        </w:tc>
      </w:tr>
      <w:tr w14:paraId="118C1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4FB64D8">
            <w:pPr>
              <w:jc w:val="center"/>
              <w:rPr>
                <w:rFonts w:hint="eastAsia" w:ascii="宋体" w:hAnsi="宋体" w:eastAsia="宋体" w:cs="宋体"/>
              </w:rPr>
            </w:pPr>
            <w:r>
              <w:rPr>
                <w:rFonts w:hint="eastAsia" w:ascii="宋体" w:hAnsi="宋体" w:eastAsia="宋体" w:cs="宋体"/>
              </w:rPr>
              <w:t>充电效率</w:t>
            </w:r>
            <w:r>
              <w:rPr>
                <w:rFonts w:hint="default" w:ascii="Times New Roman" w:hAnsi="Times New Roman" w:cs="Times New Roman"/>
              </w:rPr>
              <w:t>η</w:t>
            </w:r>
            <w:r>
              <w:rPr>
                <w:rFonts w:hint="default" w:ascii="Times New Roman" w:hAnsi="Times New Roman" w:cs="Times New Roman"/>
                <w:vertAlign w:val="subscript"/>
              </w:rPr>
              <w:t>C</w:t>
            </w:r>
          </w:p>
        </w:tc>
        <w:tc>
          <w:tcPr>
            <w:tcW w:w="1659" w:type="dxa"/>
            <w:vAlign w:val="center"/>
          </w:tcPr>
          <w:p w14:paraId="3C09BE8D">
            <w:pPr>
              <w:jc w:val="center"/>
              <w:rPr>
                <w:rFonts w:hint="default" w:ascii="Times New Roman" w:hAnsi="Times New Roman" w:eastAsia="宋体" w:cs="Times New Roman"/>
              </w:rPr>
            </w:pPr>
            <w:r>
              <w:rPr>
                <w:rFonts w:hint="default" w:ascii="Times New Roman" w:hAnsi="Times New Roman" w:eastAsia="宋体" w:cs="Times New Roman"/>
              </w:rPr>
              <w:t>0.90</w:t>
            </w:r>
          </w:p>
        </w:tc>
        <w:tc>
          <w:tcPr>
            <w:tcW w:w="1659" w:type="dxa"/>
            <w:vAlign w:val="center"/>
          </w:tcPr>
          <w:p w14:paraId="123414DE">
            <w:pPr>
              <w:jc w:val="center"/>
              <w:rPr>
                <w:rFonts w:hint="default" w:ascii="Times New Roman" w:hAnsi="Times New Roman" w:eastAsia="宋体" w:cs="Times New Roman"/>
              </w:rPr>
            </w:pPr>
            <w:r>
              <w:rPr>
                <w:rFonts w:hint="default" w:ascii="Times New Roman" w:hAnsi="Times New Roman" w:eastAsia="宋体" w:cs="Times New Roman"/>
              </w:rPr>
              <w:t>0.92</w:t>
            </w:r>
          </w:p>
        </w:tc>
        <w:tc>
          <w:tcPr>
            <w:tcW w:w="1659" w:type="dxa"/>
            <w:vAlign w:val="center"/>
          </w:tcPr>
          <w:p w14:paraId="2A21AFC3">
            <w:pPr>
              <w:jc w:val="center"/>
              <w:rPr>
                <w:rFonts w:hint="default" w:ascii="Times New Roman" w:hAnsi="Times New Roman" w:eastAsia="宋体" w:cs="Times New Roman"/>
              </w:rPr>
            </w:pPr>
            <w:r>
              <w:rPr>
                <w:rFonts w:hint="default" w:ascii="Times New Roman" w:hAnsi="Times New Roman" w:eastAsia="宋体" w:cs="Times New Roman"/>
              </w:rPr>
              <w:t>0.95</w:t>
            </w:r>
          </w:p>
        </w:tc>
        <w:tc>
          <w:tcPr>
            <w:tcW w:w="1660" w:type="dxa"/>
            <w:vAlign w:val="center"/>
          </w:tcPr>
          <w:p w14:paraId="0F4CA8DE">
            <w:pPr>
              <w:jc w:val="center"/>
              <w:rPr>
                <w:rFonts w:hint="default" w:ascii="Times New Roman" w:hAnsi="Times New Roman" w:eastAsia="宋体" w:cs="Times New Roman"/>
              </w:rPr>
            </w:pPr>
            <w:r>
              <w:rPr>
                <w:rFonts w:hint="default" w:ascii="Times New Roman" w:hAnsi="Times New Roman" w:eastAsia="宋体" w:cs="Times New Roman"/>
              </w:rPr>
              <w:t>0.97</w:t>
            </w:r>
          </w:p>
        </w:tc>
      </w:tr>
      <w:tr w14:paraId="5D296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40F74E3">
            <w:pPr>
              <w:jc w:val="center"/>
              <w:rPr>
                <w:rFonts w:hint="eastAsia" w:ascii="宋体" w:hAnsi="宋体" w:eastAsia="宋体" w:cs="宋体"/>
              </w:rPr>
            </w:pPr>
            <w:r>
              <w:rPr>
                <w:rFonts w:hint="eastAsia" w:ascii="宋体" w:hAnsi="宋体" w:eastAsia="宋体" w:cs="宋体"/>
              </w:rPr>
              <w:t>外部电能综合效率</w:t>
            </w:r>
            <w:r>
              <w:rPr>
                <w:rFonts w:hint="default" w:ascii="Times New Roman" w:hAnsi="Times New Roman" w:cs="Times New Roman"/>
              </w:rPr>
              <w:t>η</w:t>
            </w:r>
            <w:r>
              <w:rPr>
                <w:rFonts w:hint="default" w:ascii="Times New Roman" w:hAnsi="Times New Roman" w:cs="Times New Roman"/>
                <w:vertAlign w:val="subscript"/>
              </w:rPr>
              <w:t>w</w:t>
            </w:r>
          </w:p>
        </w:tc>
        <w:tc>
          <w:tcPr>
            <w:tcW w:w="1659" w:type="dxa"/>
            <w:vAlign w:val="center"/>
          </w:tcPr>
          <w:p w14:paraId="073380E6">
            <w:pPr>
              <w:jc w:val="center"/>
              <w:rPr>
                <w:rFonts w:hint="default" w:ascii="Times New Roman" w:hAnsi="Times New Roman" w:eastAsia="宋体" w:cs="Times New Roman"/>
              </w:rPr>
            </w:pPr>
            <w:r>
              <w:rPr>
                <w:rFonts w:hint="default" w:ascii="Times New Roman" w:hAnsi="Times New Roman" w:eastAsia="宋体" w:cs="Times New Roman"/>
              </w:rPr>
              <w:t>0.804</w:t>
            </w:r>
          </w:p>
        </w:tc>
        <w:tc>
          <w:tcPr>
            <w:tcW w:w="1659" w:type="dxa"/>
            <w:vAlign w:val="center"/>
          </w:tcPr>
          <w:p w14:paraId="51232ACF">
            <w:pPr>
              <w:jc w:val="center"/>
              <w:rPr>
                <w:rFonts w:hint="default" w:ascii="Times New Roman" w:hAnsi="Times New Roman" w:eastAsia="宋体" w:cs="Times New Roman"/>
              </w:rPr>
            </w:pPr>
            <w:r>
              <w:rPr>
                <w:rFonts w:hint="default" w:ascii="Times New Roman" w:hAnsi="Times New Roman" w:eastAsia="宋体" w:cs="Times New Roman"/>
              </w:rPr>
              <w:t>0.848</w:t>
            </w:r>
          </w:p>
        </w:tc>
        <w:tc>
          <w:tcPr>
            <w:tcW w:w="1659" w:type="dxa"/>
            <w:vAlign w:val="center"/>
          </w:tcPr>
          <w:p w14:paraId="7F837209">
            <w:pPr>
              <w:jc w:val="center"/>
              <w:rPr>
                <w:rFonts w:hint="default" w:ascii="Times New Roman" w:hAnsi="Times New Roman" w:eastAsia="宋体" w:cs="Times New Roman"/>
              </w:rPr>
            </w:pPr>
            <w:r>
              <w:rPr>
                <w:rFonts w:hint="default" w:ascii="Times New Roman" w:hAnsi="Times New Roman" w:eastAsia="宋体" w:cs="Times New Roman"/>
              </w:rPr>
              <w:t>0.858</w:t>
            </w:r>
          </w:p>
        </w:tc>
        <w:tc>
          <w:tcPr>
            <w:tcW w:w="1660" w:type="dxa"/>
            <w:vAlign w:val="center"/>
          </w:tcPr>
          <w:p w14:paraId="33BE7EBE">
            <w:pPr>
              <w:jc w:val="center"/>
              <w:rPr>
                <w:rFonts w:hint="default" w:ascii="Times New Roman" w:hAnsi="Times New Roman" w:eastAsia="宋体" w:cs="Times New Roman"/>
              </w:rPr>
            </w:pPr>
            <w:r>
              <w:rPr>
                <w:rFonts w:hint="default" w:ascii="Times New Roman" w:hAnsi="Times New Roman" w:eastAsia="宋体" w:cs="Times New Roman"/>
              </w:rPr>
              <w:t>0.904</w:t>
            </w:r>
          </w:p>
        </w:tc>
      </w:tr>
      <w:tr w14:paraId="293FD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0F74A12">
            <w:pPr>
              <w:jc w:val="center"/>
              <w:rPr>
                <w:rFonts w:hint="eastAsia" w:ascii="宋体" w:hAnsi="宋体" w:eastAsia="宋体" w:cs="宋体"/>
              </w:rPr>
            </w:pPr>
            <w:r>
              <w:rPr>
                <w:rFonts w:hint="eastAsia" w:ascii="宋体" w:hAnsi="宋体" w:eastAsia="宋体" w:cs="宋体"/>
              </w:rPr>
              <w:t>外部电能综合效率</w:t>
            </w:r>
            <w:r>
              <w:rPr>
                <w:rFonts w:hint="default" w:ascii="Times New Roman" w:hAnsi="Times New Roman" w:cs="Times New Roman"/>
              </w:rPr>
              <w:t>η</w:t>
            </w:r>
            <w:r>
              <w:rPr>
                <w:rFonts w:hint="default" w:ascii="Times New Roman" w:hAnsi="Times New Roman" w:cs="Times New Roman"/>
                <w:vertAlign w:val="subscript"/>
              </w:rPr>
              <w:t>w</w:t>
            </w:r>
            <w:r>
              <w:rPr>
                <w:rFonts w:hint="eastAsia" w:ascii="宋体" w:hAnsi="宋体" w:eastAsia="宋体" w:cs="宋体"/>
              </w:rPr>
              <w:t>限值</w:t>
            </w:r>
          </w:p>
        </w:tc>
        <w:tc>
          <w:tcPr>
            <w:tcW w:w="1659" w:type="dxa"/>
            <w:vAlign w:val="center"/>
          </w:tcPr>
          <w:p w14:paraId="64AB0DB6">
            <w:pPr>
              <w:jc w:val="center"/>
              <w:rPr>
                <w:rFonts w:hint="default" w:ascii="Times New Roman" w:hAnsi="Times New Roman" w:eastAsia="宋体" w:cs="Times New Roman"/>
              </w:rPr>
            </w:pPr>
            <w:r>
              <w:rPr>
                <w:rFonts w:hint="default" w:ascii="Times New Roman" w:hAnsi="Times New Roman" w:cs="Times New Roman"/>
              </w:rPr>
              <w:t>≥</w:t>
            </w:r>
            <w:r>
              <w:rPr>
                <w:rFonts w:hint="default" w:ascii="Times New Roman" w:hAnsi="Times New Roman" w:eastAsia="宋体" w:cs="Times New Roman"/>
              </w:rPr>
              <w:t>0.80</w:t>
            </w:r>
          </w:p>
        </w:tc>
        <w:tc>
          <w:tcPr>
            <w:tcW w:w="1659" w:type="dxa"/>
            <w:vAlign w:val="center"/>
          </w:tcPr>
          <w:p w14:paraId="74B962EC">
            <w:pPr>
              <w:jc w:val="center"/>
              <w:rPr>
                <w:rFonts w:hint="default" w:ascii="Times New Roman" w:hAnsi="Times New Roman" w:eastAsia="宋体" w:cs="Times New Roman"/>
              </w:rPr>
            </w:pPr>
            <w:r>
              <w:rPr>
                <w:rFonts w:hint="default" w:ascii="Times New Roman" w:hAnsi="Times New Roman" w:cs="Times New Roman"/>
              </w:rPr>
              <w:t>≥</w:t>
            </w:r>
            <w:r>
              <w:rPr>
                <w:rFonts w:hint="default" w:ascii="Times New Roman" w:hAnsi="Times New Roman" w:eastAsia="宋体" w:cs="Times New Roman"/>
              </w:rPr>
              <w:t>0.84</w:t>
            </w:r>
          </w:p>
        </w:tc>
        <w:tc>
          <w:tcPr>
            <w:tcW w:w="1659" w:type="dxa"/>
            <w:vAlign w:val="center"/>
          </w:tcPr>
          <w:p w14:paraId="517BDE3E">
            <w:pPr>
              <w:jc w:val="center"/>
              <w:rPr>
                <w:rFonts w:hint="default" w:ascii="Times New Roman" w:hAnsi="Times New Roman" w:eastAsia="宋体" w:cs="Times New Roman"/>
              </w:rPr>
            </w:pPr>
            <w:r>
              <w:rPr>
                <w:rFonts w:hint="default" w:ascii="Times New Roman" w:hAnsi="Times New Roman" w:cs="Times New Roman"/>
              </w:rPr>
              <w:t>≥</w:t>
            </w:r>
            <w:r>
              <w:rPr>
                <w:rFonts w:hint="default" w:ascii="Times New Roman" w:hAnsi="Times New Roman" w:eastAsia="宋体" w:cs="Times New Roman"/>
              </w:rPr>
              <w:t>0.88</w:t>
            </w:r>
          </w:p>
        </w:tc>
        <w:tc>
          <w:tcPr>
            <w:tcW w:w="1660" w:type="dxa"/>
            <w:vAlign w:val="center"/>
          </w:tcPr>
          <w:p w14:paraId="5D4AB98A">
            <w:pPr>
              <w:jc w:val="center"/>
              <w:rPr>
                <w:rFonts w:hint="default" w:ascii="Times New Roman" w:hAnsi="Times New Roman" w:eastAsia="宋体" w:cs="Times New Roman"/>
              </w:rPr>
            </w:pPr>
            <w:r>
              <w:rPr>
                <w:rFonts w:hint="default" w:ascii="Times New Roman" w:hAnsi="Times New Roman" w:cs="Times New Roman"/>
              </w:rPr>
              <w:t>≥</w:t>
            </w:r>
            <w:r>
              <w:rPr>
                <w:rFonts w:hint="default" w:ascii="Times New Roman" w:hAnsi="Times New Roman" w:eastAsia="宋体" w:cs="Times New Roman"/>
              </w:rPr>
              <w:t>0.90</w:t>
            </w:r>
          </w:p>
        </w:tc>
      </w:tr>
    </w:tbl>
    <w:p w14:paraId="022FA31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变电效率</w:t>
      </w:r>
      <w:r>
        <w:rPr>
          <w:rFonts w:hint="default" w:ascii="Times New Roman" w:hAnsi="Times New Roman" w:cs="Times New Roman"/>
          <w:sz w:val="24"/>
          <w:szCs w:val="24"/>
        </w:rPr>
        <w:t>η</w:t>
      </w:r>
      <w:r>
        <w:rPr>
          <w:rFonts w:hint="default" w:ascii="Times New Roman" w:hAnsi="Times New Roman" w:cs="Times New Roman"/>
          <w:sz w:val="24"/>
          <w:szCs w:val="24"/>
          <w:vertAlign w:val="subscript"/>
        </w:rPr>
        <w:t>1</w:t>
      </w:r>
      <w:r>
        <w:rPr>
          <w:rFonts w:hint="eastAsia" w:ascii="宋体" w:hAnsi="宋体" w:eastAsia="宋体" w:cs="宋体"/>
          <w:sz w:val="24"/>
          <w:szCs w:val="24"/>
        </w:rPr>
        <w:t xml:space="preserve">——向充电基础设施供电的 </w:t>
      </w:r>
      <w:r>
        <w:rPr>
          <w:rFonts w:hint="default" w:ascii="Times New Roman" w:hAnsi="Times New Roman" w:eastAsia="宋体" w:cs="Times New Roman"/>
          <w:sz w:val="24"/>
          <w:szCs w:val="24"/>
        </w:rPr>
        <w:t>10/0.4kV</w:t>
      </w:r>
      <w:r>
        <w:rPr>
          <w:rFonts w:hint="eastAsia" w:ascii="宋体" w:hAnsi="宋体" w:eastAsia="宋体" w:cs="宋体"/>
          <w:sz w:val="24"/>
          <w:szCs w:val="24"/>
        </w:rPr>
        <w:t xml:space="preserve"> 变压器运行效率。 </w:t>
      </w:r>
    </w:p>
    <w:p w14:paraId="20DC05C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输电效率</w:t>
      </w:r>
      <w:r>
        <w:rPr>
          <w:rFonts w:hint="default" w:ascii="Times New Roman" w:hAnsi="Times New Roman" w:cs="Times New Roman"/>
          <w:sz w:val="24"/>
          <w:szCs w:val="24"/>
        </w:rPr>
        <w:t>η</w:t>
      </w:r>
      <w:r>
        <w:rPr>
          <w:rFonts w:hint="default" w:ascii="Times New Roman" w:hAnsi="Times New Roman" w:cs="Times New Roman"/>
          <w:sz w:val="24"/>
          <w:szCs w:val="24"/>
          <w:vertAlign w:val="subscript"/>
        </w:rPr>
        <w:t>2</w:t>
      </w:r>
      <w:r>
        <w:rPr>
          <w:rFonts w:hint="eastAsia" w:ascii="宋体" w:hAnsi="宋体" w:eastAsia="宋体" w:cs="宋体"/>
          <w:sz w:val="24"/>
          <w:szCs w:val="24"/>
        </w:rPr>
        <w:t xml:space="preserve">——变压器 </w:t>
      </w:r>
      <w:r>
        <w:rPr>
          <w:rFonts w:hint="default" w:ascii="Times New Roman" w:hAnsi="Times New Roman" w:eastAsia="宋体" w:cs="Times New Roman"/>
          <w:sz w:val="24"/>
          <w:szCs w:val="24"/>
        </w:rPr>
        <w:t>0.4kV</w:t>
      </w:r>
      <w:r>
        <w:rPr>
          <w:rFonts w:hint="eastAsia" w:ascii="宋体" w:hAnsi="宋体" w:eastAsia="宋体" w:cs="宋体"/>
          <w:sz w:val="24"/>
          <w:szCs w:val="24"/>
        </w:rPr>
        <w:t xml:space="preserve"> 低压侧至充电桩供电计费端之间的电能传输效率（末端充电设备上连接充电枪的局部软电缆相对前端供电电缆的长度比例很小，可以忽略不计）。 </w:t>
      </w:r>
    </w:p>
    <w:p w14:paraId="733FC55B">
      <w:pPr>
        <w:spacing w:line="360" w:lineRule="auto"/>
        <w:ind w:firstLine="480" w:firstLineChars="200"/>
        <w:rPr>
          <w:rFonts w:ascii="仿宋" w:hAnsi="仿宋" w:eastAsia="仿宋" w:cs="仿宋"/>
        </w:rPr>
      </w:pPr>
      <w:r>
        <w:rPr>
          <w:rFonts w:hint="eastAsia" w:ascii="宋体" w:hAnsi="宋体" w:eastAsia="宋体" w:cs="宋体"/>
          <w:sz w:val="24"/>
          <w:szCs w:val="24"/>
        </w:rPr>
        <w:t>充电场所设施效率</w:t>
      </w:r>
      <w:r>
        <w:rPr>
          <w:rFonts w:hint="default" w:ascii="Times New Roman" w:hAnsi="Times New Roman" w:cs="Times New Roman"/>
          <w:sz w:val="24"/>
          <w:szCs w:val="24"/>
        </w:rPr>
        <w:t>η</w:t>
      </w:r>
      <w:r>
        <w:rPr>
          <w:rFonts w:hint="default" w:ascii="Times New Roman" w:hAnsi="Times New Roman" w:cs="Times New Roman"/>
          <w:sz w:val="24"/>
          <w:szCs w:val="24"/>
          <w:vertAlign w:val="subscript"/>
        </w:rPr>
        <w:t>E7</w:t>
      </w:r>
      <w:r>
        <w:rPr>
          <w:rFonts w:hint="eastAsia" w:ascii="宋体" w:hAnsi="宋体" w:eastAsia="宋体" w:cs="宋体"/>
          <w:sz w:val="24"/>
          <w:szCs w:val="24"/>
        </w:rPr>
        <w:t>——为充电场所服务的各种设施对输入能源的利用效率，当非电能耗很小而忽略时，充电场所设施效率可以近似采用充电场所设施电能利用效率</w:t>
      </w:r>
      <w:r>
        <w:rPr>
          <w:rFonts w:hint="default" w:ascii="Times New Roman" w:hAnsi="Times New Roman" w:cs="Times New Roman"/>
          <w:sz w:val="24"/>
          <w:szCs w:val="24"/>
        </w:rPr>
        <w:t>η</w:t>
      </w:r>
      <w:r>
        <w:rPr>
          <w:rFonts w:hint="default" w:ascii="Times New Roman" w:hAnsi="Times New Roman" w:cs="Times New Roman"/>
          <w:sz w:val="24"/>
          <w:szCs w:val="24"/>
          <w:vertAlign w:val="subscript"/>
        </w:rPr>
        <w:t>E7</w:t>
      </w:r>
      <w:r>
        <w:rPr>
          <w:rFonts w:hint="eastAsia" w:ascii="宋体" w:hAnsi="宋体" w:eastAsia="宋体" w:cs="宋体"/>
          <w:sz w:val="24"/>
          <w:szCs w:val="24"/>
        </w:rPr>
        <w:t>，其数据来源构成见表</w:t>
      </w:r>
      <w:r>
        <w:rPr>
          <w:rFonts w:hint="eastAsia" w:cs="Times New Roman"/>
          <w:sz w:val="24"/>
          <w:szCs w:val="24"/>
          <w:lang w:eastAsia="zh-CN"/>
        </w:rPr>
        <w:t>3</w:t>
      </w:r>
      <w:r>
        <w:rPr>
          <w:rFonts w:hint="eastAsia" w:ascii="宋体" w:hAnsi="宋体" w:eastAsia="宋体" w:cs="宋体"/>
          <w:sz w:val="24"/>
          <w:szCs w:val="24"/>
        </w:rPr>
        <w:t>“充电基础设施分项计量项目和编码”。</w:t>
      </w:r>
      <w:r>
        <w:rPr>
          <w:rFonts w:hint="eastAsia" w:ascii="宋体" w:hAnsi="宋体" w:eastAsia="宋体" w:cs="宋体"/>
          <w:sz w:val="24"/>
          <w:szCs w:val="24"/>
        </w:rPr>
        <w:cr/>
      </w:r>
    </w:p>
    <w:p w14:paraId="4C4FC3AF">
      <w:pPr>
        <w:widowControl/>
        <w:spacing w:line="360" w:lineRule="auto"/>
        <w:ind w:firstLine="0" w:firstLineChars="0"/>
        <w:jc w:val="center"/>
        <w:rPr>
          <w:rFonts w:hint="eastAsia" w:ascii="Times New Roman" w:hAnsi="Times New Roman" w:eastAsia="宋体" w:cs="Times New Roman"/>
          <w:b/>
          <w:bCs/>
          <w:kern w:val="0"/>
          <w:szCs w:val="20"/>
        </w:rPr>
      </w:pPr>
      <w:r>
        <w:rPr>
          <w:rFonts w:hint="eastAsia" w:ascii="Times New Roman" w:hAnsi="Times New Roman" w:eastAsia="宋体" w:cs="Times New Roman"/>
          <w:b/>
          <w:bCs/>
          <w:kern w:val="0"/>
          <w:szCs w:val="20"/>
        </w:rPr>
        <w:t>表3 充电基础设施分项计量项目和编码</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2"/>
        <w:gridCol w:w="1382"/>
        <w:gridCol w:w="1383"/>
        <w:gridCol w:w="1383"/>
        <w:gridCol w:w="1383"/>
        <w:gridCol w:w="1383"/>
      </w:tblGrid>
      <w:tr w14:paraId="2D64A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4" w:type="dxa"/>
            <w:gridSpan w:val="2"/>
            <w:vAlign w:val="center"/>
          </w:tcPr>
          <w:p w14:paraId="4D388B7E">
            <w:pPr>
              <w:jc w:val="center"/>
              <w:rPr>
                <w:rFonts w:ascii="仿宋" w:hAnsi="仿宋" w:eastAsia="仿宋" w:cs="仿宋"/>
              </w:rPr>
            </w:pPr>
            <w:r>
              <w:rPr>
                <w:rFonts w:hint="eastAsia" w:ascii="仿宋" w:hAnsi="仿宋" w:eastAsia="仿宋" w:cs="仿宋"/>
              </w:rPr>
              <w:t>项目</w:t>
            </w:r>
          </w:p>
        </w:tc>
        <w:tc>
          <w:tcPr>
            <w:tcW w:w="2766" w:type="dxa"/>
            <w:gridSpan w:val="2"/>
            <w:vAlign w:val="center"/>
          </w:tcPr>
          <w:p w14:paraId="24F1D55B">
            <w:pPr>
              <w:jc w:val="center"/>
              <w:rPr>
                <w:rFonts w:ascii="仿宋" w:hAnsi="仿宋" w:eastAsia="仿宋" w:cs="仿宋"/>
              </w:rPr>
            </w:pPr>
            <w:r>
              <w:rPr>
                <w:rFonts w:hint="eastAsia" w:ascii="仿宋" w:hAnsi="仿宋" w:eastAsia="仿宋" w:cs="仿宋"/>
              </w:rPr>
              <w:t>一级子项</w:t>
            </w:r>
          </w:p>
        </w:tc>
        <w:tc>
          <w:tcPr>
            <w:tcW w:w="2766" w:type="dxa"/>
            <w:gridSpan w:val="2"/>
            <w:vAlign w:val="center"/>
          </w:tcPr>
          <w:p w14:paraId="01E11332">
            <w:pPr>
              <w:jc w:val="center"/>
              <w:rPr>
                <w:rFonts w:ascii="仿宋" w:hAnsi="仿宋" w:eastAsia="仿宋" w:cs="仿宋"/>
              </w:rPr>
            </w:pPr>
            <w:r>
              <w:rPr>
                <w:rFonts w:hint="eastAsia" w:ascii="仿宋" w:hAnsi="仿宋" w:eastAsia="仿宋" w:cs="仿宋"/>
              </w:rPr>
              <w:t>二级子项</w:t>
            </w:r>
          </w:p>
        </w:tc>
      </w:tr>
      <w:tr w14:paraId="655DD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2" w:type="dxa"/>
            <w:vAlign w:val="center"/>
          </w:tcPr>
          <w:p w14:paraId="7A9DD652">
            <w:pPr>
              <w:jc w:val="center"/>
              <w:rPr>
                <w:rFonts w:ascii="仿宋" w:hAnsi="仿宋" w:eastAsia="仿宋" w:cs="仿宋"/>
              </w:rPr>
            </w:pPr>
            <w:r>
              <w:rPr>
                <w:rFonts w:hint="eastAsia" w:ascii="仿宋" w:hAnsi="仿宋" w:eastAsia="仿宋" w:cs="仿宋"/>
              </w:rPr>
              <w:t>名称</w:t>
            </w:r>
          </w:p>
        </w:tc>
        <w:tc>
          <w:tcPr>
            <w:tcW w:w="1382" w:type="dxa"/>
            <w:vAlign w:val="center"/>
          </w:tcPr>
          <w:p w14:paraId="0560E51F">
            <w:pPr>
              <w:jc w:val="center"/>
              <w:rPr>
                <w:rFonts w:ascii="仿宋" w:hAnsi="仿宋" w:eastAsia="仿宋" w:cs="仿宋"/>
              </w:rPr>
            </w:pPr>
            <w:r>
              <w:rPr>
                <w:rFonts w:hint="eastAsia" w:ascii="仿宋" w:hAnsi="仿宋" w:eastAsia="仿宋" w:cs="仿宋"/>
              </w:rPr>
              <w:t>编码</w:t>
            </w:r>
          </w:p>
        </w:tc>
        <w:tc>
          <w:tcPr>
            <w:tcW w:w="1383" w:type="dxa"/>
            <w:vAlign w:val="center"/>
          </w:tcPr>
          <w:p w14:paraId="7D99E110">
            <w:pPr>
              <w:jc w:val="center"/>
              <w:rPr>
                <w:rFonts w:ascii="仿宋" w:hAnsi="仿宋" w:eastAsia="仿宋" w:cs="仿宋"/>
              </w:rPr>
            </w:pPr>
            <w:r>
              <w:rPr>
                <w:rFonts w:hint="eastAsia" w:ascii="仿宋" w:hAnsi="仿宋" w:eastAsia="仿宋" w:cs="仿宋"/>
              </w:rPr>
              <w:t>名称</w:t>
            </w:r>
          </w:p>
        </w:tc>
        <w:tc>
          <w:tcPr>
            <w:tcW w:w="1383" w:type="dxa"/>
            <w:vAlign w:val="center"/>
          </w:tcPr>
          <w:p w14:paraId="2F128A89">
            <w:pPr>
              <w:jc w:val="center"/>
              <w:rPr>
                <w:rFonts w:ascii="仿宋" w:hAnsi="仿宋" w:eastAsia="仿宋" w:cs="仿宋"/>
              </w:rPr>
            </w:pPr>
            <w:r>
              <w:rPr>
                <w:rFonts w:hint="eastAsia" w:ascii="仿宋" w:hAnsi="仿宋" w:eastAsia="仿宋" w:cs="仿宋"/>
              </w:rPr>
              <w:t>编码</w:t>
            </w:r>
          </w:p>
        </w:tc>
        <w:tc>
          <w:tcPr>
            <w:tcW w:w="1383" w:type="dxa"/>
            <w:vAlign w:val="center"/>
          </w:tcPr>
          <w:p w14:paraId="36E71704">
            <w:pPr>
              <w:jc w:val="center"/>
              <w:rPr>
                <w:rFonts w:ascii="仿宋" w:hAnsi="仿宋" w:eastAsia="仿宋" w:cs="仿宋"/>
              </w:rPr>
            </w:pPr>
            <w:r>
              <w:rPr>
                <w:rFonts w:hint="eastAsia" w:ascii="仿宋" w:hAnsi="仿宋" w:eastAsia="仿宋" w:cs="仿宋"/>
              </w:rPr>
              <w:t>名称</w:t>
            </w:r>
          </w:p>
        </w:tc>
        <w:tc>
          <w:tcPr>
            <w:tcW w:w="1383" w:type="dxa"/>
            <w:vAlign w:val="center"/>
          </w:tcPr>
          <w:p w14:paraId="0BEDAA18">
            <w:pPr>
              <w:jc w:val="center"/>
              <w:rPr>
                <w:rFonts w:ascii="仿宋" w:hAnsi="仿宋" w:eastAsia="仿宋" w:cs="仿宋"/>
              </w:rPr>
            </w:pPr>
            <w:r>
              <w:rPr>
                <w:rFonts w:hint="eastAsia" w:ascii="仿宋" w:hAnsi="仿宋" w:eastAsia="仿宋" w:cs="仿宋"/>
              </w:rPr>
              <w:t>编码</w:t>
            </w:r>
          </w:p>
        </w:tc>
      </w:tr>
      <w:tr w14:paraId="51C37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2" w:type="dxa"/>
            <w:vMerge w:val="restart"/>
            <w:vAlign w:val="center"/>
          </w:tcPr>
          <w:p w14:paraId="41C80C7F">
            <w:pPr>
              <w:jc w:val="center"/>
              <w:rPr>
                <w:rFonts w:ascii="仿宋" w:hAnsi="仿宋" w:eastAsia="仿宋" w:cs="仿宋"/>
              </w:rPr>
            </w:pPr>
            <w:r>
              <w:rPr>
                <w:rFonts w:hint="eastAsia" w:ascii="仿宋" w:hAnsi="仿宋" w:eastAsia="仿宋" w:cs="仿宋"/>
              </w:rPr>
              <w:t>特殊场所用电</w:t>
            </w:r>
          </w:p>
        </w:tc>
        <w:tc>
          <w:tcPr>
            <w:tcW w:w="1382" w:type="dxa"/>
            <w:vMerge w:val="restart"/>
            <w:vAlign w:val="center"/>
          </w:tcPr>
          <w:p w14:paraId="13E77278">
            <w:pPr>
              <w:jc w:val="center"/>
              <w:rPr>
                <w:rFonts w:ascii="仿宋" w:hAnsi="仿宋" w:eastAsia="仿宋" w:cs="仿宋"/>
              </w:rPr>
            </w:pPr>
            <w:r>
              <w:rPr>
                <w:rFonts w:hint="eastAsia" w:ascii="仿宋" w:hAnsi="仿宋" w:eastAsia="仿宋" w:cs="仿宋"/>
              </w:rPr>
              <w:t>E</w:t>
            </w:r>
          </w:p>
        </w:tc>
        <w:tc>
          <w:tcPr>
            <w:tcW w:w="1383" w:type="dxa"/>
            <w:vMerge w:val="restart"/>
            <w:vAlign w:val="center"/>
          </w:tcPr>
          <w:p w14:paraId="60B7EB25">
            <w:pPr>
              <w:jc w:val="center"/>
              <w:rPr>
                <w:rFonts w:ascii="仿宋" w:hAnsi="仿宋" w:eastAsia="仿宋" w:cs="仿宋"/>
              </w:rPr>
            </w:pPr>
            <w:r>
              <w:rPr>
                <w:rFonts w:hint="eastAsia" w:ascii="仿宋" w:hAnsi="仿宋" w:eastAsia="仿宋" w:cs="仿宋"/>
              </w:rPr>
              <w:t>电动汽车充电区域</w:t>
            </w:r>
          </w:p>
        </w:tc>
        <w:tc>
          <w:tcPr>
            <w:tcW w:w="1383" w:type="dxa"/>
            <w:vMerge w:val="restart"/>
            <w:vAlign w:val="center"/>
          </w:tcPr>
          <w:p w14:paraId="741F63D2">
            <w:pPr>
              <w:jc w:val="center"/>
              <w:rPr>
                <w:rFonts w:ascii="仿宋" w:hAnsi="仿宋" w:eastAsia="仿宋" w:cs="仿宋"/>
              </w:rPr>
            </w:pPr>
            <w:r>
              <w:rPr>
                <w:rFonts w:hint="eastAsia" w:ascii="仿宋" w:hAnsi="仿宋" w:eastAsia="仿宋" w:cs="仿宋"/>
              </w:rPr>
              <w:t>7</w:t>
            </w:r>
          </w:p>
        </w:tc>
        <w:tc>
          <w:tcPr>
            <w:tcW w:w="1383" w:type="dxa"/>
            <w:vAlign w:val="center"/>
          </w:tcPr>
          <w:p w14:paraId="0EA24D79">
            <w:pPr>
              <w:jc w:val="center"/>
              <w:rPr>
                <w:rFonts w:ascii="仿宋" w:hAnsi="仿宋" w:eastAsia="仿宋" w:cs="仿宋"/>
              </w:rPr>
            </w:pPr>
            <w:r>
              <w:rPr>
                <w:rFonts w:hint="eastAsia" w:ascii="仿宋" w:hAnsi="仿宋" w:eastAsia="仿宋" w:cs="仿宋"/>
              </w:rPr>
              <w:t>充电区照明</w:t>
            </w:r>
          </w:p>
        </w:tc>
        <w:tc>
          <w:tcPr>
            <w:tcW w:w="1383" w:type="dxa"/>
            <w:vAlign w:val="center"/>
          </w:tcPr>
          <w:p w14:paraId="73EE732E">
            <w:pPr>
              <w:jc w:val="center"/>
              <w:rPr>
                <w:rFonts w:ascii="仿宋" w:hAnsi="仿宋" w:eastAsia="仿宋" w:cs="仿宋"/>
              </w:rPr>
            </w:pPr>
            <w:r>
              <w:rPr>
                <w:rFonts w:hint="eastAsia" w:ascii="仿宋" w:hAnsi="仿宋" w:eastAsia="仿宋" w:cs="仿宋"/>
              </w:rPr>
              <w:t>A</w:t>
            </w:r>
          </w:p>
        </w:tc>
      </w:tr>
      <w:tr w14:paraId="34542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2" w:type="dxa"/>
            <w:vMerge w:val="continue"/>
            <w:vAlign w:val="center"/>
          </w:tcPr>
          <w:p w14:paraId="64D96ED1">
            <w:pPr>
              <w:jc w:val="center"/>
              <w:rPr>
                <w:rFonts w:ascii="仿宋" w:hAnsi="仿宋" w:eastAsia="仿宋" w:cs="仿宋"/>
              </w:rPr>
            </w:pPr>
          </w:p>
        </w:tc>
        <w:tc>
          <w:tcPr>
            <w:tcW w:w="1382" w:type="dxa"/>
            <w:vMerge w:val="continue"/>
            <w:vAlign w:val="center"/>
          </w:tcPr>
          <w:p w14:paraId="42B1C1C0">
            <w:pPr>
              <w:jc w:val="center"/>
              <w:rPr>
                <w:rFonts w:ascii="仿宋" w:hAnsi="仿宋" w:eastAsia="仿宋" w:cs="仿宋"/>
              </w:rPr>
            </w:pPr>
          </w:p>
        </w:tc>
        <w:tc>
          <w:tcPr>
            <w:tcW w:w="1383" w:type="dxa"/>
            <w:vMerge w:val="continue"/>
            <w:vAlign w:val="center"/>
          </w:tcPr>
          <w:p w14:paraId="4831ECA1">
            <w:pPr>
              <w:jc w:val="center"/>
              <w:rPr>
                <w:rFonts w:ascii="仿宋" w:hAnsi="仿宋" w:eastAsia="仿宋" w:cs="仿宋"/>
              </w:rPr>
            </w:pPr>
          </w:p>
        </w:tc>
        <w:tc>
          <w:tcPr>
            <w:tcW w:w="1383" w:type="dxa"/>
            <w:vMerge w:val="continue"/>
            <w:vAlign w:val="center"/>
          </w:tcPr>
          <w:p w14:paraId="0E1B3A4D">
            <w:pPr>
              <w:jc w:val="center"/>
              <w:rPr>
                <w:rFonts w:ascii="仿宋" w:hAnsi="仿宋" w:eastAsia="仿宋" w:cs="仿宋"/>
              </w:rPr>
            </w:pPr>
          </w:p>
        </w:tc>
        <w:tc>
          <w:tcPr>
            <w:tcW w:w="1383" w:type="dxa"/>
            <w:vAlign w:val="center"/>
          </w:tcPr>
          <w:p w14:paraId="2A369AA6">
            <w:pPr>
              <w:jc w:val="center"/>
              <w:rPr>
                <w:rFonts w:ascii="仿宋" w:hAnsi="仿宋" w:eastAsia="仿宋" w:cs="仿宋"/>
              </w:rPr>
            </w:pPr>
            <w:r>
              <w:rPr>
                <w:rFonts w:hint="eastAsia" w:ascii="仿宋" w:hAnsi="仿宋" w:eastAsia="仿宋" w:cs="仿宋"/>
              </w:rPr>
              <w:t>充电区插座</w:t>
            </w:r>
          </w:p>
        </w:tc>
        <w:tc>
          <w:tcPr>
            <w:tcW w:w="1383" w:type="dxa"/>
            <w:vAlign w:val="center"/>
          </w:tcPr>
          <w:p w14:paraId="7AD47322">
            <w:pPr>
              <w:jc w:val="center"/>
              <w:rPr>
                <w:rFonts w:ascii="仿宋" w:hAnsi="仿宋" w:eastAsia="仿宋" w:cs="仿宋"/>
              </w:rPr>
            </w:pPr>
            <w:r>
              <w:rPr>
                <w:rFonts w:hint="eastAsia" w:ascii="仿宋" w:hAnsi="仿宋" w:eastAsia="仿宋" w:cs="仿宋"/>
              </w:rPr>
              <w:t>B</w:t>
            </w:r>
          </w:p>
        </w:tc>
      </w:tr>
      <w:tr w14:paraId="55A10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2" w:type="dxa"/>
            <w:vMerge w:val="continue"/>
            <w:vAlign w:val="center"/>
          </w:tcPr>
          <w:p w14:paraId="18B54468">
            <w:pPr>
              <w:jc w:val="center"/>
              <w:rPr>
                <w:rFonts w:ascii="仿宋" w:hAnsi="仿宋" w:eastAsia="仿宋" w:cs="仿宋"/>
              </w:rPr>
            </w:pPr>
          </w:p>
        </w:tc>
        <w:tc>
          <w:tcPr>
            <w:tcW w:w="1382" w:type="dxa"/>
            <w:vMerge w:val="continue"/>
            <w:vAlign w:val="center"/>
          </w:tcPr>
          <w:p w14:paraId="101B739E">
            <w:pPr>
              <w:jc w:val="center"/>
              <w:rPr>
                <w:rFonts w:ascii="仿宋" w:hAnsi="仿宋" w:eastAsia="仿宋" w:cs="仿宋"/>
              </w:rPr>
            </w:pPr>
          </w:p>
        </w:tc>
        <w:tc>
          <w:tcPr>
            <w:tcW w:w="1383" w:type="dxa"/>
            <w:vMerge w:val="continue"/>
            <w:vAlign w:val="center"/>
          </w:tcPr>
          <w:p w14:paraId="50167D07">
            <w:pPr>
              <w:jc w:val="center"/>
              <w:rPr>
                <w:rFonts w:ascii="仿宋" w:hAnsi="仿宋" w:eastAsia="仿宋" w:cs="仿宋"/>
              </w:rPr>
            </w:pPr>
          </w:p>
        </w:tc>
        <w:tc>
          <w:tcPr>
            <w:tcW w:w="1383" w:type="dxa"/>
            <w:vMerge w:val="continue"/>
            <w:vAlign w:val="center"/>
          </w:tcPr>
          <w:p w14:paraId="1214487A">
            <w:pPr>
              <w:jc w:val="center"/>
              <w:rPr>
                <w:rFonts w:ascii="仿宋" w:hAnsi="仿宋" w:eastAsia="仿宋" w:cs="仿宋"/>
              </w:rPr>
            </w:pPr>
          </w:p>
        </w:tc>
        <w:tc>
          <w:tcPr>
            <w:tcW w:w="1383" w:type="dxa"/>
            <w:vAlign w:val="center"/>
          </w:tcPr>
          <w:p w14:paraId="3019BA83">
            <w:pPr>
              <w:jc w:val="center"/>
              <w:rPr>
                <w:rFonts w:ascii="仿宋" w:hAnsi="仿宋" w:eastAsia="仿宋" w:cs="仿宋"/>
              </w:rPr>
            </w:pPr>
            <w:r>
              <w:rPr>
                <w:rFonts w:hint="eastAsia" w:ascii="仿宋" w:hAnsi="仿宋" w:eastAsia="仿宋" w:cs="仿宋"/>
              </w:rPr>
              <w:t>充电区空调通风</w:t>
            </w:r>
          </w:p>
        </w:tc>
        <w:tc>
          <w:tcPr>
            <w:tcW w:w="1383" w:type="dxa"/>
            <w:vAlign w:val="center"/>
          </w:tcPr>
          <w:p w14:paraId="16449F2A">
            <w:pPr>
              <w:jc w:val="center"/>
              <w:rPr>
                <w:rFonts w:ascii="仿宋" w:hAnsi="仿宋" w:eastAsia="仿宋" w:cs="仿宋"/>
              </w:rPr>
            </w:pPr>
            <w:r>
              <w:rPr>
                <w:rFonts w:hint="eastAsia" w:ascii="仿宋" w:hAnsi="仿宋" w:eastAsia="仿宋" w:cs="仿宋"/>
              </w:rPr>
              <w:t>C</w:t>
            </w:r>
          </w:p>
        </w:tc>
      </w:tr>
      <w:tr w14:paraId="06DF5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2" w:type="dxa"/>
            <w:vMerge w:val="continue"/>
            <w:vAlign w:val="center"/>
          </w:tcPr>
          <w:p w14:paraId="6F167C9B">
            <w:pPr>
              <w:jc w:val="center"/>
              <w:rPr>
                <w:rFonts w:ascii="仿宋" w:hAnsi="仿宋" w:eastAsia="仿宋" w:cs="仿宋"/>
              </w:rPr>
            </w:pPr>
          </w:p>
        </w:tc>
        <w:tc>
          <w:tcPr>
            <w:tcW w:w="1382" w:type="dxa"/>
            <w:vMerge w:val="continue"/>
            <w:vAlign w:val="center"/>
          </w:tcPr>
          <w:p w14:paraId="5A4B6B52">
            <w:pPr>
              <w:jc w:val="center"/>
              <w:rPr>
                <w:rFonts w:ascii="仿宋" w:hAnsi="仿宋" w:eastAsia="仿宋" w:cs="仿宋"/>
              </w:rPr>
            </w:pPr>
          </w:p>
        </w:tc>
        <w:tc>
          <w:tcPr>
            <w:tcW w:w="1383" w:type="dxa"/>
            <w:vMerge w:val="continue"/>
            <w:vAlign w:val="center"/>
          </w:tcPr>
          <w:p w14:paraId="059A00B1">
            <w:pPr>
              <w:jc w:val="center"/>
              <w:rPr>
                <w:rFonts w:ascii="仿宋" w:hAnsi="仿宋" w:eastAsia="仿宋" w:cs="仿宋"/>
              </w:rPr>
            </w:pPr>
          </w:p>
        </w:tc>
        <w:tc>
          <w:tcPr>
            <w:tcW w:w="1383" w:type="dxa"/>
            <w:vMerge w:val="continue"/>
            <w:vAlign w:val="center"/>
          </w:tcPr>
          <w:p w14:paraId="1072CC12">
            <w:pPr>
              <w:jc w:val="center"/>
              <w:rPr>
                <w:rFonts w:ascii="仿宋" w:hAnsi="仿宋" w:eastAsia="仿宋" w:cs="仿宋"/>
              </w:rPr>
            </w:pPr>
          </w:p>
        </w:tc>
        <w:tc>
          <w:tcPr>
            <w:tcW w:w="1383" w:type="dxa"/>
            <w:vAlign w:val="center"/>
          </w:tcPr>
          <w:p w14:paraId="37F10868">
            <w:pPr>
              <w:jc w:val="center"/>
              <w:rPr>
                <w:rFonts w:ascii="仿宋" w:hAnsi="仿宋" w:eastAsia="仿宋" w:cs="仿宋"/>
              </w:rPr>
            </w:pPr>
            <w:r>
              <w:rPr>
                <w:rFonts w:hint="eastAsia" w:ascii="仿宋" w:hAnsi="仿宋" w:eastAsia="仿宋" w:cs="仿宋"/>
              </w:rPr>
              <w:t>充电桩群</w:t>
            </w:r>
          </w:p>
        </w:tc>
        <w:tc>
          <w:tcPr>
            <w:tcW w:w="1383" w:type="dxa"/>
            <w:vAlign w:val="center"/>
          </w:tcPr>
          <w:p w14:paraId="2EB03E39">
            <w:pPr>
              <w:jc w:val="center"/>
              <w:rPr>
                <w:rFonts w:ascii="仿宋" w:hAnsi="仿宋" w:eastAsia="仿宋" w:cs="仿宋"/>
              </w:rPr>
            </w:pPr>
            <w:r>
              <w:rPr>
                <w:rFonts w:hint="eastAsia" w:ascii="仿宋" w:hAnsi="仿宋" w:eastAsia="仿宋" w:cs="仿宋"/>
              </w:rPr>
              <w:t>D</w:t>
            </w:r>
          </w:p>
        </w:tc>
      </w:tr>
      <w:tr w14:paraId="0005F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2" w:type="dxa"/>
            <w:vMerge w:val="continue"/>
            <w:vAlign w:val="center"/>
          </w:tcPr>
          <w:p w14:paraId="50F2CF9F">
            <w:pPr>
              <w:jc w:val="center"/>
              <w:rPr>
                <w:rFonts w:ascii="仿宋" w:hAnsi="仿宋" w:eastAsia="仿宋" w:cs="仿宋"/>
              </w:rPr>
            </w:pPr>
          </w:p>
        </w:tc>
        <w:tc>
          <w:tcPr>
            <w:tcW w:w="1382" w:type="dxa"/>
            <w:vMerge w:val="continue"/>
            <w:vAlign w:val="center"/>
          </w:tcPr>
          <w:p w14:paraId="0CEA7800">
            <w:pPr>
              <w:jc w:val="center"/>
              <w:rPr>
                <w:rFonts w:ascii="仿宋" w:hAnsi="仿宋" w:eastAsia="仿宋" w:cs="仿宋"/>
              </w:rPr>
            </w:pPr>
          </w:p>
        </w:tc>
        <w:tc>
          <w:tcPr>
            <w:tcW w:w="1383" w:type="dxa"/>
            <w:vMerge w:val="continue"/>
            <w:vAlign w:val="center"/>
          </w:tcPr>
          <w:p w14:paraId="5835C83E">
            <w:pPr>
              <w:jc w:val="center"/>
              <w:rPr>
                <w:rFonts w:ascii="仿宋" w:hAnsi="仿宋" w:eastAsia="仿宋" w:cs="仿宋"/>
              </w:rPr>
            </w:pPr>
          </w:p>
        </w:tc>
        <w:tc>
          <w:tcPr>
            <w:tcW w:w="1383" w:type="dxa"/>
            <w:vMerge w:val="continue"/>
            <w:vAlign w:val="center"/>
          </w:tcPr>
          <w:p w14:paraId="20D30540">
            <w:pPr>
              <w:jc w:val="center"/>
              <w:rPr>
                <w:rFonts w:ascii="仿宋" w:hAnsi="仿宋" w:eastAsia="仿宋" w:cs="仿宋"/>
              </w:rPr>
            </w:pPr>
          </w:p>
        </w:tc>
        <w:tc>
          <w:tcPr>
            <w:tcW w:w="1383" w:type="dxa"/>
            <w:vAlign w:val="center"/>
          </w:tcPr>
          <w:p w14:paraId="43D87059">
            <w:pPr>
              <w:jc w:val="center"/>
              <w:rPr>
                <w:rFonts w:ascii="仿宋" w:hAnsi="仿宋" w:eastAsia="仿宋" w:cs="仿宋"/>
              </w:rPr>
            </w:pPr>
            <w:r>
              <w:rPr>
                <w:rFonts w:hint="eastAsia" w:ascii="仿宋" w:hAnsi="仿宋" w:eastAsia="仿宋" w:cs="仿宋"/>
                <w:lang w:eastAsia="zh-CN"/>
              </w:rPr>
              <w:t>其他</w:t>
            </w:r>
          </w:p>
        </w:tc>
        <w:tc>
          <w:tcPr>
            <w:tcW w:w="1383" w:type="dxa"/>
            <w:vAlign w:val="center"/>
          </w:tcPr>
          <w:p w14:paraId="11EDE073">
            <w:pPr>
              <w:jc w:val="center"/>
              <w:rPr>
                <w:rFonts w:ascii="仿宋" w:hAnsi="仿宋" w:eastAsia="仿宋" w:cs="仿宋"/>
              </w:rPr>
            </w:pPr>
            <w:r>
              <w:rPr>
                <w:rFonts w:hint="eastAsia" w:ascii="仿宋" w:hAnsi="仿宋" w:eastAsia="仿宋" w:cs="仿宋"/>
              </w:rPr>
              <w:t>E</w:t>
            </w:r>
          </w:p>
        </w:tc>
      </w:tr>
    </w:tbl>
    <w:p w14:paraId="07146A8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当充电区域规模很小、仅有少量充电桩，二级子项没有</w:t>
      </w:r>
      <w:r>
        <w:rPr>
          <w:rFonts w:hint="default" w:ascii="Times New Roman" w:hAnsi="Times New Roman" w:eastAsia="宋体" w:cs="Times New Roman"/>
          <w:sz w:val="24"/>
          <w:szCs w:val="24"/>
        </w:rPr>
        <w:t>E7A、E7B、E7C</w:t>
      </w:r>
      <w:r>
        <w:rPr>
          <w:rFonts w:hint="eastAsia" w:ascii="宋体" w:hAnsi="宋体" w:eastAsia="宋体" w:cs="宋体"/>
          <w:sz w:val="24"/>
          <w:szCs w:val="24"/>
        </w:rPr>
        <w:t>项时，其供电干线</w:t>
      </w:r>
      <w:r>
        <w:rPr>
          <w:rFonts w:hint="default" w:ascii="Times New Roman" w:hAnsi="Times New Roman" w:eastAsia="宋体" w:cs="Times New Roman"/>
          <w:sz w:val="24"/>
          <w:szCs w:val="24"/>
        </w:rPr>
        <w:t>E7</w:t>
      </w:r>
      <w:r>
        <w:rPr>
          <w:rFonts w:hint="eastAsia" w:ascii="宋体" w:hAnsi="宋体" w:eastAsia="宋体" w:cs="宋体"/>
          <w:sz w:val="24"/>
          <w:szCs w:val="24"/>
        </w:rPr>
        <w:t>回路在低压柜内装设的前端总表与后端充电桩群</w:t>
      </w:r>
      <w:r>
        <w:rPr>
          <w:rFonts w:hint="default" w:ascii="Times New Roman" w:hAnsi="Times New Roman" w:eastAsia="宋体" w:cs="Times New Roman"/>
          <w:sz w:val="24"/>
          <w:szCs w:val="24"/>
        </w:rPr>
        <w:t>E7D</w:t>
      </w:r>
      <w:r>
        <w:rPr>
          <w:rFonts w:hint="eastAsia" w:ascii="宋体" w:hAnsi="宋体" w:eastAsia="宋体" w:cs="宋体"/>
          <w:sz w:val="24"/>
          <w:szCs w:val="24"/>
        </w:rPr>
        <w:t>能耗之差，计为</w:t>
      </w:r>
      <w:r>
        <w:rPr>
          <w:rFonts w:hint="default" w:ascii="Times New Roman" w:hAnsi="Times New Roman" w:eastAsia="宋体" w:cs="Times New Roman"/>
          <w:sz w:val="24"/>
          <w:szCs w:val="24"/>
        </w:rPr>
        <w:t>E7E</w:t>
      </w:r>
      <w:r>
        <w:rPr>
          <w:rFonts w:hint="eastAsia" w:ascii="宋体" w:hAnsi="宋体" w:eastAsia="宋体" w:cs="宋体"/>
          <w:sz w:val="24"/>
          <w:szCs w:val="24"/>
        </w:rPr>
        <w:t xml:space="preserve">； </w:t>
      </w:r>
    </w:p>
    <w:p w14:paraId="6B0A233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当充电区域具有</w:t>
      </w:r>
      <w:r>
        <w:rPr>
          <w:rFonts w:hint="default" w:ascii="Times New Roman" w:hAnsi="Times New Roman" w:eastAsia="宋体" w:cs="Times New Roman"/>
          <w:sz w:val="24"/>
          <w:szCs w:val="24"/>
        </w:rPr>
        <w:t>E7A、E7B、E7C</w:t>
      </w:r>
      <w:r>
        <w:rPr>
          <w:rFonts w:hint="eastAsia" w:ascii="宋体" w:hAnsi="宋体" w:eastAsia="宋体" w:cs="宋体"/>
          <w:sz w:val="24"/>
          <w:szCs w:val="24"/>
        </w:rPr>
        <w:t>项时，</w:t>
      </w:r>
      <w:r>
        <w:rPr>
          <w:rFonts w:hint="default" w:ascii="Times New Roman" w:hAnsi="Times New Roman" w:eastAsia="宋体" w:cs="Times New Roman"/>
          <w:sz w:val="24"/>
          <w:szCs w:val="24"/>
        </w:rPr>
        <w:t>E7</w:t>
      </w:r>
      <w:r>
        <w:rPr>
          <w:rFonts w:hint="eastAsia" w:ascii="宋体" w:hAnsi="宋体" w:eastAsia="宋体" w:cs="宋体"/>
          <w:sz w:val="24"/>
          <w:szCs w:val="24"/>
        </w:rPr>
        <w:t>回路前端总表与后端</w:t>
      </w:r>
      <w:r>
        <w:rPr>
          <w:rFonts w:hint="default" w:ascii="Times New Roman" w:hAnsi="Times New Roman" w:eastAsia="宋体" w:cs="Times New Roman"/>
          <w:sz w:val="24"/>
          <w:szCs w:val="24"/>
        </w:rPr>
        <w:t>（E7A+E7B+E7C+E7D）</w:t>
      </w:r>
      <w:r>
        <w:rPr>
          <w:rFonts w:hint="eastAsia" w:ascii="宋体" w:hAnsi="宋体" w:eastAsia="宋体" w:cs="宋体"/>
          <w:sz w:val="24"/>
          <w:szCs w:val="24"/>
        </w:rPr>
        <w:t>的能耗之差，计为</w:t>
      </w:r>
      <w:r>
        <w:rPr>
          <w:rFonts w:hint="default" w:ascii="Times New Roman" w:hAnsi="Times New Roman" w:eastAsia="宋体" w:cs="Times New Roman"/>
          <w:sz w:val="24"/>
          <w:szCs w:val="24"/>
        </w:rPr>
        <w:t>E7E。E7E</w:t>
      </w:r>
      <w:r>
        <w:rPr>
          <w:rFonts w:hint="eastAsia" w:ascii="宋体" w:hAnsi="宋体" w:eastAsia="宋体" w:cs="宋体"/>
          <w:sz w:val="24"/>
          <w:szCs w:val="24"/>
        </w:rPr>
        <w:t>子项表示的是：电动汽车充电区域的非充电能耗不易单独计量的部分。</w:t>
      </w:r>
    </w:p>
    <w:p w14:paraId="5C805E73">
      <w:pPr>
        <w:spacing w:line="360" w:lineRule="auto"/>
        <w:ind w:firstLine="480" w:firstLineChars="200"/>
        <w:rPr>
          <w:rFonts w:hint="default" w:ascii="Times New Roman" w:hAnsi="Times New Roman" w:cs="Times New Roman"/>
          <w:sz w:val="24"/>
          <w:szCs w:val="24"/>
          <w:vertAlign w:val="subscript"/>
        </w:rPr>
      </w:pPr>
      <w:r>
        <w:rPr>
          <w:rFonts w:hint="default" w:ascii="Times New Roman" w:hAnsi="Times New Roman" w:eastAsia="宋体" w:cs="Times New Roman"/>
          <w:sz w:val="24"/>
          <w:szCs w:val="24"/>
        </w:rPr>
        <w:t>E7D</w:t>
      </w:r>
      <w:r>
        <w:rPr>
          <w:rFonts w:hint="eastAsia" w:ascii="宋体" w:hAnsi="宋体" w:eastAsia="宋体" w:cs="宋体"/>
          <w:sz w:val="24"/>
          <w:szCs w:val="24"/>
        </w:rPr>
        <w:t>是由系统向电动汽车馈送的电能，</w:t>
      </w:r>
      <w:r>
        <w:rPr>
          <w:rFonts w:hint="default" w:ascii="Times New Roman" w:hAnsi="Times New Roman" w:eastAsia="宋体" w:cs="Times New Roman"/>
          <w:sz w:val="24"/>
          <w:szCs w:val="24"/>
        </w:rPr>
        <w:t>E7</w:t>
      </w:r>
      <w:r>
        <w:rPr>
          <w:rFonts w:hint="eastAsia" w:ascii="宋体" w:hAnsi="宋体" w:eastAsia="宋体" w:cs="宋体"/>
          <w:sz w:val="24"/>
          <w:szCs w:val="24"/>
        </w:rPr>
        <w:t>回路前端总表能耗是充电区域消耗的电能，将二者之比</w:t>
      </w:r>
      <w:r>
        <w:rPr>
          <w:rFonts w:hint="default" w:ascii="Times New Roman" w:hAnsi="Times New Roman" w:eastAsia="宋体" w:cs="Times New Roman"/>
          <w:sz w:val="24"/>
          <w:szCs w:val="24"/>
        </w:rPr>
        <w:t>E7D/E7</w:t>
      </w:r>
      <w:r>
        <w:rPr>
          <w:rFonts w:hint="eastAsia" w:ascii="宋体" w:hAnsi="宋体" w:eastAsia="宋体" w:cs="宋体"/>
          <w:sz w:val="24"/>
          <w:szCs w:val="24"/>
        </w:rPr>
        <w:t>定义为“充电设施电能利用效率”</w:t>
      </w:r>
      <w:r>
        <w:rPr>
          <w:rFonts w:hint="default" w:ascii="Times New Roman" w:hAnsi="Times New Roman" w:cs="Times New Roman"/>
          <w:sz w:val="24"/>
          <w:szCs w:val="24"/>
        </w:rPr>
        <w:t>η</w:t>
      </w:r>
      <w:r>
        <w:rPr>
          <w:rFonts w:hint="default" w:ascii="Times New Roman" w:hAnsi="Times New Roman" w:cs="Times New Roman"/>
          <w:sz w:val="24"/>
          <w:szCs w:val="24"/>
          <w:vertAlign w:val="subscript"/>
        </w:rPr>
        <w:t>E7</w:t>
      </w:r>
      <w:r>
        <w:rPr>
          <w:rFonts w:hint="eastAsia" w:ascii="宋体" w:hAnsi="宋体" w:eastAsia="宋体" w:cs="宋体"/>
          <w:sz w:val="24"/>
          <w:szCs w:val="24"/>
        </w:rPr>
        <w:t>，当非电能耗很小而忽略时，充电设施效率可以近似采用充电设施电能利用效率</w:t>
      </w:r>
      <w:r>
        <w:rPr>
          <w:rFonts w:hint="default" w:ascii="Times New Roman" w:hAnsi="Times New Roman" w:cs="Times New Roman"/>
          <w:sz w:val="24"/>
          <w:szCs w:val="24"/>
        </w:rPr>
        <w:t>η</w:t>
      </w:r>
      <w:r>
        <w:rPr>
          <w:rFonts w:hint="default" w:ascii="Times New Roman" w:hAnsi="Times New Roman" w:cs="Times New Roman"/>
          <w:sz w:val="24"/>
          <w:szCs w:val="24"/>
          <w:vertAlign w:val="subscript"/>
        </w:rPr>
        <w:t>E7</w:t>
      </w:r>
      <w:r>
        <w:rPr>
          <w:rFonts w:hint="eastAsia" w:ascii="宋体" w:hAnsi="宋体" w:eastAsia="宋体" w:cs="宋体"/>
          <w:sz w:val="24"/>
          <w:szCs w:val="24"/>
        </w:rPr>
        <w:t>。</w:t>
      </w:r>
    </w:p>
    <w:p w14:paraId="7439B604">
      <w:pPr>
        <w:spacing w:line="360" w:lineRule="auto"/>
        <w:ind w:firstLine="480" w:firstLineChars="200"/>
        <w:rPr>
          <w:rFonts w:hint="eastAsia" w:ascii="宋体" w:hAnsi="宋体" w:eastAsia="宋体" w:cs="宋体"/>
          <w:sz w:val="24"/>
          <w:szCs w:val="24"/>
        </w:rPr>
      </w:pPr>
      <w:r>
        <w:rPr>
          <w:rFonts w:hint="default" w:ascii="Times New Roman" w:hAnsi="Times New Roman" w:cs="Times New Roman"/>
          <w:sz w:val="24"/>
          <w:szCs w:val="24"/>
        </w:rPr>
        <w:t>η</w:t>
      </w:r>
      <w:r>
        <w:rPr>
          <w:rFonts w:hint="default" w:ascii="Times New Roman" w:hAnsi="Times New Roman" w:cs="Times New Roman"/>
          <w:sz w:val="24"/>
          <w:szCs w:val="24"/>
          <w:vertAlign w:val="subscript"/>
        </w:rPr>
        <w:t>E7</w:t>
      </w:r>
      <w:r>
        <w:rPr>
          <w:rFonts w:hint="default" w:ascii="Times New Roman" w:hAnsi="Times New Roman" w:eastAsia="宋体" w:cs="Times New Roman"/>
          <w:sz w:val="24"/>
          <w:szCs w:val="24"/>
        </w:rPr>
        <w:t>=E7D/E7</w:t>
      </w:r>
      <w:r>
        <w:rPr>
          <w:rFonts w:hint="eastAsia" w:ascii="宋体" w:hAnsi="宋体" w:eastAsia="宋体" w:cs="宋体"/>
          <w:sz w:val="24"/>
          <w:szCs w:val="24"/>
        </w:rPr>
        <w:t>，其中，</w:t>
      </w:r>
      <w:r>
        <w:rPr>
          <w:rFonts w:hint="default" w:ascii="Times New Roman" w:hAnsi="Times New Roman" w:eastAsia="宋体" w:cs="Times New Roman"/>
          <w:sz w:val="24"/>
          <w:szCs w:val="24"/>
        </w:rPr>
        <w:t>E7D</w:t>
      </w:r>
      <w:r>
        <w:rPr>
          <w:rFonts w:hint="eastAsia" w:ascii="宋体" w:hAnsi="宋体" w:eastAsia="宋体" w:cs="宋体"/>
          <w:sz w:val="24"/>
          <w:szCs w:val="24"/>
        </w:rPr>
        <w:t>是由外部系统从充电枪端口向电动汽车馈送的电能，也就是电动汽车通过充电枪端口得到的电能（车载充电机效率及电池能源转换效率不在</w:t>
      </w:r>
      <w:r>
        <w:rPr>
          <w:rFonts w:hint="default" w:ascii="Times New Roman" w:hAnsi="Times New Roman" w:eastAsia="宋体" w:cs="Times New Roman"/>
          <w:sz w:val="24"/>
          <w:szCs w:val="24"/>
        </w:rPr>
        <w:t>E7D</w:t>
      </w:r>
      <w:r>
        <w:rPr>
          <w:rFonts w:hint="eastAsia" w:ascii="宋体" w:hAnsi="宋体" w:eastAsia="宋体" w:cs="宋体"/>
          <w:sz w:val="24"/>
          <w:szCs w:val="24"/>
        </w:rPr>
        <w:t>考核范围之内），而</w:t>
      </w:r>
      <w:r>
        <w:rPr>
          <w:rFonts w:hint="default" w:ascii="Times New Roman" w:hAnsi="Times New Roman" w:eastAsia="宋体" w:cs="Times New Roman"/>
          <w:sz w:val="24"/>
          <w:szCs w:val="24"/>
        </w:rPr>
        <w:t>E7</w:t>
      </w:r>
      <w:r>
        <w:rPr>
          <w:rFonts w:hint="eastAsia" w:ascii="宋体" w:hAnsi="宋体" w:eastAsia="宋体" w:cs="宋体"/>
          <w:sz w:val="24"/>
          <w:szCs w:val="24"/>
        </w:rPr>
        <w:t>是外部系统向充电场所边界内供入的总电能，</w:t>
      </w:r>
      <w:r>
        <w:rPr>
          <w:rFonts w:hint="default" w:ascii="Times New Roman" w:hAnsi="Times New Roman" w:eastAsia="宋体" w:cs="Times New Roman"/>
          <w:sz w:val="24"/>
          <w:szCs w:val="24"/>
        </w:rPr>
        <w:t>E7D＜E7</w:t>
      </w:r>
      <w:r>
        <w:rPr>
          <w:rFonts w:hint="eastAsia" w:ascii="宋体" w:hAnsi="宋体" w:eastAsia="宋体" w:cs="宋体"/>
          <w:sz w:val="24"/>
          <w:szCs w:val="24"/>
        </w:rPr>
        <w:t>。</w:t>
      </w:r>
    </w:p>
    <w:p w14:paraId="02C9837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外部充电效率</w:t>
      </w:r>
      <w:r>
        <w:rPr>
          <w:rFonts w:hint="default" w:ascii="Times New Roman" w:hAnsi="Times New Roman" w:eastAsia="宋体" w:cs="Times New Roman"/>
          <w:sz w:val="24"/>
          <w:szCs w:val="24"/>
        </w:rPr>
        <w:t>η</w:t>
      </w:r>
      <w:r>
        <w:rPr>
          <w:rFonts w:hint="default" w:ascii="Times New Roman" w:hAnsi="Times New Roman" w:eastAsia="宋体" w:cs="Times New Roman"/>
          <w:sz w:val="24"/>
          <w:szCs w:val="24"/>
          <w:vertAlign w:val="subscript"/>
        </w:rPr>
        <w:t>C</w:t>
      </w:r>
      <w:r>
        <w:rPr>
          <w:rFonts w:hint="eastAsia" w:ascii="宋体" w:hAnsi="宋体" w:eastAsia="宋体" w:cs="宋体"/>
          <w:sz w:val="24"/>
          <w:szCs w:val="24"/>
        </w:rPr>
        <w:t>——非车载充电机的效率。</w:t>
      </w:r>
    </w:p>
    <w:p w14:paraId="562850D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外部电能综合效率</w:t>
      </w:r>
      <w:r>
        <w:rPr>
          <w:rFonts w:hint="default" w:ascii="Times New Roman" w:hAnsi="Times New Roman" w:eastAsia="宋体" w:cs="Times New Roman"/>
          <w:sz w:val="24"/>
          <w:szCs w:val="24"/>
        </w:rPr>
        <w:t>η</w:t>
      </w:r>
      <w:r>
        <w:rPr>
          <w:rFonts w:hint="default" w:ascii="Times New Roman" w:hAnsi="Times New Roman" w:eastAsia="宋体" w:cs="Times New Roman"/>
          <w:sz w:val="24"/>
          <w:szCs w:val="24"/>
          <w:vertAlign w:val="subscript"/>
        </w:rPr>
        <w:t>w</w:t>
      </w:r>
      <w:r>
        <w:rPr>
          <w:rFonts w:hint="default" w:ascii="Times New Roman" w:hAnsi="Times New Roman" w:eastAsia="宋体" w:cs="Times New Roman"/>
          <w:sz w:val="24"/>
          <w:szCs w:val="24"/>
        </w:rPr>
        <w:t>，η</w:t>
      </w:r>
      <w:r>
        <w:rPr>
          <w:rFonts w:hint="default" w:ascii="Times New Roman" w:hAnsi="Times New Roman" w:eastAsia="宋体" w:cs="Times New Roman"/>
          <w:sz w:val="24"/>
          <w:szCs w:val="24"/>
          <w:vertAlign w:val="subscript"/>
        </w:rPr>
        <w:t>w</w:t>
      </w:r>
      <w:r>
        <w:rPr>
          <w:rFonts w:hint="default" w:ascii="Times New Roman" w:hAnsi="Times New Roman" w:eastAsia="宋体" w:cs="Times New Roman"/>
          <w:sz w:val="24"/>
          <w:szCs w:val="24"/>
        </w:rPr>
        <w:t>=η</w:t>
      </w:r>
      <w:r>
        <w:rPr>
          <w:rFonts w:hint="default" w:ascii="Times New Roman" w:hAnsi="Times New Roman" w:eastAsia="宋体" w:cs="Times New Roman"/>
          <w:sz w:val="24"/>
          <w:szCs w:val="24"/>
          <w:vertAlign w:val="subscript"/>
        </w:rPr>
        <w:t>1</w:t>
      </w:r>
      <w:r>
        <w:rPr>
          <w:rFonts w:hint="default" w:ascii="Times New Roman" w:hAnsi="Times New Roman" w:eastAsia="宋体" w:cs="Times New Roman"/>
          <w:sz w:val="24"/>
          <w:szCs w:val="24"/>
        </w:rPr>
        <w:t>*η</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*η</w:t>
      </w:r>
      <w:r>
        <w:rPr>
          <w:rFonts w:hint="default" w:ascii="Times New Roman" w:hAnsi="Times New Roman" w:eastAsia="宋体" w:cs="Times New Roman"/>
          <w:sz w:val="24"/>
          <w:szCs w:val="24"/>
          <w:vertAlign w:val="subscript"/>
        </w:rPr>
        <w:t>E7</w:t>
      </w:r>
      <w:r>
        <w:rPr>
          <w:rFonts w:hint="default" w:ascii="Times New Roman" w:hAnsi="Times New Roman" w:eastAsia="宋体" w:cs="Times New Roman"/>
          <w:sz w:val="24"/>
          <w:szCs w:val="24"/>
        </w:rPr>
        <w:t>*η</w:t>
      </w:r>
      <w:r>
        <w:rPr>
          <w:rFonts w:hint="default" w:ascii="Times New Roman" w:hAnsi="Times New Roman" w:eastAsia="宋体" w:cs="Times New Roman"/>
          <w:sz w:val="24"/>
          <w:szCs w:val="24"/>
          <w:vertAlign w:val="subscript"/>
        </w:rPr>
        <w:t>C</w:t>
      </w:r>
      <w:r>
        <w:rPr>
          <w:rFonts w:hint="eastAsia" w:ascii="宋体" w:hAnsi="宋体" w:eastAsia="宋体" w:cs="宋体"/>
          <w:sz w:val="24"/>
          <w:szCs w:val="24"/>
        </w:rPr>
        <w:t>，是充电基础设施的</w:t>
      </w:r>
      <w:r>
        <w:rPr>
          <w:rFonts w:hint="default" w:ascii="Times New Roman" w:hAnsi="Times New Roman" w:eastAsia="宋体" w:cs="Times New Roman"/>
          <w:sz w:val="24"/>
          <w:szCs w:val="24"/>
        </w:rPr>
        <w:t>10/0.4kV</w:t>
      </w:r>
      <w:r>
        <w:rPr>
          <w:rFonts w:hint="eastAsia" w:ascii="宋体" w:hAnsi="宋体" w:eastAsia="宋体" w:cs="宋体"/>
          <w:sz w:val="24"/>
          <w:szCs w:val="24"/>
        </w:rPr>
        <w:t>变电效率、</w:t>
      </w:r>
      <w:r>
        <w:rPr>
          <w:rFonts w:hint="default" w:ascii="Times New Roman" w:hAnsi="Times New Roman" w:eastAsia="宋体" w:cs="Times New Roman"/>
          <w:sz w:val="24"/>
          <w:szCs w:val="24"/>
        </w:rPr>
        <w:t>0.4kV</w:t>
      </w:r>
      <w:r>
        <w:rPr>
          <w:rFonts w:hint="eastAsia" w:ascii="宋体" w:hAnsi="宋体" w:eastAsia="宋体" w:cs="宋体"/>
          <w:sz w:val="24"/>
          <w:szCs w:val="24"/>
        </w:rPr>
        <w:t>输电效率、充电基础设施用电效率、充电枪端口外部的充电桩效率（考核</w:t>
      </w:r>
      <w:r>
        <w:rPr>
          <w:rFonts w:hint="default" w:ascii="Times New Roman" w:hAnsi="Times New Roman" w:eastAsia="宋体" w:cs="Times New Roman"/>
          <w:sz w:val="24"/>
          <w:szCs w:val="24"/>
        </w:rPr>
        <w:t>AC380V/DC300—750V</w:t>
      </w:r>
      <w:r>
        <w:rPr>
          <w:rFonts w:hint="eastAsia" w:ascii="宋体" w:hAnsi="宋体" w:eastAsia="宋体" w:cs="宋体"/>
          <w:sz w:val="24"/>
          <w:szCs w:val="24"/>
        </w:rPr>
        <w:t>非车载充电桩效率）四者之乘积。</w:t>
      </w:r>
    </w:p>
    <w:p w14:paraId="482E082B">
      <w:pPr>
        <w:spacing w:line="360" w:lineRule="auto"/>
        <w:ind w:firstLine="480" w:firstLineChars="200"/>
        <w:rPr>
          <w:rFonts w:hint="eastAsia" w:ascii="宋体" w:hAnsi="宋体" w:cs="宋体"/>
          <w:sz w:val="24"/>
          <w:szCs w:val="24"/>
          <w:highlight w:val="yellow"/>
          <w:lang w:val="en-US" w:eastAsia="zh-CN"/>
        </w:rPr>
      </w:pPr>
      <w:r>
        <w:rPr>
          <w:rFonts w:hint="eastAsia" w:ascii="宋体" w:hAnsi="宋体" w:eastAsia="宋体" w:cs="宋体"/>
          <w:sz w:val="24"/>
          <w:szCs w:val="24"/>
        </w:rPr>
        <w:t>充电基础设施的计量系统可以计量充电桩的电耗。从电能利用的角度看，车载电池蓄电与放电环节不在建筑工程项目规划建设和运营的可控范围，在其之前，充电枪端口的外部，变电、输电、设施用电、外部充电机效率应满足本条的要求。在设计中要因地制宜采用优化方案和适宜的技术路线，努力提高综合效率</w:t>
      </w:r>
      <w:r>
        <w:rPr>
          <w:rFonts w:hint="default" w:ascii="Times New Roman" w:hAnsi="Times New Roman" w:eastAsia="宋体" w:cs="Times New Roman"/>
          <w:sz w:val="24"/>
          <w:szCs w:val="24"/>
        </w:rPr>
        <w:t>η</w:t>
      </w:r>
      <w:r>
        <w:rPr>
          <w:rFonts w:hint="default" w:ascii="Times New Roman" w:hAnsi="Times New Roman" w:eastAsia="宋体" w:cs="Times New Roman"/>
          <w:sz w:val="24"/>
          <w:szCs w:val="24"/>
          <w:vertAlign w:val="subscript"/>
        </w:rPr>
        <w:t>w</w:t>
      </w:r>
      <w:r>
        <w:rPr>
          <w:rFonts w:hint="eastAsia" w:ascii="宋体" w:hAnsi="宋体" w:eastAsia="宋体" w:cs="宋体"/>
          <w:sz w:val="24"/>
          <w:szCs w:val="24"/>
        </w:rPr>
        <w:t>，为充电区域运营的经济效益与社会效益提供可靠的基础。</w:t>
      </w:r>
    </w:p>
    <w:p w14:paraId="70A4D44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6</w:t>
      </w:r>
      <w:r>
        <w:rPr>
          <w:rFonts w:hint="eastAsia" w:ascii="宋体" w:hAnsi="宋体" w:eastAsia="宋体" w:cs="宋体"/>
          <w:sz w:val="24"/>
          <w:szCs w:val="24"/>
        </w:rPr>
        <w:t>款，配套商业网点的敏感负荷，包括银行、商店等场所的金融业务相关的</w:t>
      </w:r>
      <w:r>
        <w:rPr>
          <w:rFonts w:hint="default" w:ascii="Times New Roman" w:hAnsi="Times New Roman" w:eastAsia="宋体" w:cs="Times New Roman"/>
          <w:sz w:val="24"/>
          <w:szCs w:val="24"/>
        </w:rPr>
        <w:t>IT</w:t>
      </w:r>
      <w:r>
        <w:rPr>
          <w:rFonts w:hint="eastAsia" w:ascii="宋体" w:hAnsi="宋体" w:eastAsia="宋体" w:cs="宋体"/>
          <w:sz w:val="24"/>
          <w:szCs w:val="24"/>
        </w:rPr>
        <w:t>类电子设备，应配置适用的</w:t>
      </w:r>
      <w:r>
        <w:rPr>
          <w:rFonts w:hint="default" w:ascii="Times New Roman" w:hAnsi="Times New Roman" w:eastAsia="宋体" w:cs="Times New Roman"/>
          <w:sz w:val="24"/>
          <w:szCs w:val="24"/>
        </w:rPr>
        <w:t>UPS</w:t>
      </w:r>
      <w:r>
        <w:rPr>
          <w:rFonts w:hint="eastAsia" w:ascii="宋体" w:hAnsi="宋体" w:eastAsia="宋体" w:cs="宋体"/>
          <w:sz w:val="24"/>
          <w:szCs w:val="24"/>
        </w:rPr>
        <w:t>。</w:t>
      </w:r>
    </w:p>
    <w:p w14:paraId="793FB03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本条的评价方法为：预评价查阅相关专业的设计说明、系统图；评价查阅相关竣工图，并现场核查。</w:t>
      </w:r>
    </w:p>
    <w:p w14:paraId="29126109">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6.2.12</w:t>
      </w:r>
      <w:r>
        <w:rPr>
          <w:rFonts w:hint="eastAsia" w:ascii="宋体" w:hAnsi="宋体" w:cs="宋体"/>
          <w:sz w:val="24"/>
          <w:szCs w:val="24"/>
        </w:rPr>
        <w:t>　</w:t>
      </w:r>
      <w:r>
        <w:rPr>
          <w:rFonts w:hint="eastAsia" w:ascii="宋体" w:hAnsi="宋体" w:eastAsia="宋体" w:cs="宋体"/>
          <w:sz w:val="24"/>
          <w:szCs w:val="24"/>
        </w:rPr>
        <w:t>本条适用于预评价和评价。</w:t>
      </w:r>
    </w:p>
    <w:p w14:paraId="2E2DFBC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建筑设备监控系统的设计内容应符合《智能建筑设计标准》</w:t>
      </w:r>
      <w:r>
        <w:rPr>
          <w:rFonts w:hint="default" w:ascii="Times New Roman" w:hAnsi="Times New Roman" w:eastAsia="宋体" w:cs="Times New Roman"/>
          <w:sz w:val="24"/>
          <w:szCs w:val="24"/>
        </w:rPr>
        <w:t>GB 50314</w:t>
      </w:r>
      <w:r>
        <w:rPr>
          <w:rFonts w:hint="eastAsia" w:ascii="宋体" w:hAnsi="宋体" w:eastAsia="宋体" w:cs="宋体"/>
          <w:sz w:val="24"/>
          <w:szCs w:val="24"/>
        </w:rPr>
        <w:t>对各种类型建筑列出的系统配置表中应配置项的规定，当建筑设备监控系统的监控主机设于评价建筑以外的其他建筑中时，还应将监控主机所在建筑与本建筑相关的监控系统配置与功能设置情况纳入评价范围。评价的设计内容包括：主机、网络传输、监控点相关硬件设备配置，监测、计量、控制等系统软件功能要求，各评价项对应的传感器、执行器和受监控设备是否通过传输网络与现场控制器或上级控制器构成完整的控制系统，各评价项的软件界面是否包含了《智能建筑设计标准》</w:t>
      </w:r>
      <w:r>
        <w:rPr>
          <w:rFonts w:hint="default" w:ascii="Times New Roman" w:hAnsi="Times New Roman" w:eastAsia="宋体" w:cs="Times New Roman"/>
          <w:sz w:val="24"/>
          <w:szCs w:val="24"/>
        </w:rPr>
        <w:t>GB 50314</w:t>
      </w:r>
      <w:r>
        <w:rPr>
          <w:rFonts w:hint="eastAsia" w:ascii="宋体" w:hAnsi="宋体" w:eastAsia="宋体" w:cs="宋体"/>
          <w:sz w:val="24"/>
          <w:szCs w:val="24"/>
        </w:rPr>
        <w:t>规定的应做内容，是否与评价建筑的系统功能、场所名称、监控点位等具体情况一致，各评价项的监控数据格式是否符合对应标准的规定。</w:t>
      </w:r>
    </w:p>
    <w:p w14:paraId="5C6B19A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本条的评价方法为：预评价查阅电气设计说明、强弱电对应内容的平面图和系统图、弱电控制点表等；评价查阅相关竣工图，现场核查各系统机房的设备、传感器、控制功能是否运行正常。</w:t>
      </w:r>
    </w:p>
    <w:p w14:paraId="5ACE2E65">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6.2.13</w:t>
      </w:r>
      <w:r>
        <w:rPr>
          <w:rFonts w:hint="eastAsia" w:ascii="宋体" w:hAnsi="宋体" w:cs="宋体"/>
          <w:sz w:val="24"/>
          <w:szCs w:val="24"/>
        </w:rPr>
        <w:t>　</w:t>
      </w:r>
      <w:r>
        <w:rPr>
          <w:rFonts w:hint="eastAsia" w:ascii="宋体" w:hAnsi="宋体" w:eastAsia="宋体" w:cs="宋体"/>
          <w:sz w:val="24"/>
          <w:szCs w:val="24"/>
        </w:rPr>
        <w:t xml:space="preserve">本条适用于预评价和评价。本条鼓励在绿色改造时综合应用多种智能技术。设计时应结合低碳改造的使用需求选择。 </w:t>
      </w:r>
    </w:p>
    <w:p w14:paraId="1E70D5B9">
      <w:pPr>
        <w:numPr>
          <w:ilvl w:val="255"/>
          <w:numId w:val="0"/>
        </w:num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1</w:t>
      </w:r>
      <w:r>
        <w:rPr>
          <w:rFonts w:hint="eastAsia" w:ascii="宋体" w:hAnsi="宋体" w:eastAsia="宋体" w:cs="宋体"/>
          <w:sz w:val="24"/>
          <w:szCs w:val="24"/>
        </w:rPr>
        <w:t>款，电能监测与计量采用数字式智能仪表并能实现通过网络传输。</w:t>
      </w:r>
    </w:p>
    <w:p w14:paraId="3EDE5A69">
      <w:pPr>
        <w:numPr>
          <w:ilvl w:val="255"/>
          <w:numId w:val="0"/>
        </w:num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2</w:t>
      </w:r>
      <w:r>
        <w:rPr>
          <w:rFonts w:hint="eastAsia" w:ascii="宋体" w:hAnsi="宋体" w:eastAsia="宋体" w:cs="宋体"/>
          <w:sz w:val="24"/>
          <w:szCs w:val="24"/>
        </w:rPr>
        <w:t>款，建筑中的有线网络为各种功能场所提供了通信基础设施，</w:t>
      </w:r>
      <w:r>
        <w:rPr>
          <w:rFonts w:hint="default" w:ascii="Times New Roman" w:hAnsi="Times New Roman" w:eastAsia="宋体" w:cs="Times New Roman"/>
          <w:sz w:val="24"/>
          <w:szCs w:val="24"/>
        </w:rPr>
        <w:t>6</w:t>
      </w:r>
      <w:r>
        <w:rPr>
          <w:rFonts w:hint="eastAsia" w:ascii="宋体" w:hAnsi="宋体" w:eastAsia="宋体" w:cs="宋体"/>
          <w:sz w:val="24"/>
          <w:szCs w:val="24"/>
        </w:rPr>
        <w:t>类综合布线的带宽可以满足当前绝大多数公共建筑末端用户网络通信的使用需求，需要更高带宽的特殊末端信息点可按具体的委托要求设计采用光纤布线。结合综合布线采用</w:t>
      </w:r>
      <w:r>
        <w:rPr>
          <w:rFonts w:hint="default" w:ascii="Times New Roman" w:hAnsi="Times New Roman" w:eastAsia="宋体" w:cs="Times New Roman"/>
          <w:sz w:val="24"/>
          <w:szCs w:val="24"/>
        </w:rPr>
        <w:t>POE</w:t>
      </w:r>
      <w:r>
        <w:rPr>
          <w:rFonts w:hint="eastAsia" w:ascii="宋体" w:hAnsi="宋体" w:eastAsia="宋体" w:cs="宋体"/>
          <w:sz w:val="24"/>
          <w:szCs w:val="24"/>
        </w:rPr>
        <w:t>供电组成直流微网系统，并采用</w:t>
      </w:r>
      <w:r>
        <w:rPr>
          <w:rFonts w:hint="default" w:ascii="Times New Roman" w:hAnsi="Times New Roman" w:eastAsia="宋体" w:cs="Times New Roman"/>
          <w:sz w:val="24"/>
          <w:szCs w:val="24"/>
        </w:rPr>
        <w:t>IPV6</w:t>
      </w:r>
      <w:r>
        <w:rPr>
          <w:rFonts w:hint="eastAsia" w:ascii="宋体" w:hAnsi="宋体" w:eastAsia="宋体" w:cs="宋体"/>
          <w:sz w:val="24"/>
          <w:szCs w:val="24"/>
        </w:rPr>
        <w:t>地址编码等新技术，不仅提高系统性能和效率，而且对网络安全具有重要意义。采用</w:t>
      </w:r>
      <w:r>
        <w:rPr>
          <w:rFonts w:hint="default" w:ascii="Times New Roman" w:hAnsi="Times New Roman" w:eastAsia="宋体" w:cs="Times New Roman"/>
          <w:sz w:val="24"/>
          <w:szCs w:val="24"/>
        </w:rPr>
        <w:t>POE</w:t>
      </w:r>
      <w:r>
        <w:rPr>
          <w:rFonts w:hint="eastAsia" w:ascii="宋体" w:hAnsi="宋体" w:eastAsia="宋体" w:cs="宋体"/>
          <w:sz w:val="24"/>
          <w:szCs w:val="24"/>
        </w:rPr>
        <w:t>供电的电子设备，通过同一个布线点位获得可靠的直流电源与宽带网络，布线的标准化程度高、安全性高，相对过去的电子设备敷设电源线与信号线更节约管线、便于施工安装，更适应灵活调整融入互联网与物联网，而且</w:t>
      </w:r>
      <w:r>
        <w:rPr>
          <w:rFonts w:hint="default" w:ascii="Times New Roman" w:hAnsi="Times New Roman" w:eastAsia="宋体" w:cs="Times New Roman"/>
          <w:sz w:val="24"/>
          <w:szCs w:val="24"/>
        </w:rPr>
        <w:t>POE</w:t>
      </w:r>
      <w:r>
        <w:rPr>
          <w:rFonts w:hint="eastAsia" w:ascii="宋体" w:hAnsi="宋体" w:eastAsia="宋体" w:cs="宋体"/>
          <w:sz w:val="24"/>
          <w:szCs w:val="24"/>
        </w:rPr>
        <w:t>供电也为建筑采用光伏直流直供等新能源绿色电力提供了用武之地</w:t>
      </w:r>
      <w:r>
        <w:rPr>
          <w:rFonts w:hint="eastAsia" w:ascii="宋体" w:hAnsi="宋体" w:cs="宋体"/>
          <w:sz w:val="24"/>
          <w:szCs w:val="24"/>
          <w:lang w:eastAsia="zh-CN"/>
        </w:rPr>
        <w:t>，</w:t>
      </w:r>
      <w:r>
        <w:rPr>
          <w:rFonts w:hint="eastAsia" w:ascii="宋体" w:hAnsi="宋体" w:eastAsia="宋体" w:cs="宋体"/>
          <w:sz w:val="24"/>
          <w:szCs w:val="24"/>
        </w:rPr>
        <w:t>是效果较为明显的减碳手段。</w:t>
      </w:r>
    </w:p>
    <w:p w14:paraId="5D7A5ED1">
      <w:pPr>
        <w:numPr>
          <w:ilvl w:val="255"/>
          <w:numId w:val="0"/>
        </w:num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本条的评价方法为：预评价查阅电气设计说明、相关系统图等设计文件；评价查阅相关竣工图，现场核查申报项对应的场所和设备的运行情况。</w:t>
      </w:r>
    </w:p>
    <w:p w14:paraId="72C4FFB6">
      <w:pPr>
        <w:numPr>
          <w:ilvl w:val="255"/>
          <w:numId w:val="0"/>
        </w:numPr>
        <w:ind w:firstLine="420" w:firstLineChars="200"/>
        <w:rPr>
          <w:rFonts w:ascii="仿宋" w:hAnsi="仿宋" w:eastAsia="仿宋" w:cs="仿宋"/>
        </w:rPr>
      </w:pPr>
    </w:p>
    <w:p w14:paraId="0DC14C17">
      <w:pPr>
        <w:numPr>
          <w:ilvl w:val="255"/>
          <w:numId w:val="0"/>
        </w:numPr>
        <w:ind w:firstLine="420" w:firstLineChars="200"/>
        <w:rPr>
          <w:rFonts w:ascii="仿宋" w:hAnsi="仿宋" w:eastAsia="仿宋" w:cs="仿宋"/>
        </w:rPr>
        <w:sectPr>
          <w:footerReference r:id="rId16" w:type="default"/>
          <w:pgSz w:w="11906" w:h="16838"/>
          <w:pgMar w:top="1440" w:right="1800" w:bottom="1440" w:left="1800" w:header="851" w:footer="992" w:gutter="0"/>
          <w:cols w:space="425" w:num="1"/>
          <w:docGrid w:type="lines" w:linePitch="312" w:charSpace="0"/>
        </w:sectPr>
      </w:pPr>
    </w:p>
    <w:p w14:paraId="022F6557">
      <w:pPr>
        <w:widowControl/>
        <w:snapToGrid w:val="0"/>
        <w:spacing w:line="360" w:lineRule="auto"/>
        <w:jc w:val="both"/>
        <w:outlineLvl w:val="9"/>
        <w:rPr>
          <w:rFonts w:hint="default" w:ascii="Times New Roman" w:hAnsi="Times New Roman" w:cs="Times New Roman"/>
          <w:b/>
          <w:bCs w:val="0"/>
          <w:kern w:val="2"/>
          <w:sz w:val="30"/>
          <w:szCs w:val="30"/>
        </w:rPr>
      </w:pPr>
    </w:p>
    <w:p w14:paraId="463E138A">
      <w:pPr>
        <w:widowControl/>
        <w:snapToGrid w:val="0"/>
        <w:spacing w:line="360" w:lineRule="auto"/>
        <w:jc w:val="center"/>
        <w:outlineLvl w:val="0"/>
        <w:rPr>
          <w:rFonts w:hint="default" w:ascii="Times New Roman" w:hAnsi="Times New Roman" w:eastAsia="宋体" w:cs="Times New Roman"/>
          <w:b/>
          <w:bCs w:val="0"/>
          <w:kern w:val="2"/>
          <w:sz w:val="30"/>
          <w:szCs w:val="30"/>
          <w:lang w:eastAsia="zh-CN"/>
        </w:rPr>
      </w:pPr>
      <w:bookmarkStart w:id="285" w:name="_Toc9691"/>
      <w:bookmarkStart w:id="286" w:name="_Toc2855"/>
      <w:r>
        <w:rPr>
          <w:rFonts w:hint="default" w:ascii="Times New Roman" w:hAnsi="Times New Roman" w:cs="Times New Roman"/>
          <w:b/>
          <w:bCs w:val="0"/>
          <w:kern w:val="2"/>
          <w:sz w:val="30"/>
          <w:szCs w:val="30"/>
        </w:rPr>
        <w:t>7　建材与建造</w:t>
      </w:r>
      <w:bookmarkEnd w:id="285"/>
      <w:bookmarkEnd w:id="286"/>
    </w:p>
    <w:p w14:paraId="5B4F1147">
      <w:pPr>
        <w:numPr>
          <w:ilvl w:val="0"/>
          <w:numId w:val="0"/>
        </w:numPr>
        <w:tabs>
          <w:tab w:val="left" w:pos="0"/>
        </w:tabs>
        <w:spacing w:before="0" w:beforeLines="0" w:after="0" w:afterLines="0" w:line="360" w:lineRule="auto"/>
        <w:jc w:val="center"/>
        <w:outlineLvl w:val="1"/>
        <w:rPr>
          <w:rFonts w:hint="eastAsia" w:ascii="黑体" w:hAnsi="黑体" w:eastAsia="黑体" w:cs="黑体"/>
          <w:b/>
          <w:bCs/>
          <w:sz w:val="28"/>
          <w:szCs w:val="28"/>
        </w:rPr>
      </w:pPr>
      <w:bookmarkStart w:id="287" w:name="_Toc961"/>
      <w:bookmarkStart w:id="288" w:name="_Toc9653"/>
      <w:r>
        <w:rPr>
          <w:rFonts w:hint="default" w:ascii="Times New Roman" w:hAnsi="Times New Roman" w:eastAsia="黑体" w:cs="Times New Roman"/>
          <w:b/>
          <w:bCs/>
          <w:sz w:val="28"/>
          <w:szCs w:val="28"/>
        </w:rPr>
        <w:t>7.1</w:t>
      </w:r>
      <w:r>
        <w:rPr>
          <w:rFonts w:hint="eastAsia" w:ascii="黑体" w:hAnsi="黑体" w:eastAsia="黑体" w:cs="黑体"/>
          <w:b/>
          <w:bCs/>
          <w:sz w:val="28"/>
          <w:szCs w:val="28"/>
        </w:rPr>
        <w:t>　控制项</w:t>
      </w:r>
      <w:bookmarkEnd w:id="287"/>
      <w:bookmarkEnd w:id="288"/>
    </w:p>
    <w:p w14:paraId="43C015E6">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7.1.1</w:t>
      </w:r>
      <w:r>
        <w:rPr>
          <w:rFonts w:hint="eastAsia" w:ascii="宋体" w:hAnsi="宋体" w:cs="宋体"/>
          <w:sz w:val="24"/>
          <w:szCs w:val="24"/>
        </w:rPr>
        <w:t>　</w:t>
      </w:r>
      <w:r>
        <w:rPr>
          <w:rFonts w:hint="eastAsia" w:ascii="宋体" w:hAnsi="宋体" w:eastAsia="宋体" w:cs="宋体"/>
          <w:sz w:val="24"/>
          <w:szCs w:val="24"/>
        </w:rPr>
        <w:t>本条适用于预评价和评价。</w:t>
      </w:r>
    </w:p>
    <w:p w14:paraId="3A616BD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既有工业建筑民用化低碳改造前的检测、评估鉴定工作是制定改造方案的重要依据，也是确保安全改造的必要手段。由于工业建筑民用化改造的特殊性，既有工业建筑改造前需依据民用建筑的相关技术要求进行检测及鉴定，包括结构、附属设施等。</w:t>
      </w:r>
    </w:p>
    <w:p w14:paraId="364E1D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本条的评价方法为：预评价和评价查阅相关检测和鉴定文件。</w:t>
      </w:r>
    </w:p>
    <w:p w14:paraId="272953C6">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7.1.2</w:t>
      </w:r>
      <w:r>
        <w:rPr>
          <w:rFonts w:hint="eastAsia" w:ascii="宋体" w:hAnsi="宋体" w:cs="宋体"/>
          <w:sz w:val="24"/>
          <w:szCs w:val="24"/>
        </w:rPr>
        <w:t>　</w:t>
      </w:r>
      <w:r>
        <w:rPr>
          <w:rFonts w:hint="eastAsia" w:ascii="宋体" w:hAnsi="宋体" w:eastAsia="宋体" w:cs="宋体"/>
          <w:sz w:val="24"/>
          <w:szCs w:val="24"/>
        </w:rPr>
        <w:t>本条适用于预评价和评价。</w:t>
      </w:r>
    </w:p>
    <w:p w14:paraId="7DDEACA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一些建筑材料及制品在使用过程中不断暴露出问题，已被证明不适宜在建筑工程中使用。工业建筑民用化低碳改造中不应采用国家和地方有关主管部门向社会公布禁止和限制使用的建筑材料及制品。</w:t>
      </w:r>
    </w:p>
    <w:p w14:paraId="441D82E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本条的评价方法为：预评价查阅相关设计文件；评价查阅相关竣工图、材料结算清单。</w:t>
      </w:r>
    </w:p>
    <w:p w14:paraId="38519825">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7.1.3</w:t>
      </w:r>
      <w:r>
        <w:rPr>
          <w:rFonts w:hint="eastAsia" w:ascii="宋体" w:hAnsi="宋体" w:cs="宋体"/>
          <w:sz w:val="24"/>
          <w:szCs w:val="24"/>
        </w:rPr>
        <w:t>　</w:t>
      </w:r>
      <w:r>
        <w:rPr>
          <w:rFonts w:hint="eastAsia" w:ascii="宋体" w:hAnsi="宋体" w:eastAsia="宋体" w:cs="宋体"/>
          <w:sz w:val="24"/>
          <w:szCs w:val="24"/>
        </w:rPr>
        <w:t>本条适用于预评价和评价。</w:t>
      </w:r>
    </w:p>
    <w:p w14:paraId="2E2EBC1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预拌混凝土与现场搅拌混凝土相比，预拌混凝土产品性能稳定，易于保证工程质量，且采用预拌混凝土能够减少施工现场噪声和粉尘污染，节约能源、资源，减少材料损耗。现场拌制砂浆施工后经常出现空鼓、龟裂等质量问题，工程返修率高。预拌砂浆是由专业化工厂规模化生产的，可以很好地满足砂浆保水性、和易性、强度和耐久性需求，减少环境污染、材料损耗小、施工效率高、工程返修率低。</w:t>
      </w:r>
    </w:p>
    <w:p w14:paraId="36D6490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本条的评价方法为：预评价查阅相关设计文件；评价查阅相关竣工图、材料结算清单。</w:t>
      </w:r>
    </w:p>
    <w:p w14:paraId="39EE9C1A">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7.1.4</w:t>
      </w:r>
      <w:r>
        <w:rPr>
          <w:rFonts w:hint="eastAsia" w:ascii="宋体" w:hAnsi="宋体" w:cs="宋体"/>
          <w:sz w:val="24"/>
          <w:szCs w:val="24"/>
        </w:rPr>
        <w:t>　</w:t>
      </w:r>
      <w:r>
        <w:rPr>
          <w:rFonts w:hint="eastAsia" w:ascii="宋体" w:hAnsi="宋体" w:eastAsia="宋体" w:cs="宋体"/>
          <w:sz w:val="24"/>
          <w:szCs w:val="24"/>
        </w:rPr>
        <w:t>本条适用于预评价和评价。</w:t>
      </w:r>
    </w:p>
    <w:p w14:paraId="61AD44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既有工业建筑民用化低碳改造时，可充分发挥原有构件的承载能力，尽可能保留原有结构构件，减少不必要的拆除，以减少资源的浪费；对于保留部分，应通过计算确保结构安全，并有针对性的安全措施。连接的可靠性是加固后结构整体工作的关键，设计时应予以足够的重视，主要构件的连接规定可参考现行行业标准《建筑抗震加固技术规程》</w:t>
      </w:r>
      <w:r>
        <w:rPr>
          <w:rFonts w:hint="default" w:ascii="Times New Roman" w:hAnsi="Times New Roman" w:eastAsia="宋体" w:cs="Times New Roman"/>
          <w:sz w:val="24"/>
          <w:szCs w:val="24"/>
        </w:rPr>
        <w:t>JGJ 116</w:t>
      </w:r>
      <w:r>
        <w:rPr>
          <w:rFonts w:hint="eastAsia" w:ascii="宋体" w:hAnsi="宋体" w:eastAsia="宋体" w:cs="宋体"/>
          <w:sz w:val="24"/>
          <w:szCs w:val="24"/>
        </w:rPr>
        <w:t>的相关规定。新增设的抗震墙、柱等竖向构件，不仅要传递竖向荷载，而且是直接抵抗水平地震作用的主要构件，因此，这类构件自上向下连续落到基础上，不允许直接支撑在楼层梁板上。</w:t>
      </w:r>
    </w:p>
    <w:p w14:paraId="779FFE7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本条的评价方法为：预评价查阅相关设计文件；评价查阅相关竣工图、结构鉴定报告和结构相关规范。</w:t>
      </w:r>
    </w:p>
    <w:p w14:paraId="0767B42C">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7.1.5</w:t>
      </w:r>
      <w:r>
        <w:rPr>
          <w:rFonts w:hint="eastAsia" w:ascii="宋体" w:hAnsi="宋体" w:cs="宋体"/>
          <w:sz w:val="24"/>
          <w:szCs w:val="24"/>
        </w:rPr>
        <w:t>　</w:t>
      </w:r>
      <w:r>
        <w:rPr>
          <w:rFonts w:hint="eastAsia" w:ascii="宋体" w:hAnsi="宋体" w:eastAsia="宋体" w:cs="宋体"/>
          <w:sz w:val="24"/>
          <w:szCs w:val="24"/>
        </w:rPr>
        <w:t>本条适用于评价。</w:t>
      </w:r>
    </w:p>
    <w:p w14:paraId="3356A55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既有工业建筑民用化低碳改造施工前，需编制施工组织设计方案。编制时，应进行整体策划，协同建筑、结构、机电、装饰装修等专业要求；并对特殊情况下的施工情况编制专项施工方案，并通过专家评审。</w:t>
      </w:r>
    </w:p>
    <w:p w14:paraId="593EA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属于“四新”即新技术、新材料、新工艺、新设备的，应进行专家论证，论证通过后才能进行施工。</w:t>
      </w:r>
    </w:p>
    <w:p w14:paraId="1713FDB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施工组织设计方案编制时，还应结合既有建筑特点，配置与改造施工技术匹配的项目部机构和施工人员，对施工作业人员进行相关知识和技能培训，并向管理人员进行方案交底、对施工作业人员进行安全技术交底。</w:t>
      </w:r>
    </w:p>
    <w:p w14:paraId="2426F10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施工组织设计的内容应符合现行国家标准、法律法规的规定。</w:t>
      </w:r>
    </w:p>
    <w:p w14:paraId="2415FC1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本条的评价方法为：评价查阅施工组织设计文件。</w:t>
      </w:r>
    </w:p>
    <w:p w14:paraId="69935AD5">
      <w:pPr>
        <w:numPr>
          <w:ilvl w:val="0"/>
          <w:numId w:val="0"/>
        </w:numPr>
        <w:tabs>
          <w:tab w:val="left" w:pos="0"/>
        </w:tabs>
        <w:spacing w:before="0" w:beforeLines="0" w:after="0" w:afterLines="0" w:line="360" w:lineRule="auto"/>
        <w:jc w:val="center"/>
        <w:outlineLvl w:val="1"/>
        <w:rPr>
          <w:rFonts w:hint="eastAsia" w:ascii="黑体" w:hAnsi="黑体" w:eastAsia="黑体" w:cs="黑体"/>
          <w:b/>
          <w:bCs/>
          <w:sz w:val="28"/>
          <w:szCs w:val="28"/>
        </w:rPr>
      </w:pPr>
      <w:bookmarkStart w:id="289" w:name="_Toc8861"/>
      <w:bookmarkStart w:id="290" w:name="_Toc20089"/>
      <w:r>
        <w:rPr>
          <w:rFonts w:hint="default" w:ascii="Times New Roman" w:hAnsi="Times New Roman" w:eastAsia="黑体" w:cs="Times New Roman"/>
          <w:b/>
          <w:bCs/>
          <w:sz w:val="28"/>
          <w:szCs w:val="28"/>
        </w:rPr>
        <w:t>7.2</w:t>
      </w:r>
      <w:r>
        <w:rPr>
          <w:rFonts w:hint="eastAsia" w:ascii="黑体" w:hAnsi="黑体" w:eastAsia="黑体" w:cs="黑体"/>
          <w:b/>
          <w:bCs/>
          <w:sz w:val="28"/>
          <w:szCs w:val="28"/>
        </w:rPr>
        <w:t>　评分项</w:t>
      </w:r>
      <w:bookmarkEnd w:id="289"/>
      <w:bookmarkEnd w:id="290"/>
    </w:p>
    <w:p w14:paraId="538178B1">
      <w:pPr>
        <w:pStyle w:val="28"/>
        <w:spacing w:before="0" w:beforeLines="0" w:after="0" w:afterLines="0" w:line="360" w:lineRule="auto"/>
        <w:ind w:firstLine="0" w:firstLineChars="0"/>
        <w:jc w:val="center"/>
        <w:outlineLvl w:val="2"/>
        <w:rPr>
          <w:rFonts w:eastAsia="仿宋" w:cs="Times New Roman"/>
          <w:b/>
          <w:bCs/>
          <w:sz w:val="28"/>
          <w:szCs w:val="28"/>
        </w:rPr>
      </w:pPr>
      <w:r>
        <w:rPr>
          <w:rFonts w:hint="eastAsia" w:cs="Times New Roman"/>
          <w:b/>
          <w:sz w:val="28"/>
          <w:szCs w:val="28"/>
        </w:rPr>
        <w:t>Ⅰ</w:t>
      </w:r>
      <w:r>
        <w:rPr>
          <w:rFonts w:cs="Times New Roman"/>
          <w:b/>
          <w:sz w:val="28"/>
          <w:szCs w:val="28"/>
        </w:rPr>
        <w:t xml:space="preserve"> </w:t>
      </w:r>
      <w:r>
        <w:rPr>
          <w:rFonts w:hint="eastAsia" w:ascii="仿宋" w:hAnsi="仿宋" w:eastAsia="仿宋" w:cs="仿宋"/>
          <w:b/>
          <w:bCs/>
          <w:sz w:val="28"/>
          <w:szCs w:val="28"/>
        </w:rPr>
        <w:t>低碳建材</w:t>
      </w:r>
    </w:p>
    <w:p w14:paraId="1A5C8694">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7.2.1</w:t>
      </w:r>
      <w:r>
        <w:rPr>
          <w:rFonts w:hint="eastAsia" w:ascii="宋体" w:hAnsi="宋体" w:cs="宋体"/>
          <w:sz w:val="24"/>
          <w:szCs w:val="24"/>
        </w:rPr>
        <w:t>　</w:t>
      </w:r>
      <w:r>
        <w:rPr>
          <w:rFonts w:hint="eastAsia" w:ascii="宋体" w:hAnsi="宋体" w:eastAsia="宋体" w:cs="宋体"/>
          <w:sz w:val="24"/>
          <w:szCs w:val="24"/>
        </w:rPr>
        <w:t>本条适用于预评价和评价。</w:t>
      </w:r>
    </w:p>
    <w:p w14:paraId="4F7C5E8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合理选用建筑结构材料，可减小构件的截面尺寸及材料用量，同时也可减轻结构自重，减小地震作用及地基基础的材料消耗，低碳效果显著优于同类建材。本条中建筑结构材料主要指高强度钢筋、高强度混凝土、高强钢材。高强度钢筋包括</w:t>
      </w:r>
      <w:r>
        <w:rPr>
          <w:rFonts w:hint="default" w:ascii="Times New Roman" w:hAnsi="Times New Roman" w:eastAsia="宋体" w:cs="Times New Roman"/>
          <w:sz w:val="24"/>
          <w:szCs w:val="24"/>
        </w:rPr>
        <w:t>400MPa</w:t>
      </w:r>
      <w:r>
        <w:rPr>
          <w:rFonts w:hint="eastAsia" w:ascii="宋体" w:hAnsi="宋体" w:eastAsia="宋体" w:cs="宋体"/>
          <w:sz w:val="24"/>
          <w:szCs w:val="24"/>
        </w:rPr>
        <w:t>级及以上受力普通钢筋，高强度钢材包括现行国家标准《钢结构设计标准》</w:t>
      </w:r>
      <w:r>
        <w:rPr>
          <w:rFonts w:hint="default" w:ascii="Times New Roman" w:hAnsi="Times New Roman" w:eastAsia="宋体" w:cs="Times New Roman"/>
          <w:sz w:val="24"/>
          <w:szCs w:val="24"/>
        </w:rPr>
        <w:t>GB 50017</w:t>
      </w:r>
      <w:r>
        <w:rPr>
          <w:rFonts w:hint="eastAsia" w:ascii="宋体" w:hAnsi="宋体" w:eastAsia="宋体" w:cs="宋体"/>
          <w:sz w:val="24"/>
          <w:szCs w:val="24"/>
        </w:rPr>
        <w:t>规定的</w:t>
      </w:r>
      <w:r>
        <w:rPr>
          <w:rFonts w:hint="default" w:ascii="Times New Roman" w:hAnsi="Times New Roman" w:eastAsia="宋体" w:cs="Times New Roman"/>
          <w:sz w:val="24"/>
          <w:szCs w:val="24"/>
        </w:rPr>
        <w:t>Q355</w:t>
      </w:r>
      <w:r>
        <w:rPr>
          <w:rFonts w:hint="eastAsia" w:ascii="宋体" w:hAnsi="宋体" w:eastAsia="宋体" w:cs="宋体"/>
          <w:sz w:val="24"/>
          <w:szCs w:val="24"/>
        </w:rPr>
        <w:t>级以上高强钢材。</w:t>
      </w:r>
    </w:p>
    <w:p w14:paraId="0FC00ED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材料用量比例应按以下规则进行计算：</w:t>
      </w:r>
    </w:p>
    <w:p w14:paraId="7B0FF57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1</w:t>
      </w:r>
      <w:r>
        <w:rPr>
          <w:rFonts w:hint="eastAsia" w:ascii="宋体" w:hAnsi="宋体" w:eastAsia="宋体" w:cs="宋体"/>
          <w:sz w:val="24"/>
          <w:szCs w:val="24"/>
        </w:rPr>
        <w:t>款，对于混凝土结构，需计算高强度钢筋比例、成型钢筋用量比例。</w:t>
      </w:r>
    </w:p>
    <w:p w14:paraId="413BC23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2</w:t>
      </w:r>
      <w:r>
        <w:rPr>
          <w:rFonts w:hint="eastAsia" w:ascii="宋体" w:hAnsi="宋体" w:eastAsia="宋体" w:cs="宋体"/>
          <w:sz w:val="24"/>
          <w:szCs w:val="24"/>
        </w:rPr>
        <w:t>款，对于钢结构，需计算高强钢材比例、螺栓连接节点数量比例、热轧型钢的数量比例。</w:t>
      </w:r>
    </w:p>
    <w:p w14:paraId="3E13E9F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对于混合结构，除计算以上材料之外，还需计算建筑结构比例，并取平均值。</w:t>
      </w:r>
    </w:p>
    <w:p w14:paraId="05B5358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本条的评价方法为：预评价查阅施工图设计资料及相关计算书；评价查阅施工图竣工资料及相关计算书。</w:t>
      </w:r>
    </w:p>
    <w:p w14:paraId="28FC54D9">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7.2.2</w:t>
      </w:r>
      <w:r>
        <w:rPr>
          <w:rFonts w:hint="eastAsia" w:ascii="宋体" w:hAnsi="宋体" w:cs="宋体"/>
          <w:sz w:val="24"/>
          <w:szCs w:val="24"/>
        </w:rPr>
        <w:t>　</w:t>
      </w:r>
      <w:r>
        <w:rPr>
          <w:rFonts w:hint="eastAsia" w:ascii="宋体" w:hAnsi="宋体" w:eastAsia="宋体" w:cs="宋体"/>
          <w:sz w:val="24"/>
          <w:szCs w:val="24"/>
        </w:rPr>
        <w:t>本条适用于预评价和评价。</w:t>
      </w:r>
    </w:p>
    <w:p w14:paraId="49F1CEB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采用高耐久性材料可有效延长建筑使用寿命，减少运营期间的维护维修，对材料节约及环境保护具有重要意义。</w:t>
      </w:r>
    </w:p>
    <w:p w14:paraId="7D6D7C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1</w:t>
      </w:r>
      <w:r>
        <w:rPr>
          <w:rFonts w:hint="eastAsia" w:ascii="宋体" w:hAnsi="宋体" w:eastAsia="宋体" w:cs="宋体"/>
          <w:sz w:val="24"/>
          <w:szCs w:val="24"/>
        </w:rPr>
        <w:t>款，高耐久性混凝土指满足设计要求下，结合具体使用环境，对抗渗性能、抗硫酸盐侵蚀性能、抗氯离子渗透性能、抗碳化性能及早期抗裂性能等耐久性指标提出合理要求的混凝土，并需满足《混凝土耐久性检验评定标准》</w:t>
      </w:r>
      <w:r>
        <w:rPr>
          <w:rFonts w:hint="default" w:ascii="Times New Roman" w:hAnsi="Times New Roman" w:eastAsia="宋体" w:cs="Times New Roman"/>
          <w:sz w:val="24"/>
          <w:szCs w:val="24"/>
        </w:rPr>
        <w:t>JGJ/T 193</w:t>
      </w:r>
      <w:r>
        <w:rPr>
          <w:rFonts w:hint="eastAsia" w:ascii="宋体" w:hAnsi="宋体" w:eastAsia="宋体" w:cs="宋体"/>
          <w:sz w:val="24"/>
          <w:szCs w:val="24"/>
        </w:rPr>
        <w:t>规定的相关要求；耐候结构钢是指符合现行国家标准《耐候结构钢》</w:t>
      </w:r>
      <w:r>
        <w:rPr>
          <w:rFonts w:hint="default" w:ascii="Times New Roman" w:hAnsi="Times New Roman" w:eastAsia="宋体" w:cs="Times New Roman"/>
          <w:sz w:val="24"/>
          <w:szCs w:val="24"/>
        </w:rPr>
        <w:t>GB/T 4171</w:t>
      </w:r>
      <w:r>
        <w:rPr>
          <w:rFonts w:hint="eastAsia" w:ascii="宋体" w:hAnsi="宋体" w:eastAsia="宋体" w:cs="宋体"/>
          <w:sz w:val="24"/>
          <w:szCs w:val="24"/>
        </w:rPr>
        <w:t>要求的钢材；耐候性防腐涂料是指符合现行行业标准《建筑用钢结构防腐涂料》</w:t>
      </w:r>
      <w:r>
        <w:rPr>
          <w:rFonts w:hint="default" w:ascii="Times New Roman" w:hAnsi="Times New Roman" w:eastAsia="宋体" w:cs="Times New Roman"/>
          <w:sz w:val="24"/>
          <w:szCs w:val="24"/>
        </w:rPr>
        <w:t>JG/T 224</w:t>
      </w:r>
      <w:r>
        <w:rPr>
          <w:rFonts w:hint="eastAsia" w:ascii="宋体" w:hAnsi="宋体" w:eastAsia="宋体" w:cs="宋体"/>
          <w:sz w:val="24"/>
          <w:szCs w:val="24"/>
        </w:rPr>
        <w:t>的</w:t>
      </w:r>
      <w:r>
        <w:rPr>
          <w:rFonts w:hint="default" w:ascii="Times New Roman" w:hAnsi="Times New Roman" w:eastAsia="宋体" w:cs="Times New Roman"/>
          <w:sz w:val="24"/>
          <w:szCs w:val="24"/>
        </w:rPr>
        <w:t>Ⅱ</w:t>
      </w:r>
      <w:r>
        <w:rPr>
          <w:rFonts w:hint="eastAsia" w:ascii="宋体" w:hAnsi="宋体" w:eastAsia="宋体" w:cs="宋体"/>
          <w:sz w:val="24"/>
          <w:szCs w:val="24"/>
        </w:rPr>
        <w:t>型面漆和长效型底漆；防腐木材、耐久木材及耐久木制品应符合现行国家标准《木材耐久性能》</w:t>
      </w:r>
      <w:r>
        <w:rPr>
          <w:rFonts w:hint="default" w:ascii="Times New Roman" w:hAnsi="Times New Roman" w:eastAsia="宋体" w:cs="Times New Roman"/>
          <w:sz w:val="24"/>
          <w:szCs w:val="24"/>
        </w:rPr>
        <w:t>GB/T 13942</w:t>
      </w:r>
      <w:r>
        <w:rPr>
          <w:rFonts w:hint="eastAsia" w:ascii="宋体" w:hAnsi="宋体" w:eastAsia="宋体" w:cs="宋体"/>
          <w:sz w:val="24"/>
          <w:szCs w:val="24"/>
        </w:rPr>
        <w:t>及《木结构设计标准》</w:t>
      </w:r>
      <w:r>
        <w:rPr>
          <w:rFonts w:hint="default" w:ascii="Times New Roman" w:hAnsi="Times New Roman" w:eastAsia="宋体" w:cs="Times New Roman"/>
          <w:sz w:val="24"/>
          <w:szCs w:val="24"/>
        </w:rPr>
        <w:t>GB 50005</w:t>
      </w:r>
      <w:r>
        <w:rPr>
          <w:rFonts w:hint="eastAsia" w:ascii="宋体" w:hAnsi="宋体" w:eastAsia="宋体" w:cs="宋体"/>
          <w:sz w:val="24"/>
          <w:szCs w:val="24"/>
        </w:rPr>
        <w:t>等相关要求。</w:t>
      </w:r>
    </w:p>
    <w:p w14:paraId="044C65B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2</w:t>
      </w:r>
      <w:r>
        <w:rPr>
          <w:rFonts w:hint="eastAsia" w:ascii="宋体" w:hAnsi="宋体" w:eastAsia="宋体" w:cs="宋体"/>
          <w:sz w:val="24"/>
          <w:szCs w:val="24"/>
        </w:rPr>
        <w:t>款，粘接材料在一定使用年限后需替换更新，如果使用污染大、难维护及耐久性差的材料，则会在一定程度上增加建筑物的维护难度，同时也会在施工中带来有毒有害物质的排放等问题。对于防水和密封材料的耐久性指标应符合现行国家标准的相关规定。</w:t>
      </w:r>
    </w:p>
    <w:p w14:paraId="4C00ADF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3</w:t>
      </w:r>
      <w:r>
        <w:rPr>
          <w:rFonts w:hint="eastAsia" w:ascii="宋体" w:hAnsi="宋体" w:eastAsia="宋体" w:cs="宋体"/>
          <w:sz w:val="24"/>
          <w:szCs w:val="24"/>
        </w:rPr>
        <w:t>款，外围护系统除应满足使用要求外，尚应与主体结构使用年限相协调，以确保建筑在正常使用和维护下，尽量降低维修及更换频率。</w:t>
      </w:r>
    </w:p>
    <w:p w14:paraId="0F6BA04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本条的评价方法为：预评价查阅施工图设计资料及相关计算书；评价查阅施工图竣工资料及相关计算书。</w:t>
      </w:r>
    </w:p>
    <w:p w14:paraId="1F409BC8">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7.2.3</w:t>
      </w:r>
      <w:r>
        <w:rPr>
          <w:rFonts w:hint="eastAsia" w:ascii="宋体" w:hAnsi="宋体" w:cs="宋体"/>
          <w:sz w:val="24"/>
          <w:szCs w:val="24"/>
        </w:rPr>
        <w:t>　</w:t>
      </w:r>
      <w:r>
        <w:rPr>
          <w:rFonts w:hint="eastAsia" w:ascii="宋体" w:hAnsi="宋体" w:eastAsia="宋体" w:cs="宋体"/>
          <w:sz w:val="24"/>
          <w:szCs w:val="24"/>
        </w:rPr>
        <w:t>本条适用于预评价和评价。</w:t>
      </w:r>
    </w:p>
    <w:p w14:paraId="0DA4695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可再利用材料主要包括拆除后不易损坏变形的制品、部品或型材形式等建筑材料。可再循环材料主要包括金属材料（钢材、铜等）、玻璃、铝合金型材、石膏制品、木材等。利废建材即“以废弃物为原料生产的建筑材料”，是指在满足安全和使用性能的前提下，使用废弃物等作为原材料生产出的建筑材料，其中废弃物主要包括建筑废弃物、工业废料和生活废弃物。在满足使用性能的前提下，鼓励利用建筑废弃混凝土，生产再生骨料，制作成混凝土砌块、水泥制品或配制再生混凝土；鼓励利用工业废料、农作物秸秆、建筑垃圾、淤泥为原料制作成水泥、混凝土、墙体材料、保温材料等建筑材料；鼓励以工业副产品石膏制作成石膏制品；鼓励使用生活废弃物经处理后制成的建筑材料。</w:t>
      </w:r>
    </w:p>
    <w:p w14:paraId="769CB70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本条的评价方法为：预评价查阅施工图设计资料及相关计算书；评价查阅施工图竣工资料及相关计算书。</w:t>
      </w:r>
    </w:p>
    <w:p w14:paraId="6E86470E">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7.2.4</w:t>
      </w:r>
      <w:r>
        <w:rPr>
          <w:rFonts w:hint="eastAsia" w:ascii="宋体" w:hAnsi="宋体" w:cs="宋体"/>
          <w:sz w:val="24"/>
          <w:szCs w:val="24"/>
        </w:rPr>
        <w:t>　</w:t>
      </w:r>
      <w:r>
        <w:rPr>
          <w:rFonts w:hint="eastAsia" w:ascii="宋体" w:hAnsi="宋体" w:eastAsia="宋体" w:cs="宋体"/>
          <w:sz w:val="24"/>
          <w:szCs w:val="24"/>
        </w:rPr>
        <w:t>本条适用于预评价和评价。</w:t>
      </w:r>
    </w:p>
    <w:p w14:paraId="0D5AC5C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绿色建材产品是指在全生命周期内，资源能源消耗少，生态环境影响小，具有“节能、减排、低碳、安全、便利和可循环”特征的高品质建材产品。发展绿色建材是建材工业转型升级的主要方向和供给侧结构性改革的必然选择，是城乡建设绿色发展和美丽乡村建设的重要支撑。</w:t>
      </w:r>
    </w:p>
    <w:p w14:paraId="52E329B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本条的评价方法为：预评价查阅施工图设计资料及相关计算书；评价查阅施工图竣工资料及相关计算书。</w:t>
      </w:r>
    </w:p>
    <w:p w14:paraId="2CFC9F63">
      <w:pPr>
        <w:pStyle w:val="28"/>
        <w:spacing w:before="0" w:beforeLines="0" w:after="0" w:afterLines="0" w:line="360" w:lineRule="auto"/>
        <w:ind w:firstLine="0" w:firstLineChars="0"/>
        <w:jc w:val="center"/>
        <w:outlineLvl w:val="2"/>
        <w:rPr>
          <w:rFonts w:hint="eastAsia" w:ascii="仿宋" w:hAnsi="仿宋" w:eastAsia="仿宋" w:cs="仿宋"/>
          <w:bCs/>
          <w:sz w:val="28"/>
          <w:szCs w:val="28"/>
        </w:rPr>
      </w:pPr>
      <w:r>
        <w:rPr>
          <w:rFonts w:hint="eastAsia" w:cs="Times New Roman"/>
          <w:b/>
          <w:bCs/>
          <w:sz w:val="28"/>
          <w:szCs w:val="28"/>
        </w:rPr>
        <w:t xml:space="preserve">Ⅱ </w:t>
      </w:r>
      <w:r>
        <w:rPr>
          <w:rFonts w:hint="eastAsia" w:ascii="仿宋" w:hAnsi="仿宋" w:eastAsia="仿宋" w:cs="仿宋"/>
          <w:b/>
          <w:sz w:val="28"/>
          <w:szCs w:val="28"/>
        </w:rPr>
        <w:t>低碳结构设计</w:t>
      </w:r>
    </w:p>
    <w:p w14:paraId="47FA6D06">
      <w:pPr>
        <w:pStyle w:val="28"/>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7.2.5</w:t>
      </w:r>
      <w:r>
        <w:rPr>
          <w:rFonts w:hint="eastAsia" w:ascii="宋体" w:hAnsi="宋体" w:cs="宋体"/>
          <w:sz w:val="24"/>
          <w:szCs w:val="24"/>
        </w:rPr>
        <w:t>　</w:t>
      </w:r>
      <w:r>
        <w:rPr>
          <w:rFonts w:hint="eastAsia" w:ascii="宋体" w:hAnsi="宋体" w:eastAsia="宋体" w:cs="宋体"/>
          <w:szCs w:val="24"/>
        </w:rPr>
        <w:t>本条适用于预评价和评价。</w:t>
      </w:r>
    </w:p>
    <w:p w14:paraId="2B0AA7AF">
      <w:pPr>
        <w:pStyle w:val="28"/>
        <w:spacing w:line="360" w:lineRule="auto"/>
        <w:ind w:firstLine="420"/>
        <w:rPr>
          <w:rFonts w:hint="eastAsia" w:ascii="宋体" w:hAnsi="宋体" w:eastAsia="宋体" w:cs="宋体"/>
          <w:sz w:val="24"/>
          <w:szCs w:val="24"/>
        </w:rPr>
      </w:pPr>
      <w:r>
        <w:rPr>
          <w:rFonts w:hint="eastAsia" w:ascii="宋体" w:hAnsi="宋体" w:eastAsia="宋体" w:cs="宋体"/>
          <w:sz w:val="24"/>
          <w:szCs w:val="24"/>
        </w:rPr>
        <w:t>本条中的原结构构件利用率按构件数量计算，原结构构件利用率为改造影响范围内得到利用的构件数量与构件总数量的比例。</w:t>
      </w:r>
    </w:p>
    <w:p w14:paraId="27548BA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本条的评价方法为：预评价查阅施工图设计资料及相关计算书；评价查阅施工图竣工资料及相关计算书。</w:t>
      </w:r>
    </w:p>
    <w:p w14:paraId="6372FE44">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7.2.6</w:t>
      </w:r>
      <w:r>
        <w:rPr>
          <w:rFonts w:hint="eastAsia" w:ascii="宋体" w:hAnsi="宋体" w:cs="宋体"/>
          <w:sz w:val="24"/>
          <w:szCs w:val="24"/>
        </w:rPr>
        <w:t>　</w:t>
      </w:r>
      <w:r>
        <w:rPr>
          <w:rFonts w:hint="eastAsia" w:ascii="宋体" w:hAnsi="宋体" w:eastAsia="宋体" w:cs="宋体"/>
          <w:sz w:val="24"/>
          <w:szCs w:val="24"/>
        </w:rPr>
        <w:t>本条适用于预评价和评价。</w:t>
      </w:r>
    </w:p>
    <w:p w14:paraId="46B76F0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经过大量分析研究，竹结构是低碳甚至是负碳材料，木结构是低碳材料，钢结构虽然碳排放较高，但在全寿命期内较混凝土结构低。因此结构低碳设计应优先选用木、竹结构，其次为钢结构。本条未对木、竹构件的用量提出定量要求，意在其使用还在初级阶段。为鼓励木、竹构件推广使用，部分采用即可得分。</w:t>
      </w:r>
    </w:p>
    <w:p w14:paraId="012D927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本条的评价方法为：预评价查阅施工图设计资料及相关计算书；评价查阅施工图竣工资料及相关计算书。</w:t>
      </w:r>
    </w:p>
    <w:p w14:paraId="5EB00D25">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7.2.7</w:t>
      </w:r>
      <w:r>
        <w:rPr>
          <w:rFonts w:hint="eastAsia" w:ascii="宋体" w:hAnsi="宋体" w:cs="宋体"/>
          <w:sz w:val="24"/>
          <w:szCs w:val="24"/>
        </w:rPr>
        <w:t>　</w:t>
      </w:r>
      <w:r>
        <w:rPr>
          <w:rFonts w:hint="eastAsia" w:ascii="宋体" w:hAnsi="宋体" w:eastAsia="宋体" w:cs="宋体"/>
          <w:sz w:val="24"/>
          <w:szCs w:val="24"/>
        </w:rPr>
        <w:t>本条适用于预评价和评价。</w:t>
      </w:r>
    </w:p>
    <w:p w14:paraId="17E0B7E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纤维复合材料是指以树脂为基材，以纤维为增强材料，并掺加辅助剂，经过一定工艺复合形成的材料。纤维复合材料包括但不限于碳纤维复合材料、玻璃纤维复合材料、芳纶纤维复合材料等。</w:t>
      </w:r>
    </w:p>
    <w:p w14:paraId="1C54786A">
      <w:pPr>
        <w:spacing w:line="360" w:lineRule="auto"/>
        <w:ind w:firstLine="480" w:firstLineChars="200"/>
        <w:rPr>
          <w:rFonts w:hint="eastAsia" w:ascii="宋体" w:hAnsi="宋体" w:eastAsia="宋体" w:cs="宋体"/>
          <w:color w:val="0000FF"/>
          <w:sz w:val="24"/>
          <w:szCs w:val="24"/>
        </w:rPr>
      </w:pPr>
      <w:r>
        <w:rPr>
          <w:rFonts w:hint="eastAsia" w:ascii="宋体" w:hAnsi="宋体" w:eastAsia="宋体" w:cs="宋体"/>
          <w:sz w:val="24"/>
          <w:szCs w:val="24"/>
        </w:rPr>
        <w:t>外包钢材加固及纤维复合材料加固均为工艺较为成熟的干作业施工加固方法，在极大程度上减少了施工作业，操作简便且可靠性较强。纤维复合材料加固还同时具有高强、轻质、耐腐蚀等特点。</w:t>
      </w:r>
    </w:p>
    <w:p w14:paraId="1A1588A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本条的评价方法为：预评价查阅施工图设计资料及相关计算书；评价查阅施工图竣工资料及相关计算书。</w:t>
      </w:r>
    </w:p>
    <w:p w14:paraId="2AC3338E">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7.2.8</w:t>
      </w:r>
      <w:r>
        <w:rPr>
          <w:rFonts w:hint="eastAsia" w:ascii="宋体" w:hAnsi="宋体" w:cs="宋体"/>
          <w:sz w:val="24"/>
          <w:szCs w:val="24"/>
        </w:rPr>
        <w:t>　</w:t>
      </w:r>
      <w:r>
        <w:rPr>
          <w:rFonts w:hint="eastAsia" w:ascii="宋体" w:hAnsi="宋体" w:eastAsia="宋体" w:cs="宋体"/>
          <w:sz w:val="24"/>
          <w:szCs w:val="24"/>
        </w:rPr>
        <w:t>本条适用于预评价和评价。</w:t>
      </w:r>
    </w:p>
    <w:p w14:paraId="0EC4EBB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节点易于拆卸结构形式指可拆装木结构、全螺栓连接钢结构、可拆装混凝土框架结构、可拆装剪力墙结构等。以上结构形式在拆除过程中能极大</w:t>
      </w:r>
      <w:r>
        <w:rPr>
          <w:rFonts w:hint="eastAsia" w:ascii="宋体" w:hAnsi="宋体" w:cs="宋体"/>
          <w:sz w:val="24"/>
          <w:szCs w:val="24"/>
          <w:lang w:eastAsia="zh-CN"/>
        </w:rPr>
        <w:t>地</w:t>
      </w:r>
      <w:r>
        <w:rPr>
          <w:rFonts w:hint="eastAsia" w:ascii="宋体" w:hAnsi="宋体" w:eastAsia="宋体" w:cs="宋体"/>
          <w:sz w:val="24"/>
          <w:szCs w:val="24"/>
        </w:rPr>
        <w:t>节省能源消耗，并提升建筑废弃物再利用层级，通过低碳理念促进固废资源化高效进行。本条未给出定量要求，意在其应用较少，但为鼓励推广使用，故部分采用即可得分。</w:t>
      </w:r>
    </w:p>
    <w:p w14:paraId="2F25ACB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本条的评价方法为：预评价查阅施工图设计资料；评价查阅施工图竣工资料。</w:t>
      </w:r>
    </w:p>
    <w:p w14:paraId="22D0A151">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7.2.9</w:t>
      </w:r>
      <w:r>
        <w:rPr>
          <w:rFonts w:hint="eastAsia" w:ascii="宋体" w:hAnsi="宋体" w:cs="宋体"/>
          <w:sz w:val="24"/>
          <w:szCs w:val="24"/>
        </w:rPr>
        <w:t>　</w:t>
      </w:r>
      <w:r>
        <w:rPr>
          <w:rFonts w:hint="eastAsia" w:ascii="宋体" w:hAnsi="宋体" w:eastAsia="宋体" w:cs="宋体"/>
          <w:sz w:val="24"/>
          <w:szCs w:val="24"/>
        </w:rPr>
        <w:t>本条适用于预评价和评价。</w:t>
      </w:r>
    </w:p>
    <w:p w14:paraId="302FAEA1">
      <w:pPr>
        <w:spacing w:line="360" w:lineRule="auto"/>
        <w:ind w:firstLine="480" w:firstLineChars="200"/>
        <w:rPr>
          <w:rFonts w:hint="eastAsia" w:ascii="宋体" w:hAnsi="宋体" w:eastAsia="宋体" w:cs="宋体"/>
          <w:color w:val="0000FF"/>
          <w:sz w:val="24"/>
          <w:szCs w:val="24"/>
        </w:rPr>
      </w:pPr>
      <w:r>
        <w:rPr>
          <w:rFonts w:hint="eastAsia" w:ascii="宋体" w:hAnsi="宋体" w:eastAsia="宋体" w:cs="宋体"/>
          <w:sz w:val="24"/>
          <w:szCs w:val="24"/>
        </w:rPr>
        <w:t>隔震托换和消能减震技术可以有效地减轻结构和非结构的地震损坏，提高既有工业建筑及其内部设施和人员的地震安全性，增加震后既有工业建筑继续使用的功能，并降低碳排放。</w:t>
      </w:r>
    </w:p>
    <w:p w14:paraId="6C176A1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本条的评价方法为：预评价查阅施工图设计资料及相关计算书；评价查阅施工图竣工资料及相关计算书。</w:t>
      </w:r>
    </w:p>
    <w:p w14:paraId="35DAB1BA">
      <w:pPr>
        <w:pStyle w:val="28"/>
        <w:spacing w:before="0" w:beforeLines="0" w:after="0" w:afterLines="0" w:line="360" w:lineRule="auto"/>
        <w:ind w:firstLine="0" w:firstLineChars="0"/>
        <w:jc w:val="center"/>
        <w:outlineLvl w:val="2"/>
        <w:rPr>
          <w:rFonts w:eastAsia="仿宋" w:cs="Times New Roman"/>
          <w:b/>
          <w:bCs/>
          <w:sz w:val="28"/>
          <w:szCs w:val="28"/>
        </w:rPr>
      </w:pPr>
      <w:r>
        <w:rPr>
          <w:rFonts w:hint="eastAsia" w:cs="Times New Roman"/>
          <w:b/>
          <w:bCs/>
          <w:sz w:val="28"/>
          <w:szCs w:val="28"/>
        </w:rPr>
        <w:t>Ⅲ</w:t>
      </w:r>
      <w:r>
        <w:rPr>
          <w:rFonts w:cs="Times New Roman"/>
          <w:b/>
          <w:bCs/>
          <w:sz w:val="28"/>
          <w:szCs w:val="28"/>
        </w:rPr>
        <w:t xml:space="preserve"> </w:t>
      </w:r>
      <w:r>
        <w:rPr>
          <w:rFonts w:hint="eastAsia" w:ascii="仿宋" w:hAnsi="仿宋" w:eastAsia="仿宋" w:cs="仿宋"/>
          <w:b/>
          <w:bCs/>
          <w:sz w:val="28"/>
          <w:szCs w:val="28"/>
        </w:rPr>
        <w:t>低碳施工</w:t>
      </w:r>
    </w:p>
    <w:p w14:paraId="7CA8BD13">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7.2.10</w:t>
      </w:r>
      <w:r>
        <w:rPr>
          <w:rFonts w:hint="eastAsia" w:ascii="宋体" w:hAnsi="宋体" w:cs="宋体"/>
          <w:sz w:val="24"/>
          <w:szCs w:val="24"/>
        </w:rPr>
        <w:t>　</w:t>
      </w:r>
      <w:r>
        <w:rPr>
          <w:rFonts w:hint="eastAsia" w:ascii="宋体" w:hAnsi="宋体" w:eastAsia="宋体" w:cs="宋体"/>
          <w:sz w:val="24"/>
          <w:szCs w:val="24"/>
        </w:rPr>
        <w:t>本条适用于评价。</w:t>
      </w:r>
    </w:p>
    <w:p w14:paraId="1B7EEE9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鼓励选用本地化建材或就近生产的建材，是减少运输过程资源和能源消耗、降低环境污染的重要手段之一。本条要求就近取材生产的建材所占的比例应大于</w:t>
      </w:r>
      <w:r>
        <w:rPr>
          <w:rFonts w:hint="default" w:ascii="Times New Roman" w:hAnsi="Times New Roman" w:eastAsia="宋体" w:cs="Times New Roman"/>
          <w:sz w:val="24"/>
          <w:szCs w:val="24"/>
        </w:rPr>
        <w:t>60%</w:t>
      </w:r>
      <w:r>
        <w:rPr>
          <w:rFonts w:hint="eastAsia" w:ascii="宋体" w:hAnsi="宋体" w:eastAsia="宋体" w:cs="宋体"/>
          <w:sz w:val="24"/>
          <w:szCs w:val="24"/>
        </w:rPr>
        <w:t>。</w:t>
      </w:r>
      <w:r>
        <w:rPr>
          <w:rFonts w:hint="default" w:ascii="Times New Roman" w:hAnsi="Times New Roman" w:eastAsia="宋体" w:cs="Times New Roman"/>
          <w:sz w:val="24"/>
          <w:szCs w:val="24"/>
        </w:rPr>
        <w:t>500km</w:t>
      </w:r>
      <w:r>
        <w:rPr>
          <w:rFonts w:hint="eastAsia" w:ascii="宋体" w:hAnsi="宋体" w:eastAsia="宋体" w:cs="宋体"/>
          <w:sz w:val="24"/>
          <w:szCs w:val="24"/>
        </w:rPr>
        <w:t>是指建筑材料的最后一个生产工厂或场地到施工现场的运输距离。</w:t>
      </w:r>
    </w:p>
    <w:p w14:paraId="699CCF5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本条的评价方法为：评价查阅施工图竣工资料及相关计算书。</w:t>
      </w:r>
    </w:p>
    <w:p w14:paraId="405E4D77">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7.2.11</w:t>
      </w:r>
      <w:r>
        <w:rPr>
          <w:rFonts w:hint="eastAsia" w:ascii="宋体" w:hAnsi="宋体" w:cs="宋体"/>
          <w:sz w:val="24"/>
          <w:szCs w:val="24"/>
        </w:rPr>
        <w:t>　</w:t>
      </w:r>
      <w:r>
        <w:rPr>
          <w:rFonts w:hint="eastAsia" w:ascii="宋体" w:hAnsi="宋体" w:eastAsia="宋体" w:cs="宋体"/>
          <w:sz w:val="24"/>
          <w:szCs w:val="24"/>
        </w:rPr>
        <w:t>本条适用于评价。</w:t>
      </w:r>
    </w:p>
    <w:p w14:paraId="01A3168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按使用用途、付费或管理单元情况，对不同的单元分别设置用水计量装置，统计用水量，并据此实行计量收费，以实现“用者付费”，达到鼓励行为节水的目的，同时还可统计各种用途的用水量和分析渗漏水量，达到持续改进的目的。各管理单元通常是分别付费，或即使是不分别付费，也可以根据用水计量情况，对不同管理单元进行节水绩效考核，促进行为节水。</w:t>
      </w:r>
    </w:p>
    <w:p w14:paraId="4DB3A5B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1</w:t>
      </w:r>
      <w:r>
        <w:rPr>
          <w:rFonts w:hint="eastAsia" w:ascii="宋体" w:hAnsi="宋体" w:eastAsia="宋体" w:cs="宋体"/>
          <w:sz w:val="24"/>
          <w:szCs w:val="24"/>
        </w:rPr>
        <w:t>款，各用水系统均设置计量装置，并统计出用水量。</w:t>
      </w:r>
    </w:p>
    <w:p w14:paraId="3A20ABD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2</w:t>
      </w:r>
      <w:r>
        <w:rPr>
          <w:rFonts w:hint="eastAsia" w:ascii="宋体" w:hAnsi="宋体" w:eastAsia="宋体" w:cs="宋体"/>
          <w:sz w:val="24"/>
          <w:szCs w:val="24"/>
        </w:rPr>
        <w:t>款，能够按要求统计出用水量得满分。</w:t>
      </w:r>
    </w:p>
    <w:p w14:paraId="70FEEF8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本条的评价方法为：评价查阅施工图竣工资料。</w:t>
      </w:r>
    </w:p>
    <w:p w14:paraId="31B82348">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7.2.12</w:t>
      </w:r>
      <w:r>
        <w:rPr>
          <w:rFonts w:hint="eastAsia" w:ascii="宋体" w:hAnsi="宋体" w:cs="宋体"/>
          <w:sz w:val="24"/>
          <w:szCs w:val="24"/>
        </w:rPr>
        <w:t>　</w:t>
      </w:r>
      <w:r>
        <w:rPr>
          <w:rFonts w:hint="eastAsia" w:ascii="宋体" w:hAnsi="宋体" w:eastAsia="宋体" w:cs="宋体"/>
          <w:sz w:val="24"/>
          <w:szCs w:val="24"/>
        </w:rPr>
        <w:t>本条适用于评价。</w:t>
      </w:r>
    </w:p>
    <w:p w14:paraId="312C809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能耗监测系统是一种基于物联网技术的智能化管理系统，用于实时监测和记录建筑物内的能源消耗情况。该系统通过安装在不同区域和设备上的传感器，收集能源消耗数据，并对这些数据进行分析和比较，以提供有关能耗使用情况的有价值信息，提高施工现场能源利用效率和管理水平，优化能源管理策略，实现节能减排的目标。</w:t>
      </w:r>
    </w:p>
    <w:p w14:paraId="2C46443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本条的评价方法为：评价查阅施工图竣工资料。</w:t>
      </w:r>
    </w:p>
    <w:p w14:paraId="53D0DF7E">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7.2.13</w:t>
      </w:r>
      <w:r>
        <w:rPr>
          <w:rFonts w:hint="eastAsia" w:ascii="宋体" w:hAnsi="宋体" w:cs="宋体"/>
          <w:sz w:val="24"/>
          <w:szCs w:val="24"/>
        </w:rPr>
        <w:t>　</w:t>
      </w:r>
      <w:r>
        <w:rPr>
          <w:rFonts w:hint="eastAsia" w:ascii="宋体" w:hAnsi="宋体" w:eastAsia="宋体" w:cs="宋体"/>
          <w:sz w:val="24"/>
          <w:szCs w:val="24"/>
        </w:rPr>
        <w:t>本条适用于评价。</w:t>
      </w:r>
    </w:p>
    <w:p w14:paraId="3EA4DE9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建筑垃圾的利用方式有现场利用和回收再利用等形式。建筑垃圾中的废纸、废金属、废玻璃、废包装物、废石膏、废塑料等均可在一定程度上作为可再生材料进行回收和利用。</w:t>
      </w:r>
    </w:p>
    <w:p w14:paraId="1FC1DCF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3</w:t>
      </w:r>
      <w:r>
        <w:rPr>
          <w:rFonts w:hint="eastAsia" w:ascii="宋体" w:hAnsi="宋体" w:eastAsia="宋体" w:cs="宋体"/>
          <w:sz w:val="24"/>
          <w:szCs w:val="24"/>
        </w:rPr>
        <w:t>款，建筑垃圾综合利用率=（建筑垃圾直接利用量+回填利用量+回收利用量+资源化利用量）/同期建筑总排放产生量，其中建筑垃圾资源化利用量=建筑垃圾就地利用转化为资源化利用产品量+分散或集中处理转化为资源化利用产品量。</w:t>
      </w:r>
    </w:p>
    <w:p w14:paraId="3B62C49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本条的评价方法为：评价查阅施工图竣工资料及相关计算书。</w:t>
      </w:r>
    </w:p>
    <w:p w14:paraId="3C737896">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7.2.14</w:t>
      </w:r>
      <w:r>
        <w:rPr>
          <w:rFonts w:hint="eastAsia" w:ascii="宋体" w:hAnsi="宋体" w:cs="宋体"/>
          <w:sz w:val="24"/>
          <w:szCs w:val="24"/>
        </w:rPr>
        <w:t>　</w:t>
      </w:r>
      <w:r>
        <w:rPr>
          <w:rFonts w:hint="eastAsia" w:ascii="宋体" w:hAnsi="宋体" w:eastAsia="宋体" w:cs="宋体"/>
          <w:sz w:val="24"/>
          <w:szCs w:val="24"/>
        </w:rPr>
        <w:t>本条适用于评价和评价。</w:t>
      </w:r>
    </w:p>
    <w:p w14:paraId="4B9C65C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传统的拆除方法大多采用爆破拆除，但该方法将产生较大的噪音、振动及扬尘，且对场地施工条件较高。同时，考虑到建筑拆除后固废资源化处理的需求及装配式建筑标准化模块化产品化属性特点，鼓励选用先进的拆除施工技术，可以减少由于拆除施工导致的</w:t>
      </w:r>
      <w:r>
        <w:rPr>
          <w:rFonts w:hint="default" w:ascii="Times New Roman" w:hAnsi="Times New Roman" w:eastAsia="宋体" w:cs="Times New Roman"/>
          <w:sz w:val="24"/>
          <w:szCs w:val="24"/>
        </w:rPr>
        <w:t>CO</w:t>
      </w:r>
      <w:r>
        <w:rPr>
          <w:rFonts w:hint="default" w:ascii="Times New Roman" w:hAnsi="Times New Roman" w:eastAsia="宋体" w:cs="Times New Roman"/>
          <w:sz w:val="24"/>
          <w:szCs w:val="24"/>
          <w:vertAlign w:val="subscript"/>
        </w:rPr>
        <w:t>2</w:t>
      </w:r>
      <w:r>
        <w:rPr>
          <w:rFonts w:hint="eastAsia" w:ascii="宋体" w:hAnsi="宋体" w:eastAsia="宋体" w:cs="宋体"/>
          <w:sz w:val="24"/>
          <w:szCs w:val="24"/>
        </w:rPr>
        <w:t>排放与环境污染，如水压拆除法、液压拆除法、静力切割法等，并发挥人工机械协同等不同设备与拆除方法的组合优势，确保建筑结构高回收性。</w:t>
      </w:r>
    </w:p>
    <w:p w14:paraId="15E4683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本条的评价方法为：评价查阅施工图竣工资料。</w:t>
      </w:r>
    </w:p>
    <w:p w14:paraId="65C7F880">
      <w:pPr>
        <w:widowControl/>
        <w:snapToGrid w:val="0"/>
        <w:spacing w:line="360" w:lineRule="auto"/>
        <w:jc w:val="both"/>
        <w:rPr>
          <w:rFonts w:hint="eastAsia" w:ascii="宋体" w:hAnsi="宋体" w:cs="宋体"/>
          <w:b/>
          <w:bCs/>
          <w:kern w:val="44"/>
          <w:sz w:val="24"/>
          <w:szCs w:val="24"/>
        </w:rPr>
        <w:sectPr>
          <w:footerReference r:id="rId17" w:type="default"/>
          <w:pgSz w:w="11906" w:h="16838"/>
          <w:pgMar w:top="1440" w:right="1800" w:bottom="1440" w:left="1800" w:header="851" w:footer="992" w:gutter="0"/>
          <w:cols w:space="425" w:num="1"/>
          <w:docGrid w:type="lines" w:linePitch="312" w:charSpace="0"/>
        </w:sectPr>
      </w:pPr>
    </w:p>
    <w:p w14:paraId="3D2AA3B1">
      <w:pPr>
        <w:widowControl/>
        <w:snapToGrid w:val="0"/>
        <w:spacing w:line="360" w:lineRule="auto"/>
        <w:jc w:val="both"/>
        <w:outlineLvl w:val="9"/>
        <w:rPr>
          <w:rFonts w:ascii="Times New Roman" w:hAnsi="Times New Roman" w:cs="Times New Roman"/>
          <w:b/>
          <w:bCs w:val="0"/>
          <w:kern w:val="2"/>
          <w:sz w:val="30"/>
          <w:szCs w:val="30"/>
        </w:rPr>
      </w:pPr>
    </w:p>
    <w:p w14:paraId="4A714D9B">
      <w:pPr>
        <w:widowControl/>
        <w:snapToGrid w:val="0"/>
        <w:spacing w:line="360" w:lineRule="auto"/>
        <w:jc w:val="center"/>
        <w:outlineLvl w:val="0"/>
        <w:rPr>
          <w:rFonts w:ascii="Times New Roman" w:hAnsi="Times New Roman" w:cs="Times New Roman"/>
          <w:b/>
          <w:bCs w:val="0"/>
          <w:kern w:val="2"/>
          <w:sz w:val="30"/>
          <w:szCs w:val="30"/>
        </w:rPr>
      </w:pPr>
      <w:bookmarkStart w:id="291" w:name="_Toc2893"/>
      <w:bookmarkStart w:id="292" w:name="_Toc15578"/>
      <w:r>
        <w:rPr>
          <w:rFonts w:ascii="Times New Roman" w:hAnsi="Times New Roman" w:cs="Times New Roman"/>
          <w:b/>
          <w:bCs w:val="0"/>
          <w:kern w:val="2"/>
          <w:sz w:val="30"/>
          <w:szCs w:val="30"/>
        </w:rPr>
        <w:t>8</w:t>
      </w:r>
      <w:r>
        <w:rPr>
          <w:rFonts w:hint="default" w:ascii="Times New Roman" w:hAnsi="Times New Roman" w:cs="Times New Roman"/>
          <w:b/>
          <w:bCs w:val="0"/>
          <w:kern w:val="2"/>
          <w:sz w:val="30"/>
          <w:szCs w:val="30"/>
        </w:rPr>
        <w:t>　提高与创新</w:t>
      </w:r>
      <w:bookmarkEnd w:id="291"/>
      <w:bookmarkEnd w:id="292"/>
    </w:p>
    <w:p w14:paraId="23A956B8">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8.0.1</w:t>
      </w:r>
      <w:r>
        <w:rPr>
          <w:rFonts w:hint="eastAsia" w:ascii="宋体" w:hAnsi="宋体" w:eastAsia="宋体" w:cs="宋体"/>
          <w:b/>
          <w:bCs/>
          <w:sz w:val="24"/>
          <w:szCs w:val="24"/>
        </w:rPr>
        <w:t>　</w:t>
      </w:r>
      <w:r>
        <w:rPr>
          <w:rFonts w:hint="eastAsia" w:ascii="宋体" w:hAnsi="宋体" w:eastAsia="宋体" w:cs="宋体"/>
          <w:sz w:val="24"/>
          <w:szCs w:val="24"/>
        </w:rPr>
        <w:t>本条适用于预评价和评价。</w:t>
      </w:r>
    </w:p>
    <w:p w14:paraId="1E38C96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鼓励项目根据所在地的气候、资源特点，在本标准前面条文基础上，通过进一步提升建筑围护结构热工性能、提高供暖空调设备系统能效，以最少的供暖空调能源消耗提供舒适室内环境。</w:t>
      </w:r>
    </w:p>
    <w:p w14:paraId="28ADBAF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实际建筑供暖空调系统的能耗应与现行强制性工程建设规范《建筑节能与可再生能源利用通用规范》</w:t>
      </w:r>
      <w:r>
        <w:rPr>
          <w:rFonts w:hint="default" w:ascii="Times New Roman" w:hAnsi="Times New Roman" w:eastAsia="宋体" w:cs="Times New Roman"/>
          <w:sz w:val="24"/>
          <w:szCs w:val="24"/>
        </w:rPr>
        <w:t>GB</w:t>
      </w:r>
      <w:r>
        <w:rPr>
          <w:rFonts w:hint="eastAsia" w:cs="Times New Roman"/>
          <w:sz w:val="24"/>
          <w:szCs w:val="24"/>
          <w:lang w:val="en-US" w:eastAsia="zh-CN"/>
        </w:rPr>
        <w:t xml:space="preserve"> </w:t>
      </w:r>
      <w:r>
        <w:rPr>
          <w:rFonts w:hint="default" w:ascii="Times New Roman" w:hAnsi="Times New Roman" w:eastAsia="宋体" w:cs="Times New Roman"/>
          <w:sz w:val="24"/>
          <w:szCs w:val="24"/>
        </w:rPr>
        <w:t>55015</w:t>
      </w:r>
      <w:r>
        <w:rPr>
          <w:rFonts w:hint="eastAsia" w:ascii="宋体" w:hAnsi="宋体" w:eastAsia="宋体" w:cs="宋体"/>
          <w:sz w:val="24"/>
          <w:szCs w:val="24"/>
        </w:rPr>
        <w:t>的规定进行比较。对于住宅，可对比强制性工程建设规范《建筑节能与可再生能源利用通用规范》</w:t>
      </w:r>
      <w:r>
        <w:rPr>
          <w:rFonts w:hint="default" w:ascii="Times New Roman" w:hAnsi="Times New Roman" w:eastAsia="宋体" w:cs="Times New Roman"/>
          <w:sz w:val="24"/>
          <w:szCs w:val="24"/>
        </w:rPr>
        <w:t>GB 55015-2021</w:t>
      </w:r>
      <w:r>
        <w:rPr>
          <w:rFonts w:hint="eastAsia" w:ascii="宋体" w:hAnsi="宋体" w:eastAsia="宋体" w:cs="宋体"/>
          <w:sz w:val="24"/>
          <w:szCs w:val="24"/>
        </w:rPr>
        <w:t>附录</w:t>
      </w:r>
      <w:r>
        <w:rPr>
          <w:rFonts w:hint="default" w:ascii="Times New Roman" w:hAnsi="Times New Roman" w:eastAsia="宋体" w:cs="Times New Roman"/>
          <w:sz w:val="24"/>
          <w:szCs w:val="24"/>
        </w:rPr>
        <w:t>A.0.1</w:t>
      </w:r>
      <w:r>
        <w:rPr>
          <w:rFonts w:hint="eastAsia" w:ascii="宋体" w:hAnsi="宋体" w:eastAsia="宋体" w:cs="宋体"/>
          <w:sz w:val="24"/>
          <w:szCs w:val="24"/>
        </w:rPr>
        <w:t>的供暖供冷平均能耗指标；对于类型功能复杂、系统形式差别较大的公共建筑，则既可对比按强制性工程建设规范《建筑节能与可再生能源利用通用规范》</w:t>
      </w:r>
      <w:r>
        <w:rPr>
          <w:rFonts w:hint="default" w:ascii="Times New Roman" w:hAnsi="Times New Roman" w:eastAsia="宋体" w:cs="Times New Roman"/>
          <w:sz w:val="24"/>
          <w:szCs w:val="24"/>
        </w:rPr>
        <w:t>GB 55015-2021</w:t>
      </w:r>
      <w:r>
        <w:rPr>
          <w:rFonts w:hint="eastAsia" w:ascii="宋体" w:hAnsi="宋体" w:eastAsia="宋体" w:cs="宋体"/>
          <w:sz w:val="24"/>
          <w:szCs w:val="24"/>
        </w:rPr>
        <w:t>附录</w:t>
      </w:r>
      <w:r>
        <w:rPr>
          <w:rFonts w:hint="default" w:ascii="Times New Roman" w:hAnsi="Times New Roman" w:eastAsia="宋体" w:cs="Times New Roman"/>
          <w:sz w:val="24"/>
          <w:szCs w:val="24"/>
        </w:rPr>
        <w:t>C</w:t>
      </w:r>
      <w:r>
        <w:rPr>
          <w:rFonts w:hint="eastAsia" w:ascii="宋体" w:hAnsi="宋体" w:eastAsia="宋体" w:cs="宋体"/>
          <w:sz w:val="24"/>
          <w:szCs w:val="24"/>
        </w:rPr>
        <w:t>规定的标准工况下计算的参照建筑供暖供冷能耗，也可对比按现行行业标准《民用建筑绿色性能计算标准》</w:t>
      </w:r>
      <w:r>
        <w:rPr>
          <w:rFonts w:hint="default" w:ascii="Times New Roman" w:hAnsi="Times New Roman" w:eastAsia="宋体" w:cs="Times New Roman"/>
          <w:sz w:val="24"/>
          <w:szCs w:val="24"/>
        </w:rPr>
        <w:t>JGJ/T 449</w:t>
      </w:r>
      <w:r>
        <w:rPr>
          <w:rFonts w:hint="eastAsia" w:ascii="宋体" w:hAnsi="宋体" w:eastAsia="宋体" w:cs="宋体"/>
          <w:sz w:val="24"/>
          <w:szCs w:val="24"/>
        </w:rPr>
        <w:t>计算的参照建筑供暖空调能耗。</w:t>
      </w:r>
    </w:p>
    <w:p w14:paraId="3F08120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围护结构施工详图、暖通空调等专业施工图及相关设计说明）、节能计算书、建筑暖通空调系统能耗节能率分析报告；评价查阅相关竣工图（围护结构施工详图、暖通空调等专业施工图及相关设计说明）、节能计算书、建筑暖通空调系统能耗节能率分析报告。</w:t>
      </w:r>
    </w:p>
    <w:p w14:paraId="2DBB2196">
      <w:pPr>
        <w:spacing w:line="360" w:lineRule="auto"/>
        <w:ind w:firstLine="0" w:firstLineChars="0"/>
        <w:rPr>
          <w:rFonts w:hint="eastAsia" w:ascii="宋体" w:hAnsi="宋体" w:eastAsia="宋体" w:cs="宋体"/>
          <w:sz w:val="24"/>
          <w:szCs w:val="24"/>
          <w:highlight w:val="yellow"/>
        </w:rPr>
      </w:pPr>
      <w:r>
        <w:rPr>
          <w:rFonts w:hint="default" w:ascii="Times New Roman" w:hAnsi="Times New Roman" w:eastAsia="宋体" w:cs="Times New Roman"/>
          <w:b/>
          <w:bCs/>
          <w:sz w:val="24"/>
          <w:szCs w:val="24"/>
        </w:rPr>
        <w:t>8.0.2</w:t>
      </w:r>
      <w:r>
        <w:rPr>
          <w:rFonts w:hint="eastAsia" w:ascii="宋体" w:hAnsi="宋体" w:eastAsia="宋体" w:cs="宋体"/>
          <w:b/>
          <w:bCs/>
          <w:sz w:val="24"/>
          <w:szCs w:val="24"/>
        </w:rPr>
        <w:t>　</w:t>
      </w:r>
      <w:r>
        <w:rPr>
          <w:rFonts w:hint="eastAsia" w:ascii="宋体" w:hAnsi="宋体" w:eastAsia="宋体" w:cs="宋体"/>
          <w:sz w:val="24"/>
          <w:szCs w:val="24"/>
        </w:rPr>
        <w:t>本条适用于预评价和评价。</w:t>
      </w:r>
    </w:p>
    <w:p w14:paraId="25E6A57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建筑信息模型（</w:t>
      </w:r>
      <w:r>
        <w:rPr>
          <w:rFonts w:hint="default" w:ascii="Times New Roman" w:hAnsi="Times New Roman" w:eastAsia="宋体" w:cs="Times New Roman"/>
          <w:sz w:val="24"/>
          <w:szCs w:val="24"/>
        </w:rPr>
        <w:t>BIM</w:t>
      </w:r>
      <w:r>
        <w:rPr>
          <w:rFonts w:hint="eastAsia" w:ascii="宋体" w:hAnsi="宋体" w:eastAsia="宋体" w:cs="宋体"/>
          <w:sz w:val="24"/>
          <w:szCs w:val="24"/>
        </w:rPr>
        <w:t>）是建筑业信息化的重要支撑技术。</w:t>
      </w:r>
      <w:r>
        <w:rPr>
          <w:rFonts w:hint="default" w:ascii="Times New Roman" w:hAnsi="Times New Roman" w:eastAsia="宋体" w:cs="Times New Roman"/>
          <w:sz w:val="24"/>
          <w:szCs w:val="24"/>
        </w:rPr>
        <w:t>BIM</w:t>
      </w:r>
      <w:r>
        <w:rPr>
          <w:rFonts w:hint="eastAsia" w:ascii="宋体" w:hAnsi="宋体" w:eastAsia="宋体" w:cs="宋体"/>
          <w:sz w:val="24"/>
          <w:szCs w:val="24"/>
        </w:rPr>
        <w:t>是在</w:t>
      </w:r>
      <w:r>
        <w:rPr>
          <w:rFonts w:hint="default" w:ascii="Times New Roman" w:hAnsi="Times New Roman" w:eastAsia="宋体" w:cs="Times New Roman"/>
          <w:sz w:val="24"/>
          <w:szCs w:val="24"/>
        </w:rPr>
        <w:t>CAD</w:t>
      </w:r>
      <w:r>
        <w:rPr>
          <w:rFonts w:hint="eastAsia" w:ascii="宋体" w:hAnsi="宋体" w:eastAsia="宋体" w:cs="宋体"/>
          <w:sz w:val="24"/>
          <w:szCs w:val="24"/>
        </w:rPr>
        <w:t>技术基础上发展起来的多维模型信息集成技术。</w:t>
      </w:r>
      <w:r>
        <w:rPr>
          <w:rFonts w:hint="default" w:ascii="Times New Roman" w:hAnsi="Times New Roman" w:eastAsia="宋体" w:cs="Times New Roman"/>
          <w:sz w:val="24"/>
          <w:szCs w:val="24"/>
        </w:rPr>
        <w:t>BIM</w:t>
      </w:r>
      <w:r>
        <w:rPr>
          <w:rFonts w:hint="eastAsia" w:ascii="宋体" w:hAnsi="宋体" w:eastAsia="宋体" w:cs="宋体"/>
          <w:sz w:val="24"/>
          <w:szCs w:val="24"/>
        </w:rPr>
        <w:t>是集成了建筑工程项目各种相关信息的工程数据模型，能使设计人员和工程人员能够对各种建筑信息做出正确的应对，实现数据共享并协同工作。</w:t>
      </w:r>
    </w:p>
    <w:p w14:paraId="3CC0958E">
      <w:pPr>
        <w:spacing w:line="360" w:lineRule="auto"/>
        <w:ind w:firstLine="480" w:firstLineChars="200"/>
        <w:rPr>
          <w:rFonts w:hint="eastAsia" w:ascii="宋体" w:hAnsi="宋体" w:eastAsia="宋体" w:cs="宋体"/>
          <w:sz w:val="24"/>
          <w:szCs w:val="24"/>
        </w:rPr>
      </w:pPr>
      <w:r>
        <w:rPr>
          <w:rFonts w:hint="default" w:ascii="Times New Roman" w:hAnsi="Times New Roman" w:eastAsia="宋体" w:cs="Times New Roman"/>
          <w:sz w:val="24"/>
          <w:szCs w:val="24"/>
        </w:rPr>
        <w:t>BIM</w:t>
      </w:r>
      <w:r>
        <w:rPr>
          <w:rFonts w:hint="eastAsia" w:ascii="宋体" w:hAnsi="宋体" w:eastAsia="宋体" w:cs="宋体"/>
          <w:sz w:val="24"/>
          <w:szCs w:val="24"/>
        </w:rPr>
        <w:t>技术支持建筑工程全寿命期的信息管理和应用。在建筑工程建设的各阶段支持基于</w:t>
      </w:r>
      <w:r>
        <w:rPr>
          <w:rFonts w:hint="default" w:ascii="Times New Roman" w:hAnsi="Times New Roman" w:eastAsia="宋体" w:cs="Times New Roman"/>
          <w:sz w:val="24"/>
          <w:szCs w:val="24"/>
        </w:rPr>
        <w:t>BIM</w:t>
      </w:r>
      <w:r>
        <w:rPr>
          <w:rFonts w:hint="eastAsia" w:ascii="宋体" w:hAnsi="宋体" w:eastAsia="宋体" w:cs="宋体"/>
          <w:sz w:val="24"/>
          <w:szCs w:val="24"/>
        </w:rPr>
        <w:t>的数据交换和共享，可以极大地提升建筑工程信息化整体水平，工程建设各阶段、各专业之间的协作配合可以在更高层次上充分利用各自资源，有效地避免由于数据不通畅带来的重复性劳动，大大提高整个工程的质量和效率，并显著降低成本。因此，</w:t>
      </w:r>
      <w:r>
        <w:rPr>
          <w:rFonts w:hint="default" w:ascii="Times New Roman" w:hAnsi="Times New Roman" w:eastAsia="宋体" w:cs="Times New Roman"/>
          <w:sz w:val="24"/>
          <w:szCs w:val="24"/>
        </w:rPr>
        <w:t>BIM</w:t>
      </w:r>
      <w:r>
        <w:rPr>
          <w:rFonts w:hint="eastAsia" w:ascii="宋体" w:hAnsi="宋体" w:eastAsia="宋体" w:cs="宋体"/>
          <w:sz w:val="24"/>
          <w:szCs w:val="24"/>
        </w:rPr>
        <w:t>中至少应包含规划、建筑、结构、给水排水、暖通、电气等</w:t>
      </w:r>
      <w:r>
        <w:rPr>
          <w:rFonts w:hint="default" w:ascii="Times New Roman" w:hAnsi="Times New Roman" w:eastAsia="宋体" w:cs="Times New Roman"/>
          <w:sz w:val="24"/>
          <w:szCs w:val="24"/>
        </w:rPr>
        <w:t>6</w:t>
      </w:r>
      <w:r>
        <w:rPr>
          <w:rFonts w:hint="eastAsia" w:ascii="宋体" w:hAnsi="宋体" w:eastAsia="宋体" w:cs="宋体"/>
          <w:sz w:val="24"/>
          <w:szCs w:val="24"/>
        </w:rPr>
        <w:t>大专业相关信息。</w:t>
      </w:r>
    </w:p>
    <w:p w14:paraId="06ADB26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评价时，规划设计阶段和运营维护阶段</w:t>
      </w:r>
      <w:r>
        <w:rPr>
          <w:rFonts w:hint="default" w:ascii="Times New Roman" w:hAnsi="Times New Roman" w:eastAsia="宋体" w:cs="Times New Roman"/>
          <w:sz w:val="24"/>
          <w:szCs w:val="24"/>
        </w:rPr>
        <w:t>BIM</w:t>
      </w:r>
      <w:r>
        <w:rPr>
          <w:rFonts w:hint="eastAsia" w:ascii="宋体" w:hAnsi="宋体" w:eastAsia="宋体" w:cs="宋体"/>
          <w:sz w:val="24"/>
          <w:szCs w:val="24"/>
        </w:rPr>
        <w:t>分别至少应涉及</w:t>
      </w:r>
      <w:r>
        <w:rPr>
          <w:rFonts w:hint="default" w:ascii="Times New Roman" w:hAnsi="Times New Roman" w:eastAsia="宋体" w:cs="Times New Roman"/>
          <w:sz w:val="24"/>
          <w:szCs w:val="24"/>
        </w:rPr>
        <w:t>2</w:t>
      </w:r>
      <w:r>
        <w:rPr>
          <w:rFonts w:hint="eastAsia" w:ascii="宋体" w:hAnsi="宋体" w:eastAsia="宋体" w:cs="宋体"/>
          <w:sz w:val="24"/>
          <w:szCs w:val="24"/>
        </w:rPr>
        <w:t>项重点内容应用，施工阶段</w:t>
      </w:r>
      <w:r>
        <w:rPr>
          <w:rFonts w:hint="default" w:ascii="Times New Roman" w:hAnsi="Times New Roman" w:eastAsia="宋体" w:cs="Times New Roman"/>
          <w:sz w:val="24"/>
          <w:szCs w:val="24"/>
        </w:rPr>
        <w:t>BIM</w:t>
      </w:r>
      <w:r>
        <w:rPr>
          <w:rFonts w:hint="eastAsia" w:ascii="宋体" w:hAnsi="宋体" w:eastAsia="宋体" w:cs="宋体"/>
          <w:sz w:val="24"/>
          <w:szCs w:val="24"/>
        </w:rPr>
        <w:t>至少应涉及</w:t>
      </w:r>
      <w:r>
        <w:rPr>
          <w:rFonts w:hint="default" w:ascii="Times New Roman" w:hAnsi="Times New Roman" w:eastAsia="宋体" w:cs="Times New Roman"/>
          <w:sz w:val="24"/>
          <w:szCs w:val="24"/>
        </w:rPr>
        <w:t>3</w:t>
      </w:r>
      <w:r>
        <w:rPr>
          <w:rFonts w:hint="eastAsia" w:ascii="宋体" w:hAnsi="宋体" w:eastAsia="宋体" w:cs="宋体"/>
          <w:sz w:val="24"/>
          <w:szCs w:val="24"/>
        </w:rPr>
        <w:t>项重点内容应用，方可得分。</w:t>
      </w:r>
    </w:p>
    <w:p w14:paraId="013F5C9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一个项目不同阶段出现多个</w:t>
      </w:r>
      <w:r>
        <w:rPr>
          <w:rFonts w:hint="default" w:ascii="Times New Roman" w:hAnsi="Times New Roman" w:eastAsia="宋体" w:cs="Times New Roman"/>
          <w:sz w:val="24"/>
          <w:szCs w:val="24"/>
        </w:rPr>
        <w:t>BIM</w:t>
      </w:r>
      <w:r>
        <w:rPr>
          <w:rFonts w:hint="eastAsia" w:ascii="宋体" w:hAnsi="宋体" w:eastAsia="宋体" w:cs="宋体"/>
          <w:sz w:val="24"/>
          <w:szCs w:val="24"/>
        </w:rPr>
        <w:t>模型，无法有效解决数据信息资源共享问题，因此当在两个及以上阶段应用</w:t>
      </w:r>
      <w:r>
        <w:rPr>
          <w:rFonts w:hint="default" w:ascii="Times New Roman" w:hAnsi="Times New Roman" w:eastAsia="宋体" w:cs="Times New Roman"/>
          <w:sz w:val="24"/>
          <w:szCs w:val="24"/>
        </w:rPr>
        <w:t>BIM</w:t>
      </w:r>
      <w:r>
        <w:rPr>
          <w:rFonts w:hint="eastAsia" w:ascii="宋体" w:hAnsi="宋体" w:eastAsia="宋体" w:cs="宋体"/>
          <w:sz w:val="24"/>
          <w:szCs w:val="24"/>
        </w:rPr>
        <w:t>时，应基于同一</w:t>
      </w:r>
      <w:r>
        <w:rPr>
          <w:rFonts w:hint="default" w:ascii="Times New Roman" w:hAnsi="Times New Roman" w:eastAsia="宋体" w:cs="Times New Roman"/>
          <w:sz w:val="24"/>
          <w:szCs w:val="24"/>
        </w:rPr>
        <w:t>BIM</w:t>
      </w:r>
      <w:r>
        <w:rPr>
          <w:rFonts w:hint="eastAsia" w:ascii="宋体" w:hAnsi="宋体" w:eastAsia="宋体" w:cs="宋体"/>
          <w:sz w:val="24"/>
          <w:szCs w:val="24"/>
        </w:rPr>
        <w:t>模型开展，否则不认为在两个阶段应用了</w:t>
      </w:r>
      <w:r>
        <w:rPr>
          <w:rFonts w:hint="default" w:ascii="Times New Roman" w:hAnsi="Times New Roman" w:eastAsia="宋体" w:cs="Times New Roman"/>
          <w:sz w:val="24"/>
          <w:szCs w:val="24"/>
        </w:rPr>
        <w:t>BIM</w:t>
      </w:r>
      <w:r>
        <w:rPr>
          <w:rFonts w:hint="eastAsia" w:ascii="宋体" w:hAnsi="宋体" w:eastAsia="宋体" w:cs="宋体"/>
          <w:sz w:val="24"/>
          <w:szCs w:val="24"/>
        </w:rPr>
        <w:t>技术。</w:t>
      </w:r>
    </w:p>
    <w:p w14:paraId="1312E150">
      <w:pPr>
        <w:spacing w:line="360" w:lineRule="auto"/>
        <w:ind w:firstLine="480" w:firstLineChars="200"/>
        <w:rPr>
          <w:rFonts w:hint="eastAsia" w:ascii="宋体" w:hAnsi="宋体" w:cs="宋体"/>
          <w:kern w:val="0"/>
          <w:sz w:val="24"/>
          <w:szCs w:val="24"/>
        </w:rPr>
      </w:pPr>
      <w:r>
        <w:rPr>
          <w:rFonts w:hint="eastAsia" w:ascii="宋体" w:hAnsi="宋体" w:eastAsia="宋体" w:cs="宋体"/>
          <w:sz w:val="24"/>
          <w:szCs w:val="24"/>
        </w:rPr>
        <w:t>本条的评价方法为：预评价查阅相关设计文件、</w:t>
      </w:r>
      <w:r>
        <w:rPr>
          <w:rFonts w:hint="default" w:ascii="Times New Roman" w:hAnsi="Times New Roman" w:eastAsia="宋体" w:cs="Times New Roman"/>
          <w:sz w:val="24"/>
          <w:szCs w:val="24"/>
        </w:rPr>
        <w:t>BIM</w:t>
      </w:r>
      <w:r>
        <w:rPr>
          <w:rFonts w:hint="eastAsia" w:ascii="宋体" w:hAnsi="宋体" w:eastAsia="宋体" w:cs="宋体"/>
          <w:sz w:val="24"/>
          <w:szCs w:val="24"/>
        </w:rPr>
        <w:t>技术应用报告；评价查阅相关竣工图、</w:t>
      </w:r>
      <w:r>
        <w:rPr>
          <w:rFonts w:hint="default" w:ascii="Times New Roman" w:hAnsi="Times New Roman" w:eastAsia="宋体" w:cs="Times New Roman"/>
          <w:sz w:val="24"/>
          <w:szCs w:val="24"/>
        </w:rPr>
        <w:t>BIM</w:t>
      </w:r>
      <w:r>
        <w:rPr>
          <w:rFonts w:hint="eastAsia" w:ascii="宋体" w:hAnsi="宋体" w:eastAsia="宋体" w:cs="宋体"/>
          <w:sz w:val="24"/>
          <w:szCs w:val="24"/>
        </w:rPr>
        <w:t>技术成果报告。</w:t>
      </w:r>
    </w:p>
    <w:p w14:paraId="6620DF45">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8.0.3</w:t>
      </w:r>
      <w:r>
        <w:rPr>
          <w:rFonts w:hint="eastAsia" w:ascii="宋体" w:hAnsi="宋体" w:cs="宋体"/>
          <w:sz w:val="24"/>
          <w:szCs w:val="24"/>
        </w:rPr>
        <w:t>　</w:t>
      </w:r>
      <w:r>
        <w:rPr>
          <w:rFonts w:hint="eastAsia" w:ascii="宋体" w:hAnsi="宋体" w:eastAsia="宋体" w:cs="宋体"/>
          <w:sz w:val="24"/>
          <w:szCs w:val="24"/>
        </w:rPr>
        <w:t>本条适用于预评价和评价。</w:t>
      </w:r>
    </w:p>
    <w:p w14:paraId="0237FF0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1</w:t>
      </w:r>
      <w:r>
        <w:rPr>
          <w:rFonts w:hint="eastAsia" w:ascii="宋体" w:hAnsi="宋体" w:eastAsia="宋体" w:cs="宋体"/>
          <w:sz w:val="24"/>
          <w:szCs w:val="24"/>
        </w:rPr>
        <w:t>款，光储直柔是指配置建筑光伏和建筑储能，采用直流配电系统，且用电设备具备功率主动响应功能的新型建筑能源系统。采用光储直柔技术，能够提高建筑光伏的就地消纳能力，实现建筑领域高效利用可再生能源，解决需求侧的随机性，实现与城市电网的友好交互，帮助城市电网“削峰填谷”，在全社会层面取得更显著的节能效益。《国务院关于印发</w:t>
      </w:r>
      <w:r>
        <w:rPr>
          <w:rFonts w:hint="default" w:ascii="Times New Roman" w:hAnsi="Times New Roman" w:eastAsia="宋体" w:cs="Times New Roman"/>
          <w:sz w:val="24"/>
          <w:szCs w:val="24"/>
        </w:rPr>
        <w:t>2030</w:t>
      </w:r>
      <w:r>
        <w:rPr>
          <w:rFonts w:hint="eastAsia" w:ascii="宋体" w:hAnsi="宋体" w:eastAsia="宋体" w:cs="宋体"/>
          <w:sz w:val="24"/>
          <w:szCs w:val="24"/>
        </w:rPr>
        <w:t>年前碳达峰行动方案的通知》明确提出，“加快优化建筑用能结构”，提高建筑终端电气化水平，建设集光伏发电、储能、直流配电、柔性用电于一体的“光储直柔”建筑。因此，为了鼓励更多的建筑应用光储直柔技术，将其列为加分项。</w:t>
      </w:r>
    </w:p>
    <w:p w14:paraId="738F0E6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2</w:t>
      </w:r>
      <w:r>
        <w:rPr>
          <w:rFonts w:hint="eastAsia" w:ascii="宋体" w:hAnsi="宋体" w:eastAsia="宋体" w:cs="宋体"/>
          <w:sz w:val="24"/>
          <w:szCs w:val="24"/>
        </w:rPr>
        <w:t>款，建筑光伏和储能输出的通常为直流电。直接利用直流电既可以减少交直流转换带来的损失，也是实现光储柔的必需保障。因此要求建筑的全部空间或部分空间采用直流配电系统。当仅部分空间采取直流配电时，这部分空间的直流用电负荷设计值不能低于光伏最大发电能力。建筑内的用电设备很多，本款要求直流负载至少包括照明、空调和插座，或直流配电容量不少于建筑总配电的</w:t>
      </w:r>
      <w:r>
        <w:rPr>
          <w:rFonts w:hint="default" w:ascii="Times New Roman" w:hAnsi="Times New Roman" w:eastAsia="宋体" w:cs="Times New Roman"/>
          <w:sz w:val="24"/>
          <w:szCs w:val="24"/>
        </w:rPr>
        <w:t>30%</w:t>
      </w:r>
      <w:r>
        <w:rPr>
          <w:rFonts w:hint="eastAsia" w:ascii="宋体" w:hAnsi="宋体" w:eastAsia="宋体" w:cs="宋体"/>
          <w:sz w:val="24"/>
          <w:szCs w:val="24"/>
        </w:rPr>
        <w:t>，是因为只有更多类型和数量的负载采用直流配电，才有利于实现建筑用电的柔性调节。</w:t>
      </w:r>
    </w:p>
    <w:p w14:paraId="5D85982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时，查阅光储直柔设计文件以及光伏、储能、市电和用电负荷的全年逐时计算书；评价时，除了查阅预评价时的文件资料外，还查阅竣工图、实景照片、光伏发电量记录以及建筑电力交互能力的检测报告等，并现场核查。</w:t>
      </w:r>
    </w:p>
    <w:p w14:paraId="5D513FDF">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8.0.4</w:t>
      </w:r>
      <w:r>
        <w:rPr>
          <w:rFonts w:hint="eastAsia" w:ascii="宋体" w:hAnsi="宋体" w:cs="宋体"/>
          <w:sz w:val="24"/>
          <w:szCs w:val="24"/>
        </w:rPr>
        <w:t>　</w:t>
      </w:r>
      <w:r>
        <w:rPr>
          <w:rFonts w:hint="eastAsia" w:ascii="宋体" w:hAnsi="宋体" w:eastAsia="宋体" w:cs="宋体"/>
          <w:sz w:val="24"/>
          <w:szCs w:val="24"/>
        </w:rPr>
        <w:t>本条适用于预评价和评价。</w:t>
      </w:r>
    </w:p>
    <w:p w14:paraId="5D2186E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采取相关节能减排措施量化降低改造后建筑运行碳排放，做到有的放矢。本条评价时，既有建筑碳排放基准可包括两种方式：1）与改造前既有建筑的运行碳排放进行对比，鼓励改造前运行碳排放较大、条件较差的建筑通过系列减碳措施，大幅降低建筑运行碳排放，达到节能减排的目的；2）参照新建建筑碳排放，即与现行国家标准《建筑节能与可再生能源利用通用规范》</w:t>
      </w:r>
      <w:r>
        <w:rPr>
          <w:rFonts w:hint="default" w:ascii="Times New Roman" w:hAnsi="Times New Roman" w:eastAsia="宋体" w:cs="Times New Roman"/>
          <w:sz w:val="24"/>
          <w:szCs w:val="24"/>
        </w:rPr>
        <w:t>GB 55015</w:t>
      </w:r>
      <w:r>
        <w:rPr>
          <w:rFonts w:hint="eastAsia" w:ascii="宋体" w:hAnsi="宋体" w:eastAsia="宋体" w:cs="宋体"/>
          <w:sz w:val="24"/>
          <w:szCs w:val="24"/>
        </w:rPr>
        <w:t>进行对比，鼓励改造前运行碳排放不大、条件较好的建筑通过小范围的减碳改造，合理优化建筑运行碳排放。</w:t>
      </w:r>
    </w:p>
    <w:p w14:paraId="4E73F17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既有建筑低碳改造时，可根据自身条件合理选择对比基准，上述二者即可满足其一即可得分。</w:t>
      </w:r>
    </w:p>
    <w:p w14:paraId="24C26B4F">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8.0.5</w:t>
      </w:r>
      <w:r>
        <w:rPr>
          <w:rFonts w:hint="eastAsia" w:ascii="宋体" w:hAnsi="宋体" w:cs="宋体"/>
          <w:sz w:val="24"/>
          <w:szCs w:val="24"/>
        </w:rPr>
        <w:t>　</w:t>
      </w:r>
      <w:r>
        <w:rPr>
          <w:rFonts w:hint="eastAsia" w:ascii="宋体" w:hAnsi="宋体" w:eastAsia="宋体" w:cs="宋体"/>
          <w:sz w:val="24"/>
          <w:szCs w:val="24"/>
        </w:rPr>
        <w:t>本条适用于预评价和评价。</w:t>
      </w:r>
    </w:p>
    <w:p w14:paraId="3315891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绿色电力交易与碳排放权交易的产品应为中国国内相关交易机制签发或在中国境内开发的减排项目。</w:t>
      </w:r>
    </w:p>
    <w:p w14:paraId="717CC95C">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color w:val="000000" w:themeColor="text1"/>
          <w:sz w:val="24"/>
          <w:szCs w:val="24"/>
          <w14:textFill>
            <w14:solidFill>
              <w14:schemeClr w14:val="tx1"/>
            </w14:solidFill>
          </w14:textFill>
        </w:rPr>
        <w:t>8.0.6</w:t>
      </w:r>
      <w:r>
        <w:rPr>
          <w:rFonts w:hint="eastAsia" w:ascii="宋体" w:hAnsi="宋体" w:cs="宋体"/>
          <w:sz w:val="24"/>
          <w:szCs w:val="24"/>
        </w:rPr>
        <w:t>　</w:t>
      </w:r>
      <w:r>
        <w:rPr>
          <w:rFonts w:hint="eastAsia" w:ascii="宋体" w:hAnsi="宋体" w:eastAsia="宋体" w:cs="宋体"/>
          <w:sz w:val="24"/>
          <w:szCs w:val="24"/>
        </w:rPr>
        <w:t>本条适用于预评价和评价。</w:t>
      </w:r>
    </w:p>
    <w:p w14:paraId="25CC0F16">
      <w:pPr>
        <w:spacing w:line="360" w:lineRule="auto"/>
        <w:ind w:firstLine="480" w:firstLineChars="200"/>
        <w:rPr>
          <w:rFonts w:hint="eastAsia" w:ascii="宋体" w:hAnsi="宋体" w:eastAsia="宋体" w:cs="宋体"/>
          <w:color w:val="0000FF"/>
          <w:sz w:val="24"/>
          <w:szCs w:val="24"/>
        </w:rPr>
      </w:pPr>
      <w:r>
        <w:rPr>
          <w:rFonts w:hint="eastAsia" w:ascii="宋体" w:hAnsi="宋体" w:eastAsia="宋体" w:cs="宋体"/>
          <w:sz w:val="24"/>
          <w:szCs w:val="24"/>
        </w:rPr>
        <w:t>检测设计施工总承包（</w:t>
      </w:r>
      <w:r>
        <w:rPr>
          <w:rFonts w:hint="default" w:ascii="Times New Roman" w:hAnsi="Times New Roman" w:eastAsia="宋体" w:cs="Times New Roman"/>
          <w:sz w:val="24"/>
          <w:szCs w:val="24"/>
        </w:rPr>
        <w:t>Test, Design and Built</w:t>
      </w:r>
      <w:r>
        <w:rPr>
          <w:rFonts w:hint="eastAsia" w:ascii="宋体" w:hAnsi="宋体" w:eastAsia="宋体" w:cs="宋体"/>
          <w:sz w:val="24"/>
          <w:szCs w:val="24"/>
        </w:rPr>
        <w:t>）模式是指从事工程总承包的企业按照与建设单位签订的合同，对工程项目的检测、设计、采购、施工等实行全过程或若干阶段的承包，并对工程的质量、安全、工期和造价等全面负责。</w:t>
      </w:r>
    </w:p>
    <w:p w14:paraId="438E7609">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color w:val="000000" w:themeColor="text1"/>
          <w:sz w:val="24"/>
          <w:szCs w:val="24"/>
          <w14:textFill>
            <w14:solidFill>
              <w14:schemeClr w14:val="tx1"/>
            </w14:solidFill>
          </w14:textFill>
        </w:rPr>
        <w:t>8.0.7</w:t>
      </w:r>
      <w:r>
        <w:rPr>
          <w:rFonts w:hint="eastAsia" w:ascii="宋体" w:hAnsi="宋体" w:cs="宋体"/>
          <w:sz w:val="24"/>
          <w:szCs w:val="24"/>
        </w:rPr>
        <w:t>　</w:t>
      </w:r>
      <w:r>
        <w:rPr>
          <w:rFonts w:hint="eastAsia" w:ascii="宋体" w:hAnsi="宋体" w:eastAsia="宋体" w:cs="宋体"/>
          <w:sz w:val="24"/>
          <w:szCs w:val="24"/>
        </w:rPr>
        <w:t>建筑垃圾再利用率=（建筑垃圾直接利用量+回填利用量+回收利用量+资源化利用产品量）/同期建筑总排放产生量；资源化利用产品量即为建筑垃圾生产为再生建材利用量，再生建材主要包括但不限于再生材料(如再生粉料、再生骨料、路基材料等)和再生制品(如再生骨料混凝土及其构件、再生骨料砂浆、再生混合料、再生混凝土砖、再生混凝土砌块、再生混凝土墙板、再生装配式建材、环保砖、烧结砖和烧结砌块等)。</w:t>
      </w:r>
    </w:p>
    <w:p w14:paraId="2D47177C">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sz w:val="24"/>
          <w:szCs w:val="24"/>
        </w:rPr>
        <w:t>8.0.8</w:t>
      </w:r>
      <w:r>
        <w:rPr>
          <w:rFonts w:hint="eastAsia" w:ascii="宋体" w:hAnsi="宋体" w:eastAsia="宋体" w:cs="宋体"/>
          <w:b/>
          <w:bCs/>
          <w:sz w:val="24"/>
          <w:szCs w:val="24"/>
        </w:rPr>
        <w:t>　</w:t>
      </w:r>
      <w:r>
        <w:rPr>
          <w:rFonts w:hint="eastAsia" w:ascii="宋体" w:hAnsi="宋体" w:eastAsia="宋体" w:cs="宋体"/>
          <w:sz w:val="24"/>
          <w:szCs w:val="24"/>
        </w:rPr>
        <w:t>本条适用于改造为住宅、宿舍和办公建筑的预评价和评价。</w:t>
      </w:r>
    </w:p>
    <w:p w14:paraId="7DFE76CB">
      <w:pPr>
        <w:spacing w:line="360" w:lineRule="auto"/>
        <w:ind w:firstLine="420"/>
        <w:rPr>
          <w:rFonts w:hint="eastAsia" w:ascii="宋体" w:hAnsi="宋体" w:eastAsia="宋体" w:cs="宋体"/>
          <w:sz w:val="24"/>
          <w:szCs w:val="24"/>
        </w:rPr>
      </w:pPr>
      <w:r>
        <w:rPr>
          <w:rFonts w:hint="eastAsia" w:ascii="宋体" w:hAnsi="宋体" w:eastAsia="宋体" w:cs="宋体"/>
          <w:sz w:val="24"/>
          <w:szCs w:val="24"/>
        </w:rPr>
        <w:t>模块化集成建筑是将建筑拆分为模块化“单元”</w:t>
      </w:r>
      <w:r>
        <w:rPr>
          <w:rFonts w:hint="eastAsia" w:ascii="宋体" w:hAnsi="宋体" w:cs="宋体"/>
          <w:sz w:val="24"/>
          <w:szCs w:val="24"/>
          <w:lang w:eastAsia="zh-CN"/>
        </w:rPr>
        <w:t>，在</w:t>
      </w:r>
      <w:r>
        <w:rPr>
          <w:rFonts w:hint="eastAsia" w:ascii="宋体" w:hAnsi="宋体" w:eastAsia="宋体" w:cs="宋体"/>
          <w:sz w:val="24"/>
          <w:szCs w:val="24"/>
        </w:rPr>
        <w:t>工厂内高效完成模块的结构、</w:t>
      </w:r>
      <w:r>
        <w:rPr>
          <w:rFonts w:hint="eastAsia" w:ascii="宋体" w:hAnsi="宋体" w:cs="宋体"/>
          <w:sz w:val="24"/>
          <w:szCs w:val="24"/>
        </w:rPr>
        <w:fldChar w:fldCharType="begin"/>
      </w:r>
      <w:r>
        <w:rPr>
          <w:rFonts w:hint="eastAsia" w:ascii="宋体" w:hAnsi="宋体" w:cs="宋体"/>
          <w:sz w:val="24"/>
          <w:szCs w:val="24"/>
        </w:rPr>
        <w:instrText xml:space="preserve"> HYPERLINK "https://baike.baidu.com/item/%E8%A3%85%E4%BF%AE/3421693?fromModule=lemma_inlink" \t "https://baike.baidu.com/item/%E6%A8%A1%E5%9D%97%E5%8C%96%E9%9B%86%E6%88%90%E5%BB%BA%E7%AD%91/_blank" </w:instrText>
      </w:r>
      <w:r>
        <w:rPr>
          <w:rFonts w:hint="eastAsia" w:ascii="宋体" w:hAnsi="宋体" w:cs="宋体"/>
          <w:sz w:val="24"/>
          <w:szCs w:val="24"/>
        </w:rPr>
        <w:fldChar w:fldCharType="separate"/>
      </w:r>
      <w:r>
        <w:rPr>
          <w:rFonts w:hint="eastAsia" w:ascii="宋体" w:hAnsi="宋体" w:eastAsia="宋体" w:cs="宋体"/>
          <w:sz w:val="24"/>
          <w:szCs w:val="24"/>
        </w:rPr>
        <w:t>装修</w:t>
      </w:r>
      <w:r>
        <w:rPr>
          <w:rFonts w:hint="eastAsia" w:ascii="宋体" w:hAnsi="宋体" w:eastAsia="宋体" w:cs="宋体"/>
          <w:sz w:val="24"/>
          <w:szCs w:val="24"/>
        </w:rPr>
        <w:fldChar w:fldCharType="end"/>
      </w:r>
      <w:r>
        <w:rPr>
          <w:rFonts w:hint="eastAsia" w:ascii="宋体" w:hAnsi="宋体" w:eastAsia="宋体" w:cs="宋体"/>
          <w:sz w:val="24"/>
          <w:szCs w:val="24"/>
        </w:rPr>
        <w:t>、水电、设备管线、卫浴设施等施工工序，在现场通过可靠连接技术快速组合拼装成建筑整体，这种技术把建筑从工地搬进工厂，大幅缩短工期，减少施工难度，实现了“像造汽车一样造房子”。</w:t>
      </w:r>
    </w:p>
    <w:p w14:paraId="3F7C850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本条的评价方法为：预评价查阅施工图设计资料；评价查阅施工图竣工资料。</w:t>
      </w:r>
    </w:p>
    <w:p w14:paraId="2CDA4030">
      <w:pPr>
        <w:pStyle w:val="43"/>
        <w:spacing w:line="360" w:lineRule="auto"/>
        <w:ind w:firstLine="0" w:firstLineChars="0"/>
        <w:rPr>
          <w:rFonts w:hint="eastAsia" w:ascii="宋体" w:hAnsi="宋体" w:eastAsia="宋体" w:cs="宋体"/>
          <w:b w:val="0"/>
          <w:bCs w:val="0"/>
          <w:color w:val="auto"/>
          <w:sz w:val="24"/>
          <w:szCs w:val="24"/>
        </w:rPr>
      </w:pPr>
      <w:r>
        <w:rPr>
          <w:rFonts w:hint="default" w:ascii="Times New Roman" w:hAnsi="Times New Roman" w:eastAsia="宋体" w:cs="Times New Roman"/>
          <w:b/>
          <w:bCs/>
          <w:color w:val="000000" w:themeColor="text1"/>
          <w:sz w:val="24"/>
          <w:szCs w:val="24"/>
          <w14:textFill>
            <w14:solidFill>
              <w14:schemeClr w14:val="tx1"/>
            </w14:solidFill>
          </w14:textFill>
        </w:rPr>
        <w:t>8.0.9</w:t>
      </w:r>
      <w:r>
        <w:rPr>
          <w:rFonts w:hint="eastAsia" w:ascii="宋体" w:hAnsi="宋体" w:eastAsia="宋体" w:cs="宋体"/>
          <w:b/>
          <w:bCs/>
          <w:color w:val="000000" w:themeColor="text1"/>
          <w:sz w:val="24"/>
          <w:szCs w:val="24"/>
          <w14:textFill>
            <w14:solidFill>
              <w14:schemeClr w14:val="tx1"/>
            </w14:solidFill>
          </w14:textFill>
        </w:rPr>
        <w:t xml:space="preserve">  </w:t>
      </w:r>
      <w:r>
        <w:rPr>
          <w:rFonts w:hint="eastAsia" w:ascii="宋体" w:hAnsi="宋体" w:eastAsia="宋体" w:cs="宋体"/>
          <w:b w:val="0"/>
          <w:bCs w:val="0"/>
          <w:color w:val="auto"/>
          <w:sz w:val="24"/>
          <w:szCs w:val="24"/>
        </w:rPr>
        <w:t>本条适用于预评价和评价。</w:t>
      </w:r>
    </w:p>
    <w:p w14:paraId="131758E9">
      <w:pPr>
        <w:pStyle w:val="45"/>
        <w:spacing w:line="360" w:lineRule="auto"/>
        <w:ind w:firstLine="42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1</w:t>
      </w:r>
      <w:r>
        <w:rPr>
          <w:rFonts w:hint="eastAsia" w:ascii="宋体" w:hAnsi="宋体" w:eastAsia="宋体" w:cs="宋体"/>
          <w:sz w:val="24"/>
          <w:szCs w:val="24"/>
        </w:rPr>
        <w:t>款，智能化服务系统包括智能环境设备监控系统、智能工作生活服务系统等，具体包括安全报警、环境监测、建筑设备控制、工作生活服务（如会议预约）等系统与平台。</w:t>
      </w:r>
    </w:p>
    <w:p w14:paraId="36E08F06">
      <w:pPr>
        <w:pStyle w:val="45"/>
        <w:spacing w:line="360" w:lineRule="auto"/>
        <w:ind w:firstLine="420"/>
        <w:rPr>
          <w:rFonts w:hint="eastAsia" w:ascii="宋体" w:hAnsi="宋体" w:eastAsia="宋体" w:cs="宋体"/>
          <w:sz w:val="24"/>
          <w:szCs w:val="24"/>
        </w:rPr>
      </w:pPr>
      <w:r>
        <w:rPr>
          <w:rFonts w:hint="eastAsia" w:ascii="宋体" w:hAnsi="宋体" w:eastAsia="宋体" w:cs="宋体"/>
          <w:sz w:val="24"/>
          <w:szCs w:val="24"/>
        </w:rPr>
        <w:t>智能化服务系统可将生活或工作事务有关的设施进行集成，构建高效的建筑设施与日常事务的管理系统，提升生活和工作的安全性、便利性、舒适性、艺术性，实现更加便捷适用的生活和工作环境，提高用户对低碳建筑的感知度。为保障人员安全，可在主要车道、人行道、楼梯间、休闲活动场所等设有完善的监测系统。为体现建筑使用便利性，本款要求建筑内各部分均应设置智能化服务系统终端设备。对于项目改造交付时未设置而在运行使用后由用户自行购买安装的情况，本条评价时不予认定。</w:t>
      </w:r>
    </w:p>
    <w:p w14:paraId="3B70D691">
      <w:pPr>
        <w:pStyle w:val="45"/>
        <w:spacing w:line="360" w:lineRule="auto"/>
        <w:ind w:firstLine="420"/>
        <w:rPr>
          <w:rFonts w:hint="eastAsia" w:ascii="宋体" w:hAnsi="宋体" w:eastAsia="宋体" w:cs="宋体"/>
          <w:sz w:val="24"/>
          <w:szCs w:val="24"/>
        </w:rPr>
      </w:pPr>
      <w:r>
        <w:rPr>
          <w:rFonts w:hint="eastAsia" w:ascii="宋体" w:hAnsi="宋体" w:eastAsia="宋体" w:cs="宋体"/>
          <w:sz w:val="24"/>
          <w:szCs w:val="24"/>
        </w:rPr>
        <w:t>第</w:t>
      </w:r>
      <w:r>
        <w:rPr>
          <w:rFonts w:hint="default" w:ascii="Times New Roman" w:hAnsi="Times New Roman" w:eastAsia="宋体" w:cs="Times New Roman"/>
          <w:sz w:val="24"/>
          <w:szCs w:val="24"/>
        </w:rPr>
        <w:t>2</w:t>
      </w:r>
      <w:r>
        <w:rPr>
          <w:rFonts w:hint="eastAsia" w:ascii="宋体" w:hAnsi="宋体" w:eastAsia="宋体" w:cs="宋体"/>
          <w:sz w:val="24"/>
          <w:szCs w:val="24"/>
        </w:rPr>
        <w:t>款，智能化服务系统如果仅由物业管理单位来管理和维护的话，其信息更新与扩充的速度和范围一般会受到局限，如果智能化服务系统平台能够与所在的智慧城市（城区、社区）平台对接，则可有效实现信息和数据的共享与互通，大大提高信息更新与扩充的速度和范围，实现相关各方的互惠互利。智慧城市（城区、社区）的智能化服务系统的基本项目一般包括智慧物业管理、电子商务服务等，能够为建筑层面的智能化服务系统提供有力支撑。本款要求至少1个系统项目实现与智慧城市（城区、社区）平台对接。</w:t>
      </w:r>
    </w:p>
    <w:p w14:paraId="3F666032">
      <w:pPr>
        <w:pStyle w:val="45"/>
        <w:spacing w:line="360" w:lineRule="auto"/>
        <w:ind w:firstLine="420"/>
        <w:rPr>
          <w:rFonts w:hint="eastAsia" w:ascii="宋体" w:hAnsi="宋体" w:eastAsia="宋体" w:cs="宋体"/>
          <w:sz w:val="24"/>
          <w:szCs w:val="24"/>
        </w:rPr>
      </w:pPr>
      <w:r>
        <w:rPr>
          <w:rFonts w:hint="eastAsia" w:ascii="宋体" w:hAnsi="宋体" w:eastAsia="宋体" w:cs="宋体"/>
          <w:sz w:val="24"/>
          <w:szCs w:val="24"/>
        </w:rPr>
        <w:t>本条的评价方法为：预评价查阅相关设计文件（环境设备监控系统设计方案、智能化服务平台方案、相关智能化设计图纸、装修图纸）；评价查阅相关竣工图、产品型式检验报告，投入使用的项目尚应查阅管理制度、历史监测数据、运行记录。</w:t>
      </w:r>
    </w:p>
    <w:p w14:paraId="6E380598">
      <w:pPr>
        <w:spacing w:line="360" w:lineRule="auto"/>
        <w:ind w:firstLine="0" w:firstLineChars="0"/>
        <w:rPr>
          <w:rFonts w:hint="eastAsia" w:ascii="宋体" w:hAnsi="宋体" w:eastAsia="宋体" w:cs="宋体"/>
          <w:sz w:val="24"/>
          <w:szCs w:val="24"/>
        </w:rPr>
      </w:pPr>
      <w:r>
        <w:rPr>
          <w:rFonts w:hint="default" w:ascii="Times New Roman" w:hAnsi="Times New Roman" w:eastAsia="宋体" w:cs="Times New Roman"/>
          <w:b/>
          <w:bCs/>
          <w:color w:val="000000" w:themeColor="text1"/>
          <w:sz w:val="24"/>
          <w:szCs w:val="24"/>
          <w14:textFill>
            <w14:solidFill>
              <w14:schemeClr w14:val="tx1"/>
            </w14:solidFill>
          </w14:textFill>
        </w:rPr>
        <w:t>8.0.10</w:t>
      </w:r>
      <w:r>
        <w:rPr>
          <w:rFonts w:hint="eastAsia" w:ascii="宋体" w:hAnsi="宋体" w:eastAsia="宋体" w:cs="宋体"/>
          <w:b/>
          <w:bCs/>
          <w:color w:val="000000" w:themeColor="text1"/>
          <w:sz w:val="24"/>
          <w:szCs w:val="24"/>
          <w14:textFill>
            <w14:solidFill>
              <w14:schemeClr w14:val="tx1"/>
            </w14:solidFill>
          </w14:textFill>
        </w:rPr>
        <w:t xml:space="preserve">  </w:t>
      </w:r>
      <w:r>
        <w:rPr>
          <w:rFonts w:hint="eastAsia" w:ascii="宋体" w:hAnsi="宋体" w:eastAsia="宋体" w:cs="宋体"/>
          <w:sz w:val="24"/>
          <w:szCs w:val="24"/>
        </w:rPr>
        <w:t>本条适用于预评价和评价。</w:t>
      </w:r>
    </w:p>
    <w:p w14:paraId="5D35B04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条主要是对前文未提及的其他技术和管理创新予以鼓励。目的是鼓励和引导项目采用不在本标准所列的低碳建筑评价指标范围内，但可在节约资源、降低碳排放、减少环境污染等方面实现良好性能提升的创新技术和措施，以此降低碳排放水平。</w:t>
      </w:r>
    </w:p>
    <w:p w14:paraId="3FF2446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当某项目采取了创新的技术措施，并提供了足够证据表明该技术措施可有效提高环境友好性，提高资源与能源利用效率，实现可持续发展或具有较大的社会效益时，可参与评审。项目的创新点</w:t>
      </w:r>
      <w:r>
        <w:rPr>
          <w:rFonts w:hint="eastAsia" w:ascii="宋体" w:hAnsi="宋体" w:cs="宋体"/>
          <w:sz w:val="24"/>
          <w:szCs w:val="24"/>
          <w:lang w:val="en-US" w:eastAsia="zh-CN"/>
        </w:rPr>
        <w:t>需</w:t>
      </w:r>
      <w:r>
        <w:rPr>
          <w:rFonts w:hint="eastAsia" w:ascii="宋体" w:hAnsi="宋体" w:cs="宋体"/>
          <w:sz w:val="24"/>
          <w:szCs w:val="24"/>
          <w:lang w:eastAsia="zh-CN"/>
        </w:rPr>
        <w:t>较大的</w:t>
      </w:r>
      <w:r>
        <w:rPr>
          <w:rFonts w:hint="eastAsia" w:ascii="宋体" w:hAnsi="宋体" w:eastAsia="宋体" w:cs="宋体"/>
          <w:sz w:val="24"/>
          <w:szCs w:val="24"/>
        </w:rPr>
        <w:t>超过相应指标的要求，或达到合理指标但具备显著降低成本或提高工效等优点。本条未列出所有的创新项内容，只要申请方能够提供足够相关证明，并通过专家组的评审即可认为满足要求。</w:t>
      </w:r>
    </w:p>
    <w:p w14:paraId="724AB754">
      <w:pPr>
        <w:spacing w:line="360" w:lineRule="auto"/>
        <w:ind w:firstLine="480" w:firstLineChars="200"/>
        <w:rPr>
          <w:rFonts w:hint="eastAsia" w:ascii="宋体" w:hAnsi="宋体" w:eastAsia="宋体" w:cs="宋体"/>
          <w:sz w:val="24"/>
          <w:szCs w:val="24"/>
        </w:rPr>
        <w:sectPr>
          <w:footerReference r:id="rId18" w:type="default"/>
          <w:pgSz w:w="11906" w:h="16838"/>
          <w:pgMar w:top="1440" w:right="1800" w:bottom="1440" w:left="1800" w:header="851" w:footer="992" w:gutter="0"/>
          <w:cols w:space="425" w:num="1"/>
          <w:docGrid w:type="lines" w:linePitch="312" w:charSpace="0"/>
        </w:sectPr>
      </w:pPr>
      <w:r>
        <w:rPr>
          <w:rFonts w:hint="eastAsia" w:ascii="宋体" w:hAnsi="宋体" w:eastAsia="宋体" w:cs="宋体"/>
          <w:sz w:val="24"/>
          <w:szCs w:val="24"/>
        </w:rPr>
        <w:t>本条的评价方法为：预评价查阅相关设计文件、分析论证报告及相关证明材料；评价查阅相关设计文件、分析论证报告及相关证明材料。</w:t>
      </w:r>
    </w:p>
    <w:p w14:paraId="7D965E00">
      <w:pPr>
        <w:spacing w:line="360" w:lineRule="auto"/>
        <w:ind w:firstLine="0" w:firstLineChars="0"/>
        <w:rPr>
          <w:rFonts w:hint="eastAsia"/>
          <w:b/>
          <w:sz w:val="28"/>
        </w:rPr>
      </w:pPr>
    </w:p>
    <w:sectPr>
      <w:footerReference r:id="rId19"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S Mincho">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E3D666">
    <w:pPr>
      <w:snapToGrid w:val="0"/>
      <w:jc w:val="center"/>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81D2D5">
    <w:pPr>
      <w:pStyle w:val="9"/>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055D43">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5EB89">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9F95A6">
    <w:pPr>
      <w:pStyle w:val="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71DCF5">
    <w:pPr>
      <w:pStyle w:val="9"/>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C6FD8B">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5AC6FD8B">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3252F5">
    <w:pPr>
      <w:pStyle w:val="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606ABD">
                          <w:pPr>
                            <w:pStyle w:val="9"/>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05606ABD">
                    <w:pPr>
                      <w:pStyle w:val="9"/>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648DCE">
    <w:pPr>
      <w:pStyle w:val="9"/>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421F5B">
                          <w:pPr>
                            <w:pStyle w:val="9"/>
                            <w:ind w:firstLine="360"/>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75421F5B">
                    <w:pPr>
                      <w:pStyle w:val="9"/>
                      <w:ind w:firstLine="360"/>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1B0DD">
    <w:pPr>
      <w:pStyle w:val="9"/>
      <w:ind w:firstLine="360"/>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E03BC0">
                          <w:pPr>
                            <w:pStyle w:val="9"/>
                            <w:ind w:firstLine="360"/>
                            <w:rPr>
                              <w:rFonts w:hint="eastAsia"/>
                            </w:rPr>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63E03BC0">
                    <w:pPr>
                      <w:pStyle w:val="9"/>
                      <w:ind w:firstLine="360"/>
                      <w:rPr>
                        <w:rFonts w:hint="eastAsia"/>
                      </w:rPr>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B421D">
    <w:pPr>
      <w:pStyle w:val="9"/>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FF852C">
                          <w:pPr>
                            <w:pStyle w:val="9"/>
                            <w:ind w:firstLine="360"/>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13FF852C">
                    <w:pPr>
                      <w:pStyle w:val="9"/>
                      <w:ind w:firstLine="360"/>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B19A10">
    <w:pPr>
      <w:pStyle w:val="9"/>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628AF88">
                          <w:pPr>
                            <w:pStyle w:val="9"/>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dYBIgyAgAAZ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1gEiDICAABlBAAADgAAAAAAAAABACAAAAAfAQAAZHJzL2Uyb0RvYy54bWxQSwUG&#10;AAAAAAYABgBZAQAAwwUAAAAA&#10;">
              <v:fill on="f" focussize="0,0"/>
              <v:stroke on="f" weight="0.5pt"/>
              <v:imagedata o:title=""/>
              <o:lock v:ext="edit" aspectratio="f"/>
              <v:textbox inset="0mm,0mm,0mm,0mm" style="mso-fit-shape-to-text:t;">
                <w:txbxContent>
                  <w:p w14:paraId="3628AF88">
                    <w:pPr>
                      <w:pStyle w:val="9"/>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4E43DD">
    <w:pPr>
      <w:pStyle w:val="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233B966">
                          <w:pPr>
                            <w:pStyle w:val="9"/>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2xRpIyAgAAZQQAAA4AAABkcnMvZTJvRG9jLnhtbK1UzY7TMBC+I/EO&#10;lu80bdGu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99ejdODiwfgUsdYkaahh4mUutKjFdpd&#10;2/PcmeIEms50k+It39QoZct8uGcOo4HysTzhDp9SGqQ0vUVJZdzXf93HeHQMXkoajFpONTaLEvlB&#10;o5MADIPhBmM3GPqgbg1md4KltDyZeOCCHMzSGfUFG7WKOeBimiNTTsNg3oZu3LGRXKxWKQizZ1nY&#10;6gfLI3SUx9vVIUDOpHIUpVMC3YkHTF/qU78pcbz/PKeop3+H5S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XbFGkjICAABlBAAADgAAAAAAAAABACAAAAAfAQAAZHJzL2Uyb0RvYy54bWxQSwUG&#10;AAAAAAYABgBZAQAAwwUAAAAA&#10;">
              <v:fill on="f" focussize="0,0"/>
              <v:stroke on="f" weight="0.5pt"/>
              <v:imagedata o:title=""/>
              <o:lock v:ext="edit" aspectratio="f"/>
              <v:textbox inset="0mm,0mm,0mm,0mm" style="mso-fit-shape-to-text:t;">
                <w:txbxContent>
                  <w:p w14:paraId="6233B966">
                    <w:pPr>
                      <w:pStyle w:val="9"/>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A284A3">
    <w:pPr>
      <w:pStyle w:val="9"/>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C051DF9">
                          <w:pPr>
                            <w:pStyle w:val="9"/>
                            <w:ind w:firstLine="360"/>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LgbwxAgAAZQ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Di4G8MQIAAGUEAAAOAAAAAAAAAAEAIAAAAB8BAABkcnMvZTJvRG9jLnhtbFBLBQYA&#10;AAAABgAGAFkBAADCBQAAAAA=&#10;">
              <v:fill on="f" focussize="0,0"/>
              <v:stroke on="f" weight="0.5pt"/>
              <v:imagedata o:title=""/>
              <o:lock v:ext="edit" aspectratio="f"/>
              <v:textbox inset="0mm,0mm,0mm,0mm" style="mso-fit-shape-to-text:t;">
                <w:txbxContent>
                  <w:p w14:paraId="4C051DF9">
                    <w:pPr>
                      <w:pStyle w:val="9"/>
                      <w:ind w:firstLine="360"/>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5F221B">
    <w:pPr>
      <w:pStyle w:val="9"/>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5C23B00">
                          <w:pPr>
                            <w:pStyle w:val="9"/>
                            <w:ind w:firstLine="360"/>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liw6YyAgAAZQ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yWLDpjICAABlBAAADgAAAAAAAAABACAAAAAfAQAAZHJzL2Uyb0RvYy54bWxQSwUG&#10;AAAAAAYABgBZAQAAwwUAAAAA&#10;">
              <v:fill on="f" focussize="0,0"/>
              <v:stroke on="f" weight="0.5pt"/>
              <v:imagedata o:title=""/>
              <o:lock v:ext="edit" aspectratio="f"/>
              <v:textbox inset="0mm,0mm,0mm,0mm" style="mso-fit-shape-to-text:t;">
                <w:txbxContent>
                  <w:p w14:paraId="45C23B00">
                    <w:pPr>
                      <w:pStyle w:val="9"/>
                      <w:ind w:firstLine="360"/>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E4A521">
    <w:pPr>
      <w:pStyle w:val="9"/>
      <w:ind w:firstLine="360"/>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41B349B">
                          <w:pPr>
                            <w:pStyle w:val="9"/>
                            <w:ind w:firstLine="360"/>
                            <w:rPr>
                              <w:rFonts w:hint="eastAsia"/>
                            </w:rPr>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xGDMxAgAAZ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vsRgzMQIAAGUEAAAOAAAAAAAAAAEAIAAAAB8BAABkcnMvZTJvRG9jLnhtbFBLBQYA&#10;AAAABgAGAFkBAADCBQAAAAA=&#10;">
              <v:fill on="f" focussize="0,0"/>
              <v:stroke on="f" weight="0.5pt"/>
              <v:imagedata o:title=""/>
              <o:lock v:ext="edit" aspectratio="f"/>
              <v:textbox inset="0mm,0mm,0mm,0mm" style="mso-fit-shape-to-text:t;">
                <w:txbxContent>
                  <w:p w14:paraId="041B349B">
                    <w:pPr>
                      <w:pStyle w:val="9"/>
                      <w:ind w:firstLine="360"/>
                      <w:rPr>
                        <w:rFonts w:hint="eastAsia"/>
                      </w:rPr>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380D08">
    <w:pPr>
      <w:pStyle w:val="9"/>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F44423A">
                          <w:pPr>
                            <w:pStyle w:val="9"/>
                            <w:ind w:firstLine="360"/>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YWikyAgAAZQQAAA4AAABkcnMvZTJvRG9jLnhtbK1UzY7TMBC+I/EO&#10;lu80aRGrUj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JVhaKTICAABlBAAADgAAAAAAAAABACAAAAAfAQAAZHJzL2Uyb0RvYy54bWxQSwUG&#10;AAAAAAYABgBZAQAAwwUAAAAA&#10;">
              <v:fill on="f" focussize="0,0"/>
              <v:stroke on="f" weight="0.5pt"/>
              <v:imagedata o:title=""/>
              <o:lock v:ext="edit" aspectratio="f"/>
              <v:textbox inset="0mm,0mm,0mm,0mm" style="mso-fit-shape-to-text:t;">
                <w:txbxContent>
                  <w:p w14:paraId="6F44423A">
                    <w:pPr>
                      <w:pStyle w:val="9"/>
                      <w:ind w:firstLine="360"/>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0D3E04">
    <w:pPr>
      <w:pStyle w:val="9"/>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420FBB">
                          <w:pPr>
                            <w:pStyle w:val="9"/>
                            <w:ind w:firstLine="360"/>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14:paraId="5F420FBB">
                    <w:pPr>
                      <w:pStyle w:val="9"/>
                      <w:ind w:firstLine="360"/>
                    </w:pPr>
                    <w:r>
                      <w:fldChar w:fldCharType="begin"/>
                    </w:r>
                    <w:r>
                      <w:instrText xml:space="preserve"> PAGE  \* MERGEFORMAT </w:instrText>
                    </w:r>
                    <w:r>
                      <w:fldChar w:fldCharType="separate"/>
                    </w:r>
                    <w:r>
                      <w:t>41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335ADF"/>
    <w:multiLevelType w:val="multilevel"/>
    <w:tmpl w:val="AD335ADF"/>
    <w:lvl w:ilvl="0" w:tentative="0">
      <w:start w:val="1"/>
      <w:numFmt w:val="decimal"/>
      <w:pStyle w:val="2"/>
      <w:lvlText w:val="%1"/>
      <w:lvlJc w:val="left"/>
      <w:pPr>
        <w:tabs>
          <w:tab w:val="left" w:pos="-376"/>
        </w:tabs>
        <w:ind w:left="50" w:firstLine="0"/>
      </w:pPr>
      <w:rPr>
        <w:rFonts w:hint="eastAsia"/>
      </w:rPr>
    </w:lvl>
    <w:lvl w:ilvl="1" w:tentative="0">
      <w:start w:val="1"/>
      <w:numFmt w:val="decimal"/>
      <w:pStyle w:val="3"/>
      <w:lvlText w:val="%1.%2"/>
      <w:lvlJc w:val="left"/>
      <w:pPr>
        <w:tabs>
          <w:tab w:val="left" w:pos="0"/>
        </w:tabs>
        <w:ind w:left="0" w:firstLine="0"/>
      </w:pPr>
      <w:rPr>
        <w:rFonts w:hint="eastAsia"/>
      </w:rPr>
    </w:lvl>
    <w:lvl w:ilvl="2" w:tentative="0">
      <w:start w:val="1"/>
      <w:numFmt w:val="decimal"/>
      <w:lvlText w:val="%1.%2.%3"/>
      <w:lvlJc w:val="left"/>
      <w:pPr>
        <w:tabs>
          <w:tab w:val="left" w:pos="1037"/>
        </w:tabs>
        <w:ind w:left="1036" w:firstLine="404"/>
      </w:pPr>
      <w:rPr>
        <w:rFonts w:hint="eastAsia"/>
      </w:rPr>
    </w:lvl>
    <w:lvl w:ilvl="3" w:tentative="0">
      <w:start w:val="1"/>
      <w:numFmt w:val="decimal"/>
      <w:lvlText w:val="%1.%2.%3.%4"/>
      <w:lvlJc w:val="left"/>
      <w:pPr>
        <w:tabs>
          <w:tab w:val="left" w:pos="2688"/>
        </w:tabs>
        <w:ind w:left="2688" w:hanging="708"/>
      </w:pPr>
      <w:rPr>
        <w:rFonts w:hint="eastAsia"/>
      </w:rPr>
    </w:lvl>
    <w:lvl w:ilvl="4" w:tentative="0">
      <w:start w:val="1"/>
      <w:numFmt w:val="decimal"/>
      <w:lvlText w:val="%1.%2.%3.%4.%5"/>
      <w:lvlJc w:val="left"/>
      <w:pPr>
        <w:tabs>
          <w:tab w:val="left" w:pos="1750"/>
        </w:tabs>
        <w:ind w:left="1750" w:hanging="850"/>
      </w:pPr>
      <w:rPr>
        <w:rFonts w:hint="eastAsia"/>
      </w:rPr>
    </w:lvl>
    <w:lvl w:ilvl="5" w:tentative="0">
      <w:start w:val="1"/>
      <w:numFmt w:val="decimal"/>
      <w:lvlText w:val="%1.%2.%3.%4.%5.%6"/>
      <w:lvlJc w:val="left"/>
      <w:pPr>
        <w:tabs>
          <w:tab w:val="left" w:pos="2459"/>
        </w:tabs>
        <w:ind w:left="2459" w:hanging="1134"/>
      </w:pPr>
      <w:rPr>
        <w:rFonts w:hint="eastAsia"/>
      </w:rPr>
    </w:lvl>
    <w:lvl w:ilvl="6" w:tentative="0">
      <w:start w:val="1"/>
      <w:numFmt w:val="decimal"/>
      <w:lvlText w:val="%1.%2.%3.%4.%5.%6.%7"/>
      <w:lvlJc w:val="left"/>
      <w:pPr>
        <w:tabs>
          <w:tab w:val="left" w:pos="3026"/>
        </w:tabs>
        <w:ind w:left="3026" w:hanging="1276"/>
      </w:pPr>
      <w:rPr>
        <w:rFonts w:hint="eastAsia"/>
      </w:rPr>
    </w:lvl>
    <w:lvl w:ilvl="7" w:tentative="0">
      <w:start w:val="1"/>
      <w:numFmt w:val="decimal"/>
      <w:lvlText w:val="%1.%2.%3.%4.%5.%6.%7.%8"/>
      <w:lvlJc w:val="left"/>
      <w:pPr>
        <w:tabs>
          <w:tab w:val="left" w:pos="3593"/>
        </w:tabs>
        <w:ind w:left="3593" w:hanging="1418"/>
      </w:pPr>
      <w:rPr>
        <w:rFonts w:hint="eastAsia"/>
      </w:rPr>
    </w:lvl>
    <w:lvl w:ilvl="8" w:tentative="0">
      <w:start w:val="1"/>
      <w:numFmt w:val="decimal"/>
      <w:lvlText w:val="%1.%2.%3.%4.%5.%6.%7.%8.%9"/>
      <w:lvlJc w:val="left"/>
      <w:pPr>
        <w:tabs>
          <w:tab w:val="left" w:pos="4301"/>
        </w:tabs>
        <w:ind w:left="4301" w:hanging="1700"/>
      </w:pPr>
      <w:rPr>
        <w:rFonts w:hint="eastAsia"/>
      </w:rPr>
    </w:lvl>
  </w:abstractNum>
  <w:abstractNum w:abstractNumId="1">
    <w:nsid w:val="05762E3F"/>
    <w:multiLevelType w:val="multilevel"/>
    <w:tmpl w:val="05762E3F"/>
    <w:lvl w:ilvl="0" w:tentative="0">
      <w:start w:val="1"/>
      <w:numFmt w:val="decimal"/>
      <w:lvlText w:val="%1"/>
      <w:lvlJc w:val="left"/>
      <w:pPr>
        <w:ind w:left="420" w:hanging="420"/>
      </w:pPr>
      <w:rPr>
        <w:rFonts w:ascii="Calibri" w:hAnsi="Calibri" w:eastAsia="宋体" w:cs="Times New Roman"/>
      </w:rPr>
    </w:lvl>
    <w:lvl w:ilvl="1" w:tentative="0">
      <w:start w:val="1"/>
      <w:numFmt w:val="lowerLetter"/>
      <w:lvlText w:val="%2)"/>
      <w:lvlJc w:val="left"/>
      <w:pPr>
        <w:ind w:left="840" w:hanging="420"/>
      </w:pPr>
    </w:lvl>
    <w:lvl w:ilvl="2" w:tentative="0">
      <w:start w:val="1"/>
      <w:numFmt w:val="decimal"/>
      <w:lvlText w:val="%3"/>
      <w:lvlJc w:val="left"/>
      <w:pPr>
        <w:ind w:left="1260" w:hanging="420"/>
      </w:pPr>
      <w:rPr>
        <w:rFonts w:ascii="Calibri" w:hAnsi="Calibri" w:eastAsia="宋体" w:cs="Times New Roman"/>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mOWNmNTE5NzM0NmI1MWRiMDQ4NDNkZjg0OWM0MTEifQ=="/>
  </w:docVars>
  <w:rsids>
    <w:rsidRoot w:val="76BB7A02"/>
    <w:rsid w:val="000F0002"/>
    <w:rsid w:val="00256352"/>
    <w:rsid w:val="00264E69"/>
    <w:rsid w:val="014001AC"/>
    <w:rsid w:val="01514167"/>
    <w:rsid w:val="01CE57B8"/>
    <w:rsid w:val="024A0BB7"/>
    <w:rsid w:val="025A529E"/>
    <w:rsid w:val="02ED6112"/>
    <w:rsid w:val="03D472D2"/>
    <w:rsid w:val="05FC5F60"/>
    <w:rsid w:val="060A0D89"/>
    <w:rsid w:val="07464042"/>
    <w:rsid w:val="077E37DC"/>
    <w:rsid w:val="079B438E"/>
    <w:rsid w:val="07DD49A7"/>
    <w:rsid w:val="086329D2"/>
    <w:rsid w:val="08793FA4"/>
    <w:rsid w:val="08F85810"/>
    <w:rsid w:val="094C3466"/>
    <w:rsid w:val="09ED69F7"/>
    <w:rsid w:val="0A851326"/>
    <w:rsid w:val="0A8A06EA"/>
    <w:rsid w:val="0B09160F"/>
    <w:rsid w:val="0B362493"/>
    <w:rsid w:val="0C3441FF"/>
    <w:rsid w:val="0C7927C4"/>
    <w:rsid w:val="0E4B0190"/>
    <w:rsid w:val="0E8A2779"/>
    <w:rsid w:val="0EB86D51"/>
    <w:rsid w:val="0F0A004B"/>
    <w:rsid w:val="0F933B71"/>
    <w:rsid w:val="0FB104C7"/>
    <w:rsid w:val="10FE773C"/>
    <w:rsid w:val="11BB73DB"/>
    <w:rsid w:val="12BC340B"/>
    <w:rsid w:val="130235ED"/>
    <w:rsid w:val="13331E1A"/>
    <w:rsid w:val="133B4C77"/>
    <w:rsid w:val="13893B01"/>
    <w:rsid w:val="13A20852"/>
    <w:rsid w:val="13D33102"/>
    <w:rsid w:val="1494463F"/>
    <w:rsid w:val="16C84A74"/>
    <w:rsid w:val="17562080"/>
    <w:rsid w:val="17B84AE8"/>
    <w:rsid w:val="17BC1970"/>
    <w:rsid w:val="183A72AB"/>
    <w:rsid w:val="19121FD6"/>
    <w:rsid w:val="1A4E0334"/>
    <w:rsid w:val="1A5A2585"/>
    <w:rsid w:val="1AB71087"/>
    <w:rsid w:val="1B9118D8"/>
    <w:rsid w:val="1BB750B7"/>
    <w:rsid w:val="1CAD289B"/>
    <w:rsid w:val="1D41732E"/>
    <w:rsid w:val="1DA17DCD"/>
    <w:rsid w:val="1E3B1FCF"/>
    <w:rsid w:val="1E890F8D"/>
    <w:rsid w:val="1EBA2EF4"/>
    <w:rsid w:val="1F100D66"/>
    <w:rsid w:val="1F7B1B7E"/>
    <w:rsid w:val="1FC40328"/>
    <w:rsid w:val="20F52909"/>
    <w:rsid w:val="21012503"/>
    <w:rsid w:val="21380A48"/>
    <w:rsid w:val="21505D92"/>
    <w:rsid w:val="21747CD2"/>
    <w:rsid w:val="22C02AA3"/>
    <w:rsid w:val="22CE3157"/>
    <w:rsid w:val="23056708"/>
    <w:rsid w:val="234A4691"/>
    <w:rsid w:val="23E26CFD"/>
    <w:rsid w:val="24B461DD"/>
    <w:rsid w:val="24E24F53"/>
    <w:rsid w:val="25096983"/>
    <w:rsid w:val="25B14925"/>
    <w:rsid w:val="268A3AF4"/>
    <w:rsid w:val="27441EF5"/>
    <w:rsid w:val="28245882"/>
    <w:rsid w:val="28E868B0"/>
    <w:rsid w:val="29310257"/>
    <w:rsid w:val="297D349C"/>
    <w:rsid w:val="2B25203D"/>
    <w:rsid w:val="2B9B40AD"/>
    <w:rsid w:val="2CA451E4"/>
    <w:rsid w:val="2D3C541C"/>
    <w:rsid w:val="2E0B3243"/>
    <w:rsid w:val="2F8C268B"/>
    <w:rsid w:val="30314FE0"/>
    <w:rsid w:val="30360848"/>
    <w:rsid w:val="31807FCD"/>
    <w:rsid w:val="31AA329C"/>
    <w:rsid w:val="3255145A"/>
    <w:rsid w:val="327B2543"/>
    <w:rsid w:val="32FD73FC"/>
    <w:rsid w:val="33134E71"/>
    <w:rsid w:val="33571C4D"/>
    <w:rsid w:val="341861DB"/>
    <w:rsid w:val="3474543C"/>
    <w:rsid w:val="34C208FD"/>
    <w:rsid w:val="34E00D83"/>
    <w:rsid w:val="350C7DCA"/>
    <w:rsid w:val="35536BC4"/>
    <w:rsid w:val="358B0CEF"/>
    <w:rsid w:val="368F0CB2"/>
    <w:rsid w:val="36FD3E6E"/>
    <w:rsid w:val="36FD79CA"/>
    <w:rsid w:val="38A20F3E"/>
    <w:rsid w:val="3A451DB4"/>
    <w:rsid w:val="3B3360B0"/>
    <w:rsid w:val="3B9F54F4"/>
    <w:rsid w:val="3C2F4ACA"/>
    <w:rsid w:val="3C4936B2"/>
    <w:rsid w:val="3C4B11D8"/>
    <w:rsid w:val="3CB74C32"/>
    <w:rsid w:val="3CE37662"/>
    <w:rsid w:val="3D4C104E"/>
    <w:rsid w:val="3DBC05DF"/>
    <w:rsid w:val="3E720C9E"/>
    <w:rsid w:val="3E9C5D1B"/>
    <w:rsid w:val="3EE37DED"/>
    <w:rsid w:val="3EFC2C5D"/>
    <w:rsid w:val="40BE466E"/>
    <w:rsid w:val="41006A35"/>
    <w:rsid w:val="414508EB"/>
    <w:rsid w:val="416F5968"/>
    <w:rsid w:val="42394194"/>
    <w:rsid w:val="424B1F31"/>
    <w:rsid w:val="42644DA1"/>
    <w:rsid w:val="42876CE2"/>
    <w:rsid w:val="438356FB"/>
    <w:rsid w:val="43A35D9D"/>
    <w:rsid w:val="43CD4BC8"/>
    <w:rsid w:val="45AF0A29"/>
    <w:rsid w:val="4734568A"/>
    <w:rsid w:val="47562DFD"/>
    <w:rsid w:val="482F19AD"/>
    <w:rsid w:val="48457423"/>
    <w:rsid w:val="493E459E"/>
    <w:rsid w:val="4A5B2F2E"/>
    <w:rsid w:val="4A69564B"/>
    <w:rsid w:val="4B8D35BB"/>
    <w:rsid w:val="4BC0573E"/>
    <w:rsid w:val="4C3457E4"/>
    <w:rsid w:val="4D447CA9"/>
    <w:rsid w:val="4FC60E49"/>
    <w:rsid w:val="50CE565A"/>
    <w:rsid w:val="51D535C6"/>
    <w:rsid w:val="525C5A95"/>
    <w:rsid w:val="52946FDD"/>
    <w:rsid w:val="535D7D17"/>
    <w:rsid w:val="539A4AC7"/>
    <w:rsid w:val="53A616BE"/>
    <w:rsid w:val="53BC2C8F"/>
    <w:rsid w:val="55230AEC"/>
    <w:rsid w:val="556E620B"/>
    <w:rsid w:val="56CD51B3"/>
    <w:rsid w:val="570D55B0"/>
    <w:rsid w:val="58201313"/>
    <w:rsid w:val="594C6863"/>
    <w:rsid w:val="5A20384C"/>
    <w:rsid w:val="5AF251E8"/>
    <w:rsid w:val="5B1C4013"/>
    <w:rsid w:val="5C441A74"/>
    <w:rsid w:val="5C696877"/>
    <w:rsid w:val="5C930305"/>
    <w:rsid w:val="5D543F38"/>
    <w:rsid w:val="5E570BE4"/>
    <w:rsid w:val="5EE70DDC"/>
    <w:rsid w:val="5F7C1524"/>
    <w:rsid w:val="5FF20E1A"/>
    <w:rsid w:val="627E3BDD"/>
    <w:rsid w:val="62B334AF"/>
    <w:rsid w:val="62D022B3"/>
    <w:rsid w:val="62D33B51"/>
    <w:rsid w:val="63166371"/>
    <w:rsid w:val="631F28F3"/>
    <w:rsid w:val="633A3BD0"/>
    <w:rsid w:val="63626C83"/>
    <w:rsid w:val="646A5DEF"/>
    <w:rsid w:val="647B7FFD"/>
    <w:rsid w:val="65624D19"/>
    <w:rsid w:val="6598698C"/>
    <w:rsid w:val="65BA6903"/>
    <w:rsid w:val="660B3602"/>
    <w:rsid w:val="67140294"/>
    <w:rsid w:val="675B2367"/>
    <w:rsid w:val="6779459B"/>
    <w:rsid w:val="682B5818"/>
    <w:rsid w:val="68CA3301"/>
    <w:rsid w:val="69054339"/>
    <w:rsid w:val="692C5146"/>
    <w:rsid w:val="695928D6"/>
    <w:rsid w:val="6A876FCF"/>
    <w:rsid w:val="6CA36342"/>
    <w:rsid w:val="6CB95B66"/>
    <w:rsid w:val="6CE54BAD"/>
    <w:rsid w:val="6CF070AE"/>
    <w:rsid w:val="6EB776BC"/>
    <w:rsid w:val="70161521"/>
    <w:rsid w:val="70335C2F"/>
    <w:rsid w:val="703D6AAE"/>
    <w:rsid w:val="72200435"/>
    <w:rsid w:val="730438B3"/>
    <w:rsid w:val="73F97C11"/>
    <w:rsid w:val="76A07D97"/>
    <w:rsid w:val="76B4739E"/>
    <w:rsid w:val="76BB7A02"/>
    <w:rsid w:val="781400F4"/>
    <w:rsid w:val="78F9553C"/>
    <w:rsid w:val="79E93803"/>
    <w:rsid w:val="79F53F55"/>
    <w:rsid w:val="7A884DCA"/>
    <w:rsid w:val="7C370855"/>
    <w:rsid w:val="7C5C02BC"/>
    <w:rsid w:val="7C887303"/>
    <w:rsid w:val="7C8C10D8"/>
    <w:rsid w:val="7D051240"/>
    <w:rsid w:val="7E221091"/>
    <w:rsid w:val="7F1C2F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0"/>
    <w:pPr>
      <w:keepNext/>
      <w:keepLines/>
      <w:numPr>
        <w:ilvl w:val="0"/>
        <w:numId w:val="1"/>
      </w:numPr>
      <w:outlineLvl w:val="0"/>
    </w:pPr>
    <w:rPr>
      <w:rFonts w:eastAsia="黑体" w:asciiTheme="minorHAnsi" w:hAnsiTheme="minorHAnsi"/>
      <w:b/>
      <w:kern w:val="44"/>
    </w:rPr>
  </w:style>
  <w:style w:type="paragraph" w:styleId="3">
    <w:name w:val="heading 2"/>
    <w:basedOn w:val="1"/>
    <w:next w:val="1"/>
    <w:unhideWhenUsed/>
    <w:qFormat/>
    <w:uiPriority w:val="0"/>
    <w:pPr>
      <w:keepNext/>
      <w:keepLines/>
      <w:numPr>
        <w:ilvl w:val="1"/>
        <w:numId w:val="1"/>
      </w:numPr>
      <w:tabs>
        <w:tab w:val="left" w:pos="-376"/>
      </w:tabs>
      <w:spacing w:before="200" w:after="200" w:line="360" w:lineRule="auto"/>
      <w:outlineLvl w:val="1"/>
    </w:pPr>
    <w:rPr>
      <w:rFonts w:ascii="Arial" w:hAnsi="Arial" w:eastAsia="黑体"/>
      <w:sz w:val="30"/>
    </w:rPr>
  </w:style>
  <w:style w:type="paragraph" w:styleId="4">
    <w:name w:val="heading 3"/>
    <w:basedOn w:val="1"/>
    <w:next w:val="1"/>
    <w:link w:val="51"/>
    <w:qFormat/>
    <w:uiPriority w:val="9"/>
    <w:pPr>
      <w:keepNext/>
      <w:keepLines/>
      <w:spacing w:before="260" w:after="260" w:line="416" w:lineRule="auto"/>
      <w:outlineLvl w:val="2"/>
    </w:pPr>
    <w:rPr>
      <w:b/>
      <w:bCs/>
      <w:sz w:val="32"/>
      <w:szCs w:val="32"/>
    </w:rPr>
  </w:style>
  <w:style w:type="paragraph" w:styleId="5">
    <w:name w:val="heading 4"/>
    <w:basedOn w:val="1"/>
    <w:next w:val="1"/>
    <w:qFormat/>
    <w:uiPriority w:val="9"/>
    <w:pPr>
      <w:keepNext/>
      <w:keepLines/>
      <w:spacing w:before="280" w:after="290" w:line="377" w:lineRule="auto"/>
      <w:jc w:val="center"/>
      <w:outlineLvl w:val="3"/>
    </w:pPr>
    <w:rPr>
      <w:bCs/>
      <w:sz w:val="24"/>
      <w:szCs w:val="28"/>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semiHidden/>
    <w:unhideWhenUsed/>
    <w:qFormat/>
    <w:uiPriority w:val="99"/>
    <w:pPr>
      <w:ind w:firstLine="420" w:firstLineChars="200"/>
    </w:pPr>
  </w:style>
  <w:style w:type="paragraph" w:styleId="7">
    <w:name w:val="annotation text"/>
    <w:basedOn w:val="1"/>
    <w:link w:val="48"/>
    <w:unhideWhenUsed/>
    <w:qFormat/>
    <w:uiPriority w:val="99"/>
    <w:pPr>
      <w:jc w:val="left"/>
    </w:pPr>
  </w:style>
  <w:style w:type="paragraph" w:styleId="8">
    <w:name w:val="Balloon Text"/>
    <w:basedOn w:val="1"/>
    <w:link w:val="50"/>
    <w:semiHidden/>
    <w:unhideWhenUsed/>
    <w:qFormat/>
    <w:uiPriority w:val="99"/>
    <w:rPr>
      <w:sz w:val="18"/>
      <w:szCs w:val="18"/>
    </w:rPr>
  </w:style>
  <w:style w:type="paragraph" w:styleId="9">
    <w:name w:val="footer"/>
    <w:basedOn w:val="1"/>
    <w:link w:val="47"/>
    <w:unhideWhenUsed/>
    <w:qFormat/>
    <w:uiPriority w:val="99"/>
    <w:pPr>
      <w:tabs>
        <w:tab w:val="center" w:pos="4153"/>
        <w:tab w:val="right" w:pos="8306"/>
      </w:tabs>
      <w:snapToGrid w:val="0"/>
      <w:jc w:val="left"/>
    </w:pPr>
    <w:rPr>
      <w:rFonts w:asciiTheme="minorHAnsi" w:hAnsiTheme="minorHAnsi" w:eastAsiaTheme="minorEastAsia" w:cstheme="minorBidi"/>
      <w:sz w:val="18"/>
      <w:szCs w:val="18"/>
      <w14:ligatures w14:val="standardContextual"/>
    </w:rPr>
  </w:style>
  <w:style w:type="paragraph" w:styleId="10">
    <w:name w:val="header"/>
    <w:basedOn w:val="1"/>
    <w:link w:val="46"/>
    <w:unhideWhenUsed/>
    <w:qFormat/>
    <w:uiPriority w:val="99"/>
    <w:pPr>
      <w:tabs>
        <w:tab w:val="center" w:pos="4153"/>
        <w:tab w:val="right" w:pos="8306"/>
      </w:tabs>
      <w:snapToGrid w:val="0"/>
      <w:jc w:val="center"/>
    </w:pPr>
    <w:rPr>
      <w:rFonts w:asciiTheme="minorHAnsi" w:hAnsiTheme="minorHAnsi" w:eastAsiaTheme="minorEastAsia" w:cstheme="minorBidi"/>
      <w:sz w:val="18"/>
      <w:szCs w:val="18"/>
      <w14:ligatures w14:val="standardContextual"/>
    </w:rPr>
  </w:style>
  <w:style w:type="paragraph" w:styleId="11">
    <w:name w:val="toc 1"/>
    <w:basedOn w:val="1"/>
    <w:next w:val="1"/>
    <w:unhideWhenUsed/>
    <w:qFormat/>
    <w:uiPriority w:val="39"/>
  </w:style>
  <w:style w:type="paragraph" w:styleId="12">
    <w:name w:val="toc 2"/>
    <w:basedOn w:val="1"/>
    <w:next w:val="1"/>
    <w:semiHidden/>
    <w:unhideWhenUsed/>
    <w:qFormat/>
    <w:uiPriority w:val="39"/>
    <w:pPr>
      <w:ind w:left="420" w:leftChars="200"/>
    </w:pPr>
  </w:style>
  <w:style w:type="paragraph" w:styleId="13">
    <w:name w:val="Normal (Web)"/>
    <w:basedOn w:val="1"/>
    <w:qFormat/>
    <w:uiPriority w:val="0"/>
    <w:pPr>
      <w:spacing w:beforeAutospacing="1" w:afterAutospacing="1"/>
    </w:pPr>
    <w:rPr>
      <w:sz w:val="24"/>
    </w:rPr>
  </w:style>
  <w:style w:type="paragraph" w:styleId="14">
    <w:name w:val="annotation subject"/>
    <w:basedOn w:val="7"/>
    <w:next w:val="7"/>
    <w:link w:val="49"/>
    <w:semiHidden/>
    <w:unhideWhenUsed/>
    <w:qFormat/>
    <w:uiPriority w:val="99"/>
    <w:rPr>
      <w:b/>
      <w:bCs/>
    </w:rPr>
  </w:style>
  <w:style w:type="table" w:styleId="16">
    <w:name w:val="Table Grid"/>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uiPriority w:val="22"/>
    <w:rPr>
      <w:rFonts w:ascii="Times New Roman" w:hAnsi="Times New Roman" w:eastAsia="宋体" w:cs="Times New Roman"/>
      <w:b/>
    </w:rPr>
  </w:style>
  <w:style w:type="character" w:styleId="19">
    <w:name w:val="Hyperlink"/>
    <w:basedOn w:val="17"/>
    <w:unhideWhenUsed/>
    <w:qFormat/>
    <w:uiPriority w:val="99"/>
    <w:rPr>
      <w:rFonts w:ascii="Times New Roman" w:hAnsi="Times New Roman" w:eastAsia="宋体" w:cs="Times New Roman"/>
      <w:color w:val="0026E5" w:themeColor="hyperlink"/>
      <w:u w:val="single"/>
      <w14:textFill>
        <w14:solidFill>
          <w14:schemeClr w14:val="hlink"/>
        </w14:solidFill>
      </w14:textFill>
    </w:rPr>
  </w:style>
  <w:style w:type="character" w:styleId="20">
    <w:name w:val="annotation reference"/>
    <w:basedOn w:val="17"/>
    <w:semiHidden/>
    <w:unhideWhenUsed/>
    <w:qFormat/>
    <w:uiPriority w:val="99"/>
    <w:rPr>
      <w:rFonts w:ascii="Times New Roman" w:hAnsi="Times New Roman" w:eastAsia="宋体" w:cs="Times New Roman"/>
      <w:sz w:val="21"/>
      <w:szCs w:val="21"/>
    </w:rPr>
  </w:style>
  <w:style w:type="paragraph" w:customStyle="1" w:styleId="21">
    <w:name w:val="0 正文内容"/>
    <w:qFormat/>
    <w:uiPriority w:val="0"/>
    <w:pPr>
      <w:widowControl w:val="0"/>
      <w:overflowPunct w:val="0"/>
      <w:spacing w:line="269" w:lineRule="auto"/>
      <w:ind w:firstLine="200" w:firstLineChars="200"/>
      <w:jc w:val="both"/>
    </w:pPr>
    <w:rPr>
      <w:rFonts w:ascii="Times New Roman" w:hAnsi="Times New Roman" w:eastAsia="宋体" w:cs="华文细黑"/>
      <w:color w:val="000000"/>
      <w:sz w:val="21"/>
      <w:szCs w:val="24"/>
      <w:lang w:val="en-US" w:eastAsia="zh-CN" w:bidi="ar-SA"/>
    </w:rPr>
  </w:style>
  <w:style w:type="character" w:customStyle="1" w:styleId="22">
    <w:name w:val="页眉 Char"/>
    <w:basedOn w:val="17"/>
    <w:link w:val="10"/>
    <w:autoRedefine/>
    <w:qFormat/>
    <w:uiPriority w:val="99"/>
    <w:rPr>
      <w:rFonts w:asciiTheme="minorHAnsi" w:hAnsiTheme="minorHAnsi" w:eastAsiaTheme="minorEastAsia" w:cstheme="minorBidi"/>
      <w:sz w:val="18"/>
      <w:szCs w:val="18"/>
      <w14:ligatures w14:val="standardContextual"/>
    </w:rPr>
  </w:style>
  <w:style w:type="character" w:customStyle="1" w:styleId="23">
    <w:name w:val="页脚 Char"/>
    <w:basedOn w:val="17"/>
    <w:link w:val="9"/>
    <w:autoRedefine/>
    <w:qFormat/>
    <w:uiPriority w:val="99"/>
    <w:rPr>
      <w:rFonts w:asciiTheme="minorHAnsi" w:hAnsiTheme="minorHAnsi" w:eastAsiaTheme="minorEastAsia" w:cstheme="minorBidi"/>
      <w:sz w:val="18"/>
      <w:szCs w:val="18"/>
      <w14:ligatures w14:val="standardContextual"/>
    </w:rPr>
  </w:style>
  <w:style w:type="character" w:customStyle="1" w:styleId="24">
    <w:name w:val="标题 3 字符"/>
    <w:basedOn w:val="17"/>
    <w:autoRedefine/>
    <w:semiHidden/>
    <w:qFormat/>
    <w:uiPriority w:val="9"/>
    <w:rPr>
      <w:rFonts w:ascii="Times New Roman" w:hAnsi="Times New Roman" w:eastAsia="宋体" w:cs="Times New Roman"/>
      <w:b/>
      <w:bCs/>
      <w:sz w:val="32"/>
      <w:szCs w:val="32"/>
      <w14:ligatures w14:val="none"/>
    </w:rPr>
  </w:style>
  <w:style w:type="character" w:customStyle="1" w:styleId="25">
    <w:name w:val="标题 3 字符1"/>
    <w:basedOn w:val="17"/>
    <w:autoRedefine/>
    <w:qFormat/>
    <w:locked/>
    <w:uiPriority w:val="9"/>
    <w:rPr>
      <w:rFonts w:ascii="Times New Roman" w:hAnsi="Times New Roman" w:eastAsia="宋体" w:cs="Times New Roman"/>
      <w:b/>
      <w:bCs/>
      <w:sz w:val="32"/>
      <w:szCs w:val="32"/>
      <w14:ligatures w14:val="none"/>
    </w:rPr>
  </w:style>
  <w:style w:type="paragraph" w:customStyle="1" w:styleId="26">
    <w:name w:val="WPSOffice手动目录 1"/>
    <w:autoRedefine/>
    <w:qFormat/>
    <w:uiPriority w:val="0"/>
    <w:rPr>
      <w:rFonts w:ascii="Times New Roman" w:hAnsi="Times New Roman" w:eastAsia="宋体" w:cs="Times New Roman"/>
      <w:lang w:val="en-US" w:eastAsia="zh-CN" w:bidi="ar-SA"/>
    </w:rPr>
  </w:style>
  <w:style w:type="paragraph" w:customStyle="1" w:styleId="27">
    <w:name w:val="修订1"/>
    <w:autoRedefine/>
    <w:hidden/>
    <w:unhideWhenUsed/>
    <w:qFormat/>
    <w:uiPriority w:val="99"/>
    <w:rPr>
      <w:rFonts w:ascii="Times New Roman" w:hAnsi="Times New Roman" w:eastAsia="宋体" w:cs="Times New Roman"/>
      <w:kern w:val="2"/>
      <w:sz w:val="21"/>
      <w:szCs w:val="21"/>
      <w:lang w:val="en-US" w:eastAsia="zh-CN" w:bidi="ar-SA"/>
    </w:rPr>
  </w:style>
  <w:style w:type="paragraph" w:customStyle="1" w:styleId="28">
    <w:name w:val="条文说明"/>
    <w:basedOn w:val="1"/>
    <w:link w:val="40"/>
    <w:autoRedefine/>
    <w:qFormat/>
    <w:uiPriority w:val="0"/>
    <w:pPr>
      <w:overflowPunct w:val="0"/>
      <w:spacing w:line="300" w:lineRule="auto"/>
      <w:ind w:firstLine="200" w:firstLineChars="200"/>
    </w:pPr>
    <w:rPr>
      <w:rFonts w:cstheme="minorBidi"/>
      <w:sz w:val="24"/>
      <w:szCs w:val="22"/>
    </w:rPr>
  </w:style>
  <w:style w:type="character" w:customStyle="1" w:styleId="29">
    <w:name w:val="批注文字 Char"/>
    <w:basedOn w:val="17"/>
    <w:link w:val="7"/>
    <w:autoRedefine/>
    <w:qFormat/>
    <w:uiPriority w:val="99"/>
    <w:rPr>
      <w:rFonts w:ascii="Times New Roman" w:hAnsi="Times New Roman" w:eastAsia="宋体" w:cs="Times New Roman"/>
    </w:rPr>
  </w:style>
  <w:style w:type="character" w:customStyle="1" w:styleId="30">
    <w:name w:val="批注主题 Char"/>
    <w:basedOn w:val="29"/>
    <w:link w:val="14"/>
    <w:autoRedefine/>
    <w:semiHidden/>
    <w:qFormat/>
    <w:uiPriority w:val="99"/>
    <w:rPr>
      <w:b/>
      <w:bCs/>
    </w:rPr>
  </w:style>
  <w:style w:type="character" w:customStyle="1" w:styleId="31">
    <w:name w:val="批注框文本 Char"/>
    <w:basedOn w:val="17"/>
    <w:link w:val="8"/>
    <w:autoRedefine/>
    <w:semiHidden/>
    <w:qFormat/>
    <w:uiPriority w:val="99"/>
    <w:rPr>
      <w:rFonts w:ascii="Times New Roman" w:hAnsi="Times New Roman" w:eastAsia="宋体" w:cs="Times New Roman"/>
      <w:sz w:val="18"/>
      <w:szCs w:val="18"/>
    </w:rPr>
  </w:style>
  <w:style w:type="paragraph" w:customStyle="1" w:styleId="32">
    <w:name w:val="正文正正"/>
    <w:basedOn w:val="1"/>
    <w:autoRedefine/>
    <w:qFormat/>
    <w:uiPriority w:val="0"/>
    <w:pPr>
      <w:spacing w:line="400" w:lineRule="exact"/>
      <w:ind w:firstLine="884" w:firstLineChars="200"/>
    </w:pPr>
    <w:rPr>
      <w:sz w:val="24"/>
    </w:rPr>
  </w:style>
  <w:style w:type="paragraph" w:customStyle="1" w:styleId="33">
    <w:name w:val="条文"/>
    <w:basedOn w:val="1"/>
    <w:autoRedefine/>
    <w:qFormat/>
    <w:uiPriority w:val="0"/>
    <w:pPr>
      <w:adjustRightInd w:val="0"/>
      <w:spacing w:line="360" w:lineRule="auto"/>
    </w:pPr>
    <w:rPr>
      <w:bCs/>
      <w:sz w:val="24"/>
      <w:szCs w:val="24"/>
    </w:rPr>
  </w:style>
  <w:style w:type="paragraph" w:customStyle="1" w:styleId="34">
    <w:name w:val="修订2"/>
    <w:autoRedefine/>
    <w:hidden/>
    <w:unhideWhenUsed/>
    <w:qFormat/>
    <w:uiPriority w:val="99"/>
    <w:rPr>
      <w:rFonts w:ascii="Times New Roman" w:hAnsi="Times New Roman" w:eastAsia="宋体" w:cs="Times New Roman"/>
      <w:kern w:val="2"/>
      <w:sz w:val="21"/>
      <w:szCs w:val="21"/>
      <w:lang w:val="en-US" w:eastAsia="zh-CN" w:bidi="ar-SA"/>
    </w:rPr>
  </w:style>
  <w:style w:type="paragraph" w:styleId="35">
    <w:name w:val="List Paragraph"/>
    <w:basedOn w:val="1"/>
    <w:link w:val="53"/>
    <w:autoRedefine/>
    <w:qFormat/>
    <w:uiPriority w:val="34"/>
    <w:pPr>
      <w:spacing w:line="300" w:lineRule="auto"/>
    </w:pPr>
    <w:rPr>
      <w:sz w:val="24"/>
      <w:szCs w:val="22"/>
    </w:rPr>
  </w:style>
  <w:style w:type="character" w:customStyle="1" w:styleId="36">
    <w:name w:val="标题 3 Char"/>
    <w:link w:val="4"/>
    <w:autoRedefine/>
    <w:qFormat/>
    <w:uiPriority w:val="0"/>
    <w:rPr>
      <w:rFonts w:ascii="Times New Roman" w:hAnsi="Times New Roman" w:eastAsia="宋体" w:cs="Times New Roman"/>
      <w:b/>
      <w:bCs/>
      <w:sz w:val="32"/>
      <w:szCs w:val="32"/>
    </w:rPr>
  </w:style>
  <w:style w:type="paragraph" w:customStyle="1" w:styleId="37">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38">
    <w:name w:val="修订3"/>
    <w:hidden/>
    <w:unhideWhenUsed/>
    <w:qFormat/>
    <w:uiPriority w:val="99"/>
    <w:rPr>
      <w:rFonts w:ascii="Times New Roman" w:hAnsi="Times New Roman" w:eastAsia="宋体" w:cs="Times New Roman"/>
      <w:kern w:val="2"/>
      <w:sz w:val="21"/>
      <w:szCs w:val="21"/>
      <w:lang w:val="en-US" w:eastAsia="zh-CN" w:bidi="ar-SA"/>
    </w:rPr>
  </w:style>
  <w:style w:type="character" w:customStyle="1" w:styleId="39">
    <w:name w:val="列出段落 Char"/>
    <w:link w:val="35"/>
    <w:qFormat/>
    <w:uiPriority w:val="34"/>
    <w:rPr>
      <w:rFonts w:ascii="Times New Roman" w:hAnsi="Times New Roman" w:eastAsia="宋体" w:cs="Times New Roman"/>
      <w:sz w:val="24"/>
      <w:szCs w:val="22"/>
    </w:rPr>
  </w:style>
  <w:style w:type="character" w:customStyle="1" w:styleId="40">
    <w:name w:val="条文说明 Char"/>
    <w:basedOn w:val="17"/>
    <w:link w:val="28"/>
    <w:autoRedefine/>
    <w:qFormat/>
    <w:uiPriority w:val="0"/>
    <w:rPr>
      <w:rFonts w:ascii="Times New Roman" w:hAnsi="Times New Roman" w:eastAsia="宋体" w:cstheme="minorBidi"/>
      <w:sz w:val="24"/>
      <w:szCs w:val="22"/>
    </w:rPr>
  </w:style>
  <w:style w:type="paragraph" w:customStyle="1" w:styleId="41">
    <w:name w:val="修订4"/>
    <w:hidden/>
    <w:unhideWhenUsed/>
    <w:qFormat/>
    <w:uiPriority w:val="99"/>
    <w:rPr>
      <w:rFonts w:ascii="Times New Roman" w:hAnsi="Times New Roman" w:eastAsia="宋体" w:cs="Times New Roman"/>
      <w:kern w:val="2"/>
      <w:sz w:val="21"/>
      <w:szCs w:val="21"/>
      <w:lang w:val="en-US" w:eastAsia="zh-CN" w:bidi="ar-SA"/>
    </w:rPr>
  </w:style>
  <w:style w:type="paragraph" w:customStyle="1" w:styleId="42">
    <w:name w:val="修订5"/>
    <w:hidden/>
    <w:unhideWhenUsed/>
    <w:qFormat/>
    <w:uiPriority w:val="99"/>
    <w:rPr>
      <w:rFonts w:ascii="Times New Roman" w:hAnsi="Times New Roman" w:eastAsia="宋体" w:cs="Times New Roman"/>
      <w:kern w:val="2"/>
      <w:sz w:val="21"/>
      <w:szCs w:val="21"/>
      <w:lang w:val="en-US" w:eastAsia="zh-CN" w:bidi="ar-SA"/>
    </w:rPr>
  </w:style>
  <w:style w:type="paragraph" w:customStyle="1" w:styleId="43">
    <w:name w:val="0-1条"/>
    <w:qFormat/>
    <w:uiPriority w:val="0"/>
    <w:pPr>
      <w:widowControl w:val="0"/>
      <w:overflowPunct w:val="0"/>
      <w:spacing w:line="269" w:lineRule="auto"/>
      <w:jc w:val="both"/>
    </w:pPr>
    <w:rPr>
      <w:rFonts w:ascii="Times New Roman" w:hAnsi="Times New Roman" w:eastAsia="宋体" w:cs="Times New Roman"/>
      <w:b/>
      <w:bCs/>
      <w:color w:val="000000" w:themeColor="text1"/>
      <w:kern w:val="2"/>
      <w:sz w:val="21"/>
      <w:szCs w:val="24"/>
      <w:lang w:val="en-US" w:eastAsia="zh-CN" w:bidi="ar-SA"/>
      <w14:textFill>
        <w14:solidFill>
          <w14:schemeClr w14:val="tx1"/>
        </w14:solidFill>
      </w14:textFill>
    </w:rPr>
  </w:style>
  <w:style w:type="paragraph" w:customStyle="1" w:styleId="44">
    <w:name w:val="0-2款"/>
    <w:basedOn w:val="1"/>
    <w:qFormat/>
    <w:uiPriority w:val="0"/>
    <w:pPr>
      <w:overflowPunct w:val="0"/>
      <w:spacing w:line="269" w:lineRule="auto"/>
      <w:ind w:firstLine="150" w:firstLineChars="150"/>
    </w:pPr>
    <w:rPr>
      <w:rFonts w:cs="宋体"/>
      <w:szCs w:val="24"/>
    </w:rPr>
  </w:style>
  <w:style w:type="paragraph" w:customStyle="1" w:styleId="45">
    <w:name w:val="3 条文说明"/>
    <w:basedOn w:val="1"/>
    <w:qFormat/>
    <w:uiPriority w:val="99"/>
    <w:pPr>
      <w:overflowPunct w:val="0"/>
      <w:spacing w:line="269" w:lineRule="auto"/>
      <w:ind w:firstLine="200" w:firstLineChars="200"/>
    </w:pPr>
    <w:rPr>
      <w:rFonts w:cs="Calibri"/>
    </w:rPr>
  </w:style>
  <w:style w:type="character" w:customStyle="1" w:styleId="46">
    <w:name w:val="页眉 字符"/>
    <w:basedOn w:val="17"/>
    <w:link w:val="10"/>
    <w:autoRedefine/>
    <w:qFormat/>
    <w:uiPriority w:val="99"/>
    <w:rPr>
      <w:rFonts w:ascii="Times New Roman" w:hAnsi="Times New Roman" w:eastAsia="宋体" w:cs="Times New Roman"/>
      <w:sz w:val="18"/>
      <w:szCs w:val="18"/>
    </w:rPr>
  </w:style>
  <w:style w:type="character" w:customStyle="1" w:styleId="47">
    <w:name w:val="页脚 字符"/>
    <w:basedOn w:val="17"/>
    <w:link w:val="9"/>
    <w:autoRedefine/>
    <w:qFormat/>
    <w:uiPriority w:val="99"/>
    <w:rPr>
      <w:rFonts w:ascii="Times New Roman" w:hAnsi="Times New Roman" w:eastAsia="宋体" w:cs="Times New Roman"/>
      <w:sz w:val="18"/>
      <w:szCs w:val="18"/>
    </w:rPr>
  </w:style>
  <w:style w:type="character" w:customStyle="1" w:styleId="48">
    <w:name w:val="批注文字 字符"/>
    <w:basedOn w:val="17"/>
    <w:link w:val="7"/>
    <w:autoRedefine/>
    <w:qFormat/>
    <w:uiPriority w:val="99"/>
    <w:rPr>
      <w:rFonts w:ascii="Times New Roman" w:hAnsi="Times New Roman" w:eastAsia="宋体" w:cs="Times New Roman"/>
      <w:kern w:val="2"/>
      <w:sz w:val="21"/>
      <w:szCs w:val="21"/>
    </w:rPr>
  </w:style>
  <w:style w:type="character" w:customStyle="1" w:styleId="49">
    <w:name w:val="批注主题 字符"/>
    <w:basedOn w:val="48"/>
    <w:link w:val="14"/>
    <w:autoRedefine/>
    <w:semiHidden/>
    <w:qFormat/>
    <w:uiPriority w:val="99"/>
    <w:rPr>
      <w:b/>
      <w:bCs/>
      <w:kern w:val="2"/>
      <w:sz w:val="21"/>
      <w:szCs w:val="21"/>
    </w:rPr>
  </w:style>
  <w:style w:type="character" w:customStyle="1" w:styleId="50">
    <w:name w:val="批注框文本 字符"/>
    <w:basedOn w:val="17"/>
    <w:link w:val="8"/>
    <w:autoRedefine/>
    <w:semiHidden/>
    <w:qFormat/>
    <w:uiPriority w:val="99"/>
    <w:rPr>
      <w:rFonts w:ascii="Times New Roman" w:hAnsi="Times New Roman" w:eastAsia="宋体" w:cs="Times New Roman"/>
      <w:kern w:val="2"/>
      <w:sz w:val="18"/>
      <w:szCs w:val="18"/>
    </w:rPr>
  </w:style>
  <w:style w:type="character" w:customStyle="1" w:styleId="51">
    <w:name w:val="标题 3 字符2"/>
    <w:link w:val="4"/>
    <w:autoRedefine/>
    <w:qFormat/>
    <w:uiPriority w:val="0"/>
    <w:rPr>
      <w:rFonts w:ascii="Times New Roman" w:hAnsi="Times New Roman" w:eastAsia="宋体" w:cs="宋体"/>
      <w:kern w:val="2"/>
      <w:sz w:val="22"/>
      <w:szCs w:val="21"/>
      <w:lang w:val="zh-CN" w:bidi="zh-CN"/>
    </w:rPr>
  </w:style>
  <w:style w:type="character" w:customStyle="1" w:styleId="52">
    <w:name w:val="列出段落 字符"/>
    <w:link w:val="35"/>
    <w:qFormat/>
    <w:uiPriority w:val="34"/>
    <w:rPr>
      <w:rFonts w:ascii="Times New Roman" w:hAnsi="Times New Roman" w:eastAsia="宋体" w:cs="Times New Roman"/>
      <w:kern w:val="2"/>
      <w:sz w:val="24"/>
      <w:szCs w:val="22"/>
    </w:rPr>
  </w:style>
  <w:style w:type="character" w:customStyle="1" w:styleId="53">
    <w:name w:val="列表段落 字符"/>
    <w:link w:val="35"/>
    <w:qFormat/>
    <w:uiPriority w:val="34"/>
    <w:rPr>
      <w:rFonts w:ascii="Times New Roman" w:hAnsi="Times New Roman" w:eastAsia="宋体" w:cs="Times New Roman"/>
      <w:kern w:val="2"/>
      <w:sz w:val="24"/>
      <w:szCs w:val="22"/>
    </w:rPr>
  </w:style>
  <w:style w:type="paragraph" w:customStyle="1" w:styleId="54">
    <w:name w:val="Revision"/>
    <w:hidden/>
    <w:unhideWhenUsed/>
    <w:qFormat/>
    <w:uiPriority w:val="99"/>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jpe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7.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77</Pages>
  <Words>11683</Words>
  <Characters>13949</Characters>
  <Lines>0</Lines>
  <Paragraphs>0</Paragraphs>
  <TotalTime>3</TotalTime>
  <ScaleCrop>false</ScaleCrop>
  <LinksUpToDate>false</LinksUpToDate>
  <CharactersWithSpaces>14729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2024-11-06T03:15:00Z</dcterms:created>
  <dc:creator>Bimix阿秀</dc:creator>
  <cp:lastModifiedBy>初夏</cp:lastModifiedBy>
  <dcterms:modified xsi:type="dcterms:W3CDTF">2024-11-27T06:06:26Z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E2197E303B954155A8D72636434263E6_13</vt:lpwstr>
  </property>
</Properties>
</file>