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FDB9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标准</w:t>
      </w:r>
    </w:p>
    <w:p w14:paraId="58B65A8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既有工业建筑民用化低碳改造评价标准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404B9D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7C9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0B3D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67C97A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9E2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ADD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946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31E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04C5B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A75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068F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563F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E8029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242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CC07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95F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03C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D99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EB4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65EE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D11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0AB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616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6ADA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3BD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FD6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C22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C076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F2B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A26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49B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052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D18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3A5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7F7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114E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0DB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93E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F9F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ACC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30B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795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D21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3F93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C57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E97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F02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4F9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C81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72E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143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E0C0EB3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ED44742">
      <w:pPr>
        <w:snapToGrid w:val="0"/>
        <w:spacing w:line="300" w:lineRule="auto"/>
        <w:ind w:firstLine="630" w:firstLineChars="300"/>
      </w:pPr>
      <w:r>
        <w:t xml:space="preserve"> </w:t>
      </w:r>
    </w:p>
    <w:p w14:paraId="79B81C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6DC5FA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Bimix阿秀</cp:lastModifiedBy>
  <dcterms:modified xsi:type="dcterms:W3CDTF">2024-11-19T00:45:44Z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CD9EDB7EC040469489CA65F80CD92AB1_13</vt:lpwstr>
  </property>
</Properties>
</file>