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电子厂房能源管理系统技术规程</w:t>
      </w:r>
      <w:r>
        <w:rPr>
          <w:rFonts w:hint="eastAsia" w:ascii="宋体" w:hAnsi="宋体"/>
          <w:b/>
          <w:sz w:val="28"/>
          <w:szCs w:val="32"/>
        </w:rPr>
        <w:t>》（征求意见稿）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  <w:bookmarkStart w:id="0" w:name="_GoBack"/>
      <w:bookmarkEnd w:id="0"/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0"/>
        <w:gridCol w:w="842"/>
        <w:gridCol w:w="2698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2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wOWUxMjA3OWY4N2Y2MjBiMzE4OTM4OTUwZTAwZTE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C60163A"/>
    <w:rsid w:val="16AD5E84"/>
    <w:rsid w:val="180A4176"/>
    <w:rsid w:val="18D1459C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67</Words>
  <Characters>67</Characters>
  <Lines>1</Lines>
  <Paragraphs>1</Paragraphs>
  <TotalTime>0</TotalTime>
  <ScaleCrop>false</ScaleCrop>
  <LinksUpToDate>false</LinksUpToDate>
  <CharactersWithSpaces>75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暖通空调</cp:lastModifiedBy>
  <dcterms:modified xsi:type="dcterms:W3CDTF">2025-08-26T13:53:03Z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80F3C488435C40FB985AD0DC887055CB_13</vt:lpwstr>
  </property>
</Properties>
</file>